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1D490" w14:textId="77777777" w:rsidR="00754C9A" w:rsidRDefault="00754C9A" w:rsidP="00441B6F">
      <w:pPr>
        <w:pStyle w:val="Title"/>
        <w:spacing w:after="0"/>
        <w:jc w:val="both"/>
        <w:rPr>
          <w:rFonts w:ascii="Arial" w:hAnsi="Arial" w:cs="Arial"/>
        </w:rPr>
      </w:pPr>
    </w:p>
    <w:p w14:paraId="1D76BF57" w14:textId="77777777" w:rsidR="00DD435D" w:rsidRPr="00DD435D" w:rsidRDefault="00DD435D" w:rsidP="00DD435D">
      <w:pPr>
        <w:pStyle w:val="Author"/>
        <w:rPr>
          <w:rFonts w:ascii="Arial" w:hAnsi="Arial" w:cs="Arial"/>
          <w:bCs/>
          <w:i/>
          <w:iCs/>
          <w:kern w:val="28"/>
          <w:sz w:val="36"/>
          <w:u w:val="single"/>
        </w:rPr>
      </w:pPr>
      <w:r w:rsidRPr="00DD435D">
        <w:rPr>
          <w:rFonts w:ascii="Arial" w:hAnsi="Arial" w:cs="Arial"/>
          <w:bCs/>
          <w:i/>
          <w:iCs/>
          <w:kern w:val="28"/>
          <w:sz w:val="36"/>
          <w:u w:val="single"/>
        </w:rPr>
        <w:t>Review Article</w:t>
      </w:r>
    </w:p>
    <w:p w14:paraId="6FA33E24" w14:textId="77777777" w:rsidR="00DD435D" w:rsidRDefault="00DD435D" w:rsidP="00ED7AE5">
      <w:pPr>
        <w:pStyle w:val="Author"/>
        <w:spacing w:line="240" w:lineRule="auto"/>
        <w:rPr>
          <w:rFonts w:ascii="Arial" w:hAnsi="Arial" w:cs="Arial"/>
          <w:bCs/>
          <w:iCs/>
          <w:kern w:val="28"/>
          <w:sz w:val="36"/>
        </w:rPr>
      </w:pPr>
    </w:p>
    <w:p w14:paraId="369A2382" w14:textId="77777777" w:rsidR="008C6761" w:rsidRPr="008C6761" w:rsidRDefault="008C6761" w:rsidP="008C6761">
      <w:pPr>
        <w:pStyle w:val="Author"/>
        <w:rPr>
          <w:rFonts w:ascii="Arial" w:hAnsi="Arial" w:cs="Arial"/>
          <w:bCs/>
          <w:iCs/>
          <w:kern w:val="28"/>
          <w:sz w:val="36"/>
          <w:highlight w:val="yellow"/>
        </w:rPr>
      </w:pPr>
      <w:r w:rsidRPr="008C6761">
        <w:rPr>
          <w:rFonts w:ascii="Arial" w:hAnsi="Arial" w:cs="Arial"/>
          <w:bCs/>
          <w:iCs/>
          <w:kern w:val="28"/>
          <w:sz w:val="36"/>
          <w:highlight w:val="yellow"/>
        </w:rPr>
        <w:t>Next-Generation Cancer Models: Integrating 3D</w:t>
      </w:r>
    </w:p>
    <w:p w14:paraId="273B360A" w14:textId="52510C11" w:rsidR="00A258C3" w:rsidRPr="00790ADA" w:rsidRDefault="008C6761" w:rsidP="008C6761">
      <w:pPr>
        <w:pStyle w:val="Author"/>
        <w:spacing w:line="240" w:lineRule="auto"/>
        <w:rPr>
          <w:rFonts w:ascii="Arial" w:hAnsi="Arial" w:cs="Arial"/>
          <w:sz w:val="36"/>
        </w:rPr>
      </w:pPr>
      <w:r w:rsidRPr="008C6761">
        <w:rPr>
          <w:rFonts w:ascii="Arial" w:hAnsi="Arial" w:cs="Arial"/>
          <w:bCs/>
          <w:iCs/>
          <w:kern w:val="28"/>
          <w:sz w:val="36"/>
          <w:highlight w:val="yellow"/>
        </w:rPr>
        <w:t>Bioprinting and Organ-on-Chip Systems for Precision Oncology</w:t>
      </w:r>
    </w:p>
    <w:p w14:paraId="254C20F5" w14:textId="77777777" w:rsidR="00A44A0E" w:rsidRPr="00A44A0E" w:rsidRDefault="00A44A0E" w:rsidP="00A44A0E">
      <w:pPr>
        <w:pStyle w:val="Affiliation"/>
        <w:rPr>
          <w:rFonts w:ascii="Arial" w:hAnsi="Arial" w:cs="Arial"/>
          <w:lang w:val="en-GB"/>
        </w:rPr>
      </w:pPr>
    </w:p>
    <w:p w14:paraId="08636464" w14:textId="77777777" w:rsidR="00A44A0E" w:rsidRDefault="00A44A0E" w:rsidP="00ED7AE5">
      <w:pPr>
        <w:pStyle w:val="Affiliation"/>
        <w:spacing w:after="0" w:line="240" w:lineRule="auto"/>
        <w:rPr>
          <w:rFonts w:ascii="Arial" w:hAnsi="Arial" w:cs="Arial"/>
        </w:rPr>
      </w:pPr>
    </w:p>
    <w:p w14:paraId="319B3464" w14:textId="77777777" w:rsidR="002C57D2" w:rsidRPr="00FB3A86" w:rsidRDefault="002C57D2" w:rsidP="00441B6F">
      <w:pPr>
        <w:pStyle w:val="Affiliation"/>
        <w:spacing w:after="0" w:line="240" w:lineRule="auto"/>
        <w:jc w:val="both"/>
        <w:rPr>
          <w:rFonts w:ascii="Arial" w:hAnsi="Arial" w:cs="Arial"/>
        </w:rPr>
      </w:pPr>
    </w:p>
    <w:p w14:paraId="2A35A5A3" w14:textId="77777777" w:rsidR="00B01FCD" w:rsidRPr="00FB3A86" w:rsidRDefault="00000000" w:rsidP="00441B6F">
      <w:pPr>
        <w:pStyle w:val="Copyright"/>
        <w:spacing w:after="0" w:line="240" w:lineRule="auto"/>
        <w:jc w:val="both"/>
        <w:rPr>
          <w:rFonts w:ascii="Arial" w:hAnsi="Arial" w:cs="Arial"/>
        </w:rPr>
        <w:sectPr w:rsidR="00B01FCD" w:rsidRPr="00FB3A86" w:rsidSect="004249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D04F4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2038BA" w14:textId="0F4E115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2D21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6107BD" w14:textId="77777777" w:rsidTr="001E44FE">
        <w:tc>
          <w:tcPr>
            <w:tcW w:w="9576" w:type="dxa"/>
            <w:shd w:val="clear" w:color="auto" w:fill="F2F2F2"/>
          </w:tcPr>
          <w:p w14:paraId="4DC44EF0" w14:textId="21DED42B"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Aims</w:t>
            </w:r>
            <w:r>
              <w:rPr>
                <w:rFonts w:ascii="Arial" w:eastAsia="Calibri" w:hAnsi="Arial" w:cs="Arial"/>
                <w:b/>
                <w:bCs/>
                <w:szCs w:val="22"/>
                <w:lang w:val="en-IN"/>
              </w:rPr>
              <w:t xml:space="preserve">: </w:t>
            </w:r>
            <w:r w:rsidRPr="00ED7AE5">
              <w:rPr>
                <w:rFonts w:ascii="Arial" w:eastAsia="Calibri" w:hAnsi="Arial" w:cs="Arial"/>
                <w:szCs w:val="22"/>
                <w:lang w:val="en-IN"/>
              </w:rPr>
              <w:t>This review aims to provide a comprehensive overview of recent advancements in 3D bioprinting integrated with organ-on-a-chip technologies for developing next-generation cancer-on-a-chip systems. The objective is to highlight how these hybrid platforms replicate the tumor microenvironment (TME), enhance physiological relevance, and improve the predictive power of preclinical cancer research.</w:t>
            </w:r>
          </w:p>
          <w:p w14:paraId="680B9A49" w14:textId="33C95DD1"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Methodology</w:t>
            </w:r>
            <w:r>
              <w:rPr>
                <w:rFonts w:ascii="Arial" w:eastAsia="Calibri" w:hAnsi="Arial" w:cs="Arial"/>
                <w:b/>
                <w:bCs/>
                <w:szCs w:val="22"/>
                <w:lang w:val="en-IN"/>
              </w:rPr>
              <w:t xml:space="preserve">: </w:t>
            </w:r>
            <w:r w:rsidRPr="00ED7AE5">
              <w:rPr>
                <w:rFonts w:ascii="Arial" w:eastAsia="Calibri" w:hAnsi="Arial" w:cs="Arial"/>
                <w:szCs w:val="22"/>
                <w:lang w:val="en-IN"/>
              </w:rPr>
              <w:t>A thorough literature review was conducted focusing on key technological domains including 3D bioprinting strategies, microfluidic design, biomaterial and bioink innovations, and tumor–stroma co-culture methods. Comparative analysis of traditional 2D cultures, spheroids, organoids, and advanced cancer-on-a-chip constructs was performed to assess their biological relevance. Special emphasis was placed on evaluating bioink selection, vascularization approaches, ECM-mimetic materials, patient-derived models, and the integration of biosensing and artificial intelligence for real-time monitoring.</w:t>
            </w:r>
          </w:p>
          <w:p w14:paraId="2385DBB7" w14:textId="567AFAF9"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Results</w:t>
            </w:r>
            <w:r>
              <w:rPr>
                <w:rFonts w:ascii="Arial" w:eastAsia="Calibri" w:hAnsi="Arial" w:cs="Arial"/>
                <w:b/>
                <w:bCs/>
                <w:szCs w:val="22"/>
                <w:lang w:val="en-IN"/>
              </w:rPr>
              <w:t xml:space="preserve">: </w:t>
            </w:r>
            <w:r w:rsidRPr="00ED7AE5">
              <w:rPr>
                <w:rFonts w:ascii="Arial" w:eastAsia="Calibri" w:hAnsi="Arial" w:cs="Arial"/>
                <w:szCs w:val="22"/>
                <w:lang w:val="en-IN"/>
              </w:rPr>
              <w:t>Findings show that integrating additive manufacturing with microfluidics enables the fabrication of physiomimetic tumor constructs featuring spatially organized cell populations, perfusable vascular networks, and controllable biochemical gradients. These systems successfully recapitulate critical TME characteristics, including hypoxia, cellular heterogeneity, and stromal interactions. Innovations in patient-derived bioinks and multi-nozzle bioprinting have enhanced architectural complexity, personalization, and scalability. Additionally, incorporating biosensors and AI-driven analytics strengthens drug-response monitoring, enabling more accurate mechanistic studies and high-throughput drug screening compared with conventional in vitro models.</w:t>
            </w:r>
          </w:p>
          <w:p w14:paraId="35FC7D55" w14:textId="0A2BE83F" w:rsidR="00505F06" w:rsidRPr="00ED7AE5" w:rsidRDefault="00ED7AE5" w:rsidP="00441B6F">
            <w:pPr>
              <w:pStyle w:val="Body"/>
              <w:spacing w:after="0"/>
              <w:rPr>
                <w:rFonts w:ascii="Arial" w:eastAsia="Calibri" w:hAnsi="Arial" w:cs="Arial"/>
                <w:b/>
                <w:bCs/>
                <w:szCs w:val="22"/>
                <w:lang w:val="en-IN"/>
              </w:rPr>
            </w:pPr>
            <w:r w:rsidRPr="00ED7AE5">
              <w:rPr>
                <w:rFonts w:ascii="Arial" w:eastAsia="Calibri" w:hAnsi="Arial" w:cs="Arial"/>
                <w:b/>
                <w:bCs/>
                <w:szCs w:val="22"/>
                <w:lang w:val="en-IN"/>
              </w:rPr>
              <w:t>Conclusion</w:t>
            </w:r>
            <w:r>
              <w:rPr>
                <w:rFonts w:ascii="Arial" w:eastAsia="Calibri" w:hAnsi="Arial" w:cs="Arial"/>
                <w:b/>
                <w:bCs/>
                <w:szCs w:val="22"/>
                <w:lang w:val="en-IN"/>
              </w:rPr>
              <w:t xml:space="preserve">: </w:t>
            </w:r>
            <w:r w:rsidRPr="00ED7AE5">
              <w:rPr>
                <w:rFonts w:ascii="Arial" w:eastAsia="Calibri" w:hAnsi="Arial" w:cs="Arial"/>
                <w:szCs w:val="22"/>
                <w:lang w:val="en-IN"/>
              </w:rPr>
              <w:t>3D-bioprinted cancer-on-a-chip platforms represent a transformative paradigm in tumor modeling by bridging the gap between traditional in vitro assays and animal models. Despite existing challenges</w:t>
            </w:r>
            <w:r>
              <w:rPr>
                <w:rFonts w:ascii="Arial" w:eastAsia="Calibri" w:hAnsi="Arial" w:cs="Arial"/>
                <w:szCs w:val="22"/>
                <w:lang w:val="en-IN"/>
              </w:rPr>
              <w:t xml:space="preserve"> </w:t>
            </w:r>
            <w:r w:rsidRPr="00ED7AE5">
              <w:rPr>
                <w:rFonts w:ascii="Arial" w:eastAsia="Calibri" w:hAnsi="Arial" w:cs="Arial"/>
                <w:szCs w:val="22"/>
                <w:lang w:val="en-IN"/>
              </w:rPr>
              <w:t>particularly in vascularization, standardization, and maintaining long-term viability</w:t>
            </w:r>
            <w:r>
              <w:rPr>
                <w:rFonts w:ascii="Arial" w:eastAsia="Calibri" w:hAnsi="Arial" w:cs="Arial"/>
                <w:szCs w:val="22"/>
                <w:lang w:val="en-IN"/>
              </w:rPr>
              <w:t xml:space="preserve"> </w:t>
            </w:r>
            <w:r w:rsidRPr="00ED7AE5">
              <w:rPr>
                <w:rFonts w:ascii="Arial" w:eastAsia="Calibri" w:hAnsi="Arial" w:cs="Arial"/>
                <w:szCs w:val="22"/>
                <w:lang w:val="en-IN"/>
              </w:rPr>
              <w:t>ongoing advances in biomaterials, automation, and immunocompetent systems continue to elevate their translational potential. These next-generation platforms hold significant promise for accelerating drug discovery and supporting precision oncology.</w:t>
            </w:r>
          </w:p>
        </w:tc>
      </w:tr>
    </w:tbl>
    <w:p w14:paraId="4F7299AD" w14:textId="77777777" w:rsidR="00636EB2" w:rsidRDefault="00636EB2" w:rsidP="00441B6F">
      <w:pPr>
        <w:pStyle w:val="Body"/>
        <w:spacing w:after="0"/>
        <w:rPr>
          <w:rFonts w:ascii="Arial" w:hAnsi="Arial" w:cs="Arial"/>
          <w:i/>
        </w:rPr>
      </w:pPr>
    </w:p>
    <w:p w14:paraId="7A7E6EA4" w14:textId="5382D7FD" w:rsidR="00A24E7E" w:rsidRDefault="00A24E7E" w:rsidP="00441B6F">
      <w:pPr>
        <w:pStyle w:val="Body"/>
        <w:spacing w:after="0"/>
        <w:rPr>
          <w:rFonts w:ascii="Arial" w:hAnsi="Arial" w:cs="Arial"/>
          <w:i/>
        </w:rPr>
      </w:pPr>
      <w:r w:rsidRPr="00296746">
        <w:rPr>
          <w:rFonts w:ascii="Arial" w:hAnsi="Arial" w:cs="Arial"/>
          <w:b/>
          <w:bCs/>
          <w:i/>
        </w:rPr>
        <w:t>Keywords</w:t>
      </w:r>
      <w:r w:rsidR="00ED7AE5" w:rsidRPr="00296746">
        <w:rPr>
          <w:rFonts w:ascii="Arial" w:hAnsi="Arial" w:cs="Arial"/>
          <w:b/>
          <w:bCs/>
          <w:i/>
        </w:rPr>
        <w:t>:</w:t>
      </w:r>
      <w:r w:rsidR="00ED7AE5">
        <w:rPr>
          <w:rFonts w:ascii="Arial" w:hAnsi="Arial" w:cs="Arial"/>
          <w:i/>
        </w:rPr>
        <w:t xml:space="preserve"> </w:t>
      </w:r>
      <w:r w:rsidR="00ED7AE5" w:rsidRPr="00ED7AE5">
        <w:rPr>
          <w:rFonts w:ascii="Arial" w:hAnsi="Arial" w:cs="Arial"/>
          <w:i/>
        </w:rPr>
        <w:t>3D Bioprinting; Precision Oncology; Tumor Microenvironment; Microfluidic Platforms.</w:t>
      </w:r>
    </w:p>
    <w:p w14:paraId="5F677FE3" w14:textId="77777777" w:rsidR="00790ADA" w:rsidRDefault="00790ADA" w:rsidP="00441B6F">
      <w:pPr>
        <w:pStyle w:val="Body"/>
        <w:spacing w:after="0"/>
        <w:rPr>
          <w:rFonts w:ascii="Arial" w:hAnsi="Arial" w:cs="Arial"/>
          <w:i/>
        </w:rPr>
      </w:pPr>
    </w:p>
    <w:p w14:paraId="21A8867A" w14:textId="77777777" w:rsidR="0024282C" w:rsidRDefault="0024282C" w:rsidP="00441B6F">
      <w:pPr>
        <w:pStyle w:val="Body"/>
        <w:spacing w:after="0"/>
        <w:rPr>
          <w:rFonts w:ascii="Arial" w:hAnsi="Arial" w:cs="Arial"/>
          <w:i/>
          <w:sz w:val="18"/>
        </w:rPr>
      </w:pPr>
    </w:p>
    <w:p w14:paraId="593BBAE1" w14:textId="77777777" w:rsidR="00505F06" w:rsidRPr="00A24E7E" w:rsidRDefault="00505F06" w:rsidP="00441B6F">
      <w:pPr>
        <w:pStyle w:val="Body"/>
        <w:spacing w:after="0"/>
        <w:rPr>
          <w:rFonts w:ascii="Arial" w:hAnsi="Arial" w:cs="Arial"/>
          <w:i/>
        </w:rPr>
      </w:pPr>
    </w:p>
    <w:p w14:paraId="637D2B4B" w14:textId="4F349A43" w:rsidR="007F7B32" w:rsidRDefault="00B01FCD" w:rsidP="00441B6F">
      <w:pPr>
        <w:pStyle w:val="AbstHead"/>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53F2C91E" w14:textId="77777777" w:rsidR="00790ADA" w:rsidRPr="00FB3A86" w:rsidRDefault="00790ADA" w:rsidP="00441B6F">
      <w:pPr>
        <w:pStyle w:val="AbstHead"/>
        <w:spacing w:after="0"/>
        <w:jc w:val="both"/>
        <w:rPr>
          <w:rFonts w:ascii="Arial" w:hAnsi="Arial" w:cs="Arial"/>
        </w:rPr>
      </w:pPr>
    </w:p>
    <w:p w14:paraId="13696FB2" w14:textId="77777777" w:rsidR="00ED7AE5" w:rsidRPr="00ED7AE5" w:rsidRDefault="00ED7AE5" w:rsidP="00ED7AE5">
      <w:pPr>
        <w:pStyle w:val="Body"/>
        <w:rPr>
          <w:rFonts w:ascii="Arial" w:hAnsi="Arial" w:cs="Arial"/>
        </w:rPr>
      </w:pPr>
      <w:r w:rsidRPr="00ED7AE5">
        <w:rPr>
          <w:rFonts w:ascii="Arial" w:hAnsi="Arial" w:cs="Arial"/>
        </w:rPr>
        <w:t xml:space="preserve">Cancer is an inherently complex, dynamic, and heterogeneous disease driven by intricate cellular interactions within its tumor microenvironment (TME). Over the past decades, it has become increasingly evident that conventional in vitro cancer models, which focus solely on malignant cells, fail to capture the multifaceted nature of tumor biology (1). The TME, composed of extracellular matrix (ECM), blood and lymphatic vasculature, immune cells, and cancer-associated fibroblasts (CAFs), plays a pivotal role in tumor initiation, progression, metastasis, and resistance to therapy (2). These non-malignant components actively regulate tumor cell survival, invasion, and genetic evolution, ultimately shaping the response to therapeutic interventions. To bridge this gap, bioengineered 3D tumor models have emerged as a promising strategy to recapitulate key TME elements, offering a physiologically relevant alternative to traditional 2D cultures and simplistic spheroid models. Advanced co-culture systems integrating cancer cells with stromal components at precise ratios have been developed to replicate the spatial and functional heterogeneity observed in vivo. This approach is particularly critical for desmoplastic tumors, such as pancreatic ductal adenocarcinoma, where the stromal compartment dominates the tumor mass and significantly modulates drug response (3). Furthermore, recent advancements in microfluidics, 3D bioprinting, and organ-on-a-chip technologies have enabled the construction of dynamic tumor models with precisely controlled biochemical gradients, oxygenation levels, and interstitial fluid flow. These hybrid platforms allow for the incorporation of hypoxic and necrotic niches, tumor-specific ECM biomolecular composition, and mechanical properties that influence cancer progression and drug resistance. By deconstructing the fundamental hallmarks of the tumor ecosystem including spatial architecture, cellular diversity, and biophysical interactions researchers are now developing next-generation in vitro systems that better predict clinical outcomes (4). </w:t>
      </w:r>
    </w:p>
    <w:p w14:paraId="4EEEBC5B" w14:textId="77777777" w:rsidR="00ED7AE5" w:rsidRPr="00ED7AE5" w:rsidRDefault="00ED7AE5" w:rsidP="00ED7AE5">
      <w:pPr>
        <w:pStyle w:val="Body"/>
        <w:rPr>
          <w:rFonts w:ascii="Arial" w:hAnsi="Arial" w:cs="Arial"/>
        </w:rPr>
      </w:pPr>
      <w:r w:rsidRPr="00ED7AE5">
        <w:rPr>
          <w:rFonts w:ascii="Arial" w:hAnsi="Arial" w:cs="Arial"/>
        </w:rPr>
        <w:t xml:space="preserve">The ongoing evolution of biofabrication and tissue engineering strategies has accelerated efforts toward constructing organotypic cancer models that integrate key TME components in a spatiotemporally controlled manner (5). These physiomimetic systems hold immense potential to enhance preclinical drug screening, improve therapeutic predictability, and ultimately expedite the transition of innovative treatments from bench to bedside (6). This review explores the latest advancements in bioengineered 3D cancer models, with a particular focus on hybrid platforms that integrate bioprinting, microfluidics, and biomaterial engineering to recreate the complexity of native tumors (7). </w:t>
      </w:r>
    </w:p>
    <w:p w14:paraId="7A058D87" w14:textId="37BCCDD8" w:rsidR="00B01FCD" w:rsidRDefault="00ED7AE5" w:rsidP="00ED7AE5">
      <w:pPr>
        <w:pStyle w:val="Body"/>
        <w:spacing w:after="0"/>
        <w:rPr>
          <w:rFonts w:ascii="Arial" w:hAnsi="Arial" w:cs="Arial"/>
        </w:rPr>
      </w:pPr>
      <w:r w:rsidRPr="00ED7AE5">
        <w:rPr>
          <w:rFonts w:ascii="Arial" w:hAnsi="Arial" w:cs="Arial"/>
        </w:rPr>
        <w:t>This review was developed by building upon insights from previously published foundational articles in cancer biology and tumor modeling, particularly focusing on the hallmarks of cancer, the tumor microenvironment, and advances in bioengineering approaches. By integrating and critically analyzing these prior contributions, our article synthesizes current knowledge while highlighting the emerging role of 3D bioprinting and microfluidic integration in creating next-generation cancer-on-a-chip platforms.</w:t>
      </w:r>
    </w:p>
    <w:p w14:paraId="42138062" w14:textId="77777777" w:rsidR="00790ADA" w:rsidRPr="00FB3A86" w:rsidRDefault="00790ADA" w:rsidP="00441B6F">
      <w:pPr>
        <w:pStyle w:val="Body"/>
        <w:spacing w:after="0"/>
        <w:rPr>
          <w:rFonts w:ascii="Arial" w:hAnsi="Arial" w:cs="Arial"/>
        </w:rPr>
      </w:pPr>
    </w:p>
    <w:p w14:paraId="4168823D" w14:textId="43F75ED6" w:rsidR="00790ADA" w:rsidRPr="00ED7AE5" w:rsidRDefault="00ED7AE5" w:rsidP="00ED7AE5">
      <w:pPr>
        <w:pStyle w:val="Body"/>
        <w:spacing w:after="0"/>
        <w:rPr>
          <w:rFonts w:ascii="Arial" w:hAnsi="Arial" w:cs="Arial"/>
          <w:b/>
          <w:bCs/>
        </w:rPr>
      </w:pPr>
      <w:r>
        <w:rPr>
          <w:rFonts w:ascii="Arial" w:hAnsi="Arial" w:cs="Arial"/>
          <w:b/>
          <w:bCs/>
        </w:rPr>
        <w:t xml:space="preserve">1. </w:t>
      </w:r>
      <w:r w:rsidRPr="00ED7AE5">
        <w:rPr>
          <w:rFonts w:ascii="Arial" w:hAnsi="Arial" w:cs="Arial"/>
          <w:b/>
          <w:bCs/>
        </w:rPr>
        <w:t>Advanced 3D Tumor Models for Precision Oncology</w:t>
      </w:r>
    </w:p>
    <w:p w14:paraId="5318450C" w14:textId="77777777" w:rsidR="00ED7AE5" w:rsidRDefault="00ED7AE5" w:rsidP="00441B6F">
      <w:pPr>
        <w:pStyle w:val="Body"/>
        <w:spacing w:after="0"/>
        <w:rPr>
          <w:rFonts w:ascii="Arial" w:hAnsi="Arial" w:cs="Arial"/>
        </w:rPr>
      </w:pPr>
    </w:p>
    <w:p w14:paraId="735C2459" w14:textId="77777777" w:rsidR="00C2184D" w:rsidRPr="00C2184D" w:rsidRDefault="00C2184D" w:rsidP="00C2184D">
      <w:pPr>
        <w:pStyle w:val="Body"/>
        <w:rPr>
          <w:rFonts w:ascii="Arial" w:hAnsi="Arial" w:cs="Arial"/>
          <w:highlight w:val="yellow"/>
          <w:lang w:val="en-IN"/>
        </w:rPr>
      </w:pPr>
      <w:r w:rsidRPr="00C2184D">
        <w:rPr>
          <w:rFonts w:ascii="Arial" w:hAnsi="Arial" w:cs="Arial"/>
          <w:highlight w:val="yellow"/>
          <w:lang w:val="en-IN"/>
        </w:rPr>
        <w:t xml:space="preserve">The development of 3D in vitro tumor models has markedly improved preclinical oncology research by overcoming many limitations of conventional 2D cultures (8). By incorporating essential cellular, biochemical, and mechanical cues of the tumor microenvironment (TME), these platforms support more reliable and scalable drug-screening workflows while reducing dependence on animal studies (9). Scaffold-free spheroids remain one of the most commonly used systems, forming self-organized microtumors that reproduce key solid-tumor traits such as oxygen gradients, necrotic cores, and multicellular interactions (10). Their capacity to mimic tumor growth patterns and therapy resistance has made them valuable for </w:t>
      </w:r>
      <w:r w:rsidRPr="00C2184D">
        <w:rPr>
          <w:rFonts w:ascii="Arial" w:hAnsi="Arial" w:cs="Arial"/>
          <w:highlight w:val="yellow"/>
          <w:lang w:val="en-IN"/>
        </w:rPr>
        <w:lastRenderedPageBreak/>
        <w:t>screening chemotherapeutic agents. For instance, spheroids generated from breast, colorectal, and glioblastoma cell lines often display higher tolerance to drugs like doxorubicin and cisplatin than 2D monolayers. Nonetheless, their lack of organized extracellular matrix (ECM) and tissue-level structure can restrict physiological accuracy (11).</w:t>
      </w:r>
    </w:p>
    <w:p w14:paraId="30EB6344" w14:textId="77777777" w:rsidR="00C2184D" w:rsidRPr="00C2184D" w:rsidRDefault="00C2184D" w:rsidP="00C2184D">
      <w:pPr>
        <w:pStyle w:val="Body"/>
        <w:rPr>
          <w:rFonts w:ascii="Arial" w:hAnsi="Arial" w:cs="Arial"/>
          <w:highlight w:val="yellow"/>
          <w:lang w:val="en-IN"/>
        </w:rPr>
      </w:pPr>
      <w:r w:rsidRPr="00C2184D">
        <w:rPr>
          <w:rFonts w:ascii="Arial" w:hAnsi="Arial" w:cs="Arial"/>
          <w:highlight w:val="yellow"/>
          <w:lang w:val="en-IN"/>
        </w:rPr>
        <w:t>To address these gaps, patient-derived organoids (PDOs) and induced pluripotent stem cell (iPSC)-based organoids have emerged as next-generation models. PDOs preserve the genetic and phenotypic traits of the originating tumors, supporting individualized therapy selection (12). Clinical studies in colorectal cancer have shown that PDOs can forecast patient-specific treatment responses. Similarly, iPSC-derived tumor organoids can be engineered to include defined oncogenic alterations, enabling detailed studies of tumor progression and targeted interventions (13). Glioblastoma organoids, for example, have supported investigations into mechanisms of resistance to temozolomide and facilitated testing of combination treatments.</w:t>
      </w:r>
    </w:p>
    <w:p w14:paraId="0F1B3025" w14:textId="5934DB77" w:rsidR="00ED7AE5" w:rsidRPr="00C2184D" w:rsidRDefault="00C2184D" w:rsidP="00ED7AE5">
      <w:pPr>
        <w:pStyle w:val="Body"/>
        <w:rPr>
          <w:rFonts w:ascii="Arial" w:hAnsi="Arial" w:cs="Arial"/>
          <w:lang w:val="en-IN"/>
        </w:rPr>
      </w:pPr>
      <w:r w:rsidRPr="00C2184D">
        <w:rPr>
          <w:rFonts w:ascii="Arial" w:hAnsi="Arial" w:cs="Arial"/>
          <w:highlight w:val="yellow"/>
          <w:lang w:val="en-IN"/>
        </w:rPr>
        <w:t>Despite their promise, many organoid cultures rely on Matrigel™ and other animal-derived hydrogels that inadequately replicate human ECM composition. To improve biomimicry, researchers are designing ECM-like hydrogels made from natural proteins such as collagen, gelatin, fibroin, hyaluronic acid, and synthetic polymers including PEG and PCL. Recent progress in dynamic matrix engineering includes bioactive, stiffness-tunable double-network hydrogels capable of simulating fibrotic remodeling and EMT-associated mechanical changes (14). Examples include modular systems combining thiolated hyaluronic acid with norbornene-modified gelatin to model stromal fibrosis. Furthermore, advanced bioinks enriched with ECM-mimetic components have enabled the bioprinting of patient-specific glioblastoma constructs, offering improved insights into tumor progression and therapeutic response (15).</w:t>
      </w:r>
    </w:p>
    <w:p w14:paraId="21FB82D3" w14:textId="2112AC72" w:rsidR="00ED7AE5" w:rsidRDefault="00ED7AE5" w:rsidP="00ED7AE5">
      <w:pPr>
        <w:pStyle w:val="Body"/>
        <w:spacing w:after="0"/>
        <w:rPr>
          <w:rFonts w:ascii="Arial" w:hAnsi="Arial" w:cs="Arial"/>
        </w:rPr>
      </w:pPr>
      <w:r w:rsidRPr="00ED7AE5">
        <w:rPr>
          <w:rFonts w:ascii="Arial" w:hAnsi="Arial" w:cs="Arial"/>
        </w:rPr>
        <w:t>Beyond ECM biomimicry, co-culture systems incorporating tumor-associated fibroblasts (CAFs), immune cells, and endothelialized vascular structures are bridging the gap between in vitro and in vivo tumor complexity (16). Cutting-edge vascularized tumor-on-a-chip models integrate 3D bioprinting and microfluidics to replicate dynamic flow conditions, enabling more accurate modeling of drug delivery, immune infiltration, and metastasis (17). For example, breast cancer-on-chip systems integrating CAFs and macrophages have revealed critical immune interactions influencing therapeutic response (18). Similarly, perfusable pancreatic tumor organoids have been used to study the impact of hypoxia and interstitial fluid pressure on chemotherapy penetration (19). Notably, perfusable tumor organoid platforms with functional vasculature are enhancing drug screening precision by capturing the influence of interstitial fluid dynamics on tumor progression (20). With continuous advancements in biomaterials, microfluidics, and AI-driven high-content screening, next-generation 3D tumor models are revolutionizing cancer research (21). The convergence of bioengineering and personalized oncology is paving the way for physiologically relevant, scalable, and patient-specific in vitro platforms that enhance drug discovery, biomarker validation, and individualized therapeutic strategies (22).</w:t>
      </w:r>
    </w:p>
    <w:p w14:paraId="2190D27F" w14:textId="77777777" w:rsidR="00ED7AE5" w:rsidRDefault="00ED7AE5" w:rsidP="00441B6F">
      <w:pPr>
        <w:pStyle w:val="Body"/>
        <w:spacing w:after="0"/>
        <w:rPr>
          <w:rFonts w:ascii="Arial" w:hAnsi="Arial" w:cs="Arial"/>
        </w:rPr>
      </w:pPr>
    </w:p>
    <w:p w14:paraId="546E16E8" w14:textId="2BAAE2B9" w:rsidR="00ED7AE5" w:rsidRPr="00ED7AE5" w:rsidRDefault="00ED7AE5" w:rsidP="00441B6F">
      <w:pPr>
        <w:pStyle w:val="Body"/>
        <w:spacing w:after="0"/>
        <w:rPr>
          <w:rFonts w:ascii="Arial" w:hAnsi="Arial" w:cs="Arial"/>
          <w:b/>
          <w:bCs/>
        </w:rPr>
      </w:pPr>
      <w:r w:rsidRPr="00ED7AE5">
        <w:rPr>
          <w:rFonts w:ascii="Arial" w:hAnsi="Arial" w:cs="Arial"/>
          <w:b/>
          <w:bCs/>
        </w:rPr>
        <w:t>2. Next-Gen Organotypic Models</w:t>
      </w:r>
    </w:p>
    <w:p w14:paraId="10DAE16A" w14:textId="77777777" w:rsidR="00ED7AE5" w:rsidRDefault="00ED7AE5" w:rsidP="00441B6F">
      <w:pPr>
        <w:pStyle w:val="Body"/>
        <w:spacing w:after="0"/>
        <w:rPr>
          <w:rFonts w:ascii="Arial" w:hAnsi="Arial" w:cs="Arial"/>
        </w:rPr>
      </w:pPr>
    </w:p>
    <w:p w14:paraId="220F96D5" w14:textId="77777777" w:rsidR="00ED7AE5" w:rsidRPr="00ED7AE5" w:rsidRDefault="00ED7AE5" w:rsidP="00ED7AE5">
      <w:pPr>
        <w:pStyle w:val="Body"/>
        <w:rPr>
          <w:rFonts w:ascii="Arial" w:hAnsi="Arial" w:cs="Arial"/>
        </w:rPr>
      </w:pPr>
      <w:r w:rsidRPr="00ED7AE5">
        <w:rPr>
          <w:rFonts w:ascii="Arial" w:hAnsi="Arial" w:cs="Arial"/>
        </w:rPr>
        <w:t xml:space="preserve">The convergence of 3D bioprinting technologies with microfluidic systems has significantly advanced the development of organotypic in vitro models, particularly for cancer research (23). This integration facilitates the creation of anatomically precise, tumor-sized constructs using bioinks that mimic the extracellular matrix (ECM), incorporating various cell types, including tumor and stromal cells (24). Such constructs enable automated fabrication of biomimetic microtumors with spatially controlled cellular organization, high-resolution architecture resembling human structures (e.g., vasculature, tumor masses, stromal </w:t>
      </w:r>
      <w:r w:rsidRPr="00ED7AE5">
        <w:rPr>
          <w:rFonts w:ascii="Arial" w:hAnsi="Arial" w:cs="Arial"/>
        </w:rPr>
        <w:lastRenderedPageBreak/>
        <w:t>compartments), and essential biochemical and biophysical properties, all of which are crucial for accurate therapeutic screening (25). Recent advancements have expanded the repertoire of biomaterials for bioink formulation, including collagen, gelatin, hyaluronic acid, alginate, chitosan, and tissue-derived decellularized ECM (dECM) (26). These materials support the creation of complex constructs with high fidelity, accommodating living cells effectively (27). For instance, extrusion-based 3D bioprinting has been utilized to fabricate mini-brain models of glioblastoma that combine cancer cells with immune cells like macrophages, providing a more anatomically relevant scale compared to standard 3D spheroids (28). This approach allows researchers to investigate intercellular interactions and the role of macrophages in cancer cell proliferation, migration, and therapeutic responses (29). Additionally, advanced stereolithographic 3D bioprinting, coupled with programmable digital masks, has been employed to generate complex and biomimetic hepatic models that replicate the hexagonal lobular structures of native human liver tissue and express key biomarkers (30). The precise patterning of cellular organization in these models offers a valuable platform for studying tumor-specific metastasis to liver tissues in an integrative manner.</w:t>
      </w:r>
    </w:p>
    <w:p w14:paraId="4A641F76" w14:textId="4B1A2386" w:rsidR="00ED7AE5" w:rsidRDefault="00ED7AE5" w:rsidP="00ED7AE5">
      <w:pPr>
        <w:pStyle w:val="Body"/>
        <w:spacing w:after="0"/>
        <w:rPr>
          <w:rFonts w:ascii="Arial" w:hAnsi="Arial" w:cs="Arial"/>
        </w:rPr>
      </w:pPr>
      <w:r w:rsidRPr="00ED7AE5">
        <w:rPr>
          <w:rFonts w:ascii="Arial" w:hAnsi="Arial" w:cs="Arial"/>
        </w:rPr>
        <w:t xml:space="preserve">Despite these advancements, many current approaches lack the incorporation of dynamic fluid cues present in the tumor microenvironment (TME) (31). Introducing fluid flow and associated shear stress has been shown to influence cancer cell proliferation and phenotype. Notably, cancer cells cultured in 3D settings exhibit higher drug resistance and more aggressive behaviors compared to those in static cultures (32). To address this, microfluidic cancer-on-a-chip systems have been developed to seamlessly integrate these dynamic features, enhancing the physiological relevance of in vitro cancer models (Table-1).  </w:t>
      </w:r>
    </w:p>
    <w:p w14:paraId="5C08BBA1" w14:textId="77777777" w:rsidR="00ED7AE5" w:rsidRDefault="00ED7AE5" w:rsidP="00ED7AE5">
      <w:pPr>
        <w:pStyle w:val="Body"/>
        <w:spacing w:after="0"/>
        <w:rPr>
          <w:rFonts w:ascii="Arial" w:hAnsi="Arial" w:cs="Arial"/>
        </w:rPr>
      </w:pPr>
    </w:p>
    <w:p w14:paraId="4D93B621" w14:textId="3D5CC7B5" w:rsidR="00ED7AE5" w:rsidRPr="00ED7AE5" w:rsidRDefault="00ED7AE5" w:rsidP="00ED7AE5">
      <w:pPr>
        <w:pStyle w:val="Body"/>
        <w:spacing w:after="0"/>
        <w:jc w:val="center"/>
        <w:rPr>
          <w:rFonts w:ascii="Arial" w:hAnsi="Arial" w:cs="Arial"/>
          <w:b/>
          <w:bCs/>
        </w:rPr>
      </w:pPr>
      <w:r>
        <w:rPr>
          <w:rFonts w:ascii="Arial" w:hAnsi="Arial"/>
          <w:b/>
        </w:rPr>
        <w:t xml:space="preserve">Table 1. </w:t>
      </w:r>
      <w:r w:rsidRPr="00ED7AE5">
        <w:rPr>
          <w:rFonts w:ascii="Arial" w:hAnsi="Arial" w:cs="Arial"/>
          <w:b/>
          <w:bCs/>
        </w:rPr>
        <w:t>Biomaterials and Bioinks for 3D Bioprinting in Disease Modeling</w:t>
      </w:r>
    </w:p>
    <w:p w14:paraId="6D37C6AD" w14:textId="77777777" w:rsidR="00ED7AE5" w:rsidRDefault="00ED7AE5" w:rsidP="00441B6F">
      <w:pPr>
        <w:pStyle w:val="Body"/>
        <w:spacing w:after="0"/>
        <w:rPr>
          <w:rFonts w:ascii="Arial" w:hAnsi="Arial" w:cs="Arial"/>
        </w:rPr>
      </w:pP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091"/>
        <w:gridCol w:w="1886"/>
        <w:gridCol w:w="2172"/>
        <w:gridCol w:w="2275"/>
      </w:tblGrid>
      <w:tr w:rsidR="00ED7AE5" w:rsidRPr="00454ACA" w14:paraId="52FF063B" w14:textId="77777777" w:rsidTr="00ED7AE5">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vAlign w:val="center"/>
          </w:tcPr>
          <w:p w14:paraId="59046043" w14:textId="77777777" w:rsidR="00ED7AE5" w:rsidRPr="00ED7AE5" w:rsidRDefault="00ED7AE5" w:rsidP="00ED7AE5">
            <w:pPr>
              <w:jc w:val="center"/>
              <w:rPr>
                <w:rFonts w:ascii="Arial" w:hAnsi="Arial"/>
                <w:bCs w:val="0"/>
              </w:rPr>
            </w:pPr>
            <w:r w:rsidRPr="00ED7AE5">
              <w:rPr>
                <w:rFonts w:ascii="Arial" w:hAnsi="Arial"/>
                <w:bCs w:val="0"/>
              </w:rPr>
              <w:t>Biomaterial Type</w:t>
            </w:r>
          </w:p>
        </w:tc>
        <w:tc>
          <w:tcPr>
            <w:tcW w:w="1994" w:type="dxa"/>
            <w:tcBorders>
              <w:top w:val="single" w:sz="4" w:space="0" w:color="auto"/>
              <w:bottom w:val="single" w:sz="4" w:space="0" w:color="auto"/>
            </w:tcBorders>
            <w:vAlign w:val="center"/>
          </w:tcPr>
          <w:p w14:paraId="17EDD80A"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Examples</w:t>
            </w:r>
          </w:p>
        </w:tc>
        <w:tc>
          <w:tcPr>
            <w:tcW w:w="2268" w:type="dxa"/>
            <w:tcBorders>
              <w:top w:val="single" w:sz="4" w:space="0" w:color="auto"/>
              <w:bottom w:val="single" w:sz="4" w:space="0" w:color="auto"/>
            </w:tcBorders>
            <w:vAlign w:val="center"/>
          </w:tcPr>
          <w:p w14:paraId="1A85A81D"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Key Properties</w:t>
            </w:r>
          </w:p>
        </w:tc>
        <w:tc>
          <w:tcPr>
            <w:tcW w:w="2500" w:type="dxa"/>
            <w:tcBorders>
              <w:top w:val="single" w:sz="4" w:space="0" w:color="auto"/>
              <w:bottom w:val="single" w:sz="4" w:space="0" w:color="auto"/>
            </w:tcBorders>
            <w:vAlign w:val="center"/>
          </w:tcPr>
          <w:p w14:paraId="148F2805"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Applications</w:t>
            </w:r>
          </w:p>
        </w:tc>
      </w:tr>
      <w:tr w:rsidR="00ED7AE5" w:rsidRPr="00454ACA" w14:paraId="1641D5C8" w14:textId="77777777" w:rsidTr="00ED7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none" w:sz="0" w:space="0" w:color="auto"/>
            </w:tcBorders>
            <w:vAlign w:val="center"/>
          </w:tcPr>
          <w:p w14:paraId="1C9EEB0A" w14:textId="77777777" w:rsidR="00ED7AE5" w:rsidRPr="00ED7AE5" w:rsidRDefault="00ED7AE5" w:rsidP="00ED7AE5">
            <w:pPr>
              <w:jc w:val="center"/>
              <w:rPr>
                <w:rFonts w:ascii="Arial" w:hAnsi="Arial"/>
                <w:b w:val="0"/>
              </w:rPr>
            </w:pPr>
            <w:r w:rsidRPr="00ED7AE5">
              <w:rPr>
                <w:rFonts w:ascii="Arial" w:hAnsi="Arial"/>
                <w:b w:val="0"/>
              </w:rPr>
              <w:t>Natural Polymers</w:t>
            </w:r>
          </w:p>
        </w:tc>
        <w:tc>
          <w:tcPr>
            <w:tcW w:w="1994" w:type="dxa"/>
            <w:tcBorders>
              <w:top w:val="single" w:sz="4" w:space="0" w:color="auto"/>
              <w:bottom w:val="none" w:sz="0" w:space="0" w:color="auto"/>
            </w:tcBorders>
            <w:vAlign w:val="center"/>
          </w:tcPr>
          <w:p w14:paraId="17AB9DC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rPr>
              <w:t>Collagen, Gelatin, Hyaluronic Acid, Alginate, Chitosan</w:t>
            </w:r>
          </w:p>
        </w:tc>
        <w:tc>
          <w:tcPr>
            <w:tcW w:w="2268" w:type="dxa"/>
            <w:tcBorders>
              <w:top w:val="single" w:sz="4" w:space="0" w:color="auto"/>
              <w:bottom w:val="none" w:sz="0" w:space="0" w:color="auto"/>
            </w:tcBorders>
            <w:vAlign w:val="center"/>
          </w:tcPr>
          <w:p w14:paraId="2DD179AC"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Biocompatibility, ECM mimicry, Cell adhesion</w:t>
            </w:r>
          </w:p>
        </w:tc>
        <w:tc>
          <w:tcPr>
            <w:tcW w:w="2500" w:type="dxa"/>
            <w:tcBorders>
              <w:top w:val="single" w:sz="4" w:space="0" w:color="auto"/>
              <w:bottom w:val="none" w:sz="0" w:space="0" w:color="auto"/>
            </w:tcBorders>
            <w:vAlign w:val="center"/>
          </w:tcPr>
          <w:p w14:paraId="583577C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Tumor modeling, Tissue engineering, Drug screening</w:t>
            </w:r>
          </w:p>
        </w:tc>
      </w:tr>
      <w:tr w:rsidR="00ED7AE5" w:rsidRPr="00454ACA" w14:paraId="791E2446" w14:textId="77777777" w:rsidTr="00ED7AE5">
        <w:tc>
          <w:tcPr>
            <w:cnfStyle w:val="001000000000" w:firstRow="0" w:lastRow="0" w:firstColumn="1" w:lastColumn="0" w:oddVBand="0" w:evenVBand="0" w:oddHBand="0" w:evenHBand="0" w:firstRowFirstColumn="0" w:firstRowLastColumn="0" w:lastRowFirstColumn="0" w:lastRowLastColumn="0"/>
            <w:tcW w:w="2254" w:type="dxa"/>
            <w:vAlign w:val="center"/>
          </w:tcPr>
          <w:p w14:paraId="76B3191E" w14:textId="77777777" w:rsidR="00ED7AE5" w:rsidRPr="00ED7AE5" w:rsidRDefault="00ED7AE5" w:rsidP="00ED7AE5">
            <w:pPr>
              <w:jc w:val="center"/>
              <w:rPr>
                <w:rFonts w:ascii="Arial" w:hAnsi="Arial"/>
                <w:b w:val="0"/>
              </w:rPr>
            </w:pPr>
            <w:r w:rsidRPr="00ED7AE5">
              <w:rPr>
                <w:rFonts w:ascii="Arial" w:hAnsi="Arial"/>
                <w:b w:val="0"/>
              </w:rPr>
              <w:t>Synthetic Polymers</w:t>
            </w:r>
          </w:p>
        </w:tc>
        <w:tc>
          <w:tcPr>
            <w:tcW w:w="1994" w:type="dxa"/>
            <w:vAlign w:val="center"/>
          </w:tcPr>
          <w:p w14:paraId="4FD78E55"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PEG, PLGA, PCL</w:t>
            </w:r>
          </w:p>
        </w:tc>
        <w:tc>
          <w:tcPr>
            <w:tcW w:w="2268" w:type="dxa"/>
            <w:vAlign w:val="center"/>
          </w:tcPr>
          <w:p w14:paraId="1B7C253A"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Controlled degradation, Tunable mechanics</w:t>
            </w:r>
          </w:p>
        </w:tc>
        <w:tc>
          <w:tcPr>
            <w:tcW w:w="2500" w:type="dxa"/>
            <w:vAlign w:val="center"/>
          </w:tcPr>
          <w:p w14:paraId="04ACED74"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Scaffold fabrication, Drug delivery, Tissue engineering</w:t>
            </w:r>
          </w:p>
        </w:tc>
      </w:tr>
      <w:tr w:rsidR="00ED7AE5" w:rsidRPr="00454ACA" w14:paraId="6ECD1430" w14:textId="77777777" w:rsidTr="00ED7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none" w:sz="0" w:space="0" w:color="auto"/>
            </w:tcBorders>
            <w:vAlign w:val="center"/>
          </w:tcPr>
          <w:p w14:paraId="146286EC" w14:textId="77777777" w:rsidR="00ED7AE5" w:rsidRPr="00ED7AE5" w:rsidRDefault="00ED7AE5" w:rsidP="00ED7AE5">
            <w:pPr>
              <w:jc w:val="center"/>
              <w:rPr>
                <w:rFonts w:ascii="Arial" w:hAnsi="Arial"/>
                <w:b w:val="0"/>
              </w:rPr>
            </w:pPr>
            <w:r w:rsidRPr="00ED7AE5">
              <w:rPr>
                <w:rFonts w:ascii="Arial" w:hAnsi="Arial"/>
                <w:b w:val="0"/>
              </w:rPr>
              <w:t>Decellularized ECM (dECM)</w:t>
            </w:r>
          </w:p>
        </w:tc>
        <w:tc>
          <w:tcPr>
            <w:tcW w:w="1994" w:type="dxa"/>
            <w:tcBorders>
              <w:top w:val="none" w:sz="0" w:space="0" w:color="auto"/>
              <w:bottom w:val="none" w:sz="0" w:space="0" w:color="auto"/>
            </w:tcBorders>
            <w:vAlign w:val="center"/>
          </w:tcPr>
          <w:p w14:paraId="22DEB805"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Liver dECM, Cardiac dECM, Tumor dECM</w:t>
            </w:r>
          </w:p>
        </w:tc>
        <w:tc>
          <w:tcPr>
            <w:tcW w:w="2268" w:type="dxa"/>
            <w:tcBorders>
              <w:top w:val="none" w:sz="0" w:space="0" w:color="auto"/>
              <w:bottom w:val="none" w:sz="0" w:space="0" w:color="auto"/>
            </w:tcBorders>
            <w:vAlign w:val="center"/>
          </w:tcPr>
          <w:p w14:paraId="554658B4"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Tissue-specific biomimicry, Rich in growth factors</w:t>
            </w:r>
          </w:p>
        </w:tc>
        <w:tc>
          <w:tcPr>
            <w:tcW w:w="2500" w:type="dxa"/>
            <w:tcBorders>
              <w:top w:val="none" w:sz="0" w:space="0" w:color="auto"/>
              <w:bottom w:val="none" w:sz="0" w:space="0" w:color="auto"/>
            </w:tcBorders>
            <w:vAlign w:val="center"/>
          </w:tcPr>
          <w:p w14:paraId="06C5D6C6"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Organ-specific disease modeling, Personalized medicine</w:t>
            </w:r>
          </w:p>
        </w:tc>
      </w:tr>
      <w:tr w:rsidR="00ED7AE5" w:rsidRPr="00454ACA" w14:paraId="31B2B8FF" w14:textId="77777777" w:rsidTr="00ED7AE5">
        <w:tc>
          <w:tcPr>
            <w:cnfStyle w:val="001000000000" w:firstRow="0" w:lastRow="0" w:firstColumn="1" w:lastColumn="0" w:oddVBand="0" w:evenVBand="0" w:oddHBand="0" w:evenHBand="0" w:firstRowFirstColumn="0" w:firstRowLastColumn="0" w:lastRowFirstColumn="0" w:lastRowLastColumn="0"/>
            <w:tcW w:w="2254" w:type="dxa"/>
            <w:vAlign w:val="center"/>
          </w:tcPr>
          <w:p w14:paraId="4C8C605C" w14:textId="77777777" w:rsidR="00ED7AE5" w:rsidRPr="00ED7AE5" w:rsidRDefault="00ED7AE5" w:rsidP="00ED7AE5">
            <w:pPr>
              <w:jc w:val="center"/>
              <w:rPr>
                <w:rFonts w:ascii="Arial" w:hAnsi="Arial"/>
                <w:b w:val="0"/>
              </w:rPr>
            </w:pPr>
            <w:r w:rsidRPr="00ED7AE5">
              <w:rPr>
                <w:rFonts w:ascii="Arial" w:hAnsi="Arial"/>
                <w:b w:val="0"/>
              </w:rPr>
              <w:t>Composite Bioinks</w:t>
            </w:r>
          </w:p>
        </w:tc>
        <w:tc>
          <w:tcPr>
            <w:tcW w:w="1994" w:type="dxa"/>
            <w:vAlign w:val="center"/>
          </w:tcPr>
          <w:p w14:paraId="40598B0E"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Hybrid hydrogels, Nanomaterial-infused bioinks</w:t>
            </w:r>
          </w:p>
        </w:tc>
        <w:tc>
          <w:tcPr>
            <w:tcW w:w="2268" w:type="dxa"/>
            <w:vAlign w:val="center"/>
          </w:tcPr>
          <w:p w14:paraId="46386590"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Enhanced mechanical stability, Tunable biophysical properties</w:t>
            </w:r>
          </w:p>
        </w:tc>
        <w:tc>
          <w:tcPr>
            <w:tcW w:w="2500" w:type="dxa"/>
            <w:vAlign w:val="center"/>
          </w:tcPr>
          <w:p w14:paraId="7C9D181B"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Complex tissue engineering, Vascularized constructs</w:t>
            </w:r>
          </w:p>
        </w:tc>
      </w:tr>
      <w:tr w:rsidR="00ED7AE5" w:rsidRPr="00454ACA" w14:paraId="121F348A" w14:textId="77777777" w:rsidTr="00ED7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single" w:sz="4" w:space="0" w:color="auto"/>
            </w:tcBorders>
            <w:vAlign w:val="center"/>
          </w:tcPr>
          <w:p w14:paraId="306FEBC6" w14:textId="77777777" w:rsidR="00ED7AE5" w:rsidRPr="00ED7AE5" w:rsidRDefault="00ED7AE5" w:rsidP="00ED7AE5">
            <w:pPr>
              <w:jc w:val="center"/>
              <w:rPr>
                <w:rFonts w:ascii="Arial" w:hAnsi="Arial"/>
                <w:b w:val="0"/>
              </w:rPr>
            </w:pPr>
            <w:r w:rsidRPr="00ED7AE5">
              <w:rPr>
                <w:rFonts w:ascii="Arial" w:hAnsi="Arial"/>
                <w:b w:val="0"/>
              </w:rPr>
              <w:t>Cell-Laden Bioinks</w:t>
            </w:r>
          </w:p>
        </w:tc>
        <w:tc>
          <w:tcPr>
            <w:tcW w:w="1994" w:type="dxa"/>
            <w:tcBorders>
              <w:top w:val="none" w:sz="0" w:space="0" w:color="auto"/>
              <w:bottom w:val="single" w:sz="4" w:space="0" w:color="auto"/>
            </w:tcBorders>
            <w:vAlign w:val="center"/>
          </w:tcPr>
          <w:p w14:paraId="50B4DC4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Tumor-stroma co-culture bioinks, Immune-integrated bioinks</w:t>
            </w:r>
          </w:p>
        </w:tc>
        <w:tc>
          <w:tcPr>
            <w:tcW w:w="2268" w:type="dxa"/>
            <w:tcBorders>
              <w:top w:val="none" w:sz="0" w:space="0" w:color="auto"/>
              <w:bottom w:val="single" w:sz="4" w:space="0" w:color="auto"/>
            </w:tcBorders>
            <w:vAlign w:val="center"/>
          </w:tcPr>
          <w:p w14:paraId="457459DA"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Cellular heterogeneity, Tumor-microenvironment interactions</w:t>
            </w:r>
          </w:p>
        </w:tc>
        <w:tc>
          <w:tcPr>
            <w:tcW w:w="2500" w:type="dxa"/>
            <w:tcBorders>
              <w:top w:val="none" w:sz="0" w:space="0" w:color="auto"/>
              <w:bottom w:val="single" w:sz="4" w:space="0" w:color="auto"/>
            </w:tcBorders>
            <w:vAlign w:val="center"/>
          </w:tcPr>
          <w:p w14:paraId="1BA7DEE8"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Immuno-oncology models, Personalized therapy screening</w:t>
            </w:r>
          </w:p>
        </w:tc>
      </w:tr>
    </w:tbl>
    <w:p w14:paraId="79D6B313" w14:textId="77777777" w:rsidR="00ED7AE5" w:rsidRDefault="00ED7AE5" w:rsidP="00441B6F">
      <w:pPr>
        <w:pStyle w:val="Body"/>
        <w:spacing w:after="0"/>
        <w:rPr>
          <w:rFonts w:ascii="Arial" w:hAnsi="Arial" w:cs="Arial"/>
        </w:rPr>
      </w:pPr>
    </w:p>
    <w:p w14:paraId="58B5FA85" w14:textId="252149BD" w:rsidR="00ED7AE5" w:rsidRPr="00ED7AE5" w:rsidRDefault="00ED7AE5" w:rsidP="00ED7AE5">
      <w:pPr>
        <w:pStyle w:val="Body"/>
        <w:rPr>
          <w:rFonts w:ascii="Arial" w:hAnsi="Arial" w:cs="Arial"/>
        </w:rPr>
      </w:pPr>
      <w:r w:rsidRPr="00ED7AE5">
        <w:rPr>
          <w:rFonts w:ascii="Arial" w:hAnsi="Arial" w:cs="Arial"/>
          <w:b/>
          <w:bCs/>
        </w:rPr>
        <w:t>Bioprinted Cancer-on-Chip Evolution:</w:t>
      </w:r>
      <w:r>
        <w:rPr>
          <w:rFonts w:ascii="Arial" w:hAnsi="Arial" w:cs="Arial"/>
        </w:rPr>
        <w:t xml:space="preserve"> </w:t>
      </w:r>
      <w:r w:rsidRPr="00ED7AE5">
        <w:rPr>
          <w:rFonts w:ascii="Arial" w:hAnsi="Arial" w:cs="Arial"/>
        </w:rPr>
        <w:t xml:space="preserve">The integration of 3D bioprinting with microfluidic organ-on-a-chip technologies has significantly enhanced the ability to recreate physiologically relevant tumor microenvironments (TME) (33). These platforms replicate tumor-stroma interactions within extracellular matrix (ECM)-mimetic hydrogels, dynamically controlling biochemical and biophysical parameters such as pH, oxygen gradients, nutrient flow, and immune cell migration (34). Advanced microphysiological systems allow precise </w:t>
      </w:r>
      <w:r w:rsidRPr="00ED7AE5">
        <w:rPr>
          <w:rFonts w:ascii="Arial" w:hAnsi="Arial" w:cs="Arial"/>
        </w:rPr>
        <w:lastRenderedPageBreak/>
        <w:t>modulation of mechanical forces and spatially controlled chemical gradients, enabling real-time analysis of cancer cell invasion (35). However, a critical challenge remains in engineering complex 3D vascular networks within organ-on-a-chip systems to fully replicate in vivo conditions (36). To address this, synergistic combinations of 3D bioprinting and microfluidic platforms have emerged, allowing the creation of vascularized, patient-specific tumor models with superior biomimicry (37). Bioprinting enables the fabrication of vessel-like tubular constructs, integrating human umbilical vein endothelial cells (HUVECs) along with supporting fibroblasts and pericytes to develop multi-layered vasculature (38). Additionally, ECM components with tunable mechanical properties significantly enhance tumor vasculature modeling (39). In this context, recent innovations include the fabrication of perfusable PDMS microfluidic devices using nanoclay-reinforced Pluronic F-127 ink as a sacrificial biomaterial, enabling the creation of blood vessel-on-a-chip with uniform diameters and circular cross-sections (40).</w:t>
      </w:r>
    </w:p>
    <w:p w14:paraId="692A5DBE" w14:textId="5858A8B1" w:rsidR="00ED7AE5" w:rsidRDefault="00ED7AE5" w:rsidP="00ED7AE5">
      <w:pPr>
        <w:pStyle w:val="Body"/>
        <w:spacing w:after="0"/>
        <w:rPr>
          <w:rFonts w:ascii="Arial" w:hAnsi="Arial" w:cs="Arial"/>
        </w:rPr>
      </w:pPr>
      <w:r w:rsidRPr="00ED7AE5">
        <w:rPr>
          <w:rFonts w:ascii="Arial" w:hAnsi="Arial" w:cs="Arial"/>
        </w:rPr>
        <w:t>This technological convergence eliminates traditional limitations in microfluidic chip production, allowing real-time customization of multi-sized, tortuous vessel structures, essential for accurately modeling aberrant tumor vasculature (41). Furthermore, bioprinting-on-chip facilitates the deposition of ECM-mimetic bioinks with precise spatial control, overcoming challenges posed by conventional cell seeding methods (42). These advancements position 3D-bioprinted cancer-on-a-chip platforms as next-generation tumor models, offering unparalleled biomimicry, therapeutic predictability, and high-throughput drug screening capabilities, paving the way for precision oncology applications (43).</w:t>
      </w:r>
    </w:p>
    <w:p w14:paraId="67698BC9" w14:textId="77777777" w:rsidR="00ED7AE5" w:rsidRDefault="00ED7AE5" w:rsidP="00441B6F">
      <w:pPr>
        <w:pStyle w:val="Body"/>
        <w:spacing w:after="0"/>
        <w:rPr>
          <w:rFonts w:ascii="Arial" w:hAnsi="Arial" w:cs="Arial"/>
        </w:rPr>
      </w:pPr>
    </w:p>
    <w:p w14:paraId="1659C3FE" w14:textId="5A0EFAAD" w:rsidR="00ED7AE5" w:rsidRPr="00ED7AE5" w:rsidRDefault="00ED7AE5" w:rsidP="00441B6F">
      <w:pPr>
        <w:pStyle w:val="Body"/>
        <w:spacing w:after="0"/>
        <w:rPr>
          <w:rFonts w:ascii="Arial" w:hAnsi="Arial" w:cs="Arial"/>
          <w:b/>
          <w:bCs/>
        </w:rPr>
      </w:pPr>
      <w:r w:rsidRPr="00ED7AE5">
        <w:rPr>
          <w:rFonts w:ascii="Arial" w:hAnsi="Arial" w:cs="Arial"/>
          <w:b/>
          <w:bCs/>
        </w:rPr>
        <w:t>3. Design considerations for 3D-bioprinted cancer-on-a-chip organotypic models</w:t>
      </w:r>
    </w:p>
    <w:p w14:paraId="65CE40CC" w14:textId="77777777" w:rsidR="00ED7AE5" w:rsidRDefault="00ED7AE5" w:rsidP="00441B6F">
      <w:pPr>
        <w:pStyle w:val="Body"/>
        <w:spacing w:after="0"/>
        <w:rPr>
          <w:rFonts w:ascii="Arial" w:hAnsi="Arial" w:cs="Arial"/>
        </w:rPr>
      </w:pPr>
    </w:p>
    <w:p w14:paraId="5F918F1E" w14:textId="48BB439C" w:rsidR="00ED7AE5" w:rsidRDefault="00ED7AE5" w:rsidP="00441B6F">
      <w:pPr>
        <w:pStyle w:val="Body"/>
        <w:spacing w:after="0"/>
        <w:rPr>
          <w:rFonts w:ascii="Arial" w:hAnsi="Arial" w:cs="Arial"/>
        </w:rPr>
      </w:pPr>
      <w:r w:rsidRPr="00ED7AE5">
        <w:rPr>
          <w:rFonts w:ascii="Arial" w:hAnsi="Arial" w:cs="Arial"/>
        </w:rPr>
        <w:t>Designing effective 3D-bioprinted cancer-on-a-chip models necessitates careful consideration of various factors to accurately replicate the tumor microenvironment (TME) and enhance the predictive value of in vitro studies (44). Key considerations include:</w:t>
      </w:r>
    </w:p>
    <w:p w14:paraId="2C84CCE6" w14:textId="77777777" w:rsidR="00ED7AE5" w:rsidRDefault="00ED7AE5" w:rsidP="00441B6F">
      <w:pPr>
        <w:pStyle w:val="Body"/>
        <w:spacing w:after="0"/>
        <w:rPr>
          <w:rFonts w:ascii="Arial" w:hAnsi="Arial" w:cs="Arial"/>
        </w:rPr>
      </w:pPr>
    </w:p>
    <w:p w14:paraId="252C698B" w14:textId="7B8B5FCA" w:rsidR="00ED7AE5" w:rsidRPr="00ED7AE5" w:rsidRDefault="00ED7AE5" w:rsidP="00ED7AE5">
      <w:pPr>
        <w:pStyle w:val="Body"/>
        <w:rPr>
          <w:rFonts w:ascii="Arial" w:hAnsi="Arial" w:cs="Arial"/>
          <w:b/>
          <w:bCs/>
        </w:rPr>
      </w:pPr>
      <w:r w:rsidRPr="00ED7AE5">
        <w:rPr>
          <w:rFonts w:ascii="Arial" w:hAnsi="Arial" w:cs="Arial"/>
          <w:b/>
          <w:bCs/>
        </w:rPr>
        <w:t xml:space="preserve">3.1. Tumor Microenvironment (TME) Replication: </w:t>
      </w:r>
    </w:p>
    <w:p w14:paraId="5B253266" w14:textId="10439FCA" w:rsidR="00C2184D" w:rsidRPr="00C2184D" w:rsidRDefault="00C2184D" w:rsidP="00C2184D">
      <w:pPr>
        <w:pStyle w:val="Body"/>
        <w:rPr>
          <w:rFonts w:ascii="Arial" w:hAnsi="Arial" w:cs="Arial"/>
          <w:highlight w:val="yellow"/>
          <w:lang w:val="en-IN"/>
        </w:rPr>
      </w:pPr>
      <w:r w:rsidRPr="00C2184D">
        <w:rPr>
          <w:rFonts w:ascii="Arial" w:hAnsi="Arial" w:cs="Arial"/>
          <w:highlight w:val="yellow"/>
          <w:lang w:val="en-IN"/>
        </w:rPr>
        <w:t>The tumor microenvironment (TME) is a central regulator of cancer growth, dissemination, and therapeutic resistance. Reconstructing this complexity within 3D-bioprinted cancer-on-a-chip platforms is essential for producing physiologically meaningful in vitro models (45). Such systems typically integrate multiple components</w:t>
      </w:r>
      <w:r w:rsidRPr="00C2184D">
        <w:rPr>
          <w:rFonts w:ascii="Arial" w:hAnsi="Arial" w:cs="Arial"/>
          <w:highlight w:val="yellow"/>
          <w:lang w:val="en-IN"/>
        </w:rPr>
        <w:t xml:space="preserve"> </w:t>
      </w:r>
      <w:r w:rsidRPr="00C2184D">
        <w:rPr>
          <w:rFonts w:ascii="Arial" w:hAnsi="Arial" w:cs="Arial"/>
          <w:highlight w:val="yellow"/>
          <w:lang w:val="en-IN"/>
        </w:rPr>
        <w:t>cancer cells, cancer stem cells (CSCs), stromal elements, extracellular matrix (ECM), and vascular structures (46). Cancer cells serve as the core of the tumor mass, carrying diverse genetic and epigenetic alterations that shape treatment outcomes. CSCs form a small but influential subpopulation with self-renewal capacity and are closely tied to recurrence and drug resistance, often requiring specialized supportive niches (47).</w:t>
      </w:r>
    </w:p>
    <w:p w14:paraId="3D0B49D2" w14:textId="7A0914BE" w:rsidR="00C2184D" w:rsidRPr="00C2184D" w:rsidRDefault="00C2184D" w:rsidP="00C2184D">
      <w:pPr>
        <w:pStyle w:val="Body"/>
        <w:rPr>
          <w:rFonts w:ascii="Arial" w:hAnsi="Arial" w:cs="Arial"/>
          <w:highlight w:val="yellow"/>
          <w:lang w:val="en-IN"/>
        </w:rPr>
      </w:pPr>
      <w:r w:rsidRPr="00C2184D">
        <w:rPr>
          <w:rFonts w:ascii="Arial" w:hAnsi="Arial" w:cs="Arial"/>
          <w:highlight w:val="yellow"/>
          <w:lang w:val="en-IN"/>
        </w:rPr>
        <w:t>Stromal populations, including fibroblasts, immune cells, and endothelial cells, participate actively in tumor maintenance (48). Among them, cancer-associated fibroblasts (CAFs) promote angiogenesis, immune modulation, and matrix remodeling. The ECM</w:t>
      </w:r>
      <w:r w:rsidRPr="00C2184D">
        <w:rPr>
          <w:rFonts w:ascii="Arial" w:hAnsi="Arial" w:cs="Arial"/>
          <w:highlight w:val="yellow"/>
          <w:lang w:val="en-IN"/>
        </w:rPr>
        <w:t xml:space="preserve"> </w:t>
      </w:r>
      <w:r w:rsidRPr="00C2184D">
        <w:rPr>
          <w:rFonts w:ascii="Arial" w:hAnsi="Arial" w:cs="Arial"/>
          <w:highlight w:val="yellow"/>
          <w:lang w:val="en-IN"/>
        </w:rPr>
        <w:t>rich in collagen, laminin, and fibronectin</w:t>
      </w:r>
      <w:r w:rsidRPr="00C2184D">
        <w:rPr>
          <w:rFonts w:ascii="Arial" w:hAnsi="Arial" w:cs="Arial"/>
          <w:highlight w:val="yellow"/>
          <w:lang w:val="en-IN"/>
        </w:rPr>
        <w:t xml:space="preserve"> </w:t>
      </w:r>
      <w:r w:rsidRPr="00C2184D">
        <w:rPr>
          <w:rFonts w:ascii="Arial" w:hAnsi="Arial" w:cs="Arial"/>
          <w:highlight w:val="yellow"/>
          <w:lang w:val="en-IN"/>
        </w:rPr>
        <w:t>provides biochemical and mechanical cues that affect cell behavior, motility, and drug transport (49). To mimic vascular supply, endothelialized microchannels are incorporated to simulate blood and lymphatic flow.</w:t>
      </w:r>
    </w:p>
    <w:p w14:paraId="751BE42A" w14:textId="77777777" w:rsidR="00C2184D" w:rsidRPr="00C2184D" w:rsidRDefault="00C2184D" w:rsidP="00C2184D">
      <w:pPr>
        <w:pStyle w:val="Body"/>
        <w:rPr>
          <w:rFonts w:ascii="Arial" w:hAnsi="Arial" w:cs="Arial"/>
          <w:lang w:val="en-IN"/>
        </w:rPr>
      </w:pPr>
      <w:r w:rsidRPr="00C2184D">
        <w:rPr>
          <w:rFonts w:ascii="Arial" w:hAnsi="Arial" w:cs="Arial"/>
          <w:highlight w:val="yellow"/>
          <w:lang w:val="en-IN"/>
        </w:rPr>
        <w:t xml:space="preserve">Preserving physiologically relevant cell proportions is critical for accurate in vitro/in vivo correlation, particularly since stromal content varies across tumor types, such as the dense stroma seen in pancreatic cancer. Quantification tools, including digital imaging, AI-driven spatial analysis, advanced immunohistochemistry, and flow cytometry, support the assessment of cell distribution and organization (50). Ultimately, capturing dynamic </w:t>
      </w:r>
      <w:r w:rsidRPr="00C2184D">
        <w:rPr>
          <w:rFonts w:ascii="Arial" w:hAnsi="Arial" w:cs="Arial"/>
          <w:highlight w:val="yellow"/>
          <w:lang w:val="en-IN"/>
        </w:rPr>
        <w:lastRenderedPageBreak/>
        <w:t>interactions among cancer, immune, and stromal cells remains essential, and co-culture strategies are widely used to improve the biological relevance of these engineered tumor models (51).</w:t>
      </w:r>
    </w:p>
    <w:p w14:paraId="4631600D" w14:textId="77777777" w:rsidR="00ED7AE5" w:rsidRPr="00ED7AE5" w:rsidRDefault="00ED7AE5" w:rsidP="00ED7AE5">
      <w:pPr>
        <w:pStyle w:val="Body"/>
        <w:rPr>
          <w:rFonts w:ascii="Arial" w:hAnsi="Arial" w:cs="Arial"/>
        </w:rPr>
      </w:pPr>
      <w:r w:rsidRPr="00ED7AE5">
        <w:rPr>
          <w:rFonts w:ascii="Arial" w:hAnsi="Arial" w:cs="Arial"/>
        </w:rPr>
        <w:t xml:space="preserve">To enable patient-specific modeling, single-cell transcriptomics and mass cytometry are valuable tools. Single-cell transcriptomics allows gene expression profiling at the single-cell level, mapping tumor heterogeneity and identifying cellular subpopulations, including drug-resistant clones and tumor-initiating cells (52). Techniques such as scRNA-seq (single-cell RNA sequencing) analyze the functional states of individual cells. Mass cytometry (CyTOF), using metal-tagged antibodies, profiles multiple protein markers in individual cells and classifies immune infiltration, tumor-stroma interactions, and drug response markers (53). These advanced techniques enable the development of personalized 3D tumor models that closely mimic patient-specific tumor microenvironments, improving preclinical drug testing and personalized therapy approaches (54). </w:t>
      </w:r>
    </w:p>
    <w:p w14:paraId="1EE934EE" w14:textId="77777777" w:rsidR="00ED7AE5" w:rsidRPr="00ED7AE5" w:rsidRDefault="00ED7AE5" w:rsidP="00ED7AE5">
      <w:pPr>
        <w:pStyle w:val="Body"/>
        <w:rPr>
          <w:rFonts w:ascii="Arial" w:hAnsi="Arial" w:cs="Arial"/>
          <w:b/>
          <w:bCs/>
        </w:rPr>
      </w:pPr>
      <w:r w:rsidRPr="00ED7AE5">
        <w:rPr>
          <w:rFonts w:ascii="Arial" w:hAnsi="Arial" w:cs="Arial"/>
          <w:b/>
          <w:bCs/>
        </w:rPr>
        <w:t xml:space="preserve">3.2. Bioink Selection and ECM Composition: </w:t>
      </w:r>
    </w:p>
    <w:p w14:paraId="4E7446AE" w14:textId="4275090E" w:rsidR="00ED7AE5" w:rsidRDefault="00ED7AE5" w:rsidP="00ED7AE5">
      <w:pPr>
        <w:pStyle w:val="Body"/>
        <w:rPr>
          <w:rFonts w:ascii="Arial" w:hAnsi="Arial" w:cs="Arial"/>
        </w:rPr>
      </w:pPr>
      <w:r w:rsidRPr="00ED7AE5">
        <w:rPr>
          <w:rFonts w:ascii="Arial" w:hAnsi="Arial" w:cs="Arial"/>
        </w:rPr>
        <w:t>Extracellular matrix (ECM)-mimetic bioinks replicate the biochemical and biomechanical properties of native tumor environments. Common ECM-derived bioinks include collagen, which supports cell adhesion, proliferation, and differentiation but requires crosslinking due to poor mechanical strength; Gelatin Methacryloyl (GelMA), a photocrosslinkable bioink offering precise control over gelation and mechanical properties; Hyaluronic Acid (HA), essential for cell signaling, hydration, and migration but needing crosslinkers for stability; and Alginate, a polysaccharide with excellent biocompatibility and rapid gelation, though it lacks cell-adhesive motifs, often requiring ECM protein blending. Decellularized extracellular matrix (dECM) bioinks retain native biochemical cues, enhancing physiological relevance in tumor modeling (55). However, they exhibit weak mechanical properties, requiring reinforcement via hydrogel blending (e.g., HA, alginate, polyethylene glycol (PEG)), physical crosslinking (e.g., temperature-induced gelation), or chemical modifications for improved printability and stability. Chemical modifications enhance mechanical strength, gelation control, and bioink tunability. Methacryloyl-modified dECM (dECM-MA) enables photocrosslinking, improving construct stability. Enzyme-mediated crosslinking (e.g., transglutaminase, tyrosinase) enhances mechanical robustness while maintaining biocompatibility. Click chemistry reactions (e.g., Michael-type additions, thiol-ene) form covalent crosslinks without cytotoxicity. Photopolymerization via UV or visible light exposure allows rapid gelation and high-resolution 3D structuring (56). (Table-2)</w:t>
      </w:r>
    </w:p>
    <w:p w14:paraId="08B44387" w14:textId="2F9920B1" w:rsidR="00864CA0" w:rsidRPr="00864CA0" w:rsidRDefault="00864CA0" w:rsidP="00864CA0">
      <w:pPr>
        <w:pStyle w:val="Body"/>
        <w:jc w:val="center"/>
        <w:rPr>
          <w:rFonts w:ascii="Arial" w:hAnsi="Arial" w:cs="Arial"/>
          <w:b/>
        </w:rPr>
      </w:pPr>
      <w:r w:rsidRPr="00864CA0">
        <w:rPr>
          <w:rFonts w:ascii="Arial" w:hAnsi="Arial"/>
          <w:b/>
        </w:rPr>
        <w:t xml:space="preserve">Table 2. </w:t>
      </w:r>
      <w:r w:rsidRPr="00864CA0">
        <w:rPr>
          <w:rFonts w:ascii="Arial" w:hAnsi="Arial" w:cs="Arial"/>
          <w:b/>
        </w:rPr>
        <w:t>Bioink Types, Functions, and Modifications</w:t>
      </w:r>
    </w:p>
    <w:tbl>
      <w:tblPr>
        <w:tblStyle w:val="PlainTable2"/>
        <w:tblW w:w="9776" w:type="dxa"/>
        <w:tblBorders>
          <w:top w:val="none" w:sz="0" w:space="0" w:color="auto"/>
          <w:bottom w:val="none" w:sz="0" w:space="0" w:color="auto"/>
        </w:tblBorders>
        <w:tblLook w:val="04A0" w:firstRow="1" w:lastRow="0" w:firstColumn="1" w:lastColumn="0" w:noHBand="0" w:noVBand="1"/>
      </w:tblPr>
      <w:tblGrid>
        <w:gridCol w:w="1696"/>
        <w:gridCol w:w="2977"/>
        <w:gridCol w:w="2410"/>
        <w:gridCol w:w="2693"/>
      </w:tblGrid>
      <w:tr w:rsidR="00ED7AE5" w:rsidRPr="00864CA0" w14:paraId="6F540781" w14:textId="77777777" w:rsidTr="00864CA0">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vAlign w:val="center"/>
          </w:tcPr>
          <w:p w14:paraId="47DC0C31" w14:textId="77777777" w:rsidR="00ED7AE5" w:rsidRPr="00864CA0" w:rsidRDefault="00ED7AE5" w:rsidP="003346B1">
            <w:pPr>
              <w:jc w:val="center"/>
              <w:rPr>
                <w:rFonts w:ascii="Arial" w:hAnsi="Arial"/>
                <w:bCs w:val="0"/>
              </w:rPr>
            </w:pPr>
            <w:r w:rsidRPr="00864CA0">
              <w:rPr>
                <w:rFonts w:ascii="Arial" w:hAnsi="Arial"/>
                <w:bCs w:val="0"/>
              </w:rPr>
              <w:t>Bioink Type</w:t>
            </w:r>
          </w:p>
        </w:tc>
        <w:tc>
          <w:tcPr>
            <w:tcW w:w="2977" w:type="dxa"/>
            <w:tcBorders>
              <w:top w:val="single" w:sz="4" w:space="0" w:color="auto"/>
              <w:bottom w:val="single" w:sz="4" w:space="0" w:color="auto"/>
            </w:tcBorders>
            <w:vAlign w:val="center"/>
          </w:tcPr>
          <w:p w14:paraId="5FCC907C" w14:textId="77777777" w:rsidR="00ED7AE5" w:rsidRPr="00864CA0" w:rsidRDefault="00ED7AE5" w:rsidP="003346B1">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Function</w:t>
            </w:r>
          </w:p>
        </w:tc>
        <w:tc>
          <w:tcPr>
            <w:tcW w:w="2410" w:type="dxa"/>
            <w:tcBorders>
              <w:top w:val="single" w:sz="4" w:space="0" w:color="auto"/>
              <w:bottom w:val="single" w:sz="4" w:space="0" w:color="auto"/>
            </w:tcBorders>
            <w:vAlign w:val="center"/>
          </w:tcPr>
          <w:p w14:paraId="45CFD956" w14:textId="77777777" w:rsidR="00ED7AE5" w:rsidRPr="00864CA0" w:rsidRDefault="00ED7AE5" w:rsidP="003346B1">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Challenges</w:t>
            </w:r>
          </w:p>
        </w:tc>
        <w:tc>
          <w:tcPr>
            <w:tcW w:w="2693" w:type="dxa"/>
            <w:tcBorders>
              <w:top w:val="single" w:sz="4" w:space="0" w:color="auto"/>
              <w:bottom w:val="single" w:sz="4" w:space="0" w:color="auto"/>
            </w:tcBorders>
            <w:vAlign w:val="center"/>
          </w:tcPr>
          <w:p w14:paraId="51D18E7C" w14:textId="77777777" w:rsidR="00ED7AE5" w:rsidRPr="00864CA0" w:rsidRDefault="00ED7AE5" w:rsidP="003346B1">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Enhancement Strategies</w:t>
            </w:r>
          </w:p>
        </w:tc>
      </w:tr>
      <w:tr w:rsidR="00ED7AE5" w:rsidRPr="00864CA0" w14:paraId="004CA517"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none" w:sz="0" w:space="0" w:color="auto"/>
            </w:tcBorders>
            <w:vAlign w:val="center"/>
          </w:tcPr>
          <w:p w14:paraId="05B0E59D" w14:textId="77777777" w:rsidR="00ED7AE5" w:rsidRPr="00864CA0" w:rsidRDefault="00ED7AE5" w:rsidP="003346B1">
            <w:pPr>
              <w:jc w:val="center"/>
              <w:rPr>
                <w:rFonts w:ascii="Arial" w:hAnsi="Arial"/>
                <w:b w:val="0"/>
              </w:rPr>
            </w:pPr>
            <w:r w:rsidRPr="00864CA0">
              <w:rPr>
                <w:rFonts w:ascii="Arial" w:hAnsi="Arial"/>
                <w:b w:val="0"/>
              </w:rPr>
              <w:t>Collagen</w:t>
            </w:r>
          </w:p>
        </w:tc>
        <w:tc>
          <w:tcPr>
            <w:tcW w:w="2977" w:type="dxa"/>
            <w:tcBorders>
              <w:top w:val="single" w:sz="4" w:space="0" w:color="auto"/>
              <w:bottom w:val="none" w:sz="0" w:space="0" w:color="auto"/>
            </w:tcBorders>
            <w:vAlign w:val="center"/>
          </w:tcPr>
          <w:p w14:paraId="6E65745A"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Supports adhesion, proliferation, differentiation</w:t>
            </w:r>
          </w:p>
        </w:tc>
        <w:tc>
          <w:tcPr>
            <w:tcW w:w="2410" w:type="dxa"/>
            <w:tcBorders>
              <w:top w:val="single" w:sz="4" w:space="0" w:color="auto"/>
              <w:bottom w:val="none" w:sz="0" w:space="0" w:color="auto"/>
            </w:tcBorders>
            <w:vAlign w:val="center"/>
          </w:tcPr>
          <w:p w14:paraId="452D8300"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Weak mechanical strength</w:t>
            </w:r>
          </w:p>
        </w:tc>
        <w:tc>
          <w:tcPr>
            <w:tcW w:w="2693" w:type="dxa"/>
            <w:tcBorders>
              <w:top w:val="single" w:sz="4" w:space="0" w:color="auto"/>
              <w:bottom w:val="none" w:sz="0" w:space="0" w:color="auto"/>
            </w:tcBorders>
            <w:vAlign w:val="center"/>
          </w:tcPr>
          <w:p w14:paraId="7E077CD3"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Crosslinking with chemical agents</w:t>
            </w:r>
          </w:p>
        </w:tc>
      </w:tr>
      <w:tr w:rsidR="00ED7AE5" w:rsidRPr="00864CA0" w14:paraId="0D670D33"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17660F57" w14:textId="77777777" w:rsidR="00ED7AE5" w:rsidRPr="00864CA0" w:rsidRDefault="00ED7AE5" w:rsidP="003346B1">
            <w:pPr>
              <w:jc w:val="center"/>
              <w:rPr>
                <w:rFonts w:ascii="Arial" w:hAnsi="Arial"/>
                <w:b w:val="0"/>
              </w:rPr>
            </w:pPr>
            <w:r w:rsidRPr="00864CA0">
              <w:rPr>
                <w:rFonts w:ascii="Arial" w:hAnsi="Arial"/>
                <w:b w:val="0"/>
              </w:rPr>
              <w:t>GelMA</w:t>
            </w:r>
          </w:p>
        </w:tc>
        <w:tc>
          <w:tcPr>
            <w:tcW w:w="2977" w:type="dxa"/>
            <w:vAlign w:val="center"/>
          </w:tcPr>
          <w:p w14:paraId="416747FC"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Photocrosslinkable, tunable mechanical properties</w:t>
            </w:r>
          </w:p>
        </w:tc>
        <w:tc>
          <w:tcPr>
            <w:tcW w:w="2410" w:type="dxa"/>
            <w:vAlign w:val="center"/>
          </w:tcPr>
          <w:p w14:paraId="32416C6A"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Requires UV/visible light crosslinking</w:t>
            </w:r>
          </w:p>
        </w:tc>
        <w:tc>
          <w:tcPr>
            <w:tcW w:w="2693" w:type="dxa"/>
            <w:vAlign w:val="center"/>
          </w:tcPr>
          <w:p w14:paraId="12E8F0B5"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Photopolymerization</w:t>
            </w:r>
          </w:p>
        </w:tc>
      </w:tr>
      <w:tr w:rsidR="00ED7AE5" w:rsidRPr="00864CA0" w14:paraId="3654092F"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45720EE8" w14:textId="77777777" w:rsidR="00ED7AE5" w:rsidRPr="00864CA0" w:rsidRDefault="00ED7AE5" w:rsidP="003346B1">
            <w:pPr>
              <w:jc w:val="center"/>
              <w:rPr>
                <w:rFonts w:ascii="Arial" w:hAnsi="Arial"/>
                <w:b w:val="0"/>
              </w:rPr>
            </w:pPr>
            <w:r w:rsidRPr="00864CA0">
              <w:rPr>
                <w:rFonts w:ascii="Arial" w:hAnsi="Arial"/>
                <w:b w:val="0"/>
              </w:rPr>
              <w:t>Hyaluronic Acid</w:t>
            </w:r>
          </w:p>
        </w:tc>
        <w:tc>
          <w:tcPr>
            <w:tcW w:w="2977" w:type="dxa"/>
            <w:tcBorders>
              <w:top w:val="none" w:sz="0" w:space="0" w:color="auto"/>
              <w:bottom w:val="none" w:sz="0" w:space="0" w:color="auto"/>
            </w:tcBorders>
            <w:vAlign w:val="center"/>
          </w:tcPr>
          <w:p w14:paraId="43B2A8A8"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Regulates cell signaling, hydration, migration</w:t>
            </w:r>
          </w:p>
        </w:tc>
        <w:tc>
          <w:tcPr>
            <w:tcW w:w="2410" w:type="dxa"/>
            <w:tcBorders>
              <w:top w:val="none" w:sz="0" w:space="0" w:color="auto"/>
              <w:bottom w:val="none" w:sz="0" w:space="0" w:color="auto"/>
            </w:tcBorders>
            <w:vAlign w:val="center"/>
          </w:tcPr>
          <w:p w14:paraId="37FD0EB9"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Lacks mechanical stability</w:t>
            </w:r>
          </w:p>
        </w:tc>
        <w:tc>
          <w:tcPr>
            <w:tcW w:w="2693" w:type="dxa"/>
            <w:tcBorders>
              <w:top w:val="none" w:sz="0" w:space="0" w:color="auto"/>
              <w:bottom w:val="none" w:sz="0" w:space="0" w:color="auto"/>
            </w:tcBorders>
            <w:vAlign w:val="center"/>
          </w:tcPr>
          <w:p w14:paraId="022A92F2"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Crosslinking with agents</w:t>
            </w:r>
          </w:p>
        </w:tc>
      </w:tr>
      <w:tr w:rsidR="00ED7AE5" w:rsidRPr="00864CA0" w14:paraId="0E2E0B1B"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50F11D8D" w14:textId="77777777" w:rsidR="00ED7AE5" w:rsidRPr="00864CA0" w:rsidRDefault="00ED7AE5" w:rsidP="003346B1">
            <w:pPr>
              <w:jc w:val="center"/>
              <w:rPr>
                <w:rFonts w:ascii="Arial" w:hAnsi="Arial"/>
                <w:b w:val="0"/>
              </w:rPr>
            </w:pPr>
            <w:r w:rsidRPr="00864CA0">
              <w:rPr>
                <w:rFonts w:ascii="Arial" w:hAnsi="Arial"/>
                <w:b w:val="0"/>
              </w:rPr>
              <w:t>Alginate</w:t>
            </w:r>
          </w:p>
        </w:tc>
        <w:tc>
          <w:tcPr>
            <w:tcW w:w="2977" w:type="dxa"/>
            <w:vAlign w:val="center"/>
          </w:tcPr>
          <w:p w14:paraId="4D079405"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Biocompatible, rapid gelation</w:t>
            </w:r>
          </w:p>
        </w:tc>
        <w:tc>
          <w:tcPr>
            <w:tcW w:w="2410" w:type="dxa"/>
            <w:vAlign w:val="center"/>
          </w:tcPr>
          <w:p w14:paraId="36C66FF0"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Poor cell adhesion</w:t>
            </w:r>
          </w:p>
        </w:tc>
        <w:tc>
          <w:tcPr>
            <w:tcW w:w="2693" w:type="dxa"/>
            <w:vAlign w:val="center"/>
          </w:tcPr>
          <w:p w14:paraId="75C12825"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Blending with ECM proteins (e.g., collagen)</w:t>
            </w:r>
          </w:p>
        </w:tc>
      </w:tr>
      <w:tr w:rsidR="00ED7AE5" w:rsidRPr="00864CA0" w14:paraId="5CAE5CF1"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176CC16F" w14:textId="77777777" w:rsidR="00ED7AE5" w:rsidRPr="00864CA0" w:rsidRDefault="00ED7AE5" w:rsidP="003346B1">
            <w:pPr>
              <w:jc w:val="center"/>
              <w:rPr>
                <w:rFonts w:ascii="Arial" w:hAnsi="Arial"/>
                <w:b w:val="0"/>
              </w:rPr>
            </w:pPr>
            <w:r w:rsidRPr="00864CA0">
              <w:rPr>
                <w:rFonts w:ascii="Arial" w:hAnsi="Arial"/>
                <w:b w:val="0"/>
              </w:rPr>
              <w:t>dECM Bioinks</w:t>
            </w:r>
          </w:p>
        </w:tc>
        <w:tc>
          <w:tcPr>
            <w:tcW w:w="2977" w:type="dxa"/>
            <w:tcBorders>
              <w:top w:val="none" w:sz="0" w:space="0" w:color="auto"/>
              <w:bottom w:val="none" w:sz="0" w:space="0" w:color="auto"/>
            </w:tcBorders>
            <w:vAlign w:val="center"/>
          </w:tcPr>
          <w:p w14:paraId="424582C3"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Retain native tissue biochemical cues</w:t>
            </w:r>
          </w:p>
        </w:tc>
        <w:tc>
          <w:tcPr>
            <w:tcW w:w="2410" w:type="dxa"/>
            <w:tcBorders>
              <w:top w:val="none" w:sz="0" w:space="0" w:color="auto"/>
              <w:bottom w:val="none" w:sz="0" w:space="0" w:color="auto"/>
            </w:tcBorders>
            <w:vAlign w:val="center"/>
          </w:tcPr>
          <w:p w14:paraId="7FB63898"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Poor mechanical strength</w:t>
            </w:r>
          </w:p>
        </w:tc>
        <w:tc>
          <w:tcPr>
            <w:tcW w:w="2693" w:type="dxa"/>
            <w:tcBorders>
              <w:top w:val="none" w:sz="0" w:space="0" w:color="auto"/>
              <w:bottom w:val="none" w:sz="0" w:space="0" w:color="auto"/>
            </w:tcBorders>
            <w:vAlign w:val="center"/>
          </w:tcPr>
          <w:p w14:paraId="0CA6238C"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Hydrogel blending, crosslinking</w:t>
            </w:r>
          </w:p>
        </w:tc>
      </w:tr>
      <w:tr w:rsidR="00ED7AE5" w:rsidRPr="00864CA0" w14:paraId="46F1A81A"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28307466" w14:textId="77777777" w:rsidR="00ED7AE5" w:rsidRPr="00864CA0" w:rsidRDefault="00ED7AE5" w:rsidP="003346B1">
            <w:pPr>
              <w:jc w:val="center"/>
              <w:rPr>
                <w:rFonts w:ascii="Arial" w:hAnsi="Arial"/>
                <w:b w:val="0"/>
              </w:rPr>
            </w:pPr>
            <w:r w:rsidRPr="00864CA0">
              <w:rPr>
                <w:rFonts w:ascii="Arial" w:hAnsi="Arial"/>
                <w:b w:val="0"/>
              </w:rPr>
              <w:t>Methacryloyl-dECM</w:t>
            </w:r>
          </w:p>
        </w:tc>
        <w:tc>
          <w:tcPr>
            <w:tcW w:w="2977" w:type="dxa"/>
            <w:vAlign w:val="center"/>
          </w:tcPr>
          <w:p w14:paraId="65EE47A4"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Photocrosslinkable, tunable stiffness</w:t>
            </w:r>
          </w:p>
        </w:tc>
        <w:tc>
          <w:tcPr>
            <w:tcW w:w="2410" w:type="dxa"/>
            <w:vAlign w:val="center"/>
          </w:tcPr>
          <w:p w14:paraId="013F4F93"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Requires light activation</w:t>
            </w:r>
          </w:p>
        </w:tc>
        <w:tc>
          <w:tcPr>
            <w:tcW w:w="2693" w:type="dxa"/>
            <w:vAlign w:val="center"/>
          </w:tcPr>
          <w:p w14:paraId="74DC6A94"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UV/visible light exposure</w:t>
            </w:r>
          </w:p>
        </w:tc>
      </w:tr>
      <w:tr w:rsidR="00ED7AE5" w:rsidRPr="00864CA0" w14:paraId="65B61B3F"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3FCAC7E2" w14:textId="77777777" w:rsidR="00ED7AE5" w:rsidRPr="00864CA0" w:rsidRDefault="00ED7AE5" w:rsidP="003346B1">
            <w:pPr>
              <w:jc w:val="center"/>
              <w:rPr>
                <w:rFonts w:ascii="Arial" w:hAnsi="Arial"/>
                <w:b w:val="0"/>
              </w:rPr>
            </w:pPr>
            <w:r w:rsidRPr="00864CA0">
              <w:rPr>
                <w:rFonts w:ascii="Arial" w:hAnsi="Arial"/>
                <w:b w:val="0"/>
              </w:rPr>
              <w:lastRenderedPageBreak/>
              <w:t>Enzyme-Crosslinked Bioinks</w:t>
            </w:r>
          </w:p>
        </w:tc>
        <w:tc>
          <w:tcPr>
            <w:tcW w:w="2977" w:type="dxa"/>
            <w:tcBorders>
              <w:top w:val="none" w:sz="0" w:space="0" w:color="auto"/>
              <w:bottom w:val="none" w:sz="0" w:space="0" w:color="auto"/>
            </w:tcBorders>
            <w:vAlign w:val="center"/>
          </w:tcPr>
          <w:p w14:paraId="61630C28"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Increased mechanical robustness</w:t>
            </w:r>
          </w:p>
        </w:tc>
        <w:tc>
          <w:tcPr>
            <w:tcW w:w="2410" w:type="dxa"/>
            <w:tcBorders>
              <w:top w:val="none" w:sz="0" w:space="0" w:color="auto"/>
              <w:bottom w:val="none" w:sz="0" w:space="0" w:color="auto"/>
            </w:tcBorders>
            <w:vAlign w:val="center"/>
          </w:tcPr>
          <w:p w14:paraId="2FD63951"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Enzyme selection-dependent</w:t>
            </w:r>
          </w:p>
        </w:tc>
        <w:tc>
          <w:tcPr>
            <w:tcW w:w="2693" w:type="dxa"/>
            <w:tcBorders>
              <w:top w:val="none" w:sz="0" w:space="0" w:color="auto"/>
              <w:bottom w:val="none" w:sz="0" w:space="0" w:color="auto"/>
            </w:tcBorders>
            <w:vAlign w:val="center"/>
          </w:tcPr>
          <w:p w14:paraId="4861A9A6"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Use of transglutaminase, tyrosinase</w:t>
            </w:r>
          </w:p>
        </w:tc>
      </w:tr>
      <w:tr w:rsidR="00ED7AE5" w:rsidRPr="00864CA0" w14:paraId="21365F20" w14:textId="77777777" w:rsidTr="00864CA0">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64026D7" w14:textId="77777777" w:rsidR="00ED7AE5" w:rsidRPr="00864CA0" w:rsidRDefault="00ED7AE5" w:rsidP="003346B1">
            <w:pPr>
              <w:jc w:val="center"/>
              <w:rPr>
                <w:rFonts w:ascii="Arial" w:hAnsi="Arial"/>
                <w:b w:val="0"/>
              </w:rPr>
            </w:pPr>
            <w:r w:rsidRPr="00864CA0">
              <w:rPr>
                <w:rFonts w:ascii="Arial" w:hAnsi="Arial"/>
                <w:b w:val="0"/>
              </w:rPr>
              <w:t>Click Chemistry Bioinks</w:t>
            </w:r>
          </w:p>
        </w:tc>
        <w:tc>
          <w:tcPr>
            <w:tcW w:w="2977" w:type="dxa"/>
            <w:tcBorders>
              <w:bottom w:val="single" w:sz="4" w:space="0" w:color="auto"/>
            </w:tcBorders>
            <w:vAlign w:val="center"/>
          </w:tcPr>
          <w:p w14:paraId="361ECF9C"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Strong covalent crosslinking</w:t>
            </w:r>
          </w:p>
        </w:tc>
        <w:tc>
          <w:tcPr>
            <w:tcW w:w="2410" w:type="dxa"/>
            <w:tcBorders>
              <w:bottom w:val="single" w:sz="4" w:space="0" w:color="auto"/>
            </w:tcBorders>
            <w:vAlign w:val="center"/>
          </w:tcPr>
          <w:p w14:paraId="570F74C7"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Needs bio-orthogonal reactions</w:t>
            </w:r>
          </w:p>
        </w:tc>
        <w:tc>
          <w:tcPr>
            <w:tcW w:w="2693" w:type="dxa"/>
            <w:tcBorders>
              <w:bottom w:val="single" w:sz="4" w:space="0" w:color="auto"/>
            </w:tcBorders>
            <w:vAlign w:val="center"/>
          </w:tcPr>
          <w:p w14:paraId="06FFDFB9"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Michael-type addition, thiol-ene reactions</w:t>
            </w:r>
          </w:p>
        </w:tc>
      </w:tr>
    </w:tbl>
    <w:p w14:paraId="20598CB9" w14:textId="77777777" w:rsidR="00ED7AE5" w:rsidRDefault="00ED7AE5" w:rsidP="00ED7AE5">
      <w:pPr>
        <w:pStyle w:val="Body"/>
        <w:rPr>
          <w:rFonts w:ascii="Arial" w:hAnsi="Arial" w:cs="Arial"/>
        </w:rPr>
      </w:pPr>
    </w:p>
    <w:p w14:paraId="227877D1" w14:textId="77777777" w:rsidR="00864CA0" w:rsidRPr="00864CA0" w:rsidRDefault="00864CA0" w:rsidP="00864CA0">
      <w:pPr>
        <w:pStyle w:val="Body"/>
        <w:rPr>
          <w:rFonts w:ascii="Arial" w:hAnsi="Arial" w:cs="Arial"/>
          <w:b/>
          <w:bCs/>
        </w:rPr>
      </w:pPr>
      <w:r w:rsidRPr="00864CA0">
        <w:rPr>
          <w:rFonts w:ascii="Arial" w:hAnsi="Arial" w:cs="Arial"/>
          <w:b/>
          <w:bCs/>
        </w:rPr>
        <w:t xml:space="preserve">3.3. Biomechanical and Biochemical Cues: </w:t>
      </w:r>
    </w:p>
    <w:p w14:paraId="68EFB8A3" w14:textId="77777777" w:rsidR="00C2184D" w:rsidRPr="00C2184D" w:rsidRDefault="00C2184D" w:rsidP="00C2184D">
      <w:pPr>
        <w:pStyle w:val="Body"/>
        <w:rPr>
          <w:rFonts w:ascii="Arial" w:hAnsi="Arial" w:cs="Arial"/>
          <w:highlight w:val="yellow"/>
          <w:lang w:val="en-IN"/>
        </w:rPr>
      </w:pPr>
      <w:r w:rsidRPr="00C2184D">
        <w:rPr>
          <w:rFonts w:ascii="Arial" w:hAnsi="Arial" w:cs="Arial"/>
          <w:highlight w:val="yellow"/>
          <w:lang w:val="en-IN"/>
        </w:rPr>
        <w:t>Developing physiologically relevant 3D-bioprinted cancer-on-a-chip systems requires careful selection of bioinks, as their biomechanical and biochemical features directly influence printability, cell function, and overall model accuracy (57). Rheological behavior plays a central role in determining extrusion performance, structural stability, and post-printing fidelity. Bioinks must exhibit appropriate viscosity, shear-thinning characteristics, and controlled gelation to support smooth dispensing, accurate layer placement, and consistent construct formation (58). Since each bioprinting technique operates within characteristic viscosity windows, tuning bioink viscosity is essential to prevent clogging, spreading, or loss of resolution during printing (59). Consequently, viscosity becomes a major determinant of shape fidelity and mechanical robustness across diverse printing platforms (60).</w:t>
      </w:r>
    </w:p>
    <w:p w14:paraId="4F8B2EB7" w14:textId="77777777" w:rsidR="00C2184D" w:rsidRPr="00C2184D" w:rsidRDefault="00C2184D" w:rsidP="00C2184D">
      <w:pPr>
        <w:pStyle w:val="Body"/>
        <w:rPr>
          <w:rFonts w:ascii="Arial" w:hAnsi="Arial" w:cs="Arial"/>
          <w:highlight w:val="yellow"/>
          <w:lang w:val="en-IN"/>
        </w:rPr>
      </w:pPr>
      <w:r w:rsidRPr="00C2184D">
        <w:rPr>
          <w:rFonts w:ascii="Arial" w:hAnsi="Arial" w:cs="Arial"/>
          <w:highlight w:val="yellow"/>
          <w:lang w:val="en-IN"/>
        </w:rPr>
        <w:t>Inkjet bioprinting relies on thermal or piezoelectric droplet ejection and therefore requires low-viscosity formulations (≤10 mPa·s) to maintain smooth jetting and prevent nozzle obstruction. While useful for cell suspensions and dilute hydrogels, its ability to reproduce ECM-rich or complex 3D tumor structures is limited (61). Laser-assisted bioprinting supports a broader viscosity range (1–300 mPa·s), enabling high-precision cell and matrix patterning, although it depends on bioinks with well-controlled fluid dynamics to avoid droplet instability. Extrusion-based bioprinting, the most common approach, uses pneumatic or mechanical force to deliver higher-viscosity bioinks (30–6 × 10⁷ mPa·s), allowing the fabrication of stable, multi-material tumor constructs and stromal components.</w:t>
      </w:r>
    </w:p>
    <w:p w14:paraId="3ADA5A5A" w14:textId="63F88364" w:rsidR="00864CA0" w:rsidRPr="00C2184D" w:rsidRDefault="00C2184D" w:rsidP="00864CA0">
      <w:pPr>
        <w:pStyle w:val="Body"/>
        <w:rPr>
          <w:rFonts w:ascii="Arial" w:hAnsi="Arial" w:cs="Arial"/>
          <w:lang w:val="en-IN"/>
        </w:rPr>
      </w:pPr>
      <w:r w:rsidRPr="00C2184D">
        <w:rPr>
          <w:rFonts w:ascii="Arial" w:hAnsi="Arial" w:cs="Arial"/>
          <w:highlight w:val="yellow"/>
          <w:lang w:val="en-IN"/>
        </w:rPr>
        <w:t>Post-printing crosslinking is essential for long-term stability and mechanical tuning. Covalent reactions such as Michael addition provide mild, cell-friendly crosslinking for adjustable ECM-mimetic matrices. Click chemistry offers highly specific, rapid gelation routes</w:t>
      </w:r>
      <w:r w:rsidRPr="00C2184D">
        <w:rPr>
          <w:rFonts w:ascii="Arial" w:hAnsi="Arial" w:cs="Arial"/>
          <w:highlight w:val="yellow"/>
          <w:lang w:val="en-IN"/>
        </w:rPr>
        <w:t xml:space="preserve"> </w:t>
      </w:r>
      <w:r w:rsidRPr="00C2184D">
        <w:rPr>
          <w:rFonts w:ascii="Arial" w:hAnsi="Arial" w:cs="Arial"/>
          <w:highlight w:val="yellow"/>
          <w:lang w:val="en-IN"/>
        </w:rPr>
        <w:t>including azide-alkyne and thiol-ene reactions</w:t>
      </w:r>
      <w:r w:rsidRPr="00C2184D">
        <w:rPr>
          <w:rFonts w:ascii="Arial" w:hAnsi="Arial" w:cs="Arial"/>
          <w:highlight w:val="yellow"/>
          <w:lang w:val="en-IN"/>
        </w:rPr>
        <w:t xml:space="preserve"> </w:t>
      </w:r>
      <w:r w:rsidRPr="00C2184D">
        <w:rPr>
          <w:rFonts w:ascii="Arial" w:hAnsi="Arial" w:cs="Arial"/>
          <w:highlight w:val="yellow"/>
          <w:lang w:val="en-IN"/>
        </w:rPr>
        <w:t>to achieve precise structural control. Photopolymerization, using UV or visible light to crosslink photosensitive groups, enables spatially controlled gelation and is widely applied to GelMA, PEGDA, and dECM systems for generating tumor models with defined mechanical and biological characteristics (62).</w:t>
      </w:r>
    </w:p>
    <w:p w14:paraId="2638CA65" w14:textId="77777777" w:rsidR="00864CA0" w:rsidRPr="00864CA0" w:rsidRDefault="00864CA0" w:rsidP="00864CA0">
      <w:pPr>
        <w:pStyle w:val="Body"/>
        <w:rPr>
          <w:rFonts w:ascii="Arial" w:hAnsi="Arial" w:cs="Arial"/>
          <w:b/>
          <w:bCs/>
        </w:rPr>
      </w:pPr>
      <w:r w:rsidRPr="00864CA0">
        <w:rPr>
          <w:rFonts w:ascii="Arial" w:hAnsi="Arial" w:cs="Arial"/>
          <w:b/>
          <w:bCs/>
        </w:rPr>
        <w:t xml:space="preserve">3.4. Microfluidic Chip Design: </w:t>
      </w:r>
    </w:p>
    <w:p w14:paraId="4F8469B3" w14:textId="1C092763" w:rsidR="00864CA0" w:rsidRPr="00864CA0" w:rsidRDefault="00864CA0" w:rsidP="00864CA0">
      <w:pPr>
        <w:pStyle w:val="Body"/>
        <w:rPr>
          <w:rFonts w:ascii="Arial" w:hAnsi="Arial" w:cs="Arial"/>
        </w:rPr>
      </w:pPr>
      <w:r w:rsidRPr="00864CA0">
        <w:rPr>
          <w:rFonts w:ascii="Arial" w:hAnsi="Arial" w:cs="Arial"/>
        </w:rPr>
        <w:t xml:space="preserve">Microfluidic chip design is a crucial aspect of 3D-bioprinted cancer-on-a-chip models, ensuring a physiologically relevant tumor microenvironment (TME). These chips mimic in vivo conditions by enabling dynamic fluid flow, controlled nutrient exchange, waste removal, and the recreation of biomechanical and biochemical gradients (63). For optimizing channel structures, microfluidic channels must be designed to deliver essential nutrients such as glucose, amino acids, and oxygen uniformly across the 3D tumor model. Microfabrication techniques like soft lithography, photolithography, and direct 3D printing enable precise microchannel geometry for optimal nutrient diffusion, while channel branching patterns must mimic physiological vascular networks to prevent hypoxic gradients. Tumor hypoxia plays a major role in drug resistance, and microfluidic systems help regulate oxygen diffusion using oxygen-permeable materials like PDMS, facilitating efficient oxygen exchange. Perfusion rate and oxygenation control can be fine-tuned using computational fluid dynamics (CFD) simulations. Efficient waste removal is equally important, as metabolic byproducts such as </w:t>
      </w:r>
      <w:r w:rsidRPr="00864CA0">
        <w:rPr>
          <w:rFonts w:ascii="Arial" w:hAnsi="Arial" w:cs="Arial"/>
        </w:rPr>
        <w:lastRenderedPageBreak/>
        <w:t>lactate, CO</w:t>
      </w:r>
      <w:r w:rsidRPr="00864CA0">
        <w:rPr>
          <w:rFonts w:ascii="Cambria Math" w:hAnsi="Cambria Math" w:cs="Cambria Math"/>
        </w:rPr>
        <w:t>₂</w:t>
      </w:r>
      <w:r w:rsidRPr="00864CA0">
        <w:rPr>
          <w:rFonts w:ascii="Arial" w:hAnsi="Arial" w:cs="Arial"/>
        </w:rPr>
        <w:t xml:space="preserve">, and cell debris must be removed to maintain cell viability. This requires directional fluid flow and proper outlet positioning to prevent toxic accumulation, with the integration of microvalves and pumps to regulate flow rate and waste clearance in real-time (64). </w:t>
      </w:r>
    </w:p>
    <w:p w14:paraId="260839E0" w14:textId="25D7D684" w:rsidR="00ED7AE5" w:rsidRDefault="00864CA0" w:rsidP="00864CA0">
      <w:pPr>
        <w:pStyle w:val="Body"/>
        <w:spacing w:after="0"/>
        <w:rPr>
          <w:rFonts w:ascii="Arial" w:hAnsi="Arial" w:cs="Arial"/>
        </w:rPr>
      </w:pPr>
      <w:r w:rsidRPr="00864CA0">
        <w:rPr>
          <w:rFonts w:ascii="Arial" w:hAnsi="Arial" w:cs="Arial"/>
        </w:rPr>
        <w:t>The integration of perfusable microfluidic devices enables dynamic TME simulation, with perfusion-based culture systems mimicking in vivo blood flow to facilitate shear stress, mechanotransduction, and interstitial fluid flow (65). Tumor models with perfusion networks offer more realistic drug delivery responses compared to static culture conditions. Technologies such as the VasKit perfusion device (CELLINK®) (Figure-1) and Multi-Organ-Chip platforms (TissUse™) allow the creation of perfusable constructs. Biophysical cue replication is achieved by regulating shear stress and interstitial flow, which influence cell signaling, proliferation, and drug response (66). These models allow real-time monitoring of biomarker secretion, cell migration, and therapeutic responses. Endothelialization strategies are essential for recreating microvascular structures within tumor-on-chip models to mimic in vivo perfusion. Approaches include bioprinting endothelial cells, co-culturing with stromal cells, and promoting the self-assembly of vascular networks (67). Advanced 3D microvascularization techniques, such as angiogenesis-on-chip and vasculogenesis-on-chip, further enhance perfusion efficiency. The fabrication of microfluidic chips requires careful material selection, with PDMS being widely used due to its biocompatibility, optical transparency, and oxygen permeability. Alternative materials such as hydrogels, thermoplastics like PMMA and COC, and glass are chosen based on mechanical and chemical properties. Various manufacturing techniques are employed, including soft lithography, which uses silicon-based master molds for PDMS casting and is widely used for microfluidic chips; 3D printing, which enables rapid prototyping and customization of chip designs for patient-specific models; and photopolymerization, which allows for precise structuring of microfluidic networks. Integration with bioprinting is achieved either by directly bioprinting tumor tissues onto the chip in a single-step production or by post-integrating 3D tumor models into prefabricated microfluidic devices (68).</w:t>
      </w:r>
    </w:p>
    <w:p w14:paraId="4A3E4B32" w14:textId="77777777" w:rsidR="00864CA0" w:rsidRPr="00454ACA" w:rsidRDefault="00864CA0" w:rsidP="00864CA0">
      <w:pPr>
        <w:pStyle w:val="ListParagraph"/>
        <w:ind w:left="360"/>
        <w:jc w:val="both"/>
        <w:rPr>
          <w:rFonts w:ascii="Times New Roman" w:hAnsi="Times New Roman"/>
          <w:bCs/>
          <w:sz w:val="24"/>
          <w:szCs w:val="24"/>
        </w:rPr>
      </w:pPr>
    </w:p>
    <w:p w14:paraId="52D79667" w14:textId="77777777" w:rsidR="00864CA0" w:rsidRPr="00454ACA" w:rsidRDefault="00864CA0" w:rsidP="00864CA0">
      <w:pPr>
        <w:tabs>
          <w:tab w:val="left" w:pos="1545"/>
        </w:tabs>
        <w:ind w:left="360"/>
        <w:rPr>
          <w:rFonts w:ascii="Times New Roman" w:hAnsi="Times New Roman"/>
          <w:sz w:val="24"/>
          <w:szCs w:val="24"/>
        </w:rPr>
      </w:pPr>
      <w:r w:rsidRPr="00454ACA">
        <w:rPr>
          <w:rFonts w:ascii="Times New Roman" w:hAnsi="Times New Roman"/>
          <w:noProof/>
          <w:sz w:val="24"/>
          <w:szCs w:val="24"/>
        </w:rPr>
        <w:drawing>
          <wp:anchor distT="0" distB="0" distL="114300" distR="114300" simplePos="0" relativeHeight="251659264" behindDoc="0" locked="0" layoutInCell="1" allowOverlap="1" wp14:anchorId="7E3B781A" wp14:editId="4A7B7CAC">
            <wp:simplePos x="914400" y="4257675"/>
            <wp:positionH relativeFrom="column">
              <wp:align>left</wp:align>
            </wp:positionH>
            <wp:positionV relativeFrom="paragraph">
              <wp:align>top</wp:align>
            </wp:positionV>
            <wp:extent cx="1705213" cy="3848637"/>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705213" cy="3848637"/>
                    </a:xfrm>
                    <a:prstGeom prst="rect">
                      <a:avLst/>
                    </a:prstGeom>
                  </pic:spPr>
                </pic:pic>
              </a:graphicData>
            </a:graphic>
          </wp:anchor>
        </w:drawing>
      </w:r>
      <w:r w:rsidRPr="00454ACA">
        <w:rPr>
          <w:rFonts w:ascii="Times New Roman" w:hAnsi="Times New Roman"/>
          <w:sz w:val="24"/>
          <w:szCs w:val="24"/>
        </w:rPr>
        <w:tab/>
      </w:r>
      <w:r w:rsidRPr="00454ACA">
        <w:rPr>
          <w:rFonts w:ascii="Times New Roman" w:hAnsi="Times New Roman"/>
          <w:sz w:val="24"/>
          <w:szCs w:val="24"/>
        </w:rPr>
        <w:tab/>
      </w:r>
    </w:p>
    <w:p w14:paraId="33B1D412" w14:textId="77777777" w:rsidR="00864CA0" w:rsidRPr="00454ACA" w:rsidRDefault="00864CA0" w:rsidP="00864CA0">
      <w:pPr>
        <w:tabs>
          <w:tab w:val="left" w:pos="1545"/>
        </w:tabs>
        <w:rPr>
          <w:rFonts w:ascii="Times New Roman" w:hAnsi="Times New Roman"/>
          <w:sz w:val="24"/>
          <w:szCs w:val="24"/>
        </w:rPr>
      </w:pPr>
    </w:p>
    <w:p w14:paraId="48218A89" w14:textId="77777777" w:rsidR="00864CA0" w:rsidRPr="00454ACA" w:rsidRDefault="00864CA0" w:rsidP="00864CA0">
      <w:pPr>
        <w:tabs>
          <w:tab w:val="left" w:pos="1545"/>
        </w:tabs>
        <w:rPr>
          <w:rFonts w:ascii="Times New Roman" w:hAnsi="Times New Roman"/>
          <w:sz w:val="24"/>
          <w:szCs w:val="24"/>
        </w:rPr>
      </w:pPr>
    </w:p>
    <w:p w14:paraId="49CC74FF" w14:textId="77777777" w:rsidR="00864CA0" w:rsidRPr="00454ACA" w:rsidRDefault="00864CA0" w:rsidP="00864CA0">
      <w:pPr>
        <w:tabs>
          <w:tab w:val="left" w:pos="1545"/>
        </w:tabs>
        <w:ind w:left="360"/>
        <w:rPr>
          <w:rFonts w:ascii="Times New Roman" w:hAnsi="Times New Roman"/>
          <w:sz w:val="24"/>
          <w:szCs w:val="24"/>
        </w:rPr>
      </w:pPr>
      <w:r w:rsidRPr="00454ACA">
        <w:rPr>
          <w:rFonts w:ascii="Times New Roman" w:hAnsi="Times New Roman"/>
          <w:sz w:val="24"/>
          <w:szCs w:val="24"/>
        </w:rPr>
        <w:t xml:space="preserve">                 </w:t>
      </w:r>
      <w:r w:rsidRPr="00454ACA">
        <w:rPr>
          <w:rFonts w:ascii="Times New Roman" w:hAnsi="Times New Roman"/>
          <w:noProof/>
          <w:sz w:val="24"/>
          <w:szCs w:val="24"/>
          <w:lang w:eastAsia="en-IN"/>
        </w:rPr>
        <w:drawing>
          <wp:inline distT="0" distB="0" distL="0" distR="0" wp14:anchorId="7E6ABCCE" wp14:editId="5FDA215F">
            <wp:extent cx="2924175" cy="2571504"/>
            <wp:effectExtent l="0" t="0" r="0" b="635"/>
            <wp:docPr id="106606824" name="Picture 106606824" descr="VasKit Perfusion Device - CEL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Kit Perfusion Device - CELLIN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8129" cy="2574982"/>
                    </a:xfrm>
                    <a:prstGeom prst="rect">
                      <a:avLst/>
                    </a:prstGeom>
                    <a:noFill/>
                    <a:ln>
                      <a:noFill/>
                    </a:ln>
                  </pic:spPr>
                </pic:pic>
              </a:graphicData>
            </a:graphic>
          </wp:inline>
        </w:drawing>
      </w:r>
      <w:r w:rsidRPr="00454ACA">
        <w:rPr>
          <w:rFonts w:ascii="Times New Roman" w:hAnsi="Times New Roman"/>
          <w:sz w:val="24"/>
          <w:szCs w:val="24"/>
        </w:rPr>
        <w:br w:type="textWrapping" w:clear="all"/>
      </w:r>
    </w:p>
    <w:p w14:paraId="025365AF" w14:textId="3CC04D27" w:rsidR="00864CA0" w:rsidRPr="00864CA0" w:rsidRDefault="00864CA0" w:rsidP="00864CA0">
      <w:pPr>
        <w:tabs>
          <w:tab w:val="left" w:pos="3735"/>
        </w:tabs>
        <w:jc w:val="center"/>
        <w:rPr>
          <w:rFonts w:ascii="Arial" w:hAnsi="Arial" w:cs="Arial"/>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 xml:space="preserve"> </w:t>
      </w:r>
      <w:r w:rsidRPr="00864CA0">
        <w:rPr>
          <w:rFonts w:ascii="Arial" w:hAnsi="Arial" w:cs="Arial"/>
          <w:szCs w:val="22"/>
        </w:rPr>
        <w:t>A) Illustration of the VasKit including the distance between channels.</w:t>
      </w:r>
    </w:p>
    <w:p w14:paraId="5470961B" w14:textId="7A90875F" w:rsidR="00864CA0" w:rsidRPr="00864CA0" w:rsidRDefault="00864CA0" w:rsidP="00864CA0">
      <w:pPr>
        <w:tabs>
          <w:tab w:val="left" w:pos="3735"/>
        </w:tabs>
        <w:rPr>
          <w:rFonts w:ascii="Arial" w:hAnsi="Arial" w:cs="Arial"/>
          <w:szCs w:val="22"/>
        </w:rPr>
      </w:pPr>
      <w:r w:rsidRPr="00864CA0">
        <w:rPr>
          <w:rFonts w:ascii="Arial" w:hAnsi="Arial" w:cs="Arial"/>
          <w:szCs w:val="22"/>
        </w:rPr>
        <w:t xml:space="preserve">                     </w:t>
      </w:r>
      <w:r>
        <w:rPr>
          <w:rFonts w:ascii="Arial" w:hAnsi="Arial" w:cs="Arial"/>
          <w:szCs w:val="22"/>
        </w:rPr>
        <w:t xml:space="preserve">    </w:t>
      </w:r>
      <w:r w:rsidRPr="00864CA0">
        <w:rPr>
          <w:rFonts w:ascii="Arial" w:hAnsi="Arial" w:cs="Arial"/>
          <w:szCs w:val="22"/>
        </w:rPr>
        <w:t>B) VasKit Perfusion Device- CELLINK</w:t>
      </w:r>
    </w:p>
    <w:p w14:paraId="1DE73B9E" w14:textId="77777777" w:rsidR="00864CA0" w:rsidRDefault="00864CA0" w:rsidP="00441B6F">
      <w:pPr>
        <w:pStyle w:val="Body"/>
        <w:spacing w:after="0"/>
        <w:rPr>
          <w:rFonts w:ascii="Arial" w:hAnsi="Arial" w:cs="Arial"/>
        </w:rPr>
      </w:pPr>
    </w:p>
    <w:p w14:paraId="302CAE4E" w14:textId="77777777" w:rsidR="00ED7AE5" w:rsidRDefault="00ED7AE5" w:rsidP="00441B6F">
      <w:pPr>
        <w:pStyle w:val="Body"/>
        <w:spacing w:after="0"/>
        <w:rPr>
          <w:rFonts w:ascii="Arial" w:hAnsi="Arial" w:cs="Arial"/>
        </w:rPr>
      </w:pPr>
    </w:p>
    <w:p w14:paraId="04F70000" w14:textId="77777777" w:rsidR="00864CA0" w:rsidRPr="00864CA0" w:rsidRDefault="00864CA0" w:rsidP="00864CA0">
      <w:pPr>
        <w:pStyle w:val="Body"/>
        <w:rPr>
          <w:rFonts w:ascii="Arial" w:hAnsi="Arial" w:cs="Arial"/>
          <w:b/>
          <w:bCs/>
        </w:rPr>
      </w:pPr>
      <w:r w:rsidRPr="00864CA0">
        <w:rPr>
          <w:rFonts w:ascii="Arial" w:hAnsi="Arial" w:cs="Arial"/>
          <w:b/>
          <w:bCs/>
        </w:rPr>
        <w:t xml:space="preserve">3.5. Fabrication Approaches: </w:t>
      </w:r>
    </w:p>
    <w:p w14:paraId="19AAAF94" w14:textId="2B681078" w:rsidR="00B22541" w:rsidRPr="00B22541" w:rsidRDefault="00B22541" w:rsidP="00B22541">
      <w:pPr>
        <w:pStyle w:val="Body"/>
        <w:rPr>
          <w:rFonts w:ascii="Arial" w:hAnsi="Arial" w:cs="Arial"/>
          <w:highlight w:val="yellow"/>
          <w:lang w:val="en-IN"/>
        </w:rPr>
      </w:pPr>
      <w:r w:rsidRPr="00B22541">
        <w:rPr>
          <w:rFonts w:ascii="Arial" w:hAnsi="Arial" w:cs="Arial"/>
          <w:highlight w:val="yellow"/>
          <w:lang w:val="en-IN"/>
        </w:rPr>
        <w:t>Fabrication strategies for 3D-bioprinted cancer-on-a-chip platforms generally fall into two categories: Single-Step Production and Post-Integrated Production, each offering distinct advantages in precision and practicality. In Single-Step Production, the entire system</w:t>
      </w:r>
      <w:r w:rsidRPr="00B22541">
        <w:rPr>
          <w:rFonts w:ascii="Arial" w:hAnsi="Arial" w:cs="Arial"/>
          <w:highlight w:val="yellow"/>
          <w:lang w:val="en-IN"/>
        </w:rPr>
        <w:t xml:space="preserve"> </w:t>
      </w:r>
      <w:r w:rsidRPr="00B22541">
        <w:rPr>
          <w:rFonts w:ascii="Arial" w:hAnsi="Arial" w:cs="Arial"/>
          <w:highlight w:val="yellow"/>
          <w:lang w:val="en-IN"/>
        </w:rPr>
        <w:t>including the microfluidic chip, vascular networks, and 3D tumor tissue</w:t>
      </w:r>
      <w:r w:rsidRPr="00B22541">
        <w:rPr>
          <w:rFonts w:ascii="Arial" w:hAnsi="Arial" w:cs="Arial"/>
          <w:highlight w:val="yellow"/>
          <w:lang w:val="en-IN"/>
        </w:rPr>
        <w:t xml:space="preserve"> </w:t>
      </w:r>
      <w:r w:rsidRPr="00B22541">
        <w:rPr>
          <w:rFonts w:ascii="Arial" w:hAnsi="Arial" w:cs="Arial"/>
          <w:highlight w:val="yellow"/>
          <w:lang w:val="en-IN"/>
        </w:rPr>
        <w:t>is created in one continuous printing workflow (69). Using multi-modal printers equipped with multiple print heads, this method supports automated deposition of cells, ECM components, and channel architectures with high spatial accuracy. Its key strengths include strong biomimetic fidelity, reduced manual handling, and the ability to tailor constructs for patient-specific models (70). Limitations arise from slower print times, the technical difficulty of synchronizing diverse materials during printing, and the need for carefully engineered bioinks. A typical example is a bioprinted liver-on-a-chip in which hepatocytes, matrix elements, and vascular features are produced in a single fabrication step.</w:t>
      </w:r>
    </w:p>
    <w:p w14:paraId="441E7AC3" w14:textId="0D01679E" w:rsidR="00B22541" w:rsidRPr="00B22541" w:rsidRDefault="00B22541" w:rsidP="00B22541">
      <w:pPr>
        <w:pStyle w:val="Body"/>
        <w:rPr>
          <w:rFonts w:ascii="Arial" w:hAnsi="Arial" w:cs="Arial"/>
          <w:lang w:val="en-IN"/>
        </w:rPr>
      </w:pPr>
      <w:r w:rsidRPr="00B22541">
        <w:rPr>
          <w:rFonts w:ascii="Arial" w:hAnsi="Arial" w:cs="Arial"/>
          <w:highlight w:val="yellow"/>
          <w:lang w:val="en-IN"/>
        </w:rPr>
        <w:t>Conversely, Post-Integrated Production separates the creation of 3D tumor constructs from the fabrication of the microfluidic platform. Bioprinted tissues are produced first and then inserted into pre-made chips (71). This approach aligns well with existing commercial systems</w:t>
      </w:r>
      <w:r w:rsidRPr="00B22541">
        <w:rPr>
          <w:rFonts w:ascii="Arial" w:hAnsi="Arial" w:cs="Arial"/>
          <w:highlight w:val="yellow"/>
          <w:lang w:val="en-IN"/>
        </w:rPr>
        <w:t xml:space="preserve"> </w:t>
      </w:r>
      <w:r w:rsidRPr="00B22541">
        <w:rPr>
          <w:rFonts w:ascii="Arial" w:hAnsi="Arial" w:cs="Arial"/>
          <w:highlight w:val="yellow"/>
          <w:lang w:val="en-IN"/>
        </w:rPr>
        <w:t>such as VasKit perfusion units and TissUse multi-organ platforms</w:t>
      </w:r>
      <w:r w:rsidRPr="00B22541">
        <w:rPr>
          <w:rFonts w:ascii="Arial" w:hAnsi="Arial" w:cs="Arial"/>
          <w:highlight w:val="yellow"/>
          <w:lang w:val="en-IN"/>
        </w:rPr>
        <w:t xml:space="preserve"> </w:t>
      </w:r>
      <w:r w:rsidRPr="00B22541">
        <w:rPr>
          <w:rFonts w:ascii="Arial" w:hAnsi="Arial" w:cs="Arial"/>
          <w:highlight w:val="yellow"/>
          <w:lang w:val="en-IN"/>
        </w:rPr>
        <w:t>and is compatible with established manufacturing methods like soft lithography and micromachining. It supports more flexible design choices and scalable production while allowing tumor constructs to be prepared under optimized conditions. However, manual assembly may introduce inconsistencies, misalignment of channels, and reduced personalization due to fixed chip designs. An example is the VasKit platform, where printed tumor tissues are positioned within predefined perfusion pathways for controlled testing (72).</w:t>
      </w:r>
    </w:p>
    <w:p w14:paraId="3AC6D37A" w14:textId="7FD4CC30" w:rsidR="00ED7AE5" w:rsidRDefault="00864CA0" w:rsidP="00864CA0">
      <w:pPr>
        <w:pStyle w:val="Body"/>
        <w:spacing w:after="0"/>
        <w:rPr>
          <w:rFonts w:ascii="Arial" w:hAnsi="Arial" w:cs="Arial"/>
        </w:rPr>
      </w:pPr>
      <w:r w:rsidRPr="00864CA0">
        <w:rPr>
          <w:rFonts w:ascii="Arial" w:hAnsi="Arial" w:cs="Arial"/>
        </w:rPr>
        <w:t>The selection between these approaches depends on the required balance of precision, scalability, and personalization for specific research or clinical applications. (Table-3)</w:t>
      </w:r>
    </w:p>
    <w:p w14:paraId="04B6D820" w14:textId="77777777" w:rsidR="00864CA0" w:rsidRDefault="00864CA0" w:rsidP="00864CA0">
      <w:pPr>
        <w:pStyle w:val="Body"/>
        <w:spacing w:after="0"/>
        <w:rPr>
          <w:rFonts w:ascii="Arial" w:hAnsi="Arial" w:cs="Arial"/>
        </w:rPr>
      </w:pPr>
    </w:p>
    <w:p w14:paraId="1DE97A67" w14:textId="0F209CD4" w:rsidR="00864CA0" w:rsidRPr="00864CA0" w:rsidRDefault="00864CA0" w:rsidP="00864CA0">
      <w:pPr>
        <w:pStyle w:val="Body"/>
        <w:spacing w:after="0"/>
        <w:jc w:val="center"/>
        <w:rPr>
          <w:rFonts w:ascii="Arial" w:hAnsi="Arial" w:cs="Arial"/>
          <w:b/>
          <w:bCs/>
        </w:rPr>
      </w:pPr>
      <w:r w:rsidRPr="00864CA0">
        <w:rPr>
          <w:rFonts w:ascii="Arial" w:hAnsi="Arial"/>
          <w:b/>
        </w:rPr>
        <w:t xml:space="preserve">Table 3. </w:t>
      </w:r>
      <w:r w:rsidRPr="00864CA0">
        <w:rPr>
          <w:rFonts w:ascii="Arial" w:hAnsi="Arial" w:cs="Arial"/>
          <w:b/>
          <w:bCs/>
        </w:rPr>
        <w:t>Comparison of Single-Step vs. Post-Integrated Production</w:t>
      </w:r>
    </w:p>
    <w:p w14:paraId="3EDE5338" w14:textId="77777777" w:rsidR="00ED7AE5" w:rsidRDefault="00ED7AE5" w:rsidP="00441B6F">
      <w:pPr>
        <w:pStyle w:val="Body"/>
        <w:spacing w:after="0"/>
        <w:rPr>
          <w:rFonts w:ascii="Arial" w:hAnsi="Arial" w:cs="Arial"/>
        </w:rPr>
      </w:pPr>
    </w:p>
    <w:tbl>
      <w:tblPr>
        <w:tblStyle w:val="PlainTable2"/>
        <w:tblW w:w="9209" w:type="dxa"/>
        <w:tblBorders>
          <w:top w:val="none" w:sz="0" w:space="0" w:color="auto"/>
          <w:bottom w:val="none" w:sz="0" w:space="0" w:color="auto"/>
        </w:tblBorders>
        <w:tblLook w:val="04A0" w:firstRow="1" w:lastRow="0" w:firstColumn="1" w:lastColumn="0" w:noHBand="0" w:noVBand="1"/>
      </w:tblPr>
      <w:tblGrid>
        <w:gridCol w:w="2695"/>
        <w:gridCol w:w="2970"/>
        <w:gridCol w:w="3544"/>
      </w:tblGrid>
      <w:tr w:rsidR="00864CA0" w:rsidRPr="00454ACA" w14:paraId="0B1BF041" w14:textId="77777777" w:rsidTr="00864CA0">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auto"/>
              <w:bottom w:val="single" w:sz="4" w:space="0" w:color="auto"/>
            </w:tcBorders>
            <w:vAlign w:val="center"/>
          </w:tcPr>
          <w:p w14:paraId="1BED6134" w14:textId="77777777" w:rsidR="00864CA0" w:rsidRPr="00864CA0" w:rsidRDefault="00864CA0" w:rsidP="00864CA0">
            <w:pPr>
              <w:jc w:val="center"/>
              <w:rPr>
                <w:rFonts w:ascii="Arial" w:hAnsi="Arial"/>
                <w:bCs w:val="0"/>
              </w:rPr>
            </w:pPr>
            <w:r w:rsidRPr="00864CA0">
              <w:rPr>
                <w:rFonts w:ascii="Arial" w:hAnsi="Arial"/>
                <w:bCs w:val="0"/>
              </w:rPr>
              <w:t>Factor</w:t>
            </w:r>
          </w:p>
        </w:tc>
        <w:tc>
          <w:tcPr>
            <w:tcW w:w="2970" w:type="dxa"/>
            <w:tcBorders>
              <w:top w:val="single" w:sz="4" w:space="0" w:color="auto"/>
              <w:bottom w:val="single" w:sz="4" w:space="0" w:color="auto"/>
            </w:tcBorders>
            <w:vAlign w:val="center"/>
          </w:tcPr>
          <w:p w14:paraId="7CB6D510" w14:textId="77777777" w:rsidR="00864CA0" w:rsidRPr="00864CA0" w:rsidRDefault="00864CA0" w:rsidP="00864CA0">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Single-Step Production</w:t>
            </w:r>
          </w:p>
        </w:tc>
        <w:tc>
          <w:tcPr>
            <w:tcW w:w="3544" w:type="dxa"/>
            <w:tcBorders>
              <w:top w:val="single" w:sz="4" w:space="0" w:color="auto"/>
              <w:bottom w:val="single" w:sz="4" w:space="0" w:color="auto"/>
            </w:tcBorders>
            <w:vAlign w:val="center"/>
          </w:tcPr>
          <w:p w14:paraId="0D18CA77" w14:textId="77777777" w:rsidR="00864CA0" w:rsidRPr="00864CA0" w:rsidRDefault="00864CA0" w:rsidP="00864CA0">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Post-Integrated Production</w:t>
            </w:r>
          </w:p>
        </w:tc>
      </w:tr>
      <w:tr w:rsidR="00864CA0" w:rsidRPr="00454ACA" w14:paraId="012C00C7" w14:textId="77777777" w:rsidTr="00864CA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auto"/>
              <w:bottom w:val="none" w:sz="0" w:space="0" w:color="auto"/>
            </w:tcBorders>
            <w:vAlign w:val="center"/>
          </w:tcPr>
          <w:p w14:paraId="49DCA9DB" w14:textId="77777777" w:rsidR="00864CA0" w:rsidRPr="00864CA0" w:rsidRDefault="00864CA0" w:rsidP="00864CA0">
            <w:pPr>
              <w:jc w:val="center"/>
              <w:rPr>
                <w:rFonts w:ascii="Arial" w:hAnsi="Arial"/>
                <w:b w:val="0"/>
              </w:rPr>
            </w:pPr>
            <w:r w:rsidRPr="00864CA0">
              <w:rPr>
                <w:rFonts w:ascii="Arial" w:hAnsi="Arial"/>
                <w:b w:val="0"/>
              </w:rPr>
              <w:t>Fabrication Complexity</w:t>
            </w:r>
          </w:p>
        </w:tc>
        <w:tc>
          <w:tcPr>
            <w:tcW w:w="2970" w:type="dxa"/>
            <w:tcBorders>
              <w:top w:val="single" w:sz="4" w:space="0" w:color="auto"/>
              <w:bottom w:val="none" w:sz="0" w:space="0" w:color="auto"/>
            </w:tcBorders>
            <w:vAlign w:val="center"/>
          </w:tcPr>
          <w:p w14:paraId="316D11E6"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(multi-material printing)</w:t>
            </w:r>
          </w:p>
        </w:tc>
        <w:tc>
          <w:tcPr>
            <w:tcW w:w="3544" w:type="dxa"/>
            <w:tcBorders>
              <w:top w:val="single" w:sz="4" w:space="0" w:color="auto"/>
              <w:bottom w:val="none" w:sz="0" w:space="0" w:color="auto"/>
            </w:tcBorders>
            <w:vAlign w:val="center"/>
          </w:tcPr>
          <w:p w14:paraId="40546824"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Moderate (manual assembly required)</w:t>
            </w:r>
          </w:p>
        </w:tc>
      </w:tr>
      <w:tr w:rsidR="00864CA0" w:rsidRPr="00454ACA" w14:paraId="0922C173" w14:textId="77777777" w:rsidTr="00864CA0">
        <w:trPr>
          <w:trHeight w:val="426"/>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102681A7" w14:textId="77777777" w:rsidR="00864CA0" w:rsidRPr="00864CA0" w:rsidRDefault="00864CA0" w:rsidP="00864CA0">
            <w:pPr>
              <w:jc w:val="center"/>
              <w:rPr>
                <w:rFonts w:ascii="Arial" w:hAnsi="Arial"/>
                <w:b w:val="0"/>
              </w:rPr>
            </w:pPr>
            <w:r w:rsidRPr="00864CA0">
              <w:rPr>
                <w:rFonts w:ascii="Arial" w:hAnsi="Arial"/>
                <w:b w:val="0"/>
              </w:rPr>
              <w:t>Time Efficiency</w:t>
            </w:r>
          </w:p>
        </w:tc>
        <w:tc>
          <w:tcPr>
            <w:tcW w:w="2970" w:type="dxa"/>
            <w:vAlign w:val="center"/>
          </w:tcPr>
          <w:p w14:paraId="30488F5B"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Faster (fully automated)</w:t>
            </w:r>
          </w:p>
        </w:tc>
        <w:tc>
          <w:tcPr>
            <w:tcW w:w="3544" w:type="dxa"/>
            <w:vAlign w:val="center"/>
          </w:tcPr>
          <w:p w14:paraId="6AB05110"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Slower (requires assembly)</w:t>
            </w:r>
          </w:p>
        </w:tc>
      </w:tr>
      <w:tr w:rsidR="00864CA0" w:rsidRPr="00454ACA" w14:paraId="0A7A110A" w14:textId="77777777" w:rsidTr="00864CA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vAlign w:val="center"/>
          </w:tcPr>
          <w:p w14:paraId="1564007E" w14:textId="77777777" w:rsidR="00864CA0" w:rsidRPr="00864CA0" w:rsidRDefault="00864CA0" w:rsidP="00864CA0">
            <w:pPr>
              <w:jc w:val="center"/>
              <w:rPr>
                <w:rFonts w:ascii="Arial" w:hAnsi="Arial"/>
                <w:b w:val="0"/>
              </w:rPr>
            </w:pPr>
            <w:r w:rsidRPr="00864CA0">
              <w:rPr>
                <w:rFonts w:ascii="Arial" w:hAnsi="Arial"/>
                <w:b w:val="0"/>
              </w:rPr>
              <w:t>Customization</w:t>
            </w:r>
          </w:p>
        </w:tc>
        <w:tc>
          <w:tcPr>
            <w:tcW w:w="2970" w:type="dxa"/>
            <w:tcBorders>
              <w:top w:val="none" w:sz="0" w:space="0" w:color="auto"/>
              <w:bottom w:val="none" w:sz="0" w:space="0" w:color="auto"/>
            </w:tcBorders>
            <w:vAlign w:val="center"/>
          </w:tcPr>
          <w:p w14:paraId="38739F97"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(precise spatial control)</w:t>
            </w:r>
          </w:p>
        </w:tc>
        <w:tc>
          <w:tcPr>
            <w:tcW w:w="3544" w:type="dxa"/>
            <w:tcBorders>
              <w:top w:val="none" w:sz="0" w:space="0" w:color="auto"/>
              <w:bottom w:val="none" w:sz="0" w:space="0" w:color="auto"/>
            </w:tcBorders>
            <w:vAlign w:val="center"/>
          </w:tcPr>
          <w:p w14:paraId="46BE3813"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Limited (pre-fabricated chips)</w:t>
            </w:r>
          </w:p>
        </w:tc>
      </w:tr>
      <w:tr w:rsidR="00864CA0" w:rsidRPr="00454ACA" w14:paraId="7BD030CF" w14:textId="77777777" w:rsidTr="00864CA0">
        <w:trPr>
          <w:trHeight w:val="684"/>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07EC61D6" w14:textId="77777777" w:rsidR="00864CA0" w:rsidRPr="00864CA0" w:rsidRDefault="00864CA0" w:rsidP="00864CA0">
            <w:pPr>
              <w:jc w:val="center"/>
              <w:rPr>
                <w:rFonts w:ascii="Arial" w:hAnsi="Arial"/>
                <w:b w:val="0"/>
              </w:rPr>
            </w:pPr>
            <w:r w:rsidRPr="00864CA0">
              <w:rPr>
                <w:rFonts w:ascii="Arial" w:hAnsi="Arial"/>
                <w:b w:val="0"/>
              </w:rPr>
              <w:t>Scalability</w:t>
            </w:r>
          </w:p>
        </w:tc>
        <w:tc>
          <w:tcPr>
            <w:tcW w:w="2970" w:type="dxa"/>
            <w:vAlign w:val="center"/>
          </w:tcPr>
          <w:p w14:paraId="127200DF"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Moderate (printer speed limits)</w:t>
            </w:r>
          </w:p>
        </w:tc>
        <w:tc>
          <w:tcPr>
            <w:tcW w:w="3544" w:type="dxa"/>
            <w:vAlign w:val="center"/>
          </w:tcPr>
          <w:p w14:paraId="3A983258"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High (parallel fabrication)</w:t>
            </w:r>
          </w:p>
        </w:tc>
      </w:tr>
      <w:tr w:rsidR="00864CA0" w:rsidRPr="00454ACA" w14:paraId="16F4F097" w14:textId="77777777" w:rsidTr="00864CA0">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single" w:sz="4" w:space="0" w:color="auto"/>
            </w:tcBorders>
            <w:vAlign w:val="center"/>
          </w:tcPr>
          <w:p w14:paraId="7CED630A" w14:textId="77777777" w:rsidR="00864CA0" w:rsidRPr="00864CA0" w:rsidRDefault="00864CA0" w:rsidP="00864CA0">
            <w:pPr>
              <w:jc w:val="center"/>
              <w:rPr>
                <w:rFonts w:ascii="Arial" w:hAnsi="Arial"/>
                <w:b w:val="0"/>
              </w:rPr>
            </w:pPr>
            <w:r w:rsidRPr="00864CA0">
              <w:rPr>
                <w:rFonts w:ascii="Arial" w:hAnsi="Arial"/>
                <w:b w:val="0"/>
              </w:rPr>
              <w:t>Integration Accuracy</w:t>
            </w:r>
          </w:p>
        </w:tc>
        <w:tc>
          <w:tcPr>
            <w:tcW w:w="2970" w:type="dxa"/>
            <w:tcBorders>
              <w:top w:val="none" w:sz="0" w:space="0" w:color="auto"/>
              <w:bottom w:val="single" w:sz="4" w:space="0" w:color="auto"/>
            </w:tcBorders>
            <w:vAlign w:val="center"/>
          </w:tcPr>
          <w:p w14:paraId="39FD81ED"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(real-time integration)</w:t>
            </w:r>
          </w:p>
        </w:tc>
        <w:tc>
          <w:tcPr>
            <w:tcW w:w="3544" w:type="dxa"/>
            <w:tcBorders>
              <w:top w:val="none" w:sz="0" w:space="0" w:color="auto"/>
              <w:bottom w:val="single" w:sz="4" w:space="0" w:color="auto"/>
            </w:tcBorders>
            <w:vAlign w:val="center"/>
          </w:tcPr>
          <w:p w14:paraId="4D6E2E59"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Lower (manual placement issues)</w:t>
            </w:r>
          </w:p>
        </w:tc>
      </w:tr>
    </w:tbl>
    <w:p w14:paraId="126919A8" w14:textId="77777777" w:rsidR="00ED7AE5" w:rsidRDefault="00ED7AE5" w:rsidP="00441B6F">
      <w:pPr>
        <w:pStyle w:val="Body"/>
        <w:spacing w:after="0"/>
        <w:rPr>
          <w:rFonts w:ascii="Arial" w:hAnsi="Arial" w:cs="Arial"/>
        </w:rPr>
      </w:pPr>
    </w:p>
    <w:p w14:paraId="61E2FAC4" w14:textId="77777777" w:rsidR="00ED7AE5" w:rsidRDefault="00ED7AE5" w:rsidP="00441B6F">
      <w:pPr>
        <w:pStyle w:val="Body"/>
        <w:spacing w:after="0"/>
        <w:rPr>
          <w:rFonts w:ascii="Arial" w:hAnsi="Arial" w:cs="Arial"/>
        </w:rPr>
      </w:pPr>
    </w:p>
    <w:p w14:paraId="06E82E04" w14:textId="77777777" w:rsidR="00ED7AE5" w:rsidRDefault="00ED7AE5" w:rsidP="00441B6F">
      <w:pPr>
        <w:pStyle w:val="Body"/>
        <w:spacing w:after="0"/>
        <w:rPr>
          <w:rFonts w:ascii="Arial" w:hAnsi="Arial" w:cs="Arial"/>
        </w:rPr>
      </w:pPr>
    </w:p>
    <w:p w14:paraId="17E1FF86" w14:textId="3AE5E0AA" w:rsidR="00864CA0" w:rsidRPr="00864CA0" w:rsidRDefault="00864CA0" w:rsidP="00864CA0">
      <w:pPr>
        <w:pStyle w:val="Body"/>
        <w:rPr>
          <w:rFonts w:ascii="Arial" w:hAnsi="Arial" w:cs="Arial"/>
          <w:b/>
          <w:bCs/>
        </w:rPr>
      </w:pPr>
      <w:r w:rsidRPr="00864CA0">
        <w:rPr>
          <w:rFonts w:ascii="Arial" w:hAnsi="Arial" w:cs="Arial"/>
          <w:b/>
          <w:bCs/>
        </w:rPr>
        <w:t xml:space="preserve">4. 3D Tumor Masses and Patient Personalization: </w:t>
      </w:r>
    </w:p>
    <w:p w14:paraId="541482AF" w14:textId="77777777" w:rsidR="00864CA0" w:rsidRPr="00864CA0" w:rsidRDefault="00864CA0" w:rsidP="00864CA0">
      <w:pPr>
        <w:pStyle w:val="Body"/>
        <w:rPr>
          <w:rFonts w:ascii="Arial" w:hAnsi="Arial" w:cs="Arial"/>
        </w:rPr>
      </w:pPr>
      <w:r w:rsidRPr="00864CA0">
        <w:rPr>
          <w:rFonts w:ascii="Arial" w:hAnsi="Arial" w:cs="Arial"/>
        </w:rPr>
        <w:t xml:space="preserve">The use of bioimaging data, such as CT and MRI, plays a crucial role in generating anatomically accurate 3D tumor models that mimic patient-specific tumor structures (73). CT scans provide high-resolution images of tissue density variations, aiding in structural mapping, while MRI offers superior soft tissue contrast, which is essential for distinguishing tumor boundaries and heterogeneity. Image processing involves segmentation algorithms, either AI-driven or manual, to isolate tumor regions from surrounding tissues, followed by 3D reconstruction using CAD software or medical imaging tools like 3D Slicer or Mimics. The processed bioimaging data is then converted into a printable STL file, where material selection is based on the ECM composition and mechanical properties of the native tumor. Multi-nozzle 3D printers enable spatial deposition of different bioinks to replicate tumor heterogeneity. The primary advantage of this approach is the precise structural replication of tumors for disease modeling, facilitating personalized treatment response evaluation while reducing reliance on traditional in vitro models that lack patient-specific microenvironmental factors (74). </w:t>
      </w:r>
    </w:p>
    <w:p w14:paraId="31E64699" w14:textId="77777777" w:rsidR="00864CA0" w:rsidRPr="00864CA0" w:rsidRDefault="00864CA0" w:rsidP="00864CA0">
      <w:pPr>
        <w:pStyle w:val="Body"/>
        <w:rPr>
          <w:rFonts w:ascii="Arial" w:hAnsi="Arial" w:cs="Arial"/>
        </w:rPr>
      </w:pPr>
      <w:r w:rsidRPr="00864CA0">
        <w:rPr>
          <w:rFonts w:ascii="Arial" w:hAnsi="Arial" w:cs="Arial"/>
        </w:rPr>
        <w:t xml:space="preserve">Developing patient-specific models for drug screening involves customization through patient biopsies, integrating genetic, epigenetic, and biochemical characteristics, and incorporating cancer cells, stromal components, and immune cells. These models allow functional testing of multiple chemotherapeutic, immunotherapeutic, and targeted agents under patient-relevant conditions while simulating drug penetration, metabolism, and resistance mechanisms (75). By integrating high-throughput screening (HTS), 3D bioprinted tumor constructs can be interfaced with microfluidic chips for real-time drug response monitoring, with AI-based analysis enhancing predictive modeling for personalized treatment recommendations. Clinically, these models serve as preclinical testing platforms for evaluating patient responses before treatment administration and play a key role in precision oncology by identifying the most effective patient-specific therapeutic regimens (76). However, challenges remain, including standardizing bioprinting protocols for reproducibility, enhancing vascularization strategies for better nutrient diffusion and drug delivery, and improving the long-term viability of printed tumor constructs for extended drug response studies. The integration of advanced bioimaging, computational modeling, and bioprinting holds great potential to revolutionize cancer research, drug discovery, and precision medicine (77). </w:t>
      </w:r>
    </w:p>
    <w:p w14:paraId="6A2F18F2" w14:textId="059CA81B" w:rsidR="00864CA0" w:rsidRPr="00864CA0" w:rsidRDefault="00864CA0" w:rsidP="00864CA0">
      <w:pPr>
        <w:pStyle w:val="Body"/>
        <w:rPr>
          <w:rFonts w:ascii="Arial" w:hAnsi="Arial" w:cs="Arial"/>
          <w:b/>
          <w:bCs/>
        </w:rPr>
      </w:pPr>
      <w:r w:rsidRPr="00864CA0">
        <w:rPr>
          <w:rFonts w:ascii="Arial" w:hAnsi="Arial" w:cs="Arial"/>
          <w:b/>
          <w:bCs/>
        </w:rPr>
        <w:t xml:space="preserve">5. Multi-Material and Multi nozzle printing: </w:t>
      </w:r>
    </w:p>
    <w:p w14:paraId="5D3ACCAA" w14:textId="77777777" w:rsidR="00B22541" w:rsidRPr="00B22541" w:rsidRDefault="00B22541" w:rsidP="00B22541">
      <w:pPr>
        <w:pStyle w:val="Body"/>
        <w:rPr>
          <w:rFonts w:ascii="Arial" w:hAnsi="Arial" w:cs="Arial"/>
          <w:highlight w:val="yellow"/>
          <w:lang w:val="en-IN"/>
        </w:rPr>
      </w:pPr>
      <w:r w:rsidRPr="00B22541">
        <w:rPr>
          <w:rFonts w:ascii="Arial" w:hAnsi="Arial" w:cs="Arial"/>
          <w:highlight w:val="yellow"/>
          <w:lang w:val="en-IN"/>
        </w:rPr>
        <w:t>Multi-material and multi-nozzle bioprinting enables the controlled fabrication of heterogeneous tumor constructs by depositing different cell populations and biomaterials in a single build (78). This strategy strengthens the biological relevance of cancer-on-a-chip platforms by better representing the structural and biochemical diversity of the tumor microenvironment (TME) (79). Tumor regions are typically printed using bioinks containing cancer cells and cancer stem cells, supported by ECM-like materials such as collagen, GelMA, and dECM, whose adjustable stiffness and degradability allow investigation of tumor growth and progression (80). Stromal regions incorporate fibroblasts, immune cells, and mesenchymal stem cells, with ECM components like HA and fibrin shaping mechanotransduction, matrix remodeling, and tumor–stroma communication. Vascular compartments are generated by printing endothelial cells and pericytes within bioinks such as alginate, fibrin, and modified dECM to promote angiogenesis and sustained perfusion (81).</w:t>
      </w:r>
    </w:p>
    <w:p w14:paraId="33CA89F9" w14:textId="77777777" w:rsidR="00B22541" w:rsidRPr="00B22541" w:rsidRDefault="00B22541" w:rsidP="00B22541">
      <w:pPr>
        <w:pStyle w:val="Body"/>
        <w:rPr>
          <w:rFonts w:ascii="Arial" w:hAnsi="Arial" w:cs="Arial"/>
          <w:lang w:val="en-IN"/>
        </w:rPr>
      </w:pPr>
      <w:r w:rsidRPr="00B22541">
        <w:rPr>
          <w:rFonts w:ascii="Arial" w:hAnsi="Arial" w:cs="Arial"/>
          <w:highlight w:val="yellow"/>
          <w:lang w:val="en-IN"/>
        </w:rPr>
        <w:lastRenderedPageBreak/>
        <w:t>Using multiple nozzles allows spatially organized deposition of tumor, stromal, and vascular compartments, enabling hollow channel formation for oxygen and nutrient delivery while preserving structural fidelity. Photocrosslinking and ionic crosslinking reinforce construct stability, supporting models with defined gradients that reflect in vivo patterns of oxygen, nutrient, and drug distribution. This architecture also facilitates studies of invasion, metastasis, and therapeutic response. Automated, scalable printing workflows further support batch production of patient-specific tumor constructs suitable for drug screening and personalized therapy. By integrating appropriately selected ECM-mimetic bioinks for each compartment, multi-material and multi-nozzle bioprinting enhances the complexity, precision, and translational utility of 3D cancer-on-a-chip systems (82).</w:t>
      </w:r>
    </w:p>
    <w:p w14:paraId="56650C38" w14:textId="34A33ADC" w:rsidR="00864CA0" w:rsidRPr="00864CA0" w:rsidRDefault="00864CA0" w:rsidP="00864CA0">
      <w:pPr>
        <w:pStyle w:val="Body"/>
        <w:rPr>
          <w:rFonts w:ascii="Arial" w:hAnsi="Arial" w:cs="Arial"/>
          <w:b/>
          <w:bCs/>
        </w:rPr>
      </w:pPr>
      <w:r w:rsidRPr="00864CA0">
        <w:rPr>
          <w:rFonts w:ascii="Arial" w:hAnsi="Arial" w:cs="Arial"/>
          <w:b/>
          <w:bCs/>
        </w:rPr>
        <w:t xml:space="preserve">6. Advancements in 3D Bioprinting: </w:t>
      </w:r>
    </w:p>
    <w:p w14:paraId="7D9299A8" w14:textId="77777777" w:rsidR="00864CA0" w:rsidRPr="00864CA0" w:rsidRDefault="00864CA0" w:rsidP="00864CA0">
      <w:pPr>
        <w:pStyle w:val="Body"/>
        <w:rPr>
          <w:rFonts w:ascii="Arial" w:hAnsi="Arial" w:cs="Arial"/>
        </w:rPr>
      </w:pPr>
      <w:r w:rsidRPr="00864CA0">
        <w:rPr>
          <w:rFonts w:ascii="Arial" w:hAnsi="Arial" w:cs="Arial"/>
        </w:rPr>
        <w:t xml:space="preserve">3D bioprinting have greatly improved the development of cancer-on-a-chip models, particularly through AI-assisted tumor characterization, enhanced dECM-based bioinks, and faster bioprinting techniques (83). AI-driven image processing enables automated identification of tumor structures from histological or imaging data, while machine learning models analyze spatial organization, cell morphology, and tumor heterogeneity to enhance model accuracy. The integration of AI with single-cell RNA sequencing (scRNA-seq) allows for the identification of distinct cellular subpopulations within tumors, enabling the creation of patient-specific tumor models with precise cell compositions. AI-based predictive modeling forecasts tumor growth patterns and drug responses, supporting personalized therapy approaches by simulating treatment effects on bioprinted tumors before clinical trials. Despite the biological relevance of dECM-based bioinks, they often lack mechanical strength and printability, necessitating modifications (84). Hybrid bioinks, combining dECM with mechanically robust hydrogels like hyaluronic acid and alginate, improve viscosity, crosslinking ability, and post-printing stability. Chemical functionalization, including methacryloyl modification, enhances photocrosslinking, improving structural integrity while preserving bioactivity. Enzyme-based crosslinking methods provide stimuli-responsive bioinks with fine-tuned gelation. Optimizing rheological properties such as bioink stiffness and shear-thinning characteristics ensures appropriate mechanical properties for different tumor components while enhancing bioprinting precision and preventing nozzle clogging (85). </w:t>
      </w:r>
    </w:p>
    <w:p w14:paraId="7C1DAFA6" w14:textId="77777777" w:rsidR="00864CA0" w:rsidRPr="00864CA0" w:rsidRDefault="00864CA0" w:rsidP="00864CA0">
      <w:pPr>
        <w:pStyle w:val="Body"/>
        <w:rPr>
          <w:rFonts w:ascii="Arial" w:hAnsi="Arial" w:cs="Arial"/>
        </w:rPr>
      </w:pPr>
      <w:r w:rsidRPr="00864CA0">
        <w:rPr>
          <w:rFonts w:ascii="Arial" w:hAnsi="Arial" w:cs="Arial"/>
        </w:rPr>
        <w:t xml:space="preserve">To support high-throughput drug testing, advancements in bioprinting technology address limitations like slow fabrication speeds. Multi-nozzle and multi-printhead systems allow simultaneous deposition of different bioinks for tumor, stromal, and vascular compartments, reducing fabrication time while maintaining spatial complexity. Volumetric bioprinting, utilizing light-based printing technologies, enables rapid solidification of entire 3D structures, significantly increasing resolution and speed without compromising cell viability (86). Automated bioprinting systems with AI-driven real-time feedback control optimize printing parameters to ensure precise cell distribution. Autonomous robotic systems minimize manual intervention, enabling large-scale production for drug testing. These advancements collectively enhance the accuracy, reproducibility, and scalability of 3D-bioprinted cancer-on-a-chip models, making them more applicable to precision medicine (87). The integration of 3D bioprinting with microfluidic systems has been instrumental in developing advanced 3D tumor models that replicate the tumor microenvironment (TME) in a spatially controlled manner while allowing for dynamic culture conditions (88). This synergy has been demonstrated in preclinical screening of Metuzumab, an anti-CD147 monoclonal antibody, using a 3D-bioprinted hepatoma-on-a-chip model. Comparisons with static 3D-bioprinted architectures and traditional 2D monolayer in vitro models revealed increased therapy resistance in both 3D models (89). These findings highlight the importance of incorporating </w:t>
      </w:r>
      <w:r w:rsidRPr="00864CA0">
        <w:rPr>
          <w:rFonts w:ascii="Arial" w:hAnsi="Arial" w:cs="Arial"/>
        </w:rPr>
        <w:lastRenderedPageBreak/>
        <w:t xml:space="preserve">fluid flow dynamics into 3D-bioprinted models to better replicate pathophysiological conditions (90). </w:t>
      </w:r>
    </w:p>
    <w:p w14:paraId="28301781" w14:textId="128EEDC8" w:rsidR="006D5DA1" w:rsidRPr="006D5DA1" w:rsidRDefault="006D5DA1" w:rsidP="006D5DA1">
      <w:pPr>
        <w:pStyle w:val="Body"/>
        <w:rPr>
          <w:rFonts w:ascii="Arial" w:hAnsi="Arial" w:cs="Arial"/>
          <w:highlight w:val="yellow"/>
          <w:lang w:val="en-IN"/>
        </w:rPr>
      </w:pPr>
      <w:r w:rsidRPr="006D5DA1">
        <w:rPr>
          <w:rFonts w:ascii="Arial" w:hAnsi="Arial" w:cs="Arial"/>
          <w:highlight w:val="yellow"/>
          <w:lang w:val="en-IN"/>
        </w:rPr>
        <w:t>Advances in cancer-on-a-chip engineering have recently focused on increasing physiological relevance by integrating lymphatic capillary–like structures into juxta-tumoral regions of 3D-bioprinted constructs (91). Yet, most existing platforms still depend on spontaneous self-assembly of lymphatic cells, which often produces inconsistent vessel geometry, variable network distribution, and limited reproducibility</w:t>
      </w:r>
      <w:r w:rsidRPr="006D5DA1">
        <w:rPr>
          <w:rFonts w:ascii="Arial" w:hAnsi="Arial" w:cs="Arial"/>
          <w:highlight w:val="yellow"/>
          <w:lang w:val="en-IN"/>
        </w:rPr>
        <w:t xml:space="preserve"> </w:t>
      </w:r>
      <w:r w:rsidRPr="006D5DA1">
        <w:rPr>
          <w:rFonts w:ascii="Arial" w:hAnsi="Arial" w:cs="Arial"/>
          <w:highlight w:val="yellow"/>
          <w:lang w:val="en-IN"/>
        </w:rPr>
        <w:t>factors that hinder reliable scaling (92). To overcome these issues, researchers introduced a bioprinted cancer-on-a-chip system containing independently fabricated blood and lymphatic compartments (93). Using adjustable bioinks such as alginate, GelMA, and PEG with a multilayer coaxial printing design, they formed hollow, perfusable vascular and lymphatic channels that encircled the tumor component within a microfluidic environment (94). This integrated platform enabled systematic assessment of macromolecular and drug transport, highlighting the necessity of lymphatic elements for studying tumor progression, invasion, and therapeutic resistance (95).</w:t>
      </w:r>
    </w:p>
    <w:p w14:paraId="580285D8" w14:textId="77777777" w:rsidR="006D5DA1" w:rsidRPr="006D5DA1" w:rsidRDefault="006D5DA1" w:rsidP="006D5DA1">
      <w:pPr>
        <w:pStyle w:val="Body"/>
        <w:rPr>
          <w:rFonts w:ascii="Arial" w:hAnsi="Arial" w:cs="Arial"/>
          <w:lang w:val="en-IN"/>
        </w:rPr>
      </w:pPr>
      <w:r w:rsidRPr="006D5DA1">
        <w:rPr>
          <w:rFonts w:ascii="Arial" w:hAnsi="Arial" w:cs="Arial"/>
          <w:highlight w:val="yellow"/>
          <w:lang w:val="en-IN"/>
        </w:rPr>
        <w:t>Parallel innovations have supported patient-specific glioblastoma (GBM)-on-a-chip models generated through bottom-up printing of ring-like GBM structures that incorporate patient-derived cells and brain-specific dECM (96). These chips also include programmed vascular-mimetic channels within gas-permeable architectures to evaluate biophysical cues influencing GBM behavior and treatment responses (97). Notably, in vitro results strongly aligned with clinical outcomes, allowing predictive modeling and optimized combination-therapy selection (98). Microfluidic integration further permits multiplexed drug testing through parallel channels, increasing throughput for screening anticancer agents (99). When paired with biosensing modalities, these systems support real-time monitoring and high-content analysis, offering a rapid and patient-tailored alternative to traditional xenograft approaches, which remain slow and resource intensive (100). Together, 3D bioprinting and microfluidics are establishing scalable, clinically relevant platforms that enhance precision oncology research and personalized therapeutic decision-making.</w:t>
      </w:r>
    </w:p>
    <w:p w14:paraId="0428A50C" w14:textId="77777777" w:rsidR="00864CA0" w:rsidRPr="00864CA0" w:rsidRDefault="00864CA0" w:rsidP="00864CA0">
      <w:pPr>
        <w:pStyle w:val="Body"/>
        <w:rPr>
          <w:rFonts w:ascii="Arial" w:hAnsi="Arial" w:cs="Arial"/>
        </w:rPr>
      </w:pPr>
      <w:r w:rsidRPr="00864CA0">
        <w:rPr>
          <w:rFonts w:ascii="Arial" w:hAnsi="Arial" w:cs="Arial"/>
        </w:rPr>
        <w:t>Three-dimensional (3D) bioprinted cancer-on-a-chip systems offer significant potential for studying cancer metastasis a process responsible for approximately 90% of cancer-related deaths by simulating the tumor microenvironment (TME) and enabling the investigation of cancer cell interactions, invasion, and migration (101). Traditional two-dimensional (2D) in vitro models often fail to replicate the complex architecture and dynamic conditions of human tissues, limiting their effectiveness in studying metastasis. In contrast, 3D bioprinting facilitates the creation of perfusable microfluidic devices that more accurately mimic the TME, allowing for precise modeling of tumor behavior and progression (102). Recent advancements have led to the development of sophisticated vascularized tumor models using sacrificial hydrogels to create hollow channels within cell-laden matrices, which are then seeded with endothelial cells to form functional blood vessel-like structures that support tumor angiogenesis and metastasis. Furthermore, co-culture systems integrating tumor cells with stromal components, such as fibroblasts and immune cells, have been developed to investigate tumor-stroma interactions, providing deeper insights into cancer cell dissemination and serving as platforms for testing therapeutic interventions targeting metastasis (103).</w:t>
      </w:r>
    </w:p>
    <w:p w14:paraId="26507E40" w14:textId="52ECF77D" w:rsidR="00864CA0" w:rsidRPr="00864CA0" w:rsidRDefault="00864CA0" w:rsidP="00864CA0">
      <w:pPr>
        <w:pStyle w:val="Body"/>
        <w:rPr>
          <w:rFonts w:ascii="Arial" w:hAnsi="Arial" w:cs="Arial"/>
          <w:b/>
          <w:bCs/>
        </w:rPr>
      </w:pPr>
      <w:r w:rsidRPr="00864CA0">
        <w:rPr>
          <w:rFonts w:ascii="Arial" w:hAnsi="Arial" w:cs="Arial"/>
          <w:b/>
          <w:bCs/>
        </w:rPr>
        <w:t xml:space="preserve">7. Future Perspectives: </w:t>
      </w:r>
    </w:p>
    <w:p w14:paraId="79081C43" w14:textId="77777777" w:rsidR="00864CA0" w:rsidRPr="00864CA0" w:rsidRDefault="00864CA0" w:rsidP="00864CA0">
      <w:pPr>
        <w:pStyle w:val="Body"/>
        <w:rPr>
          <w:rFonts w:ascii="Arial" w:hAnsi="Arial" w:cs="Arial"/>
        </w:rPr>
      </w:pPr>
      <w:r w:rsidRPr="00864CA0">
        <w:rPr>
          <w:rFonts w:ascii="Arial" w:hAnsi="Arial" w:cs="Arial"/>
        </w:rPr>
        <w:t xml:space="preserve">Human tumors exist within intricate and dynamic microenvironments that significantly influence disease progression and metastasis (104). To replicate these complex tumor microenvironments (TMEs) in three-dimensional (3D) in vitro platforms, it's essential to </w:t>
      </w:r>
      <w:r w:rsidRPr="00864CA0">
        <w:rPr>
          <w:rFonts w:ascii="Arial" w:hAnsi="Arial" w:cs="Arial"/>
        </w:rPr>
        <w:lastRenderedPageBreak/>
        <w:t xml:space="preserve">integrate both structurally and compositionally relevant microtissues into microfluidic devices, facilitating dynamic cancer-stroma interactions (105). Three-dimensional bioprinting emerges as a pivotal technology in this context, enabling the rapid, automated, and precise fabrication of complex, reproducible tumor models. When combined with organ-on-a-chip systems, which emulate key physiological, biophysical, and biochemical cues found in vivo, this integration holds promise for advancing our understanding of tumor pathophysiology and enhancing the screening of effective treatments (106). Despite the potential of these models to recapitulate essential cellular and non-cellular components of the TME, the inclusion of immune system elements has been limited. Current research is actively focusing on developing immunocompetent cancer-on-a-chip models to better evaluate tumor-immune interactions and to screen potential anti-cancer immunotherapies (107). These immune-active platforms have been relatively underexplored, but integrating multiple tumor-associated immune cells and soluble factors within a dynamic environment could facilitate immunotherapy screening under flow conditions, providing more realistic data outputs. Key parameters such as the complexity of tumor-immune cell interactions, the long-term viability of immune cells under flow, and their phenotypic stability over time must be carefully addressed in these setups. Advancements in this direction are anticipated in the coming years. </w:t>
      </w:r>
    </w:p>
    <w:p w14:paraId="47312D53" w14:textId="77777777" w:rsidR="00864CA0" w:rsidRPr="00864CA0" w:rsidRDefault="00864CA0" w:rsidP="00864CA0">
      <w:pPr>
        <w:pStyle w:val="Body"/>
        <w:rPr>
          <w:rFonts w:ascii="Arial" w:hAnsi="Arial" w:cs="Arial"/>
        </w:rPr>
      </w:pPr>
      <w:r w:rsidRPr="00864CA0">
        <w:rPr>
          <w:rFonts w:ascii="Arial" w:hAnsi="Arial" w:cs="Arial"/>
        </w:rPr>
        <w:t xml:space="preserve">The synergistic combination of 3D bioprinting and organ-on-a-chip technologies may lead to the creation of human tumor models that accurately mimic tumor, stromal, and vascular components, as well as the fluid and cellular transport dynamics crucial for cancer aggressiveness and therapeutic resistance. While 3D-bioprinted cancer-on-a-chip is a promising strategy for fabricating complex constructs, the field is still in its early stages, with significant room for progress toward high-throughput and fully patient-personalized systems. Challenges remain in optimizing bioprinting processes on-a-chip and incorporating extracellular matrix (ECM)-mimetic biomaterials, such as tumor-derived decellularized matrices, to more accurately reproduce native tissues. Additionally, integrating computer-controlled sensors-on-chip to monitor real-time data regarding gas exchange, pH levels, and metabolic markers (e.g., glucose or lactate levels in culture media) needs standardization. Such advancements would enable the real-time detection of key biomarkers and the rapid extraction of valuable quantitative readouts from circulating culture media. Future developments in optimizing biomimetic bioinks and physiomimetic chip designs are expected to facilitate the broader adoption of 3D-bioprinted cancer-on-a-chip platforms for both fundamental tumor biology studies and advanced therapeutic screening. </w:t>
      </w:r>
    </w:p>
    <w:p w14:paraId="44A4B413" w14:textId="6EDDF3C2"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Cancer-on-Chip Models:</w:t>
      </w:r>
      <w:r w:rsidRPr="00864CA0">
        <w:rPr>
          <w:rFonts w:ascii="Arial" w:hAnsi="Arial" w:cs="Arial"/>
        </w:rPr>
        <w:t xml:space="preserve"> Recent studies have highlighted the potential of cancer-on-chip devices to emulate the tumor microenvironment and metastatic processes. These microfluidic platforms aim to bridge the gap between traditional in vitro models and in vivo conditions, offering a more accurate representation of human cancer physiology. By incorporating various cell types and mimicking mechanical stimuli, these devices provide valuable insights into tumor behavior and progression.</w:t>
      </w:r>
    </w:p>
    <w:p w14:paraId="7D9D1E75" w14:textId="16106A94"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Immunocompetent Platforms for Immunotherapy Assessment:</w:t>
      </w:r>
      <w:r w:rsidRPr="00864CA0">
        <w:rPr>
          <w:rFonts w:ascii="Arial" w:hAnsi="Arial" w:cs="Arial"/>
        </w:rPr>
        <w:t xml:space="preserve"> The integration of immune system components into organ-on-a-chip platforms has been a focal point in recent research. For instance, human immunocompetent organ-on-chip models have been developed to evaluate the safety profiles of tumor-targeted T-cell bispecific antibodies. These platforms allow for the assessment of potential on-target, off-tumor risks, thereby improving the predictive accuracy of preclinical safety evaluations.</w:t>
      </w:r>
    </w:p>
    <w:p w14:paraId="0FA65B61" w14:textId="7E43E9B3"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Microfluidic Models for Cancer Immunotherapy Development:</w:t>
      </w:r>
      <w:r w:rsidRPr="00864CA0">
        <w:rPr>
          <w:rFonts w:ascii="Arial" w:hAnsi="Arial" w:cs="Arial"/>
        </w:rPr>
        <w:t xml:space="preserve"> The application of microfluidic tumor models has gained traction in cancer immunotherapy development. These models enable the simulation of complex tumor-immune interactions within a controlled </w:t>
      </w:r>
      <w:r w:rsidRPr="00864CA0">
        <w:rPr>
          <w:rFonts w:ascii="Arial" w:hAnsi="Arial" w:cs="Arial"/>
        </w:rPr>
        <w:lastRenderedPageBreak/>
        <w:t>environment, facilitating the evaluation of novel immunotherapeutic agents. By providing a more physiologically relevant platform, microfluidic models aim to enhance the translation of preclinical findings to clinical outcomes.</w:t>
      </w:r>
    </w:p>
    <w:p w14:paraId="7C0C48DD" w14:textId="5A1ADE7F"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Advances in Intestine-on-a-Chip Models</w:t>
      </w:r>
      <w:r w:rsidRPr="00864CA0">
        <w:rPr>
          <w:rFonts w:ascii="Arial" w:hAnsi="Arial" w:cs="Arial"/>
        </w:rPr>
        <w:t xml:space="preserve">: Progress in intestine-on-a-chip technology has led to the co-culturing of intestinal epithelial cells with immune cells, such as peripheral blood mononuclear cells, monocytes, macrophages, or neutrophils. This advancement allows for the study of immune responses within the intestinal microenvironment, providing insights into host-microbe interactions and inflammatory processes relevant to cancer development. </w:t>
      </w:r>
    </w:p>
    <w:p w14:paraId="7E544210" w14:textId="6F534049" w:rsidR="00864CA0" w:rsidRPr="00864CA0" w:rsidRDefault="00864CA0" w:rsidP="00864CA0">
      <w:pPr>
        <w:pStyle w:val="Body"/>
        <w:rPr>
          <w:rFonts w:ascii="Arial" w:hAnsi="Arial" w:cs="Arial"/>
        </w:rPr>
      </w:pPr>
      <w:r w:rsidRPr="00864CA0">
        <w:rPr>
          <w:rFonts w:ascii="Arial" w:hAnsi="Arial" w:cs="Arial"/>
          <w:b/>
          <w:bCs/>
        </w:rPr>
        <w:t>• Microfluidics for Personalized Cancer Treatment:</w:t>
      </w:r>
      <w:r w:rsidRPr="00864CA0">
        <w:rPr>
          <w:rFonts w:ascii="Arial" w:hAnsi="Arial" w:cs="Arial"/>
        </w:rPr>
        <w:t xml:space="preserve"> Microfluidic technologies have been employed to simulate tumor microenvironments, aiding in the testing of anticancer drugs. These devices facilitate the analysis of tumor composition and drug sensitivities, enabling personalized treatment strategies. By providing a platform for high-throughput drug screening and toxicity testing, microfluidics contributes to the development of tailored cancer therapies. </w:t>
      </w:r>
    </w:p>
    <w:p w14:paraId="017762B7" w14:textId="2428912C"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Researchers in China are testing an experimental 3D-printed breast prosthesis capable of sensing and targeting breast cancer relapse. This prosthesis contains a gel responsive to specific oxygen-containing molecules indicative of tumor activity, releasing therapeutic agents to induce tumor cell death. In mouse experiments, this approach demonstrated significant anti-cancer effects, suggesting potential for further development, including the incorporation of chemotherapy drugs. However, human trials are still in the distant future.</w:t>
      </w:r>
    </w:p>
    <w:p w14:paraId="5C12C68B" w14:textId="1CFF6EE7"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 xml:space="preserve">The Wyss Institute for Biologically Inspired Engineering has pioneered the development of organ-on-a-chip technologies, including the first 3D lung-on-a-chip that mimics human lung functions. Following this, the team developed kidney-on-a-chip and intestine-on-a-chip models. In 2014, the spin-off company Emulate was established to make these organ chips commercially available for disease modeling and drug testing. </w:t>
      </w:r>
    </w:p>
    <w:p w14:paraId="5757A7F3" w14:textId="7E7F3C28"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 xml:space="preserve">Microfluidic technologies are being leveraged for personalized cancer treatment by enabling sensitive detection with higher throughput and reduced time and costs. These technologies facilitate the analysis of tumor composition and drug sensitivities, aiding in the prediction of patient-specific drug responses and the progression of diseases based on the presence of specific biomarkers. </w:t>
      </w:r>
    </w:p>
    <w:p w14:paraId="58D2F855" w14:textId="77777777" w:rsidR="00864CA0" w:rsidRPr="00864CA0" w:rsidRDefault="00864CA0" w:rsidP="00864CA0">
      <w:pPr>
        <w:pStyle w:val="Body"/>
        <w:rPr>
          <w:rFonts w:ascii="Arial" w:hAnsi="Arial" w:cs="Arial"/>
        </w:rPr>
      </w:pPr>
      <w:r w:rsidRPr="00864CA0">
        <w:rPr>
          <w:rFonts w:ascii="Arial" w:hAnsi="Arial" w:cs="Arial"/>
        </w:rPr>
        <w:t>These advancements underscore the potential of integrating 3D bioprinting with organ-on-a-chip systems to create more accurate and functional tumor models, thereby enhancing our understanding of cancer biology and improving the development and screening of therapeutic interventions (108).</w:t>
      </w:r>
    </w:p>
    <w:p w14:paraId="6E9D8B54" w14:textId="00CFFE94" w:rsidR="00864CA0" w:rsidRDefault="00864CA0" w:rsidP="00864CA0">
      <w:pPr>
        <w:pStyle w:val="AcknHead"/>
        <w:jc w:val="both"/>
        <w:rPr>
          <w:rFonts w:ascii="Arial" w:hAnsi="Arial" w:cs="Arial"/>
        </w:rPr>
      </w:pPr>
      <w:r w:rsidRPr="00FB3A86">
        <w:rPr>
          <w:rFonts w:ascii="Arial" w:hAnsi="Arial" w:cs="Arial"/>
        </w:rPr>
        <w:t>c</w:t>
      </w:r>
      <w:r>
        <w:rPr>
          <w:rFonts w:ascii="Arial" w:hAnsi="Arial" w:cs="Arial"/>
        </w:rPr>
        <w:t xml:space="preserve">ONCLUSION: </w:t>
      </w:r>
    </w:p>
    <w:p w14:paraId="21605A8B" w14:textId="473251FB" w:rsidR="00ED7AE5" w:rsidRDefault="00864CA0" w:rsidP="00864CA0">
      <w:pPr>
        <w:pStyle w:val="Body"/>
        <w:spacing w:after="0"/>
        <w:rPr>
          <w:rFonts w:ascii="Arial" w:hAnsi="Arial" w:cs="Arial"/>
        </w:rPr>
      </w:pPr>
      <w:r w:rsidRPr="00864CA0">
        <w:rPr>
          <w:rFonts w:ascii="Arial" w:hAnsi="Arial" w:cs="Arial"/>
        </w:rPr>
        <w:t xml:space="preserve">The integration of 3D bioprinting and organ-on-a-chip technologies represents a transformative leap in precision oncology, enabling the fabrication of physiologically relevant cancer models. These advanced platforms successfully mimic the structural, biochemical, and biophysical complexity of the tumor microenvironment, allowing for more accurate drug screening, mechanistic studies, and personalized treatment strategies. While significant progress has been made in incorporating vascularized networks, tumor-stroma interactions, and dynamic culture conditions, challenges remain in optimizing bioink formulations, achieving long-term cell viability, and standardizing microfluidic designs for large-scale applications. The future of 3D-bioprinted cancer-on-a-chip systems lies in the refinement of ECM-mimetic materials, the incorporation of real-time biosensors for continuous monitoring, </w:t>
      </w:r>
      <w:r w:rsidRPr="00864CA0">
        <w:rPr>
          <w:rFonts w:ascii="Arial" w:hAnsi="Arial" w:cs="Arial"/>
        </w:rPr>
        <w:lastRenderedPageBreak/>
        <w:t xml:space="preserve">and the development of fully immunocompetent tumor models to advance cancer immunotherapy research. Moreover, leveraging artificial intelligence and computational modeling in these platforms can further enhance predictive capabilities, accelerating the transition of promising therapies from bench to bedside. As this multidisciplinary field continues to evolve, the seamless convergence of bioprinting, microfluidics, and high-throughput screening technologies will revolutionize cancer research, ultimately improve patient-specific therapeutic outcomes and </w:t>
      </w:r>
      <w:proofErr w:type="gramStart"/>
      <w:r w:rsidRPr="00864CA0">
        <w:rPr>
          <w:rFonts w:ascii="Arial" w:hAnsi="Arial" w:cs="Arial"/>
        </w:rPr>
        <w:t>advancing</w:t>
      </w:r>
      <w:proofErr w:type="gramEnd"/>
      <w:r w:rsidRPr="00864CA0">
        <w:rPr>
          <w:rFonts w:ascii="Arial" w:hAnsi="Arial" w:cs="Arial"/>
        </w:rPr>
        <w:t xml:space="preserve"> the era of precision medicine.</w:t>
      </w:r>
    </w:p>
    <w:p w14:paraId="7E7E52BB" w14:textId="77777777" w:rsidR="00ED7AE5" w:rsidRDefault="00ED7AE5" w:rsidP="00441B6F">
      <w:pPr>
        <w:pStyle w:val="Body"/>
        <w:spacing w:after="0"/>
        <w:rPr>
          <w:rFonts w:ascii="Arial" w:hAnsi="Arial" w:cs="Arial"/>
        </w:rPr>
      </w:pPr>
    </w:p>
    <w:p w14:paraId="7AE69F3A" w14:textId="77777777" w:rsidR="00790ADA" w:rsidRPr="00FB3A86" w:rsidRDefault="00790ADA" w:rsidP="00441B6F">
      <w:pPr>
        <w:pStyle w:val="Body"/>
        <w:spacing w:after="0"/>
        <w:rPr>
          <w:rFonts w:ascii="Arial" w:hAnsi="Arial" w:cs="Arial"/>
        </w:rPr>
      </w:pPr>
    </w:p>
    <w:p w14:paraId="6AFDB4E2" w14:textId="77777777" w:rsidR="00315186" w:rsidRPr="00315186" w:rsidRDefault="00315186" w:rsidP="00441B6F"/>
    <w:p w14:paraId="6AFA5ECF" w14:textId="77777777" w:rsidR="00D362CA" w:rsidRPr="003A29C6" w:rsidRDefault="00D362CA" w:rsidP="00D362CA">
      <w:pPr>
        <w:jc w:val="both"/>
        <w:outlineLvl w:val="0"/>
        <w:rPr>
          <w:rFonts w:ascii="Arial" w:hAnsi="Arial" w:cs="Arial"/>
        </w:rPr>
      </w:pPr>
      <w:r w:rsidRPr="003A29C6">
        <w:rPr>
          <w:rFonts w:ascii="Arial" w:hAnsi="Arial" w:cs="Arial"/>
          <w:b/>
          <w:bCs/>
        </w:rPr>
        <w:t>COMPETING INTERESTS DISCLAIMER:</w:t>
      </w:r>
    </w:p>
    <w:p w14:paraId="22141A52" w14:textId="77777777" w:rsidR="00D362CA" w:rsidRDefault="00D362CA" w:rsidP="00D362CA">
      <w:r w:rsidRPr="00A10EDE">
        <w:t>Authors have declared that they have no known competing financial interests OR non-financial interests OR personal relationships that could have appeared to influence the work reported in this paper.</w:t>
      </w:r>
    </w:p>
    <w:p w14:paraId="04B0D326" w14:textId="33423930" w:rsidR="00860000" w:rsidRPr="00864CA0" w:rsidRDefault="00860000" w:rsidP="00441B6F">
      <w:pPr>
        <w:pStyle w:val="ReferHead"/>
        <w:spacing w:after="0"/>
        <w:jc w:val="both"/>
        <w:rPr>
          <w:rFonts w:ascii="Arial" w:hAnsi="Arial" w:cs="Arial"/>
          <w:b w:val="0"/>
          <w:caps w:val="0"/>
          <w:sz w:val="20"/>
        </w:rPr>
      </w:pPr>
    </w:p>
    <w:p w14:paraId="57D7A5B5" w14:textId="77777777" w:rsidR="0022687B" w:rsidRPr="0022687B" w:rsidRDefault="0022687B" w:rsidP="0022687B">
      <w:pPr>
        <w:pStyle w:val="ReferHead"/>
        <w:jc w:val="both"/>
        <w:rPr>
          <w:rFonts w:ascii="Arial" w:hAnsi="Arial" w:cs="Arial"/>
          <w:b w:val="0"/>
          <w:caps w:val="0"/>
          <w:sz w:val="20"/>
          <w:highlight w:val="yellow"/>
        </w:rPr>
      </w:pPr>
      <w:r w:rsidRPr="0022687B">
        <w:rPr>
          <w:rFonts w:ascii="Arial" w:hAnsi="Arial" w:cs="Arial"/>
          <w:b w:val="0"/>
          <w:caps w:val="0"/>
          <w:sz w:val="20"/>
          <w:highlight w:val="yellow"/>
        </w:rPr>
        <w:t xml:space="preserve">Author(s) hereby declare that generative AI technologies such as Large Language Models have been used during the writing or editing of the manuscript. This explanation includes the name, version, model, and source of the generative AI technology, as well as the general nature of the input prompts provided. </w:t>
      </w:r>
    </w:p>
    <w:p w14:paraId="008C366C" w14:textId="1AA21A4C" w:rsidR="0022687B" w:rsidRPr="0022687B" w:rsidRDefault="0022687B" w:rsidP="0022687B">
      <w:pPr>
        <w:pStyle w:val="ReferHead"/>
        <w:jc w:val="both"/>
        <w:rPr>
          <w:rFonts w:ascii="Arial" w:hAnsi="Arial" w:cs="Arial"/>
          <w:b w:val="0"/>
          <w:caps w:val="0"/>
          <w:sz w:val="20"/>
          <w:highlight w:val="yellow"/>
        </w:rPr>
      </w:pPr>
      <w:r w:rsidRPr="0022687B">
        <w:rPr>
          <w:rFonts w:ascii="Arial" w:hAnsi="Arial" w:cs="Arial"/>
          <w:b w:val="0"/>
          <w:caps w:val="0"/>
          <w:sz w:val="20"/>
          <w:highlight w:val="yellow"/>
        </w:rPr>
        <w:t>Details of the AI usage are given below:</w:t>
      </w:r>
    </w:p>
    <w:p w14:paraId="0EA1064A" w14:textId="734A0B0B" w:rsidR="00371FB6" w:rsidRDefault="0022687B" w:rsidP="00CA7536">
      <w:pPr>
        <w:pStyle w:val="ReferHead"/>
        <w:numPr>
          <w:ilvl w:val="0"/>
          <w:numId w:val="32"/>
        </w:numPr>
        <w:jc w:val="both"/>
        <w:rPr>
          <w:rFonts w:ascii="Arial" w:hAnsi="Arial" w:cs="Arial"/>
          <w:b w:val="0"/>
          <w:caps w:val="0"/>
          <w:sz w:val="20"/>
          <w:highlight w:val="yellow"/>
        </w:rPr>
      </w:pPr>
      <w:r w:rsidRPr="0022687B">
        <w:rPr>
          <w:rFonts w:ascii="Arial" w:hAnsi="Arial" w:cs="Arial"/>
          <w:b w:val="0"/>
          <w:caps w:val="0"/>
          <w:sz w:val="20"/>
          <w:highlight w:val="yellow"/>
        </w:rPr>
        <w:t>ChatGPT (GPT-5.1), developed by OpenAI and accessed through the official ChatGPT platform, was used exclusively for improving English language proficiency during manuscript preparation. The assistance included grammar correction, sentence restructuring, clarity enhancement, and refinement of academic tone. Typical prompts included requests such as: “Improve the English grammar and flow of this paragraph,” “Rewrite this sentence in a more academic style,” and “Enhance clarity and coherence without changing the scientific meaning.”</w:t>
      </w:r>
    </w:p>
    <w:p w14:paraId="46F897D9" w14:textId="67572F52" w:rsidR="00CA7536" w:rsidRPr="0022687B" w:rsidRDefault="00CA7536" w:rsidP="00CA7536">
      <w:pPr>
        <w:pStyle w:val="ReferHead"/>
        <w:spacing w:after="0"/>
        <w:jc w:val="both"/>
        <w:rPr>
          <w:rFonts w:ascii="Arial" w:hAnsi="Arial" w:cs="Arial"/>
          <w:b w:val="0"/>
          <w:caps w:val="0"/>
          <w:sz w:val="20"/>
          <w:highlight w:val="yellow"/>
        </w:rPr>
      </w:pPr>
      <w:r w:rsidRPr="00CA7536">
        <w:rPr>
          <w:rFonts w:ascii="Arial" w:hAnsi="Arial" w:cs="Arial"/>
          <w:b w:val="0"/>
          <w:caps w:val="0"/>
          <w:sz w:val="20"/>
          <w:highlight w:val="yellow"/>
        </w:rPr>
        <w:t>No AI tools were used for data analysis, interpretation of results, creation of scientific content, or generating novel ideas. All scientific content, conclusions, and interpretations are solely the work of the authors.</w:t>
      </w:r>
    </w:p>
    <w:p w14:paraId="3E2F6D73" w14:textId="77777777" w:rsidR="005C784C" w:rsidRDefault="005C784C" w:rsidP="00441B6F">
      <w:pPr>
        <w:pStyle w:val="ReferHead"/>
        <w:spacing w:after="0"/>
        <w:jc w:val="both"/>
        <w:rPr>
          <w:rFonts w:ascii="Arial" w:hAnsi="Arial" w:cs="Arial"/>
          <w:b w:val="0"/>
          <w:caps w:val="0"/>
          <w:sz w:val="20"/>
        </w:rPr>
      </w:pPr>
    </w:p>
    <w:p w14:paraId="2B5EDD9F" w14:textId="77777777" w:rsidR="00860000" w:rsidRDefault="00860000" w:rsidP="00441B6F">
      <w:pPr>
        <w:pStyle w:val="ReferHead"/>
        <w:spacing w:after="0"/>
        <w:jc w:val="both"/>
        <w:rPr>
          <w:rFonts w:ascii="Arial" w:hAnsi="Arial" w:cs="Arial"/>
        </w:rPr>
      </w:pPr>
    </w:p>
    <w:p w14:paraId="7168DB6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B5D290" w14:textId="77777777" w:rsidR="00790ADA" w:rsidRPr="00FB3A86" w:rsidRDefault="00790ADA" w:rsidP="00441B6F">
      <w:pPr>
        <w:pStyle w:val="ReferHead"/>
        <w:spacing w:after="0"/>
        <w:jc w:val="both"/>
        <w:rPr>
          <w:rFonts w:ascii="Arial" w:hAnsi="Arial" w:cs="Arial"/>
        </w:rPr>
      </w:pPr>
    </w:p>
    <w:p w14:paraId="3020B2FF" w14:textId="3673A43A" w:rsidR="00864CA0" w:rsidRPr="00864CA0" w:rsidRDefault="00864CA0" w:rsidP="00864CA0">
      <w:pPr>
        <w:pStyle w:val="Body"/>
        <w:rPr>
          <w:rFonts w:ascii="Arial" w:hAnsi="Arial" w:cs="Arial"/>
        </w:rPr>
      </w:pPr>
      <w:r w:rsidRPr="00864CA0">
        <w:rPr>
          <w:rFonts w:ascii="Arial" w:hAnsi="Arial" w:cs="Arial"/>
        </w:rPr>
        <w:t>1.</w:t>
      </w:r>
      <w:r>
        <w:rPr>
          <w:rFonts w:ascii="Arial" w:hAnsi="Arial" w:cs="Arial"/>
        </w:rPr>
        <w:t xml:space="preserve"> </w:t>
      </w:r>
      <w:r w:rsidR="00653366" w:rsidRPr="00653366">
        <w:rPr>
          <w:rFonts w:ascii="Arial" w:hAnsi="Arial" w:cs="Arial"/>
        </w:rPr>
        <w:t xml:space="preserve">Hanahan, D., &amp; Weinberg, R. A. (2011). Hallmarks of cancer: The next generation. Cell, 144(5), 646-74. </w:t>
      </w:r>
      <w:hyperlink r:id="rId16" w:history="1">
        <w:r w:rsidR="00653366" w:rsidRPr="00AF79D3">
          <w:rPr>
            <w:rStyle w:val="Hyperlink"/>
            <w:rFonts w:ascii="Arial" w:hAnsi="Arial" w:cs="Arial"/>
          </w:rPr>
          <w:t>https://doi.org/10.1016/j.cell.2011.02.013</w:t>
        </w:r>
      </w:hyperlink>
      <w:r w:rsidR="00653366">
        <w:rPr>
          <w:rFonts w:ascii="Arial" w:hAnsi="Arial" w:cs="Arial"/>
        </w:rPr>
        <w:t xml:space="preserve"> </w:t>
      </w:r>
      <w:r w:rsidRPr="00864CA0">
        <w:rPr>
          <w:rFonts w:ascii="Arial" w:hAnsi="Arial" w:cs="Arial"/>
        </w:rPr>
        <w:t>.</w:t>
      </w:r>
    </w:p>
    <w:p w14:paraId="717FA26C" w14:textId="101B1E63" w:rsidR="00864CA0" w:rsidRPr="00864CA0" w:rsidRDefault="00864CA0" w:rsidP="00864CA0">
      <w:pPr>
        <w:pStyle w:val="Body"/>
        <w:rPr>
          <w:rFonts w:ascii="Arial" w:hAnsi="Arial" w:cs="Arial"/>
        </w:rPr>
      </w:pPr>
      <w:r w:rsidRPr="00864CA0">
        <w:rPr>
          <w:rFonts w:ascii="Arial" w:hAnsi="Arial" w:cs="Arial"/>
        </w:rPr>
        <w:t>2.</w:t>
      </w:r>
      <w:r>
        <w:rPr>
          <w:rFonts w:ascii="Arial" w:hAnsi="Arial" w:cs="Arial"/>
        </w:rPr>
        <w:t xml:space="preserve"> </w:t>
      </w:r>
      <w:r w:rsidR="00442BA3" w:rsidRPr="00442BA3">
        <w:rPr>
          <w:rFonts w:ascii="Arial" w:hAnsi="Arial" w:cs="Arial"/>
        </w:rPr>
        <w:t xml:space="preserve">Quail, D. F., &amp; Joyce, J. A. (2013). Microenvironmental regulation of tumor progression and metastasis. Nature Medicine, 19(11), 1423-1437. </w:t>
      </w:r>
      <w:hyperlink r:id="rId17" w:history="1">
        <w:r w:rsidR="00442BA3" w:rsidRPr="00AF79D3">
          <w:rPr>
            <w:rStyle w:val="Hyperlink"/>
            <w:rFonts w:ascii="Arial" w:hAnsi="Arial" w:cs="Arial"/>
          </w:rPr>
          <w:t>https://doi.org/10.1038/nm.3394</w:t>
        </w:r>
      </w:hyperlink>
      <w:r w:rsidR="00442BA3">
        <w:rPr>
          <w:rFonts w:ascii="Arial" w:hAnsi="Arial" w:cs="Arial"/>
        </w:rPr>
        <w:t xml:space="preserve"> </w:t>
      </w:r>
      <w:r w:rsidRPr="00864CA0">
        <w:rPr>
          <w:rFonts w:ascii="Arial" w:hAnsi="Arial" w:cs="Arial"/>
        </w:rPr>
        <w:t>.</w:t>
      </w:r>
    </w:p>
    <w:p w14:paraId="4886F581" w14:textId="35BA01DC" w:rsidR="00864CA0" w:rsidRPr="00864CA0" w:rsidRDefault="00864CA0" w:rsidP="00864CA0">
      <w:pPr>
        <w:pStyle w:val="Body"/>
        <w:rPr>
          <w:rFonts w:ascii="Arial" w:hAnsi="Arial" w:cs="Arial"/>
        </w:rPr>
      </w:pPr>
      <w:r w:rsidRPr="00864CA0">
        <w:rPr>
          <w:rFonts w:ascii="Arial" w:hAnsi="Arial" w:cs="Arial"/>
        </w:rPr>
        <w:t>3.</w:t>
      </w:r>
      <w:r>
        <w:rPr>
          <w:rFonts w:ascii="Arial" w:hAnsi="Arial" w:cs="Arial"/>
        </w:rPr>
        <w:t xml:space="preserve"> </w:t>
      </w:r>
      <w:r w:rsidR="009E123E" w:rsidRPr="009E123E">
        <w:rPr>
          <w:rFonts w:ascii="Arial" w:hAnsi="Arial" w:cs="Arial"/>
        </w:rPr>
        <w:t xml:space="preserve">Balkwill, F. R., Capasso, M., &amp; Hagemann, T. (2012). The tumor microenvironment at a glance. Journal of Cell Science, 125(Pt 23), 5591-5596. </w:t>
      </w:r>
      <w:hyperlink r:id="rId18" w:history="1">
        <w:r w:rsidR="009E123E" w:rsidRPr="00AF79D3">
          <w:rPr>
            <w:rStyle w:val="Hyperlink"/>
            <w:rFonts w:ascii="Arial" w:hAnsi="Arial" w:cs="Arial"/>
          </w:rPr>
          <w:t>https://doi.org/10.1242/jcs.116392</w:t>
        </w:r>
      </w:hyperlink>
      <w:r w:rsidR="009E123E">
        <w:rPr>
          <w:rFonts w:ascii="Arial" w:hAnsi="Arial" w:cs="Arial"/>
        </w:rPr>
        <w:t xml:space="preserve"> </w:t>
      </w:r>
      <w:r w:rsidRPr="00864CA0">
        <w:rPr>
          <w:rFonts w:ascii="Arial" w:hAnsi="Arial" w:cs="Arial"/>
        </w:rPr>
        <w:t>.</w:t>
      </w:r>
    </w:p>
    <w:p w14:paraId="7C8541D5" w14:textId="75F4385D" w:rsidR="00864CA0" w:rsidRPr="00864CA0" w:rsidRDefault="00864CA0" w:rsidP="00864CA0">
      <w:pPr>
        <w:pStyle w:val="Body"/>
        <w:rPr>
          <w:rFonts w:ascii="Arial" w:hAnsi="Arial" w:cs="Arial"/>
        </w:rPr>
      </w:pPr>
      <w:r w:rsidRPr="00864CA0">
        <w:rPr>
          <w:rFonts w:ascii="Arial" w:hAnsi="Arial" w:cs="Arial"/>
        </w:rPr>
        <w:t>4.</w:t>
      </w:r>
      <w:r>
        <w:rPr>
          <w:rFonts w:ascii="Arial" w:hAnsi="Arial" w:cs="Arial"/>
        </w:rPr>
        <w:t xml:space="preserve"> </w:t>
      </w:r>
      <w:r w:rsidR="00F87A7E" w:rsidRPr="00F87A7E">
        <w:rPr>
          <w:rFonts w:ascii="Arial" w:hAnsi="Arial" w:cs="Arial"/>
        </w:rPr>
        <w:t xml:space="preserve">Junttila, M. R., &amp; de Sauvage, F. J. (2013). Influence of </w:t>
      </w:r>
      <w:proofErr w:type="spellStart"/>
      <w:r w:rsidR="00F87A7E" w:rsidRPr="00F87A7E">
        <w:rPr>
          <w:rFonts w:ascii="Arial" w:hAnsi="Arial" w:cs="Arial"/>
        </w:rPr>
        <w:t>tumour</w:t>
      </w:r>
      <w:proofErr w:type="spellEnd"/>
      <w:r w:rsidR="00F87A7E" w:rsidRPr="00F87A7E">
        <w:rPr>
          <w:rFonts w:ascii="Arial" w:hAnsi="Arial" w:cs="Arial"/>
        </w:rPr>
        <w:t xml:space="preserve"> micro-environment heterogeneity on therapeutic response. Nature, 501(7467), 346-354. </w:t>
      </w:r>
      <w:hyperlink r:id="rId19" w:history="1">
        <w:r w:rsidR="00F87A7E" w:rsidRPr="00AF79D3">
          <w:rPr>
            <w:rStyle w:val="Hyperlink"/>
            <w:rFonts w:ascii="Arial" w:hAnsi="Arial" w:cs="Arial"/>
          </w:rPr>
          <w:t>https://doi.org/10.1038/nature12626</w:t>
        </w:r>
      </w:hyperlink>
      <w:r w:rsidR="00F87A7E">
        <w:rPr>
          <w:rFonts w:ascii="Arial" w:hAnsi="Arial" w:cs="Arial"/>
        </w:rPr>
        <w:t xml:space="preserve"> </w:t>
      </w:r>
      <w:r w:rsidRPr="00864CA0">
        <w:rPr>
          <w:rFonts w:ascii="Arial" w:hAnsi="Arial" w:cs="Arial"/>
        </w:rPr>
        <w:t>.</w:t>
      </w:r>
    </w:p>
    <w:p w14:paraId="1F3B7EC5" w14:textId="7B3944A7" w:rsidR="00864CA0" w:rsidRPr="00864CA0" w:rsidRDefault="00864CA0" w:rsidP="00864CA0">
      <w:pPr>
        <w:pStyle w:val="Body"/>
        <w:rPr>
          <w:rFonts w:ascii="Arial" w:hAnsi="Arial" w:cs="Arial"/>
        </w:rPr>
      </w:pPr>
      <w:r w:rsidRPr="00864CA0">
        <w:rPr>
          <w:rFonts w:ascii="Arial" w:hAnsi="Arial" w:cs="Arial"/>
        </w:rPr>
        <w:t>5.</w:t>
      </w:r>
      <w:r>
        <w:rPr>
          <w:rFonts w:ascii="Arial" w:hAnsi="Arial" w:cs="Arial"/>
        </w:rPr>
        <w:t xml:space="preserve"> </w:t>
      </w:r>
      <w:r w:rsidR="00A7711B" w:rsidRPr="00A7711B">
        <w:rPr>
          <w:rFonts w:ascii="Arial" w:hAnsi="Arial" w:cs="Arial"/>
        </w:rPr>
        <w:t xml:space="preserve">Kalluri, R. (2016). The biology and function of fibroblasts in cancer. Nat Rev Cancer, 16(9), 582-98. </w:t>
      </w:r>
      <w:hyperlink r:id="rId20" w:history="1">
        <w:r w:rsidR="00A7711B" w:rsidRPr="00AF79D3">
          <w:rPr>
            <w:rStyle w:val="Hyperlink"/>
            <w:rFonts w:ascii="Arial" w:hAnsi="Arial" w:cs="Arial"/>
          </w:rPr>
          <w:t>https://doi.org/10.1038/nrc.2016.73</w:t>
        </w:r>
      </w:hyperlink>
      <w:r w:rsidR="00A7711B">
        <w:rPr>
          <w:rFonts w:ascii="Arial" w:hAnsi="Arial" w:cs="Arial"/>
        </w:rPr>
        <w:t xml:space="preserve"> </w:t>
      </w:r>
      <w:r w:rsidRPr="00864CA0">
        <w:rPr>
          <w:rFonts w:ascii="Arial" w:hAnsi="Arial" w:cs="Arial"/>
        </w:rPr>
        <w:t>.</w:t>
      </w:r>
    </w:p>
    <w:p w14:paraId="487AFEBE" w14:textId="74E29872" w:rsidR="00864CA0" w:rsidRPr="00864CA0" w:rsidRDefault="00864CA0" w:rsidP="00864CA0">
      <w:pPr>
        <w:pStyle w:val="Body"/>
        <w:rPr>
          <w:rFonts w:ascii="Arial" w:hAnsi="Arial" w:cs="Arial"/>
        </w:rPr>
      </w:pPr>
      <w:r w:rsidRPr="00864CA0">
        <w:rPr>
          <w:rFonts w:ascii="Arial" w:hAnsi="Arial" w:cs="Arial"/>
        </w:rPr>
        <w:lastRenderedPageBreak/>
        <w:t>6.</w:t>
      </w:r>
      <w:r>
        <w:rPr>
          <w:rFonts w:ascii="Arial" w:hAnsi="Arial" w:cs="Arial"/>
        </w:rPr>
        <w:t xml:space="preserve"> </w:t>
      </w:r>
      <w:r w:rsidR="00F065D9" w:rsidRPr="00F065D9">
        <w:rPr>
          <w:rFonts w:ascii="Arial" w:hAnsi="Arial" w:cs="Arial"/>
        </w:rPr>
        <w:t xml:space="preserve">Lu, P., Weaver, V. M., &amp; Werb, Z. (2012). The extracellular matrix: A dynamic niche in cancer progression. Journal of Cell Biology, 196(4), 395-406. </w:t>
      </w:r>
      <w:hyperlink r:id="rId21" w:history="1">
        <w:r w:rsidR="00F065D9" w:rsidRPr="00AF79D3">
          <w:rPr>
            <w:rStyle w:val="Hyperlink"/>
            <w:rFonts w:ascii="Arial" w:hAnsi="Arial" w:cs="Arial"/>
          </w:rPr>
          <w:t>https://doi.org/10.1083/jcb.201102147</w:t>
        </w:r>
      </w:hyperlink>
      <w:r w:rsidRPr="00864CA0">
        <w:rPr>
          <w:rFonts w:ascii="Arial" w:hAnsi="Arial" w:cs="Arial"/>
        </w:rPr>
        <w:t>.</w:t>
      </w:r>
    </w:p>
    <w:p w14:paraId="318B9B30" w14:textId="16B71D14" w:rsidR="00864CA0" w:rsidRPr="00864CA0" w:rsidRDefault="00864CA0" w:rsidP="00864CA0">
      <w:pPr>
        <w:pStyle w:val="Body"/>
        <w:rPr>
          <w:rFonts w:ascii="Arial" w:hAnsi="Arial" w:cs="Arial"/>
        </w:rPr>
      </w:pPr>
      <w:r w:rsidRPr="00864CA0">
        <w:rPr>
          <w:rFonts w:ascii="Arial" w:hAnsi="Arial" w:cs="Arial"/>
        </w:rPr>
        <w:t>7.</w:t>
      </w:r>
      <w:r>
        <w:rPr>
          <w:rFonts w:ascii="Arial" w:hAnsi="Arial" w:cs="Arial"/>
        </w:rPr>
        <w:t xml:space="preserve"> </w:t>
      </w:r>
      <w:r w:rsidR="00D378C5" w:rsidRPr="00D378C5">
        <w:rPr>
          <w:rFonts w:ascii="Arial" w:hAnsi="Arial" w:cs="Arial"/>
        </w:rPr>
        <w:t xml:space="preserve">Pickup, M. W., Mouw, J. K., &amp; Weaver, V. M. (2014). The extracellular matrix modulates the hallmarks of cancer. EMBO Reports, 15(12), 1243-1253. </w:t>
      </w:r>
      <w:hyperlink r:id="rId22" w:history="1">
        <w:r w:rsidR="00D378C5" w:rsidRPr="00AF79D3">
          <w:rPr>
            <w:rStyle w:val="Hyperlink"/>
            <w:rFonts w:ascii="Arial" w:hAnsi="Arial" w:cs="Arial"/>
          </w:rPr>
          <w:t>https://doi.org/10.15252/embr.201439246</w:t>
        </w:r>
      </w:hyperlink>
      <w:r w:rsidR="00D378C5">
        <w:rPr>
          <w:rFonts w:ascii="Arial" w:hAnsi="Arial" w:cs="Arial"/>
        </w:rPr>
        <w:t xml:space="preserve"> </w:t>
      </w:r>
      <w:r w:rsidRPr="00864CA0">
        <w:rPr>
          <w:rFonts w:ascii="Arial" w:hAnsi="Arial" w:cs="Arial"/>
        </w:rPr>
        <w:t>.</w:t>
      </w:r>
    </w:p>
    <w:p w14:paraId="53CD43F2" w14:textId="41CA995E" w:rsidR="00864CA0" w:rsidRPr="00864CA0" w:rsidRDefault="00864CA0" w:rsidP="00864CA0">
      <w:pPr>
        <w:pStyle w:val="Body"/>
        <w:rPr>
          <w:rFonts w:ascii="Arial" w:hAnsi="Arial" w:cs="Arial"/>
        </w:rPr>
      </w:pPr>
      <w:r w:rsidRPr="00864CA0">
        <w:rPr>
          <w:rFonts w:ascii="Arial" w:hAnsi="Arial" w:cs="Arial"/>
        </w:rPr>
        <w:t>8.</w:t>
      </w:r>
      <w:r>
        <w:rPr>
          <w:rFonts w:ascii="Arial" w:hAnsi="Arial" w:cs="Arial"/>
        </w:rPr>
        <w:t xml:space="preserve"> </w:t>
      </w:r>
      <w:r w:rsidR="00924FBB" w:rsidRPr="00924FBB">
        <w:rPr>
          <w:rFonts w:ascii="Arial" w:hAnsi="Arial" w:cs="Arial"/>
        </w:rPr>
        <w:t>Hirschhaeuser, F., Menne, H., Dittfeld, C., West, J., Mueller-Klieser, W., &amp; Kunz-</w:t>
      </w:r>
      <w:proofErr w:type="spellStart"/>
      <w:r w:rsidR="00924FBB" w:rsidRPr="00924FBB">
        <w:rPr>
          <w:rFonts w:ascii="Arial" w:hAnsi="Arial" w:cs="Arial"/>
        </w:rPr>
        <w:t>Schughart</w:t>
      </w:r>
      <w:proofErr w:type="spellEnd"/>
      <w:r w:rsidR="00924FBB" w:rsidRPr="00924FBB">
        <w:rPr>
          <w:rFonts w:ascii="Arial" w:hAnsi="Arial" w:cs="Arial"/>
        </w:rPr>
        <w:t xml:space="preserve">, L. A. (2010). Multicellular tumor spheroids: An underestimated tool is catching up again. Journal of Biotechnology, 148(1), 3-15. </w:t>
      </w:r>
      <w:hyperlink r:id="rId23" w:history="1">
        <w:r w:rsidR="00F3277F" w:rsidRPr="00AF79D3">
          <w:rPr>
            <w:rStyle w:val="Hyperlink"/>
            <w:rFonts w:ascii="Arial" w:hAnsi="Arial" w:cs="Arial"/>
          </w:rPr>
          <w:t>https://doi.org/10.1016/j.jbiotec.2010.01.012</w:t>
        </w:r>
      </w:hyperlink>
      <w:r w:rsidR="00F3277F">
        <w:rPr>
          <w:rFonts w:ascii="Arial" w:hAnsi="Arial" w:cs="Arial"/>
        </w:rPr>
        <w:t xml:space="preserve"> </w:t>
      </w:r>
      <w:r w:rsidRPr="00864CA0">
        <w:rPr>
          <w:rFonts w:ascii="Arial" w:hAnsi="Arial" w:cs="Arial"/>
        </w:rPr>
        <w:t>.</w:t>
      </w:r>
    </w:p>
    <w:p w14:paraId="04B48E02" w14:textId="1E9B5B27" w:rsidR="00864CA0" w:rsidRPr="00864CA0" w:rsidRDefault="00864CA0" w:rsidP="00864CA0">
      <w:pPr>
        <w:pStyle w:val="Body"/>
        <w:rPr>
          <w:rFonts w:ascii="Arial" w:hAnsi="Arial" w:cs="Arial"/>
        </w:rPr>
      </w:pPr>
      <w:r w:rsidRPr="00864CA0">
        <w:rPr>
          <w:rFonts w:ascii="Arial" w:hAnsi="Arial" w:cs="Arial"/>
        </w:rPr>
        <w:t>9.</w:t>
      </w:r>
      <w:r>
        <w:rPr>
          <w:rFonts w:ascii="Arial" w:hAnsi="Arial" w:cs="Arial"/>
        </w:rPr>
        <w:t xml:space="preserve"> </w:t>
      </w:r>
      <w:r w:rsidR="004215E1" w:rsidRPr="004215E1">
        <w:rPr>
          <w:rFonts w:ascii="Arial" w:hAnsi="Arial" w:cs="Arial"/>
        </w:rPr>
        <w:t xml:space="preserve">Edmondson, R., Broglie, J. J., Adcock, A. F., &amp; Yang, L. (2014). Three-dimensional cell culture systems and their applications in drug discovery and cell-based biosensors. Assay Drug Development Technologies, 12(4), 207-218. </w:t>
      </w:r>
      <w:hyperlink r:id="rId24" w:history="1">
        <w:r w:rsidR="004215E1" w:rsidRPr="00AF79D3">
          <w:rPr>
            <w:rStyle w:val="Hyperlink"/>
            <w:rFonts w:ascii="Arial" w:hAnsi="Arial" w:cs="Arial"/>
          </w:rPr>
          <w:t>https://doi.org/10.1089/adt.2014.573</w:t>
        </w:r>
      </w:hyperlink>
      <w:r w:rsidR="004215E1">
        <w:rPr>
          <w:rFonts w:ascii="Arial" w:hAnsi="Arial" w:cs="Arial"/>
        </w:rPr>
        <w:t xml:space="preserve"> </w:t>
      </w:r>
      <w:r w:rsidRPr="00864CA0">
        <w:rPr>
          <w:rFonts w:ascii="Arial" w:hAnsi="Arial" w:cs="Arial"/>
        </w:rPr>
        <w:t>.</w:t>
      </w:r>
    </w:p>
    <w:p w14:paraId="1DB89634" w14:textId="4EF145BB" w:rsidR="00864CA0" w:rsidRPr="00864CA0" w:rsidRDefault="00864CA0" w:rsidP="00864CA0">
      <w:pPr>
        <w:pStyle w:val="Body"/>
        <w:rPr>
          <w:rFonts w:ascii="Arial" w:hAnsi="Arial" w:cs="Arial"/>
        </w:rPr>
      </w:pPr>
      <w:r w:rsidRPr="00864CA0">
        <w:rPr>
          <w:rFonts w:ascii="Arial" w:hAnsi="Arial" w:cs="Arial"/>
        </w:rPr>
        <w:t>10.</w:t>
      </w:r>
      <w:r>
        <w:rPr>
          <w:rFonts w:ascii="Arial" w:hAnsi="Arial" w:cs="Arial"/>
        </w:rPr>
        <w:t xml:space="preserve"> </w:t>
      </w:r>
      <w:r w:rsidR="00014D7C" w:rsidRPr="00014D7C">
        <w:rPr>
          <w:rFonts w:ascii="Arial" w:hAnsi="Arial" w:cs="Arial"/>
        </w:rPr>
        <w:t xml:space="preserve">Fang, Y., &amp; </w:t>
      </w:r>
      <w:proofErr w:type="spellStart"/>
      <w:r w:rsidR="00014D7C" w:rsidRPr="00014D7C">
        <w:rPr>
          <w:rFonts w:ascii="Arial" w:hAnsi="Arial" w:cs="Arial"/>
        </w:rPr>
        <w:t>Eglen</w:t>
      </w:r>
      <w:proofErr w:type="spellEnd"/>
      <w:r w:rsidR="00014D7C" w:rsidRPr="00014D7C">
        <w:rPr>
          <w:rFonts w:ascii="Arial" w:hAnsi="Arial" w:cs="Arial"/>
        </w:rPr>
        <w:t xml:space="preserve">, R. M. (2017). Three-dimensional cell cultures in drug discovery and development. SLAS Discovery, 22(5), 456-472. </w:t>
      </w:r>
      <w:hyperlink r:id="rId25" w:history="1">
        <w:r w:rsidR="00014D7C" w:rsidRPr="00AF79D3">
          <w:rPr>
            <w:rStyle w:val="Hyperlink"/>
            <w:rFonts w:ascii="Arial" w:hAnsi="Arial" w:cs="Arial"/>
          </w:rPr>
          <w:t>https://doi.org/10.1177/1087057117696795</w:t>
        </w:r>
      </w:hyperlink>
      <w:r w:rsidR="00014D7C">
        <w:rPr>
          <w:rFonts w:ascii="Arial" w:hAnsi="Arial" w:cs="Arial"/>
        </w:rPr>
        <w:t xml:space="preserve"> </w:t>
      </w:r>
      <w:r w:rsidRPr="00864CA0">
        <w:rPr>
          <w:rFonts w:ascii="Arial" w:hAnsi="Arial" w:cs="Arial"/>
        </w:rPr>
        <w:t>.</w:t>
      </w:r>
    </w:p>
    <w:p w14:paraId="4D671A90" w14:textId="3FEC11E6" w:rsidR="00864CA0" w:rsidRPr="00864CA0" w:rsidRDefault="00864CA0" w:rsidP="00864CA0">
      <w:pPr>
        <w:pStyle w:val="Body"/>
        <w:rPr>
          <w:rFonts w:ascii="Arial" w:hAnsi="Arial" w:cs="Arial"/>
        </w:rPr>
      </w:pPr>
      <w:r w:rsidRPr="00864CA0">
        <w:rPr>
          <w:rFonts w:ascii="Arial" w:hAnsi="Arial" w:cs="Arial"/>
        </w:rPr>
        <w:t>11</w:t>
      </w:r>
      <w:r>
        <w:rPr>
          <w:rFonts w:ascii="Arial" w:hAnsi="Arial" w:cs="Arial"/>
        </w:rPr>
        <w:t xml:space="preserve"> </w:t>
      </w:r>
      <w:r w:rsidR="00F53206" w:rsidRPr="00F53206">
        <w:rPr>
          <w:rFonts w:ascii="Arial" w:hAnsi="Arial" w:cs="Arial"/>
        </w:rPr>
        <w:t xml:space="preserve">Rijal, G., &amp; Li, W. (2016). 3D scaffolds in breast cancer research. Biomaterials, 81, 135-156. </w:t>
      </w:r>
      <w:hyperlink r:id="rId26" w:history="1">
        <w:r w:rsidR="00F53206" w:rsidRPr="00AF79D3">
          <w:rPr>
            <w:rStyle w:val="Hyperlink"/>
            <w:rFonts w:ascii="Arial" w:hAnsi="Arial" w:cs="Arial"/>
          </w:rPr>
          <w:t>https://doi.org/10.1016/j.biomaterials.2015.12.016</w:t>
        </w:r>
      </w:hyperlink>
      <w:r w:rsidR="00F53206">
        <w:rPr>
          <w:rFonts w:ascii="Arial" w:hAnsi="Arial" w:cs="Arial"/>
        </w:rPr>
        <w:t xml:space="preserve"> </w:t>
      </w:r>
      <w:r w:rsidRPr="00864CA0">
        <w:rPr>
          <w:rFonts w:ascii="Arial" w:hAnsi="Arial" w:cs="Arial"/>
        </w:rPr>
        <w:t>.</w:t>
      </w:r>
    </w:p>
    <w:p w14:paraId="0772DFB5" w14:textId="648AF555" w:rsidR="00864CA0" w:rsidRPr="00864CA0" w:rsidRDefault="00864CA0" w:rsidP="00864CA0">
      <w:pPr>
        <w:pStyle w:val="Body"/>
        <w:rPr>
          <w:rFonts w:ascii="Arial" w:hAnsi="Arial" w:cs="Arial"/>
        </w:rPr>
      </w:pPr>
      <w:r w:rsidRPr="00864CA0">
        <w:rPr>
          <w:rFonts w:ascii="Arial" w:hAnsi="Arial" w:cs="Arial"/>
        </w:rPr>
        <w:t>12.</w:t>
      </w:r>
      <w:r>
        <w:rPr>
          <w:rFonts w:ascii="Arial" w:hAnsi="Arial" w:cs="Arial"/>
        </w:rPr>
        <w:t xml:space="preserve"> </w:t>
      </w:r>
      <w:r w:rsidR="00691671" w:rsidRPr="00691671">
        <w:rPr>
          <w:rFonts w:ascii="Arial" w:hAnsi="Arial" w:cs="Arial"/>
        </w:rPr>
        <w:t xml:space="preserve">Shamir, E. R., &amp; Ewald, A. J. (2014). Three-dimensional organotypic culture: experimental models of mammalian biology and disease. Nature Reviews Molecular Cell Biology, 15(10), 647-664. </w:t>
      </w:r>
      <w:hyperlink r:id="rId27" w:history="1">
        <w:r w:rsidR="00691671" w:rsidRPr="00AF79D3">
          <w:rPr>
            <w:rStyle w:val="Hyperlink"/>
            <w:rFonts w:ascii="Arial" w:hAnsi="Arial" w:cs="Arial"/>
          </w:rPr>
          <w:t>https://doi.org/10.1038/nrm3873</w:t>
        </w:r>
      </w:hyperlink>
      <w:r w:rsidR="00691671">
        <w:rPr>
          <w:rFonts w:ascii="Arial" w:hAnsi="Arial" w:cs="Arial"/>
        </w:rPr>
        <w:t xml:space="preserve"> </w:t>
      </w:r>
      <w:r w:rsidRPr="00864CA0">
        <w:rPr>
          <w:rFonts w:ascii="Arial" w:hAnsi="Arial" w:cs="Arial"/>
        </w:rPr>
        <w:t>.</w:t>
      </w:r>
    </w:p>
    <w:p w14:paraId="5CFCCA9D" w14:textId="7D432DE8" w:rsidR="00864CA0" w:rsidRPr="00864CA0" w:rsidRDefault="00864CA0" w:rsidP="00864CA0">
      <w:pPr>
        <w:pStyle w:val="Body"/>
        <w:rPr>
          <w:rFonts w:ascii="Arial" w:hAnsi="Arial" w:cs="Arial"/>
        </w:rPr>
      </w:pPr>
      <w:r w:rsidRPr="00864CA0">
        <w:rPr>
          <w:rFonts w:ascii="Arial" w:hAnsi="Arial" w:cs="Arial"/>
        </w:rPr>
        <w:t>13.</w:t>
      </w:r>
      <w:r>
        <w:rPr>
          <w:rFonts w:ascii="Arial" w:hAnsi="Arial" w:cs="Arial"/>
        </w:rPr>
        <w:t xml:space="preserve"> </w:t>
      </w:r>
      <w:r w:rsidR="00EF0B79" w:rsidRPr="00EF0B79">
        <w:rPr>
          <w:rFonts w:ascii="Arial" w:hAnsi="Arial" w:cs="Arial"/>
        </w:rPr>
        <w:t xml:space="preserve">Sontheimer-Phelps, A., Hassell, B. A., &amp; Ingber, D. E. (2019). Modelling cancer in microfluidic human organs-on-chips. Nature Reviews Cancer, 19(2), 65–81. </w:t>
      </w:r>
      <w:hyperlink r:id="rId28" w:history="1">
        <w:r w:rsidR="00EF0B79" w:rsidRPr="00AF79D3">
          <w:rPr>
            <w:rStyle w:val="Hyperlink"/>
            <w:rFonts w:ascii="Arial" w:hAnsi="Arial" w:cs="Arial"/>
          </w:rPr>
          <w:t>https://doi.org/10.1038/s41568-018-0104-6</w:t>
        </w:r>
      </w:hyperlink>
      <w:r w:rsidR="00EF0B79">
        <w:rPr>
          <w:rFonts w:ascii="Arial" w:hAnsi="Arial" w:cs="Arial"/>
        </w:rPr>
        <w:t xml:space="preserve"> </w:t>
      </w:r>
      <w:r w:rsidRPr="00864CA0">
        <w:rPr>
          <w:rFonts w:ascii="Arial" w:hAnsi="Arial" w:cs="Arial"/>
        </w:rPr>
        <w:t>.</w:t>
      </w:r>
    </w:p>
    <w:p w14:paraId="68F5DB26" w14:textId="21F817AF" w:rsidR="00864CA0" w:rsidRPr="00864CA0" w:rsidRDefault="00864CA0" w:rsidP="00864CA0">
      <w:pPr>
        <w:pStyle w:val="Body"/>
        <w:rPr>
          <w:rFonts w:ascii="Arial" w:hAnsi="Arial" w:cs="Arial"/>
        </w:rPr>
      </w:pPr>
      <w:r w:rsidRPr="00864CA0">
        <w:rPr>
          <w:rFonts w:ascii="Arial" w:hAnsi="Arial" w:cs="Arial"/>
        </w:rPr>
        <w:t>14.</w:t>
      </w:r>
      <w:r>
        <w:rPr>
          <w:rFonts w:ascii="Arial" w:hAnsi="Arial" w:cs="Arial"/>
        </w:rPr>
        <w:t xml:space="preserve"> </w:t>
      </w:r>
      <w:r w:rsidR="00B30413" w:rsidRPr="00B30413">
        <w:rPr>
          <w:rFonts w:ascii="Arial" w:hAnsi="Arial" w:cs="Arial"/>
        </w:rPr>
        <w:t xml:space="preserve">Bhatia, S. N., &amp; Ingber, D. E. (2014). Microfluidic organs-on-chips. Nature Biotechnology, 32(8), 760-772. </w:t>
      </w:r>
      <w:hyperlink r:id="rId29" w:history="1">
        <w:r w:rsidR="00B30413" w:rsidRPr="00AF79D3">
          <w:rPr>
            <w:rStyle w:val="Hyperlink"/>
            <w:rFonts w:ascii="Arial" w:hAnsi="Arial" w:cs="Arial"/>
          </w:rPr>
          <w:t>https://doi.org/10.1038/nbt.2989</w:t>
        </w:r>
      </w:hyperlink>
      <w:r w:rsidR="00B30413">
        <w:rPr>
          <w:rFonts w:ascii="Arial" w:hAnsi="Arial" w:cs="Arial"/>
        </w:rPr>
        <w:t xml:space="preserve"> </w:t>
      </w:r>
      <w:r w:rsidRPr="00864CA0">
        <w:rPr>
          <w:rFonts w:ascii="Arial" w:hAnsi="Arial" w:cs="Arial"/>
        </w:rPr>
        <w:t>.</w:t>
      </w:r>
    </w:p>
    <w:p w14:paraId="3AE53325" w14:textId="13F212BF" w:rsidR="00864CA0" w:rsidRPr="00864CA0" w:rsidRDefault="00864CA0" w:rsidP="00864CA0">
      <w:pPr>
        <w:pStyle w:val="Body"/>
        <w:rPr>
          <w:rFonts w:ascii="Arial" w:hAnsi="Arial" w:cs="Arial"/>
        </w:rPr>
      </w:pPr>
      <w:r w:rsidRPr="00864CA0">
        <w:rPr>
          <w:rFonts w:ascii="Arial" w:hAnsi="Arial" w:cs="Arial"/>
        </w:rPr>
        <w:t>15.</w:t>
      </w:r>
      <w:r>
        <w:rPr>
          <w:rFonts w:ascii="Arial" w:hAnsi="Arial" w:cs="Arial"/>
        </w:rPr>
        <w:t xml:space="preserve"> </w:t>
      </w:r>
      <w:r w:rsidR="004F6AC5" w:rsidRPr="004F6AC5">
        <w:rPr>
          <w:rFonts w:ascii="Arial" w:hAnsi="Arial" w:cs="Arial"/>
        </w:rPr>
        <w:t xml:space="preserve">Ravi, M., Paramesh, V., Kaviya, S. R., Anuradha, E., &amp; Solomon, F. D. P. (2015). 3D Cell Culture Systems: Advantages and Applications. Journal of Cellular Physiology. </w:t>
      </w:r>
      <w:hyperlink r:id="rId30" w:history="1">
        <w:r w:rsidR="004F6AC5" w:rsidRPr="00AF79D3">
          <w:rPr>
            <w:rStyle w:val="Hyperlink"/>
            <w:rFonts w:ascii="Arial" w:hAnsi="Arial" w:cs="Arial"/>
          </w:rPr>
          <w:t>https://doi.org/10.1002/jcp.24683</w:t>
        </w:r>
      </w:hyperlink>
      <w:r w:rsidRPr="00864CA0">
        <w:rPr>
          <w:rFonts w:ascii="Arial" w:hAnsi="Arial" w:cs="Arial"/>
        </w:rPr>
        <w:t>.</w:t>
      </w:r>
    </w:p>
    <w:p w14:paraId="05E7F354" w14:textId="4AA93352" w:rsidR="00864CA0" w:rsidRPr="00864CA0" w:rsidRDefault="00864CA0" w:rsidP="00864CA0">
      <w:pPr>
        <w:pStyle w:val="Body"/>
        <w:rPr>
          <w:rFonts w:ascii="Arial" w:hAnsi="Arial" w:cs="Arial"/>
        </w:rPr>
      </w:pPr>
      <w:r w:rsidRPr="00864CA0">
        <w:rPr>
          <w:rFonts w:ascii="Arial" w:hAnsi="Arial" w:cs="Arial"/>
        </w:rPr>
        <w:t>16.</w:t>
      </w:r>
      <w:r>
        <w:rPr>
          <w:rFonts w:ascii="Arial" w:hAnsi="Arial" w:cs="Arial"/>
        </w:rPr>
        <w:t xml:space="preserve"> </w:t>
      </w:r>
      <w:r w:rsidR="007C0612" w:rsidRPr="007C0612">
        <w:rPr>
          <w:rFonts w:ascii="Arial" w:hAnsi="Arial" w:cs="Arial"/>
        </w:rPr>
        <w:t xml:space="preserve">Mazzocchi, A., </w:t>
      </w:r>
      <w:proofErr w:type="spellStart"/>
      <w:r w:rsidR="007C0612" w:rsidRPr="007C0612">
        <w:rPr>
          <w:rFonts w:ascii="Arial" w:hAnsi="Arial" w:cs="Arial"/>
        </w:rPr>
        <w:t>Soker</w:t>
      </w:r>
      <w:proofErr w:type="spellEnd"/>
      <w:r w:rsidR="007C0612" w:rsidRPr="007C0612">
        <w:rPr>
          <w:rFonts w:ascii="Arial" w:hAnsi="Arial" w:cs="Arial"/>
        </w:rPr>
        <w:t xml:space="preserve">, S., &amp; Skardal, A. (2019). 3D bioprinting for high-throughput screening: Drug screening, disease modeling, and precision medicine applications. *Applied Physics Reviews*, *6*(1), 011302. </w:t>
      </w:r>
      <w:hyperlink r:id="rId31" w:history="1">
        <w:r w:rsidR="007C0612" w:rsidRPr="00AF79D3">
          <w:rPr>
            <w:rStyle w:val="Hyperlink"/>
            <w:rFonts w:ascii="Arial" w:hAnsi="Arial" w:cs="Arial"/>
          </w:rPr>
          <w:t>https://doi.org/10.1063/1.5056188</w:t>
        </w:r>
      </w:hyperlink>
      <w:r w:rsidR="007C0612">
        <w:rPr>
          <w:rFonts w:ascii="Arial" w:hAnsi="Arial" w:cs="Arial"/>
        </w:rPr>
        <w:t xml:space="preserve"> </w:t>
      </w:r>
      <w:r w:rsidRPr="00864CA0">
        <w:rPr>
          <w:rFonts w:ascii="Arial" w:hAnsi="Arial" w:cs="Arial"/>
        </w:rPr>
        <w:t>.</w:t>
      </w:r>
    </w:p>
    <w:p w14:paraId="2E6E8BAC" w14:textId="494167D1" w:rsidR="00864CA0" w:rsidRPr="00864CA0" w:rsidRDefault="00864CA0" w:rsidP="00864CA0">
      <w:pPr>
        <w:pStyle w:val="Body"/>
        <w:rPr>
          <w:rFonts w:ascii="Arial" w:hAnsi="Arial" w:cs="Arial"/>
        </w:rPr>
      </w:pPr>
      <w:r w:rsidRPr="00864CA0">
        <w:rPr>
          <w:rFonts w:ascii="Arial" w:hAnsi="Arial" w:cs="Arial"/>
        </w:rPr>
        <w:t>17.</w:t>
      </w:r>
      <w:r>
        <w:rPr>
          <w:rFonts w:ascii="Arial" w:hAnsi="Arial" w:cs="Arial"/>
        </w:rPr>
        <w:t xml:space="preserve"> </w:t>
      </w:r>
      <w:r w:rsidR="00A21E41" w:rsidRPr="00A21E41">
        <w:rPr>
          <w:rFonts w:ascii="Arial" w:hAnsi="Arial" w:cs="Arial"/>
        </w:rPr>
        <w:t xml:space="preserve">Devarasetty, M., Wang, E., </w:t>
      </w:r>
      <w:proofErr w:type="spellStart"/>
      <w:r w:rsidR="00A21E41" w:rsidRPr="00A21E41">
        <w:rPr>
          <w:rFonts w:ascii="Arial" w:hAnsi="Arial" w:cs="Arial"/>
        </w:rPr>
        <w:t>Soker</w:t>
      </w:r>
      <w:proofErr w:type="spellEnd"/>
      <w:r w:rsidR="00A21E41" w:rsidRPr="00A21E41">
        <w:rPr>
          <w:rFonts w:ascii="Arial" w:hAnsi="Arial" w:cs="Arial"/>
        </w:rPr>
        <w:t xml:space="preserve">, S., &amp; Skardal, A. (2017). Mesenchymal stem cells support growth and organization of host-liver colorectal-tumor organoids and possibly resistance to chemotherapy. Biofabrication. </w:t>
      </w:r>
      <w:hyperlink r:id="rId32" w:history="1">
        <w:r w:rsidR="00A21E41" w:rsidRPr="00AF79D3">
          <w:rPr>
            <w:rStyle w:val="Hyperlink"/>
            <w:rFonts w:ascii="Arial" w:hAnsi="Arial" w:cs="Arial"/>
          </w:rPr>
          <w:t>https://doi.org/10.1088/1758-5090/aa7484</w:t>
        </w:r>
      </w:hyperlink>
      <w:r w:rsidR="00A21E41">
        <w:rPr>
          <w:rFonts w:ascii="Arial" w:hAnsi="Arial" w:cs="Arial"/>
        </w:rPr>
        <w:t xml:space="preserve"> </w:t>
      </w:r>
      <w:r w:rsidRPr="00864CA0">
        <w:rPr>
          <w:rFonts w:ascii="Arial" w:hAnsi="Arial" w:cs="Arial"/>
        </w:rPr>
        <w:t>.</w:t>
      </w:r>
    </w:p>
    <w:p w14:paraId="61F11B20" w14:textId="6335E233" w:rsidR="00864CA0" w:rsidRPr="00864CA0" w:rsidRDefault="00864CA0" w:rsidP="00864CA0">
      <w:pPr>
        <w:pStyle w:val="Body"/>
        <w:rPr>
          <w:rFonts w:ascii="Arial" w:hAnsi="Arial" w:cs="Arial"/>
        </w:rPr>
      </w:pPr>
      <w:r w:rsidRPr="00864CA0">
        <w:rPr>
          <w:rFonts w:ascii="Arial" w:hAnsi="Arial" w:cs="Arial"/>
        </w:rPr>
        <w:t>18.</w:t>
      </w:r>
      <w:r>
        <w:rPr>
          <w:rFonts w:ascii="Arial" w:hAnsi="Arial" w:cs="Arial"/>
        </w:rPr>
        <w:t xml:space="preserve"> </w:t>
      </w:r>
      <w:r w:rsidR="00E424B7" w:rsidRPr="00E424B7">
        <w:rPr>
          <w:rFonts w:ascii="Arial" w:hAnsi="Arial" w:cs="Arial"/>
        </w:rPr>
        <w:t xml:space="preserve">Nunes, A. S., Barros, A. S., Costa, E. C., Moreira, A. F., &amp; Correia, I. J. (2019). 3D tumor spheroids as in vitro models to mimic in vivo human solid tumors resistance to therapeutic drugs. Biotechnology and Bioengineering, 116(1), 206-226. </w:t>
      </w:r>
      <w:hyperlink r:id="rId33" w:history="1">
        <w:r w:rsidR="00E424B7" w:rsidRPr="00AF79D3">
          <w:rPr>
            <w:rStyle w:val="Hyperlink"/>
            <w:rFonts w:ascii="Arial" w:hAnsi="Arial" w:cs="Arial"/>
          </w:rPr>
          <w:t>https://doi.org/10.1002/bit.26845</w:t>
        </w:r>
      </w:hyperlink>
      <w:r w:rsidRPr="00864CA0">
        <w:rPr>
          <w:rFonts w:ascii="Arial" w:hAnsi="Arial" w:cs="Arial"/>
        </w:rPr>
        <w:t>.</w:t>
      </w:r>
    </w:p>
    <w:p w14:paraId="79AA8C10" w14:textId="34250DCB" w:rsidR="00864CA0" w:rsidRPr="00864CA0" w:rsidRDefault="00864CA0" w:rsidP="00864CA0">
      <w:pPr>
        <w:pStyle w:val="Body"/>
        <w:rPr>
          <w:rFonts w:ascii="Arial" w:hAnsi="Arial" w:cs="Arial"/>
        </w:rPr>
      </w:pPr>
      <w:r w:rsidRPr="00864CA0">
        <w:rPr>
          <w:rFonts w:ascii="Arial" w:hAnsi="Arial" w:cs="Arial"/>
        </w:rPr>
        <w:t>19</w:t>
      </w:r>
      <w:r w:rsidR="000A51C4" w:rsidRPr="000A51C4">
        <w:t xml:space="preserve"> </w:t>
      </w:r>
      <w:proofErr w:type="spellStart"/>
      <w:r w:rsidR="000A51C4" w:rsidRPr="000A51C4">
        <w:rPr>
          <w:rFonts w:ascii="Arial" w:hAnsi="Arial" w:cs="Arial"/>
        </w:rPr>
        <w:t>Zervantonakis</w:t>
      </w:r>
      <w:proofErr w:type="spellEnd"/>
      <w:r w:rsidR="000A51C4" w:rsidRPr="000A51C4">
        <w:rPr>
          <w:rFonts w:ascii="Arial" w:hAnsi="Arial" w:cs="Arial"/>
        </w:rPr>
        <w:t xml:space="preserve">, I. K., Hughes-Alford, S. K., Charest, J. L., </w:t>
      </w:r>
      <w:proofErr w:type="spellStart"/>
      <w:r w:rsidR="000A51C4" w:rsidRPr="000A51C4">
        <w:rPr>
          <w:rFonts w:ascii="Arial" w:hAnsi="Arial" w:cs="Arial"/>
        </w:rPr>
        <w:t>Condeelis</w:t>
      </w:r>
      <w:proofErr w:type="spellEnd"/>
      <w:r w:rsidR="000A51C4" w:rsidRPr="000A51C4">
        <w:rPr>
          <w:rFonts w:ascii="Arial" w:hAnsi="Arial" w:cs="Arial"/>
        </w:rPr>
        <w:t xml:space="preserve">, J. S., Gertler, F. B., &amp; Kamm, R. D. (2012). Three-dimensional microfluidic model for tumor cell intravasation and </w:t>
      </w:r>
      <w:r w:rsidR="000A51C4" w:rsidRPr="000A51C4">
        <w:rPr>
          <w:rFonts w:ascii="Arial" w:hAnsi="Arial" w:cs="Arial"/>
        </w:rPr>
        <w:lastRenderedPageBreak/>
        <w:t xml:space="preserve">endothelial barrier function. Proceedings of the National Academy of Sciences of the United States of America, 109(34), 13515-13520. </w:t>
      </w:r>
      <w:hyperlink r:id="rId34" w:history="1">
        <w:r w:rsidR="000A51C4" w:rsidRPr="00AF79D3">
          <w:rPr>
            <w:rStyle w:val="Hyperlink"/>
            <w:rFonts w:ascii="Arial" w:hAnsi="Arial" w:cs="Arial"/>
          </w:rPr>
          <w:t>https://doi.org/10.1073/pnas.1210182109</w:t>
        </w:r>
      </w:hyperlink>
      <w:r w:rsidR="000A51C4">
        <w:rPr>
          <w:rFonts w:ascii="Arial" w:hAnsi="Arial" w:cs="Arial"/>
        </w:rPr>
        <w:t xml:space="preserve"> </w:t>
      </w:r>
    </w:p>
    <w:p w14:paraId="1ECC422B" w14:textId="2AE21EC6" w:rsidR="00864CA0" w:rsidRPr="00864CA0" w:rsidRDefault="00864CA0" w:rsidP="00864CA0">
      <w:pPr>
        <w:pStyle w:val="Body"/>
        <w:rPr>
          <w:rFonts w:ascii="Arial" w:hAnsi="Arial" w:cs="Arial"/>
        </w:rPr>
      </w:pPr>
      <w:r w:rsidRPr="00864CA0">
        <w:rPr>
          <w:rFonts w:ascii="Arial" w:hAnsi="Arial" w:cs="Arial"/>
        </w:rPr>
        <w:t>20.</w:t>
      </w:r>
      <w:r>
        <w:rPr>
          <w:rFonts w:ascii="Arial" w:hAnsi="Arial" w:cs="Arial"/>
        </w:rPr>
        <w:t xml:space="preserve"> </w:t>
      </w:r>
      <w:proofErr w:type="spellStart"/>
      <w:r w:rsidR="008F4BDA" w:rsidRPr="008F4BDA">
        <w:rPr>
          <w:rFonts w:ascii="Arial" w:hAnsi="Arial" w:cs="Arial"/>
        </w:rPr>
        <w:t>Weiswald</w:t>
      </w:r>
      <w:proofErr w:type="spellEnd"/>
      <w:r w:rsidR="008F4BDA" w:rsidRPr="008F4BDA">
        <w:rPr>
          <w:rFonts w:ascii="Arial" w:hAnsi="Arial" w:cs="Arial"/>
        </w:rPr>
        <w:t xml:space="preserve">, L. B., Bellet, D., &amp; Dangles-Marie, V. (2015). Spherical cancer models in tumor biology. Neoplasia, 17(1), 1-15. </w:t>
      </w:r>
      <w:hyperlink r:id="rId35" w:history="1">
        <w:r w:rsidR="008F4BDA" w:rsidRPr="00AF79D3">
          <w:rPr>
            <w:rStyle w:val="Hyperlink"/>
            <w:rFonts w:ascii="Arial" w:hAnsi="Arial" w:cs="Arial"/>
          </w:rPr>
          <w:t>https://doi.org/10.1016/j.neo.2014.12.004</w:t>
        </w:r>
      </w:hyperlink>
      <w:r w:rsidR="008F4BDA">
        <w:rPr>
          <w:rFonts w:ascii="Arial" w:hAnsi="Arial" w:cs="Arial"/>
        </w:rPr>
        <w:t xml:space="preserve"> </w:t>
      </w:r>
    </w:p>
    <w:p w14:paraId="1D1324F2" w14:textId="0BD32BDF" w:rsidR="00864CA0" w:rsidRPr="00864CA0" w:rsidRDefault="00864CA0" w:rsidP="00864CA0">
      <w:pPr>
        <w:pStyle w:val="Body"/>
        <w:rPr>
          <w:rFonts w:ascii="Arial" w:hAnsi="Arial" w:cs="Arial"/>
        </w:rPr>
      </w:pPr>
      <w:r w:rsidRPr="00864CA0">
        <w:rPr>
          <w:rFonts w:ascii="Arial" w:hAnsi="Arial" w:cs="Arial"/>
        </w:rPr>
        <w:t>21.</w:t>
      </w:r>
      <w:r>
        <w:rPr>
          <w:rFonts w:ascii="Arial" w:hAnsi="Arial" w:cs="Arial"/>
        </w:rPr>
        <w:t xml:space="preserve"> </w:t>
      </w:r>
      <w:r w:rsidR="0055172F" w:rsidRPr="0055172F">
        <w:rPr>
          <w:rFonts w:ascii="Arial" w:hAnsi="Arial" w:cs="Arial"/>
        </w:rPr>
        <w:t xml:space="preserve">Tiwari, R., Patil, A., Verma, R., Deva, V., Rudrangi, S. R. S., Bhise, M. R., &amp; </w:t>
      </w:r>
      <w:proofErr w:type="spellStart"/>
      <w:r w:rsidR="0055172F" w:rsidRPr="0055172F">
        <w:rPr>
          <w:rFonts w:ascii="Arial" w:hAnsi="Arial" w:cs="Arial"/>
        </w:rPr>
        <w:t>Vinukondag</w:t>
      </w:r>
      <w:proofErr w:type="spellEnd"/>
      <w:r w:rsidR="0055172F" w:rsidRPr="0055172F">
        <w:rPr>
          <w:rFonts w:ascii="Arial" w:hAnsi="Arial" w:cs="Arial"/>
        </w:rPr>
        <w:t xml:space="preserve">, A. (2024). Biofunctionalized polymeric nanoparticles for the enhanced delivery of erlotinib in cancer therapy. Journal of Biomaterials Science, Polymer Edition, 36(1), 1-26. </w:t>
      </w:r>
      <w:hyperlink r:id="rId36" w:history="1">
        <w:r w:rsidR="0055172F" w:rsidRPr="00AF79D3">
          <w:rPr>
            <w:rStyle w:val="Hyperlink"/>
            <w:rFonts w:ascii="Arial" w:hAnsi="Arial" w:cs="Arial"/>
          </w:rPr>
          <w:t>https://doi.org/10.1080/09205063.2024.2429328</w:t>
        </w:r>
      </w:hyperlink>
      <w:r w:rsidR="0055172F">
        <w:rPr>
          <w:rFonts w:ascii="Arial" w:hAnsi="Arial" w:cs="Arial"/>
        </w:rPr>
        <w:t xml:space="preserve"> </w:t>
      </w:r>
    </w:p>
    <w:p w14:paraId="027D09AC" w14:textId="0885E87E" w:rsidR="00864CA0" w:rsidRPr="00864CA0" w:rsidRDefault="00864CA0" w:rsidP="00864CA0">
      <w:pPr>
        <w:pStyle w:val="Body"/>
        <w:rPr>
          <w:rFonts w:ascii="Arial" w:hAnsi="Arial" w:cs="Arial"/>
        </w:rPr>
      </w:pPr>
      <w:r w:rsidRPr="00864CA0">
        <w:rPr>
          <w:rFonts w:ascii="Arial" w:hAnsi="Arial" w:cs="Arial"/>
        </w:rPr>
        <w:t>22.</w:t>
      </w:r>
      <w:r>
        <w:rPr>
          <w:rFonts w:ascii="Arial" w:hAnsi="Arial" w:cs="Arial"/>
        </w:rPr>
        <w:t xml:space="preserve"> </w:t>
      </w:r>
      <w:r w:rsidRPr="00864CA0">
        <w:rPr>
          <w:rFonts w:ascii="Arial" w:hAnsi="Arial" w:cs="Arial"/>
        </w:rPr>
        <w:t xml:space="preserve">Kattamuri SB, Potti L, Vinukonda A, et al. Nanofibers in pharmaceuticals—A review. Am J </w:t>
      </w:r>
      <w:proofErr w:type="spellStart"/>
      <w:r w:rsidRPr="00864CA0">
        <w:rPr>
          <w:rFonts w:ascii="Arial" w:hAnsi="Arial" w:cs="Arial"/>
        </w:rPr>
        <w:t>PharmTech</w:t>
      </w:r>
      <w:proofErr w:type="spellEnd"/>
      <w:r w:rsidRPr="00864CA0">
        <w:rPr>
          <w:rFonts w:ascii="Arial" w:hAnsi="Arial" w:cs="Arial"/>
        </w:rPr>
        <w:t xml:space="preserve"> Res. 2012;2(6):188-212.</w:t>
      </w:r>
    </w:p>
    <w:p w14:paraId="11E8AFFA" w14:textId="6777D4D1" w:rsidR="00864CA0" w:rsidRPr="00864CA0" w:rsidRDefault="00864CA0" w:rsidP="00864CA0">
      <w:pPr>
        <w:pStyle w:val="Body"/>
        <w:rPr>
          <w:rFonts w:ascii="Arial" w:hAnsi="Arial" w:cs="Arial"/>
        </w:rPr>
      </w:pPr>
      <w:r w:rsidRPr="00864CA0">
        <w:rPr>
          <w:rFonts w:ascii="Arial" w:hAnsi="Arial" w:cs="Arial"/>
        </w:rPr>
        <w:t>23.</w:t>
      </w:r>
      <w:r>
        <w:rPr>
          <w:rFonts w:ascii="Arial" w:hAnsi="Arial" w:cs="Arial"/>
        </w:rPr>
        <w:t xml:space="preserve"> </w:t>
      </w:r>
      <w:r w:rsidR="00F81E74" w:rsidRPr="00F81E74">
        <w:rPr>
          <w:rFonts w:ascii="Arial" w:hAnsi="Arial" w:cs="Arial"/>
        </w:rPr>
        <w:t xml:space="preserve">Carver, K. C., Berchielli, A., </w:t>
      </w:r>
      <w:proofErr w:type="spellStart"/>
      <w:r w:rsidR="00F81E74" w:rsidRPr="00F81E74">
        <w:rPr>
          <w:rFonts w:ascii="Arial" w:hAnsi="Arial" w:cs="Arial"/>
        </w:rPr>
        <w:t>Kiebish</w:t>
      </w:r>
      <w:proofErr w:type="spellEnd"/>
      <w:r w:rsidR="00F81E74" w:rsidRPr="00F81E74">
        <w:rPr>
          <w:rFonts w:ascii="Arial" w:hAnsi="Arial" w:cs="Arial"/>
        </w:rPr>
        <w:t xml:space="preserve">, M. A., Shuler, M. J., &amp; Shuler, M. J. (2022). Automating a Magnetic 3D Spheroid Model Technology for High-Throughput Screening. SLAS Technology. </w:t>
      </w:r>
      <w:hyperlink r:id="rId37" w:history="1">
        <w:r w:rsidR="00F81E74" w:rsidRPr="00AF79D3">
          <w:rPr>
            <w:rStyle w:val="Hyperlink"/>
            <w:rFonts w:ascii="Arial" w:hAnsi="Arial" w:cs="Arial"/>
          </w:rPr>
          <w:t>https://doi.org/10.1177/24726303221107750</w:t>
        </w:r>
      </w:hyperlink>
      <w:r w:rsidR="00F81E74">
        <w:rPr>
          <w:rFonts w:ascii="Arial" w:hAnsi="Arial" w:cs="Arial"/>
        </w:rPr>
        <w:t xml:space="preserve"> </w:t>
      </w:r>
    </w:p>
    <w:p w14:paraId="26B3CEE9" w14:textId="3B8519DE" w:rsidR="00864CA0" w:rsidRPr="00864CA0" w:rsidRDefault="00864CA0" w:rsidP="00864CA0">
      <w:pPr>
        <w:pStyle w:val="Body"/>
        <w:rPr>
          <w:rFonts w:ascii="Arial" w:hAnsi="Arial" w:cs="Arial"/>
        </w:rPr>
      </w:pPr>
      <w:r w:rsidRPr="00864CA0">
        <w:rPr>
          <w:rFonts w:ascii="Arial" w:hAnsi="Arial" w:cs="Arial"/>
        </w:rPr>
        <w:t>24.</w:t>
      </w:r>
      <w:r>
        <w:rPr>
          <w:rFonts w:ascii="Arial" w:hAnsi="Arial" w:cs="Arial"/>
        </w:rPr>
        <w:t xml:space="preserve"> </w:t>
      </w:r>
      <w:proofErr w:type="spellStart"/>
      <w:r w:rsidR="002716B7" w:rsidRPr="002716B7">
        <w:rPr>
          <w:rFonts w:ascii="Arial" w:hAnsi="Arial" w:cs="Arial"/>
        </w:rPr>
        <w:t>Thoma</w:t>
      </w:r>
      <w:proofErr w:type="spellEnd"/>
      <w:r w:rsidR="002716B7" w:rsidRPr="002716B7">
        <w:rPr>
          <w:rFonts w:ascii="Arial" w:hAnsi="Arial" w:cs="Arial"/>
        </w:rPr>
        <w:t xml:space="preserve">, C. R., Zimmermann, M., Agarkova, I., Kelm, J. M., &amp; Krek, W. (2014). 3D cell culture systems modeling tumor growth determinants in cancer target discovery. Advanced Drug Delivery Reviews, 69-70, 29–41. </w:t>
      </w:r>
      <w:hyperlink r:id="rId38" w:history="1">
        <w:r w:rsidR="002716B7" w:rsidRPr="00AF79D3">
          <w:rPr>
            <w:rStyle w:val="Hyperlink"/>
            <w:rFonts w:ascii="Arial" w:hAnsi="Arial" w:cs="Arial"/>
          </w:rPr>
          <w:t>https://doi.org/10.1016/j.addr.2014.03.001</w:t>
        </w:r>
      </w:hyperlink>
      <w:r w:rsidR="002716B7">
        <w:rPr>
          <w:rFonts w:ascii="Arial" w:hAnsi="Arial" w:cs="Arial"/>
        </w:rPr>
        <w:t xml:space="preserve"> </w:t>
      </w:r>
      <w:r w:rsidRPr="00864CA0">
        <w:rPr>
          <w:rFonts w:ascii="Arial" w:hAnsi="Arial" w:cs="Arial"/>
        </w:rPr>
        <w:t>.</w:t>
      </w:r>
    </w:p>
    <w:p w14:paraId="5B1576E4" w14:textId="7C18B7CA" w:rsidR="00864CA0" w:rsidRPr="00864CA0" w:rsidRDefault="00864CA0" w:rsidP="00864CA0">
      <w:pPr>
        <w:pStyle w:val="Body"/>
        <w:rPr>
          <w:rFonts w:ascii="Arial" w:hAnsi="Arial" w:cs="Arial"/>
        </w:rPr>
      </w:pPr>
      <w:r w:rsidRPr="00864CA0">
        <w:rPr>
          <w:rFonts w:ascii="Arial" w:hAnsi="Arial" w:cs="Arial"/>
        </w:rPr>
        <w:t>25.</w:t>
      </w:r>
      <w:r>
        <w:rPr>
          <w:rFonts w:ascii="Arial" w:hAnsi="Arial" w:cs="Arial"/>
        </w:rPr>
        <w:t xml:space="preserve"> </w:t>
      </w:r>
      <w:r w:rsidR="00646003" w:rsidRPr="00646003">
        <w:rPr>
          <w:rFonts w:ascii="Arial" w:hAnsi="Arial" w:cs="Arial"/>
        </w:rPr>
        <w:t xml:space="preserve">Caliari, S. R., &amp; Burdick, J. A. (2016). A practical guide to hydrogels for cell culture. Nature Methods, 13(5), 405–414. </w:t>
      </w:r>
      <w:hyperlink r:id="rId39" w:history="1">
        <w:r w:rsidR="00646003" w:rsidRPr="00AF79D3">
          <w:rPr>
            <w:rStyle w:val="Hyperlink"/>
            <w:rFonts w:ascii="Arial" w:hAnsi="Arial" w:cs="Arial"/>
          </w:rPr>
          <w:t>https://doi.org/10.1038/nmeth.3839</w:t>
        </w:r>
      </w:hyperlink>
      <w:r w:rsidR="00646003">
        <w:rPr>
          <w:rFonts w:ascii="Arial" w:hAnsi="Arial" w:cs="Arial"/>
        </w:rPr>
        <w:t xml:space="preserve"> </w:t>
      </w:r>
      <w:r w:rsidRPr="00864CA0">
        <w:rPr>
          <w:rFonts w:ascii="Arial" w:hAnsi="Arial" w:cs="Arial"/>
        </w:rPr>
        <w:t>.</w:t>
      </w:r>
    </w:p>
    <w:p w14:paraId="617EF626" w14:textId="6BEDFE43" w:rsidR="00864CA0" w:rsidRPr="00864CA0" w:rsidRDefault="00864CA0" w:rsidP="00864CA0">
      <w:pPr>
        <w:pStyle w:val="Body"/>
        <w:rPr>
          <w:rFonts w:ascii="Arial" w:hAnsi="Arial" w:cs="Arial"/>
        </w:rPr>
      </w:pPr>
      <w:r w:rsidRPr="00864CA0">
        <w:rPr>
          <w:rFonts w:ascii="Arial" w:hAnsi="Arial" w:cs="Arial"/>
        </w:rPr>
        <w:t>26.</w:t>
      </w:r>
      <w:r>
        <w:rPr>
          <w:rFonts w:ascii="Arial" w:hAnsi="Arial" w:cs="Arial"/>
        </w:rPr>
        <w:t xml:space="preserve"> </w:t>
      </w:r>
      <w:proofErr w:type="spellStart"/>
      <w:r w:rsidR="00A2238E" w:rsidRPr="00A2238E">
        <w:rPr>
          <w:rFonts w:ascii="Arial" w:hAnsi="Arial" w:cs="Arial"/>
        </w:rPr>
        <w:t>Astashkina</w:t>
      </w:r>
      <w:proofErr w:type="spellEnd"/>
      <w:r w:rsidR="00A2238E" w:rsidRPr="00A2238E">
        <w:rPr>
          <w:rFonts w:ascii="Arial" w:hAnsi="Arial" w:cs="Arial"/>
        </w:rPr>
        <w:t xml:space="preserve">, A. I., Mann, B. K., &amp; Grainger, D. W. (2012). A critical evaluation of in vitro cell culture models for high-throughput drug screening and toxicity. Pharmacology &amp; Therapeutics, 134(1), 82–106. </w:t>
      </w:r>
      <w:hyperlink r:id="rId40" w:history="1">
        <w:r w:rsidR="00A2238E" w:rsidRPr="00AF79D3">
          <w:rPr>
            <w:rStyle w:val="Hyperlink"/>
            <w:rFonts w:ascii="Arial" w:hAnsi="Arial" w:cs="Arial"/>
          </w:rPr>
          <w:t>https://doi.org/10.1016/j.pharmthera.2012.01.001</w:t>
        </w:r>
      </w:hyperlink>
      <w:r w:rsidR="00A2238E">
        <w:rPr>
          <w:rFonts w:ascii="Arial" w:hAnsi="Arial" w:cs="Arial"/>
        </w:rPr>
        <w:t xml:space="preserve"> </w:t>
      </w:r>
      <w:r w:rsidRPr="00864CA0">
        <w:rPr>
          <w:rFonts w:ascii="Arial" w:hAnsi="Arial" w:cs="Arial"/>
        </w:rPr>
        <w:t>.</w:t>
      </w:r>
    </w:p>
    <w:p w14:paraId="5EB5EA2B" w14:textId="4FEFE939" w:rsidR="00864CA0" w:rsidRPr="00864CA0" w:rsidRDefault="00864CA0" w:rsidP="00864CA0">
      <w:pPr>
        <w:pStyle w:val="Body"/>
        <w:rPr>
          <w:rFonts w:ascii="Arial" w:hAnsi="Arial" w:cs="Arial"/>
        </w:rPr>
      </w:pPr>
      <w:r w:rsidRPr="00864CA0">
        <w:rPr>
          <w:rFonts w:ascii="Arial" w:hAnsi="Arial" w:cs="Arial"/>
        </w:rPr>
        <w:t>27.</w:t>
      </w:r>
      <w:r>
        <w:rPr>
          <w:rFonts w:ascii="Arial" w:hAnsi="Arial" w:cs="Arial"/>
        </w:rPr>
        <w:t xml:space="preserve"> </w:t>
      </w:r>
      <w:r w:rsidR="00B41506" w:rsidRPr="00B41506">
        <w:rPr>
          <w:rFonts w:ascii="Arial" w:hAnsi="Arial" w:cs="Arial"/>
        </w:rPr>
        <w:t xml:space="preserve">Costa, E. C., Moreira, A. F., de Melo-Diogo, D., Gaspar, V. M., Carvalho, M. P., &amp; Correia, I. J. (2016). 3D tumor spheroids: An overview on the tools and techniques used for their analysis. Biotechnology Advances, 34(8), 1427-1441. </w:t>
      </w:r>
      <w:hyperlink r:id="rId41" w:history="1">
        <w:r w:rsidR="00B41506" w:rsidRPr="00AF79D3">
          <w:rPr>
            <w:rStyle w:val="Hyperlink"/>
            <w:rFonts w:ascii="Arial" w:hAnsi="Arial" w:cs="Arial"/>
          </w:rPr>
          <w:t>https://doi.org/10.1016/j.biotechadv.2016.11.002</w:t>
        </w:r>
      </w:hyperlink>
      <w:r w:rsidR="00B41506">
        <w:rPr>
          <w:rFonts w:ascii="Arial" w:hAnsi="Arial" w:cs="Arial"/>
        </w:rPr>
        <w:t xml:space="preserve"> </w:t>
      </w:r>
      <w:r w:rsidRPr="00864CA0">
        <w:rPr>
          <w:rFonts w:ascii="Arial" w:hAnsi="Arial" w:cs="Arial"/>
        </w:rPr>
        <w:t>.</w:t>
      </w:r>
    </w:p>
    <w:p w14:paraId="03E54FB6" w14:textId="56C2DB1A" w:rsidR="00864CA0" w:rsidRPr="00864CA0" w:rsidRDefault="00864CA0" w:rsidP="00864CA0">
      <w:pPr>
        <w:pStyle w:val="Body"/>
        <w:rPr>
          <w:rFonts w:ascii="Arial" w:hAnsi="Arial" w:cs="Arial"/>
        </w:rPr>
      </w:pPr>
      <w:r w:rsidRPr="00864CA0">
        <w:rPr>
          <w:rFonts w:ascii="Arial" w:hAnsi="Arial" w:cs="Arial"/>
        </w:rPr>
        <w:t>28.</w:t>
      </w:r>
      <w:r>
        <w:rPr>
          <w:rFonts w:ascii="Arial" w:hAnsi="Arial" w:cs="Arial"/>
        </w:rPr>
        <w:t xml:space="preserve"> </w:t>
      </w:r>
      <w:r w:rsidR="00240AC7" w:rsidRPr="00240AC7">
        <w:rPr>
          <w:rFonts w:ascii="Arial" w:hAnsi="Arial" w:cs="Arial"/>
        </w:rPr>
        <w:t xml:space="preserve">Sant, S., &amp; Johnston, P. A. (2017). The production of 3D tumor spheroids for cancer drug discovery. Drug Discovery Today: Technologies. </w:t>
      </w:r>
      <w:hyperlink r:id="rId42" w:history="1">
        <w:r w:rsidR="00240AC7" w:rsidRPr="00AF79D3">
          <w:rPr>
            <w:rStyle w:val="Hyperlink"/>
            <w:rFonts w:ascii="Arial" w:hAnsi="Arial" w:cs="Arial"/>
          </w:rPr>
          <w:t>https://doi.org/10.1016/j.ddtec.2017.03.002</w:t>
        </w:r>
      </w:hyperlink>
      <w:r w:rsidRPr="00864CA0">
        <w:rPr>
          <w:rFonts w:ascii="Arial" w:hAnsi="Arial" w:cs="Arial"/>
        </w:rPr>
        <w:t>.</w:t>
      </w:r>
    </w:p>
    <w:p w14:paraId="0F2FB5AA" w14:textId="23E7499A" w:rsidR="00864CA0" w:rsidRPr="00864CA0" w:rsidRDefault="00864CA0" w:rsidP="00864CA0">
      <w:pPr>
        <w:pStyle w:val="Body"/>
        <w:rPr>
          <w:rFonts w:ascii="Arial" w:hAnsi="Arial" w:cs="Arial"/>
        </w:rPr>
      </w:pPr>
      <w:r w:rsidRPr="00864CA0">
        <w:rPr>
          <w:rFonts w:ascii="Arial" w:hAnsi="Arial" w:cs="Arial"/>
        </w:rPr>
        <w:t>29.</w:t>
      </w:r>
      <w:r>
        <w:rPr>
          <w:rFonts w:ascii="Arial" w:hAnsi="Arial" w:cs="Arial"/>
        </w:rPr>
        <w:t xml:space="preserve"> </w:t>
      </w:r>
      <w:proofErr w:type="spellStart"/>
      <w:r w:rsidR="00D8216C" w:rsidRPr="00D8216C">
        <w:rPr>
          <w:rFonts w:ascii="Arial" w:hAnsi="Arial" w:cs="Arial"/>
        </w:rPr>
        <w:t>Clevers</w:t>
      </w:r>
      <w:proofErr w:type="spellEnd"/>
      <w:r w:rsidR="00D8216C" w:rsidRPr="00D8216C">
        <w:rPr>
          <w:rFonts w:ascii="Arial" w:hAnsi="Arial" w:cs="Arial"/>
        </w:rPr>
        <w:t xml:space="preserve">, H. (2016). Modeling development and disease with organoids. Cell, 165(7), 1586-1597. </w:t>
      </w:r>
      <w:hyperlink r:id="rId43" w:history="1">
        <w:r w:rsidR="00D8216C" w:rsidRPr="00AF79D3">
          <w:rPr>
            <w:rStyle w:val="Hyperlink"/>
            <w:rFonts w:ascii="Arial" w:hAnsi="Arial" w:cs="Arial"/>
          </w:rPr>
          <w:t>https://doi.org/10.1016/j.cell.2016.05.082</w:t>
        </w:r>
      </w:hyperlink>
      <w:r w:rsidR="00D8216C">
        <w:rPr>
          <w:rFonts w:ascii="Arial" w:hAnsi="Arial" w:cs="Arial"/>
        </w:rPr>
        <w:t xml:space="preserve"> </w:t>
      </w:r>
    </w:p>
    <w:p w14:paraId="3458E53E" w14:textId="3F5DEC49" w:rsidR="00864CA0" w:rsidRPr="00864CA0" w:rsidRDefault="00864CA0" w:rsidP="00864CA0">
      <w:pPr>
        <w:pStyle w:val="Body"/>
        <w:rPr>
          <w:rFonts w:ascii="Arial" w:hAnsi="Arial" w:cs="Arial"/>
        </w:rPr>
      </w:pPr>
      <w:r w:rsidRPr="00864CA0">
        <w:rPr>
          <w:rFonts w:ascii="Arial" w:hAnsi="Arial" w:cs="Arial"/>
        </w:rPr>
        <w:t>30.</w:t>
      </w:r>
      <w:r>
        <w:rPr>
          <w:rFonts w:ascii="Arial" w:hAnsi="Arial" w:cs="Arial"/>
        </w:rPr>
        <w:t xml:space="preserve"> </w:t>
      </w:r>
      <w:proofErr w:type="spellStart"/>
      <w:r w:rsidR="00DE4E30" w:rsidRPr="00DE4E30">
        <w:rPr>
          <w:rFonts w:ascii="Arial" w:hAnsi="Arial" w:cs="Arial"/>
        </w:rPr>
        <w:t>Vlachogiannis</w:t>
      </w:r>
      <w:proofErr w:type="spellEnd"/>
      <w:r w:rsidR="00DE4E30" w:rsidRPr="00DE4E30">
        <w:rPr>
          <w:rFonts w:ascii="Arial" w:hAnsi="Arial" w:cs="Arial"/>
        </w:rPr>
        <w:t xml:space="preserve">, G., Hedayat, S., </w:t>
      </w:r>
      <w:proofErr w:type="spellStart"/>
      <w:r w:rsidR="00DE4E30" w:rsidRPr="00DE4E30">
        <w:rPr>
          <w:rFonts w:ascii="Arial" w:hAnsi="Arial" w:cs="Arial"/>
        </w:rPr>
        <w:t>Vatsiou</w:t>
      </w:r>
      <w:proofErr w:type="spellEnd"/>
      <w:r w:rsidR="00DE4E30" w:rsidRPr="00DE4E30">
        <w:rPr>
          <w:rFonts w:ascii="Arial" w:hAnsi="Arial" w:cs="Arial"/>
        </w:rPr>
        <w:t xml:space="preserve">, A., Jamin, Y., Fernández-Mateos, J., Khan, K., </w:t>
      </w:r>
      <w:proofErr w:type="spellStart"/>
      <w:r w:rsidR="00DE4E30" w:rsidRPr="00DE4E30">
        <w:rPr>
          <w:rFonts w:ascii="Arial" w:hAnsi="Arial" w:cs="Arial"/>
        </w:rPr>
        <w:t>Lampis</w:t>
      </w:r>
      <w:proofErr w:type="spellEnd"/>
      <w:r w:rsidR="00DE4E30" w:rsidRPr="00DE4E30">
        <w:rPr>
          <w:rFonts w:ascii="Arial" w:hAnsi="Arial" w:cs="Arial"/>
        </w:rPr>
        <w:t xml:space="preserve">, A., Eason, K., </w:t>
      </w:r>
      <w:proofErr w:type="spellStart"/>
      <w:r w:rsidR="00DE4E30" w:rsidRPr="00DE4E30">
        <w:rPr>
          <w:rFonts w:ascii="Arial" w:hAnsi="Arial" w:cs="Arial"/>
        </w:rPr>
        <w:t>Huntingford</w:t>
      </w:r>
      <w:proofErr w:type="spellEnd"/>
      <w:r w:rsidR="00DE4E30" w:rsidRPr="00DE4E30">
        <w:rPr>
          <w:rFonts w:ascii="Arial" w:hAnsi="Arial" w:cs="Arial"/>
        </w:rPr>
        <w:t xml:space="preserve">, I., Burke, R., Rata, M., Koh, D.-M., </w:t>
      </w:r>
      <w:proofErr w:type="spellStart"/>
      <w:r w:rsidR="00DE4E30" w:rsidRPr="00DE4E30">
        <w:rPr>
          <w:rFonts w:ascii="Arial" w:hAnsi="Arial" w:cs="Arial"/>
        </w:rPr>
        <w:t>Tunariu</w:t>
      </w:r>
      <w:proofErr w:type="spellEnd"/>
      <w:r w:rsidR="00DE4E30" w:rsidRPr="00DE4E30">
        <w:rPr>
          <w:rFonts w:ascii="Arial" w:hAnsi="Arial" w:cs="Arial"/>
        </w:rPr>
        <w:t xml:space="preserve">, N., Collins, D., Hulkki-Wilson, S., Ragulan, C., Spiteri, I., </w:t>
      </w:r>
      <w:proofErr w:type="spellStart"/>
      <w:r w:rsidR="00DE4E30" w:rsidRPr="00DE4E30">
        <w:rPr>
          <w:rFonts w:ascii="Arial" w:hAnsi="Arial" w:cs="Arial"/>
        </w:rPr>
        <w:t>Moorcraft</w:t>
      </w:r>
      <w:proofErr w:type="spellEnd"/>
      <w:r w:rsidR="00DE4E30" w:rsidRPr="00DE4E30">
        <w:rPr>
          <w:rFonts w:ascii="Arial" w:hAnsi="Arial" w:cs="Arial"/>
        </w:rPr>
        <w:t xml:space="preserve">, S. Y., Chau, I., et al. (2018). Patient-derived organoids model treatment response of metastatic gastrointestinal cancers. *Science*, *359*(6378), 920–926. </w:t>
      </w:r>
      <w:hyperlink r:id="rId44" w:history="1">
        <w:r w:rsidR="00DE4E30" w:rsidRPr="00AF79D3">
          <w:rPr>
            <w:rStyle w:val="Hyperlink"/>
            <w:rFonts w:ascii="Arial" w:hAnsi="Arial" w:cs="Arial"/>
          </w:rPr>
          <w:t>https://doi.org/10.1126/science.aao2774</w:t>
        </w:r>
      </w:hyperlink>
      <w:r w:rsidR="00DE4E30">
        <w:rPr>
          <w:rFonts w:ascii="Arial" w:hAnsi="Arial" w:cs="Arial"/>
        </w:rPr>
        <w:t xml:space="preserve"> </w:t>
      </w:r>
    </w:p>
    <w:p w14:paraId="515F54FD" w14:textId="1A75B46F" w:rsidR="00864CA0" w:rsidRPr="00864CA0" w:rsidRDefault="00864CA0" w:rsidP="00864CA0">
      <w:pPr>
        <w:pStyle w:val="Body"/>
        <w:rPr>
          <w:rFonts w:ascii="Arial" w:hAnsi="Arial" w:cs="Arial"/>
        </w:rPr>
      </w:pPr>
      <w:r w:rsidRPr="00864CA0">
        <w:rPr>
          <w:rFonts w:ascii="Arial" w:hAnsi="Arial" w:cs="Arial"/>
        </w:rPr>
        <w:t>31.</w:t>
      </w:r>
      <w:r>
        <w:rPr>
          <w:rFonts w:ascii="Arial" w:hAnsi="Arial" w:cs="Arial"/>
        </w:rPr>
        <w:t xml:space="preserve"> </w:t>
      </w:r>
      <w:r w:rsidR="00DF21BA" w:rsidRPr="00DF21BA">
        <w:rPr>
          <w:rFonts w:ascii="Arial" w:hAnsi="Arial" w:cs="Arial"/>
        </w:rPr>
        <w:t xml:space="preserve">Neelamma, G., Rasheed, S. H., Vinukonda, A., &amp; Aruna, M. (2021). In-vitro screening for cytotoxic activity of herbal plant extracts on N2a cell lines. Research Journal of Pharmacy and Technology, 14(4), 2009-2012. </w:t>
      </w:r>
      <w:hyperlink r:id="rId45" w:history="1">
        <w:r w:rsidR="00DF21BA" w:rsidRPr="00AF79D3">
          <w:rPr>
            <w:rStyle w:val="Hyperlink"/>
            <w:rFonts w:ascii="Arial" w:hAnsi="Arial" w:cs="Arial"/>
          </w:rPr>
          <w:t>https://doi.org/10.52711/0974-360X.2021.00356</w:t>
        </w:r>
      </w:hyperlink>
      <w:r w:rsidR="00DF21BA">
        <w:rPr>
          <w:rFonts w:ascii="Arial" w:hAnsi="Arial" w:cs="Arial"/>
        </w:rPr>
        <w:t xml:space="preserve"> </w:t>
      </w:r>
    </w:p>
    <w:p w14:paraId="514C431A" w14:textId="32E0974B" w:rsidR="00864CA0" w:rsidRPr="00864CA0" w:rsidRDefault="00864CA0" w:rsidP="00864CA0">
      <w:pPr>
        <w:pStyle w:val="Body"/>
        <w:rPr>
          <w:rFonts w:ascii="Arial" w:hAnsi="Arial" w:cs="Arial"/>
        </w:rPr>
      </w:pPr>
      <w:r w:rsidRPr="00864CA0">
        <w:rPr>
          <w:rFonts w:ascii="Arial" w:hAnsi="Arial" w:cs="Arial"/>
        </w:rPr>
        <w:t>32.</w:t>
      </w:r>
      <w:r>
        <w:rPr>
          <w:rFonts w:ascii="Arial" w:hAnsi="Arial" w:cs="Arial"/>
        </w:rPr>
        <w:t xml:space="preserve"> </w:t>
      </w:r>
      <w:proofErr w:type="spellStart"/>
      <w:r w:rsidR="005139F9" w:rsidRPr="005139F9">
        <w:rPr>
          <w:rFonts w:ascii="Arial" w:hAnsi="Arial" w:cs="Arial"/>
        </w:rPr>
        <w:t>Ooft</w:t>
      </w:r>
      <w:proofErr w:type="spellEnd"/>
      <w:r w:rsidR="005139F9" w:rsidRPr="005139F9">
        <w:rPr>
          <w:rFonts w:ascii="Arial" w:hAnsi="Arial" w:cs="Arial"/>
        </w:rPr>
        <w:t xml:space="preserve">, S. N., Weeber, F., Dijkstra, K. K., McLean, C. M., Kaing, S., van Werkhoven, E., Schipper, L., Hoes, L., Vis, D. J., van de Haar, J., </w:t>
      </w:r>
      <w:proofErr w:type="spellStart"/>
      <w:r w:rsidR="005139F9" w:rsidRPr="005139F9">
        <w:rPr>
          <w:rFonts w:ascii="Arial" w:hAnsi="Arial" w:cs="Arial"/>
        </w:rPr>
        <w:t>Prevoo</w:t>
      </w:r>
      <w:proofErr w:type="spellEnd"/>
      <w:r w:rsidR="005139F9" w:rsidRPr="005139F9">
        <w:rPr>
          <w:rFonts w:ascii="Arial" w:hAnsi="Arial" w:cs="Arial"/>
        </w:rPr>
        <w:t xml:space="preserve">, W., </w:t>
      </w:r>
      <w:proofErr w:type="spellStart"/>
      <w:r w:rsidR="005139F9" w:rsidRPr="005139F9">
        <w:rPr>
          <w:rFonts w:ascii="Arial" w:hAnsi="Arial" w:cs="Arial"/>
        </w:rPr>
        <w:t>Snaebjornsson</w:t>
      </w:r>
      <w:proofErr w:type="spellEnd"/>
      <w:r w:rsidR="005139F9" w:rsidRPr="005139F9">
        <w:rPr>
          <w:rFonts w:ascii="Arial" w:hAnsi="Arial" w:cs="Arial"/>
        </w:rPr>
        <w:t xml:space="preserve">, P., van der Velden, D., Klein, M., Chalabi, M., Boot, H., van Leerdam, M., </w:t>
      </w:r>
      <w:proofErr w:type="spellStart"/>
      <w:r w:rsidR="005139F9" w:rsidRPr="005139F9">
        <w:rPr>
          <w:rFonts w:ascii="Arial" w:hAnsi="Arial" w:cs="Arial"/>
        </w:rPr>
        <w:t>Bloemendal</w:t>
      </w:r>
      <w:proofErr w:type="spellEnd"/>
      <w:r w:rsidR="005139F9" w:rsidRPr="005139F9">
        <w:rPr>
          <w:rFonts w:ascii="Arial" w:hAnsi="Arial" w:cs="Arial"/>
        </w:rPr>
        <w:t xml:space="preserve">, H. J., </w:t>
      </w:r>
      <w:proofErr w:type="spellStart"/>
      <w:r w:rsidR="005139F9" w:rsidRPr="005139F9">
        <w:rPr>
          <w:rFonts w:ascii="Arial" w:hAnsi="Arial" w:cs="Arial"/>
        </w:rPr>
        <w:t>Beerepoot</w:t>
      </w:r>
      <w:proofErr w:type="spellEnd"/>
      <w:r w:rsidR="005139F9" w:rsidRPr="005139F9">
        <w:rPr>
          <w:rFonts w:ascii="Arial" w:hAnsi="Arial" w:cs="Arial"/>
        </w:rPr>
        <w:t xml:space="preserve">, </w:t>
      </w:r>
      <w:r w:rsidR="005139F9" w:rsidRPr="005139F9">
        <w:rPr>
          <w:rFonts w:ascii="Arial" w:hAnsi="Arial" w:cs="Arial"/>
        </w:rPr>
        <w:lastRenderedPageBreak/>
        <w:t xml:space="preserve">L. V., ... </w:t>
      </w:r>
      <w:proofErr w:type="spellStart"/>
      <w:r w:rsidR="005139F9" w:rsidRPr="005139F9">
        <w:rPr>
          <w:rFonts w:ascii="Arial" w:hAnsi="Arial" w:cs="Arial"/>
        </w:rPr>
        <w:t>Voest</w:t>
      </w:r>
      <w:proofErr w:type="spellEnd"/>
      <w:r w:rsidR="005139F9" w:rsidRPr="005139F9">
        <w:rPr>
          <w:rFonts w:ascii="Arial" w:hAnsi="Arial" w:cs="Arial"/>
        </w:rPr>
        <w:t xml:space="preserve">, E. E. (2019). Patient-derived organoids can predict response to chemotherapy in metastatic colorectal cancer patients. Science Translational Medicine, 11(513), eaay2574. </w:t>
      </w:r>
      <w:hyperlink r:id="rId46" w:history="1">
        <w:r w:rsidR="005139F9" w:rsidRPr="00AF79D3">
          <w:rPr>
            <w:rStyle w:val="Hyperlink"/>
            <w:rFonts w:ascii="Arial" w:hAnsi="Arial" w:cs="Arial"/>
          </w:rPr>
          <w:t>https://doi.org/10.1126/scitranslmed.aay2574</w:t>
        </w:r>
      </w:hyperlink>
      <w:r w:rsidR="005139F9">
        <w:rPr>
          <w:rFonts w:ascii="Arial" w:hAnsi="Arial" w:cs="Arial"/>
        </w:rPr>
        <w:t xml:space="preserve"> </w:t>
      </w:r>
    </w:p>
    <w:p w14:paraId="75B72A70" w14:textId="04CEDEB9" w:rsidR="00864CA0" w:rsidRPr="00864CA0" w:rsidRDefault="00864CA0" w:rsidP="00864CA0">
      <w:pPr>
        <w:pStyle w:val="Body"/>
        <w:rPr>
          <w:rFonts w:ascii="Arial" w:hAnsi="Arial" w:cs="Arial"/>
        </w:rPr>
      </w:pPr>
      <w:r w:rsidRPr="00864CA0">
        <w:rPr>
          <w:rFonts w:ascii="Arial" w:hAnsi="Arial" w:cs="Arial"/>
        </w:rPr>
        <w:t>33.</w:t>
      </w:r>
      <w:r>
        <w:rPr>
          <w:rFonts w:ascii="Arial" w:hAnsi="Arial" w:cs="Arial"/>
        </w:rPr>
        <w:t xml:space="preserve"> </w:t>
      </w:r>
      <w:r w:rsidRPr="00864CA0">
        <w:rPr>
          <w:rFonts w:ascii="Arial" w:hAnsi="Arial" w:cs="Arial"/>
        </w:rPr>
        <w:t>Naruse H, Shiokawa M, Hyodo T, et al. Patient-derived tumor organoids predict chemoradiation responses of locally advanced rectal cancer. Clin Cancer Res. 2019;25(13):4110-23.</w:t>
      </w:r>
    </w:p>
    <w:p w14:paraId="0EE3FD68" w14:textId="6786D9FD" w:rsidR="00864CA0" w:rsidRPr="00864CA0" w:rsidRDefault="00864CA0" w:rsidP="00864CA0">
      <w:pPr>
        <w:pStyle w:val="Body"/>
        <w:rPr>
          <w:rFonts w:ascii="Arial" w:hAnsi="Arial" w:cs="Arial"/>
        </w:rPr>
      </w:pPr>
      <w:r w:rsidRPr="00864CA0">
        <w:rPr>
          <w:rFonts w:ascii="Arial" w:hAnsi="Arial" w:cs="Arial"/>
        </w:rPr>
        <w:t>34.</w:t>
      </w:r>
      <w:r>
        <w:rPr>
          <w:rFonts w:ascii="Arial" w:hAnsi="Arial" w:cs="Arial"/>
        </w:rPr>
        <w:t xml:space="preserve"> </w:t>
      </w:r>
      <w:r w:rsidR="00921027" w:rsidRPr="00921027">
        <w:rPr>
          <w:rFonts w:ascii="Arial" w:hAnsi="Arial" w:cs="Arial"/>
        </w:rPr>
        <w:t xml:space="preserve">Ganesh, K., Wu, C., O'Rourke, K. P., </w:t>
      </w:r>
      <w:proofErr w:type="spellStart"/>
      <w:r w:rsidR="00921027" w:rsidRPr="00921027">
        <w:rPr>
          <w:rFonts w:ascii="Arial" w:hAnsi="Arial" w:cs="Arial"/>
        </w:rPr>
        <w:t>Szeglin</w:t>
      </w:r>
      <w:proofErr w:type="spellEnd"/>
      <w:r w:rsidR="00921027" w:rsidRPr="00921027">
        <w:rPr>
          <w:rFonts w:ascii="Arial" w:hAnsi="Arial" w:cs="Arial"/>
        </w:rPr>
        <w:t xml:space="preserve">, B. C., Zheng, Y., Sauvé, C. E. G., Adileh, M., Wasserman, I., Marco, M. R., Kim, A. S., Shady, M., Sanchez-Vega, F., </w:t>
      </w:r>
      <w:proofErr w:type="spellStart"/>
      <w:r w:rsidR="00921027" w:rsidRPr="00921027">
        <w:rPr>
          <w:rFonts w:ascii="Arial" w:hAnsi="Arial" w:cs="Arial"/>
        </w:rPr>
        <w:t>Karthaus</w:t>
      </w:r>
      <w:proofErr w:type="spellEnd"/>
      <w:r w:rsidR="00921027" w:rsidRPr="00921027">
        <w:rPr>
          <w:rFonts w:ascii="Arial" w:hAnsi="Arial" w:cs="Arial"/>
        </w:rPr>
        <w:t xml:space="preserve">, W. R., Won, H. H., Choi, S. H., </w:t>
      </w:r>
      <w:proofErr w:type="spellStart"/>
      <w:r w:rsidR="00921027" w:rsidRPr="00921027">
        <w:rPr>
          <w:rFonts w:ascii="Arial" w:hAnsi="Arial" w:cs="Arial"/>
        </w:rPr>
        <w:t>Pelossof</w:t>
      </w:r>
      <w:proofErr w:type="spellEnd"/>
      <w:r w:rsidR="00921027" w:rsidRPr="00921027">
        <w:rPr>
          <w:rFonts w:ascii="Arial" w:hAnsi="Arial" w:cs="Arial"/>
        </w:rPr>
        <w:t xml:space="preserve">, R., Barlas, A., Ntiamoah, P., </w:t>
      </w:r>
      <w:proofErr w:type="spellStart"/>
      <w:r w:rsidR="00921027" w:rsidRPr="00921027">
        <w:rPr>
          <w:rFonts w:ascii="Arial" w:hAnsi="Arial" w:cs="Arial"/>
        </w:rPr>
        <w:t>Pappou</w:t>
      </w:r>
      <w:proofErr w:type="spellEnd"/>
      <w:r w:rsidR="00921027" w:rsidRPr="00921027">
        <w:rPr>
          <w:rFonts w:ascii="Arial" w:hAnsi="Arial" w:cs="Arial"/>
        </w:rPr>
        <w:t xml:space="preserve">, E., </w:t>
      </w:r>
      <w:proofErr w:type="spellStart"/>
      <w:r w:rsidR="00921027" w:rsidRPr="00921027">
        <w:rPr>
          <w:rFonts w:ascii="Arial" w:hAnsi="Arial" w:cs="Arial"/>
        </w:rPr>
        <w:t>Elghouayel</w:t>
      </w:r>
      <w:proofErr w:type="spellEnd"/>
      <w:r w:rsidR="00921027" w:rsidRPr="00921027">
        <w:rPr>
          <w:rFonts w:ascii="Arial" w:hAnsi="Arial" w:cs="Arial"/>
        </w:rPr>
        <w:t xml:space="preserve">, A., Strong, J. S., Chen, C. T., Harris, J. W., Weiser, M. R., Nash, G. M., Guillem, J. G., Wei, I. H., </w:t>
      </w:r>
      <w:proofErr w:type="spellStart"/>
      <w:r w:rsidR="00921027" w:rsidRPr="00921027">
        <w:rPr>
          <w:rFonts w:ascii="Arial" w:hAnsi="Arial" w:cs="Arial"/>
        </w:rPr>
        <w:t>Kolesnick</w:t>
      </w:r>
      <w:proofErr w:type="spellEnd"/>
      <w:r w:rsidR="00921027" w:rsidRPr="00921027">
        <w:rPr>
          <w:rFonts w:ascii="Arial" w:hAnsi="Arial" w:cs="Arial"/>
        </w:rPr>
        <w:t xml:space="preserve">, R. N., Veeraraghavan, H., Ortiz, E. J., </w:t>
      </w:r>
      <w:proofErr w:type="spellStart"/>
      <w:r w:rsidR="00921027" w:rsidRPr="00921027">
        <w:rPr>
          <w:rFonts w:ascii="Arial" w:hAnsi="Arial" w:cs="Arial"/>
        </w:rPr>
        <w:t>Petkovska</w:t>
      </w:r>
      <w:proofErr w:type="spellEnd"/>
      <w:r w:rsidR="00921027" w:rsidRPr="00921027">
        <w:rPr>
          <w:rFonts w:ascii="Arial" w:hAnsi="Arial" w:cs="Arial"/>
        </w:rPr>
        <w:t xml:space="preserve">, I., </w:t>
      </w:r>
      <w:proofErr w:type="spellStart"/>
      <w:r w:rsidR="00921027" w:rsidRPr="00921027">
        <w:rPr>
          <w:rFonts w:ascii="Arial" w:hAnsi="Arial" w:cs="Arial"/>
        </w:rPr>
        <w:t>Cercek</w:t>
      </w:r>
      <w:proofErr w:type="spellEnd"/>
      <w:r w:rsidR="00921027" w:rsidRPr="00921027">
        <w:rPr>
          <w:rFonts w:ascii="Arial" w:hAnsi="Arial" w:cs="Arial"/>
        </w:rPr>
        <w:t xml:space="preserve">, A., </w:t>
      </w:r>
      <w:proofErr w:type="spellStart"/>
      <w:r w:rsidR="00921027" w:rsidRPr="00921027">
        <w:rPr>
          <w:rFonts w:ascii="Arial" w:hAnsi="Arial" w:cs="Arial"/>
        </w:rPr>
        <w:t>Manova</w:t>
      </w:r>
      <w:proofErr w:type="spellEnd"/>
      <w:r w:rsidR="00921027" w:rsidRPr="00921027">
        <w:rPr>
          <w:rFonts w:ascii="Arial" w:hAnsi="Arial" w:cs="Arial"/>
        </w:rPr>
        <w:t xml:space="preserve">-Todorova, K. O., Saltz, L. B., Lavery, J. A., DeMatteo, R. P., </w:t>
      </w:r>
      <w:proofErr w:type="spellStart"/>
      <w:r w:rsidR="00921027" w:rsidRPr="00921027">
        <w:rPr>
          <w:rFonts w:ascii="Arial" w:hAnsi="Arial" w:cs="Arial"/>
        </w:rPr>
        <w:t>Massagué</w:t>
      </w:r>
      <w:proofErr w:type="spellEnd"/>
      <w:r w:rsidR="00921027" w:rsidRPr="00921027">
        <w:rPr>
          <w:rFonts w:ascii="Arial" w:hAnsi="Arial" w:cs="Arial"/>
        </w:rPr>
        <w:t xml:space="preserve">, J., Paty, P. B., Yaeger, R., Chen, X., Patil, S., </w:t>
      </w:r>
      <w:proofErr w:type="spellStart"/>
      <w:r w:rsidR="00921027" w:rsidRPr="00921027">
        <w:rPr>
          <w:rFonts w:ascii="Arial" w:hAnsi="Arial" w:cs="Arial"/>
        </w:rPr>
        <w:t>Clevers</w:t>
      </w:r>
      <w:proofErr w:type="spellEnd"/>
      <w:r w:rsidR="00921027" w:rsidRPr="00921027">
        <w:rPr>
          <w:rFonts w:ascii="Arial" w:hAnsi="Arial" w:cs="Arial"/>
        </w:rPr>
        <w:t xml:space="preserve">, H., Berger, M. F., Lowe, S. W., Shia, J., </w:t>
      </w:r>
      <w:proofErr w:type="spellStart"/>
      <w:r w:rsidR="00921027" w:rsidRPr="00921027">
        <w:rPr>
          <w:rFonts w:ascii="Arial" w:hAnsi="Arial" w:cs="Arial"/>
        </w:rPr>
        <w:t>Romesser</w:t>
      </w:r>
      <w:proofErr w:type="spellEnd"/>
      <w:r w:rsidR="00921027" w:rsidRPr="00921027">
        <w:rPr>
          <w:rFonts w:ascii="Arial" w:hAnsi="Arial" w:cs="Arial"/>
        </w:rPr>
        <w:t xml:space="preserve">, P. B., Dow, L. E., Garcia-Aguilar, J., Sawyers, C. L., &amp; Smith, J. J. (2019). A rectal cancer organoid platform to study individual responses to chemoradiation. Nature Medicine. </w:t>
      </w:r>
      <w:hyperlink r:id="rId47" w:history="1">
        <w:r w:rsidR="00921027" w:rsidRPr="00AF79D3">
          <w:rPr>
            <w:rStyle w:val="Hyperlink"/>
            <w:rFonts w:ascii="Arial" w:hAnsi="Arial" w:cs="Arial"/>
          </w:rPr>
          <w:t>https://doi.org/10.1038/s41591-019-0584-2</w:t>
        </w:r>
      </w:hyperlink>
      <w:r w:rsidR="00921027">
        <w:rPr>
          <w:rFonts w:ascii="Arial" w:hAnsi="Arial" w:cs="Arial"/>
        </w:rPr>
        <w:t xml:space="preserve"> </w:t>
      </w:r>
    </w:p>
    <w:p w14:paraId="5B7D35DA" w14:textId="6822098B" w:rsidR="00864CA0" w:rsidRPr="00864CA0" w:rsidRDefault="00864CA0" w:rsidP="00864CA0">
      <w:pPr>
        <w:pStyle w:val="Body"/>
        <w:rPr>
          <w:rFonts w:ascii="Arial" w:hAnsi="Arial" w:cs="Arial"/>
        </w:rPr>
      </w:pPr>
      <w:r w:rsidRPr="00864CA0">
        <w:rPr>
          <w:rFonts w:ascii="Arial" w:hAnsi="Arial" w:cs="Arial"/>
        </w:rPr>
        <w:t>35.</w:t>
      </w:r>
      <w:r>
        <w:rPr>
          <w:rFonts w:ascii="Arial" w:hAnsi="Arial" w:cs="Arial"/>
        </w:rPr>
        <w:t xml:space="preserve"> </w:t>
      </w:r>
      <w:proofErr w:type="spellStart"/>
      <w:r w:rsidR="00985FB4" w:rsidRPr="00985FB4">
        <w:rPr>
          <w:rFonts w:ascii="Arial" w:hAnsi="Arial" w:cs="Arial"/>
        </w:rPr>
        <w:t>Tiriac</w:t>
      </w:r>
      <w:proofErr w:type="spellEnd"/>
      <w:r w:rsidR="00985FB4" w:rsidRPr="00985FB4">
        <w:rPr>
          <w:rFonts w:ascii="Arial" w:hAnsi="Arial" w:cs="Arial"/>
        </w:rPr>
        <w:t xml:space="preserve">, H., Belleau, P., Engle, D. D., </w:t>
      </w:r>
      <w:proofErr w:type="spellStart"/>
      <w:r w:rsidR="00985FB4" w:rsidRPr="00985FB4">
        <w:rPr>
          <w:rFonts w:ascii="Arial" w:hAnsi="Arial" w:cs="Arial"/>
        </w:rPr>
        <w:t>Plenker</w:t>
      </w:r>
      <w:proofErr w:type="spellEnd"/>
      <w:r w:rsidR="00985FB4" w:rsidRPr="00985FB4">
        <w:rPr>
          <w:rFonts w:ascii="Arial" w:hAnsi="Arial" w:cs="Arial"/>
        </w:rPr>
        <w:t xml:space="preserve">, D., </w:t>
      </w:r>
      <w:proofErr w:type="spellStart"/>
      <w:r w:rsidR="00985FB4" w:rsidRPr="00985FB4">
        <w:rPr>
          <w:rFonts w:ascii="Arial" w:hAnsi="Arial" w:cs="Arial"/>
        </w:rPr>
        <w:t>Deschênes</w:t>
      </w:r>
      <w:proofErr w:type="spellEnd"/>
      <w:r w:rsidR="00985FB4" w:rsidRPr="00985FB4">
        <w:rPr>
          <w:rFonts w:ascii="Arial" w:hAnsi="Arial" w:cs="Arial"/>
        </w:rPr>
        <w:t xml:space="preserve">, A., Somerville, T. D. D., </w:t>
      </w:r>
      <w:proofErr w:type="spellStart"/>
      <w:r w:rsidR="00985FB4" w:rsidRPr="00985FB4">
        <w:rPr>
          <w:rFonts w:ascii="Arial" w:hAnsi="Arial" w:cs="Arial"/>
        </w:rPr>
        <w:t>Froeling</w:t>
      </w:r>
      <w:proofErr w:type="spellEnd"/>
      <w:r w:rsidR="00985FB4" w:rsidRPr="00985FB4">
        <w:rPr>
          <w:rFonts w:ascii="Arial" w:hAnsi="Arial" w:cs="Arial"/>
        </w:rPr>
        <w:t xml:space="preserve">, F. E. M., Burkhart, R. A., </w:t>
      </w:r>
      <w:proofErr w:type="spellStart"/>
      <w:r w:rsidR="00985FB4" w:rsidRPr="00985FB4">
        <w:rPr>
          <w:rFonts w:ascii="Arial" w:hAnsi="Arial" w:cs="Arial"/>
        </w:rPr>
        <w:t>Denroche</w:t>
      </w:r>
      <w:proofErr w:type="spellEnd"/>
      <w:r w:rsidR="00985FB4" w:rsidRPr="00985FB4">
        <w:rPr>
          <w:rFonts w:ascii="Arial" w:hAnsi="Arial" w:cs="Arial"/>
        </w:rPr>
        <w:t xml:space="preserve">, R. E., Jang, G. H., </w:t>
      </w:r>
      <w:proofErr w:type="spellStart"/>
      <w:r w:rsidR="00985FB4" w:rsidRPr="00985FB4">
        <w:rPr>
          <w:rFonts w:ascii="Arial" w:hAnsi="Arial" w:cs="Arial"/>
        </w:rPr>
        <w:t>Miyabayashi</w:t>
      </w:r>
      <w:proofErr w:type="spellEnd"/>
      <w:r w:rsidR="00985FB4" w:rsidRPr="00985FB4">
        <w:rPr>
          <w:rFonts w:ascii="Arial" w:hAnsi="Arial" w:cs="Arial"/>
        </w:rPr>
        <w:t xml:space="preserve">, K., Young, C. M., Patel, H., Ma, M., LaComb, J. F., </w:t>
      </w:r>
      <w:proofErr w:type="spellStart"/>
      <w:r w:rsidR="00985FB4" w:rsidRPr="00985FB4">
        <w:rPr>
          <w:rFonts w:ascii="Arial" w:hAnsi="Arial" w:cs="Arial"/>
        </w:rPr>
        <w:t>Palmaira</w:t>
      </w:r>
      <w:proofErr w:type="spellEnd"/>
      <w:r w:rsidR="00985FB4" w:rsidRPr="00985FB4">
        <w:rPr>
          <w:rFonts w:ascii="Arial" w:hAnsi="Arial" w:cs="Arial"/>
        </w:rPr>
        <w:t xml:space="preserve">, R. L. D., Javed, A. A., Huynh, J. C., Johnson, M., Arora, K., Robine, N., Shah, M., Sanghvi, R., Goetz, A. B., Lowder, C. Y., Martello, L., </w:t>
      </w:r>
      <w:proofErr w:type="spellStart"/>
      <w:r w:rsidR="00985FB4" w:rsidRPr="00985FB4">
        <w:rPr>
          <w:rFonts w:ascii="Arial" w:hAnsi="Arial" w:cs="Arial"/>
        </w:rPr>
        <w:t>Driehuis</w:t>
      </w:r>
      <w:proofErr w:type="spellEnd"/>
      <w:r w:rsidR="00985FB4" w:rsidRPr="00985FB4">
        <w:rPr>
          <w:rFonts w:ascii="Arial" w:hAnsi="Arial" w:cs="Arial"/>
        </w:rPr>
        <w:t xml:space="preserve">, E., </w:t>
      </w:r>
      <w:proofErr w:type="spellStart"/>
      <w:r w:rsidR="00985FB4" w:rsidRPr="00985FB4">
        <w:rPr>
          <w:rFonts w:ascii="Arial" w:hAnsi="Arial" w:cs="Arial"/>
        </w:rPr>
        <w:t>LeComte</w:t>
      </w:r>
      <w:proofErr w:type="spellEnd"/>
      <w:r w:rsidR="00985FB4" w:rsidRPr="00985FB4">
        <w:rPr>
          <w:rFonts w:ascii="Arial" w:hAnsi="Arial" w:cs="Arial"/>
        </w:rPr>
        <w:t xml:space="preserve">, N., Askan, G., Iacobuzio-Donahue, C. A., </w:t>
      </w:r>
      <w:proofErr w:type="spellStart"/>
      <w:r w:rsidR="00985FB4" w:rsidRPr="00985FB4">
        <w:rPr>
          <w:rFonts w:ascii="Arial" w:hAnsi="Arial" w:cs="Arial"/>
        </w:rPr>
        <w:t>Clevers</w:t>
      </w:r>
      <w:proofErr w:type="spellEnd"/>
      <w:r w:rsidR="00985FB4" w:rsidRPr="00985FB4">
        <w:rPr>
          <w:rFonts w:ascii="Arial" w:hAnsi="Arial" w:cs="Arial"/>
        </w:rPr>
        <w:t xml:space="preserve">, H., Wood, L. D., </w:t>
      </w:r>
      <w:proofErr w:type="spellStart"/>
      <w:r w:rsidR="00985FB4" w:rsidRPr="00985FB4">
        <w:rPr>
          <w:rFonts w:ascii="Arial" w:hAnsi="Arial" w:cs="Arial"/>
        </w:rPr>
        <w:t>Hruban</w:t>
      </w:r>
      <w:proofErr w:type="spellEnd"/>
      <w:r w:rsidR="00985FB4" w:rsidRPr="00985FB4">
        <w:rPr>
          <w:rFonts w:ascii="Arial" w:hAnsi="Arial" w:cs="Arial"/>
        </w:rPr>
        <w:t xml:space="preserve">, R. H., Thompson, E., Aguirre, A. J., Wolpin, B. M., Sasson, A., Kim, J., Wu, M., </w:t>
      </w:r>
      <w:proofErr w:type="spellStart"/>
      <w:r w:rsidR="00985FB4" w:rsidRPr="00985FB4">
        <w:rPr>
          <w:rFonts w:ascii="Arial" w:hAnsi="Arial" w:cs="Arial"/>
        </w:rPr>
        <w:t>Bucobo</w:t>
      </w:r>
      <w:proofErr w:type="spellEnd"/>
      <w:r w:rsidR="00985FB4" w:rsidRPr="00985FB4">
        <w:rPr>
          <w:rFonts w:ascii="Arial" w:hAnsi="Arial" w:cs="Arial"/>
        </w:rPr>
        <w:t xml:space="preserve">, J. C., Allen, P., </w:t>
      </w:r>
      <w:proofErr w:type="spellStart"/>
      <w:r w:rsidR="00985FB4" w:rsidRPr="00985FB4">
        <w:rPr>
          <w:rFonts w:ascii="Arial" w:hAnsi="Arial" w:cs="Arial"/>
        </w:rPr>
        <w:t>Sejpal</w:t>
      </w:r>
      <w:proofErr w:type="spellEnd"/>
      <w:r w:rsidR="00985FB4" w:rsidRPr="00985FB4">
        <w:rPr>
          <w:rFonts w:ascii="Arial" w:hAnsi="Arial" w:cs="Arial"/>
        </w:rPr>
        <w:t xml:space="preserve">, D. V., Nealon, W., Sullivan, J. D., Winter, J. M., Gimotty, P. A., </w:t>
      </w:r>
      <w:proofErr w:type="spellStart"/>
      <w:r w:rsidR="00985FB4" w:rsidRPr="00985FB4">
        <w:rPr>
          <w:rFonts w:ascii="Arial" w:hAnsi="Arial" w:cs="Arial"/>
        </w:rPr>
        <w:t>Grem</w:t>
      </w:r>
      <w:proofErr w:type="spellEnd"/>
      <w:r w:rsidR="00985FB4" w:rsidRPr="00985FB4">
        <w:rPr>
          <w:rFonts w:ascii="Arial" w:hAnsi="Arial" w:cs="Arial"/>
        </w:rPr>
        <w:t xml:space="preserve">, J. L., DiMaio, D. J., Buscaglia, J. M., Grandgenett, P. M., Brody, J. R., Hollingsworth, M. A., O'Kane, G. M., </w:t>
      </w:r>
      <w:proofErr w:type="spellStart"/>
      <w:r w:rsidR="00985FB4" w:rsidRPr="00985FB4">
        <w:rPr>
          <w:rFonts w:ascii="Arial" w:hAnsi="Arial" w:cs="Arial"/>
        </w:rPr>
        <w:t>Notta</w:t>
      </w:r>
      <w:proofErr w:type="spellEnd"/>
      <w:r w:rsidR="00985FB4" w:rsidRPr="00985FB4">
        <w:rPr>
          <w:rFonts w:ascii="Arial" w:hAnsi="Arial" w:cs="Arial"/>
        </w:rPr>
        <w:t xml:space="preserve">, F., Kim, E., Crawford, J. M., Devoe, C., Ocean, A., Wolfgang, C. L., Yu, K. H., Li, E., Vakoc, C. R., Hubert, B., Fischer, S. E., Wilson, J. M., Moffitt, R., Knox, J., </w:t>
      </w:r>
      <w:proofErr w:type="spellStart"/>
      <w:r w:rsidR="00985FB4" w:rsidRPr="00985FB4">
        <w:rPr>
          <w:rFonts w:ascii="Arial" w:hAnsi="Arial" w:cs="Arial"/>
        </w:rPr>
        <w:t>Krasnitz</w:t>
      </w:r>
      <w:proofErr w:type="spellEnd"/>
      <w:r w:rsidR="00985FB4" w:rsidRPr="00985FB4">
        <w:rPr>
          <w:rFonts w:ascii="Arial" w:hAnsi="Arial" w:cs="Arial"/>
        </w:rPr>
        <w:t xml:space="preserve">, A., Gallinger, S., &amp; Tuveson, D. A. (2018). Organoid profiling identifies common responders to chemotherapy in pancreatic cancer. Cancer Discovery, 8(9), 1112–1129. </w:t>
      </w:r>
      <w:hyperlink r:id="rId48" w:history="1">
        <w:r w:rsidR="00985FB4" w:rsidRPr="00AF79D3">
          <w:rPr>
            <w:rStyle w:val="Hyperlink"/>
            <w:rFonts w:ascii="Arial" w:hAnsi="Arial" w:cs="Arial"/>
          </w:rPr>
          <w:t>https://doi.org/10.1158/2159-8290.CD-18-0349</w:t>
        </w:r>
      </w:hyperlink>
      <w:r w:rsidR="00985FB4">
        <w:rPr>
          <w:rFonts w:ascii="Arial" w:hAnsi="Arial" w:cs="Arial"/>
        </w:rPr>
        <w:t xml:space="preserve"> </w:t>
      </w:r>
    </w:p>
    <w:p w14:paraId="6D87D970" w14:textId="6B6E6A20" w:rsidR="00864CA0" w:rsidRPr="00864CA0" w:rsidRDefault="00864CA0" w:rsidP="00864CA0">
      <w:pPr>
        <w:pStyle w:val="Body"/>
        <w:rPr>
          <w:rFonts w:ascii="Arial" w:hAnsi="Arial" w:cs="Arial"/>
        </w:rPr>
      </w:pPr>
      <w:r w:rsidRPr="00864CA0">
        <w:rPr>
          <w:rFonts w:ascii="Arial" w:hAnsi="Arial" w:cs="Arial"/>
        </w:rPr>
        <w:t>36.</w:t>
      </w:r>
      <w:r>
        <w:rPr>
          <w:rFonts w:ascii="Arial" w:hAnsi="Arial" w:cs="Arial"/>
        </w:rPr>
        <w:t xml:space="preserve"> </w:t>
      </w:r>
      <w:r w:rsidRPr="00864CA0">
        <w:rPr>
          <w:rFonts w:ascii="Arial" w:hAnsi="Arial" w:cs="Arial"/>
        </w:rPr>
        <w:t>Zhang Z, Yang P, Cai X, et al. Air–liquid interface PDOs preserve immune components. Cell Stem Cell. 2018;23(6):767-82.</w:t>
      </w:r>
    </w:p>
    <w:p w14:paraId="0FAD9773" w14:textId="62A6E821" w:rsidR="00864CA0" w:rsidRPr="00864CA0" w:rsidRDefault="00864CA0" w:rsidP="00864CA0">
      <w:pPr>
        <w:pStyle w:val="Body"/>
        <w:rPr>
          <w:rFonts w:ascii="Arial" w:hAnsi="Arial" w:cs="Arial"/>
        </w:rPr>
      </w:pPr>
      <w:r w:rsidRPr="00864CA0">
        <w:rPr>
          <w:rFonts w:ascii="Arial" w:hAnsi="Arial" w:cs="Arial"/>
        </w:rPr>
        <w:t>37.</w:t>
      </w:r>
      <w:r>
        <w:rPr>
          <w:rFonts w:ascii="Arial" w:hAnsi="Arial" w:cs="Arial"/>
        </w:rPr>
        <w:t xml:space="preserve"> </w:t>
      </w:r>
      <w:r w:rsidRPr="00864CA0">
        <w:rPr>
          <w:rFonts w:ascii="Arial" w:hAnsi="Arial" w:cs="Arial"/>
        </w:rPr>
        <w:t xml:space="preserve">Leder K, Holland EC, </w:t>
      </w:r>
      <w:proofErr w:type="spellStart"/>
      <w:r w:rsidRPr="00864CA0">
        <w:rPr>
          <w:rFonts w:ascii="Arial" w:hAnsi="Arial" w:cs="Arial"/>
        </w:rPr>
        <w:t>Michor</w:t>
      </w:r>
      <w:proofErr w:type="spellEnd"/>
      <w:r w:rsidRPr="00864CA0">
        <w:rPr>
          <w:rFonts w:ascii="Arial" w:hAnsi="Arial" w:cs="Arial"/>
        </w:rPr>
        <w:t xml:space="preserve"> F. The therapeutic implications of glioblastoma heterogeneity. Nat Rev Clin Oncol. 2014;11(6):360-71.</w:t>
      </w:r>
    </w:p>
    <w:p w14:paraId="1197D0B3" w14:textId="15F15D78" w:rsidR="00864CA0" w:rsidRPr="00864CA0" w:rsidRDefault="00864CA0" w:rsidP="00864CA0">
      <w:pPr>
        <w:pStyle w:val="Body"/>
        <w:rPr>
          <w:rFonts w:ascii="Arial" w:hAnsi="Arial" w:cs="Arial"/>
        </w:rPr>
      </w:pPr>
      <w:r w:rsidRPr="00864CA0">
        <w:rPr>
          <w:rFonts w:ascii="Arial" w:hAnsi="Arial" w:cs="Arial"/>
        </w:rPr>
        <w:t>38.</w:t>
      </w:r>
      <w:r>
        <w:rPr>
          <w:rFonts w:ascii="Arial" w:hAnsi="Arial" w:cs="Arial"/>
        </w:rPr>
        <w:t xml:space="preserve"> </w:t>
      </w:r>
      <w:r w:rsidR="00181D48" w:rsidRPr="00181D48">
        <w:rPr>
          <w:rFonts w:ascii="Arial" w:hAnsi="Arial" w:cs="Arial"/>
        </w:rPr>
        <w:t xml:space="preserve">Jacob, F., Salinas, R. D., Zhang, D. Y., Nguyen, P. T. T., Schnoll, J. G., Wong, S. Z. H., </w:t>
      </w:r>
      <w:proofErr w:type="spellStart"/>
      <w:r w:rsidR="00181D48" w:rsidRPr="00181D48">
        <w:rPr>
          <w:rFonts w:ascii="Arial" w:hAnsi="Arial" w:cs="Arial"/>
        </w:rPr>
        <w:t>Thokala</w:t>
      </w:r>
      <w:proofErr w:type="spellEnd"/>
      <w:r w:rsidR="00181D48" w:rsidRPr="00181D48">
        <w:rPr>
          <w:rFonts w:ascii="Arial" w:hAnsi="Arial" w:cs="Arial"/>
        </w:rPr>
        <w:t xml:space="preserve">, R., Sheikh, S., Saxena, D., Prokop, S., Liu, D. A., Qian, X., Petrov, D., Lucas, T., Chen, H. I., Dorsey, J. F., Christian, K. M., Binder, Z. A., Nasrallah, M., Brem, S., O'Rourke, D. M., Ming, G. L., &amp; Song, H. (2020). A patient-derived glioblastoma organoid model and biobank </w:t>
      </w:r>
      <w:proofErr w:type="gramStart"/>
      <w:r w:rsidR="00181D48" w:rsidRPr="00181D48">
        <w:rPr>
          <w:rFonts w:ascii="Arial" w:hAnsi="Arial" w:cs="Arial"/>
        </w:rPr>
        <w:t>recapitulates</w:t>
      </w:r>
      <w:proofErr w:type="gramEnd"/>
      <w:r w:rsidR="00181D48" w:rsidRPr="00181D48">
        <w:rPr>
          <w:rFonts w:ascii="Arial" w:hAnsi="Arial" w:cs="Arial"/>
        </w:rPr>
        <w:t xml:space="preserve"> inter- and intra-tumoral heterogeneity. Cell, 180(1), 188–204.e22. </w:t>
      </w:r>
      <w:hyperlink r:id="rId49" w:history="1">
        <w:r w:rsidR="00181D48" w:rsidRPr="00AF79D3">
          <w:rPr>
            <w:rStyle w:val="Hyperlink"/>
            <w:rFonts w:ascii="Arial" w:hAnsi="Arial" w:cs="Arial"/>
          </w:rPr>
          <w:t>https://doi.org/10.1016/j.cell.2019.11.036</w:t>
        </w:r>
      </w:hyperlink>
      <w:r w:rsidR="00181D48">
        <w:rPr>
          <w:rFonts w:ascii="Arial" w:hAnsi="Arial" w:cs="Arial"/>
        </w:rPr>
        <w:t xml:space="preserve"> </w:t>
      </w:r>
    </w:p>
    <w:p w14:paraId="082E262B" w14:textId="18704A11" w:rsidR="00864CA0" w:rsidRPr="00864CA0" w:rsidRDefault="00864CA0" w:rsidP="00864CA0">
      <w:pPr>
        <w:pStyle w:val="Body"/>
        <w:rPr>
          <w:rFonts w:ascii="Arial" w:hAnsi="Arial" w:cs="Arial"/>
        </w:rPr>
      </w:pPr>
      <w:r w:rsidRPr="00864CA0">
        <w:rPr>
          <w:rFonts w:ascii="Arial" w:hAnsi="Arial" w:cs="Arial"/>
        </w:rPr>
        <w:t>39.</w:t>
      </w:r>
      <w:r>
        <w:rPr>
          <w:rFonts w:ascii="Arial" w:hAnsi="Arial" w:cs="Arial"/>
        </w:rPr>
        <w:t xml:space="preserve"> </w:t>
      </w:r>
      <w:r w:rsidRPr="00864CA0">
        <w:rPr>
          <w:rFonts w:ascii="Arial" w:hAnsi="Arial" w:cs="Arial"/>
        </w:rPr>
        <w:t xml:space="preserve">Hongisto V, Virtanen C, Karjalainen R, et al. 3D models in drug screening and personalized medicine. Adv Drug Deliv Rev. </w:t>
      </w:r>
      <w:proofErr w:type="gramStart"/>
      <w:r w:rsidRPr="00864CA0">
        <w:rPr>
          <w:rFonts w:ascii="Arial" w:hAnsi="Arial" w:cs="Arial"/>
        </w:rPr>
        <w:t>2018;127:46</w:t>
      </w:r>
      <w:proofErr w:type="gramEnd"/>
      <w:r w:rsidRPr="00864CA0">
        <w:rPr>
          <w:rFonts w:ascii="Arial" w:hAnsi="Arial" w:cs="Arial"/>
        </w:rPr>
        <w:t>-57.</w:t>
      </w:r>
    </w:p>
    <w:p w14:paraId="6D7AE981" w14:textId="4D79D5C9" w:rsidR="00864CA0" w:rsidRPr="00864CA0" w:rsidRDefault="00864CA0" w:rsidP="00864CA0">
      <w:pPr>
        <w:pStyle w:val="Body"/>
        <w:rPr>
          <w:rFonts w:ascii="Arial" w:hAnsi="Arial" w:cs="Arial"/>
        </w:rPr>
      </w:pPr>
      <w:r w:rsidRPr="00864CA0">
        <w:rPr>
          <w:rFonts w:ascii="Arial" w:hAnsi="Arial" w:cs="Arial"/>
        </w:rPr>
        <w:t>40.</w:t>
      </w:r>
      <w:r>
        <w:rPr>
          <w:rFonts w:ascii="Arial" w:hAnsi="Arial" w:cs="Arial"/>
        </w:rPr>
        <w:t xml:space="preserve"> </w:t>
      </w:r>
      <w:r w:rsidR="00D85D2E" w:rsidRPr="00D85D2E">
        <w:rPr>
          <w:rFonts w:ascii="Arial" w:hAnsi="Arial" w:cs="Arial"/>
        </w:rPr>
        <w:t xml:space="preserve">Saisri, B., Anjaneyulu, V., &amp; Kumar, G. V. (2021). Design and characterization of pramipexole dihydrochloride nanoparticles. Journal For Innovative Development in Pharmaceutical and Technical Science, 4(11). </w:t>
      </w:r>
      <w:hyperlink r:id="rId50" w:history="1">
        <w:r w:rsidR="00D85D2E" w:rsidRPr="00AF79D3">
          <w:rPr>
            <w:rStyle w:val="Hyperlink"/>
            <w:rFonts w:ascii="Arial" w:hAnsi="Arial" w:cs="Arial"/>
          </w:rPr>
          <w:t>http://jidps.com</w:t>
        </w:r>
      </w:hyperlink>
      <w:r w:rsidR="00D85D2E">
        <w:rPr>
          <w:rFonts w:ascii="Arial" w:hAnsi="Arial" w:cs="Arial"/>
        </w:rPr>
        <w:t xml:space="preserve"> </w:t>
      </w:r>
    </w:p>
    <w:p w14:paraId="1F5CE84F" w14:textId="6C41962C" w:rsidR="00864CA0" w:rsidRPr="00864CA0" w:rsidRDefault="00864CA0" w:rsidP="00864CA0">
      <w:pPr>
        <w:pStyle w:val="Body"/>
        <w:rPr>
          <w:rFonts w:ascii="Arial" w:hAnsi="Arial" w:cs="Arial"/>
        </w:rPr>
      </w:pPr>
      <w:r w:rsidRPr="00864CA0">
        <w:rPr>
          <w:rFonts w:ascii="Arial" w:hAnsi="Arial" w:cs="Arial"/>
        </w:rPr>
        <w:lastRenderedPageBreak/>
        <w:t>41.</w:t>
      </w:r>
      <w:r>
        <w:rPr>
          <w:rFonts w:ascii="Arial" w:hAnsi="Arial" w:cs="Arial"/>
        </w:rPr>
        <w:t xml:space="preserve"> </w:t>
      </w:r>
      <w:r w:rsidRPr="00864CA0">
        <w:rPr>
          <w:rFonts w:ascii="Arial" w:hAnsi="Arial" w:cs="Arial"/>
        </w:rPr>
        <w:t xml:space="preserve">Cai S, Xu Q, Li X, et al. </w:t>
      </w:r>
      <w:proofErr w:type="spellStart"/>
      <w:r w:rsidRPr="00864CA0">
        <w:rPr>
          <w:rFonts w:ascii="Arial" w:hAnsi="Arial" w:cs="Arial"/>
        </w:rPr>
        <w:t>Electrospun</w:t>
      </w:r>
      <w:proofErr w:type="spellEnd"/>
      <w:r w:rsidRPr="00864CA0">
        <w:rPr>
          <w:rFonts w:ascii="Arial" w:hAnsi="Arial" w:cs="Arial"/>
        </w:rPr>
        <w:t xml:space="preserve"> nanofibers in cancer research: Scaffolds and drug delivery. </w:t>
      </w:r>
      <w:proofErr w:type="spellStart"/>
      <w:r w:rsidRPr="00864CA0">
        <w:rPr>
          <w:rFonts w:ascii="Arial" w:hAnsi="Arial" w:cs="Arial"/>
        </w:rPr>
        <w:t>Biores</w:t>
      </w:r>
      <w:proofErr w:type="spellEnd"/>
      <w:r w:rsidRPr="00864CA0">
        <w:rPr>
          <w:rFonts w:ascii="Arial" w:hAnsi="Arial" w:cs="Arial"/>
        </w:rPr>
        <w:t xml:space="preserve"> Open Access. 2021;10(1):62-75.</w:t>
      </w:r>
    </w:p>
    <w:p w14:paraId="4A48EEA6" w14:textId="60FA9B83" w:rsidR="00864CA0" w:rsidRPr="00864CA0" w:rsidRDefault="00864CA0" w:rsidP="00864CA0">
      <w:pPr>
        <w:pStyle w:val="Body"/>
        <w:rPr>
          <w:rFonts w:ascii="Arial" w:hAnsi="Arial" w:cs="Arial"/>
        </w:rPr>
      </w:pPr>
      <w:r w:rsidRPr="00864CA0">
        <w:rPr>
          <w:rFonts w:ascii="Arial" w:hAnsi="Arial" w:cs="Arial"/>
        </w:rPr>
        <w:t>42.</w:t>
      </w:r>
      <w:r>
        <w:rPr>
          <w:rFonts w:ascii="Arial" w:hAnsi="Arial" w:cs="Arial"/>
        </w:rPr>
        <w:t xml:space="preserve"> </w:t>
      </w:r>
      <w:r w:rsidR="00BA58F1" w:rsidRPr="00BA58F1">
        <w:rPr>
          <w:rFonts w:ascii="Arial" w:hAnsi="Arial" w:cs="Arial"/>
        </w:rPr>
        <w:t xml:space="preserve">Marklein, R. A., &amp; Burdick, J. A. (2010). Spatially controlled hydrogel mechanics to modulate stem cell interactions. Soft Matter, 6(1), 136-143. </w:t>
      </w:r>
      <w:hyperlink r:id="rId51" w:history="1">
        <w:r w:rsidR="00BA58F1" w:rsidRPr="00AF79D3">
          <w:rPr>
            <w:rStyle w:val="Hyperlink"/>
            <w:rFonts w:ascii="Arial" w:hAnsi="Arial" w:cs="Arial"/>
          </w:rPr>
          <w:t>https://doi.org/10.1039/B916933D</w:t>
        </w:r>
      </w:hyperlink>
      <w:r w:rsidR="00BA58F1">
        <w:rPr>
          <w:rFonts w:ascii="Arial" w:hAnsi="Arial" w:cs="Arial"/>
        </w:rPr>
        <w:t xml:space="preserve"> </w:t>
      </w:r>
    </w:p>
    <w:p w14:paraId="6AF828E0" w14:textId="20D7DF6D" w:rsidR="00864CA0" w:rsidRPr="00864CA0" w:rsidRDefault="00864CA0" w:rsidP="00864CA0">
      <w:pPr>
        <w:pStyle w:val="Body"/>
        <w:rPr>
          <w:rFonts w:ascii="Arial" w:hAnsi="Arial" w:cs="Arial"/>
        </w:rPr>
      </w:pPr>
      <w:r w:rsidRPr="00864CA0">
        <w:rPr>
          <w:rFonts w:ascii="Arial" w:hAnsi="Arial" w:cs="Arial"/>
        </w:rPr>
        <w:t>43.</w:t>
      </w:r>
      <w:r>
        <w:rPr>
          <w:rFonts w:ascii="Arial" w:hAnsi="Arial" w:cs="Arial"/>
        </w:rPr>
        <w:t xml:space="preserve"> </w:t>
      </w:r>
      <w:r w:rsidR="00DC3D78" w:rsidRPr="00DC3D78">
        <w:rPr>
          <w:rFonts w:ascii="Arial" w:hAnsi="Arial" w:cs="Arial"/>
        </w:rPr>
        <w:t xml:space="preserve">Tibbitt, M. W., &amp; Anseth, K. S. (2009). Hydrogels as extracellular matrix mimics for 3D cell culture. Biotechnology and Bioengineering, 103(4), 655-663. </w:t>
      </w:r>
      <w:hyperlink r:id="rId52" w:history="1">
        <w:r w:rsidR="00DC3D78" w:rsidRPr="00AF79D3">
          <w:rPr>
            <w:rStyle w:val="Hyperlink"/>
            <w:rFonts w:ascii="Arial" w:hAnsi="Arial" w:cs="Arial"/>
          </w:rPr>
          <w:t>https://doi.org/10.1002/bit.22361</w:t>
        </w:r>
      </w:hyperlink>
      <w:r w:rsidR="00DC3D78">
        <w:rPr>
          <w:rFonts w:ascii="Arial" w:hAnsi="Arial" w:cs="Arial"/>
        </w:rPr>
        <w:t xml:space="preserve"> </w:t>
      </w:r>
    </w:p>
    <w:p w14:paraId="4D44F9A8" w14:textId="79FBED29" w:rsidR="00864CA0" w:rsidRPr="00864CA0" w:rsidRDefault="00864CA0" w:rsidP="00864CA0">
      <w:pPr>
        <w:pStyle w:val="Body"/>
        <w:rPr>
          <w:rFonts w:ascii="Arial" w:hAnsi="Arial" w:cs="Arial"/>
        </w:rPr>
      </w:pPr>
      <w:r w:rsidRPr="00864CA0">
        <w:rPr>
          <w:rFonts w:ascii="Arial" w:hAnsi="Arial" w:cs="Arial"/>
        </w:rPr>
        <w:t>44.</w:t>
      </w:r>
      <w:r>
        <w:rPr>
          <w:rFonts w:ascii="Arial" w:hAnsi="Arial" w:cs="Arial"/>
        </w:rPr>
        <w:t xml:space="preserve"> </w:t>
      </w:r>
      <w:proofErr w:type="spellStart"/>
      <w:r w:rsidR="00BF3BED" w:rsidRPr="00BF3BED">
        <w:rPr>
          <w:rFonts w:ascii="Arial" w:hAnsi="Arial" w:cs="Arial"/>
        </w:rPr>
        <w:t>Geckil</w:t>
      </w:r>
      <w:proofErr w:type="spellEnd"/>
      <w:r w:rsidR="00BF3BED" w:rsidRPr="00BF3BED">
        <w:rPr>
          <w:rFonts w:ascii="Arial" w:hAnsi="Arial" w:cs="Arial"/>
        </w:rPr>
        <w:t xml:space="preserve">, H., Xu, F., Zhang, X., Moon, S., &amp; Demirci, U. (2010). Engineering hydrogels as extracellular matrix mimics. Nanomedicine (London), 5(3), 469-484. </w:t>
      </w:r>
      <w:hyperlink r:id="rId53" w:history="1">
        <w:r w:rsidR="00BF3BED" w:rsidRPr="00AF79D3">
          <w:rPr>
            <w:rStyle w:val="Hyperlink"/>
            <w:rFonts w:ascii="Arial" w:hAnsi="Arial" w:cs="Arial"/>
          </w:rPr>
          <w:t>https://doi.org/10.2217/nnm.10.12</w:t>
        </w:r>
      </w:hyperlink>
      <w:r w:rsidR="00BF3BED">
        <w:rPr>
          <w:rFonts w:ascii="Arial" w:hAnsi="Arial" w:cs="Arial"/>
        </w:rPr>
        <w:t xml:space="preserve"> </w:t>
      </w:r>
    </w:p>
    <w:p w14:paraId="6A2A8B9A" w14:textId="5595CF74" w:rsidR="00864CA0" w:rsidRPr="00864CA0" w:rsidRDefault="00864CA0" w:rsidP="00864CA0">
      <w:pPr>
        <w:pStyle w:val="Body"/>
        <w:rPr>
          <w:rFonts w:ascii="Arial" w:hAnsi="Arial" w:cs="Arial"/>
        </w:rPr>
      </w:pPr>
      <w:r w:rsidRPr="00864CA0">
        <w:rPr>
          <w:rFonts w:ascii="Arial" w:hAnsi="Arial" w:cs="Arial"/>
        </w:rPr>
        <w:t>45.</w:t>
      </w:r>
      <w:r>
        <w:rPr>
          <w:rFonts w:ascii="Arial" w:hAnsi="Arial" w:cs="Arial"/>
        </w:rPr>
        <w:t xml:space="preserve"> </w:t>
      </w:r>
      <w:r w:rsidR="004C1F16" w:rsidRPr="004C1F16">
        <w:rPr>
          <w:rFonts w:ascii="Arial" w:hAnsi="Arial" w:cs="Arial"/>
        </w:rPr>
        <w:t xml:space="preserve">Bhattacharya, M., Malinen, M. M., Lauren, P., Lou, Y. R., Kuisma, S. W., </w:t>
      </w:r>
      <w:proofErr w:type="spellStart"/>
      <w:r w:rsidR="004C1F16" w:rsidRPr="004C1F16">
        <w:rPr>
          <w:rFonts w:ascii="Arial" w:hAnsi="Arial" w:cs="Arial"/>
        </w:rPr>
        <w:t>Kanninen</w:t>
      </w:r>
      <w:proofErr w:type="spellEnd"/>
      <w:r w:rsidR="004C1F16" w:rsidRPr="004C1F16">
        <w:rPr>
          <w:rFonts w:ascii="Arial" w:hAnsi="Arial" w:cs="Arial"/>
        </w:rPr>
        <w:t xml:space="preserve">, L., Lille, M., Corlu, A., </w:t>
      </w:r>
      <w:proofErr w:type="spellStart"/>
      <w:r w:rsidR="004C1F16" w:rsidRPr="004C1F16">
        <w:rPr>
          <w:rFonts w:ascii="Arial" w:hAnsi="Arial" w:cs="Arial"/>
        </w:rPr>
        <w:t>GuGuen-Guillouzo</w:t>
      </w:r>
      <w:proofErr w:type="spellEnd"/>
      <w:r w:rsidR="004C1F16" w:rsidRPr="004C1F16">
        <w:rPr>
          <w:rFonts w:ascii="Arial" w:hAnsi="Arial" w:cs="Arial"/>
        </w:rPr>
        <w:t xml:space="preserve">, C., Ikkala, O., Laukkanen, A., </w:t>
      </w:r>
      <w:proofErr w:type="spellStart"/>
      <w:r w:rsidR="004C1F16" w:rsidRPr="004C1F16">
        <w:rPr>
          <w:rFonts w:ascii="Arial" w:hAnsi="Arial" w:cs="Arial"/>
        </w:rPr>
        <w:t>Urtti</w:t>
      </w:r>
      <w:proofErr w:type="spellEnd"/>
      <w:r w:rsidR="004C1F16" w:rsidRPr="004C1F16">
        <w:rPr>
          <w:rFonts w:ascii="Arial" w:hAnsi="Arial" w:cs="Arial"/>
        </w:rPr>
        <w:t xml:space="preserve">, A., &amp; </w:t>
      </w:r>
      <w:proofErr w:type="spellStart"/>
      <w:r w:rsidR="004C1F16" w:rsidRPr="004C1F16">
        <w:rPr>
          <w:rFonts w:ascii="Arial" w:hAnsi="Arial" w:cs="Arial"/>
        </w:rPr>
        <w:t>Yliperttula</w:t>
      </w:r>
      <w:proofErr w:type="spellEnd"/>
      <w:r w:rsidR="004C1F16" w:rsidRPr="004C1F16">
        <w:rPr>
          <w:rFonts w:ascii="Arial" w:hAnsi="Arial" w:cs="Arial"/>
        </w:rPr>
        <w:t xml:space="preserve">, M. (2012). Nanofibrillar cellulose hydrogel promotes three-dimensional liver cell culture. Journal of Controlled Release, 164(3), 291-298. </w:t>
      </w:r>
      <w:hyperlink r:id="rId54" w:history="1">
        <w:r w:rsidR="004C1F16" w:rsidRPr="00AF79D3">
          <w:rPr>
            <w:rStyle w:val="Hyperlink"/>
            <w:rFonts w:ascii="Arial" w:hAnsi="Arial" w:cs="Arial"/>
          </w:rPr>
          <w:t>https://doi.org/10.1016/j.jconrel.2012.06.039</w:t>
        </w:r>
      </w:hyperlink>
      <w:r w:rsidR="004C1F16">
        <w:rPr>
          <w:rFonts w:ascii="Arial" w:hAnsi="Arial" w:cs="Arial"/>
        </w:rPr>
        <w:t xml:space="preserve"> </w:t>
      </w:r>
    </w:p>
    <w:p w14:paraId="7D3A9086" w14:textId="7546D890" w:rsidR="00864CA0" w:rsidRPr="00864CA0" w:rsidRDefault="00864CA0" w:rsidP="00864CA0">
      <w:pPr>
        <w:pStyle w:val="Body"/>
        <w:rPr>
          <w:rFonts w:ascii="Arial" w:hAnsi="Arial" w:cs="Arial"/>
        </w:rPr>
      </w:pPr>
      <w:r w:rsidRPr="00864CA0">
        <w:rPr>
          <w:rFonts w:ascii="Arial" w:hAnsi="Arial" w:cs="Arial"/>
        </w:rPr>
        <w:t>46.</w:t>
      </w:r>
      <w:r>
        <w:rPr>
          <w:rFonts w:ascii="Arial" w:hAnsi="Arial" w:cs="Arial"/>
        </w:rPr>
        <w:t xml:space="preserve"> </w:t>
      </w:r>
      <w:r w:rsidR="00237A8E" w:rsidRPr="00237A8E">
        <w:rPr>
          <w:rFonts w:ascii="Arial" w:hAnsi="Arial" w:cs="Arial"/>
        </w:rPr>
        <w:t xml:space="preserve">Huang, C. B. X., &amp; Tu, T. Y. (2023). Recent advances in vascularized tumor-on-a-chip. Frontiers in Oncology, 13, 1150332. </w:t>
      </w:r>
      <w:hyperlink r:id="rId55" w:history="1">
        <w:r w:rsidR="00237A8E" w:rsidRPr="00AF79D3">
          <w:rPr>
            <w:rStyle w:val="Hyperlink"/>
            <w:rFonts w:ascii="Arial" w:hAnsi="Arial" w:cs="Arial"/>
          </w:rPr>
          <w:t>https://doi.org/10.3389/fonc.2023.1150332</w:t>
        </w:r>
      </w:hyperlink>
      <w:r w:rsidR="00237A8E">
        <w:rPr>
          <w:rFonts w:ascii="Arial" w:hAnsi="Arial" w:cs="Arial"/>
        </w:rPr>
        <w:t xml:space="preserve"> </w:t>
      </w:r>
    </w:p>
    <w:p w14:paraId="4AC74F01" w14:textId="2DB1088D" w:rsidR="00864CA0" w:rsidRPr="00864CA0" w:rsidRDefault="00864CA0" w:rsidP="00864CA0">
      <w:pPr>
        <w:pStyle w:val="Body"/>
        <w:rPr>
          <w:rFonts w:ascii="Arial" w:hAnsi="Arial" w:cs="Arial"/>
        </w:rPr>
      </w:pPr>
      <w:r w:rsidRPr="00864CA0">
        <w:rPr>
          <w:rFonts w:ascii="Arial" w:hAnsi="Arial" w:cs="Arial"/>
        </w:rPr>
        <w:t>47.</w:t>
      </w:r>
      <w:r>
        <w:rPr>
          <w:rFonts w:ascii="Arial" w:hAnsi="Arial" w:cs="Arial"/>
        </w:rPr>
        <w:t xml:space="preserve"> </w:t>
      </w:r>
      <w:r w:rsidRPr="00864CA0">
        <w:rPr>
          <w:rFonts w:ascii="Arial" w:hAnsi="Arial" w:cs="Arial"/>
        </w:rPr>
        <w:t xml:space="preserve">Datta P, Novik E, Kaar J, et al. Recent advances on cancer-on-chip models. </w:t>
      </w:r>
      <w:proofErr w:type="spellStart"/>
      <w:r w:rsidRPr="00864CA0">
        <w:rPr>
          <w:rFonts w:ascii="Arial" w:hAnsi="Arial" w:cs="Arial"/>
        </w:rPr>
        <w:t>Biotechnol</w:t>
      </w:r>
      <w:proofErr w:type="spellEnd"/>
      <w:r w:rsidRPr="00864CA0">
        <w:rPr>
          <w:rFonts w:ascii="Arial" w:hAnsi="Arial" w:cs="Arial"/>
        </w:rPr>
        <w:t xml:space="preserve"> Adv. </w:t>
      </w:r>
      <w:proofErr w:type="gramStart"/>
      <w:r w:rsidRPr="00864CA0">
        <w:rPr>
          <w:rFonts w:ascii="Arial" w:hAnsi="Arial" w:cs="Arial"/>
        </w:rPr>
        <w:t>2022;60:108016</w:t>
      </w:r>
      <w:proofErr w:type="gramEnd"/>
      <w:r w:rsidRPr="00864CA0">
        <w:rPr>
          <w:rFonts w:ascii="Arial" w:hAnsi="Arial" w:cs="Arial"/>
        </w:rPr>
        <w:t>.</w:t>
      </w:r>
    </w:p>
    <w:p w14:paraId="5B2EA99C" w14:textId="4D690181" w:rsidR="00864CA0" w:rsidRPr="00864CA0" w:rsidRDefault="00864CA0" w:rsidP="00864CA0">
      <w:pPr>
        <w:pStyle w:val="Body"/>
        <w:rPr>
          <w:rFonts w:ascii="Arial" w:hAnsi="Arial" w:cs="Arial"/>
        </w:rPr>
      </w:pPr>
      <w:r w:rsidRPr="00864CA0">
        <w:rPr>
          <w:rFonts w:ascii="Arial" w:hAnsi="Arial" w:cs="Arial"/>
        </w:rPr>
        <w:t>48.</w:t>
      </w:r>
      <w:r>
        <w:rPr>
          <w:rFonts w:ascii="Arial" w:hAnsi="Arial" w:cs="Arial"/>
        </w:rPr>
        <w:t xml:space="preserve"> </w:t>
      </w:r>
      <w:r w:rsidR="00237A8E" w:rsidRPr="00237A8E">
        <w:rPr>
          <w:rFonts w:ascii="Arial" w:hAnsi="Arial" w:cs="Arial"/>
        </w:rPr>
        <w:t xml:space="preserve">Anthon, S. G., &amp; Valente, K. P. (2022). Vascularization Strategies in 3D Cell Culture Models: From Scaffold-Free Models to 3D Bioprinting. *International Journal of Molecular Sciences*, *23*(23), 14582. </w:t>
      </w:r>
      <w:hyperlink r:id="rId56" w:history="1">
        <w:r w:rsidR="00237A8E" w:rsidRPr="00AF79D3">
          <w:rPr>
            <w:rStyle w:val="Hyperlink"/>
            <w:rFonts w:ascii="Arial" w:hAnsi="Arial" w:cs="Arial"/>
          </w:rPr>
          <w:t>https://doi.org/10.3390/ijms232314582</w:t>
        </w:r>
      </w:hyperlink>
      <w:r w:rsidR="00237A8E">
        <w:rPr>
          <w:rFonts w:ascii="Arial" w:hAnsi="Arial" w:cs="Arial"/>
        </w:rPr>
        <w:t xml:space="preserve"> </w:t>
      </w:r>
    </w:p>
    <w:p w14:paraId="282DB41E" w14:textId="05ED8D53" w:rsidR="00864CA0" w:rsidRPr="00864CA0" w:rsidRDefault="00864CA0" w:rsidP="00864CA0">
      <w:pPr>
        <w:pStyle w:val="Body"/>
        <w:rPr>
          <w:rFonts w:ascii="Arial" w:hAnsi="Arial" w:cs="Arial"/>
        </w:rPr>
      </w:pPr>
      <w:r w:rsidRPr="00864CA0">
        <w:rPr>
          <w:rFonts w:ascii="Arial" w:hAnsi="Arial" w:cs="Arial"/>
        </w:rPr>
        <w:t>49.</w:t>
      </w:r>
      <w:r>
        <w:rPr>
          <w:rFonts w:ascii="Arial" w:hAnsi="Arial" w:cs="Arial"/>
        </w:rPr>
        <w:t xml:space="preserve"> </w:t>
      </w:r>
      <w:r w:rsidR="0041358E" w:rsidRPr="0041358E">
        <w:rPr>
          <w:rFonts w:ascii="Arial" w:hAnsi="Arial" w:cs="Arial"/>
        </w:rPr>
        <w:t xml:space="preserve">Napoli, G. C., Figg, W. D., &amp; Chau, C. H. (2022). Functional Drug Screening in the Era of Precision Medicine. Frontiers in Medicine. </w:t>
      </w:r>
      <w:hyperlink r:id="rId57" w:history="1">
        <w:r w:rsidR="0041358E" w:rsidRPr="00AF79D3">
          <w:rPr>
            <w:rStyle w:val="Hyperlink"/>
            <w:rFonts w:ascii="Arial" w:hAnsi="Arial" w:cs="Arial"/>
          </w:rPr>
          <w:t>https://doi.org/10.3389/fmed.2022.912641</w:t>
        </w:r>
      </w:hyperlink>
      <w:r w:rsidR="0041358E">
        <w:rPr>
          <w:rFonts w:ascii="Arial" w:hAnsi="Arial" w:cs="Arial"/>
        </w:rPr>
        <w:t xml:space="preserve"> </w:t>
      </w:r>
    </w:p>
    <w:p w14:paraId="7C63B2B2" w14:textId="404ED2AB" w:rsidR="00864CA0" w:rsidRPr="00864CA0" w:rsidRDefault="00864CA0" w:rsidP="00864CA0">
      <w:pPr>
        <w:pStyle w:val="Body"/>
        <w:rPr>
          <w:rFonts w:ascii="Arial" w:hAnsi="Arial" w:cs="Arial"/>
        </w:rPr>
      </w:pPr>
      <w:r w:rsidRPr="00864CA0">
        <w:rPr>
          <w:rFonts w:ascii="Arial" w:hAnsi="Arial" w:cs="Arial"/>
        </w:rPr>
        <w:t>50.</w:t>
      </w:r>
      <w:r>
        <w:rPr>
          <w:rFonts w:ascii="Arial" w:hAnsi="Arial" w:cs="Arial"/>
        </w:rPr>
        <w:t xml:space="preserve"> </w:t>
      </w:r>
      <w:r w:rsidR="0097283F" w:rsidRPr="0097283F">
        <w:rPr>
          <w:rFonts w:ascii="Arial" w:hAnsi="Arial" w:cs="Arial"/>
        </w:rPr>
        <w:t xml:space="preserve">Skylar-Scott, M. A., Uzel, S. G. M., Nam, L. L., Ahrens, J. H., Truby, R. L., Damaraju, S., &amp; Lewis, J. A. (2019). Biomanufacturing of organ-specific tissues with high cellular density and embedded vascular channels. *Science Advances*, *5*(9), eaaw2459. </w:t>
      </w:r>
      <w:hyperlink r:id="rId58" w:history="1">
        <w:r w:rsidR="0097283F" w:rsidRPr="00AF79D3">
          <w:rPr>
            <w:rStyle w:val="Hyperlink"/>
            <w:rFonts w:ascii="Arial" w:hAnsi="Arial" w:cs="Arial"/>
          </w:rPr>
          <w:t>https://doi.org/10.1126/sciadv.aaw2459</w:t>
        </w:r>
      </w:hyperlink>
      <w:r w:rsidR="0097283F">
        <w:rPr>
          <w:rFonts w:ascii="Arial" w:hAnsi="Arial" w:cs="Arial"/>
        </w:rPr>
        <w:t xml:space="preserve"> </w:t>
      </w:r>
    </w:p>
    <w:p w14:paraId="17CB41AA" w14:textId="39C6A18E" w:rsidR="00864CA0" w:rsidRPr="00864CA0" w:rsidRDefault="00864CA0" w:rsidP="00864CA0">
      <w:pPr>
        <w:pStyle w:val="Body"/>
        <w:rPr>
          <w:rFonts w:ascii="Arial" w:hAnsi="Arial" w:cs="Arial"/>
        </w:rPr>
      </w:pPr>
      <w:r w:rsidRPr="00864CA0">
        <w:rPr>
          <w:rFonts w:ascii="Arial" w:hAnsi="Arial" w:cs="Arial"/>
        </w:rPr>
        <w:t>51.</w:t>
      </w:r>
      <w:r>
        <w:rPr>
          <w:rFonts w:ascii="Arial" w:hAnsi="Arial" w:cs="Arial"/>
        </w:rPr>
        <w:t xml:space="preserve"> </w:t>
      </w:r>
      <w:r w:rsidR="00FF0E23" w:rsidRPr="00FF0E23">
        <w:rPr>
          <w:rFonts w:ascii="Arial" w:hAnsi="Arial" w:cs="Arial"/>
        </w:rPr>
        <w:t xml:space="preserve">Heinrich, M. A., Bansal, R., Lammers, T., Zhang, Y. S., </w:t>
      </w:r>
      <w:proofErr w:type="spellStart"/>
      <w:r w:rsidR="00FF0E23" w:rsidRPr="00FF0E23">
        <w:rPr>
          <w:rFonts w:ascii="Arial" w:hAnsi="Arial" w:cs="Arial"/>
        </w:rPr>
        <w:t>Schiffelers</w:t>
      </w:r>
      <w:proofErr w:type="spellEnd"/>
      <w:r w:rsidR="00FF0E23" w:rsidRPr="00FF0E23">
        <w:rPr>
          <w:rFonts w:ascii="Arial" w:hAnsi="Arial" w:cs="Arial"/>
        </w:rPr>
        <w:t xml:space="preserve">, R. M., &amp; Prakash, J. (2019). 3D-Bioprinted Mini-Brain: A Glioblastoma Model to Study Cellular Interactions and Therapeutics. Advanced Materials, 31(14), 1806590. </w:t>
      </w:r>
      <w:hyperlink r:id="rId59" w:history="1">
        <w:r w:rsidR="00FF0E23" w:rsidRPr="00AF79D3">
          <w:rPr>
            <w:rStyle w:val="Hyperlink"/>
            <w:rFonts w:ascii="Arial" w:hAnsi="Arial" w:cs="Arial"/>
          </w:rPr>
          <w:t>https://doi.org/10.1002/adma.201806590</w:t>
        </w:r>
      </w:hyperlink>
      <w:r w:rsidR="00FF0E23">
        <w:rPr>
          <w:rFonts w:ascii="Arial" w:hAnsi="Arial" w:cs="Arial"/>
        </w:rPr>
        <w:t xml:space="preserve"> </w:t>
      </w:r>
    </w:p>
    <w:p w14:paraId="6BA2D8EB" w14:textId="1121B2AC" w:rsidR="00864CA0" w:rsidRPr="00864CA0" w:rsidRDefault="00864CA0" w:rsidP="00864CA0">
      <w:pPr>
        <w:pStyle w:val="Body"/>
        <w:rPr>
          <w:rFonts w:ascii="Arial" w:hAnsi="Arial" w:cs="Arial"/>
        </w:rPr>
      </w:pPr>
      <w:r w:rsidRPr="00864CA0">
        <w:rPr>
          <w:rFonts w:ascii="Arial" w:hAnsi="Arial" w:cs="Arial"/>
        </w:rPr>
        <w:t>52.</w:t>
      </w:r>
      <w:r>
        <w:rPr>
          <w:rFonts w:ascii="Arial" w:hAnsi="Arial" w:cs="Arial"/>
        </w:rPr>
        <w:t xml:space="preserve"> </w:t>
      </w:r>
      <w:r w:rsidR="00FF0E23" w:rsidRPr="00FF0E23">
        <w:rPr>
          <w:rFonts w:ascii="Arial" w:hAnsi="Arial" w:cs="Arial"/>
        </w:rPr>
        <w:t xml:space="preserve">Zhao, Y., Yao, R., Ouyang, L., Ding, H., Zhang, T., Zhang, K., Cheng, S., &amp; Sun, W. (2014). Three-dimensional printing of Hela cells for cervical tumor model in vitro. Biofabrication, 6(3), 035001. </w:t>
      </w:r>
      <w:hyperlink r:id="rId60" w:history="1">
        <w:r w:rsidR="00FF0E23" w:rsidRPr="00AF79D3">
          <w:rPr>
            <w:rStyle w:val="Hyperlink"/>
            <w:rFonts w:ascii="Arial" w:hAnsi="Arial" w:cs="Arial"/>
          </w:rPr>
          <w:t>https://doi.org/10.1088/1758-5082/6/3/035001</w:t>
        </w:r>
      </w:hyperlink>
      <w:r w:rsidR="00FF0E23">
        <w:rPr>
          <w:rFonts w:ascii="Arial" w:hAnsi="Arial" w:cs="Arial"/>
        </w:rPr>
        <w:t xml:space="preserve"> </w:t>
      </w:r>
    </w:p>
    <w:p w14:paraId="6168981F" w14:textId="5C33652D" w:rsidR="00864CA0" w:rsidRPr="00864CA0" w:rsidRDefault="00864CA0" w:rsidP="00864CA0">
      <w:pPr>
        <w:pStyle w:val="Body"/>
        <w:rPr>
          <w:rFonts w:ascii="Arial" w:hAnsi="Arial" w:cs="Arial"/>
        </w:rPr>
      </w:pPr>
      <w:r w:rsidRPr="00864CA0">
        <w:rPr>
          <w:rFonts w:ascii="Arial" w:hAnsi="Arial" w:cs="Arial"/>
        </w:rPr>
        <w:t>53.</w:t>
      </w:r>
      <w:r>
        <w:rPr>
          <w:rFonts w:ascii="Arial" w:hAnsi="Arial" w:cs="Arial"/>
        </w:rPr>
        <w:t xml:space="preserve"> </w:t>
      </w:r>
      <w:r w:rsidR="004A7136" w:rsidRPr="004A7136">
        <w:rPr>
          <w:rFonts w:ascii="Arial" w:hAnsi="Arial" w:cs="Arial"/>
        </w:rPr>
        <w:t xml:space="preserve">Mao, A. S., &amp; Mooney, D. J. (2015). Regenerative medicine: Current therapies and future directions. Proceedings of the National Academy of Sciences of the United States of America, 112(47), 14452-14459. </w:t>
      </w:r>
      <w:hyperlink r:id="rId61" w:history="1">
        <w:r w:rsidR="004A7136" w:rsidRPr="00AF79D3">
          <w:rPr>
            <w:rStyle w:val="Hyperlink"/>
            <w:rFonts w:ascii="Arial" w:hAnsi="Arial" w:cs="Arial"/>
          </w:rPr>
          <w:t>https://doi.org/10.1073/pnas.1508520112</w:t>
        </w:r>
      </w:hyperlink>
      <w:r w:rsidR="004A7136">
        <w:rPr>
          <w:rFonts w:ascii="Arial" w:hAnsi="Arial" w:cs="Arial"/>
        </w:rPr>
        <w:t xml:space="preserve"> </w:t>
      </w:r>
    </w:p>
    <w:p w14:paraId="04A0B4B5" w14:textId="707D3E06" w:rsidR="00864CA0" w:rsidRPr="00864CA0" w:rsidRDefault="00864CA0" w:rsidP="00864CA0">
      <w:pPr>
        <w:pStyle w:val="Body"/>
        <w:rPr>
          <w:rFonts w:ascii="Arial" w:hAnsi="Arial" w:cs="Arial"/>
        </w:rPr>
      </w:pPr>
      <w:r w:rsidRPr="00864CA0">
        <w:rPr>
          <w:rFonts w:ascii="Arial" w:hAnsi="Arial" w:cs="Arial"/>
        </w:rPr>
        <w:lastRenderedPageBreak/>
        <w:t>54.</w:t>
      </w:r>
      <w:r>
        <w:rPr>
          <w:rFonts w:ascii="Arial" w:hAnsi="Arial" w:cs="Arial"/>
        </w:rPr>
        <w:t xml:space="preserve"> </w:t>
      </w:r>
      <w:r w:rsidR="00796483" w:rsidRPr="00796483">
        <w:rPr>
          <w:rFonts w:ascii="Arial" w:hAnsi="Arial" w:cs="Arial"/>
        </w:rPr>
        <w:t xml:space="preserve">Kolesky, D. B., Truby, R. L., Gladman, A. S., Busbee, T. A., Homan, K. A., &amp; Lewis, J. A. (2014). 3D bioprinting of vascularized, heterogeneous cell-laden tissue constructs. Advanced Materials, 26(19), 3124-3130. </w:t>
      </w:r>
      <w:hyperlink r:id="rId62" w:history="1">
        <w:r w:rsidR="00796483" w:rsidRPr="00AF79D3">
          <w:rPr>
            <w:rStyle w:val="Hyperlink"/>
            <w:rFonts w:ascii="Arial" w:hAnsi="Arial" w:cs="Arial"/>
          </w:rPr>
          <w:t>https://doi.org/10.1002/adma.201305506</w:t>
        </w:r>
      </w:hyperlink>
      <w:r w:rsidR="00796483">
        <w:rPr>
          <w:rFonts w:ascii="Arial" w:hAnsi="Arial" w:cs="Arial"/>
        </w:rPr>
        <w:t xml:space="preserve"> </w:t>
      </w:r>
    </w:p>
    <w:p w14:paraId="24413642" w14:textId="69384BA6" w:rsidR="00864CA0" w:rsidRPr="00864CA0" w:rsidRDefault="00864CA0" w:rsidP="00864CA0">
      <w:pPr>
        <w:pStyle w:val="Body"/>
        <w:rPr>
          <w:rFonts w:ascii="Arial" w:hAnsi="Arial" w:cs="Arial"/>
        </w:rPr>
      </w:pPr>
      <w:r w:rsidRPr="00864CA0">
        <w:rPr>
          <w:rFonts w:ascii="Arial" w:hAnsi="Arial" w:cs="Arial"/>
        </w:rPr>
        <w:t>55.</w:t>
      </w:r>
      <w:r>
        <w:rPr>
          <w:rFonts w:ascii="Arial" w:hAnsi="Arial" w:cs="Arial"/>
        </w:rPr>
        <w:t xml:space="preserve"> </w:t>
      </w:r>
      <w:r w:rsidR="00E96026" w:rsidRPr="00E96026">
        <w:rPr>
          <w:rFonts w:ascii="Arial" w:hAnsi="Arial" w:cs="Arial"/>
        </w:rPr>
        <w:t xml:space="preserve">Bhise, N. S., Manoharan, V., Massa, S., </w:t>
      </w:r>
      <w:proofErr w:type="spellStart"/>
      <w:r w:rsidR="00E96026" w:rsidRPr="00E96026">
        <w:rPr>
          <w:rFonts w:ascii="Arial" w:hAnsi="Arial" w:cs="Arial"/>
        </w:rPr>
        <w:t>Tamayol</w:t>
      </w:r>
      <w:proofErr w:type="spellEnd"/>
      <w:r w:rsidR="00E96026" w:rsidRPr="00E96026">
        <w:rPr>
          <w:rFonts w:ascii="Arial" w:hAnsi="Arial" w:cs="Arial"/>
        </w:rPr>
        <w:t xml:space="preserve">, A., Ghaderi, M., Miscuglio, M., Lang, Q., Zhang, Y. S., Shin, S. R., Calzone, G., </w:t>
      </w:r>
      <w:proofErr w:type="spellStart"/>
      <w:r w:rsidR="00E96026" w:rsidRPr="00E96026">
        <w:rPr>
          <w:rFonts w:ascii="Arial" w:hAnsi="Arial" w:cs="Arial"/>
        </w:rPr>
        <w:t>Annabi</w:t>
      </w:r>
      <w:proofErr w:type="spellEnd"/>
      <w:r w:rsidR="00E96026" w:rsidRPr="00E96026">
        <w:rPr>
          <w:rFonts w:ascii="Arial" w:hAnsi="Arial" w:cs="Arial"/>
        </w:rPr>
        <w:t xml:space="preserve">, N., Shupe, T. D., Bishop, C. E., Atala, A., </w:t>
      </w:r>
      <w:proofErr w:type="spellStart"/>
      <w:r w:rsidR="00E96026" w:rsidRPr="00E96026">
        <w:rPr>
          <w:rFonts w:ascii="Arial" w:hAnsi="Arial" w:cs="Arial"/>
        </w:rPr>
        <w:t>Dokmeci</w:t>
      </w:r>
      <w:proofErr w:type="spellEnd"/>
      <w:r w:rsidR="00E96026" w:rsidRPr="00E96026">
        <w:rPr>
          <w:rFonts w:ascii="Arial" w:hAnsi="Arial" w:cs="Arial"/>
        </w:rPr>
        <w:t xml:space="preserve">, M. R., &amp; </w:t>
      </w:r>
      <w:proofErr w:type="spellStart"/>
      <w:r w:rsidR="00E96026" w:rsidRPr="00E96026">
        <w:rPr>
          <w:rFonts w:ascii="Arial" w:hAnsi="Arial" w:cs="Arial"/>
        </w:rPr>
        <w:t>Khademhosseini</w:t>
      </w:r>
      <w:proofErr w:type="spellEnd"/>
      <w:r w:rsidR="00E96026" w:rsidRPr="00E96026">
        <w:rPr>
          <w:rFonts w:ascii="Arial" w:hAnsi="Arial" w:cs="Arial"/>
        </w:rPr>
        <w:t xml:space="preserve">, A. (2016). A liver-on-a-chip platform with bioprinted hepatic spheroids. Biofabrication, 8(1), 014101. </w:t>
      </w:r>
      <w:hyperlink r:id="rId63" w:history="1">
        <w:r w:rsidR="00E96026" w:rsidRPr="00AF79D3">
          <w:rPr>
            <w:rStyle w:val="Hyperlink"/>
            <w:rFonts w:ascii="Arial" w:hAnsi="Arial" w:cs="Arial"/>
          </w:rPr>
          <w:t>https://doi.org/10.1088/1758-5090/8/1/014101</w:t>
        </w:r>
      </w:hyperlink>
      <w:r w:rsidR="00E96026">
        <w:rPr>
          <w:rFonts w:ascii="Arial" w:hAnsi="Arial" w:cs="Arial"/>
        </w:rPr>
        <w:t xml:space="preserve"> </w:t>
      </w:r>
    </w:p>
    <w:p w14:paraId="74CB45C9" w14:textId="260EE896" w:rsidR="00864CA0" w:rsidRPr="00864CA0" w:rsidRDefault="00864CA0" w:rsidP="00864CA0">
      <w:pPr>
        <w:pStyle w:val="Body"/>
        <w:rPr>
          <w:rFonts w:ascii="Arial" w:hAnsi="Arial" w:cs="Arial"/>
        </w:rPr>
      </w:pPr>
      <w:r w:rsidRPr="00864CA0">
        <w:rPr>
          <w:rFonts w:ascii="Arial" w:hAnsi="Arial" w:cs="Arial"/>
        </w:rPr>
        <w:t>56.</w:t>
      </w:r>
      <w:r>
        <w:rPr>
          <w:rFonts w:ascii="Arial" w:hAnsi="Arial" w:cs="Arial"/>
        </w:rPr>
        <w:t xml:space="preserve"> </w:t>
      </w:r>
      <w:r w:rsidR="005B1E5C" w:rsidRPr="005B1E5C">
        <w:rPr>
          <w:rFonts w:ascii="Arial" w:hAnsi="Arial" w:cs="Arial"/>
        </w:rPr>
        <w:t xml:space="preserve">Knowlton, S., Onal, S., Yu, C. H., Zhao, J. J., &amp; </w:t>
      </w:r>
      <w:proofErr w:type="spellStart"/>
      <w:r w:rsidR="005B1E5C" w:rsidRPr="005B1E5C">
        <w:rPr>
          <w:rFonts w:ascii="Arial" w:hAnsi="Arial" w:cs="Arial"/>
        </w:rPr>
        <w:t>Tasoglu</w:t>
      </w:r>
      <w:proofErr w:type="spellEnd"/>
      <w:r w:rsidR="005B1E5C" w:rsidRPr="005B1E5C">
        <w:rPr>
          <w:rFonts w:ascii="Arial" w:hAnsi="Arial" w:cs="Arial"/>
        </w:rPr>
        <w:t xml:space="preserve">, S. (2015). Bioprinting for cancer research. Trends in Biotechnology, 33(9), 504-513. </w:t>
      </w:r>
      <w:hyperlink r:id="rId64" w:history="1">
        <w:r w:rsidR="005B1E5C" w:rsidRPr="00AF79D3">
          <w:rPr>
            <w:rStyle w:val="Hyperlink"/>
            <w:rFonts w:ascii="Arial" w:hAnsi="Arial" w:cs="Arial"/>
          </w:rPr>
          <w:t>https://doi.org/10.1016/j.tibtech.2015.06.007</w:t>
        </w:r>
      </w:hyperlink>
      <w:r w:rsidR="005B1E5C">
        <w:rPr>
          <w:rFonts w:ascii="Arial" w:hAnsi="Arial" w:cs="Arial"/>
        </w:rPr>
        <w:t xml:space="preserve"> </w:t>
      </w:r>
      <w:r w:rsidRPr="00864CA0">
        <w:rPr>
          <w:rFonts w:ascii="Arial" w:hAnsi="Arial" w:cs="Arial"/>
        </w:rPr>
        <w:t>.</w:t>
      </w:r>
    </w:p>
    <w:p w14:paraId="3541189F" w14:textId="5FA7E258" w:rsidR="00864CA0" w:rsidRPr="00864CA0" w:rsidRDefault="00864CA0" w:rsidP="00864CA0">
      <w:pPr>
        <w:pStyle w:val="Body"/>
        <w:rPr>
          <w:rFonts w:ascii="Arial" w:hAnsi="Arial" w:cs="Arial"/>
        </w:rPr>
      </w:pPr>
      <w:r w:rsidRPr="00864CA0">
        <w:rPr>
          <w:rFonts w:ascii="Arial" w:hAnsi="Arial" w:cs="Arial"/>
        </w:rPr>
        <w:t>57.</w:t>
      </w:r>
      <w:r>
        <w:rPr>
          <w:rFonts w:ascii="Arial" w:hAnsi="Arial" w:cs="Arial"/>
        </w:rPr>
        <w:t xml:space="preserve"> </w:t>
      </w:r>
      <w:r w:rsidR="00724005" w:rsidRPr="00724005">
        <w:rPr>
          <w:rFonts w:ascii="Arial" w:hAnsi="Arial" w:cs="Arial"/>
        </w:rPr>
        <w:t xml:space="preserve">Zhang, Y. S., Aleman, J., Shin, S. R., Kilic, T., Kim, D., Mousavi Shaegh, S. A., Massa, S., Riahi, R., Chae, S., Hu, N., Avci, H., Zhang, W., Silvestri, A., Sanati Nezhad, A., </w:t>
      </w:r>
      <w:proofErr w:type="spellStart"/>
      <w:r w:rsidR="00724005" w:rsidRPr="00724005">
        <w:rPr>
          <w:rFonts w:ascii="Arial" w:hAnsi="Arial" w:cs="Arial"/>
        </w:rPr>
        <w:t>Manbohi</w:t>
      </w:r>
      <w:proofErr w:type="spellEnd"/>
      <w:r w:rsidR="00724005" w:rsidRPr="00724005">
        <w:rPr>
          <w:rFonts w:ascii="Arial" w:hAnsi="Arial" w:cs="Arial"/>
        </w:rPr>
        <w:t xml:space="preserve">, A., De Ferrari, F., Polini, A., Calzone, G., Shaikh, N., ... </w:t>
      </w:r>
      <w:proofErr w:type="spellStart"/>
      <w:r w:rsidR="00724005" w:rsidRPr="00724005">
        <w:rPr>
          <w:rFonts w:ascii="Arial" w:hAnsi="Arial" w:cs="Arial"/>
        </w:rPr>
        <w:t>Khademhosseini</w:t>
      </w:r>
      <w:proofErr w:type="spellEnd"/>
      <w:r w:rsidR="00724005" w:rsidRPr="00724005">
        <w:rPr>
          <w:rFonts w:ascii="Arial" w:hAnsi="Arial" w:cs="Arial"/>
        </w:rPr>
        <w:t xml:space="preserve">, A. (2017). </w:t>
      </w:r>
      <w:proofErr w:type="spellStart"/>
      <w:r w:rsidR="00724005" w:rsidRPr="00724005">
        <w:rPr>
          <w:rFonts w:ascii="Arial" w:hAnsi="Arial" w:cs="Arial"/>
        </w:rPr>
        <w:t>Multisensor</w:t>
      </w:r>
      <w:proofErr w:type="spellEnd"/>
      <w:r w:rsidR="00724005" w:rsidRPr="00724005">
        <w:rPr>
          <w:rFonts w:ascii="Arial" w:hAnsi="Arial" w:cs="Arial"/>
        </w:rPr>
        <w:t xml:space="preserve">-integrated organs-on-chips platform for automated and continual in situ monitoring of organoid behaviors. Proceedings of the National Academy of Sciences of the United States of America, 114(12), E2293–E2302. </w:t>
      </w:r>
      <w:hyperlink r:id="rId65" w:history="1">
        <w:r w:rsidR="00724005" w:rsidRPr="00AF79D3">
          <w:rPr>
            <w:rStyle w:val="Hyperlink"/>
            <w:rFonts w:ascii="Arial" w:hAnsi="Arial" w:cs="Arial"/>
          </w:rPr>
          <w:t>https://doi.org/10.1073/pnas.1612906114</w:t>
        </w:r>
      </w:hyperlink>
      <w:r w:rsidR="00724005">
        <w:rPr>
          <w:rFonts w:ascii="Arial" w:hAnsi="Arial" w:cs="Arial"/>
        </w:rPr>
        <w:t xml:space="preserve"> </w:t>
      </w:r>
    </w:p>
    <w:p w14:paraId="1D5A551E" w14:textId="46D58A87" w:rsidR="00864CA0" w:rsidRPr="00864CA0" w:rsidRDefault="00864CA0" w:rsidP="00864CA0">
      <w:pPr>
        <w:pStyle w:val="Body"/>
        <w:rPr>
          <w:rFonts w:ascii="Arial" w:hAnsi="Arial" w:cs="Arial"/>
        </w:rPr>
      </w:pPr>
      <w:r w:rsidRPr="00864CA0">
        <w:rPr>
          <w:rFonts w:ascii="Arial" w:hAnsi="Arial" w:cs="Arial"/>
        </w:rPr>
        <w:t>58.</w:t>
      </w:r>
      <w:r>
        <w:rPr>
          <w:rFonts w:ascii="Arial" w:hAnsi="Arial" w:cs="Arial"/>
        </w:rPr>
        <w:t xml:space="preserve"> </w:t>
      </w:r>
      <w:r w:rsidR="000C16DC" w:rsidRPr="000C16DC">
        <w:rPr>
          <w:rFonts w:ascii="Arial" w:hAnsi="Arial" w:cs="Arial"/>
        </w:rPr>
        <w:t xml:space="preserve">Lee, A., Hudson, A. R., Shiwarski, D. J., Tashman, J. W., Hinton, T. J., Yerneni, S., Bliley, J. M., Campbell, P. G., &amp; Feinberg, A. W. (2019). 3D bioprinting of collagen to rebuild components of the human heart. Science, 365(6452), 482-487. </w:t>
      </w:r>
      <w:hyperlink r:id="rId66" w:history="1">
        <w:r w:rsidR="000C16DC" w:rsidRPr="00AF79D3">
          <w:rPr>
            <w:rStyle w:val="Hyperlink"/>
            <w:rFonts w:ascii="Arial" w:hAnsi="Arial" w:cs="Arial"/>
          </w:rPr>
          <w:t>https://doi.org/10.1126/science.aav9051</w:t>
        </w:r>
      </w:hyperlink>
      <w:r w:rsidR="000C16DC">
        <w:rPr>
          <w:rFonts w:ascii="Arial" w:hAnsi="Arial" w:cs="Arial"/>
        </w:rPr>
        <w:t xml:space="preserve"> </w:t>
      </w:r>
      <w:r w:rsidRPr="00864CA0">
        <w:rPr>
          <w:rFonts w:ascii="Arial" w:hAnsi="Arial" w:cs="Arial"/>
        </w:rPr>
        <w:t>.</w:t>
      </w:r>
    </w:p>
    <w:p w14:paraId="2D803312" w14:textId="1CA0933E" w:rsidR="00864CA0" w:rsidRPr="00864CA0" w:rsidRDefault="00864CA0" w:rsidP="00864CA0">
      <w:pPr>
        <w:pStyle w:val="Body"/>
        <w:rPr>
          <w:rFonts w:ascii="Arial" w:hAnsi="Arial" w:cs="Arial"/>
        </w:rPr>
      </w:pPr>
      <w:r w:rsidRPr="00864CA0">
        <w:rPr>
          <w:rFonts w:ascii="Arial" w:hAnsi="Arial" w:cs="Arial"/>
        </w:rPr>
        <w:t>59.</w:t>
      </w:r>
      <w:r>
        <w:rPr>
          <w:rFonts w:ascii="Arial" w:hAnsi="Arial" w:cs="Arial"/>
        </w:rPr>
        <w:t xml:space="preserve"> </w:t>
      </w:r>
      <w:r w:rsidR="005506BC" w:rsidRPr="005506BC">
        <w:rPr>
          <w:rFonts w:ascii="Arial" w:hAnsi="Arial" w:cs="Arial"/>
        </w:rPr>
        <w:t xml:space="preserve">Ma, X., Qu, X., Zhu, W., Li, Y. S., Yuan, S., Zhang, H., Liu, J., Wang, P., Lai, C. S. E., Zanella, F., Feng, G. S., Sheikh, F., Chien, S., &amp; Chen, S. (2016). Deterministically patterned biomimetic human iPSC-derived hepatic model via rapid 3D bioprinting. Proceedings of the National Academy of Sciences of the United States of America, 113(8), 2206-2211. </w:t>
      </w:r>
      <w:hyperlink r:id="rId67" w:history="1">
        <w:r w:rsidR="005506BC" w:rsidRPr="00AF79D3">
          <w:rPr>
            <w:rStyle w:val="Hyperlink"/>
            <w:rFonts w:ascii="Arial" w:hAnsi="Arial" w:cs="Arial"/>
          </w:rPr>
          <w:t>https://doi.org/10.1073/pnas.1524510113</w:t>
        </w:r>
      </w:hyperlink>
      <w:r w:rsidR="005506BC">
        <w:rPr>
          <w:rFonts w:ascii="Arial" w:hAnsi="Arial" w:cs="Arial"/>
        </w:rPr>
        <w:t xml:space="preserve"> </w:t>
      </w:r>
      <w:r w:rsidRPr="00864CA0">
        <w:rPr>
          <w:rFonts w:ascii="Arial" w:hAnsi="Arial" w:cs="Arial"/>
        </w:rPr>
        <w:t>.</w:t>
      </w:r>
    </w:p>
    <w:p w14:paraId="2A3404D8" w14:textId="323576B6" w:rsidR="00864CA0" w:rsidRPr="00864CA0" w:rsidRDefault="00864CA0" w:rsidP="00864CA0">
      <w:pPr>
        <w:pStyle w:val="Body"/>
        <w:rPr>
          <w:rFonts w:ascii="Arial" w:hAnsi="Arial" w:cs="Arial"/>
        </w:rPr>
      </w:pPr>
      <w:r w:rsidRPr="00864CA0">
        <w:rPr>
          <w:rFonts w:ascii="Arial" w:hAnsi="Arial" w:cs="Arial"/>
        </w:rPr>
        <w:t>60.</w:t>
      </w:r>
      <w:r>
        <w:rPr>
          <w:rFonts w:ascii="Arial" w:hAnsi="Arial" w:cs="Arial"/>
        </w:rPr>
        <w:t xml:space="preserve"> </w:t>
      </w:r>
      <w:r w:rsidR="007A07AF" w:rsidRPr="007A07AF">
        <w:rPr>
          <w:rFonts w:ascii="Arial" w:hAnsi="Arial" w:cs="Arial"/>
        </w:rPr>
        <w:t xml:space="preserve">Khan, S. L., Gandla, K., Kakaravada, I., Rao, P. B. B., Vinukonda, A., Hasan, H. G., Hussain, Z., &amp; Sheikh, A. A. (2024). Silica-polymer composites for biomedical applications. In Fiber and ceramic filler-based polymer composites for biomedical engineering (pp. 109-142). </w:t>
      </w:r>
      <w:hyperlink r:id="rId68" w:history="1">
        <w:r w:rsidR="007A07AF" w:rsidRPr="00AF79D3">
          <w:rPr>
            <w:rStyle w:val="Hyperlink"/>
            <w:rFonts w:ascii="Arial" w:hAnsi="Arial" w:cs="Arial"/>
          </w:rPr>
          <w:t>https://doi.org/10.1007/978-981-97-3909-7_6</w:t>
        </w:r>
      </w:hyperlink>
      <w:r w:rsidR="007A07AF">
        <w:rPr>
          <w:rFonts w:ascii="Arial" w:hAnsi="Arial" w:cs="Arial"/>
        </w:rPr>
        <w:t xml:space="preserve"> </w:t>
      </w:r>
      <w:r w:rsidRPr="00864CA0">
        <w:rPr>
          <w:rFonts w:ascii="Arial" w:hAnsi="Arial" w:cs="Arial"/>
        </w:rPr>
        <w:t>.</w:t>
      </w:r>
    </w:p>
    <w:p w14:paraId="28AA9B00" w14:textId="188CEF36" w:rsidR="00864CA0" w:rsidRPr="00864CA0" w:rsidRDefault="00864CA0" w:rsidP="00864CA0">
      <w:pPr>
        <w:pStyle w:val="Body"/>
        <w:rPr>
          <w:rFonts w:ascii="Arial" w:hAnsi="Arial" w:cs="Arial"/>
        </w:rPr>
      </w:pPr>
      <w:r w:rsidRPr="00864CA0">
        <w:rPr>
          <w:rFonts w:ascii="Arial" w:hAnsi="Arial" w:cs="Arial"/>
        </w:rPr>
        <w:t>61.</w:t>
      </w:r>
      <w:r>
        <w:rPr>
          <w:rFonts w:ascii="Arial" w:hAnsi="Arial" w:cs="Arial"/>
        </w:rPr>
        <w:t xml:space="preserve"> </w:t>
      </w:r>
      <w:r w:rsidR="00A041B9" w:rsidRPr="00A041B9">
        <w:rPr>
          <w:rFonts w:ascii="Arial" w:hAnsi="Arial" w:cs="Arial"/>
        </w:rPr>
        <w:t xml:space="preserve">Bhardwaj, A., Kumar, S. V., Vinukonda, A., Ramakrishna, K., Srivastava, S., Rajendran, S. P., &amp; Sharma, P. (2025). Robotics and Automation: Revolutionizing Research and Development. In D. Datta, V. Jain, B. Halder, U. Raychaudhuri, &amp; S. Kumar (Eds.), Evolving Landscapes of Research and Development: Trends, Challenges, and Opportunities (pp. 313-338). IGI Global Scientific Publishing. </w:t>
      </w:r>
      <w:hyperlink r:id="rId69" w:history="1">
        <w:r w:rsidR="00A041B9" w:rsidRPr="00AF79D3">
          <w:rPr>
            <w:rStyle w:val="Hyperlink"/>
            <w:rFonts w:ascii="Arial" w:hAnsi="Arial" w:cs="Arial"/>
          </w:rPr>
          <w:t>https://doi.org/10.4018/979-8-3693-7101-5.ch014</w:t>
        </w:r>
      </w:hyperlink>
      <w:r w:rsidRPr="00864CA0">
        <w:rPr>
          <w:rFonts w:ascii="Arial" w:hAnsi="Arial" w:cs="Arial"/>
        </w:rPr>
        <w:t>.</w:t>
      </w:r>
    </w:p>
    <w:p w14:paraId="3409223F" w14:textId="3192ADA1" w:rsidR="00864CA0" w:rsidRPr="00864CA0" w:rsidRDefault="00864CA0" w:rsidP="00864CA0">
      <w:pPr>
        <w:pStyle w:val="Body"/>
        <w:rPr>
          <w:rFonts w:ascii="Arial" w:hAnsi="Arial" w:cs="Arial"/>
        </w:rPr>
      </w:pPr>
      <w:r w:rsidRPr="00864CA0">
        <w:rPr>
          <w:rFonts w:ascii="Arial" w:hAnsi="Arial" w:cs="Arial"/>
        </w:rPr>
        <w:t>62.</w:t>
      </w:r>
      <w:r>
        <w:rPr>
          <w:rFonts w:ascii="Arial" w:hAnsi="Arial" w:cs="Arial"/>
        </w:rPr>
        <w:t xml:space="preserve"> </w:t>
      </w:r>
      <w:r w:rsidR="00D35299" w:rsidRPr="00D35299">
        <w:rPr>
          <w:rFonts w:ascii="Arial" w:hAnsi="Arial" w:cs="Arial"/>
        </w:rPr>
        <w:t xml:space="preserve">Jeon, J. S., </w:t>
      </w:r>
      <w:proofErr w:type="spellStart"/>
      <w:r w:rsidR="00D35299" w:rsidRPr="00D35299">
        <w:rPr>
          <w:rFonts w:ascii="Arial" w:hAnsi="Arial" w:cs="Arial"/>
        </w:rPr>
        <w:t>Zervantonakis</w:t>
      </w:r>
      <w:proofErr w:type="spellEnd"/>
      <w:r w:rsidR="00D35299" w:rsidRPr="00D35299">
        <w:rPr>
          <w:rFonts w:ascii="Arial" w:hAnsi="Arial" w:cs="Arial"/>
        </w:rPr>
        <w:t xml:space="preserve">, I. K., Chung, S., Kamm, R. D., &amp; Charest, J. L. (2013). In vitro model of tumor cell extravasation. PLoS One, 8(2), e56910. </w:t>
      </w:r>
      <w:hyperlink r:id="rId70" w:history="1">
        <w:r w:rsidR="00D35299" w:rsidRPr="00AF79D3">
          <w:rPr>
            <w:rStyle w:val="Hyperlink"/>
            <w:rFonts w:ascii="Arial" w:hAnsi="Arial" w:cs="Arial"/>
          </w:rPr>
          <w:t>https://doi.org/10.1371/journal.pone.0056910</w:t>
        </w:r>
      </w:hyperlink>
      <w:r w:rsidR="00D35299">
        <w:rPr>
          <w:rFonts w:ascii="Arial" w:hAnsi="Arial" w:cs="Arial"/>
        </w:rPr>
        <w:t xml:space="preserve"> </w:t>
      </w:r>
      <w:r w:rsidRPr="00864CA0">
        <w:rPr>
          <w:rFonts w:ascii="Arial" w:hAnsi="Arial" w:cs="Arial"/>
        </w:rPr>
        <w:t>.</w:t>
      </w:r>
    </w:p>
    <w:p w14:paraId="5D739D28" w14:textId="5A6B7C83" w:rsidR="00864CA0" w:rsidRPr="00864CA0" w:rsidRDefault="00864CA0" w:rsidP="00864CA0">
      <w:pPr>
        <w:pStyle w:val="Body"/>
        <w:rPr>
          <w:rFonts w:ascii="Arial" w:hAnsi="Arial" w:cs="Arial"/>
        </w:rPr>
      </w:pPr>
      <w:r w:rsidRPr="00864CA0">
        <w:rPr>
          <w:rFonts w:ascii="Arial" w:hAnsi="Arial" w:cs="Arial"/>
        </w:rPr>
        <w:t>63.</w:t>
      </w:r>
      <w:r>
        <w:rPr>
          <w:rFonts w:ascii="Arial" w:hAnsi="Arial" w:cs="Arial"/>
        </w:rPr>
        <w:t xml:space="preserve"> </w:t>
      </w:r>
      <w:proofErr w:type="spellStart"/>
      <w:r w:rsidR="00956251" w:rsidRPr="00956251">
        <w:rPr>
          <w:rFonts w:ascii="Arial" w:hAnsi="Arial" w:cs="Arial"/>
        </w:rPr>
        <w:t>Bersini</w:t>
      </w:r>
      <w:proofErr w:type="spellEnd"/>
      <w:r w:rsidR="00956251" w:rsidRPr="00956251">
        <w:rPr>
          <w:rFonts w:ascii="Arial" w:hAnsi="Arial" w:cs="Arial"/>
        </w:rPr>
        <w:t xml:space="preserve">, S., Jeon, J. S., </w:t>
      </w:r>
      <w:proofErr w:type="spellStart"/>
      <w:r w:rsidR="00956251" w:rsidRPr="00956251">
        <w:rPr>
          <w:rFonts w:ascii="Arial" w:hAnsi="Arial" w:cs="Arial"/>
        </w:rPr>
        <w:t>Dubini</w:t>
      </w:r>
      <w:proofErr w:type="spellEnd"/>
      <w:r w:rsidR="00956251" w:rsidRPr="00956251">
        <w:rPr>
          <w:rFonts w:ascii="Arial" w:hAnsi="Arial" w:cs="Arial"/>
        </w:rPr>
        <w:t xml:space="preserve">, G., Arrigoni, C., Chung, S., Charest, J. L., Moretti, M., &amp; Kamm, R. D. (2014). A microfluidic 3D in vitro model for specificity of breast cancer metastasis to bone. Biomaterials, 35(8), 2454-2461. </w:t>
      </w:r>
      <w:hyperlink r:id="rId71" w:history="1">
        <w:r w:rsidR="00956251" w:rsidRPr="00AF79D3">
          <w:rPr>
            <w:rStyle w:val="Hyperlink"/>
            <w:rFonts w:ascii="Arial" w:hAnsi="Arial" w:cs="Arial"/>
          </w:rPr>
          <w:t>https://doi.org/10.1016/j.biomaterials.2013.11.050</w:t>
        </w:r>
      </w:hyperlink>
      <w:r w:rsidR="00956251">
        <w:rPr>
          <w:rFonts w:ascii="Arial" w:hAnsi="Arial" w:cs="Arial"/>
        </w:rPr>
        <w:t xml:space="preserve"> </w:t>
      </w:r>
      <w:r w:rsidRPr="00864CA0">
        <w:rPr>
          <w:rFonts w:ascii="Arial" w:hAnsi="Arial" w:cs="Arial"/>
        </w:rPr>
        <w:t>.</w:t>
      </w:r>
    </w:p>
    <w:p w14:paraId="3760F24E" w14:textId="152FC337" w:rsidR="00864CA0" w:rsidRPr="00864CA0" w:rsidRDefault="00864CA0" w:rsidP="00864CA0">
      <w:pPr>
        <w:pStyle w:val="Body"/>
        <w:rPr>
          <w:rFonts w:ascii="Arial" w:hAnsi="Arial" w:cs="Arial"/>
        </w:rPr>
      </w:pPr>
      <w:r w:rsidRPr="00864CA0">
        <w:rPr>
          <w:rFonts w:ascii="Arial" w:hAnsi="Arial" w:cs="Arial"/>
        </w:rPr>
        <w:lastRenderedPageBreak/>
        <w:t>64.</w:t>
      </w:r>
      <w:r>
        <w:rPr>
          <w:rFonts w:ascii="Arial" w:hAnsi="Arial" w:cs="Arial"/>
        </w:rPr>
        <w:t xml:space="preserve"> </w:t>
      </w:r>
      <w:r w:rsidR="00AF5658" w:rsidRPr="00AF5658">
        <w:rPr>
          <w:rFonts w:ascii="Arial" w:hAnsi="Arial" w:cs="Arial"/>
        </w:rPr>
        <w:t xml:space="preserve">Kolesky, D. B., Homan, K. A., Skylar-Scott, M. A., &amp; Lewis, J. A. (2016). Three-dimensional bioprinting of thick vascularized tissues. Proceedings of the National Academy of Sciences of the United States of America, 113(12), 3179-3184. </w:t>
      </w:r>
      <w:hyperlink r:id="rId72" w:history="1">
        <w:r w:rsidR="00AF5658" w:rsidRPr="00AF79D3">
          <w:rPr>
            <w:rStyle w:val="Hyperlink"/>
            <w:rFonts w:ascii="Arial" w:hAnsi="Arial" w:cs="Arial"/>
          </w:rPr>
          <w:t>https://doi.org/10.1073/pnas.1521342113</w:t>
        </w:r>
      </w:hyperlink>
      <w:r w:rsidR="00AF5658">
        <w:rPr>
          <w:rFonts w:ascii="Arial" w:hAnsi="Arial" w:cs="Arial"/>
        </w:rPr>
        <w:t xml:space="preserve"> </w:t>
      </w:r>
      <w:r w:rsidRPr="00864CA0">
        <w:rPr>
          <w:rFonts w:ascii="Arial" w:hAnsi="Arial" w:cs="Arial"/>
        </w:rPr>
        <w:t>.</w:t>
      </w:r>
    </w:p>
    <w:p w14:paraId="1D3C6DF5" w14:textId="720EB4F2" w:rsidR="00864CA0" w:rsidRPr="00864CA0" w:rsidRDefault="00864CA0" w:rsidP="00864CA0">
      <w:pPr>
        <w:pStyle w:val="Body"/>
        <w:rPr>
          <w:rFonts w:ascii="Arial" w:hAnsi="Arial" w:cs="Arial"/>
        </w:rPr>
      </w:pPr>
      <w:r w:rsidRPr="00864CA0">
        <w:rPr>
          <w:rFonts w:ascii="Arial" w:hAnsi="Arial" w:cs="Arial"/>
        </w:rPr>
        <w:t>65.</w:t>
      </w:r>
      <w:r>
        <w:rPr>
          <w:rFonts w:ascii="Arial" w:hAnsi="Arial" w:cs="Arial"/>
        </w:rPr>
        <w:t xml:space="preserve"> </w:t>
      </w:r>
      <w:r w:rsidR="001433C3" w:rsidRPr="001433C3">
        <w:rPr>
          <w:rFonts w:ascii="Arial" w:hAnsi="Arial" w:cs="Arial"/>
        </w:rPr>
        <w:t xml:space="preserve">Miri, A. K., </w:t>
      </w:r>
      <w:proofErr w:type="spellStart"/>
      <w:r w:rsidR="001433C3" w:rsidRPr="001433C3">
        <w:rPr>
          <w:rFonts w:ascii="Arial" w:hAnsi="Arial" w:cs="Arial"/>
        </w:rPr>
        <w:t>Khalilpour</w:t>
      </w:r>
      <w:proofErr w:type="spellEnd"/>
      <w:r w:rsidR="001433C3" w:rsidRPr="001433C3">
        <w:rPr>
          <w:rFonts w:ascii="Arial" w:hAnsi="Arial" w:cs="Arial"/>
        </w:rPr>
        <w:t xml:space="preserve">, A., </w:t>
      </w:r>
      <w:proofErr w:type="spellStart"/>
      <w:r w:rsidR="001433C3" w:rsidRPr="001433C3">
        <w:rPr>
          <w:rFonts w:ascii="Arial" w:hAnsi="Arial" w:cs="Arial"/>
        </w:rPr>
        <w:t>Cecen</w:t>
      </w:r>
      <w:proofErr w:type="spellEnd"/>
      <w:r w:rsidR="001433C3" w:rsidRPr="001433C3">
        <w:rPr>
          <w:rFonts w:ascii="Arial" w:hAnsi="Arial" w:cs="Arial"/>
        </w:rPr>
        <w:t xml:space="preserve">, B., Maharjan, S., Shin, S. R., &amp; </w:t>
      </w:r>
      <w:proofErr w:type="spellStart"/>
      <w:r w:rsidR="001433C3" w:rsidRPr="001433C3">
        <w:rPr>
          <w:rFonts w:ascii="Arial" w:hAnsi="Arial" w:cs="Arial"/>
        </w:rPr>
        <w:t>Khademhosseini</w:t>
      </w:r>
      <w:proofErr w:type="spellEnd"/>
      <w:r w:rsidR="001433C3" w:rsidRPr="001433C3">
        <w:rPr>
          <w:rFonts w:ascii="Arial" w:hAnsi="Arial" w:cs="Arial"/>
        </w:rPr>
        <w:t xml:space="preserve">, A. (2019). Multiscale bioprinting of vascularized models. Biomaterials, 198, 204-216. </w:t>
      </w:r>
      <w:hyperlink r:id="rId73" w:history="1">
        <w:r w:rsidR="001433C3" w:rsidRPr="00AF79D3">
          <w:rPr>
            <w:rStyle w:val="Hyperlink"/>
            <w:rFonts w:ascii="Arial" w:hAnsi="Arial" w:cs="Arial"/>
          </w:rPr>
          <w:t>https://doi.org/10.1016/j.biomaterials.2018.08.006</w:t>
        </w:r>
      </w:hyperlink>
      <w:r w:rsidR="001433C3">
        <w:rPr>
          <w:rFonts w:ascii="Arial" w:hAnsi="Arial" w:cs="Arial"/>
        </w:rPr>
        <w:t xml:space="preserve"> </w:t>
      </w:r>
      <w:r w:rsidRPr="00864CA0">
        <w:rPr>
          <w:rFonts w:ascii="Arial" w:hAnsi="Arial" w:cs="Arial"/>
        </w:rPr>
        <w:t>.</w:t>
      </w:r>
    </w:p>
    <w:p w14:paraId="32531EC1" w14:textId="6820F3ED" w:rsidR="00864CA0" w:rsidRPr="00864CA0" w:rsidRDefault="00864CA0" w:rsidP="00864CA0">
      <w:pPr>
        <w:pStyle w:val="Body"/>
        <w:rPr>
          <w:rFonts w:ascii="Arial" w:hAnsi="Arial" w:cs="Arial"/>
        </w:rPr>
      </w:pPr>
      <w:r w:rsidRPr="00864CA0">
        <w:rPr>
          <w:rFonts w:ascii="Arial" w:hAnsi="Arial" w:cs="Arial"/>
        </w:rPr>
        <w:t>66.</w:t>
      </w:r>
      <w:r>
        <w:rPr>
          <w:rFonts w:ascii="Arial" w:hAnsi="Arial" w:cs="Arial"/>
        </w:rPr>
        <w:t xml:space="preserve"> </w:t>
      </w:r>
      <w:r w:rsidR="00DA5923" w:rsidRPr="00DA5923">
        <w:rPr>
          <w:rFonts w:ascii="Arial" w:hAnsi="Arial" w:cs="Arial"/>
        </w:rPr>
        <w:t xml:space="preserve">Wang, Y., Gunasekara, D. B., Reed, M. I., DiSalvo, M., Bultman, S. J., Sims, C. E., Magness, S. T., &amp; Allbritton, N. L. (2017). A </w:t>
      </w:r>
      <w:proofErr w:type="spellStart"/>
      <w:r w:rsidR="00DA5923" w:rsidRPr="00DA5923">
        <w:rPr>
          <w:rFonts w:ascii="Arial" w:hAnsi="Arial" w:cs="Arial"/>
        </w:rPr>
        <w:t>microengineered</w:t>
      </w:r>
      <w:proofErr w:type="spellEnd"/>
      <w:r w:rsidR="00DA5923" w:rsidRPr="00DA5923">
        <w:rPr>
          <w:rFonts w:ascii="Arial" w:hAnsi="Arial" w:cs="Arial"/>
        </w:rPr>
        <w:t xml:space="preserve"> collagen scaffold for generating a polarized crypt-villus architecture of human small intestinal epithelium. Biomaterials, 128, 44-55. </w:t>
      </w:r>
      <w:hyperlink r:id="rId74" w:history="1">
        <w:r w:rsidR="00DA5923" w:rsidRPr="00AF79D3">
          <w:rPr>
            <w:rStyle w:val="Hyperlink"/>
            <w:rFonts w:ascii="Arial" w:hAnsi="Arial" w:cs="Arial"/>
          </w:rPr>
          <w:t>https://doi.org/10.1016/j.biomaterials.2017.03.005</w:t>
        </w:r>
      </w:hyperlink>
      <w:r w:rsidR="00DA5923">
        <w:rPr>
          <w:rFonts w:ascii="Arial" w:hAnsi="Arial" w:cs="Arial"/>
        </w:rPr>
        <w:t xml:space="preserve"> </w:t>
      </w:r>
      <w:r w:rsidRPr="00864CA0">
        <w:rPr>
          <w:rFonts w:ascii="Arial" w:hAnsi="Arial" w:cs="Arial"/>
        </w:rPr>
        <w:t>.</w:t>
      </w:r>
    </w:p>
    <w:p w14:paraId="39CFA848" w14:textId="28CA3E7D" w:rsidR="00864CA0" w:rsidRPr="00864CA0" w:rsidRDefault="00864CA0" w:rsidP="00864CA0">
      <w:pPr>
        <w:pStyle w:val="Body"/>
        <w:rPr>
          <w:rFonts w:ascii="Arial" w:hAnsi="Arial" w:cs="Arial"/>
        </w:rPr>
      </w:pPr>
      <w:r w:rsidRPr="00864CA0">
        <w:rPr>
          <w:rFonts w:ascii="Arial" w:hAnsi="Arial" w:cs="Arial"/>
        </w:rPr>
        <w:t>67.</w:t>
      </w:r>
      <w:r>
        <w:rPr>
          <w:rFonts w:ascii="Arial" w:hAnsi="Arial" w:cs="Arial"/>
        </w:rPr>
        <w:t xml:space="preserve"> </w:t>
      </w:r>
      <w:r w:rsidRPr="00864CA0">
        <w:rPr>
          <w:rFonts w:ascii="Arial" w:hAnsi="Arial" w:cs="Arial"/>
        </w:rPr>
        <w:t xml:space="preserve">Raza A, Hayat U, Rasheed T, et al. Smart materials-based on nanotechnology for the development of 3D bioprinting scaffolds. Trends </w:t>
      </w:r>
      <w:proofErr w:type="spellStart"/>
      <w:r w:rsidRPr="00864CA0">
        <w:rPr>
          <w:rFonts w:ascii="Arial" w:hAnsi="Arial" w:cs="Arial"/>
        </w:rPr>
        <w:t>Biotechnol</w:t>
      </w:r>
      <w:proofErr w:type="spellEnd"/>
      <w:r w:rsidRPr="00864CA0">
        <w:rPr>
          <w:rFonts w:ascii="Arial" w:hAnsi="Arial" w:cs="Arial"/>
        </w:rPr>
        <w:t>. 2019;37(9):1005-13.</w:t>
      </w:r>
    </w:p>
    <w:p w14:paraId="6E77A7A6" w14:textId="073A9B52" w:rsidR="00864CA0" w:rsidRPr="00864CA0" w:rsidRDefault="00864CA0" w:rsidP="00864CA0">
      <w:pPr>
        <w:pStyle w:val="Body"/>
        <w:rPr>
          <w:rFonts w:ascii="Arial" w:hAnsi="Arial" w:cs="Arial"/>
        </w:rPr>
      </w:pPr>
      <w:r w:rsidRPr="00864CA0">
        <w:rPr>
          <w:rFonts w:ascii="Arial" w:hAnsi="Arial" w:cs="Arial"/>
        </w:rPr>
        <w:t>68.</w:t>
      </w:r>
      <w:r>
        <w:rPr>
          <w:rFonts w:ascii="Arial" w:hAnsi="Arial" w:cs="Arial"/>
        </w:rPr>
        <w:t xml:space="preserve"> </w:t>
      </w:r>
      <w:r w:rsidR="00191DC1" w:rsidRPr="00191DC1">
        <w:rPr>
          <w:rFonts w:ascii="Arial" w:hAnsi="Arial" w:cs="Arial"/>
        </w:rPr>
        <w:t xml:space="preserve">Phan, D. T. T., Wang, X., Craver, B. M., Sobrino, A., Zhao, D., Chen, J. C., Lee, L. Y. N., George, S. C., Lee, A. P., &amp; Hughes, C. C. W. (2017). A vascularized and perfused organ-on-a-chip platform for large-scale drug screening applications. Lab on a Chip, 17(3), 511-520. </w:t>
      </w:r>
      <w:hyperlink r:id="rId75" w:history="1">
        <w:r w:rsidR="00191DC1" w:rsidRPr="00AF79D3">
          <w:rPr>
            <w:rStyle w:val="Hyperlink"/>
            <w:rFonts w:ascii="Arial" w:hAnsi="Arial" w:cs="Arial"/>
          </w:rPr>
          <w:t>https://doi.org/10.1039/C6LC01422D</w:t>
        </w:r>
      </w:hyperlink>
      <w:r w:rsidR="00191DC1">
        <w:rPr>
          <w:rFonts w:ascii="Arial" w:hAnsi="Arial" w:cs="Arial"/>
        </w:rPr>
        <w:t xml:space="preserve"> </w:t>
      </w:r>
      <w:r w:rsidRPr="00864CA0">
        <w:rPr>
          <w:rFonts w:ascii="Arial" w:hAnsi="Arial" w:cs="Arial"/>
        </w:rPr>
        <w:t>.</w:t>
      </w:r>
    </w:p>
    <w:p w14:paraId="7F676ECE" w14:textId="66B2E417" w:rsidR="00864CA0" w:rsidRPr="00864CA0" w:rsidRDefault="00864CA0" w:rsidP="00864CA0">
      <w:pPr>
        <w:pStyle w:val="Body"/>
        <w:rPr>
          <w:rFonts w:ascii="Arial" w:hAnsi="Arial" w:cs="Arial"/>
        </w:rPr>
      </w:pPr>
      <w:r w:rsidRPr="00864CA0">
        <w:rPr>
          <w:rFonts w:ascii="Arial" w:hAnsi="Arial" w:cs="Arial"/>
        </w:rPr>
        <w:t>69.</w:t>
      </w:r>
      <w:r>
        <w:rPr>
          <w:rFonts w:ascii="Arial" w:hAnsi="Arial" w:cs="Arial"/>
        </w:rPr>
        <w:t xml:space="preserve"> </w:t>
      </w:r>
      <w:r w:rsidR="00B57C2C" w:rsidRPr="00B57C2C">
        <w:rPr>
          <w:rFonts w:ascii="Arial" w:hAnsi="Arial" w:cs="Arial"/>
        </w:rPr>
        <w:t xml:space="preserve">Noor, N., Shapira, A., Edri, R., Gal, I., Wertheim, L., &amp; Dvir, T. (2019). 3D printing of personalized thick and perfusable cardiac patches and hearts. Advanced Science, 6(11), 1900344. </w:t>
      </w:r>
      <w:hyperlink r:id="rId76" w:history="1">
        <w:r w:rsidR="00B57C2C" w:rsidRPr="00AF79D3">
          <w:rPr>
            <w:rStyle w:val="Hyperlink"/>
            <w:rFonts w:ascii="Arial" w:hAnsi="Arial" w:cs="Arial"/>
          </w:rPr>
          <w:t>https://doi.org/10.1002/advs.201900344</w:t>
        </w:r>
      </w:hyperlink>
      <w:r w:rsidR="00B57C2C">
        <w:rPr>
          <w:rFonts w:ascii="Arial" w:hAnsi="Arial" w:cs="Arial"/>
        </w:rPr>
        <w:t xml:space="preserve"> </w:t>
      </w:r>
      <w:r w:rsidRPr="00864CA0">
        <w:rPr>
          <w:rFonts w:ascii="Arial" w:hAnsi="Arial" w:cs="Arial"/>
        </w:rPr>
        <w:t>.</w:t>
      </w:r>
    </w:p>
    <w:p w14:paraId="3E12DD6E" w14:textId="28FDC3C1" w:rsidR="00864CA0" w:rsidRPr="00864CA0" w:rsidRDefault="00864CA0" w:rsidP="00864CA0">
      <w:pPr>
        <w:pStyle w:val="Body"/>
        <w:rPr>
          <w:rFonts w:ascii="Arial" w:hAnsi="Arial" w:cs="Arial"/>
        </w:rPr>
      </w:pPr>
      <w:r w:rsidRPr="00864CA0">
        <w:rPr>
          <w:rFonts w:ascii="Arial" w:hAnsi="Arial" w:cs="Arial"/>
        </w:rPr>
        <w:t>70.</w:t>
      </w:r>
      <w:r>
        <w:rPr>
          <w:rFonts w:ascii="Arial" w:hAnsi="Arial" w:cs="Arial"/>
        </w:rPr>
        <w:t xml:space="preserve"> </w:t>
      </w:r>
      <w:r w:rsidR="003C16EA" w:rsidRPr="003C16EA">
        <w:rPr>
          <w:rFonts w:ascii="Arial" w:hAnsi="Arial" w:cs="Arial"/>
        </w:rPr>
        <w:t xml:space="preserve">Meacham, C. E., &amp; Morrison, S. J. (2013). </w:t>
      </w:r>
      <w:proofErr w:type="spellStart"/>
      <w:r w:rsidR="003C16EA" w:rsidRPr="003C16EA">
        <w:rPr>
          <w:rFonts w:ascii="Arial" w:hAnsi="Arial" w:cs="Arial"/>
        </w:rPr>
        <w:t>Tumour</w:t>
      </w:r>
      <w:proofErr w:type="spellEnd"/>
      <w:r w:rsidR="003C16EA" w:rsidRPr="003C16EA">
        <w:rPr>
          <w:rFonts w:ascii="Arial" w:hAnsi="Arial" w:cs="Arial"/>
        </w:rPr>
        <w:t xml:space="preserve"> heterogeneity and cancer cell plasticity. Nature, 501(7467), 328-337. </w:t>
      </w:r>
      <w:hyperlink r:id="rId77" w:history="1">
        <w:r w:rsidR="003C16EA" w:rsidRPr="00AF79D3">
          <w:rPr>
            <w:rStyle w:val="Hyperlink"/>
            <w:rFonts w:ascii="Arial" w:hAnsi="Arial" w:cs="Arial"/>
          </w:rPr>
          <w:t>https://doi.org/10.1038/nature12624</w:t>
        </w:r>
      </w:hyperlink>
      <w:r w:rsidR="003C16EA">
        <w:rPr>
          <w:rFonts w:ascii="Arial" w:hAnsi="Arial" w:cs="Arial"/>
        </w:rPr>
        <w:t xml:space="preserve"> </w:t>
      </w:r>
    </w:p>
    <w:p w14:paraId="74C5A3E4" w14:textId="531923A8" w:rsidR="00864CA0" w:rsidRPr="00864CA0" w:rsidRDefault="00864CA0" w:rsidP="00864CA0">
      <w:pPr>
        <w:pStyle w:val="Body"/>
        <w:rPr>
          <w:rFonts w:ascii="Arial" w:hAnsi="Arial" w:cs="Arial"/>
        </w:rPr>
      </w:pPr>
      <w:r w:rsidRPr="00864CA0">
        <w:rPr>
          <w:rFonts w:ascii="Arial" w:hAnsi="Arial" w:cs="Arial"/>
        </w:rPr>
        <w:t>71.</w:t>
      </w:r>
      <w:r>
        <w:rPr>
          <w:rFonts w:ascii="Arial" w:hAnsi="Arial" w:cs="Arial"/>
        </w:rPr>
        <w:t xml:space="preserve"> </w:t>
      </w:r>
      <w:r w:rsidR="00803CD9" w:rsidRPr="00803CD9">
        <w:rPr>
          <w:rFonts w:ascii="Arial" w:hAnsi="Arial" w:cs="Arial"/>
        </w:rPr>
        <w:t xml:space="preserve">Hanahan, D., &amp; Coussens, L. M. (2012). Accessories to the crime: Functions of cells recruited to the tumor microenvironment. Cancer Cell, 21(3), 309-322. </w:t>
      </w:r>
      <w:hyperlink r:id="rId78" w:history="1">
        <w:r w:rsidR="00803CD9" w:rsidRPr="00AF79D3">
          <w:rPr>
            <w:rStyle w:val="Hyperlink"/>
            <w:rFonts w:ascii="Arial" w:hAnsi="Arial" w:cs="Arial"/>
          </w:rPr>
          <w:t>https://doi.org/10.1016/j.ccr.2012.02.022</w:t>
        </w:r>
      </w:hyperlink>
      <w:r w:rsidR="00803CD9">
        <w:rPr>
          <w:rFonts w:ascii="Arial" w:hAnsi="Arial" w:cs="Arial"/>
        </w:rPr>
        <w:t xml:space="preserve"> </w:t>
      </w:r>
      <w:r w:rsidRPr="00864CA0">
        <w:rPr>
          <w:rFonts w:ascii="Arial" w:hAnsi="Arial" w:cs="Arial"/>
        </w:rPr>
        <w:t>.</w:t>
      </w:r>
    </w:p>
    <w:p w14:paraId="5D2D6759" w14:textId="69286BE8" w:rsidR="00864CA0" w:rsidRPr="00864CA0" w:rsidRDefault="00864CA0" w:rsidP="00864CA0">
      <w:pPr>
        <w:pStyle w:val="Body"/>
        <w:rPr>
          <w:rFonts w:ascii="Arial" w:hAnsi="Arial" w:cs="Arial"/>
        </w:rPr>
      </w:pPr>
      <w:r w:rsidRPr="00864CA0">
        <w:rPr>
          <w:rFonts w:ascii="Arial" w:hAnsi="Arial" w:cs="Arial"/>
        </w:rPr>
        <w:t>72.</w:t>
      </w:r>
      <w:r>
        <w:rPr>
          <w:rFonts w:ascii="Arial" w:hAnsi="Arial" w:cs="Arial"/>
        </w:rPr>
        <w:t xml:space="preserve"> </w:t>
      </w:r>
      <w:r w:rsidR="009E30A0" w:rsidRPr="009E30A0">
        <w:rPr>
          <w:rFonts w:ascii="Arial" w:hAnsi="Arial" w:cs="Arial"/>
        </w:rPr>
        <w:t xml:space="preserve">Sung, K. E., &amp; Beebe, D. J. (2014). Microfluidic 3D models of cancer. Advanced Drug Delivery Reviews, 79-80, 68-78. </w:t>
      </w:r>
      <w:hyperlink r:id="rId79" w:history="1">
        <w:r w:rsidR="009E30A0" w:rsidRPr="00AF79D3">
          <w:rPr>
            <w:rStyle w:val="Hyperlink"/>
            <w:rFonts w:ascii="Arial" w:hAnsi="Arial" w:cs="Arial"/>
          </w:rPr>
          <w:t>https://doi.org/10.1016/j.addr.2014.07.002</w:t>
        </w:r>
      </w:hyperlink>
      <w:r w:rsidR="009E30A0">
        <w:rPr>
          <w:rFonts w:ascii="Arial" w:hAnsi="Arial" w:cs="Arial"/>
        </w:rPr>
        <w:t xml:space="preserve"> </w:t>
      </w:r>
      <w:r w:rsidRPr="00864CA0">
        <w:rPr>
          <w:rFonts w:ascii="Arial" w:hAnsi="Arial" w:cs="Arial"/>
        </w:rPr>
        <w:t>.</w:t>
      </w:r>
    </w:p>
    <w:p w14:paraId="31E2B58C" w14:textId="03E99AEA" w:rsidR="00864CA0" w:rsidRPr="00864CA0" w:rsidRDefault="00864CA0" w:rsidP="00864CA0">
      <w:pPr>
        <w:pStyle w:val="Body"/>
        <w:rPr>
          <w:rFonts w:ascii="Arial" w:hAnsi="Arial" w:cs="Arial"/>
        </w:rPr>
      </w:pPr>
      <w:r w:rsidRPr="00864CA0">
        <w:rPr>
          <w:rFonts w:ascii="Arial" w:hAnsi="Arial" w:cs="Arial"/>
        </w:rPr>
        <w:t>73.</w:t>
      </w:r>
      <w:r>
        <w:rPr>
          <w:rFonts w:ascii="Arial" w:hAnsi="Arial" w:cs="Arial"/>
        </w:rPr>
        <w:t xml:space="preserve"> </w:t>
      </w:r>
      <w:r w:rsidR="009352AB" w:rsidRPr="009352AB">
        <w:rPr>
          <w:rFonts w:ascii="Arial" w:hAnsi="Arial" w:cs="Arial"/>
        </w:rPr>
        <w:t xml:space="preserve">Tirosh, I., &amp; </w:t>
      </w:r>
      <w:proofErr w:type="spellStart"/>
      <w:r w:rsidR="009352AB" w:rsidRPr="009352AB">
        <w:rPr>
          <w:rFonts w:ascii="Arial" w:hAnsi="Arial" w:cs="Arial"/>
        </w:rPr>
        <w:t>Suvà</w:t>
      </w:r>
      <w:proofErr w:type="spellEnd"/>
      <w:r w:rsidR="009352AB" w:rsidRPr="009352AB">
        <w:rPr>
          <w:rFonts w:ascii="Arial" w:hAnsi="Arial" w:cs="Arial"/>
        </w:rPr>
        <w:t xml:space="preserve">, M. L. (2019). Deciphering human tumor biology by single-cell expression profiling. Annual Review of Cancer Biology, 3, 151-166. </w:t>
      </w:r>
      <w:hyperlink r:id="rId80" w:history="1">
        <w:r w:rsidR="009352AB" w:rsidRPr="00AF79D3">
          <w:rPr>
            <w:rStyle w:val="Hyperlink"/>
            <w:rFonts w:ascii="Arial" w:hAnsi="Arial" w:cs="Arial"/>
          </w:rPr>
          <w:t>https://doi.org/10.1146/annurev-cancerbio-030518-055609</w:t>
        </w:r>
      </w:hyperlink>
      <w:r w:rsidR="009352AB">
        <w:rPr>
          <w:rFonts w:ascii="Arial" w:hAnsi="Arial" w:cs="Arial"/>
        </w:rPr>
        <w:t xml:space="preserve"> </w:t>
      </w:r>
      <w:r w:rsidRPr="00864CA0">
        <w:rPr>
          <w:rFonts w:ascii="Arial" w:hAnsi="Arial" w:cs="Arial"/>
        </w:rPr>
        <w:t>.</w:t>
      </w:r>
    </w:p>
    <w:p w14:paraId="615B8B22" w14:textId="7D058BA2" w:rsidR="00864CA0" w:rsidRPr="00864CA0" w:rsidRDefault="00864CA0" w:rsidP="00864CA0">
      <w:pPr>
        <w:pStyle w:val="Body"/>
        <w:rPr>
          <w:rFonts w:ascii="Arial" w:hAnsi="Arial" w:cs="Arial"/>
        </w:rPr>
      </w:pPr>
      <w:r w:rsidRPr="00864CA0">
        <w:rPr>
          <w:rFonts w:ascii="Arial" w:hAnsi="Arial" w:cs="Arial"/>
        </w:rPr>
        <w:t>74.</w:t>
      </w:r>
      <w:r>
        <w:rPr>
          <w:rFonts w:ascii="Arial" w:hAnsi="Arial" w:cs="Arial"/>
        </w:rPr>
        <w:t xml:space="preserve"> </w:t>
      </w:r>
      <w:r w:rsidR="00A20B6F" w:rsidRPr="00A20B6F">
        <w:rPr>
          <w:rFonts w:ascii="Arial" w:hAnsi="Arial" w:cs="Arial"/>
        </w:rPr>
        <w:t xml:space="preserve">Spitzer, M. H., &amp; Nolan, G. P. (2016). Mass cytometry: Single cells, many features. Cell, 165(4), 780-791. </w:t>
      </w:r>
      <w:hyperlink r:id="rId81" w:history="1">
        <w:r w:rsidR="00A20B6F" w:rsidRPr="00AF79D3">
          <w:rPr>
            <w:rStyle w:val="Hyperlink"/>
            <w:rFonts w:ascii="Arial" w:hAnsi="Arial" w:cs="Arial"/>
          </w:rPr>
          <w:t>https://doi.org/10.1016/j.cell.2016.04.019</w:t>
        </w:r>
      </w:hyperlink>
      <w:r w:rsidR="00A20B6F">
        <w:rPr>
          <w:rFonts w:ascii="Arial" w:hAnsi="Arial" w:cs="Arial"/>
        </w:rPr>
        <w:t xml:space="preserve"> </w:t>
      </w:r>
      <w:r w:rsidRPr="00864CA0">
        <w:rPr>
          <w:rFonts w:ascii="Arial" w:hAnsi="Arial" w:cs="Arial"/>
        </w:rPr>
        <w:t>.</w:t>
      </w:r>
    </w:p>
    <w:p w14:paraId="0FF577F0" w14:textId="4BB186A1" w:rsidR="00864CA0" w:rsidRPr="00864CA0" w:rsidRDefault="00864CA0" w:rsidP="00864CA0">
      <w:pPr>
        <w:pStyle w:val="Body"/>
        <w:rPr>
          <w:rFonts w:ascii="Arial" w:hAnsi="Arial" w:cs="Arial"/>
        </w:rPr>
      </w:pPr>
      <w:r w:rsidRPr="00864CA0">
        <w:rPr>
          <w:rFonts w:ascii="Arial" w:hAnsi="Arial" w:cs="Arial"/>
        </w:rPr>
        <w:t>75.</w:t>
      </w:r>
      <w:r>
        <w:rPr>
          <w:rFonts w:ascii="Arial" w:hAnsi="Arial" w:cs="Arial"/>
        </w:rPr>
        <w:t xml:space="preserve"> </w:t>
      </w:r>
      <w:r w:rsidR="00D842D1" w:rsidRPr="00D842D1">
        <w:rPr>
          <w:rFonts w:ascii="Arial" w:hAnsi="Arial" w:cs="Arial"/>
        </w:rPr>
        <w:t xml:space="preserve">Chimene, D., Lennox, K. K., Kaunas, R. R., &amp; Gaharwar, A. K. (2016). Advanced bioinks for 3D printing: A materials science perspective. Annals of Biomedical Engineering, 44(6), 2090-2102. </w:t>
      </w:r>
      <w:hyperlink r:id="rId82" w:history="1">
        <w:r w:rsidR="00D842D1" w:rsidRPr="00AF79D3">
          <w:rPr>
            <w:rStyle w:val="Hyperlink"/>
            <w:rFonts w:ascii="Arial" w:hAnsi="Arial" w:cs="Arial"/>
          </w:rPr>
          <w:t>https://doi.org/10.1007/s10439-016-1638-y</w:t>
        </w:r>
      </w:hyperlink>
      <w:r w:rsidR="00D842D1">
        <w:rPr>
          <w:rFonts w:ascii="Arial" w:hAnsi="Arial" w:cs="Arial"/>
        </w:rPr>
        <w:t xml:space="preserve"> </w:t>
      </w:r>
      <w:r w:rsidRPr="00864CA0">
        <w:rPr>
          <w:rFonts w:ascii="Arial" w:hAnsi="Arial" w:cs="Arial"/>
        </w:rPr>
        <w:t>.</w:t>
      </w:r>
    </w:p>
    <w:p w14:paraId="5706EAD5" w14:textId="65B2F801" w:rsidR="00864CA0" w:rsidRPr="00864CA0" w:rsidRDefault="00864CA0" w:rsidP="00864CA0">
      <w:pPr>
        <w:pStyle w:val="Body"/>
        <w:rPr>
          <w:rFonts w:ascii="Arial" w:hAnsi="Arial" w:cs="Arial"/>
        </w:rPr>
      </w:pPr>
      <w:r w:rsidRPr="00864CA0">
        <w:rPr>
          <w:rFonts w:ascii="Arial" w:hAnsi="Arial" w:cs="Arial"/>
        </w:rPr>
        <w:t>76.</w:t>
      </w:r>
      <w:r>
        <w:rPr>
          <w:rFonts w:ascii="Arial" w:hAnsi="Arial" w:cs="Arial"/>
        </w:rPr>
        <w:t xml:space="preserve"> </w:t>
      </w:r>
      <w:r w:rsidR="006549D2" w:rsidRPr="006549D2">
        <w:rPr>
          <w:rFonts w:ascii="Arial" w:hAnsi="Arial" w:cs="Arial"/>
        </w:rPr>
        <w:t xml:space="preserve">Jang, J., Park, J. Y., Gao, G., &amp; Cho, D. W. (2018). Biomaterials-based 3D cell printing for next-generation therapeutics and diagnostics. Biomaterials, 156, 88-106. </w:t>
      </w:r>
      <w:hyperlink r:id="rId83" w:history="1">
        <w:r w:rsidR="006549D2" w:rsidRPr="00AF79D3">
          <w:rPr>
            <w:rStyle w:val="Hyperlink"/>
            <w:rFonts w:ascii="Arial" w:hAnsi="Arial" w:cs="Arial"/>
          </w:rPr>
          <w:t>https://doi.org/10.1016/j.biomaterials.2017.11.030</w:t>
        </w:r>
      </w:hyperlink>
      <w:r w:rsidR="006549D2">
        <w:rPr>
          <w:rFonts w:ascii="Arial" w:hAnsi="Arial" w:cs="Arial"/>
        </w:rPr>
        <w:t xml:space="preserve"> </w:t>
      </w:r>
      <w:r w:rsidRPr="00864CA0">
        <w:rPr>
          <w:rFonts w:ascii="Arial" w:hAnsi="Arial" w:cs="Arial"/>
        </w:rPr>
        <w:t>.</w:t>
      </w:r>
    </w:p>
    <w:p w14:paraId="3F6BD382" w14:textId="5E1DC5C1" w:rsidR="00864CA0" w:rsidRPr="00864CA0" w:rsidRDefault="00864CA0" w:rsidP="00864CA0">
      <w:pPr>
        <w:pStyle w:val="Body"/>
        <w:rPr>
          <w:rFonts w:ascii="Arial" w:hAnsi="Arial" w:cs="Arial"/>
        </w:rPr>
      </w:pPr>
      <w:r w:rsidRPr="00864CA0">
        <w:rPr>
          <w:rFonts w:ascii="Arial" w:hAnsi="Arial" w:cs="Arial"/>
        </w:rPr>
        <w:lastRenderedPageBreak/>
        <w:t>77.</w:t>
      </w:r>
      <w:r>
        <w:rPr>
          <w:rFonts w:ascii="Arial" w:hAnsi="Arial" w:cs="Arial"/>
        </w:rPr>
        <w:t xml:space="preserve"> </w:t>
      </w:r>
      <w:r w:rsidR="00F602E7" w:rsidRPr="00F602E7">
        <w:rPr>
          <w:rFonts w:ascii="Arial" w:hAnsi="Arial" w:cs="Arial"/>
        </w:rPr>
        <w:t xml:space="preserve">Pati, F., Jang, J., Ha, D. H., Kim, S. W., Rhie, J. W., Shim, J. H., Kim, D. H., &amp; Cho, D. W. (2014). Printing three-dimensional tissue analogues with decellularized extracellular matrix bioink. Nature Communications, 5, 3935. </w:t>
      </w:r>
      <w:hyperlink r:id="rId84" w:history="1">
        <w:r w:rsidR="00F602E7" w:rsidRPr="00AF79D3">
          <w:rPr>
            <w:rStyle w:val="Hyperlink"/>
            <w:rFonts w:ascii="Arial" w:hAnsi="Arial" w:cs="Arial"/>
          </w:rPr>
          <w:t>https://doi.org/10.1038/ncomms4935</w:t>
        </w:r>
      </w:hyperlink>
      <w:r w:rsidR="00F602E7">
        <w:rPr>
          <w:rFonts w:ascii="Arial" w:hAnsi="Arial" w:cs="Arial"/>
        </w:rPr>
        <w:t xml:space="preserve"> </w:t>
      </w:r>
      <w:r w:rsidRPr="00864CA0">
        <w:rPr>
          <w:rFonts w:ascii="Arial" w:hAnsi="Arial" w:cs="Arial"/>
        </w:rPr>
        <w:t>.</w:t>
      </w:r>
    </w:p>
    <w:p w14:paraId="269DEBCF" w14:textId="5C51D63C" w:rsidR="00864CA0" w:rsidRPr="00864CA0" w:rsidRDefault="00864CA0" w:rsidP="00864CA0">
      <w:pPr>
        <w:pStyle w:val="Body"/>
        <w:rPr>
          <w:rFonts w:ascii="Arial" w:hAnsi="Arial" w:cs="Arial"/>
        </w:rPr>
      </w:pPr>
      <w:r w:rsidRPr="00864CA0">
        <w:rPr>
          <w:rFonts w:ascii="Arial" w:hAnsi="Arial" w:cs="Arial"/>
        </w:rPr>
        <w:t>78.</w:t>
      </w:r>
      <w:r>
        <w:rPr>
          <w:rFonts w:ascii="Arial" w:hAnsi="Arial" w:cs="Arial"/>
        </w:rPr>
        <w:t xml:space="preserve"> </w:t>
      </w:r>
      <w:r w:rsidR="00B34835" w:rsidRPr="00B34835">
        <w:rPr>
          <w:rFonts w:ascii="Arial" w:hAnsi="Arial" w:cs="Arial"/>
        </w:rPr>
        <w:t xml:space="preserve">Murphy, S. V., &amp; Atala, A. (2014). 3D bioprinting of tissues and organs. Nature Biotechnology, 32(8), 773-785. </w:t>
      </w:r>
      <w:hyperlink r:id="rId85" w:history="1">
        <w:r w:rsidR="00B34835" w:rsidRPr="00AF79D3">
          <w:rPr>
            <w:rStyle w:val="Hyperlink"/>
            <w:rFonts w:ascii="Arial" w:hAnsi="Arial" w:cs="Arial"/>
          </w:rPr>
          <w:t>https://doi.org/10.1038/nbt.2958</w:t>
        </w:r>
      </w:hyperlink>
      <w:r w:rsidR="00B34835">
        <w:rPr>
          <w:rFonts w:ascii="Arial" w:hAnsi="Arial" w:cs="Arial"/>
        </w:rPr>
        <w:t xml:space="preserve"> </w:t>
      </w:r>
      <w:r w:rsidRPr="00864CA0">
        <w:rPr>
          <w:rFonts w:ascii="Arial" w:hAnsi="Arial" w:cs="Arial"/>
        </w:rPr>
        <w:t>.</w:t>
      </w:r>
    </w:p>
    <w:p w14:paraId="136C25EA" w14:textId="41633F11" w:rsidR="00864CA0" w:rsidRPr="00864CA0" w:rsidRDefault="00864CA0" w:rsidP="00864CA0">
      <w:pPr>
        <w:pStyle w:val="Body"/>
        <w:rPr>
          <w:rFonts w:ascii="Arial" w:hAnsi="Arial" w:cs="Arial"/>
        </w:rPr>
      </w:pPr>
      <w:r w:rsidRPr="00864CA0">
        <w:rPr>
          <w:rFonts w:ascii="Arial" w:hAnsi="Arial" w:cs="Arial"/>
        </w:rPr>
        <w:t>79.</w:t>
      </w:r>
      <w:r>
        <w:rPr>
          <w:rFonts w:ascii="Arial" w:hAnsi="Arial" w:cs="Arial"/>
        </w:rPr>
        <w:t xml:space="preserve"> </w:t>
      </w:r>
      <w:r w:rsidR="00BA1170" w:rsidRPr="00BA1170">
        <w:rPr>
          <w:rFonts w:ascii="Arial" w:hAnsi="Arial" w:cs="Arial"/>
        </w:rPr>
        <w:t xml:space="preserve">Malda, J., Visser, J., </w:t>
      </w:r>
      <w:proofErr w:type="spellStart"/>
      <w:r w:rsidR="00BA1170" w:rsidRPr="00BA1170">
        <w:rPr>
          <w:rFonts w:ascii="Arial" w:hAnsi="Arial" w:cs="Arial"/>
        </w:rPr>
        <w:t>Melchels</w:t>
      </w:r>
      <w:proofErr w:type="spellEnd"/>
      <w:r w:rsidR="00BA1170" w:rsidRPr="00BA1170">
        <w:rPr>
          <w:rFonts w:ascii="Arial" w:hAnsi="Arial" w:cs="Arial"/>
        </w:rPr>
        <w:t xml:space="preserve">, F. P., </w:t>
      </w:r>
      <w:proofErr w:type="spellStart"/>
      <w:r w:rsidR="00BA1170" w:rsidRPr="00BA1170">
        <w:rPr>
          <w:rFonts w:ascii="Arial" w:hAnsi="Arial" w:cs="Arial"/>
        </w:rPr>
        <w:t>Jüngst</w:t>
      </w:r>
      <w:proofErr w:type="spellEnd"/>
      <w:r w:rsidR="00BA1170" w:rsidRPr="00BA1170">
        <w:rPr>
          <w:rFonts w:ascii="Arial" w:hAnsi="Arial" w:cs="Arial"/>
        </w:rPr>
        <w:t xml:space="preserve">, T., Hennink, W. E., Dhert, W. J. A., Groll, J., &amp; Hutmacher, D. W. (2013). 25th Anniversary Article: Engineering Hydrogels for Biofabrication. Advanced Materials, 25(36), 5011-5028. </w:t>
      </w:r>
      <w:hyperlink r:id="rId86" w:history="1">
        <w:r w:rsidR="00BA1170" w:rsidRPr="00AF79D3">
          <w:rPr>
            <w:rStyle w:val="Hyperlink"/>
            <w:rFonts w:ascii="Arial" w:hAnsi="Arial" w:cs="Arial"/>
          </w:rPr>
          <w:t>https://doi.org/10.1002/adma.201302042</w:t>
        </w:r>
      </w:hyperlink>
      <w:r w:rsidR="00BA1170">
        <w:rPr>
          <w:rFonts w:ascii="Arial" w:hAnsi="Arial" w:cs="Arial"/>
        </w:rPr>
        <w:t xml:space="preserve"> </w:t>
      </w:r>
      <w:r w:rsidRPr="00864CA0">
        <w:rPr>
          <w:rFonts w:ascii="Arial" w:hAnsi="Arial" w:cs="Arial"/>
        </w:rPr>
        <w:t>.</w:t>
      </w:r>
    </w:p>
    <w:p w14:paraId="36F740F3" w14:textId="3FA19344" w:rsidR="00864CA0" w:rsidRPr="00864CA0" w:rsidRDefault="00864CA0" w:rsidP="00864CA0">
      <w:pPr>
        <w:pStyle w:val="Body"/>
        <w:rPr>
          <w:rFonts w:ascii="Arial" w:hAnsi="Arial" w:cs="Arial"/>
        </w:rPr>
      </w:pPr>
      <w:r w:rsidRPr="00864CA0">
        <w:rPr>
          <w:rFonts w:ascii="Arial" w:hAnsi="Arial" w:cs="Arial"/>
        </w:rPr>
        <w:t>80.</w:t>
      </w:r>
      <w:r>
        <w:rPr>
          <w:rFonts w:ascii="Arial" w:hAnsi="Arial" w:cs="Arial"/>
        </w:rPr>
        <w:t xml:space="preserve"> </w:t>
      </w:r>
      <w:r w:rsidR="00CC794B" w:rsidRPr="00CC794B">
        <w:rPr>
          <w:rFonts w:ascii="Arial" w:hAnsi="Arial" w:cs="Arial"/>
        </w:rPr>
        <w:t>Gungor-</w:t>
      </w:r>
      <w:proofErr w:type="spellStart"/>
      <w:r w:rsidR="00CC794B" w:rsidRPr="00CC794B">
        <w:rPr>
          <w:rFonts w:ascii="Arial" w:hAnsi="Arial" w:cs="Arial"/>
        </w:rPr>
        <w:t>Ozkerim</w:t>
      </w:r>
      <w:proofErr w:type="spellEnd"/>
      <w:r w:rsidR="00CC794B" w:rsidRPr="00CC794B">
        <w:rPr>
          <w:rFonts w:ascii="Arial" w:hAnsi="Arial" w:cs="Arial"/>
        </w:rPr>
        <w:t xml:space="preserve">, P. S., Inci, I., Zhang, Y. S., </w:t>
      </w:r>
      <w:proofErr w:type="spellStart"/>
      <w:r w:rsidR="00CC794B" w:rsidRPr="00CC794B">
        <w:rPr>
          <w:rFonts w:ascii="Arial" w:hAnsi="Arial" w:cs="Arial"/>
        </w:rPr>
        <w:t>Khademhosseini</w:t>
      </w:r>
      <w:proofErr w:type="spellEnd"/>
      <w:r w:rsidR="00CC794B" w:rsidRPr="00CC794B">
        <w:rPr>
          <w:rFonts w:ascii="Arial" w:hAnsi="Arial" w:cs="Arial"/>
        </w:rPr>
        <w:t xml:space="preserve">, A., &amp; </w:t>
      </w:r>
      <w:proofErr w:type="spellStart"/>
      <w:r w:rsidR="00CC794B" w:rsidRPr="00CC794B">
        <w:rPr>
          <w:rFonts w:ascii="Arial" w:hAnsi="Arial" w:cs="Arial"/>
        </w:rPr>
        <w:t>Dokmeci</w:t>
      </w:r>
      <w:proofErr w:type="spellEnd"/>
      <w:r w:rsidR="00CC794B" w:rsidRPr="00CC794B">
        <w:rPr>
          <w:rFonts w:ascii="Arial" w:hAnsi="Arial" w:cs="Arial"/>
        </w:rPr>
        <w:t xml:space="preserve">, M. R. (2018). Bioinks for 3D bioprinting: an overview. Biomaterials Science, 6(5), 915-946. </w:t>
      </w:r>
      <w:hyperlink r:id="rId87" w:history="1">
        <w:r w:rsidR="00CC794B" w:rsidRPr="00AF79D3">
          <w:rPr>
            <w:rStyle w:val="Hyperlink"/>
            <w:rFonts w:ascii="Arial" w:hAnsi="Arial" w:cs="Arial"/>
          </w:rPr>
          <w:t>https://doi.org/10.1039/c7bm00765e</w:t>
        </w:r>
      </w:hyperlink>
      <w:r w:rsidR="00CC794B">
        <w:rPr>
          <w:rFonts w:ascii="Arial" w:hAnsi="Arial" w:cs="Arial"/>
        </w:rPr>
        <w:t xml:space="preserve"> </w:t>
      </w:r>
      <w:r w:rsidRPr="00864CA0">
        <w:rPr>
          <w:rFonts w:ascii="Arial" w:hAnsi="Arial" w:cs="Arial"/>
        </w:rPr>
        <w:t>.</w:t>
      </w:r>
    </w:p>
    <w:p w14:paraId="468373EF" w14:textId="77890ACD" w:rsidR="00864CA0" w:rsidRPr="00864CA0" w:rsidRDefault="00864CA0" w:rsidP="00864CA0">
      <w:pPr>
        <w:pStyle w:val="Body"/>
        <w:rPr>
          <w:rFonts w:ascii="Arial" w:hAnsi="Arial" w:cs="Arial"/>
        </w:rPr>
      </w:pPr>
      <w:r w:rsidRPr="00864CA0">
        <w:rPr>
          <w:rFonts w:ascii="Arial" w:hAnsi="Arial" w:cs="Arial"/>
        </w:rPr>
        <w:t>81.</w:t>
      </w:r>
      <w:r>
        <w:rPr>
          <w:rFonts w:ascii="Arial" w:hAnsi="Arial" w:cs="Arial"/>
        </w:rPr>
        <w:t xml:space="preserve"> </w:t>
      </w:r>
      <w:proofErr w:type="spellStart"/>
      <w:r w:rsidR="00486AAF" w:rsidRPr="00486AAF">
        <w:rPr>
          <w:rFonts w:ascii="Arial" w:hAnsi="Arial" w:cs="Arial"/>
        </w:rPr>
        <w:t>Mandrycky</w:t>
      </w:r>
      <w:proofErr w:type="spellEnd"/>
      <w:r w:rsidR="00486AAF" w:rsidRPr="00486AAF">
        <w:rPr>
          <w:rFonts w:ascii="Arial" w:hAnsi="Arial" w:cs="Arial"/>
        </w:rPr>
        <w:t xml:space="preserve">, C., Wang, Z., Kim, K., &amp; Kim, D.-H. (2016). 3D bioprinting for engineering complex tissues. *Biotechnology Advances*, *34*(4), 422-434. </w:t>
      </w:r>
      <w:hyperlink r:id="rId88" w:history="1">
        <w:r w:rsidR="00486AAF" w:rsidRPr="00AF79D3">
          <w:rPr>
            <w:rStyle w:val="Hyperlink"/>
            <w:rFonts w:ascii="Arial" w:hAnsi="Arial" w:cs="Arial"/>
          </w:rPr>
          <w:t>https://doi.org/10.1016/j.biotechadv.2015.12.011</w:t>
        </w:r>
      </w:hyperlink>
      <w:r w:rsidR="00486AAF">
        <w:rPr>
          <w:rFonts w:ascii="Arial" w:hAnsi="Arial" w:cs="Arial"/>
        </w:rPr>
        <w:t xml:space="preserve"> </w:t>
      </w:r>
      <w:r w:rsidRPr="00864CA0">
        <w:rPr>
          <w:rFonts w:ascii="Arial" w:hAnsi="Arial" w:cs="Arial"/>
        </w:rPr>
        <w:t>.</w:t>
      </w:r>
    </w:p>
    <w:p w14:paraId="3C036081" w14:textId="511C5247" w:rsidR="00864CA0" w:rsidRPr="00864CA0" w:rsidRDefault="00864CA0" w:rsidP="00864CA0">
      <w:pPr>
        <w:pStyle w:val="Body"/>
        <w:rPr>
          <w:rFonts w:ascii="Arial" w:hAnsi="Arial" w:cs="Arial"/>
        </w:rPr>
      </w:pPr>
      <w:r w:rsidRPr="00864CA0">
        <w:rPr>
          <w:rFonts w:ascii="Arial" w:hAnsi="Arial" w:cs="Arial"/>
        </w:rPr>
        <w:t>82.</w:t>
      </w:r>
      <w:r>
        <w:rPr>
          <w:rFonts w:ascii="Arial" w:hAnsi="Arial" w:cs="Arial"/>
        </w:rPr>
        <w:t xml:space="preserve"> </w:t>
      </w:r>
      <w:proofErr w:type="spellStart"/>
      <w:r w:rsidR="00D4086F" w:rsidRPr="00D4086F">
        <w:rPr>
          <w:rFonts w:ascii="Arial" w:hAnsi="Arial" w:cs="Arial"/>
        </w:rPr>
        <w:t>Ozbolat</w:t>
      </w:r>
      <w:proofErr w:type="spellEnd"/>
      <w:r w:rsidR="00D4086F" w:rsidRPr="00D4086F">
        <w:rPr>
          <w:rFonts w:ascii="Arial" w:hAnsi="Arial" w:cs="Arial"/>
        </w:rPr>
        <w:t xml:space="preserve">, I. T., &amp; </w:t>
      </w:r>
      <w:proofErr w:type="spellStart"/>
      <w:r w:rsidR="00D4086F" w:rsidRPr="00D4086F">
        <w:rPr>
          <w:rFonts w:ascii="Arial" w:hAnsi="Arial" w:cs="Arial"/>
        </w:rPr>
        <w:t>Hospodiuk</w:t>
      </w:r>
      <w:proofErr w:type="spellEnd"/>
      <w:r w:rsidR="00D4086F" w:rsidRPr="00D4086F">
        <w:rPr>
          <w:rFonts w:ascii="Arial" w:hAnsi="Arial" w:cs="Arial"/>
        </w:rPr>
        <w:t xml:space="preserve">, M. (2016). Current advances and future perspectives in extrusion-based bioprinting. Biomaterials, 76, 321-343. </w:t>
      </w:r>
      <w:hyperlink r:id="rId89" w:history="1">
        <w:r w:rsidR="00D4086F" w:rsidRPr="00AF79D3">
          <w:rPr>
            <w:rStyle w:val="Hyperlink"/>
            <w:rFonts w:ascii="Arial" w:hAnsi="Arial" w:cs="Arial"/>
          </w:rPr>
          <w:t>https://doi.org/10.1016/j.biomaterials.2015.10.076</w:t>
        </w:r>
      </w:hyperlink>
      <w:r w:rsidR="00D4086F">
        <w:rPr>
          <w:rFonts w:ascii="Arial" w:hAnsi="Arial" w:cs="Arial"/>
        </w:rPr>
        <w:t xml:space="preserve"> </w:t>
      </w:r>
    </w:p>
    <w:p w14:paraId="689A160B" w14:textId="7D22755B" w:rsidR="00864CA0" w:rsidRPr="00864CA0" w:rsidRDefault="00864CA0" w:rsidP="00864CA0">
      <w:pPr>
        <w:pStyle w:val="Body"/>
        <w:rPr>
          <w:rFonts w:ascii="Arial" w:hAnsi="Arial" w:cs="Arial"/>
        </w:rPr>
      </w:pPr>
      <w:r w:rsidRPr="00864CA0">
        <w:rPr>
          <w:rFonts w:ascii="Arial" w:hAnsi="Arial" w:cs="Arial"/>
        </w:rPr>
        <w:t>83.</w:t>
      </w:r>
      <w:r>
        <w:rPr>
          <w:rFonts w:ascii="Arial" w:hAnsi="Arial" w:cs="Arial"/>
        </w:rPr>
        <w:t xml:space="preserve"> </w:t>
      </w:r>
      <w:r w:rsidR="007D7C8C" w:rsidRPr="007D7C8C">
        <w:rPr>
          <w:rFonts w:ascii="Arial" w:hAnsi="Arial" w:cs="Arial"/>
        </w:rPr>
        <w:t xml:space="preserve">Lee, W., </w:t>
      </w:r>
      <w:proofErr w:type="spellStart"/>
      <w:r w:rsidR="007D7C8C" w:rsidRPr="007D7C8C">
        <w:rPr>
          <w:rFonts w:ascii="Arial" w:hAnsi="Arial" w:cs="Arial"/>
        </w:rPr>
        <w:t>Debasitis</w:t>
      </w:r>
      <w:proofErr w:type="spellEnd"/>
      <w:r w:rsidR="007D7C8C" w:rsidRPr="007D7C8C">
        <w:rPr>
          <w:rFonts w:ascii="Arial" w:hAnsi="Arial" w:cs="Arial"/>
        </w:rPr>
        <w:t xml:space="preserve">, J. C., Lee, V. K., Lee, J. H., Fischer, K., Edminster, K., Park, J. K., &amp; Yoo, S. S. (2009). Multi-layered culture of human skin fibroblasts and keratinocytes through three-dimensional freeform fabrication. Biomaterials, 30(8), 1587-1595. </w:t>
      </w:r>
      <w:hyperlink r:id="rId90" w:history="1">
        <w:r w:rsidR="007D7C8C" w:rsidRPr="00AF79D3">
          <w:rPr>
            <w:rStyle w:val="Hyperlink"/>
            <w:rFonts w:ascii="Arial" w:hAnsi="Arial" w:cs="Arial"/>
          </w:rPr>
          <w:t>https://doi.org/10.1016/j.biomaterials.2008.12.009</w:t>
        </w:r>
      </w:hyperlink>
      <w:r w:rsidR="007D7C8C">
        <w:rPr>
          <w:rFonts w:ascii="Arial" w:hAnsi="Arial" w:cs="Arial"/>
        </w:rPr>
        <w:t xml:space="preserve"> </w:t>
      </w:r>
      <w:r w:rsidRPr="00864CA0">
        <w:rPr>
          <w:rFonts w:ascii="Arial" w:hAnsi="Arial" w:cs="Arial"/>
        </w:rPr>
        <w:t>.</w:t>
      </w:r>
    </w:p>
    <w:p w14:paraId="7A4C9463" w14:textId="018A19D8" w:rsidR="00864CA0" w:rsidRPr="00864CA0" w:rsidRDefault="00864CA0" w:rsidP="00864CA0">
      <w:pPr>
        <w:pStyle w:val="Body"/>
        <w:rPr>
          <w:rFonts w:ascii="Arial" w:hAnsi="Arial" w:cs="Arial"/>
        </w:rPr>
      </w:pPr>
      <w:r w:rsidRPr="00864CA0">
        <w:rPr>
          <w:rFonts w:ascii="Arial" w:hAnsi="Arial" w:cs="Arial"/>
        </w:rPr>
        <w:t>84.</w:t>
      </w:r>
      <w:r>
        <w:rPr>
          <w:rFonts w:ascii="Arial" w:hAnsi="Arial" w:cs="Arial"/>
        </w:rPr>
        <w:t xml:space="preserve"> </w:t>
      </w:r>
      <w:r w:rsidR="003B0494" w:rsidRPr="003B0494">
        <w:rPr>
          <w:rFonts w:ascii="Arial" w:hAnsi="Arial" w:cs="Arial"/>
        </w:rPr>
        <w:t xml:space="preserve">Gudapati, H., Dey, M., &amp; </w:t>
      </w:r>
      <w:proofErr w:type="spellStart"/>
      <w:r w:rsidR="003B0494" w:rsidRPr="003B0494">
        <w:rPr>
          <w:rFonts w:ascii="Arial" w:hAnsi="Arial" w:cs="Arial"/>
        </w:rPr>
        <w:t>Ozbolat</w:t>
      </w:r>
      <w:proofErr w:type="spellEnd"/>
      <w:r w:rsidR="003B0494" w:rsidRPr="003B0494">
        <w:rPr>
          <w:rFonts w:ascii="Arial" w:hAnsi="Arial" w:cs="Arial"/>
        </w:rPr>
        <w:t xml:space="preserve">, I. (2016). A comprehensive review on droplet-based bioprinting: Past, present and future. Biomaterials, 102, 20-42. </w:t>
      </w:r>
      <w:hyperlink r:id="rId91" w:history="1">
        <w:r w:rsidR="003B0494" w:rsidRPr="00AF79D3">
          <w:rPr>
            <w:rStyle w:val="Hyperlink"/>
            <w:rFonts w:ascii="Arial" w:hAnsi="Arial" w:cs="Arial"/>
          </w:rPr>
          <w:t>https://doi.org/10.1016/j.biomaterials.2016.06.012</w:t>
        </w:r>
      </w:hyperlink>
      <w:r w:rsidR="003B0494">
        <w:rPr>
          <w:rFonts w:ascii="Arial" w:hAnsi="Arial" w:cs="Arial"/>
        </w:rPr>
        <w:t xml:space="preserve"> </w:t>
      </w:r>
      <w:r w:rsidRPr="00864CA0">
        <w:rPr>
          <w:rFonts w:ascii="Arial" w:hAnsi="Arial" w:cs="Arial"/>
        </w:rPr>
        <w:t>.</w:t>
      </w:r>
    </w:p>
    <w:p w14:paraId="66E5857C" w14:textId="6F6A6614" w:rsidR="00864CA0" w:rsidRPr="00864CA0" w:rsidRDefault="00864CA0" w:rsidP="00864CA0">
      <w:pPr>
        <w:pStyle w:val="Body"/>
        <w:rPr>
          <w:rFonts w:ascii="Arial" w:hAnsi="Arial" w:cs="Arial"/>
        </w:rPr>
      </w:pPr>
      <w:r w:rsidRPr="00864CA0">
        <w:rPr>
          <w:rFonts w:ascii="Arial" w:hAnsi="Arial" w:cs="Arial"/>
        </w:rPr>
        <w:t>85.</w:t>
      </w:r>
      <w:r>
        <w:rPr>
          <w:rFonts w:ascii="Arial" w:hAnsi="Arial" w:cs="Arial"/>
        </w:rPr>
        <w:t xml:space="preserve"> </w:t>
      </w:r>
      <w:r w:rsidR="004F498D" w:rsidRPr="004F498D">
        <w:rPr>
          <w:rFonts w:ascii="Arial" w:hAnsi="Arial" w:cs="Arial"/>
        </w:rPr>
        <w:t xml:space="preserve">Koch, L., </w:t>
      </w:r>
      <w:proofErr w:type="spellStart"/>
      <w:r w:rsidR="004F498D" w:rsidRPr="004F498D">
        <w:rPr>
          <w:rFonts w:ascii="Arial" w:hAnsi="Arial" w:cs="Arial"/>
        </w:rPr>
        <w:t>Deiwick</w:t>
      </w:r>
      <w:proofErr w:type="spellEnd"/>
      <w:r w:rsidR="004F498D" w:rsidRPr="004F498D">
        <w:rPr>
          <w:rFonts w:ascii="Arial" w:hAnsi="Arial" w:cs="Arial"/>
        </w:rPr>
        <w:t xml:space="preserve">, A., Schlie, S., Michael, S., Gruene, M., Coger, V., Zychlinski, D., Schambach, A., Reimers, K., Vogt, P. M., &amp; Chichkov, B. (2012). Skin tissue generation by laser cell printing. Biotechnology and Bioengineering, 109(7), 1855-1863. </w:t>
      </w:r>
      <w:hyperlink r:id="rId92" w:history="1">
        <w:r w:rsidR="004F498D" w:rsidRPr="00AF79D3">
          <w:rPr>
            <w:rStyle w:val="Hyperlink"/>
            <w:rFonts w:ascii="Arial" w:hAnsi="Arial" w:cs="Arial"/>
          </w:rPr>
          <w:t>https://doi.org/10.1002/bit.24455</w:t>
        </w:r>
      </w:hyperlink>
      <w:r w:rsidR="004F498D">
        <w:rPr>
          <w:rFonts w:ascii="Arial" w:hAnsi="Arial" w:cs="Arial"/>
        </w:rPr>
        <w:t xml:space="preserve"> </w:t>
      </w:r>
      <w:r w:rsidRPr="00864CA0">
        <w:rPr>
          <w:rFonts w:ascii="Arial" w:hAnsi="Arial" w:cs="Arial"/>
        </w:rPr>
        <w:t>.</w:t>
      </w:r>
    </w:p>
    <w:p w14:paraId="0E3ED911" w14:textId="1C106F17" w:rsidR="00864CA0" w:rsidRPr="00864CA0" w:rsidRDefault="00864CA0" w:rsidP="00864CA0">
      <w:pPr>
        <w:pStyle w:val="Body"/>
        <w:rPr>
          <w:rFonts w:ascii="Arial" w:hAnsi="Arial" w:cs="Arial"/>
        </w:rPr>
      </w:pPr>
      <w:r w:rsidRPr="00864CA0">
        <w:rPr>
          <w:rFonts w:ascii="Arial" w:hAnsi="Arial" w:cs="Arial"/>
        </w:rPr>
        <w:t>86.</w:t>
      </w:r>
      <w:r>
        <w:rPr>
          <w:rFonts w:ascii="Arial" w:hAnsi="Arial" w:cs="Arial"/>
        </w:rPr>
        <w:t xml:space="preserve"> </w:t>
      </w:r>
      <w:r w:rsidR="00C72975" w:rsidRPr="00C72975">
        <w:rPr>
          <w:rFonts w:ascii="Arial" w:hAnsi="Arial" w:cs="Arial"/>
        </w:rPr>
        <w:t xml:space="preserve">Yue, K., Trujillo-de Santiago, G., Alvarez, M. M., </w:t>
      </w:r>
      <w:proofErr w:type="spellStart"/>
      <w:r w:rsidR="00C72975" w:rsidRPr="00C72975">
        <w:rPr>
          <w:rFonts w:ascii="Arial" w:hAnsi="Arial" w:cs="Arial"/>
        </w:rPr>
        <w:t>Tamayol</w:t>
      </w:r>
      <w:proofErr w:type="spellEnd"/>
      <w:r w:rsidR="00C72975" w:rsidRPr="00C72975">
        <w:rPr>
          <w:rFonts w:ascii="Arial" w:hAnsi="Arial" w:cs="Arial"/>
        </w:rPr>
        <w:t xml:space="preserve">, A., </w:t>
      </w:r>
      <w:proofErr w:type="spellStart"/>
      <w:r w:rsidR="00C72975" w:rsidRPr="00C72975">
        <w:rPr>
          <w:rFonts w:ascii="Arial" w:hAnsi="Arial" w:cs="Arial"/>
        </w:rPr>
        <w:t>Annabi</w:t>
      </w:r>
      <w:proofErr w:type="spellEnd"/>
      <w:r w:rsidR="00C72975" w:rsidRPr="00C72975">
        <w:rPr>
          <w:rFonts w:ascii="Arial" w:hAnsi="Arial" w:cs="Arial"/>
        </w:rPr>
        <w:t xml:space="preserve">, N., &amp; </w:t>
      </w:r>
      <w:proofErr w:type="spellStart"/>
      <w:r w:rsidR="00C72975" w:rsidRPr="00C72975">
        <w:rPr>
          <w:rFonts w:ascii="Arial" w:hAnsi="Arial" w:cs="Arial"/>
        </w:rPr>
        <w:t>Khademhosseini</w:t>
      </w:r>
      <w:proofErr w:type="spellEnd"/>
      <w:r w:rsidR="00C72975" w:rsidRPr="00C72975">
        <w:rPr>
          <w:rFonts w:ascii="Arial" w:hAnsi="Arial" w:cs="Arial"/>
        </w:rPr>
        <w:t xml:space="preserve">, A. (2015). Synthesis, properties, and biomedical applications of gelatin methacryloyl (GelMA) hydrogels. Biomaterials, 73, 254-271. </w:t>
      </w:r>
      <w:hyperlink r:id="rId93" w:history="1">
        <w:r w:rsidR="00C72975" w:rsidRPr="00AF79D3">
          <w:rPr>
            <w:rStyle w:val="Hyperlink"/>
            <w:rFonts w:ascii="Arial" w:hAnsi="Arial" w:cs="Arial"/>
          </w:rPr>
          <w:t>https://doi.org/10.1016/j.biomaterials.2015.08.045</w:t>
        </w:r>
      </w:hyperlink>
      <w:r w:rsidR="00C72975">
        <w:rPr>
          <w:rFonts w:ascii="Arial" w:hAnsi="Arial" w:cs="Arial"/>
        </w:rPr>
        <w:t xml:space="preserve"> </w:t>
      </w:r>
      <w:r w:rsidRPr="00864CA0">
        <w:rPr>
          <w:rFonts w:ascii="Arial" w:hAnsi="Arial" w:cs="Arial"/>
        </w:rPr>
        <w:t>.</w:t>
      </w:r>
    </w:p>
    <w:p w14:paraId="1C1A0DB0" w14:textId="17D7AC94" w:rsidR="00864CA0" w:rsidRPr="00864CA0" w:rsidRDefault="00864CA0" w:rsidP="00864CA0">
      <w:pPr>
        <w:pStyle w:val="Body"/>
        <w:rPr>
          <w:rFonts w:ascii="Arial" w:hAnsi="Arial" w:cs="Arial"/>
        </w:rPr>
      </w:pPr>
      <w:r w:rsidRPr="00864CA0">
        <w:rPr>
          <w:rFonts w:ascii="Arial" w:hAnsi="Arial" w:cs="Arial"/>
        </w:rPr>
        <w:t>87.</w:t>
      </w:r>
      <w:r>
        <w:rPr>
          <w:rFonts w:ascii="Arial" w:hAnsi="Arial" w:cs="Arial"/>
        </w:rPr>
        <w:t xml:space="preserve"> </w:t>
      </w:r>
      <w:r w:rsidR="000540DD" w:rsidRPr="000540DD">
        <w:rPr>
          <w:rFonts w:ascii="Arial" w:hAnsi="Arial" w:cs="Arial"/>
        </w:rPr>
        <w:t xml:space="preserve">Zhang, Y. S., </w:t>
      </w:r>
      <w:proofErr w:type="spellStart"/>
      <w:r w:rsidR="000540DD" w:rsidRPr="000540DD">
        <w:rPr>
          <w:rFonts w:ascii="Arial" w:hAnsi="Arial" w:cs="Arial"/>
        </w:rPr>
        <w:t>Arneri</w:t>
      </w:r>
      <w:proofErr w:type="spellEnd"/>
      <w:r w:rsidR="000540DD" w:rsidRPr="000540DD">
        <w:rPr>
          <w:rFonts w:ascii="Arial" w:hAnsi="Arial" w:cs="Arial"/>
        </w:rPr>
        <w:t xml:space="preserve">, A., </w:t>
      </w:r>
      <w:proofErr w:type="spellStart"/>
      <w:r w:rsidR="000540DD" w:rsidRPr="000540DD">
        <w:rPr>
          <w:rFonts w:ascii="Arial" w:hAnsi="Arial" w:cs="Arial"/>
        </w:rPr>
        <w:t>Bersini</w:t>
      </w:r>
      <w:proofErr w:type="spellEnd"/>
      <w:r w:rsidR="000540DD" w:rsidRPr="000540DD">
        <w:rPr>
          <w:rFonts w:ascii="Arial" w:hAnsi="Arial" w:cs="Arial"/>
        </w:rPr>
        <w:t xml:space="preserve">, S., Kim, S. H., Lee, S. J., Lee, K., Shin, S. R., Lee, K. G., Jang, K. J., Kim, K. H., </w:t>
      </w:r>
      <w:proofErr w:type="spellStart"/>
      <w:r w:rsidR="000540DD" w:rsidRPr="000540DD">
        <w:rPr>
          <w:rFonts w:ascii="Arial" w:hAnsi="Arial" w:cs="Arial"/>
        </w:rPr>
        <w:t>Dokmeci</w:t>
      </w:r>
      <w:proofErr w:type="spellEnd"/>
      <w:r w:rsidR="000540DD" w:rsidRPr="000540DD">
        <w:rPr>
          <w:rFonts w:ascii="Arial" w:hAnsi="Arial" w:cs="Arial"/>
        </w:rPr>
        <w:t xml:space="preserve">, M. R., &amp; </w:t>
      </w:r>
      <w:proofErr w:type="spellStart"/>
      <w:r w:rsidR="000540DD" w:rsidRPr="000540DD">
        <w:rPr>
          <w:rFonts w:ascii="Arial" w:hAnsi="Arial" w:cs="Arial"/>
        </w:rPr>
        <w:t>Khademhosseini</w:t>
      </w:r>
      <w:proofErr w:type="spellEnd"/>
      <w:r w:rsidR="000540DD" w:rsidRPr="000540DD">
        <w:rPr>
          <w:rFonts w:ascii="Arial" w:hAnsi="Arial" w:cs="Arial"/>
        </w:rPr>
        <w:t xml:space="preserve">, A. (2016). Bioprinting 3D </w:t>
      </w:r>
      <w:proofErr w:type="spellStart"/>
      <w:r w:rsidR="000540DD" w:rsidRPr="000540DD">
        <w:rPr>
          <w:rFonts w:ascii="Arial" w:hAnsi="Arial" w:cs="Arial"/>
        </w:rPr>
        <w:t>microfibrous</w:t>
      </w:r>
      <w:proofErr w:type="spellEnd"/>
      <w:r w:rsidR="000540DD" w:rsidRPr="000540DD">
        <w:rPr>
          <w:rFonts w:ascii="Arial" w:hAnsi="Arial" w:cs="Arial"/>
        </w:rPr>
        <w:t xml:space="preserve"> scaffolds for engineering endothelialized myocardium and heart-on-a-chip. Biomaterials, 110, 45-59. </w:t>
      </w:r>
      <w:hyperlink r:id="rId94" w:history="1">
        <w:r w:rsidR="000540DD" w:rsidRPr="00AF79D3">
          <w:rPr>
            <w:rStyle w:val="Hyperlink"/>
            <w:rFonts w:ascii="Arial" w:hAnsi="Arial" w:cs="Arial"/>
          </w:rPr>
          <w:t>https://doi.org/10.1016/j.biomaterials.2016.09.003</w:t>
        </w:r>
      </w:hyperlink>
      <w:r w:rsidR="000540DD">
        <w:rPr>
          <w:rFonts w:ascii="Arial" w:hAnsi="Arial" w:cs="Arial"/>
        </w:rPr>
        <w:t xml:space="preserve"> </w:t>
      </w:r>
      <w:r w:rsidRPr="00864CA0">
        <w:rPr>
          <w:rFonts w:ascii="Arial" w:hAnsi="Arial" w:cs="Arial"/>
        </w:rPr>
        <w:t>.</w:t>
      </w:r>
    </w:p>
    <w:p w14:paraId="2E8BC85E" w14:textId="6AEE9C3A" w:rsidR="00864CA0" w:rsidRPr="00864CA0" w:rsidRDefault="00864CA0" w:rsidP="00864CA0">
      <w:pPr>
        <w:pStyle w:val="Body"/>
        <w:rPr>
          <w:rFonts w:ascii="Arial" w:hAnsi="Arial" w:cs="Arial"/>
        </w:rPr>
      </w:pPr>
      <w:r w:rsidRPr="00864CA0">
        <w:rPr>
          <w:rFonts w:ascii="Arial" w:hAnsi="Arial" w:cs="Arial"/>
        </w:rPr>
        <w:t>88.</w:t>
      </w:r>
      <w:r>
        <w:rPr>
          <w:rFonts w:ascii="Arial" w:hAnsi="Arial" w:cs="Arial"/>
        </w:rPr>
        <w:t xml:space="preserve"> </w:t>
      </w:r>
      <w:r w:rsidR="008A7BEF" w:rsidRPr="008A7BEF">
        <w:rPr>
          <w:rFonts w:ascii="Arial" w:hAnsi="Arial" w:cs="Arial"/>
        </w:rPr>
        <w:t xml:space="preserve">Huh, D., Matthews, B. D., </w:t>
      </w:r>
      <w:proofErr w:type="spellStart"/>
      <w:r w:rsidR="008A7BEF" w:rsidRPr="008A7BEF">
        <w:rPr>
          <w:rFonts w:ascii="Arial" w:hAnsi="Arial" w:cs="Arial"/>
        </w:rPr>
        <w:t>Mammoto</w:t>
      </w:r>
      <w:proofErr w:type="spellEnd"/>
      <w:r w:rsidR="008A7BEF" w:rsidRPr="008A7BEF">
        <w:rPr>
          <w:rFonts w:ascii="Arial" w:hAnsi="Arial" w:cs="Arial"/>
        </w:rPr>
        <w:t xml:space="preserve">, A., Montoya-Zavala, M., Hsin, H. Y., &amp; Ingber, D. E. (2010). Reconstituting organ-level lung functions on a chip. *Science*, *328*(5986), 1662-1668. </w:t>
      </w:r>
      <w:hyperlink r:id="rId95" w:history="1">
        <w:r w:rsidR="008A7BEF" w:rsidRPr="00AF79D3">
          <w:rPr>
            <w:rStyle w:val="Hyperlink"/>
            <w:rFonts w:ascii="Arial" w:hAnsi="Arial" w:cs="Arial"/>
          </w:rPr>
          <w:t>https://doi.org/10.1126/science.1188302</w:t>
        </w:r>
      </w:hyperlink>
      <w:r w:rsidR="008A7BEF">
        <w:rPr>
          <w:rFonts w:ascii="Arial" w:hAnsi="Arial" w:cs="Arial"/>
        </w:rPr>
        <w:t xml:space="preserve"> </w:t>
      </w:r>
    </w:p>
    <w:p w14:paraId="4392972A" w14:textId="00BBC488" w:rsidR="00864CA0" w:rsidRPr="00864CA0" w:rsidRDefault="00864CA0" w:rsidP="00864CA0">
      <w:pPr>
        <w:pStyle w:val="Body"/>
        <w:rPr>
          <w:rFonts w:ascii="Arial" w:hAnsi="Arial" w:cs="Arial"/>
        </w:rPr>
      </w:pPr>
      <w:r w:rsidRPr="00864CA0">
        <w:rPr>
          <w:rFonts w:ascii="Arial" w:hAnsi="Arial" w:cs="Arial"/>
        </w:rPr>
        <w:lastRenderedPageBreak/>
        <w:t>89.</w:t>
      </w:r>
      <w:r>
        <w:rPr>
          <w:rFonts w:ascii="Arial" w:hAnsi="Arial" w:cs="Arial"/>
        </w:rPr>
        <w:t xml:space="preserve"> </w:t>
      </w:r>
      <w:r w:rsidR="00C01DE5" w:rsidRPr="00C01DE5">
        <w:rPr>
          <w:rFonts w:ascii="Arial" w:hAnsi="Arial" w:cs="Arial"/>
        </w:rPr>
        <w:t xml:space="preserve">Esch, E. W., </w:t>
      </w:r>
      <w:proofErr w:type="spellStart"/>
      <w:r w:rsidR="00C01DE5" w:rsidRPr="00C01DE5">
        <w:rPr>
          <w:rFonts w:ascii="Arial" w:hAnsi="Arial" w:cs="Arial"/>
        </w:rPr>
        <w:t>Bahinski</w:t>
      </w:r>
      <w:proofErr w:type="spellEnd"/>
      <w:r w:rsidR="00C01DE5" w:rsidRPr="00C01DE5">
        <w:rPr>
          <w:rFonts w:ascii="Arial" w:hAnsi="Arial" w:cs="Arial"/>
        </w:rPr>
        <w:t xml:space="preserve">, A., &amp; Huh, D. (2015). Organs-on-chips at the frontiers of drug discovery. Nature Reviews Drug Discovery, 14(4), 248–260. </w:t>
      </w:r>
      <w:hyperlink r:id="rId96" w:history="1">
        <w:r w:rsidR="00C01DE5" w:rsidRPr="00AF79D3">
          <w:rPr>
            <w:rStyle w:val="Hyperlink"/>
            <w:rFonts w:ascii="Arial" w:hAnsi="Arial" w:cs="Arial"/>
          </w:rPr>
          <w:t>https://doi.org/10.1038/nrd4539</w:t>
        </w:r>
      </w:hyperlink>
      <w:r w:rsidRPr="00864CA0">
        <w:rPr>
          <w:rFonts w:ascii="Arial" w:hAnsi="Arial" w:cs="Arial"/>
        </w:rPr>
        <w:t>.</w:t>
      </w:r>
    </w:p>
    <w:p w14:paraId="69BDF801" w14:textId="73049A9F" w:rsidR="00864CA0" w:rsidRPr="00864CA0" w:rsidRDefault="00864CA0" w:rsidP="00864CA0">
      <w:pPr>
        <w:pStyle w:val="Body"/>
        <w:rPr>
          <w:rFonts w:ascii="Arial" w:hAnsi="Arial" w:cs="Arial"/>
        </w:rPr>
      </w:pPr>
      <w:r w:rsidRPr="00864CA0">
        <w:rPr>
          <w:rFonts w:ascii="Arial" w:hAnsi="Arial" w:cs="Arial"/>
        </w:rPr>
        <w:t>90.</w:t>
      </w:r>
      <w:r>
        <w:rPr>
          <w:rFonts w:ascii="Arial" w:hAnsi="Arial" w:cs="Arial"/>
        </w:rPr>
        <w:t xml:space="preserve"> </w:t>
      </w:r>
      <w:proofErr w:type="spellStart"/>
      <w:r w:rsidR="00013DAD" w:rsidRPr="00013DAD">
        <w:rPr>
          <w:rFonts w:ascii="Arial" w:hAnsi="Arial" w:cs="Arial"/>
        </w:rPr>
        <w:t>Nashimoto</w:t>
      </w:r>
      <w:proofErr w:type="spellEnd"/>
      <w:r w:rsidR="00013DAD" w:rsidRPr="00013DAD">
        <w:rPr>
          <w:rFonts w:ascii="Arial" w:hAnsi="Arial" w:cs="Arial"/>
        </w:rPr>
        <w:t xml:space="preserve">, Y., Okada, R., Hanada, S., Arima, Y., Nishiyama, K., Miura, T., &amp; Yokokawa, R. (2020). Vascularized cancer on a chip: The effect of perfusion on growth and drug delivery of tumor spheroid. Biomaterials, 229, 119547. </w:t>
      </w:r>
      <w:hyperlink r:id="rId97" w:history="1">
        <w:r w:rsidR="00013DAD" w:rsidRPr="00AF79D3">
          <w:rPr>
            <w:rStyle w:val="Hyperlink"/>
            <w:rFonts w:ascii="Arial" w:hAnsi="Arial" w:cs="Arial"/>
          </w:rPr>
          <w:t>https://doi.org/10.1016/j.biomaterials.2019.119547</w:t>
        </w:r>
      </w:hyperlink>
      <w:r w:rsidR="00013DAD">
        <w:rPr>
          <w:rFonts w:ascii="Arial" w:hAnsi="Arial" w:cs="Arial"/>
        </w:rPr>
        <w:t xml:space="preserve"> </w:t>
      </w:r>
      <w:r w:rsidRPr="00864CA0">
        <w:rPr>
          <w:rFonts w:ascii="Arial" w:hAnsi="Arial" w:cs="Arial"/>
        </w:rPr>
        <w:t>.</w:t>
      </w:r>
    </w:p>
    <w:p w14:paraId="37E01EB9" w14:textId="49CF9E2F" w:rsidR="00864CA0" w:rsidRPr="00864CA0" w:rsidRDefault="00864CA0" w:rsidP="00864CA0">
      <w:pPr>
        <w:pStyle w:val="Body"/>
        <w:rPr>
          <w:rFonts w:ascii="Arial" w:hAnsi="Arial" w:cs="Arial"/>
        </w:rPr>
      </w:pPr>
      <w:r w:rsidRPr="00864CA0">
        <w:rPr>
          <w:rFonts w:ascii="Arial" w:hAnsi="Arial" w:cs="Arial"/>
        </w:rPr>
        <w:t>91.</w:t>
      </w:r>
      <w:r>
        <w:rPr>
          <w:rFonts w:ascii="Arial" w:hAnsi="Arial" w:cs="Arial"/>
        </w:rPr>
        <w:t xml:space="preserve"> </w:t>
      </w:r>
      <w:r w:rsidR="007328A1" w:rsidRPr="007328A1">
        <w:rPr>
          <w:rFonts w:ascii="Arial" w:hAnsi="Arial" w:cs="Arial"/>
        </w:rPr>
        <w:t xml:space="preserve">Shepherd, S. J., </w:t>
      </w:r>
      <w:proofErr w:type="spellStart"/>
      <w:r w:rsidR="007328A1" w:rsidRPr="007328A1">
        <w:rPr>
          <w:rFonts w:ascii="Arial" w:hAnsi="Arial" w:cs="Arial"/>
        </w:rPr>
        <w:t>Issadore</w:t>
      </w:r>
      <w:proofErr w:type="spellEnd"/>
      <w:r w:rsidR="007328A1" w:rsidRPr="007328A1">
        <w:rPr>
          <w:rFonts w:ascii="Arial" w:hAnsi="Arial" w:cs="Arial"/>
        </w:rPr>
        <w:t xml:space="preserve">, D., &amp; Mitchell, M. J. (2021). Microfluidic formulation of nanoparticles for biomedical applications. Biomaterials, 274, 120826. </w:t>
      </w:r>
      <w:hyperlink r:id="rId98" w:history="1">
        <w:r w:rsidR="007328A1" w:rsidRPr="00AF79D3">
          <w:rPr>
            <w:rStyle w:val="Hyperlink"/>
            <w:rFonts w:ascii="Arial" w:hAnsi="Arial" w:cs="Arial"/>
          </w:rPr>
          <w:t>https://doi.org/10.1016/j.biomaterials.2021.120826</w:t>
        </w:r>
      </w:hyperlink>
      <w:r w:rsidR="007328A1">
        <w:rPr>
          <w:rFonts w:ascii="Arial" w:hAnsi="Arial" w:cs="Arial"/>
        </w:rPr>
        <w:t xml:space="preserve"> </w:t>
      </w:r>
      <w:r w:rsidRPr="00864CA0">
        <w:rPr>
          <w:rFonts w:ascii="Arial" w:hAnsi="Arial" w:cs="Arial"/>
        </w:rPr>
        <w:t>.</w:t>
      </w:r>
    </w:p>
    <w:p w14:paraId="2C076950" w14:textId="5E6E4A5C" w:rsidR="00864CA0" w:rsidRPr="00864CA0" w:rsidRDefault="00864CA0" w:rsidP="00864CA0">
      <w:pPr>
        <w:pStyle w:val="Body"/>
        <w:rPr>
          <w:rFonts w:ascii="Arial" w:hAnsi="Arial" w:cs="Arial"/>
        </w:rPr>
      </w:pPr>
      <w:r w:rsidRPr="00864CA0">
        <w:rPr>
          <w:rFonts w:ascii="Arial" w:hAnsi="Arial" w:cs="Arial"/>
        </w:rPr>
        <w:t>92.</w:t>
      </w:r>
      <w:r>
        <w:rPr>
          <w:rFonts w:ascii="Arial" w:hAnsi="Arial" w:cs="Arial"/>
        </w:rPr>
        <w:t xml:space="preserve"> </w:t>
      </w:r>
      <w:r w:rsidR="009928F1" w:rsidRPr="009928F1">
        <w:rPr>
          <w:rFonts w:ascii="Arial" w:hAnsi="Arial" w:cs="Arial"/>
        </w:rPr>
        <w:t xml:space="preserve">Kim, H. J., Huh, D., Hamilton, G., &amp; Ingber, D. E. (2012). Human gut-on-a-chip inhabited by microbial flora that experiences intestinal peristalsis-like motions and flow. Lab on a Chip, 12(12), 2165-2174. </w:t>
      </w:r>
      <w:hyperlink r:id="rId99" w:history="1">
        <w:r w:rsidR="009928F1" w:rsidRPr="00AF79D3">
          <w:rPr>
            <w:rStyle w:val="Hyperlink"/>
            <w:rFonts w:ascii="Arial" w:hAnsi="Arial" w:cs="Arial"/>
          </w:rPr>
          <w:t>https://doi.org/10.1039/c2lc40074j</w:t>
        </w:r>
      </w:hyperlink>
      <w:r w:rsidR="009928F1">
        <w:rPr>
          <w:rFonts w:ascii="Arial" w:hAnsi="Arial" w:cs="Arial"/>
        </w:rPr>
        <w:t xml:space="preserve"> </w:t>
      </w:r>
      <w:r w:rsidRPr="00864CA0">
        <w:rPr>
          <w:rFonts w:ascii="Arial" w:hAnsi="Arial" w:cs="Arial"/>
        </w:rPr>
        <w:t>.</w:t>
      </w:r>
    </w:p>
    <w:p w14:paraId="335FEE31" w14:textId="6258EB79" w:rsidR="00864CA0" w:rsidRPr="00864CA0" w:rsidRDefault="00864CA0" w:rsidP="00864CA0">
      <w:pPr>
        <w:pStyle w:val="Body"/>
        <w:rPr>
          <w:rFonts w:ascii="Arial" w:hAnsi="Arial" w:cs="Arial"/>
        </w:rPr>
      </w:pPr>
      <w:r w:rsidRPr="00864CA0">
        <w:rPr>
          <w:rFonts w:ascii="Arial" w:hAnsi="Arial" w:cs="Arial"/>
        </w:rPr>
        <w:t>93.</w:t>
      </w:r>
      <w:r>
        <w:rPr>
          <w:rFonts w:ascii="Arial" w:hAnsi="Arial" w:cs="Arial"/>
        </w:rPr>
        <w:t xml:space="preserve"> </w:t>
      </w:r>
      <w:r w:rsidR="006B7A01" w:rsidRPr="006B7A01">
        <w:rPr>
          <w:rFonts w:ascii="Arial" w:hAnsi="Arial" w:cs="Arial"/>
        </w:rPr>
        <w:t xml:space="preserve">Cauli, E., Polidoro, M. A., Marzorati, S., Bernardi, C., Rasponi, M., &amp; </w:t>
      </w:r>
      <w:proofErr w:type="spellStart"/>
      <w:r w:rsidR="006B7A01" w:rsidRPr="006B7A01">
        <w:rPr>
          <w:rFonts w:ascii="Arial" w:hAnsi="Arial" w:cs="Arial"/>
        </w:rPr>
        <w:t>Lleo</w:t>
      </w:r>
      <w:proofErr w:type="spellEnd"/>
      <w:r w:rsidR="006B7A01" w:rsidRPr="006B7A01">
        <w:rPr>
          <w:rFonts w:ascii="Arial" w:hAnsi="Arial" w:cs="Arial"/>
        </w:rPr>
        <w:t xml:space="preserve">, A. (2023). Cancer-on-chip: a 3D model for the study of the tumor microenvironment. Journal of Biological Engineering, 17(1), 53. </w:t>
      </w:r>
      <w:hyperlink r:id="rId100" w:history="1">
        <w:r w:rsidR="006B7A01" w:rsidRPr="00AF79D3">
          <w:rPr>
            <w:rStyle w:val="Hyperlink"/>
            <w:rFonts w:ascii="Arial" w:hAnsi="Arial" w:cs="Arial"/>
          </w:rPr>
          <w:t>https://doi.org/10.1186/s13036-023-00372-6</w:t>
        </w:r>
      </w:hyperlink>
      <w:r w:rsidR="006B7A01">
        <w:rPr>
          <w:rFonts w:ascii="Arial" w:hAnsi="Arial" w:cs="Arial"/>
        </w:rPr>
        <w:t xml:space="preserve"> </w:t>
      </w:r>
    </w:p>
    <w:p w14:paraId="02419643" w14:textId="1CF48B6F" w:rsidR="00864CA0" w:rsidRPr="00864CA0" w:rsidRDefault="00864CA0" w:rsidP="00864CA0">
      <w:pPr>
        <w:pStyle w:val="Body"/>
        <w:rPr>
          <w:rFonts w:ascii="Arial" w:hAnsi="Arial" w:cs="Arial"/>
        </w:rPr>
      </w:pPr>
      <w:r w:rsidRPr="00864CA0">
        <w:rPr>
          <w:rFonts w:ascii="Arial" w:hAnsi="Arial" w:cs="Arial"/>
        </w:rPr>
        <w:t>94.</w:t>
      </w:r>
      <w:r>
        <w:rPr>
          <w:rFonts w:ascii="Arial" w:hAnsi="Arial" w:cs="Arial"/>
        </w:rPr>
        <w:t xml:space="preserve"> </w:t>
      </w:r>
      <w:r w:rsidR="005E3C00" w:rsidRPr="005E3C00">
        <w:rPr>
          <w:rFonts w:ascii="Arial" w:hAnsi="Arial" w:cs="Arial"/>
        </w:rPr>
        <w:t xml:space="preserve">Tao, J. Y., Zhu, J., Gao, Y. Q., Jiang, M., &amp; Yin, H. (2025). Narrative review of 3D bioprinting for the construction of in vitro tumor models: present and prospects. Translational Cancer Research, 14(2), 1479-1491. </w:t>
      </w:r>
      <w:hyperlink r:id="rId101" w:history="1">
        <w:r w:rsidR="005E3C00" w:rsidRPr="00AF79D3">
          <w:rPr>
            <w:rStyle w:val="Hyperlink"/>
            <w:rFonts w:ascii="Arial" w:hAnsi="Arial" w:cs="Arial"/>
          </w:rPr>
          <w:t>https://doi.org/10.21037/tcr-2025-128</w:t>
        </w:r>
      </w:hyperlink>
      <w:r w:rsidR="005E3C00">
        <w:rPr>
          <w:rFonts w:ascii="Arial" w:hAnsi="Arial" w:cs="Arial"/>
        </w:rPr>
        <w:t xml:space="preserve"> </w:t>
      </w:r>
    </w:p>
    <w:p w14:paraId="292E2E41" w14:textId="197027E3" w:rsidR="00864CA0" w:rsidRPr="00864CA0" w:rsidRDefault="00864CA0" w:rsidP="00864CA0">
      <w:pPr>
        <w:pStyle w:val="Body"/>
        <w:rPr>
          <w:rFonts w:ascii="Arial" w:hAnsi="Arial" w:cs="Arial"/>
        </w:rPr>
      </w:pPr>
      <w:r w:rsidRPr="00864CA0">
        <w:rPr>
          <w:rFonts w:ascii="Arial" w:hAnsi="Arial" w:cs="Arial"/>
        </w:rPr>
        <w:t>95.</w:t>
      </w:r>
      <w:r>
        <w:rPr>
          <w:rFonts w:ascii="Arial" w:hAnsi="Arial" w:cs="Arial"/>
        </w:rPr>
        <w:t xml:space="preserve"> </w:t>
      </w:r>
      <w:r w:rsidR="00D10668" w:rsidRPr="00D10668">
        <w:rPr>
          <w:rFonts w:ascii="Arial" w:hAnsi="Arial" w:cs="Arial"/>
        </w:rPr>
        <w:t xml:space="preserve">Monteiro, M. V., Zhang, Y. S., Gaspar, V. M., &amp; Mano, J. F. (2022). 3D-bioprinted cancer-on-a-chip: level-up organotypic in vitro models. Trends in Biotechnology, 40(4), 432-447. </w:t>
      </w:r>
      <w:hyperlink r:id="rId102" w:history="1">
        <w:r w:rsidR="00D10668" w:rsidRPr="00AF79D3">
          <w:rPr>
            <w:rStyle w:val="Hyperlink"/>
            <w:rFonts w:ascii="Arial" w:hAnsi="Arial" w:cs="Arial"/>
          </w:rPr>
          <w:t>https://doi.org/10.1016/j.tibtech.2021.08.007</w:t>
        </w:r>
      </w:hyperlink>
      <w:r w:rsidR="00D10668">
        <w:rPr>
          <w:rFonts w:ascii="Arial" w:hAnsi="Arial" w:cs="Arial"/>
        </w:rPr>
        <w:t xml:space="preserve"> </w:t>
      </w:r>
    </w:p>
    <w:p w14:paraId="6BB14A01" w14:textId="0B4F83B7" w:rsidR="00864CA0" w:rsidRPr="00864CA0" w:rsidRDefault="00864CA0" w:rsidP="00864CA0">
      <w:pPr>
        <w:pStyle w:val="Body"/>
        <w:rPr>
          <w:rFonts w:ascii="Arial" w:hAnsi="Arial" w:cs="Arial"/>
        </w:rPr>
      </w:pPr>
      <w:r w:rsidRPr="00864CA0">
        <w:rPr>
          <w:rFonts w:ascii="Arial" w:hAnsi="Arial" w:cs="Arial"/>
        </w:rPr>
        <w:t>96.</w:t>
      </w:r>
      <w:r>
        <w:rPr>
          <w:rFonts w:ascii="Arial" w:hAnsi="Arial" w:cs="Arial"/>
        </w:rPr>
        <w:t xml:space="preserve"> </w:t>
      </w:r>
      <w:r w:rsidRPr="00864CA0">
        <w:rPr>
          <w:rFonts w:ascii="Arial" w:hAnsi="Arial" w:cs="Arial"/>
        </w:rPr>
        <w:t>Bioprinting and its use in tumor on a chip technology for cancer drug screening. Int J Bioprinting. 2022;8(4):603.</w:t>
      </w:r>
    </w:p>
    <w:p w14:paraId="0B7109C5" w14:textId="0A904ED6" w:rsidR="00864CA0" w:rsidRPr="00864CA0" w:rsidRDefault="00864CA0" w:rsidP="00864CA0">
      <w:pPr>
        <w:pStyle w:val="Body"/>
        <w:rPr>
          <w:rFonts w:ascii="Arial" w:hAnsi="Arial" w:cs="Arial"/>
        </w:rPr>
      </w:pPr>
      <w:r w:rsidRPr="00864CA0">
        <w:rPr>
          <w:rFonts w:ascii="Arial" w:hAnsi="Arial" w:cs="Arial"/>
        </w:rPr>
        <w:t>97.</w:t>
      </w:r>
      <w:r>
        <w:rPr>
          <w:rFonts w:ascii="Arial" w:hAnsi="Arial" w:cs="Arial"/>
        </w:rPr>
        <w:t xml:space="preserve"> </w:t>
      </w:r>
      <w:r w:rsidR="00F22068" w:rsidRPr="00F22068">
        <w:rPr>
          <w:rFonts w:ascii="Arial" w:hAnsi="Arial" w:cs="Arial"/>
        </w:rPr>
        <w:t xml:space="preserve">Huang, C. B. X., &amp; Tu, T.-Y. (2023). Recent advances in vascularized tumor-on-a-chip. Front Oncol, 13, 1150332. </w:t>
      </w:r>
      <w:hyperlink r:id="rId103" w:history="1">
        <w:r w:rsidR="00F22068" w:rsidRPr="00AF79D3">
          <w:rPr>
            <w:rStyle w:val="Hyperlink"/>
            <w:rFonts w:ascii="Arial" w:hAnsi="Arial" w:cs="Arial"/>
          </w:rPr>
          <w:t>https://doi.org/10.3389/fonc.2023.1150332</w:t>
        </w:r>
      </w:hyperlink>
      <w:r w:rsidR="00F22068">
        <w:rPr>
          <w:rFonts w:ascii="Arial" w:hAnsi="Arial" w:cs="Arial"/>
        </w:rPr>
        <w:t xml:space="preserve"> </w:t>
      </w:r>
      <w:r w:rsidRPr="00864CA0">
        <w:rPr>
          <w:rFonts w:ascii="Arial" w:hAnsi="Arial" w:cs="Arial"/>
        </w:rPr>
        <w:t>.</w:t>
      </w:r>
    </w:p>
    <w:p w14:paraId="0A90725B" w14:textId="1C03134C" w:rsidR="00864CA0" w:rsidRPr="00864CA0" w:rsidRDefault="00864CA0" w:rsidP="00864CA0">
      <w:pPr>
        <w:pStyle w:val="Body"/>
        <w:rPr>
          <w:rFonts w:ascii="Arial" w:hAnsi="Arial" w:cs="Arial"/>
        </w:rPr>
      </w:pPr>
      <w:r w:rsidRPr="00864CA0">
        <w:rPr>
          <w:rFonts w:ascii="Arial" w:hAnsi="Arial" w:cs="Arial"/>
        </w:rPr>
        <w:t>98.</w:t>
      </w:r>
      <w:r>
        <w:rPr>
          <w:rFonts w:ascii="Arial" w:hAnsi="Arial" w:cs="Arial"/>
        </w:rPr>
        <w:t xml:space="preserve"> </w:t>
      </w:r>
      <w:r w:rsidR="00A10521" w:rsidRPr="00A10521">
        <w:rPr>
          <w:rFonts w:ascii="Arial" w:hAnsi="Arial" w:cs="Arial"/>
        </w:rPr>
        <w:t xml:space="preserve">Cao, X., Ashfaq, R., Cheng, F., Maharjan, S., Li, J., Ying, G., Hassan, S., Xiao, H., Yue, K., &amp; Zhang, Y. S. (2019). A tumor-on-a-chip system with bioprinted blood and lymphatic vessel pair. Advanced Functional Materials, 29(31), 1807173. </w:t>
      </w:r>
      <w:hyperlink r:id="rId104" w:history="1">
        <w:r w:rsidR="00A10521" w:rsidRPr="00AF79D3">
          <w:rPr>
            <w:rStyle w:val="Hyperlink"/>
            <w:rFonts w:ascii="Arial" w:hAnsi="Arial" w:cs="Arial"/>
          </w:rPr>
          <w:t>https://doi.org/10.1002/adfm.201807173</w:t>
        </w:r>
      </w:hyperlink>
      <w:r w:rsidR="00A10521">
        <w:rPr>
          <w:rFonts w:ascii="Arial" w:hAnsi="Arial" w:cs="Arial"/>
        </w:rPr>
        <w:t xml:space="preserve"> </w:t>
      </w:r>
      <w:r w:rsidRPr="00864CA0">
        <w:rPr>
          <w:rFonts w:ascii="Arial" w:hAnsi="Arial" w:cs="Arial"/>
        </w:rPr>
        <w:t>.</w:t>
      </w:r>
    </w:p>
    <w:p w14:paraId="627FD1D7" w14:textId="129DDACC" w:rsidR="00864CA0" w:rsidRPr="00864CA0" w:rsidRDefault="00864CA0" w:rsidP="00864CA0">
      <w:pPr>
        <w:pStyle w:val="Body"/>
        <w:rPr>
          <w:rFonts w:ascii="Arial" w:hAnsi="Arial" w:cs="Arial"/>
        </w:rPr>
      </w:pPr>
      <w:r w:rsidRPr="00864CA0">
        <w:rPr>
          <w:rFonts w:ascii="Arial" w:hAnsi="Arial" w:cs="Arial"/>
        </w:rPr>
        <w:t>99.</w:t>
      </w:r>
      <w:r>
        <w:rPr>
          <w:rFonts w:ascii="Arial" w:hAnsi="Arial" w:cs="Arial"/>
        </w:rPr>
        <w:t xml:space="preserve"> </w:t>
      </w:r>
      <w:r w:rsidR="00A66323" w:rsidRPr="00A66323">
        <w:rPr>
          <w:rFonts w:ascii="Arial" w:hAnsi="Arial" w:cs="Arial"/>
        </w:rPr>
        <w:t xml:space="preserve">Hwangbo, H., Chae, S., Kim, W., Jo, S., &amp; Kim, G. H. (2024). Tumor-on-a-chip models combined with mini-tissues or organoids for engineering tumor tissues. Theranostics, 14(1), 33-55. </w:t>
      </w:r>
      <w:hyperlink r:id="rId105" w:history="1">
        <w:r w:rsidR="00A66323" w:rsidRPr="00AF79D3">
          <w:rPr>
            <w:rStyle w:val="Hyperlink"/>
            <w:rFonts w:ascii="Arial" w:hAnsi="Arial" w:cs="Arial"/>
          </w:rPr>
          <w:t>https://doi.org/10.7150/thno.90093</w:t>
        </w:r>
      </w:hyperlink>
      <w:r w:rsidR="00A66323">
        <w:rPr>
          <w:rFonts w:ascii="Arial" w:hAnsi="Arial" w:cs="Arial"/>
        </w:rPr>
        <w:t xml:space="preserve"> </w:t>
      </w:r>
    </w:p>
    <w:p w14:paraId="5CA21B91" w14:textId="375B9706" w:rsidR="00864CA0" w:rsidRPr="00864CA0" w:rsidRDefault="00864CA0" w:rsidP="00864CA0">
      <w:pPr>
        <w:pStyle w:val="Body"/>
        <w:rPr>
          <w:rFonts w:ascii="Arial" w:hAnsi="Arial" w:cs="Arial"/>
        </w:rPr>
      </w:pPr>
      <w:r w:rsidRPr="00864CA0">
        <w:rPr>
          <w:rFonts w:ascii="Arial" w:hAnsi="Arial" w:cs="Arial"/>
        </w:rPr>
        <w:t>100.</w:t>
      </w:r>
      <w:r>
        <w:rPr>
          <w:rFonts w:ascii="Arial" w:hAnsi="Arial" w:cs="Arial"/>
        </w:rPr>
        <w:t xml:space="preserve"> </w:t>
      </w:r>
      <w:proofErr w:type="spellStart"/>
      <w:r w:rsidR="00F3262E" w:rsidRPr="00F3262E">
        <w:rPr>
          <w:rFonts w:ascii="Arial" w:hAnsi="Arial" w:cs="Arial"/>
        </w:rPr>
        <w:t>Chliara</w:t>
      </w:r>
      <w:proofErr w:type="spellEnd"/>
      <w:r w:rsidR="00F3262E" w:rsidRPr="00F3262E">
        <w:rPr>
          <w:rFonts w:ascii="Arial" w:hAnsi="Arial" w:cs="Arial"/>
        </w:rPr>
        <w:t xml:space="preserve">, M. A., </w:t>
      </w:r>
      <w:proofErr w:type="spellStart"/>
      <w:r w:rsidR="00F3262E" w:rsidRPr="00F3262E">
        <w:rPr>
          <w:rFonts w:ascii="Arial" w:hAnsi="Arial" w:cs="Arial"/>
        </w:rPr>
        <w:t>Elezoglou</w:t>
      </w:r>
      <w:proofErr w:type="spellEnd"/>
      <w:r w:rsidR="00F3262E" w:rsidRPr="00F3262E">
        <w:rPr>
          <w:rFonts w:ascii="Arial" w:hAnsi="Arial" w:cs="Arial"/>
        </w:rPr>
        <w:t xml:space="preserve">, S., &amp; </w:t>
      </w:r>
      <w:proofErr w:type="spellStart"/>
      <w:r w:rsidR="00F3262E" w:rsidRPr="00F3262E">
        <w:rPr>
          <w:rFonts w:ascii="Arial" w:hAnsi="Arial" w:cs="Arial"/>
        </w:rPr>
        <w:t>Zergioti</w:t>
      </w:r>
      <w:proofErr w:type="spellEnd"/>
      <w:r w:rsidR="00F3262E" w:rsidRPr="00F3262E">
        <w:rPr>
          <w:rFonts w:ascii="Arial" w:hAnsi="Arial" w:cs="Arial"/>
        </w:rPr>
        <w:t xml:space="preserve">, I. (2022). Bioprinting on Organ-on-Chip: Development and Applications. Biosensors (Basel), 12(12), 1135. </w:t>
      </w:r>
      <w:hyperlink r:id="rId106" w:history="1">
        <w:r w:rsidR="00F3262E" w:rsidRPr="00AF79D3">
          <w:rPr>
            <w:rStyle w:val="Hyperlink"/>
            <w:rFonts w:ascii="Arial" w:hAnsi="Arial" w:cs="Arial"/>
          </w:rPr>
          <w:t>https://doi.org/10.3390/bios12121135</w:t>
        </w:r>
      </w:hyperlink>
      <w:r w:rsidR="00F3262E">
        <w:rPr>
          <w:rFonts w:ascii="Arial" w:hAnsi="Arial" w:cs="Arial"/>
        </w:rPr>
        <w:t xml:space="preserve"> </w:t>
      </w:r>
    </w:p>
    <w:p w14:paraId="52086A2F" w14:textId="6DFAB3A8" w:rsidR="00864CA0" w:rsidRPr="00864CA0" w:rsidRDefault="00864CA0" w:rsidP="00864CA0">
      <w:pPr>
        <w:pStyle w:val="Body"/>
        <w:rPr>
          <w:rFonts w:ascii="Arial" w:hAnsi="Arial" w:cs="Arial"/>
        </w:rPr>
      </w:pPr>
      <w:r w:rsidRPr="00864CA0">
        <w:rPr>
          <w:rFonts w:ascii="Arial" w:hAnsi="Arial" w:cs="Arial"/>
        </w:rPr>
        <w:t>101.</w:t>
      </w:r>
      <w:r>
        <w:rPr>
          <w:rFonts w:ascii="Arial" w:hAnsi="Arial" w:cs="Arial"/>
        </w:rPr>
        <w:t xml:space="preserve"> </w:t>
      </w:r>
      <w:r w:rsidRPr="00864CA0">
        <w:rPr>
          <w:rFonts w:ascii="Arial" w:hAnsi="Arial" w:cs="Arial"/>
        </w:rPr>
        <w:t xml:space="preserve">Vulto P. Organ on a </w:t>
      </w:r>
      <w:proofErr w:type="gramStart"/>
      <w:r w:rsidRPr="00864CA0">
        <w:rPr>
          <w:rFonts w:ascii="Arial" w:hAnsi="Arial" w:cs="Arial"/>
        </w:rPr>
        <w:t>chip models</w:t>
      </w:r>
      <w:proofErr w:type="gramEnd"/>
      <w:r w:rsidRPr="00864CA0">
        <w:rPr>
          <w:rFonts w:ascii="Arial" w:hAnsi="Arial" w:cs="Arial"/>
        </w:rPr>
        <w:t xml:space="preserve"> in </w:t>
      </w:r>
      <w:proofErr w:type="gramStart"/>
      <w:r w:rsidRPr="00864CA0">
        <w:rPr>
          <w:rFonts w:ascii="Arial" w:hAnsi="Arial" w:cs="Arial"/>
        </w:rPr>
        <w:t>early stage</w:t>
      </w:r>
      <w:proofErr w:type="gramEnd"/>
      <w:r w:rsidRPr="00864CA0">
        <w:rPr>
          <w:rFonts w:ascii="Arial" w:hAnsi="Arial" w:cs="Arial"/>
        </w:rPr>
        <w:t xml:space="preserve"> drug discovery: A phenotypic screening exercise. ALTEX Proc. 2022;10(1).</w:t>
      </w:r>
    </w:p>
    <w:p w14:paraId="27DE651E" w14:textId="4FE72DA6" w:rsidR="00864CA0" w:rsidRPr="00864CA0" w:rsidRDefault="00864CA0" w:rsidP="00864CA0">
      <w:pPr>
        <w:pStyle w:val="Body"/>
        <w:rPr>
          <w:rFonts w:ascii="Arial" w:hAnsi="Arial" w:cs="Arial"/>
        </w:rPr>
      </w:pPr>
      <w:r w:rsidRPr="00864CA0">
        <w:rPr>
          <w:rFonts w:ascii="Arial" w:hAnsi="Arial" w:cs="Arial"/>
        </w:rPr>
        <w:t>102.</w:t>
      </w:r>
      <w:r>
        <w:rPr>
          <w:rFonts w:ascii="Arial" w:hAnsi="Arial" w:cs="Arial"/>
        </w:rPr>
        <w:t xml:space="preserve"> </w:t>
      </w:r>
      <w:r w:rsidR="00463C24" w:rsidRPr="00463C24">
        <w:rPr>
          <w:rFonts w:ascii="Arial" w:hAnsi="Arial" w:cs="Arial"/>
        </w:rPr>
        <w:t xml:space="preserve">Li, J., Parra-Cantu, C., Wang, Z., &amp; Zhang, Y. S. (2020). Improving bioprinted volumetric tumor microenvironments in vitro. Trends in Cancer, 6(9), 745-756. </w:t>
      </w:r>
      <w:hyperlink r:id="rId107" w:history="1">
        <w:r w:rsidR="00463C24" w:rsidRPr="00AF79D3">
          <w:rPr>
            <w:rStyle w:val="Hyperlink"/>
            <w:rFonts w:ascii="Arial" w:hAnsi="Arial" w:cs="Arial"/>
          </w:rPr>
          <w:t>https://doi.org/10.1016/j.trecan.2020.06.002</w:t>
        </w:r>
      </w:hyperlink>
      <w:r w:rsidR="00463C24">
        <w:rPr>
          <w:rFonts w:ascii="Arial" w:hAnsi="Arial" w:cs="Arial"/>
        </w:rPr>
        <w:t xml:space="preserve"> </w:t>
      </w:r>
    </w:p>
    <w:p w14:paraId="19D9F3C9" w14:textId="31D4924E" w:rsidR="00864CA0" w:rsidRPr="00864CA0" w:rsidRDefault="00864CA0" w:rsidP="00864CA0">
      <w:pPr>
        <w:pStyle w:val="Body"/>
        <w:rPr>
          <w:rFonts w:ascii="Arial" w:hAnsi="Arial" w:cs="Arial"/>
        </w:rPr>
      </w:pPr>
      <w:r w:rsidRPr="00864CA0">
        <w:rPr>
          <w:rFonts w:ascii="Arial" w:hAnsi="Arial" w:cs="Arial"/>
        </w:rPr>
        <w:lastRenderedPageBreak/>
        <w:t>103.</w:t>
      </w:r>
      <w:r>
        <w:rPr>
          <w:rFonts w:ascii="Arial" w:hAnsi="Arial" w:cs="Arial"/>
        </w:rPr>
        <w:t xml:space="preserve"> </w:t>
      </w:r>
      <w:r w:rsidR="005F6C7A" w:rsidRPr="005F6C7A">
        <w:rPr>
          <w:rFonts w:ascii="Arial" w:hAnsi="Arial" w:cs="Arial"/>
        </w:rPr>
        <w:t xml:space="preserve">Shukla, P., </w:t>
      </w:r>
      <w:proofErr w:type="spellStart"/>
      <w:r w:rsidR="005F6C7A" w:rsidRPr="005F6C7A">
        <w:rPr>
          <w:rFonts w:ascii="Arial" w:hAnsi="Arial" w:cs="Arial"/>
        </w:rPr>
        <w:t>Yeleswarapu</w:t>
      </w:r>
      <w:proofErr w:type="spellEnd"/>
      <w:r w:rsidR="005F6C7A" w:rsidRPr="005F6C7A">
        <w:rPr>
          <w:rFonts w:ascii="Arial" w:hAnsi="Arial" w:cs="Arial"/>
        </w:rPr>
        <w:t xml:space="preserve">, S., Heinrich, M. A., Prakash, J., &amp; Pati, F. (2022). Mimicking tumor microenvironment by 3D bioprinting: 3D cancer modeling. Biofabrication, 14(3), 032002. </w:t>
      </w:r>
      <w:hyperlink r:id="rId108" w:history="1">
        <w:r w:rsidR="005F6C7A" w:rsidRPr="00AF79D3">
          <w:rPr>
            <w:rStyle w:val="Hyperlink"/>
            <w:rFonts w:ascii="Arial" w:hAnsi="Arial" w:cs="Arial"/>
          </w:rPr>
          <w:t>https://doi.org/10.1088/1758-5090/ac6d11</w:t>
        </w:r>
      </w:hyperlink>
      <w:r w:rsidR="005F6C7A">
        <w:rPr>
          <w:rFonts w:ascii="Arial" w:hAnsi="Arial" w:cs="Arial"/>
        </w:rPr>
        <w:t xml:space="preserve"> </w:t>
      </w:r>
    </w:p>
    <w:p w14:paraId="596A2F39" w14:textId="352C4725" w:rsidR="00864CA0" w:rsidRPr="00864CA0" w:rsidRDefault="00864CA0" w:rsidP="00864CA0">
      <w:pPr>
        <w:pStyle w:val="Body"/>
        <w:rPr>
          <w:rFonts w:ascii="Arial" w:hAnsi="Arial" w:cs="Arial"/>
        </w:rPr>
      </w:pPr>
      <w:r w:rsidRPr="00864CA0">
        <w:rPr>
          <w:rFonts w:ascii="Arial" w:hAnsi="Arial" w:cs="Arial"/>
        </w:rPr>
        <w:t>104.</w:t>
      </w:r>
      <w:r>
        <w:rPr>
          <w:rFonts w:ascii="Arial" w:hAnsi="Arial" w:cs="Arial"/>
        </w:rPr>
        <w:t xml:space="preserve"> </w:t>
      </w:r>
      <w:r w:rsidRPr="00864CA0">
        <w:rPr>
          <w:rFonts w:ascii="Arial" w:hAnsi="Arial" w:cs="Arial"/>
        </w:rPr>
        <w:t xml:space="preserve">Yakunin S, et al. Combinatorial conjugation of organ on a chip platforms with additive manufacturing technologies. Trends </w:t>
      </w:r>
      <w:proofErr w:type="spellStart"/>
      <w:r w:rsidRPr="00864CA0">
        <w:rPr>
          <w:rFonts w:ascii="Arial" w:hAnsi="Arial" w:cs="Arial"/>
        </w:rPr>
        <w:t>Biotechnol</w:t>
      </w:r>
      <w:proofErr w:type="spellEnd"/>
      <w:r w:rsidRPr="00864CA0">
        <w:rPr>
          <w:rFonts w:ascii="Arial" w:hAnsi="Arial" w:cs="Arial"/>
        </w:rPr>
        <w:t>. 2021;39(12):1299-311.</w:t>
      </w:r>
    </w:p>
    <w:p w14:paraId="59A2894E" w14:textId="596CA490" w:rsidR="00864CA0" w:rsidRPr="00864CA0" w:rsidRDefault="00864CA0" w:rsidP="00864CA0">
      <w:pPr>
        <w:pStyle w:val="Body"/>
        <w:rPr>
          <w:rFonts w:ascii="Arial" w:hAnsi="Arial" w:cs="Arial"/>
        </w:rPr>
      </w:pPr>
      <w:r w:rsidRPr="00864CA0">
        <w:rPr>
          <w:rFonts w:ascii="Arial" w:hAnsi="Arial" w:cs="Arial"/>
        </w:rPr>
        <w:t>105.</w:t>
      </w:r>
      <w:r>
        <w:rPr>
          <w:rFonts w:ascii="Arial" w:hAnsi="Arial" w:cs="Arial"/>
        </w:rPr>
        <w:t xml:space="preserve"> </w:t>
      </w:r>
      <w:r w:rsidR="00A61ACD" w:rsidRPr="00A61ACD">
        <w:rPr>
          <w:rFonts w:ascii="Arial" w:hAnsi="Arial" w:cs="Arial"/>
        </w:rPr>
        <w:t xml:space="preserve">Kagita, T., Gude, S., Abburi, S. K., Devarakonda, A., &amp; Maddineni, S. (2025). Advancing 3D printing for personalized pediatric medicines: quality, safety, and Good Manufacturing Practice compliance. Translational and Regulatory Sciences, 7(2), 63-81. </w:t>
      </w:r>
      <w:hyperlink r:id="rId109" w:history="1">
        <w:r w:rsidR="00A61ACD" w:rsidRPr="00AF79D3">
          <w:rPr>
            <w:rStyle w:val="Hyperlink"/>
            <w:rFonts w:ascii="Arial" w:hAnsi="Arial" w:cs="Arial"/>
          </w:rPr>
          <w:t>https://www.jstage.jst.go.jp/article/trs/7/2/7_63/_article/-char/ja/</w:t>
        </w:r>
      </w:hyperlink>
      <w:r w:rsidR="00A61ACD">
        <w:rPr>
          <w:rFonts w:ascii="Arial" w:hAnsi="Arial" w:cs="Arial"/>
        </w:rPr>
        <w:t xml:space="preserve"> </w:t>
      </w:r>
    </w:p>
    <w:p w14:paraId="4B7A48E1" w14:textId="491E422B" w:rsidR="00864CA0" w:rsidRPr="00864CA0" w:rsidRDefault="00864CA0" w:rsidP="00864CA0">
      <w:pPr>
        <w:pStyle w:val="Body"/>
        <w:rPr>
          <w:rFonts w:ascii="Arial" w:hAnsi="Arial" w:cs="Arial"/>
        </w:rPr>
      </w:pPr>
      <w:r w:rsidRPr="00864CA0">
        <w:rPr>
          <w:rFonts w:ascii="Arial" w:hAnsi="Arial" w:cs="Arial"/>
        </w:rPr>
        <w:t>106.</w:t>
      </w:r>
      <w:r>
        <w:rPr>
          <w:rFonts w:ascii="Arial" w:hAnsi="Arial" w:cs="Arial"/>
        </w:rPr>
        <w:t xml:space="preserve"> </w:t>
      </w:r>
      <w:r w:rsidRPr="00864CA0">
        <w:rPr>
          <w:rFonts w:ascii="Arial" w:hAnsi="Arial" w:cs="Arial"/>
        </w:rPr>
        <w:t xml:space="preserve">Devarakonda A, Gude S, Abburi SK, et al. Polymeric nanoparticles: Revolutionizing oral insulin delivery for enhanced diabetes management. Transl </w:t>
      </w:r>
      <w:proofErr w:type="spellStart"/>
      <w:r w:rsidRPr="00864CA0">
        <w:rPr>
          <w:rFonts w:ascii="Arial" w:hAnsi="Arial" w:cs="Arial"/>
        </w:rPr>
        <w:t>Regul</w:t>
      </w:r>
      <w:proofErr w:type="spellEnd"/>
      <w:r w:rsidRPr="00864CA0">
        <w:rPr>
          <w:rFonts w:ascii="Arial" w:hAnsi="Arial" w:cs="Arial"/>
        </w:rPr>
        <w:t xml:space="preserve"> Sci. 2025.</w:t>
      </w:r>
    </w:p>
    <w:p w14:paraId="2D4ACDE2" w14:textId="533549D5" w:rsidR="00864CA0" w:rsidRPr="00864CA0" w:rsidRDefault="00864CA0" w:rsidP="00864CA0">
      <w:pPr>
        <w:pStyle w:val="Body"/>
        <w:rPr>
          <w:rFonts w:ascii="Arial" w:hAnsi="Arial" w:cs="Arial"/>
        </w:rPr>
      </w:pPr>
      <w:r w:rsidRPr="00864CA0">
        <w:rPr>
          <w:rFonts w:ascii="Arial" w:hAnsi="Arial" w:cs="Arial"/>
        </w:rPr>
        <w:t>107.</w:t>
      </w:r>
      <w:r>
        <w:rPr>
          <w:rFonts w:ascii="Arial" w:hAnsi="Arial" w:cs="Arial"/>
        </w:rPr>
        <w:t xml:space="preserve"> </w:t>
      </w:r>
      <w:r w:rsidR="00BF1F50" w:rsidRPr="00BF1F50">
        <w:rPr>
          <w:rFonts w:ascii="Arial" w:hAnsi="Arial" w:cs="Arial"/>
        </w:rPr>
        <w:t xml:space="preserve">Gude, S., Abburi, S. K., Gali, P. K., et al. (2025). Advancing single-shot vaccine design through AI and computational models. Translational Regulatory Science, 7(1), 8-14. </w:t>
      </w:r>
      <w:hyperlink r:id="rId110" w:history="1">
        <w:r w:rsidR="00BF1F50" w:rsidRPr="00AF79D3">
          <w:rPr>
            <w:rStyle w:val="Hyperlink"/>
            <w:rFonts w:ascii="Arial" w:hAnsi="Arial" w:cs="Arial"/>
          </w:rPr>
          <w:t>https://doi.org/10.33611/trs.2025-002</w:t>
        </w:r>
      </w:hyperlink>
      <w:r w:rsidR="00BF1F50">
        <w:rPr>
          <w:rFonts w:ascii="Arial" w:hAnsi="Arial" w:cs="Arial"/>
        </w:rPr>
        <w:t xml:space="preserve"> </w:t>
      </w:r>
    </w:p>
    <w:p w14:paraId="22D0FA10" w14:textId="3971DDBF" w:rsidR="00441B6F" w:rsidRDefault="00864CA0" w:rsidP="00864CA0">
      <w:pPr>
        <w:pStyle w:val="Body"/>
        <w:spacing w:after="0"/>
        <w:jc w:val="left"/>
        <w:rPr>
          <w:rFonts w:ascii="Arial" w:hAnsi="Arial" w:cs="Arial"/>
        </w:rPr>
      </w:pPr>
      <w:r w:rsidRPr="00864CA0">
        <w:rPr>
          <w:rFonts w:ascii="Arial" w:hAnsi="Arial" w:cs="Arial"/>
        </w:rPr>
        <w:t>108.</w:t>
      </w:r>
      <w:r>
        <w:rPr>
          <w:rFonts w:ascii="Arial" w:hAnsi="Arial" w:cs="Arial"/>
        </w:rPr>
        <w:t xml:space="preserve"> </w:t>
      </w:r>
      <w:r w:rsidR="001E077A" w:rsidRPr="001E077A">
        <w:rPr>
          <w:rFonts w:ascii="Arial" w:hAnsi="Arial" w:cs="Arial"/>
        </w:rPr>
        <w:t xml:space="preserve">Jain, N., Katre, S., &amp; Vinukonda, A. (2020). Importance of qualification, computer system validation and its regulatory compliance in pharmaceutical industry. International Journal of Drug Regulatory Affairs, 8(3), 70-77. </w:t>
      </w:r>
      <w:hyperlink r:id="rId111" w:history="1">
        <w:r w:rsidR="001E077A" w:rsidRPr="00AF79D3">
          <w:rPr>
            <w:rStyle w:val="Hyperlink"/>
            <w:rFonts w:ascii="Arial" w:hAnsi="Arial" w:cs="Arial"/>
          </w:rPr>
          <w:t>https://doi.org/10.22270/ijdra.v8i3.411</w:t>
        </w:r>
      </w:hyperlink>
      <w:r w:rsidR="001E077A">
        <w:rPr>
          <w:rFonts w:ascii="Arial" w:hAnsi="Arial" w:cs="Arial"/>
        </w:rPr>
        <w:t xml:space="preserve"> </w:t>
      </w:r>
    </w:p>
    <w:p w14:paraId="4615EAC4" w14:textId="77777777" w:rsidR="00B01FCD" w:rsidRPr="00FB3A86" w:rsidRDefault="00B01FCD" w:rsidP="00441B6F">
      <w:pPr>
        <w:pStyle w:val="Reference"/>
        <w:numPr>
          <w:ilvl w:val="0"/>
          <w:numId w:val="0"/>
        </w:numPr>
        <w:spacing w:line="240" w:lineRule="auto"/>
        <w:rPr>
          <w:rFonts w:ascii="Arial" w:hAnsi="Arial" w:cs="Arial"/>
        </w:rPr>
      </w:pPr>
    </w:p>
    <w:p w14:paraId="13F14C2C" w14:textId="7660291E" w:rsidR="004D4277" w:rsidRPr="00FB3A86" w:rsidRDefault="004D4277" w:rsidP="00441B6F">
      <w:pPr>
        <w:pStyle w:val="Appendix"/>
        <w:spacing w:after="0"/>
        <w:jc w:val="both"/>
        <w:rPr>
          <w:rFonts w:ascii="Arial" w:hAnsi="Arial" w:cs="Arial"/>
          <w:b w:val="0"/>
        </w:rPr>
        <w:sectPr w:rsidR="004D4277" w:rsidRPr="00FB3A86" w:rsidSect="0042498A">
          <w:headerReference w:type="even" r:id="rId112"/>
          <w:headerReference w:type="default" r:id="rId113"/>
          <w:footerReference w:type="default" r:id="rId114"/>
          <w:headerReference w:type="first" r:id="rId115"/>
          <w:type w:val="continuous"/>
          <w:pgSz w:w="12240" w:h="15840"/>
          <w:pgMar w:top="1440" w:right="2016" w:bottom="2016" w:left="2016" w:header="720" w:footer="1123" w:gutter="0"/>
          <w:cols w:space="720"/>
          <w:docGrid w:linePitch="272"/>
        </w:sectPr>
      </w:pPr>
    </w:p>
    <w:p w14:paraId="2B03E178" w14:textId="77777777" w:rsidR="00B01FCD" w:rsidRPr="00FB3A86" w:rsidRDefault="00B01FCD" w:rsidP="00441B6F">
      <w:pPr>
        <w:pStyle w:val="Appendix"/>
        <w:spacing w:after="0"/>
        <w:jc w:val="both"/>
        <w:rPr>
          <w:rFonts w:ascii="Arial" w:hAnsi="Arial" w:cs="Arial"/>
          <w:b w:val="0"/>
        </w:rPr>
      </w:pPr>
    </w:p>
    <w:sectPr w:rsidR="00B01FCD" w:rsidRPr="00FB3A86" w:rsidSect="0042498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D632" w14:textId="77777777" w:rsidR="0084661D" w:rsidRDefault="0084661D" w:rsidP="00C37E61">
      <w:r>
        <w:separator/>
      </w:r>
    </w:p>
  </w:endnote>
  <w:endnote w:type="continuationSeparator" w:id="0">
    <w:p w14:paraId="18C321A9" w14:textId="77777777" w:rsidR="0084661D" w:rsidRDefault="008466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7F0E" w14:textId="77777777" w:rsidR="0042498A" w:rsidRDefault="00424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35E1" w14:textId="18DB1304" w:rsidR="00C37E61" w:rsidRPr="00BD5BF9" w:rsidRDefault="00C37E61" w:rsidP="00BD5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7EF0" w14:textId="14C29B6F" w:rsidR="00754C9A" w:rsidRPr="0042498A" w:rsidRDefault="00754C9A" w:rsidP="00424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4B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28AD" w14:textId="77777777" w:rsidR="0084661D" w:rsidRDefault="0084661D" w:rsidP="00C37E61">
      <w:r>
        <w:separator/>
      </w:r>
    </w:p>
  </w:footnote>
  <w:footnote w:type="continuationSeparator" w:id="0">
    <w:p w14:paraId="7D74C2A3" w14:textId="77777777" w:rsidR="0084661D" w:rsidRDefault="008466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CD73" w14:textId="00A0E56B" w:rsidR="0042498A" w:rsidRDefault="00000000">
    <w:pPr>
      <w:pStyle w:val="Header"/>
    </w:pPr>
    <w:r>
      <w:rPr>
        <w:noProof/>
      </w:rPr>
      <w:pict w14:anchorId="32479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2C05" w14:textId="04A052B4" w:rsidR="0042498A" w:rsidRDefault="00000000">
    <w:pPr>
      <w:pStyle w:val="Header"/>
    </w:pPr>
    <w:r>
      <w:rPr>
        <w:noProof/>
      </w:rPr>
      <w:pict w14:anchorId="2A150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E71C" w14:textId="6D482615" w:rsidR="00296529" w:rsidRPr="00296529" w:rsidRDefault="00000000" w:rsidP="00296529">
    <w:pPr>
      <w:ind w:left="2160"/>
      <w:jc w:val="center"/>
      <w:rPr>
        <w:rFonts w:ascii="Times New Roman" w:eastAsia="Calibri" w:hAnsi="Times New Roman"/>
        <w:i/>
        <w:sz w:val="18"/>
        <w:szCs w:val="22"/>
      </w:rPr>
    </w:pPr>
    <w:r>
      <w:rPr>
        <w:noProof/>
      </w:rPr>
      <w:pict w14:anchorId="32512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050D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F1B8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38DD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A4F48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44C4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A8D3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AE6D" w14:textId="5D511C85" w:rsidR="0042498A" w:rsidRDefault="00000000">
    <w:pPr>
      <w:pStyle w:val="Header"/>
    </w:pPr>
    <w:r>
      <w:rPr>
        <w:noProof/>
      </w:rPr>
      <w:pict w14:anchorId="1B77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C300" w14:textId="69E5177A" w:rsidR="0042498A" w:rsidRDefault="00000000">
    <w:pPr>
      <w:pStyle w:val="Header"/>
    </w:pPr>
    <w:r>
      <w:rPr>
        <w:noProof/>
      </w:rPr>
      <w:pict w14:anchorId="1E778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8047" w14:textId="433E3FBF" w:rsidR="0042498A" w:rsidRDefault="00000000">
    <w:pPr>
      <w:pStyle w:val="Header"/>
    </w:pPr>
    <w:r>
      <w:rPr>
        <w:noProof/>
      </w:rPr>
      <w:pict w14:anchorId="36DFD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116B62"/>
    <w:multiLevelType w:val="hybridMultilevel"/>
    <w:tmpl w:val="0E38BC7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237C1"/>
    <w:multiLevelType w:val="hybridMultilevel"/>
    <w:tmpl w:val="F1B8CA3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690499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9046353">
    <w:abstractNumId w:val="16"/>
  </w:num>
  <w:num w:numId="3" w16cid:durableId="1620379229">
    <w:abstractNumId w:val="25"/>
  </w:num>
  <w:num w:numId="4" w16cid:durableId="4820402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79509009">
    <w:abstractNumId w:val="8"/>
  </w:num>
  <w:num w:numId="6" w16cid:durableId="66854122">
    <w:abstractNumId w:val="7"/>
  </w:num>
  <w:num w:numId="7" w16cid:durableId="724717191">
    <w:abstractNumId w:val="1"/>
  </w:num>
  <w:num w:numId="8" w16cid:durableId="345792631">
    <w:abstractNumId w:val="13"/>
  </w:num>
  <w:num w:numId="9" w16cid:durableId="707683459">
    <w:abstractNumId w:val="27"/>
  </w:num>
  <w:num w:numId="10" w16cid:durableId="290287223">
    <w:abstractNumId w:val="2"/>
  </w:num>
  <w:num w:numId="11" w16cid:durableId="1716617189">
    <w:abstractNumId w:val="20"/>
  </w:num>
  <w:num w:numId="12" w16cid:durableId="1955287745">
    <w:abstractNumId w:val="4"/>
  </w:num>
  <w:num w:numId="13" w16cid:durableId="1512180782">
    <w:abstractNumId w:val="19"/>
  </w:num>
  <w:num w:numId="14" w16cid:durableId="1237132155">
    <w:abstractNumId w:val="9"/>
  </w:num>
  <w:num w:numId="15" w16cid:durableId="728456423">
    <w:abstractNumId w:val="23"/>
  </w:num>
  <w:num w:numId="16" w16cid:durableId="1083993098">
    <w:abstractNumId w:val="6"/>
  </w:num>
  <w:num w:numId="17" w16cid:durableId="159198767">
    <w:abstractNumId w:val="24"/>
  </w:num>
  <w:num w:numId="18" w16cid:durableId="563612409">
    <w:abstractNumId w:val="15"/>
  </w:num>
  <w:num w:numId="19" w16cid:durableId="652293500">
    <w:abstractNumId w:val="30"/>
  </w:num>
  <w:num w:numId="20" w16cid:durableId="1731533229">
    <w:abstractNumId w:val="12"/>
  </w:num>
  <w:num w:numId="21" w16cid:durableId="1045175203">
    <w:abstractNumId w:val="10"/>
  </w:num>
  <w:num w:numId="22" w16cid:durableId="360936731">
    <w:abstractNumId w:val="14"/>
  </w:num>
  <w:num w:numId="23" w16cid:durableId="133060899">
    <w:abstractNumId w:val="21"/>
  </w:num>
  <w:num w:numId="24" w16cid:durableId="1009139302">
    <w:abstractNumId w:val="28"/>
  </w:num>
  <w:num w:numId="25" w16cid:durableId="1791702619">
    <w:abstractNumId w:val="5"/>
  </w:num>
  <w:num w:numId="26" w16cid:durableId="1862741083">
    <w:abstractNumId w:val="17"/>
  </w:num>
  <w:num w:numId="27" w16cid:durableId="1079596632">
    <w:abstractNumId w:val="22"/>
  </w:num>
  <w:num w:numId="28" w16cid:durableId="337924447">
    <w:abstractNumId w:val="29"/>
  </w:num>
  <w:num w:numId="29" w16cid:durableId="1784222986">
    <w:abstractNumId w:val="26"/>
  </w:num>
  <w:num w:numId="30" w16cid:durableId="1842046678">
    <w:abstractNumId w:val="11"/>
  </w:num>
  <w:num w:numId="31" w16cid:durableId="659115218">
    <w:abstractNumId w:val="18"/>
  </w:num>
  <w:num w:numId="32" w16cid:durableId="1516533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AD"/>
    <w:rsid w:val="00014D7C"/>
    <w:rsid w:val="00030174"/>
    <w:rsid w:val="0004579C"/>
    <w:rsid w:val="00047520"/>
    <w:rsid w:val="000540DD"/>
    <w:rsid w:val="000A1E08"/>
    <w:rsid w:val="000A47FA"/>
    <w:rsid w:val="000A51C4"/>
    <w:rsid w:val="000A65D3"/>
    <w:rsid w:val="000B1E33"/>
    <w:rsid w:val="000C16DC"/>
    <w:rsid w:val="000D689F"/>
    <w:rsid w:val="000E7B7B"/>
    <w:rsid w:val="000E7D62"/>
    <w:rsid w:val="00103357"/>
    <w:rsid w:val="00123C9F"/>
    <w:rsid w:val="00126190"/>
    <w:rsid w:val="00130F17"/>
    <w:rsid w:val="001320BF"/>
    <w:rsid w:val="001433C3"/>
    <w:rsid w:val="00163BC4"/>
    <w:rsid w:val="00181D48"/>
    <w:rsid w:val="00191062"/>
    <w:rsid w:val="00191DC1"/>
    <w:rsid w:val="00192B72"/>
    <w:rsid w:val="001A29D8"/>
    <w:rsid w:val="001A5CAA"/>
    <w:rsid w:val="001B0427"/>
    <w:rsid w:val="001D3A51"/>
    <w:rsid w:val="001E077A"/>
    <w:rsid w:val="001E10D2"/>
    <w:rsid w:val="001E25B4"/>
    <w:rsid w:val="001E44FE"/>
    <w:rsid w:val="001E7AB7"/>
    <w:rsid w:val="00200595"/>
    <w:rsid w:val="00204835"/>
    <w:rsid w:val="0022687B"/>
    <w:rsid w:val="00231920"/>
    <w:rsid w:val="0023195C"/>
    <w:rsid w:val="00237A8E"/>
    <w:rsid w:val="00240AC7"/>
    <w:rsid w:val="0024282C"/>
    <w:rsid w:val="002460DC"/>
    <w:rsid w:val="00250985"/>
    <w:rsid w:val="002556F6"/>
    <w:rsid w:val="002716B7"/>
    <w:rsid w:val="00283105"/>
    <w:rsid w:val="00284C4C"/>
    <w:rsid w:val="00287E68"/>
    <w:rsid w:val="00296529"/>
    <w:rsid w:val="00296746"/>
    <w:rsid w:val="002B27FB"/>
    <w:rsid w:val="002B685A"/>
    <w:rsid w:val="002C5463"/>
    <w:rsid w:val="002C57D2"/>
    <w:rsid w:val="002E0D56"/>
    <w:rsid w:val="002E52D9"/>
    <w:rsid w:val="00315186"/>
    <w:rsid w:val="0033343E"/>
    <w:rsid w:val="003512C2"/>
    <w:rsid w:val="00371FB6"/>
    <w:rsid w:val="003763C1"/>
    <w:rsid w:val="00376BBE"/>
    <w:rsid w:val="0039224F"/>
    <w:rsid w:val="003A43A4"/>
    <w:rsid w:val="003A7E18"/>
    <w:rsid w:val="003B0494"/>
    <w:rsid w:val="003C16EA"/>
    <w:rsid w:val="003C4C86"/>
    <w:rsid w:val="003C6258"/>
    <w:rsid w:val="003D223D"/>
    <w:rsid w:val="003E2904"/>
    <w:rsid w:val="00401927"/>
    <w:rsid w:val="00404043"/>
    <w:rsid w:val="0041027F"/>
    <w:rsid w:val="00410F9C"/>
    <w:rsid w:val="00412475"/>
    <w:rsid w:val="0041358E"/>
    <w:rsid w:val="004215E1"/>
    <w:rsid w:val="00423789"/>
    <w:rsid w:val="0042498A"/>
    <w:rsid w:val="00440F43"/>
    <w:rsid w:val="00441B6F"/>
    <w:rsid w:val="00442BA3"/>
    <w:rsid w:val="00446221"/>
    <w:rsid w:val="00450E62"/>
    <w:rsid w:val="004539DB"/>
    <w:rsid w:val="00463C24"/>
    <w:rsid w:val="00471A80"/>
    <w:rsid w:val="00486AAF"/>
    <w:rsid w:val="004A7136"/>
    <w:rsid w:val="004C1F16"/>
    <w:rsid w:val="004D305E"/>
    <w:rsid w:val="004D4277"/>
    <w:rsid w:val="004F498D"/>
    <w:rsid w:val="004F6AC5"/>
    <w:rsid w:val="00502516"/>
    <w:rsid w:val="00505F06"/>
    <w:rsid w:val="00506828"/>
    <w:rsid w:val="00511D67"/>
    <w:rsid w:val="005139F9"/>
    <w:rsid w:val="0053056E"/>
    <w:rsid w:val="005506BC"/>
    <w:rsid w:val="0055172F"/>
    <w:rsid w:val="00554FDA"/>
    <w:rsid w:val="005B1E5C"/>
    <w:rsid w:val="005C784C"/>
    <w:rsid w:val="005D17F6"/>
    <w:rsid w:val="005E3C00"/>
    <w:rsid w:val="005E5539"/>
    <w:rsid w:val="005F6C7A"/>
    <w:rsid w:val="00602BF5"/>
    <w:rsid w:val="00617FDD"/>
    <w:rsid w:val="00633614"/>
    <w:rsid w:val="00633F68"/>
    <w:rsid w:val="00636EB2"/>
    <w:rsid w:val="006375B8"/>
    <w:rsid w:val="00646003"/>
    <w:rsid w:val="00653366"/>
    <w:rsid w:val="006549D2"/>
    <w:rsid w:val="0066510A"/>
    <w:rsid w:val="00673F9F"/>
    <w:rsid w:val="00686953"/>
    <w:rsid w:val="00687DEA"/>
    <w:rsid w:val="00687E67"/>
    <w:rsid w:val="00691671"/>
    <w:rsid w:val="006967F7"/>
    <w:rsid w:val="006A250C"/>
    <w:rsid w:val="006B21D3"/>
    <w:rsid w:val="006B57D0"/>
    <w:rsid w:val="006B7A01"/>
    <w:rsid w:val="006D30FF"/>
    <w:rsid w:val="006D5DA1"/>
    <w:rsid w:val="006D6940"/>
    <w:rsid w:val="006F11EC"/>
    <w:rsid w:val="0070082C"/>
    <w:rsid w:val="00724005"/>
    <w:rsid w:val="007328A1"/>
    <w:rsid w:val="007369E6"/>
    <w:rsid w:val="00746E59"/>
    <w:rsid w:val="00754C9A"/>
    <w:rsid w:val="0075599A"/>
    <w:rsid w:val="00761D52"/>
    <w:rsid w:val="0077749E"/>
    <w:rsid w:val="00777B75"/>
    <w:rsid w:val="00790ADA"/>
    <w:rsid w:val="00796483"/>
    <w:rsid w:val="007A07AF"/>
    <w:rsid w:val="007C0612"/>
    <w:rsid w:val="007D2288"/>
    <w:rsid w:val="007D3BCA"/>
    <w:rsid w:val="007D7C8C"/>
    <w:rsid w:val="007E088F"/>
    <w:rsid w:val="007F7B32"/>
    <w:rsid w:val="00803CD9"/>
    <w:rsid w:val="00804BC2"/>
    <w:rsid w:val="0081431A"/>
    <w:rsid w:val="0083216F"/>
    <w:rsid w:val="0084661D"/>
    <w:rsid w:val="00860000"/>
    <w:rsid w:val="00863BD3"/>
    <w:rsid w:val="008641ED"/>
    <w:rsid w:val="00864CA0"/>
    <w:rsid w:val="00866D66"/>
    <w:rsid w:val="008671C6"/>
    <w:rsid w:val="00875803"/>
    <w:rsid w:val="00892B9C"/>
    <w:rsid w:val="008A7BEF"/>
    <w:rsid w:val="008B459E"/>
    <w:rsid w:val="008C6761"/>
    <w:rsid w:val="008E13AE"/>
    <w:rsid w:val="008E1506"/>
    <w:rsid w:val="008E710C"/>
    <w:rsid w:val="008F4BDA"/>
    <w:rsid w:val="008F69D6"/>
    <w:rsid w:val="00902823"/>
    <w:rsid w:val="00915CA6"/>
    <w:rsid w:val="00921027"/>
    <w:rsid w:val="00924FBB"/>
    <w:rsid w:val="00927834"/>
    <w:rsid w:val="00932791"/>
    <w:rsid w:val="009352AB"/>
    <w:rsid w:val="009451F1"/>
    <w:rsid w:val="009500A6"/>
    <w:rsid w:val="00956251"/>
    <w:rsid w:val="00957C18"/>
    <w:rsid w:val="009659BA"/>
    <w:rsid w:val="0097283F"/>
    <w:rsid w:val="00983040"/>
    <w:rsid w:val="00985FB4"/>
    <w:rsid w:val="009928F1"/>
    <w:rsid w:val="009B1044"/>
    <w:rsid w:val="009B3FB9"/>
    <w:rsid w:val="009C2465"/>
    <w:rsid w:val="009D35A0"/>
    <w:rsid w:val="009D7EB7"/>
    <w:rsid w:val="009E048A"/>
    <w:rsid w:val="009E08E9"/>
    <w:rsid w:val="009E123E"/>
    <w:rsid w:val="009E1CF8"/>
    <w:rsid w:val="009E30A0"/>
    <w:rsid w:val="009E3DB9"/>
    <w:rsid w:val="009E6E35"/>
    <w:rsid w:val="009F0EDA"/>
    <w:rsid w:val="00A03B96"/>
    <w:rsid w:val="00A041B9"/>
    <w:rsid w:val="00A05B19"/>
    <w:rsid w:val="00A10521"/>
    <w:rsid w:val="00A1134E"/>
    <w:rsid w:val="00A20B6F"/>
    <w:rsid w:val="00A21E41"/>
    <w:rsid w:val="00A2238E"/>
    <w:rsid w:val="00A24E7E"/>
    <w:rsid w:val="00A258C3"/>
    <w:rsid w:val="00A335F7"/>
    <w:rsid w:val="00A33F1B"/>
    <w:rsid w:val="00A347C0"/>
    <w:rsid w:val="00A44A0E"/>
    <w:rsid w:val="00A51431"/>
    <w:rsid w:val="00A539AD"/>
    <w:rsid w:val="00A55401"/>
    <w:rsid w:val="00A61ACD"/>
    <w:rsid w:val="00A66323"/>
    <w:rsid w:val="00A66705"/>
    <w:rsid w:val="00A7711B"/>
    <w:rsid w:val="00A810B3"/>
    <w:rsid w:val="00A94063"/>
    <w:rsid w:val="00AA6219"/>
    <w:rsid w:val="00AA74E0"/>
    <w:rsid w:val="00AB703F"/>
    <w:rsid w:val="00AC6BB8"/>
    <w:rsid w:val="00AC75EE"/>
    <w:rsid w:val="00AE008F"/>
    <w:rsid w:val="00AF5658"/>
    <w:rsid w:val="00B01FCD"/>
    <w:rsid w:val="00B16177"/>
    <w:rsid w:val="00B1776C"/>
    <w:rsid w:val="00B22541"/>
    <w:rsid w:val="00B30413"/>
    <w:rsid w:val="00B34835"/>
    <w:rsid w:val="00B41506"/>
    <w:rsid w:val="00B52583"/>
    <w:rsid w:val="00B52896"/>
    <w:rsid w:val="00B57C2C"/>
    <w:rsid w:val="00B64435"/>
    <w:rsid w:val="00B95236"/>
    <w:rsid w:val="00B96BD9"/>
    <w:rsid w:val="00BA1170"/>
    <w:rsid w:val="00BA1B01"/>
    <w:rsid w:val="00BA2641"/>
    <w:rsid w:val="00BA58F1"/>
    <w:rsid w:val="00BB37AA"/>
    <w:rsid w:val="00BC53A0"/>
    <w:rsid w:val="00BD5BF9"/>
    <w:rsid w:val="00BE62AD"/>
    <w:rsid w:val="00BF121F"/>
    <w:rsid w:val="00BF1F50"/>
    <w:rsid w:val="00BF1F80"/>
    <w:rsid w:val="00BF3BED"/>
    <w:rsid w:val="00C00BAB"/>
    <w:rsid w:val="00C01DE5"/>
    <w:rsid w:val="00C166EF"/>
    <w:rsid w:val="00C17EB0"/>
    <w:rsid w:val="00C2184D"/>
    <w:rsid w:val="00C27F5F"/>
    <w:rsid w:val="00C30A0F"/>
    <w:rsid w:val="00C37E61"/>
    <w:rsid w:val="00C70F1B"/>
    <w:rsid w:val="00C71A47"/>
    <w:rsid w:val="00C72975"/>
    <w:rsid w:val="00C7464C"/>
    <w:rsid w:val="00C85588"/>
    <w:rsid w:val="00CA7536"/>
    <w:rsid w:val="00CC794B"/>
    <w:rsid w:val="00CD0C2F"/>
    <w:rsid w:val="00CD6755"/>
    <w:rsid w:val="00CD6856"/>
    <w:rsid w:val="00CE0089"/>
    <w:rsid w:val="00CE793C"/>
    <w:rsid w:val="00CF193C"/>
    <w:rsid w:val="00CF6FB9"/>
    <w:rsid w:val="00D10668"/>
    <w:rsid w:val="00D173F1"/>
    <w:rsid w:val="00D35299"/>
    <w:rsid w:val="00D362CA"/>
    <w:rsid w:val="00D378C5"/>
    <w:rsid w:val="00D4086F"/>
    <w:rsid w:val="00D610E7"/>
    <w:rsid w:val="00D74CB0"/>
    <w:rsid w:val="00D8216C"/>
    <w:rsid w:val="00D8295D"/>
    <w:rsid w:val="00D842D1"/>
    <w:rsid w:val="00D85D2E"/>
    <w:rsid w:val="00DA5923"/>
    <w:rsid w:val="00DB3532"/>
    <w:rsid w:val="00DC2A65"/>
    <w:rsid w:val="00DC3D78"/>
    <w:rsid w:val="00DD435D"/>
    <w:rsid w:val="00DE0544"/>
    <w:rsid w:val="00DE15F0"/>
    <w:rsid w:val="00DE4E30"/>
    <w:rsid w:val="00DE5663"/>
    <w:rsid w:val="00DE78AA"/>
    <w:rsid w:val="00DF21BA"/>
    <w:rsid w:val="00E053D0"/>
    <w:rsid w:val="00E15994"/>
    <w:rsid w:val="00E3114E"/>
    <w:rsid w:val="00E31A70"/>
    <w:rsid w:val="00E35B02"/>
    <w:rsid w:val="00E424B7"/>
    <w:rsid w:val="00E66496"/>
    <w:rsid w:val="00E66B35"/>
    <w:rsid w:val="00E66E10"/>
    <w:rsid w:val="00E769F6"/>
    <w:rsid w:val="00E8407C"/>
    <w:rsid w:val="00E84F3C"/>
    <w:rsid w:val="00E96026"/>
    <w:rsid w:val="00EA012C"/>
    <w:rsid w:val="00EA6663"/>
    <w:rsid w:val="00EB6B1C"/>
    <w:rsid w:val="00EC6A55"/>
    <w:rsid w:val="00ED0288"/>
    <w:rsid w:val="00ED7AE5"/>
    <w:rsid w:val="00EE52CB"/>
    <w:rsid w:val="00EF0B79"/>
    <w:rsid w:val="00EF581D"/>
    <w:rsid w:val="00EF7FD8"/>
    <w:rsid w:val="00F065D9"/>
    <w:rsid w:val="00F06F59"/>
    <w:rsid w:val="00F17988"/>
    <w:rsid w:val="00F22068"/>
    <w:rsid w:val="00F25308"/>
    <w:rsid w:val="00F3262E"/>
    <w:rsid w:val="00F3277F"/>
    <w:rsid w:val="00F333A4"/>
    <w:rsid w:val="00F469F0"/>
    <w:rsid w:val="00F53206"/>
    <w:rsid w:val="00F53273"/>
    <w:rsid w:val="00F602E7"/>
    <w:rsid w:val="00F755E4"/>
    <w:rsid w:val="00F77D02"/>
    <w:rsid w:val="00F81E74"/>
    <w:rsid w:val="00F87A7E"/>
    <w:rsid w:val="00FB3A86"/>
    <w:rsid w:val="00FD36C8"/>
    <w:rsid w:val="00FF0E23"/>
    <w:rsid w:val="00FF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4B746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7A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D7AE5"/>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ED7AE5"/>
    <w:rPr>
      <w:rFonts w:ascii="Calibri" w:hAnsi="Calibri"/>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64CA0"/>
    <w:pPr>
      <w:spacing w:after="200" w:line="276" w:lineRule="auto"/>
      <w:ind w:left="720"/>
      <w:contextualSpacing/>
    </w:pPr>
    <w:rPr>
      <w:rFonts w:ascii="Calibri" w:hAnsi="Calibr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iomaterials.2015.12.016" TargetMode="External"/><Relationship Id="rId117" Type="http://schemas.openxmlformats.org/officeDocument/2006/relationships/theme" Target="theme/theme1.xml"/><Relationship Id="rId21" Type="http://schemas.openxmlformats.org/officeDocument/2006/relationships/hyperlink" Target="https://doi.org/10.1083/jcb.201102147" TargetMode="External"/><Relationship Id="rId42" Type="http://schemas.openxmlformats.org/officeDocument/2006/relationships/hyperlink" Target="https://doi.org/10.1016/j.ddtec.2017.03.002" TargetMode="External"/><Relationship Id="rId47" Type="http://schemas.openxmlformats.org/officeDocument/2006/relationships/hyperlink" Target="https://doi.org/10.1038/s41591-019-0584-2" TargetMode="External"/><Relationship Id="rId63" Type="http://schemas.openxmlformats.org/officeDocument/2006/relationships/hyperlink" Target="https://doi.org/10.1088/1758-5090/8/1/014101" TargetMode="External"/><Relationship Id="rId68" Type="http://schemas.openxmlformats.org/officeDocument/2006/relationships/hyperlink" Target="https://doi.org/10.1007/978-981-97-3909-7_6" TargetMode="External"/><Relationship Id="rId84" Type="http://schemas.openxmlformats.org/officeDocument/2006/relationships/hyperlink" Target="https://doi.org/10.1038/ncomms4935" TargetMode="External"/><Relationship Id="rId89" Type="http://schemas.openxmlformats.org/officeDocument/2006/relationships/hyperlink" Target="https://doi.org/10.1016/j.biomaterials.2015.10.076" TargetMode="External"/><Relationship Id="rId112" Type="http://schemas.openxmlformats.org/officeDocument/2006/relationships/header" Target="header4.xml"/><Relationship Id="rId16" Type="http://schemas.openxmlformats.org/officeDocument/2006/relationships/hyperlink" Target="https://doi.org/10.1016/j.cell.2011.02.013" TargetMode="External"/><Relationship Id="rId107" Type="http://schemas.openxmlformats.org/officeDocument/2006/relationships/hyperlink" Target="https://doi.org/10.1016/j.trecan.2020.06.002" TargetMode="External"/><Relationship Id="rId11" Type="http://schemas.openxmlformats.org/officeDocument/2006/relationships/footer" Target="footer2.xml"/><Relationship Id="rId32" Type="http://schemas.openxmlformats.org/officeDocument/2006/relationships/hyperlink" Target="https://doi.org/10.1088/1758-5090/aa7484" TargetMode="External"/><Relationship Id="rId37" Type="http://schemas.openxmlformats.org/officeDocument/2006/relationships/hyperlink" Target="https://doi.org/10.1177/24726303221107750" TargetMode="External"/><Relationship Id="rId53" Type="http://schemas.openxmlformats.org/officeDocument/2006/relationships/hyperlink" Target="https://doi.org/10.2217/nnm.10.12" TargetMode="External"/><Relationship Id="rId58" Type="http://schemas.openxmlformats.org/officeDocument/2006/relationships/hyperlink" Target="https://doi.org/10.1126/sciadv.aaw2459" TargetMode="External"/><Relationship Id="rId74" Type="http://schemas.openxmlformats.org/officeDocument/2006/relationships/hyperlink" Target="https://doi.org/10.1016/j.biomaterials.2017.03.005" TargetMode="External"/><Relationship Id="rId79" Type="http://schemas.openxmlformats.org/officeDocument/2006/relationships/hyperlink" Target="https://doi.org/10.1016/j.addr.2014.07.002" TargetMode="External"/><Relationship Id="rId102" Type="http://schemas.openxmlformats.org/officeDocument/2006/relationships/hyperlink" Target="https://doi.org/10.1016/j.tibtech.2021.08.007" TargetMode="External"/><Relationship Id="rId5" Type="http://schemas.openxmlformats.org/officeDocument/2006/relationships/webSettings" Target="webSettings.xml"/><Relationship Id="rId90" Type="http://schemas.openxmlformats.org/officeDocument/2006/relationships/hyperlink" Target="https://doi.org/10.1016/j.biomaterials.2008.12.009" TargetMode="External"/><Relationship Id="rId95" Type="http://schemas.openxmlformats.org/officeDocument/2006/relationships/hyperlink" Target="https://doi.org/10.1126/science.1188302" TargetMode="External"/><Relationship Id="rId22" Type="http://schemas.openxmlformats.org/officeDocument/2006/relationships/hyperlink" Target="https://doi.org/10.15252/embr.201439246" TargetMode="External"/><Relationship Id="rId27" Type="http://schemas.openxmlformats.org/officeDocument/2006/relationships/hyperlink" Target="https://doi.org/10.1038/nrm3873" TargetMode="External"/><Relationship Id="rId43" Type="http://schemas.openxmlformats.org/officeDocument/2006/relationships/hyperlink" Target="https://doi.org/10.1016/j.cell.2016.05.082" TargetMode="External"/><Relationship Id="rId48" Type="http://schemas.openxmlformats.org/officeDocument/2006/relationships/hyperlink" Target="https://doi.org/10.1158/2159-8290.CD-18-0349" TargetMode="External"/><Relationship Id="rId64" Type="http://schemas.openxmlformats.org/officeDocument/2006/relationships/hyperlink" Target="https://doi.org/10.1016/j.tibtech.2015.06.007" TargetMode="External"/><Relationship Id="rId69" Type="http://schemas.openxmlformats.org/officeDocument/2006/relationships/hyperlink" Target="https://doi.org/10.4018/979-8-3693-7101-5.ch014" TargetMode="External"/><Relationship Id="rId113" Type="http://schemas.openxmlformats.org/officeDocument/2006/relationships/header" Target="header5.xml"/><Relationship Id="rId80" Type="http://schemas.openxmlformats.org/officeDocument/2006/relationships/hyperlink" Target="https://doi.org/10.1146/annurev-cancerbio-030518-055609" TargetMode="External"/><Relationship Id="rId85" Type="http://schemas.openxmlformats.org/officeDocument/2006/relationships/hyperlink" Target="https://doi.org/10.1038/nbt.2958" TargetMode="External"/><Relationship Id="rId12" Type="http://schemas.openxmlformats.org/officeDocument/2006/relationships/header" Target="header3.xml"/><Relationship Id="rId17" Type="http://schemas.openxmlformats.org/officeDocument/2006/relationships/hyperlink" Target="https://doi.org/10.1038/nm.3394" TargetMode="External"/><Relationship Id="rId33" Type="http://schemas.openxmlformats.org/officeDocument/2006/relationships/hyperlink" Target="https://doi.org/10.1002/bit.26845" TargetMode="External"/><Relationship Id="rId38" Type="http://schemas.openxmlformats.org/officeDocument/2006/relationships/hyperlink" Target="https://doi.org/10.1016/j.addr.2014.03.001" TargetMode="External"/><Relationship Id="rId59" Type="http://schemas.openxmlformats.org/officeDocument/2006/relationships/hyperlink" Target="https://doi.org/10.1002/adma.201806590" TargetMode="External"/><Relationship Id="rId103" Type="http://schemas.openxmlformats.org/officeDocument/2006/relationships/hyperlink" Target="https://doi.org/10.3389/fonc.2023.1150332" TargetMode="External"/><Relationship Id="rId108" Type="http://schemas.openxmlformats.org/officeDocument/2006/relationships/hyperlink" Target="https://doi.org/10.1088/1758-5090/ac6d11" TargetMode="External"/><Relationship Id="rId54" Type="http://schemas.openxmlformats.org/officeDocument/2006/relationships/hyperlink" Target="https://doi.org/10.1016/j.jconrel.2012.06.039" TargetMode="External"/><Relationship Id="rId70" Type="http://schemas.openxmlformats.org/officeDocument/2006/relationships/hyperlink" Target="https://doi.org/10.1371/journal.pone.0056910" TargetMode="External"/><Relationship Id="rId75" Type="http://schemas.openxmlformats.org/officeDocument/2006/relationships/hyperlink" Target="https://doi.org/10.1039/C6LC01422D" TargetMode="External"/><Relationship Id="rId91" Type="http://schemas.openxmlformats.org/officeDocument/2006/relationships/hyperlink" Target="https://doi.org/10.1016/j.biomaterials.2016.06.012" TargetMode="External"/><Relationship Id="rId96" Type="http://schemas.openxmlformats.org/officeDocument/2006/relationships/hyperlink" Target="https://doi.org/10.1038/nrd453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jbiotec.2010.01.012" TargetMode="External"/><Relationship Id="rId28" Type="http://schemas.openxmlformats.org/officeDocument/2006/relationships/hyperlink" Target="https://doi.org/10.1038/s41568-018-0104-6" TargetMode="External"/><Relationship Id="rId49" Type="http://schemas.openxmlformats.org/officeDocument/2006/relationships/hyperlink" Target="https://doi.org/10.1016/j.cell.2019.11.036" TargetMode="External"/><Relationship Id="rId114"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063/1.5056188" TargetMode="External"/><Relationship Id="rId44" Type="http://schemas.openxmlformats.org/officeDocument/2006/relationships/hyperlink" Target="https://doi.org/10.1126/science.aao2774" TargetMode="External"/><Relationship Id="rId52" Type="http://schemas.openxmlformats.org/officeDocument/2006/relationships/hyperlink" Target="https://doi.org/10.1002/bit.22361" TargetMode="External"/><Relationship Id="rId60" Type="http://schemas.openxmlformats.org/officeDocument/2006/relationships/hyperlink" Target="https://doi.org/10.1088/1758-5082/6/3/035001" TargetMode="External"/><Relationship Id="rId65" Type="http://schemas.openxmlformats.org/officeDocument/2006/relationships/hyperlink" Target="https://doi.org/10.1073/pnas.1612906114" TargetMode="External"/><Relationship Id="rId73" Type="http://schemas.openxmlformats.org/officeDocument/2006/relationships/hyperlink" Target="https://doi.org/10.1016/j.biomaterials.2018.08.006" TargetMode="External"/><Relationship Id="rId78" Type="http://schemas.openxmlformats.org/officeDocument/2006/relationships/hyperlink" Target="https://doi.org/10.1016/j.ccr.2012.02.022" TargetMode="External"/><Relationship Id="rId81" Type="http://schemas.openxmlformats.org/officeDocument/2006/relationships/hyperlink" Target="https://doi.org/10.1016/j.cell.2016.04.019" TargetMode="External"/><Relationship Id="rId86" Type="http://schemas.openxmlformats.org/officeDocument/2006/relationships/hyperlink" Target="https://doi.org/10.1002/adma.201302042" TargetMode="External"/><Relationship Id="rId94" Type="http://schemas.openxmlformats.org/officeDocument/2006/relationships/hyperlink" Target="https://doi.org/10.1016/j.biomaterials.2016.09.003" TargetMode="External"/><Relationship Id="rId99" Type="http://schemas.openxmlformats.org/officeDocument/2006/relationships/hyperlink" Target="https://doi.org/10.1039/c2lc40074j" TargetMode="External"/><Relationship Id="rId101" Type="http://schemas.openxmlformats.org/officeDocument/2006/relationships/hyperlink" Target="https://doi.org/10.21037/tcr-2025-128"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242/jcs.116392" TargetMode="External"/><Relationship Id="rId39" Type="http://schemas.openxmlformats.org/officeDocument/2006/relationships/hyperlink" Target="https://doi.org/10.1038/nmeth.3839" TargetMode="External"/><Relationship Id="rId109" Type="http://schemas.openxmlformats.org/officeDocument/2006/relationships/hyperlink" Target="https://www.jstage.jst.go.jp/article/trs/7/2/7_63/_article/-char/ja/" TargetMode="External"/><Relationship Id="rId34" Type="http://schemas.openxmlformats.org/officeDocument/2006/relationships/hyperlink" Target="https://doi.org/10.1073/pnas.1210182109" TargetMode="External"/><Relationship Id="rId50" Type="http://schemas.openxmlformats.org/officeDocument/2006/relationships/hyperlink" Target="http://jidps.com" TargetMode="External"/><Relationship Id="rId55" Type="http://schemas.openxmlformats.org/officeDocument/2006/relationships/hyperlink" Target="https://doi.org/10.3389/fonc.2023.1150332" TargetMode="External"/><Relationship Id="rId76" Type="http://schemas.openxmlformats.org/officeDocument/2006/relationships/hyperlink" Target="https://doi.org/10.1002/advs.201900344" TargetMode="External"/><Relationship Id="rId97" Type="http://schemas.openxmlformats.org/officeDocument/2006/relationships/hyperlink" Target="https://doi.org/10.1016/j.biomaterials.2019.119547" TargetMode="External"/><Relationship Id="rId104" Type="http://schemas.openxmlformats.org/officeDocument/2006/relationships/hyperlink" Target="https://doi.org/10.1002/adfm.201807173" TargetMode="External"/><Relationship Id="rId7" Type="http://schemas.openxmlformats.org/officeDocument/2006/relationships/endnotes" Target="endnotes.xml"/><Relationship Id="rId71" Type="http://schemas.openxmlformats.org/officeDocument/2006/relationships/hyperlink" Target="https://doi.org/10.1016/j.biomaterials.2013.11.050" TargetMode="External"/><Relationship Id="rId92" Type="http://schemas.openxmlformats.org/officeDocument/2006/relationships/hyperlink" Target="https://doi.org/10.1002/bit.24455" TargetMode="External"/><Relationship Id="rId2" Type="http://schemas.openxmlformats.org/officeDocument/2006/relationships/numbering" Target="numbering.xml"/><Relationship Id="rId29" Type="http://schemas.openxmlformats.org/officeDocument/2006/relationships/hyperlink" Target="https://doi.org/10.1038/nbt.2989" TargetMode="External"/><Relationship Id="rId24" Type="http://schemas.openxmlformats.org/officeDocument/2006/relationships/hyperlink" Target="https://doi.org/10.1089/adt.2014.573" TargetMode="External"/><Relationship Id="rId40" Type="http://schemas.openxmlformats.org/officeDocument/2006/relationships/hyperlink" Target="https://doi.org/10.1016/j.pharmthera.2012.01.001" TargetMode="External"/><Relationship Id="rId45" Type="http://schemas.openxmlformats.org/officeDocument/2006/relationships/hyperlink" Target="https://doi.org/10.52711/0974-360X.2021.00356" TargetMode="External"/><Relationship Id="rId66" Type="http://schemas.openxmlformats.org/officeDocument/2006/relationships/hyperlink" Target="https://doi.org/10.1126/science.aav9051" TargetMode="External"/><Relationship Id="rId87" Type="http://schemas.openxmlformats.org/officeDocument/2006/relationships/hyperlink" Target="https://doi.org/10.1039/c7bm00765e" TargetMode="External"/><Relationship Id="rId110" Type="http://schemas.openxmlformats.org/officeDocument/2006/relationships/hyperlink" Target="https://doi.org/10.33611/trs.2025-002" TargetMode="External"/><Relationship Id="rId115" Type="http://schemas.openxmlformats.org/officeDocument/2006/relationships/header" Target="header6.xml"/><Relationship Id="rId61" Type="http://schemas.openxmlformats.org/officeDocument/2006/relationships/hyperlink" Target="https://doi.org/10.1073/pnas.1508520112" TargetMode="External"/><Relationship Id="rId82" Type="http://schemas.openxmlformats.org/officeDocument/2006/relationships/hyperlink" Target="https://doi.org/10.1007/s10439-016-1638-y" TargetMode="External"/><Relationship Id="rId19" Type="http://schemas.openxmlformats.org/officeDocument/2006/relationships/hyperlink" Target="https://doi.org/10.1038/nature12626" TargetMode="External"/><Relationship Id="rId14" Type="http://schemas.openxmlformats.org/officeDocument/2006/relationships/image" Target="media/image1.png"/><Relationship Id="rId30" Type="http://schemas.openxmlformats.org/officeDocument/2006/relationships/hyperlink" Target="https://doi.org/10.1002/jcp.24683" TargetMode="External"/><Relationship Id="rId35" Type="http://schemas.openxmlformats.org/officeDocument/2006/relationships/hyperlink" Target="https://doi.org/10.1016/j.neo.2014.12.004" TargetMode="External"/><Relationship Id="rId56" Type="http://schemas.openxmlformats.org/officeDocument/2006/relationships/hyperlink" Target="https://doi.org/10.3390/ijms232314582" TargetMode="External"/><Relationship Id="rId77" Type="http://schemas.openxmlformats.org/officeDocument/2006/relationships/hyperlink" Target="https://doi.org/10.1038/nature12624" TargetMode="External"/><Relationship Id="rId100" Type="http://schemas.openxmlformats.org/officeDocument/2006/relationships/hyperlink" Target="https://doi.org/10.1186/s13036-023-00372-6" TargetMode="External"/><Relationship Id="rId105" Type="http://schemas.openxmlformats.org/officeDocument/2006/relationships/hyperlink" Target="https://doi.org/10.7150/thno.90093" TargetMode="External"/><Relationship Id="rId8" Type="http://schemas.openxmlformats.org/officeDocument/2006/relationships/header" Target="header1.xml"/><Relationship Id="rId51" Type="http://schemas.openxmlformats.org/officeDocument/2006/relationships/hyperlink" Target="https://doi.org/10.1039/B916933D" TargetMode="External"/><Relationship Id="rId72" Type="http://schemas.openxmlformats.org/officeDocument/2006/relationships/hyperlink" Target="https://doi.org/10.1073/pnas.1521342113" TargetMode="External"/><Relationship Id="rId93" Type="http://schemas.openxmlformats.org/officeDocument/2006/relationships/hyperlink" Target="https://doi.org/10.1016/j.biomaterials.2015.08.045" TargetMode="External"/><Relationship Id="rId98" Type="http://schemas.openxmlformats.org/officeDocument/2006/relationships/hyperlink" Target="https://doi.org/10.1016/j.biomaterials.2021.120826" TargetMode="External"/><Relationship Id="rId3" Type="http://schemas.openxmlformats.org/officeDocument/2006/relationships/styles" Target="styles.xml"/><Relationship Id="rId25" Type="http://schemas.openxmlformats.org/officeDocument/2006/relationships/hyperlink" Target="https://doi.org/10.1177/1087057117696795" TargetMode="External"/><Relationship Id="rId46" Type="http://schemas.openxmlformats.org/officeDocument/2006/relationships/hyperlink" Target="https://doi.org/10.1126/scitranslmed.aay2574" TargetMode="External"/><Relationship Id="rId67" Type="http://schemas.openxmlformats.org/officeDocument/2006/relationships/hyperlink" Target="https://doi.org/10.1073/pnas.1524510113" TargetMode="External"/><Relationship Id="rId116" Type="http://schemas.openxmlformats.org/officeDocument/2006/relationships/fontTable" Target="fontTable.xml"/><Relationship Id="rId20" Type="http://schemas.openxmlformats.org/officeDocument/2006/relationships/hyperlink" Target="https://doi.org/10.1038/nrc.2016.73" TargetMode="External"/><Relationship Id="rId41" Type="http://schemas.openxmlformats.org/officeDocument/2006/relationships/hyperlink" Target="https://doi.org/10.1016/j.biotechadv.2016.11.002" TargetMode="External"/><Relationship Id="rId62" Type="http://schemas.openxmlformats.org/officeDocument/2006/relationships/hyperlink" Target="https://doi.org/10.1002/adma.201305506" TargetMode="External"/><Relationship Id="rId83" Type="http://schemas.openxmlformats.org/officeDocument/2006/relationships/hyperlink" Target="https://doi.org/10.1016/j.biomaterials.2017.11.030" TargetMode="External"/><Relationship Id="rId88" Type="http://schemas.openxmlformats.org/officeDocument/2006/relationships/hyperlink" Target="https://doi.org/10.1016/j.biotechadv.2015.12.011" TargetMode="External"/><Relationship Id="rId111" Type="http://schemas.openxmlformats.org/officeDocument/2006/relationships/hyperlink" Target="https://doi.org/10.22270/ijdra.v8i3.411" TargetMode="External"/><Relationship Id="rId15" Type="http://schemas.openxmlformats.org/officeDocument/2006/relationships/image" Target="media/image2.jpeg"/><Relationship Id="rId36" Type="http://schemas.openxmlformats.org/officeDocument/2006/relationships/hyperlink" Target="https://doi.org/10.1080/09205063.2024.2429328" TargetMode="External"/><Relationship Id="rId57" Type="http://schemas.openxmlformats.org/officeDocument/2006/relationships/hyperlink" Target="https://doi.org/10.3389/fmed.2022.912641" TargetMode="External"/><Relationship Id="rId106" Type="http://schemas.openxmlformats.org/officeDocument/2006/relationships/hyperlink" Target="https://doi.org/10.3390/bios12121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9C8D-A54F-4DA2-81FA-BC8D08B7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24</Pages>
  <Words>12670</Words>
  <Characters>72223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84724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SEETHARAM GUDE</cp:lastModifiedBy>
  <cp:revision>128</cp:revision>
  <cp:lastPrinted>1999-07-06T11:00:00Z</cp:lastPrinted>
  <dcterms:created xsi:type="dcterms:W3CDTF">2014-10-25T14:34:00Z</dcterms:created>
  <dcterms:modified xsi:type="dcterms:W3CDTF">2025-12-11T14:45:00Z</dcterms:modified>
</cp:coreProperties>
</file>