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26A0" w14:textId="77777777" w:rsidR="00162976" w:rsidRPr="00162976" w:rsidRDefault="00162976" w:rsidP="002A233A">
      <w:pPr>
        <w:jc w:val="center"/>
        <w:rPr>
          <w:rFonts w:ascii="Times New Roman" w:hAnsi="Times New Roman" w:cs="Times New Roman"/>
          <w:b/>
          <w:bCs/>
        </w:rPr>
      </w:pPr>
      <w:r w:rsidRPr="00162976">
        <w:rPr>
          <w:rFonts w:ascii="Times New Roman" w:hAnsi="Times New Roman" w:cs="Times New Roman"/>
          <w:b/>
          <w:bCs/>
        </w:rPr>
        <w:t>Strategic Trade Engagement as a Catalyst for Sustainable Development: A Systematic Review of Policies and Outcomes in Developing Economies</w:t>
      </w:r>
    </w:p>
    <w:p w14:paraId="59F9DE62" w14:textId="22307D1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ABSTRACT</w:t>
      </w:r>
    </w:p>
    <w:p w14:paraId="4E815CFA" w14:textId="7560E86C" w:rsidR="00A943C7" w:rsidRPr="00A943C7" w:rsidRDefault="001760B2" w:rsidP="00162976">
      <w:pPr>
        <w:jc w:val="both"/>
        <w:rPr>
          <w:rFonts w:ascii="Times New Roman" w:hAnsi="Times New Roman" w:cs="Times New Roman"/>
        </w:rPr>
      </w:pPr>
      <w:r>
        <w:rPr>
          <w:rFonts w:ascii="Times New Roman" w:hAnsi="Times New Roman" w:cs="Times New Roman"/>
        </w:rPr>
        <w:t>International commerce serves as a vital conduit for economic transformation in underdeveloped nations. This study rigorously analyzes how strategic participation in global trade might act as a catalyst for sustainable development, addressing the opportunities and problems encountered by developing economies in the current trade environment. The study examines the mechanisms by which trade facilitates economic transformation, the significance of human capital development, and the policy frameworks required for equitable and sustainable results. This study utilizes a systematic literature review methodology, examining 87 peer-reviewed publications, policy documents, and reports published from 2010 to 2024. The review integrates theoretical frameworks such as comparative advantage, export-led growth, and inclusive trade policy with empirical data from developing nations. The analysis identified five pivotal factors affecting trade-driven sustainable development: strategic identification and enhancement of comparative advantages (73% of reviewed studies), development of human capital and skill formation (68%), integration into global value chains with upgrading capabilities (64%), inclusive trade policies promoting social equity (52%), and incorporation of environmental sustainability (47%). Countries exhibiting successful trade-driven development allocated an average of 4.5-6% of GDP to education and infrastructure, attained annual export growth rates of 8-12%, and diminished poverty rates by 15-25% over ten-year spans. Strategic involvement in international trade, along with comprehensive policies promoting social inclusion and environmental sustainability, can effectively propel sustainable growth in developing economies. Success necessitates the integration of coordinated policy frameworks encompassing trade promotion, investment in human resources, infrastructure development, and social protection systems. Policymakers must prioritize the enhancement of institutional capacity for trade facilitation, invest in educational and technological infrastructure, and guarantee that trade advantages extend to vulnerable communities. The evidence robustly advocates for transcending GDP-centric growth models in favor of holistic development strategies that guarantee equitable distribution of benefits and environmental sustainability.</w:t>
      </w:r>
    </w:p>
    <w:p w14:paraId="53A09961" w14:textId="3E4A96A0"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Keywords:</w:t>
      </w:r>
      <w:r w:rsidRPr="00162976">
        <w:rPr>
          <w:rFonts w:ascii="Times New Roman" w:hAnsi="Times New Roman" w:cs="Times New Roman"/>
        </w:rPr>
        <w:t xml:space="preserve"> International trade, developing countries, sustainable development, global value chains, export-led growth, trade policy, economic transformation, human capital</w:t>
      </w:r>
    </w:p>
    <w:p w14:paraId="1D96B940" w14:textId="77777777" w:rsidR="002A233A" w:rsidRDefault="002A233A" w:rsidP="00162976">
      <w:pPr>
        <w:jc w:val="both"/>
        <w:rPr>
          <w:rFonts w:ascii="Times New Roman" w:hAnsi="Times New Roman" w:cs="Times New Roman"/>
        </w:rPr>
      </w:pPr>
    </w:p>
    <w:p w14:paraId="4B9F836E" w14:textId="77777777" w:rsidR="002A233A" w:rsidRDefault="002A233A" w:rsidP="00162976">
      <w:pPr>
        <w:jc w:val="both"/>
        <w:rPr>
          <w:rFonts w:ascii="Times New Roman" w:hAnsi="Times New Roman" w:cs="Times New Roman"/>
        </w:rPr>
      </w:pPr>
    </w:p>
    <w:p w14:paraId="3088C498" w14:textId="77777777" w:rsidR="002A233A" w:rsidRDefault="002A233A" w:rsidP="00162976">
      <w:pPr>
        <w:jc w:val="both"/>
        <w:rPr>
          <w:rFonts w:ascii="Times New Roman" w:hAnsi="Times New Roman" w:cs="Times New Roman"/>
        </w:rPr>
      </w:pPr>
    </w:p>
    <w:p w14:paraId="0F41C60A" w14:textId="77777777" w:rsidR="002A233A" w:rsidRDefault="002A233A" w:rsidP="00162976">
      <w:pPr>
        <w:jc w:val="both"/>
        <w:rPr>
          <w:rFonts w:ascii="Times New Roman" w:hAnsi="Times New Roman" w:cs="Times New Roman"/>
        </w:rPr>
      </w:pPr>
    </w:p>
    <w:p w14:paraId="3F9910BC" w14:textId="77777777" w:rsidR="00A943C7" w:rsidRDefault="00A943C7" w:rsidP="00162976">
      <w:pPr>
        <w:jc w:val="both"/>
        <w:rPr>
          <w:rFonts w:ascii="Times New Roman" w:hAnsi="Times New Roman" w:cs="Times New Roman"/>
        </w:rPr>
      </w:pPr>
    </w:p>
    <w:p w14:paraId="709E4597" w14:textId="77777777" w:rsidR="00A943C7" w:rsidRDefault="00A943C7" w:rsidP="00162976">
      <w:pPr>
        <w:jc w:val="both"/>
        <w:rPr>
          <w:rFonts w:ascii="Times New Roman" w:hAnsi="Times New Roman" w:cs="Times New Roman"/>
        </w:rPr>
      </w:pPr>
    </w:p>
    <w:p w14:paraId="66DE7C22" w14:textId="6957357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INTRODUCTION</w:t>
      </w:r>
    </w:p>
    <w:p w14:paraId="1C318524" w14:textId="77777777" w:rsidR="001760B2" w:rsidRDefault="001760B2" w:rsidP="00162976">
      <w:pPr>
        <w:jc w:val="both"/>
        <w:rPr>
          <w:rFonts w:ascii="Times New Roman" w:hAnsi="Times New Roman" w:cs="Times New Roman"/>
        </w:rPr>
      </w:pPr>
      <w:r>
        <w:rPr>
          <w:rFonts w:ascii="Times New Roman" w:hAnsi="Times New Roman" w:cs="Times New Roman"/>
        </w:rPr>
        <w:t>The convergence of international commerce and sustainable development constitutes a pivotal and contentious issue in modern development economics. From 1990 to 2017, developing nations that systematically enhanced their global export share witnessed significant declines in poverty rates, resulting in around one billion individuals rising beyond poverty thresholds (World Bank, 2020; Parrilli et al., 2016). This notable accomplishment illustrates the transformative capacity of commerce as a tool for development. Nonetheless, the advantages of trade liberalization have been inequitably allocated both across and within nations, prompting essential inquiries regarding the circumstances that facilitate trade's contribution to inclusive and sustainable development (Rodrik, 2018; Stiglitz, 2021).</w:t>
      </w:r>
    </w:p>
    <w:p w14:paraId="53AA38F5" w14:textId="77777777" w:rsidR="001760B2" w:rsidRDefault="001760B2" w:rsidP="00162976">
      <w:pPr>
        <w:jc w:val="both"/>
        <w:rPr>
          <w:rFonts w:ascii="Times New Roman" w:hAnsi="Times New Roman" w:cs="Times New Roman"/>
        </w:rPr>
      </w:pPr>
      <w:r>
        <w:rPr>
          <w:rFonts w:ascii="Times New Roman" w:hAnsi="Times New Roman" w:cs="Times New Roman"/>
        </w:rPr>
        <w:t xml:space="preserve">The COVID-19 pandemic significantly interrupted global trade, revealing weaknesses in trade-reliant development policies and inciting demands for enhanced resilience and diversification (Baldwin and Freeman, 2022; </w:t>
      </w:r>
      <w:proofErr w:type="spellStart"/>
      <w:r>
        <w:rPr>
          <w:rFonts w:ascii="Times New Roman" w:hAnsi="Times New Roman" w:cs="Times New Roman"/>
        </w:rPr>
        <w:t>Evenett</w:t>
      </w:r>
      <w:proofErr w:type="spellEnd"/>
      <w:r>
        <w:rPr>
          <w:rFonts w:ascii="Times New Roman" w:hAnsi="Times New Roman" w:cs="Times New Roman"/>
        </w:rPr>
        <w:t xml:space="preserve"> and Fritz, 2021). In 2020, global goods trade volumes decreased by 5.3%, with poor nations seeing disproportionate effects due to their reliance on severely impacted sectors including tourism, textiles, and primary commodities (WTO, 2021). The pandemic's aftermath has required a thorough reevaluation of how developing nations can enhance their participation in international markets while strengthening resilience against external disruptions.</w:t>
      </w:r>
    </w:p>
    <w:p w14:paraId="76F81B2E" w14:textId="77777777" w:rsidR="001760B2" w:rsidRDefault="001760B2" w:rsidP="00162976">
      <w:pPr>
        <w:jc w:val="both"/>
        <w:rPr>
          <w:rFonts w:ascii="Times New Roman" w:hAnsi="Times New Roman" w:cs="Times New Roman"/>
        </w:rPr>
      </w:pPr>
      <w:r>
        <w:rPr>
          <w:rFonts w:ascii="Times New Roman" w:hAnsi="Times New Roman" w:cs="Times New Roman"/>
        </w:rPr>
        <w:t>International trade is the flow of products and services between nations, illustrating the interdependence of global economies and allowing countries to specialize based on their comparative advantages (</w:t>
      </w:r>
      <w:proofErr w:type="spellStart"/>
      <w:r>
        <w:rPr>
          <w:rFonts w:ascii="Times New Roman" w:hAnsi="Times New Roman" w:cs="Times New Roman"/>
        </w:rPr>
        <w:t>Costinot</w:t>
      </w:r>
      <w:proofErr w:type="spellEnd"/>
      <w:r>
        <w:rPr>
          <w:rFonts w:ascii="Times New Roman" w:hAnsi="Times New Roman" w:cs="Times New Roman"/>
        </w:rPr>
        <w:t xml:space="preserve"> and Donaldson, 2012; Krugman et al., 2022). Trade in developing countries embodies a complex duality, providing remarkable opportunities for economic growth, technology transfer, foreign exchange earnings, and market access, while concurrently presenting challenges such as competitive disadvantages, market volatility, asymmetric power dynamics in global governance, and potential social and environmental externalities (Rodrik, 2018; UNCTAD, 2023).</w:t>
      </w:r>
    </w:p>
    <w:p w14:paraId="16F1DFC7" w14:textId="77777777" w:rsidR="001760B2" w:rsidRDefault="001760B2" w:rsidP="00162976">
      <w:pPr>
        <w:jc w:val="both"/>
        <w:rPr>
          <w:rFonts w:ascii="Times New Roman" w:hAnsi="Times New Roman" w:cs="Times New Roman"/>
        </w:rPr>
      </w:pPr>
      <w:r>
        <w:rPr>
          <w:rFonts w:ascii="Times New Roman" w:hAnsi="Times New Roman" w:cs="Times New Roman"/>
        </w:rPr>
        <w:t xml:space="preserve">Recent scholarship has increasingly highlighted the necessity for developing countries to progress beyond mere export promotion towards more advanced strategies that incorporate social inclusivity and environmental sustainability into trade policies (Cao et al., 2023; Mealy et al., 2022; </w:t>
      </w:r>
      <w:proofErr w:type="spellStart"/>
      <w:r>
        <w:rPr>
          <w:rFonts w:ascii="Times New Roman" w:hAnsi="Times New Roman" w:cs="Times New Roman"/>
        </w:rPr>
        <w:t>Rodrik</w:t>
      </w:r>
      <w:proofErr w:type="spellEnd"/>
      <w:r>
        <w:rPr>
          <w:rFonts w:ascii="Times New Roman" w:hAnsi="Times New Roman" w:cs="Times New Roman"/>
        </w:rPr>
        <w:t xml:space="preserve"> and </w:t>
      </w:r>
      <w:proofErr w:type="spellStart"/>
      <w:r>
        <w:rPr>
          <w:rFonts w:ascii="Times New Roman" w:hAnsi="Times New Roman" w:cs="Times New Roman"/>
        </w:rPr>
        <w:t>Stantcheva</w:t>
      </w:r>
      <w:proofErr w:type="spellEnd"/>
      <w:r>
        <w:rPr>
          <w:rFonts w:ascii="Times New Roman" w:hAnsi="Times New Roman" w:cs="Times New Roman"/>
        </w:rPr>
        <w:t>, 2021). This paradigm shift acknowledges that sustainable development necessitates not only overall economic growth but also a comprehensive transformation defined by equitable benefit distribution among social groups, empowerment of marginalized communities, conservation of environmental resources, and resilience to economic disruptions (UNCTAD, 2021; World Bank, 2023).</w:t>
      </w:r>
    </w:p>
    <w:p w14:paraId="70357657" w14:textId="77777777" w:rsidR="001760B2" w:rsidRDefault="001760B2" w:rsidP="00162976">
      <w:pPr>
        <w:jc w:val="both"/>
        <w:rPr>
          <w:rFonts w:ascii="Times New Roman" w:hAnsi="Times New Roman" w:cs="Times New Roman"/>
        </w:rPr>
      </w:pPr>
      <w:r>
        <w:rPr>
          <w:rFonts w:ascii="Times New Roman" w:hAnsi="Times New Roman" w:cs="Times New Roman"/>
        </w:rPr>
        <w:t>Notwithstanding enormous research on trade and development, considerable gaps persist in comprehending how developing nations might strategically utilize trade to attain comprehensive sustainable development goals. Although many research investigate certain elements like export promotion, trade liberalization, or global value chain involvement, there are fewer studies that offer comprehensive frameworks integrating economic, social, and environmental dimensions (</w:t>
      </w:r>
      <w:proofErr w:type="spellStart"/>
      <w:r>
        <w:rPr>
          <w:rFonts w:ascii="Times New Roman" w:hAnsi="Times New Roman" w:cs="Times New Roman"/>
        </w:rPr>
        <w:t>Gereffi</w:t>
      </w:r>
      <w:proofErr w:type="spellEnd"/>
      <w:r>
        <w:rPr>
          <w:rFonts w:ascii="Times New Roman" w:hAnsi="Times New Roman" w:cs="Times New Roman"/>
        </w:rPr>
        <w:t xml:space="preserve"> and Luo, 2022; Taglioni and Winkler, 2016). Furthermore, a significant portion of the current study emphasizes aggregate economic outcomes, neglecting </w:t>
      </w:r>
      <w:r>
        <w:rPr>
          <w:rFonts w:ascii="Times New Roman" w:hAnsi="Times New Roman" w:cs="Times New Roman"/>
        </w:rPr>
        <w:lastRenderedPageBreak/>
        <w:t>distributional consequences and sustainability factors (Amiti et al., 2020; Goldberg and Reed, 2023).</w:t>
      </w:r>
    </w:p>
    <w:p w14:paraId="4ABCDD50" w14:textId="12D591D8" w:rsidR="00162976" w:rsidRPr="00162976" w:rsidRDefault="001760B2" w:rsidP="00162976">
      <w:pPr>
        <w:jc w:val="both"/>
        <w:rPr>
          <w:rFonts w:ascii="Times New Roman" w:hAnsi="Times New Roman" w:cs="Times New Roman"/>
        </w:rPr>
      </w:pPr>
      <w:r>
        <w:rPr>
          <w:rFonts w:ascii="Times New Roman" w:hAnsi="Times New Roman" w:cs="Times New Roman"/>
        </w:rPr>
        <w:t>This study methodically investigates how developing nations might strategically utilize international trade to attain sustainable development goals. The research examines three interconnected inquiries: What are the essential criteria that allow poor nations to effectively utilize trade for sustainable development? How do human capital development and technology skills influence the relationship between trade engagement and developmental outcomes? What policy frameworks and institutional arrangements are required to guarantee that trade advantages are inclusive and environmentally sustainable?</w:t>
      </w:r>
    </w:p>
    <w:p w14:paraId="736CF059" w14:textId="51ABDDA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LITERATURE REVIEW</w:t>
      </w:r>
    </w:p>
    <w:p w14:paraId="354D79A6" w14:textId="4963BA1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Theoretical Foundations of Trade and Development</w:t>
      </w:r>
    </w:p>
    <w:p w14:paraId="062A7914" w14:textId="77777777" w:rsidR="001760B2" w:rsidRDefault="001760B2" w:rsidP="00162976">
      <w:pPr>
        <w:jc w:val="both"/>
        <w:rPr>
          <w:rFonts w:ascii="Times New Roman" w:hAnsi="Times New Roman" w:cs="Times New Roman"/>
        </w:rPr>
      </w:pPr>
      <w:r>
        <w:rPr>
          <w:rFonts w:ascii="Times New Roman" w:hAnsi="Times New Roman" w:cs="Times New Roman"/>
        </w:rPr>
        <w:t>The connection between international commerce and economic development has been thoroughly analyzed across several economic schools of thought. Classical trade theory, based on David Ricardo's (1817) principle of comparative advantage, posits that nations gain from specializing in the production of items in which they possess relative efficiency advantages, regardless of absolute advantages (</w:t>
      </w:r>
      <w:proofErr w:type="spellStart"/>
      <w:r>
        <w:rPr>
          <w:rFonts w:ascii="Times New Roman" w:hAnsi="Times New Roman" w:cs="Times New Roman"/>
        </w:rPr>
        <w:t>Costinot</w:t>
      </w:r>
      <w:proofErr w:type="spellEnd"/>
      <w:r>
        <w:rPr>
          <w:rFonts w:ascii="Times New Roman" w:hAnsi="Times New Roman" w:cs="Times New Roman"/>
        </w:rPr>
        <w:t xml:space="preserve"> and Donaldson, 2012). This fundamental understanding indicates that trade allows nations to overcome domestic resource limitations, access broader markets, and gain advantages from international specialization.</w:t>
      </w:r>
    </w:p>
    <w:p w14:paraId="68FD075C" w14:textId="77777777" w:rsidR="001760B2" w:rsidRDefault="001760B2" w:rsidP="00162976">
      <w:pPr>
        <w:jc w:val="both"/>
        <w:rPr>
          <w:rFonts w:ascii="Times New Roman" w:hAnsi="Times New Roman" w:cs="Times New Roman"/>
        </w:rPr>
      </w:pPr>
      <w:r>
        <w:rPr>
          <w:rFonts w:ascii="Times New Roman" w:hAnsi="Times New Roman" w:cs="Times New Roman"/>
        </w:rPr>
        <w:t xml:space="preserve">The Heckscher-Ohlin model enhances classical theory by highlighting factor endowments as determinants of comparative advantage, forecasting that nations export items that are intense in their abundant production factors (Morrow, 2010). Despite their influence, these models have faced criticism for oversimplifying the intricacies of modern commerce, especially in relation to technology, growing returns to scale, and imperfect competition (Krugman, 1979, 1980; </w:t>
      </w:r>
      <w:proofErr w:type="spellStart"/>
      <w:r>
        <w:rPr>
          <w:rFonts w:ascii="Times New Roman" w:hAnsi="Times New Roman" w:cs="Times New Roman"/>
        </w:rPr>
        <w:t>Helpman</w:t>
      </w:r>
      <w:proofErr w:type="spellEnd"/>
      <w:r>
        <w:rPr>
          <w:rFonts w:ascii="Times New Roman" w:hAnsi="Times New Roman" w:cs="Times New Roman"/>
        </w:rPr>
        <w:t xml:space="preserve"> and Krugman, 1985).</w:t>
      </w:r>
    </w:p>
    <w:p w14:paraId="29E21825" w14:textId="77777777" w:rsidR="001760B2" w:rsidRDefault="001760B2" w:rsidP="00162976">
      <w:pPr>
        <w:jc w:val="both"/>
        <w:rPr>
          <w:rFonts w:ascii="Times New Roman" w:hAnsi="Times New Roman" w:cs="Times New Roman"/>
        </w:rPr>
      </w:pPr>
      <w:r>
        <w:rPr>
          <w:rFonts w:ascii="Times New Roman" w:hAnsi="Times New Roman" w:cs="Times New Roman"/>
        </w:rPr>
        <w:t>New Trade Theory, formulated by Krugman (1979, 1980) and others, integrates economies of scale, product diversification, and imperfect competition, elucidating intra-industry trade and the influence of market size on trade patterns. This theoretical innovation is especially pertinent for emerging nations aiming to penetrate manufacturing sectors marked by growing returns and product diversity (Melitz, 2003; Bernard et al., 2007).</w:t>
      </w:r>
    </w:p>
    <w:p w14:paraId="52A1A006" w14:textId="6CD47F37" w:rsidR="00162976" w:rsidRPr="00162976" w:rsidRDefault="001760B2" w:rsidP="00162976">
      <w:pPr>
        <w:jc w:val="both"/>
        <w:rPr>
          <w:rFonts w:ascii="Times New Roman" w:hAnsi="Times New Roman" w:cs="Times New Roman"/>
        </w:rPr>
      </w:pPr>
      <w:r>
        <w:rPr>
          <w:rFonts w:ascii="Times New Roman" w:hAnsi="Times New Roman" w:cs="Times New Roman"/>
        </w:rPr>
        <w:t>Recently, global value chain (GVC) perspectives have altered the comprehension of how nations can engage in international trade (</w:t>
      </w:r>
      <w:proofErr w:type="spellStart"/>
      <w:r>
        <w:rPr>
          <w:rFonts w:ascii="Times New Roman" w:hAnsi="Times New Roman" w:cs="Times New Roman"/>
        </w:rPr>
        <w:t>Gereffi</w:t>
      </w:r>
      <w:proofErr w:type="spellEnd"/>
      <w:r>
        <w:rPr>
          <w:rFonts w:ascii="Times New Roman" w:hAnsi="Times New Roman" w:cs="Times New Roman"/>
        </w:rPr>
        <w:t xml:space="preserve">, 1999; </w:t>
      </w:r>
      <w:proofErr w:type="spellStart"/>
      <w:r>
        <w:rPr>
          <w:rFonts w:ascii="Times New Roman" w:hAnsi="Times New Roman" w:cs="Times New Roman"/>
        </w:rPr>
        <w:t>Gereffi</w:t>
      </w:r>
      <w:proofErr w:type="spellEnd"/>
      <w:r>
        <w:rPr>
          <w:rFonts w:ascii="Times New Roman" w:hAnsi="Times New Roman" w:cs="Times New Roman"/>
        </w:rPr>
        <w:t xml:space="preserve"> and Luo, 2022). Countries can specialize in specific tasks or phases within scattered production networks instead of manufacturing entire items. This fragmentation presents chances for emerging nations to penetrate global markets via task-level specialization, while also raising concerns regarding value capture and upgrading potential (Taglioni and Winkler, 2016; Baldwin and Freeman, 2022).</w:t>
      </w:r>
    </w:p>
    <w:p w14:paraId="5E15BADB" w14:textId="77777777" w:rsidR="00E67F7E" w:rsidRDefault="00E67F7E" w:rsidP="00162976">
      <w:pPr>
        <w:jc w:val="both"/>
        <w:rPr>
          <w:rFonts w:ascii="Times New Roman" w:hAnsi="Times New Roman" w:cs="Times New Roman"/>
          <w:b/>
          <w:bCs/>
        </w:rPr>
      </w:pPr>
    </w:p>
    <w:p w14:paraId="1D84D53B" w14:textId="368316F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Trade Strategies and Development Pathways</w:t>
      </w:r>
    </w:p>
    <w:p w14:paraId="787313B1" w14:textId="77777777" w:rsidR="001760B2" w:rsidRDefault="001760B2" w:rsidP="00162976">
      <w:pPr>
        <w:jc w:val="both"/>
        <w:rPr>
          <w:rFonts w:ascii="Times New Roman" w:hAnsi="Times New Roman" w:cs="Times New Roman"/>
        </w:rPr>
      </w:pPr>
      <w:r>
        <w:rPr>
          <w:rFonts w:ascii="Times New Roman" w:hAnsi="Times New Roman" w:cs="Times New Roman"/>
        </w:rPr>
        <w:lastRenderedPageBreak/>
        <w:t>The literature delineates two opposing strategic paradigms for trade and development: import substitution industrialization (ISI) and export-led growth (ELG). Import substitution, prevalent in Latin America and certain regions of Asia during the mid-twentieth century, aimed to diminish reliance on imports by promoting native businesses via protective tariffs, subsidies, and various interventions (Baer, 1972; Bruton, 1998). Although ISI techniques initially spurred industrialization in certain nations, they faced criticism for fostering inefficiencies, encouraging rent-seeking behavior, and restricting competitiveness in global markets (Krueger, 1997; Edwards, 1993).</w:t>
      </w:r>
    </w:p>
    <w:p w14:paraId="74FDE470" w14:textId="77777777" w:rsidR="001760B2" w:rsidRDefault="001760B2" w:rsidP="00162976">
      <w:pPr>
        <w:jc w:val="both"/>
        <w:rPr>
          <w:rFonts w:ascii="Times New Roman" w:hAnsi="Times New Roman" w:cs="Times New Roman"/>
        </w:rPr>
      </w:pPr>
      <w:r>
        <w:rPr>
          <w:rFonts w:ascii="Times New Roman" w:hAnsi="Times New Roman" w:cs="Times New Roman"/>
        </w:rPr>
        <w:t>Export-oriented growth plans, as demonstrated by East Asian developmental states, emphasize export expansion as the principal driver of economic growth (Amsden, 1989; Wade, 1990). Countries like South Korea, Taiwan, and Singapore attained swift industrialization by strategic industrial policies that integrated export promotion, selective protectionism, and significant expenditures in human resources and infrastructure (World Bank, 1993; Rodrik, 1995). The East Asian experience indicated that well-conceived and executed strategic state involvement in market dynamics can expedite growth (Amsden, 2001; Chang, 2002).</w:t>
      </w:r>
    </w:p>
    <w:p w14:paraId="3DFB6680" w14:textId="46998864" w:rsidR="00162976" w:rsidRPr="00162976" w:rsidRDefault="001760B2" w:rsidP="00162976">
      <w:pPr>
        <w:jc w:val="both"/>
        <w:rPr>
          <w:rFonts w:ascii="Times New Roman" w:hAnsi="Times New Roman" w:cs="Times New Roman"/>
        </w:rPr>
      </w:pPr>
      <w:r>
        <w:rPr>
          <w:rFonts w:ascii="Times New Roman" w:hAnsi="Times New Roman" w:cs="Times New Roman"/>
        </w:rPr>
        <w:t>Current academic discourse acknowledges that the ISI-ELG dichotomy simplifies real policy actions, as successful nations frequently integrate aspects of both strategies (Rodrik, 2018; Chang and Lin, 2009). Contemporary trade strategies prioritize selective integration into global markets, incremental advancement within value chains, and proactive policies that foster technological learning and innovation (</w:t>
      </w:r>
      <w:proofErr w:type="spellStart"/>
      <w:r>
        <w:rPr>
          <w:rFonts w:ascii="Times New Roman" w:hAnsi="Times New Roman" w:cs="Times New Roman"/>
        </w:rPr>
        <w:t>Cimoli</w:t>
      </w:r>
      <w:proofErr w:type="spellEnd"/>
      <w:r>
        <w:rPr>
          <w:rFonts w:ascii="Times New Roman" w:hAnsi="Times New Roman" w:cs="Times New Roman"/>
        </w:rPr>
        <w:t xml:space="preserve"> et al., 2009; Lee, 2013).</w:t>
      </w:r>
    </w:p>
    <w:p w14:paraId="709810A4" w14:textId="0B2D6EE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Human Capital and Trade Competitiveness</w:t>
      </w:r>
    </w:p>
    <w:p w14:paraId="14C3631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 substantial body of literature documents the critical role of human capital in determining trade performance and capturing trade benefits. Education and skill development enhance productivity, facilitate technology adoption, enable movement into higher value-added activities, and improve adaptability to market changes (</w:t>
      </w:r>
      <w:proofErr w:type="spellStart"/>
      <w:r w:rsidRPr="00162976">
        <w:rPr>
          <w:rFonts w:ascii="Times New Roman" w:hAnsi="Times New Roman" w:cs="Times New Roman"/>
        </w:rPr>
        <w:t>Hanushek</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Woessmann</w:t>
      </w:r>
      <w:proofErr w:type="spellEnd"/>
      <w:r w:rsidRPr="00162976">
        <w:rPr>
          <w:rFonts w:ascii="Times New Roman" w:hAnsi="Times New Roman" w:cs="Times New Roman"/>
        </w:rPr>
        <w:t>, 2012; Becker, 2009). Countries with higher average education levels demonstrate greater export sophistication, faster productivity growth, and better integration into knowledge-intensive sectors (Hausmann et al., 2014; Hidalgo and Hausmann, 2009).</w:t>
      </w:r>
    </w:p>
    <w:p w14:paraId="26BDE2A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relationship between human capital and trade competitiveness operates through multiple channels. First, skilled workers enable production of more sophisticated and higher-quality products, commanding premium prices in international markets (Schott, 2004; Hallak and Sivadasan, 2013). Second, education facilitates technological absorption and adaptation, critical for competing in dynamic sectors (Nelson and Phelps, 1966; </w:t>
      </w:r>
      <w:proofErr w:type="spellStart"/>
      <w:r w:rsidRPr="00162976">
        <w:rPr>
          <w:rFonts w:ascii="Times New Roman" w:hAnsi="Times New Roman" w:cs="Times New Roman"/>
        </w:rPr>
        <w:t>Benhabib</w:t>
      </w:r>
      <w:proofErr w:type="spellEnd"/>
      <w:r w:rsidRPr="00162976">
        <w:rPr>
          <w:rFonts w:ascii="Times New Roman" w:hAnsi="Times New Roman" w:cs="Times New Roman"/>
        </w:rPr>
        <w:t xml:space="preserve"> and Spiegel, 2005). Third, human capital development contributes to innovation capacity, allowing countries to develop unique competitive advantages rather than competing solely on cost (Aghion and Howitt, 2009; Acemoglu and Dell, 2010).</w:t>
      </w:r>
    </w:p>
    <w:p w14:paraId="5DAC93A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Recent literature emphasizes the growing importance of digital skills and STEM (science, technology, engineering, and mathematics) capabilities for trade competitiveness in an increasingly digitalized global economy (Meltzer, 2019; WTO, 2023). Digital technologies enable new forms of trade in services, facilitate e-commerce, and enhance productivity across </w:t>
      </w:r>
      <w:r w:rsidRPr="00162976">
        <w:rPr>
          <w:rFonts w:ascii="Times New Roman" w:hAnsi="Times New Roman" w:cs="Times New Roman"/>
        </w:rPr>
        <w:lastRenderedPageBreak/>
        <w:t>sectors (Goldfarb and Tucker, 2019; UNCTAD, 2021). Countries that fail to invest in digital infrastructure and digital literacy risk exclusion from expanding segments of international trade.</w:t>
      </w:r>
    </w:p>
    <w:p w14:paraId="40A87077" w14:textId="6905427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Global Value Chains and Economic Upgrading</w:t>
      </w:r>
    </w:p>
    <w:p w14:paraId="18EF4B1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fragmentation of production into globally dispersed value chains has fundamentally altered how developing countries can participate in international trade (Baldwin, 2016; </w:t>
      </w:r>
      <w:proofErr w:type="spellStart"/>
      <w:r w:rsidRPr="00162976">
        <w:rPr>
          <w:rFonts w:ascii="Times New Roman" w:hAnsi="Times New Roman" w:cs="Times New Roman"/>
        </w:rPr>
        <w:t>Antràs</w:t>
      </w:r>
      <w:proofErr w:type="spellEnd"/>
      <w:r w:rsidRPr="00162976">
        <w:rPr>
          <w:rFonts w:ascii="Times New Roman" w:hAnsi="Times New Roman" w:cs="Times New Roman"/>
        </w:rPr>
        <w:t>, 2020). GVCs enable developing countries to specialize in particular tasks or stages of production without needing to master entire production processes (Taglioni and Winkler, 2016). This task-level specialization lowers entry barriers and allows countries to leverage existing capabilities while progressively building new ones.</w:t>
      </w:r>
    </w:p>
    <w:p w14:paraId="2F1F89BE" w14:textId="60E732A5" w:rsidR="00162976" w:rsidRPr="00162976" w:rsidRDefault="00162976" w:rsidP="00162976">
      <w:pPr>
        <w:jc w:val="both"/>
        <w:rPr>
          <w:rFonts w:ascii="Times New Roman" w:hAnsi="Times New Roman" w:cs="Times New Roman"/>
        </w:rPr>
      </w:pPr>
      <w:r w:rsidRPr="00162976">
        <w:rPr>
          <w:rFonts w:ascii="Times New Roman" w:hAnsi="Times New Roman" w:cs="Times New Roman"/>
        </w:rPr>
        <w:t>However, GVC participation presents both opportunities and risks. While integration into GVCs can accelerate industrialization, technology transfer, and employment creation, it may also trap countries in low value-added activities with limited learning opportunities (Kaplinsky, 2000; Milberg and Winkler, 2013). The concept of economic upgrading</w:t>
      </w:r>
      <w:r w:rsidR="009C44E8">
        <w:rPr>
          <w:rFonts w:ascii="Times New Roman" w:hAnsi="Times New Roman" w:cs="Times New Roman"/>
        </w:rPr>
        <w:t xml:space="preserve"> </w:t>
      </w:r>
      <w:r w:rsidRPr="00162976">
        <w:rPr>
          <w:rFonts w:ascii="Times New Roman" w:hAnsi="Times New Roman" w:cs="Times New Roman"/>
        </w:rPr>
        <w:t>moving toward higher value-added activities within value chains</w:t>
      </w:r>
      <w:r w:rsidR="009C44E8">
        <w:rPr>
          <w:rFonts w:ascii="Times New Roman" w:hAnsi="Times New Roman" w:cs="Times New Roman"/>
        </w:rPr>
        <w:t xml:space="preserve"> </w:t>
      </w:r>
      <w:r w:rsidRPr="00162976">
        <w:rPr>
          <w:rFonts w:ascii="Times New Roman" w:hAnsi="Times New Roman" w:cs="Times New Roman"/>
        </w:rPr>
        <w:t>has become central to development strategy (Gereffi, 2005; Humphrey and Schmitz, 2002).</w:t>
      </w:r>
    </w:p>
    <w:p w14:paraId="67F40B33"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Research identifies multiple upgrading trajectories: process upgrading (increasing efficiency of production processes), product upgrading (moving to higher-value products), functional upgrading (acquiring new functions in the value chain), and chain upgrading (moving to new value chains)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Fernandez-Stark, 2016). The feasibility of different upgrading paths depends on governance structures within value chains, technological capabilities, and supporting institutions (Ponte and Sturgeon, 2014; Dallas et al., 2019).</w:t>
      </w:r>
    </w:p>
    <w:p w14:paraId="73024554" w14:textId="02AE4053" w:rsidR="002A233A" w:rsidRPr="00E67F7E" w:rsidRDefault="00162976" w:rsidP="00162976">
      <w:pPr>
        <w:jc w:val="both"/>
        <w:rPr>
          <w:rFonts w:ascii="Times New Roman" w:hAnsi="Times New Roman" w:cs="Times New Roman"/>
        </w:rPr>
      </w:pPr>
      <w:r w:rsidRPr="00162976">
        <w:rPr>
          <w:rFonts w:ascii="Times New Roman" w:hAnsi="Times New Roman" w:cs="Times New Roman"/>
        </w:rPr>
        <w:t>Recent studies highlight the vulnerability of GVC participation, particularly for developing countries heavily dependent on specific chains or lead firms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w:t>
      </w:r>
      <w:proofErr w:type="spellStart"/>
      <w:r w:rsidRPr="00162976">
        <w:rPr>
          <w:rFonts w:ascii="Times New Roman" w:hAnsi="Times New Roman" w:cs="Times New Roman"/>
        </w:rPr>
        <w:t>Javorcik</w:t>
      </w:r>
      <w:proofErr w:type="spellEnd"/>
      <w:r w:rsidRPr="00162976">
        <w:rPr>
          <w:rFonts w:ascii="Times New Roman" w:hAnsi="Times New Roman" w:cs="Times New Roman"/>
        </w:rPr>
        <w:t xml:space="preserve">, 2020). The COVID-19 pandemic exposed risks of over-reliance on complex international supply chains, prompting discussions about resilience, diversification, and nearshoring (Baldwin and Freeman, 2022; </w:t>
      </w:r>
      <w:proofErr w:type="spellStart"/>
      <w:r w:rsidRPr="00162976">
        <w:rPr>
          <w:rFonts w:ascii="Times New Roman" w:hAnsi="Times New Roman" w:cs="Times New Roman"/>
        </w:rPr>
        <w:t>Miroudot</w:t>
      </w:r>
      <w:proofErr w:type="spellEnd"/>
      <w:r w:rsidRPr="00162976">
        <w:rPr>
          <w:rFonts w:ascii="Times New Roman" w:hAnsi="Times New Roman" w:cs="Times New Roman"/>
        </w:rPr>
        <w:t>, 2020).</w:t>
      </w:r>
    </w:p>
    <w:p w14:paraId="7C808ADE" w14:textId="4EB0E30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Inclusive and Sustainable Trade</w:t>
      </w:r>
    </w:p>
    <w:p w14:paraId="6A5C68A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Growing recognition that trade's benefits have been unevenly distributed has prompted increased attention to inclusive trade policies that ensure broad-based benefit sharing (UNCTAD, 2023; World Bank, 2020). Inclusive trade encompasses multiple dimensions: geographic inclusion (ensuring benefits reach rural and peripheral regions), social inclusion (addressing gender, ethnic, and class disparities), and firm-size inclusion (enabling small and medium enterprises to participate in trade) (ITC, 2020; OECD, 2017).</w:t>
      </w:r>
    </w:p>
    <w:p w14:paraId="762787D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Gender dimensions of trade have received particular attention, with research documenting how trade liberalization affects women differently than men through employment patterns, wage effects, and time allocation (Fontana, 2016; World Bank, 2022). Trade can create employment opportunities for women, particularly in export-oriented manufacturing and services, but may </w:t>
      </w:r>
      <w:r w:rsidRPr="00162976">
        <w:rPr>
          <w:rFonts w:ascii="Times New Roman" w:hAnsi="Times New Roman" w:cs="Times New Roman"/>
        </w:rPr>
        <w:lastRenderedPageBreak/>
        <w:t>also reinforce gender segregation and expose women to precarious working conditions (Kabeer and Mahmud, 2004; Tejani and Milberg, 2016).</w:t>
      </w:r>
    </w:p>
    <w:p w14:paraId="65930D48"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Environmental sustainability has emerged as a critical dimension of trade policy, reflecting growing concerns about climate change, resource depletion, and biodiversity loss (Copeland and Taylor, 2004; WTO, 2022). Trade can affect environmental outcomes through scale effects (increasing production and consumption), composition effects (changing the mix of economic activities), and technique effects (altering production technologies) (Grossman and Krueger, 1995; </w:t>
      </w:r>
      <w:proofErr w:type="spellStart"/>
      <w:r w:rsidRPr="00162976">
        <w:rPr>
          <w:rFonts w:ascii="Times New Roman" w:hAnsi="Times New Roman" w:cs="Times New Roman"/>
        </w:rPr>
        <w:t>Antweiler</w:t>
      </w:r>
      <w:proofErr w:type="spellEnd"/>
      <w:r w:rsidRPr="00162976">
        <w:rPr>
          <w:rFonts w:ascii="Times New Roman" w:hAnsi="Times New Roman" w:cs="Times New Roman"/>
        </w:rPr>
        <w:t xml:space="preserve"> et al., 2001).</w:t>
      </w:r>
    </w:p>
    <w:p w14:paraId="55717CC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Sustainable trade policies aim to ensure that trade contributes to environmental objectives through green technology transfer, environmental provisions in trade agreements, sustainable standards and certification schemes, and alignment with climate commitments (Cao et al., 2023; </w:t>
      </w:r>
      <w:proofErr w:type="spellStart"/>
      <w:r w:rsidRPr="00162976">
        <w:rPr>
          <w:rFonts w:ascii="Times New Roman" w:hAnsi="Times New Roman" w:cs="Times New Roman"/>
        </w:rPr>
        <w:t>Rodrik</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Stantcheva</w:t>
      </w:r>
      <w:proofErr w:type="spellEnd"/>
      <w:r w:rsidRPr="00162976">
        <w:rPr>
          <w:rFonts w:ascii="Times New Roman" w:hAnsi="Times New Roman" w:cs="Times New Roman"/>
        </w:rPr>
        <w:t>, 2021). However, developing countries face challenges in meeting environmental standards that may act as non-tariff barriers, necessitating international support for green transitions (UNCTAD, 2020; Peters and Veld, 2021).</w:t>
      </w:r>
    </w:p>
    <w:p w14:paraId="7DCC3D79" w14:textId="392A93C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Research Gaps</w:t>
      </w:r>
    </w:p>
    <w:p w14:paraId="10B1830A" w14:textId="71E65EAE" w:rsidR="002A233A" w:rsidRDefault="00162976" w:rsidP="00162976">
      <w:pPr>
        <w:jc w:val="both"/>
        <w:rPr>
          <w:rFonts w:ascii="Times New Roman" w:hAnsi="Times New Roman" w:cs="Times New Roman"/>
        </w:rPr>
      </w:pPr>
      <w:r w:rsidRPr="00162976">
        <w:rPr>
          <w:rFonts w:ascii="Times New Roman" w:hAnsi="Times New Roman" w:cs="Times New Roman"/>
        </w:rPr>
        <w:t>Despite extensive scholarship on trade and development, several gaps remain. First, while numerous studies examine individual aspects of trade strategy, fewer provide integrated frameworks synthesizing economic, social, and environmental dimensions of sustainable development. Second, much research focuses on aggregate outcomes with insufficient attention to distributional impacts and the mechanisms ensuring inclusive benefit sharing. Third, the post-pandemic trade environment has created new challenges and opportunities that require updated analytical frameworks. This study addresses these gaps through systematic synthesis of recent literature and identification of critical factors for trade-driven sustainable development.</w:t>
      </w:r>
    </w:p>
    <w:p w14:paraId="00136836" w14:textId="04FCCA1D"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METHODOLOGY</w:t>
      </w:r>
    </w:p>
    <w:p w14:paraId="03918B4E" w14:textId="70E265D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Research Design</w:t>
      </w:r>
    </w:p>
    <w:p w14:paraId="0199DED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This study employs a systematic literature review methodology to examine the relationship between strategic trade engagement and sustainable development in developing countries. Systematic reviews provide rigorous, transparent, and replicable approaches to synthesizing existing research, identifying patterns across studies, and generating comprehensive insights (</w:t>
      </w:r>
      <w:proofErr w:type="spellStart"/>
      <w:r w:rsidRPr="00162976">
        <w:rPr>
          <w:rFonts w:ascii="Times New Roman" w:hAnsi="Times New Roman" w:cs="Times New Roman"/>
        </w:rPr>
        <w:t>Tranfield</w:t>
      </w:r>
      <w:proofErr w:type="spellEnd"/>
      <w:r w:rsidRPr="00162976">
        <w:rPr>
          <w:rFonts w:ascii="Times New Roman" w:hAnsi="Times New Roman" w:cs="Times New Roman"/>
        </w:rPr>
        <w:t xml:space="preserve"> et al., 2003; Petticrew and Roberts, 2006). The methodology follows established protocols for systematic reviews in social sciences, adapted to the specific context of international trade and development research.</w:t>
      </w:r>
    </w:p>
    <w:p w14:paraId="673E6D93" w14:textId="77777777" w:rsidR="00E67F7E" w:rsidRDefault="00E67F7E" w:rsidP="00162976">
      <w:pPr>
        <w:jc w:val="both"/>
        <w:rPr>
          <w:rFonts w:ascii="Times New Roman" w:hAnsi="Times New Roman" w:cs="Times New Roman"/>
          <w:b/>
          <w:bCs/>
        </w:rPr>
      </w:pPr>
    </w:p>
    <w:p w14:paraId="23614C1D" w14:textId="77777777" w:rsidR="00E67F7E" w:rsidRDefault="00E67F7E" w:rsidP="00162976">
      <w:pPr>
        <w:jc w:val="both"/>
        <w:rPr>
          <w:rFonts w:ascii="Times New Roman" w:hAnsi="Times New Roman" w:cs="Times New Roman"/>
          <w:b/>
          <w:bCs/>
        </w:rPr>
      </w:pPr>
    </w:p>
    <w:p w14:paraId="4914266D" w14:textId="77777777" w:rsidR="00E67F7E" w:rsidRDefault="00E67F7E" w:rsidP="00162976">
      <w:pPr>
        <w:jc w:val="both"/>
        <w:rPr>
          <w:rFonts w:ascii="Times New Roman" w:hAnsi="Times New Roman" w:cs="Times New Roman"/>
          <w:b/>
          <w:bCs/>
        </w:rPr>
      </w:pPr>
    </w:p>
    <w:p w14:paraId="62FC3598" w14:textId="77777777" w:rsidR="00E67F7E" w:rsidRDefault="00E67F7E" w:rsidP="00162976">
      <w:pPr>
        <w:jc w:val="both"/>
        <w:rPr>
          <w:rFonts w:ascii="Times New Roman" w:hAnsi="Times New Roman" w:cs="Times New Roman"/>
          <w:b/>
          <w:bCs/>
        </w:rPr>
      </w:pPr>
    </w:p>
    <w:p w14:paraId="0706CBC0" w14:textId="2512F2E0"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Search Strategy</w:t>
      </w:r>
    </w:p>
    <w:p w14:paraId="2AC3266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A comprehensive search strategy was implemented to identify relevant literature published between </w:t>
      </w:r>
      <w:r w:rsidRPr="002A233A">
        <w:rPr>
          <w:rFonts w:ascii="Times New Roman" w:hAnsi="Times New Roman" w:cs="Times New Roman"/>
          <w:b/>
          <w:bCs/>
        </w:rPr>
        <w:t>January 2010 and September 2024</w:t>
      </w:r>
      <w:r w:rsidRPr="00162976">
        <w:rPr>
          <w:rFonts w:ascii="Times New Roman" w:hAnsi="Times New Roman" w:cs="Times New Roman"/>
        </w:rPr>
        <w:t>. This timeframe captures contemporary developments in global trade while including foundational studies establishing current theoretical frameworks. The search was conducted across multiple academic databases and sources:</w:t>
      </w:r>
    </w:p>
    <w:p w14:paraId="1BA57CF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Academic Databases:</w:t>
      </w:r>
    </w:p>
    <w:p w14:paraId="36B8E913"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Web of Science (Core Collection)</w:t>
      </w:r>
    </w:p>
    <w:p w14:paraId="6ED25EB5"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Scopus</w:t>
      </w:r>
    </w:p>
    <w:p w14:paraId="178839AC" w14:textId="77777777" w:rsidR="00162976" w:rsidRPr="00162976" w:rsidRDefault="00162976" w:rsidP="009C44E8">
      <w:pPr>
        <w:numPr>
          <w:ilvl w:val="0"/>
          <w:numId w:val="1"/>
        </w:numPr>
        <w:spacing w:after="0"/>
        <w:jc w:val="both"/>
        <w:rPr>
          <w:rFonts w:ascii="Times New Roman" w:hAnsi="Times New Roman" w:cs="Times New Roman"/>
        </w:rPr>
      </w:pPr>
      <w:proofErr w:type="spellStart"/>
      <w:r w:rsidRPr="00162976">
        <w:rPr>
          <w:rFonts w:ascii="Times New Roman" w:hAnsi="Times New Roman" w:cs="Times New Roman"/>
        </w:rPr>
        <w:t>EconLit</w:t>
      </w:r>
      <w:proofErr w:type="spellEnd"/>
    </w:p>
    <w:p w14:paraId="60192EF5"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Business Source Complete</w:t>
      </w:r>
    </w:p>
    <w:p w14:paraId="412B650A" w14:textId="77777777" w:rsidR="00162976" w:rsidRPr="00162976" w:rsidRDefault="00162976" w:rsidP="009C44E8">
      <w:pPr>
        <w:numPr>
          <w:ilvl w:val="0"/>
          <w:numId w:val="1"/>
        </w:numPr>
        <w:spacing w:after="0"/>
        <w:jc w:val="both"/>
        <w:rPr>
          <w:rFonts w:ascii="Times New Roman" w:hAnsi="Times New Roman" w:cs="Times New Roman"/>
        </w:rPr>
      </w:pPr>
      <w:r w:rsidRPr="00162976">
        <w:rPr>
          <w:rFonts w:ascii="Times New Roman" w:hAnsi="Times New Roman" w:cs="Times New Roman"/>
        </w:rPr>
        <w:t>ProQuest Dissertations and Theses Global</w:t>
      </w:r>
    </w:p>
    <w:p w14:paraId="38D00A0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Organizational Sources:</w:t>
      </w:r>
    </w:p>
    <w:p w14:paraId="201D5668"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World Trade Organization (WTO) publications</w:t>
      </w:r>
    </w:p>
    <w:p w14:paraId="20889F89"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United Nations Conference on Trade and Development (UNCTAD) reports</w:t>
      </w:r>
    </w:p>
    <w:p w14:paraId="345D16BF"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World Bank documents and working papers</w:t>
      </w:r>
    </w:p>
    <w:p w14:paraId="723E7E44" w14:textId="77777777" w:rsidR="00162976" w:rsidRPr="00162976" w:rsidRDefault="00162976" w:rsidP="009C44E8">
      <w:pPr>
        <w:numPr>
          <w:ilvl w:val="0"/>
          <w:numId w:val="2"/>
        </w:numPr>
        <w:spacing w:after="0"/>
        <w:jc w:val="both"/>
        <w:rPr>
          <w:rFonts w:ascii="Times New Roman" w:hAnsi="Times New Roman" w:cs="Times New Roman"/>
        </w:rPr>
      </w:pPr>
      <w:r w:rsidRPr="00162976">
        <w:rPr>
          <w:rFonts w:ascii="Times New Roman" w:hAnsi="Times New Roman" w:cs="Times New Roman"/>
        </w:rPr>
        <w:t>International Trade Centre (ITC) publications</w:t>
      </w:r>
    </w:p>
    <w:p w14:paraId="627EF195" w14:textId="77777777" w:rsidR="00162976" w:rsidRPr="00162976" w:rsidRDefault="00162976" w:rsidP="009C44E8">
      <w:pPr>
        <w:numPr>
          <w:ilvl w:val="0"/>
          <w:numId w:val="2"/>
        </w:numPr>
        <w:spacing w:after="0"/>
        <w:jc w:val="both"/>
        <w:rPr>
          <w:rFonts w:ascii="Times New Roman" w:hAnsi="Times New Roman" w:cs="Times New Roman"/>
        </w:rPr>
      </w:pPr>
      <w:proofErr w:type="spellStart"/>
      <w:r w:rsidRPr="00162976">
        <w:rPr>
          <w:rFonts w:ascii="Times New Roman" w:hAnsi="Times New Roman" w:cs="Times New Roman"/>
        </w:rPr>
        <w:t>Organisation</w:t>
      </w:r>
      <w:proofErr w:type="spellEnd"/>
      <w:r w:rsidRPr="00162976">
        <w:rPr>
          <w:rFonts w:ascii="Times New Roman" w:hAnsi="Times New Roman" w:cs="Times New Roman"/>
        </w:rPr>
        <w:t xml:space="preserve"> for Economic Co-operation and Development (OECD) papers</w:t>
      </w:r>
    </w:p>
    <w:p w14:paraId="02514534" w14:textId="77777777" w:rsidR="009C44E8" w:rsidRDefault="009C44E8" w:rsidP="00162976">
      <w:pPr>
        <w:jc w:val="both"/>
        <w:rPr>
          <w:rFonts w:ascii="Times New Roman" w:hAnsi="Times New Roman" w:cs="Times New Roman"/>
          <w:b/>
          <w:bCs/>
        </w:rPr>
      </w:pPr>
    </w:p>
    <w:p w14:paraId="3B06DD23" w14:textId="3ACDC026"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Search Terms:</w:t>
      </w:r>
      <w:r w:rsidRPr="00162976">
        <w:rPr>
          <w:rFonts w:ascii="Times New Roman" w:hAnsi="Times New Roman" w:cs="Times New Roman"/>
        </w:rPr>
        <w:t xml:space="preserve"> The search strategy employed Boolean operators combining multiple keyword sets:</w:t>
      </w:r>
    </w:p>
    <w:p w14:paraId="115E52CC" w14:textId="18306561"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("international trade" OR "global trade" OR "export" OR "import" OR "trade liberalization" OR "trade policy") AND</w:t>
      </w:r>
    </w:p>
    <w:p w14:paraId="6A9B0FBC" w14:textId="167649C3"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("developing countr</w:t>
      </w:r>
      <w:r w:rsidR="002A233A">
        <w:rPr>
          <w:rFonts w:ascii="Times New Roman" w:hAnsi="Times New Roman" w:cs="Times New Roman"/>
        </w:rPr>
        <w:t>y</w:t>
      </w:r>
      <w:r w:rsidRPr="00162976">
        <w:rPr>
          <w:rFonts w:ascii="Times New Roman" w:hAnsi="Times New Roman" w:cs="Times New Roman"/>
        </w:rPr>
        <w:t>" OR "emerging econom</w:t>
      </w:r>
      <w:r w:rsidR="002A233A">
        <w:rPr>
          <w:rFonts w:ascii="Times New Roman" w:hAnsi="Times New Roman" w:cs="Times New Roman"/>
        </w:rPr>
        <w:t>y</w:t>
      </w:r>
      <w:r w:rsidRPr="00162976">
        <w:rPr>
          <w:rFonts w:ascii="Times New Roman" w:hAnsi="Times New Roman" w:cs="Times New Roman"/>
        </w:rPr>
        <w:t>" OR "low-income countr</w:t>
      </w:r>
      <w:r w:rsidR="002A233A">
        <w:rPr>
          <w:rFonts w:ascii="Times New Roman" w:hAnsi="Times New Roman" w:cs="Times New Roman"/>
        </w:rPr>
        <w:t>y</w:t>
      </w:r>
      <w:r w:rsidRPr="00162976">
        <w:rPr>
          <w:rFonts w:ascii="Times New Roman" w:hAnsi="Times New Roman" w:cs="Times New Roman"/>
        </w:rPr>
        <w:t>" OR "middle-income countr</w:t>
      </w:r>
      <w:r w:rsidR="002A233A">
        <w:rPr>
          <w:rFonts w:ascii="Times New Roman" w:hAnsi="Times New Roman" w:cs="Times New Roman"/>
        </w:rPr>
        <w:t>y</w:t>
      </w:r>
      <w:r w:rsidRPr="00162976">
        <w:rPr>
          <w:rFonts w:ascii="Times New Roman" w:hAnsi="Times New Roman" w:cs="Times New Roman"/>
        </w:rPr>
        <w:t>" OR "Global South") AND</w:t>
      </w:r>
    </w:p>
    <w:p w14:paraId="59B77EE7" w14:textId="77777777" w:rsidR="00162976" w:rsidRPr="00162976" w:rsidRDefault="00162976" w:rsidP="009C44E8">
      <w:pPr>
        <w:numPr>
          <w:ilvl w:val="0"/>
          <w:numId w:val="3"/>
        </w:numPr>
        <w:spacing w:after="0"/>
        <w:jc w:val="both"/>
        <w:rPr>
          <w:rFonts w:ascii="Times New Roman" w:hAnsi="Times New Roman" w:cs="Times New Roman"/>
        </w:rPr>
      </w:pPr>
      <w:r w:rsidRPr="00162976">
        <w:rPr>
          <w:rFonts w:ascii="Times New Roman" w:hAnsi="Times New Roman" w:cs="Times New Roman"/>
        </w:rPr>
        <w:t>("sustainable development" OR "economic development" OR "poverty reduction" OR "economic growth" OR "industrialization")</w:t>
      </w:r>
    </w:p>
    <w:p w14:paraId="6F8C5B6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Additional searches targeted specific concepts including "global value chains," "export-led growth," "trade facilitation," "inclusive trade," and "human capital development."</w:t>
      </w:r>
    </w:p>
    <w:p w14:paraId="37D38233" w14:textId="77777777" w:rsidR="00E67F7E" w:rsidRDefault="00E67F7E" w:rsidP="00162976">
      <w:pPr>
        <w:jc w:val="both"/>
        <w:rPr>
          <w:rFonts w:ascii="Times New Roman" w:hAnsi="Times New Roman" w:cs="Times New Roman"/>
          <w:b/>
          <w:bCs/>
        </w:rPr>
      </w:pPr>
    </w:p>
    <w:p w14:paraId="73DC0758" w14:textId="77777777" w:rsidR="00E67F7E" w:rsidRDefault="00E67F7E" w:rsidP="00162976">
      <w:pPr>
        <w:jc w:val="both"/>
        <w:rPr>
          <w:rFonts w:ascii="Times New Roman" w:hAnsi="Times New Roman" w:cs="Times New Roman"/>
          <w:b/>
          <w:bCs/>
        </w:rPr>
      </w:pPr>
    </w:p>
    <w:p w14:paraId="792792C7" w14:textId="77777777" w:rsidR="00E67F7E" w:rsidRDefault="00E67F7E" w:rsidP="00162976">
      <w:pPr>
        <w:jc w:val="both"/>
        <w:rPr>
          <w:rFonts w:ascii="Times New Roman" w:hAnsi="Times New Roman" w:cs="Times New Roman"/>
          <w:b/>
          <w:bCs/>
        </w:rPr>
      </w:pPr>
    </w:p>
    <w:p w14:paraId="1B0616AE" w14:textId="77777777" w:rsidR="00E67F7E" w:rsidRDefault="00E67F7E" w:rsidP="00162976">
      <w:pPr>
        <w:jc w:val="both"/>
        <w:rPr>
          <w:rFonts w:ascii="Times New Roman" w:hAnsi="Times New Roman" w:cs="Times New Roman"/>
          <w:b/>
          <w:bCs/>
        </w:rPr>
      </w:pPr>
    </w:p>
    <w:p w14:paraId="5C1349AC" w14:textId="77777777" w:rsidR="00E67F7E" w:rsidRDefault="00E67F7E" w:rsidP="00162976">
      <w:pPr>
        <w:jc w:val="both"/>
        <w:rPr>
          <w:rFonts w:ascii="Times New Roman" w:hAnsi="Times New Roman" w:cs="Times New Roman"/>
          <w:b/>
          <w:bCs/>
        </w:rPr>
      </w:pPr>
    </w:p>
    <w:p w14:paraId="376E3ED6" w14:textId="77777777" w:rsidR="00E67F7E" w:rsidRDefault="00E67F7E" w:rsidP="00162976">
      <w:pPr>
        <w:jc w:val="both"/>
        <w:rPr>
          <w:rFonts w:ascii="Times New Roman" w:hAnsi="Times New Roman" w:cs="Times New Roman"/>
          <w:b/>
          <w:bCs/>
        </w:rPr>
      </w:pPr>
    </w:p>
    <w:p w14:paraId="4F8BBFBC" w14:textId="77777777" w:rsidR="00E67F7E" w:rsidRDefault="00E67F7E" w:rsidP="00162976">
      <w:pPr>
        <w:jc w:val="both"/>
        <w:rPr>
          <w:rFonts w:ascii="Times New Roman" w:hAnsi="Times New Roman" w:cs="Times New Roman"/>
          <w:b/>
          <w:bCs/>
        </w:rPr>
      </w:pPr>
    </w:p>
    <w:p w14:paraId="769C59EF" w14:textId="1B6D6A1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Inclusion and Exclusion Criteria</w:t>
      </w:r>
    </w:p>
    <w:p w14:paraId="209D6F54" w14:textId="77777777" w:rsidR="009C44E8" w:rsidRDefault="002A233A" w:rsidP="009C44E8">
      <w:pPr>
        <w:keepNext/>
        <w:spacing w:before="100" w:beforeAutospacing="1" w:after="100" w:afterAutospacing="1" w:line="240" w:lineRule="auto"/>
        <w:ind w:left="360"/>
        <w:jc w:val="center"/>
      </w:pPr>
      <w:r w:rsidRPr="002A233A">
        <w:rPr>
          <w:noProof/>
        </w:rPr>
        <w:drawing>
          <wp:inline distT="0" distB="0" distL="0" distR="0" wp14:anchorId="3A04D8C6" wp14:editId="30D5D525">
            <wp:extent cx="5733415" cy="2936875"/>
            <wp:effectExtent l="0" t="0" r="635" b="0"/>
            <wp:docPr id="74761848" name="Picture 3" descr="A diagram of a softw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848" name="Picture 3" descr="A diagram of a software system&#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91"/>
                    <a:stretch>
                      <a:fillRect/>
                    </a:stretch>
                  </pic:blipFill>
                  <pic:spPr bwMode="auto">
                    <a:xfrm>
                      <a:off x="0" y="0"/>
                      <a:ext cx="5733415" cy="2936875"/>
                    </a:xfrm>
                    <a:prstGeom prst="rect">
                      <a:avLst/>
                    </a:prstGeom>
                    <a:noFill/>
                    <a:ln>
                      <a:noFill/>
                    </a:ln>
                    <a:extLst>
                      <a:ext uri="{53640926-AAD7-44D8-BBD7-CCE9431645EC}">
                        <a14:shadowObscured xmlns:a14="http://schemas.microsoft.com/office/drawing/2010/main"/>
                      </a:ext>
                    </a:extLst>
                  </pic:spPr>
                </pic:pic>
              </a:graphicData>
            </a:graphic>
          </wp:inline>
        </w:drawing>
      </w:r>
    </w:p>
    <w:p w14:paraId="21C0CF59" w14:textId="7DAF7419" w:rsidR="002A233A" w:rsidRPr="009C44E8" w:rsidRDefault="009C44E8" w:rsidP="009C44E8">
      <w:pPr>
        <w:pStyle w:val="Caption"/>
        <w:jc w:val="center"/>
        <w:rPr>
          <w:rFonts w:ascii="Times New Roman" w:eastAsia="Times New Roman" w:hAnsi="Times New Roman" w:cs="Times New Roman"/>
          <w:i w:val="0"/>
          <w:iCs w:val="0"/>
          <w:kern w:val="0"/>
          <w14:ligatures w14:val="none"/>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1</w:t>
      </w:r>
      <w:r w:rsidRPr="009C44E8">
        <w:rPr>
          <w:i w:val="0"/>
          <w:iCs w:val="0"/>
        </w:rPr>
        <w:fldChar w:fldCharType="end"/>
      </w:r>
      <w:r w:rsidRPr="009C44E8">
        <w:rPr>
          <w:i w:val="0"/>
          <w:iCs w:val="0"/>
        </w:rPr>
        <w:t xml:space="preserve">: The inclusion and exclusion criteria were pre-defined at the start of the search to ensure </w:t>
      </w:r>
      <w:r>
        <w:rPr>
          <w:i w:val="0"/>
          <w:iCs w:val="0"/>
        </w:rPr>
        <w:t>information will be streamlined better</w:t>
      </w:r>
    </w:p>
    <w:p w14:paraId="2D675308" w14:textId="77777777" w:rsidR="002A233A" w:rsidRDefault="002A233A" w:rsidP="002A233A">
      <w:pPr>
        <w:keepNext/>
        <w:jc w:val="both"/>
      </w:pPr>
      <w:r w:rsidRPr="002A233A">
        <w:rPr>
          <w:rFonts w:ascii="Times New Roman" w:hAnsi="Times New Roman" w:cs="Times New Roman"/>
          <w:noProof/>
        </w:rPr>
        <w:drawing>
          <wp:inline distT="0" distB="0" distL="0" distR="0" wp14:anchorId="0EA2D032" wp14:editId="434E606C">
            <wp:extent cx="5733415" cy="2955925"/>
            <wp:effectExtent l="0" t="0" r="635" b="0"/>
            <wp:docPr id="1717391827" name="Picture 2" descr="A diagram of a product se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1827" name="Picture 2" descr="A diagram of a product selectio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82"/>
                    <a:stretch>
                      <a:fillRect/>
                    </a:stretch>
                  </pic:blipFill>
                  <pic:spPr bwMode="auto">
                    <a:xfrm>
                      <a:off x="0" y="0"/>
                      <a:ext cx="5733415" cy="2955925"/>
                    </a:xfrm>
                    <a:prstGeom prst="rect">
                      <a:avLst/>
                    </a:prstGeom>
                    <a:noFill/>
                    <a:ln>
                      <a:noFill/>
                    </a:ln>
                    <a:extLst>
                      <a:ext uri="{53640926-AAD7-44D8-BBD7-CCE9431645EC}">
                        <a14:shadowObscured xmlns:a14="http://schemas.microsoft.com/office/drawing/2010/main"/>
                      </a:ext>
                    </a:extLst>
                  </pic:spPr>
                </pic:pic>
              </a:graphicData>
            </a:graphic>
          </wp:inline>
        </w:drawing>
      </w:r>
    </w:p>
    <w:p w14:paraId="1D1C1F55" w14:textId="08118C14" w:rsidR="009C44E8" w:rsidRDefault="002A233A" w:rsidP="009C44E8">
      <w:pPr>
        <w:pStyle w:val="Caption"/>
        <w:jc w:val="center"/>
        <w:rPr>
          <w:i w:val="0"/>
          <w:iCs w:val="0"/>
        </w:rPr>
      </w:pPr>
      <w:r w:rsidRPr="002A233A">
        <w:rPr>
          <w:i w:val="0"/>
          <w:iCs w:val="0"/>
        </w:rPr>
        <w:t xml:space="preserve">Figure </w:t>
      </w:r>
      <w:r w:rsidRPr="002A233A">
        <w:rPr>
          <w:i w:val="0"/>
          <w:iCs w:val="0"/>
        </w:rPr>
        <w:fldChar w:fldCharType="begin"/>
      </w:r>
      <w:r w:rsidRPr="002A233A">
        <w:rPr>
          <w:i w:val="0"/>
          <w:iCs w:val="0"/>
        </w:rPr>
        <w:instrText xml:space="preserve"> SEQ Figure \* ARABIC </w:instrText>
      </w:r>
      <w:r w:rsidRPr="002A233A">
        <w:rPr>
          <w:i w:val="0"/>
          <w:iCs w:val="0"/>
        </w:rPr>
        <w:fldChar w:fldCharType="separate"/>
      </w:r>
      <w:r w:rsidR="00AC0276">
        <w:rPr>
          <w:i w:val="0"/>
          <w:iCs w:val="0"/>
          <w:noProof/>
        </w:rPr>
        <w:t>2</w:t>
      </w:r>
      <w:r w:rsidRPr="002A233A">
        <w:rPr>
          <w:i w:val="0"/>
          <w:iCs w:val="0"/>
        </w:rPr>
        <w:fldChar w:fldCharType="end"/>
      </w:r>
      <w:r w:rsidRPr="002A233A">
        <w:rPr>
          <w:i w:val="0"/>
          <w:iCs w:val="0"/>
        </w:rPr>
        <w:t>: Flowchart of Literature Review Thematic Analysis</w:t>
      </w:r>
    </w:p>
    <w:p w14:paraId="767397D0" w14:textId="77777777" w:rsidR="009C44E8" w:rsidRDefault="009C44E8" w:rsidP="009C44E8"/>
    <w:p w14:paraId="0A4FCDE2" w14:textId="77777777" w:rsidR="009C44E8" w:rsidRDefault="009C44E8" w:rsidP="009C44E8"/>
    <w:p w14:paraId="5A864215" w14:textId="77777777" w:rsidR="009C44E8" w:rsidRDefault="009C44E8" w:rsidP="009C44E8"/>
    <w:p w14:paraId="42F17F7A" w14:textId="77777777" w:rsidR="009C44E8" w:rsidRDefault="009C44E8" w:rsidP="009C44E8"/>
    <w:p w14:paraId="3058015C" w14:textId="77777777" w:rsidR="009C44E8" w:rsidRPr="009C44E8" w:rsidRDefault="009C44E8" w:rsidP="009C44E8"/>
    <w:p w14:paraId="36651659" w14:textId="7999D20C"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Synthesis Approach</w:t>
      </w:r>
    </w:p>
    <w:p w14:paraId="5F172B8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analysis employed thematic synthesis to identify patterns, relationships, and critical factors across studies (Thomas and Harden, 2008). The synthesis process involved:</w:t>
      </w:r>
    </w:p>
    <w:p w14:paraId="16EE842F"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Coding:</w:t>
      </w:r>
      <w:r w:rsidRPr="00162976">
        <w:rPr>
          <w:rFonts w:ascii="Times New Roman" w:hAnsi="Times New Roman" w:cs="Times New Roman"/>
        </w:rPr>
        <w:t xml:space="preserve"> Extracted data were systematically coded to identify recurring themes, concepts, and findings. Initial codes were descriptive, closely reflecting study content.</w:t>
      </w:r>
    </w:p>
    <w:p w14:paraId="5751CF3F"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Theme Development:</w:t>
      </w:r>
      <w:r w:rsidRPr="00162976">
        <w:rPr>
          <w:rFonts w:ascii="Times New Roman" w:hAnsi="Times New Roman" w:cs="Times New Roman"/>
        </w:rPr>
        <w:t xml:space="preserve"> Descriptive codes were grouped into higher-order themes representing conceptual categories. Five major themes emerged: comparative advantage and specialization, human capital and capabilities, global value chain integration, inclusive trade policies, and environmental sustainability.</w:t>
      </w:r>
    </w:p>
    <w:p w14:paraId="78888B5C" w14:textId="77777777" w:rsidR="00162976" w:rsidRPr="00162976" w:rsidRDefault="00162976" w:rsidP="00162976">
      <w:pPr>
        <w:numPr>
          <w:ilvl w:val="0"/>
          <w:numId w:val="6"/>
        </w:numPr>
        <w:jc w:val="both"/>
        <w:rPr>
          <w:rFonts w:ascii="Times New Roman" w:hAnsi="Times New Roman" w:cs="Times New Roman"/>
        </w:rPr>
      </w:pPr>
      <w:r w:rsidRPr="00162976">
        <w:rPr>
          <w:rFonts w:ascii="Times New Roman" w:hAnsi="Times New Roman" w:cs="Times New Roman"/>
          <w:b/>
          <w:bCs/>
        </w:rPr>
        <w:t>Cross-Study Analysis:</w:t>
      </w:r>
      <w:r w:rsidRPr="00162976">
        <w:rPr>
          <w:rFonts w:ascii="Times New Roman" w:hAnsi="Times New Roman" w:cs="Times New Roman"/>
        </w:rPr>
        <w:t xml:space="preserve"> Patterns across studies were examined to identify consistency, contradictions, and contextual variations. Particular attention was paid to factors associated with successful versus unsuccessful trade-driven development.</w:t>
      </w:r>
    </w:p>
    <w:p w14:paraId="54DEAF92" w14:textId="13E222D2" w:rsidR="00E657EE" w:rsidRPr="00E657EE" w:rsidRDefault="00162976" w:rsidP="00E657EE">
      <w:pPr>
        <w:numPr>
          <w:ilvl w:val="0"/>
          <w:numId w:val="6"/>
        </w:numPr>
        <w:jc w:val="both"/>
        <w:rPr>
          <w:rFonts w:ascii="Times New Roman" w:hAnsi="Times New Roman" w:cs="Times New Roman"/>
        </w:rPr>
      </w:pPr>
      <w:r w:rsidRPr="00162976">
        <w:rPr>
          <w:rFonts w:ascii="Times New Roman" w:hAnsi="Times New Roman" w:cs="Times New Roman"/>
          <w:b/>
          <w:bCs/>
        </w:rPr>
        <w:t>Framework Development:</w:t>
      </w:r>
      <w:r w:rsidRPr="00162976">
        <w:rPr>
          <w:rFonts w:ascii="Times New Roman" w:hAnsi="Times New Roman" w:cs="Times New Roman"/>
        </w:rPr>
        <w:t xml:space="preserve"> Insights were synthesized into an integrated framework identifying critical factors, mechanisms, and policy requirements for trade-driven sustainable development.</w:t>
      </w:r>
    </w:p>
    <w:p w14:paraId="3A2D5A01" w14:textId="2B51421B" w:rsidR="00E657EE" w:rsidRDefault="00E657EE" w:rsidP="00E657EE">
      <w:pPr>
        <w:jc w:val="center"/>
        <w:rPr>
          <w:rFonts w:ascii="Times New Roman" w:hAnsi="Times New Roman" w:cs="Times New Roman"/>
        </w:rPr>
      </w:pPr>
      <w:r w:rsidRPr="00E657EE">
        <w:rPr>
          <w:rFonts w:ascii="Times New Roman" w:hAnsi="Times New Roman" w:cs="Times New Roman"/>
          <w:noProof/>
        </w:rPr>
        <w:drawing>
          <wp:inline distT="0" distB="0" distL="0" distR="0" wp14:anchorId="1232EE01" wp14:editId="32C3DEAB">
            <wp:extent cx="4444779" cy="2245708"/>
            <wp:effectExtent l="0" t="0" r="0" b="2540"/>
            <wp:docPr id="981924766" name="Picture 5" descr="A diagram of data extra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4766" name="Picture 5" descr="A diagram of data extraction proces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73"/>
                    <a:stretch>
                      <a:fillRect/>
                    </a:stretch>
                  </pic:blipFill>
                  <pic:spPr bwMode="auto">
                    <a:xfrm>
                      <a:off x="0" y="0"/>
                      <a:ext cx="4463632" cy="2255233"/>
                    </a:xfrm>
                    <a:prstGeom prst="rect">
                      <a:avLst/>
                    </a:prstGeom>
                    <a:noFill/>
                    <a:ln>
                      <a:noFill/>
                    </a:ln>
                    <a:extLst>
                      <a:ext uri="{53640926-AAD7-44D8-BBD7-CCE9431645EC}">
                        <a14:shadowObscured xmlns:a14="http://schemas.microsoft.com/office/drawing/2010/main"/>
                      </a:ext>
                    </a:extLst>
                  </pic:spPr>
                </pic:pic>
              </a:graphicData>
            </a:graphic>
          </wp:inline>
        </w:drawing>
      </w:r>
    </w:p>
    <w:p w14:paraId="5E8979F2" w14:textId="77777777" w:rsidR="00E657EE" w:rsidRDefault="00E657EE" w:rsidP="00E657EE">
      <w:pPr>
        <w:keepNext/>
        <w:jc w:val="center"/>
      </w:pPr>
      <w:r w:rsidRPr="00E657EE">
        <w:rPr>
          <w:rFonts w:ascii="Times New Roman" w:hAnsi="Times New Roman" w:cs="Times New Roman"/>
          <w:noProof/>
        </w:rPr>
        <w:drawing>
          <wp:inline distT="0" distB="0" distL="0" distR="0" wp14:anchorId="76BB9679" wp14:editId="5D196851">
            <wp:extent cx="4444779" cy="2424469"/>
            <wp:effectExtent l="0" t="0" r="0" b="0"/>
            <wp:docPr id="832791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515" cy="2430325"/>
                    </a:xfrm>
                    <a:prstGeom prst="rect">
                      <a:avLst/>
                    </a:prstGeom>
                    <a:noFill/>
                    <a:ln>
                      <a:noFill/>
                    </a:ln>
                  </pic:spPr>
                </pic:pic>
              </a:graphicData>
            </a:graphic>
          </wp:inline>
        </w:drawing>
      </w:r>
    </w:p>
    <w:p w14:paraId="391DEC61" w14:textId="29C0A851" w:rsidR="00E657EE" w:rsidRPr="00E657EE" w:rsidRDefault="00E657EE" w:rsidP="00E657EE">
      <w:pPr>
        <w:pStyle w:val="Caption"/>
        <w:jc w:val="center"/>
        <w:rPr>
          <w:rFonts w:ascii="Times New Roman" w:hAnsi="Times New Roman" w:cs="Times New Roman"/>
          <w:i w:val="0"/>
          <w:iCs w:val="0"/>
        </w:rPr>
      </w:pPr>
      <w:r w:rsidRPr="00E657EE">
        <w:rPr>
          <w:i w:val="0"/>
          <w:iCs w:val="0"/>
        </w:rPr>
        <w:t xml:space="preserve">Figure </w:t>
      </w:r>
      <w:r w:rsidRPr="00E657EE">
        <w:rPr>
          <w:i w:val="0"/>
          <w:iCs w:val="0"/>
        </w:rPr>
        <w:fldChar w:fldCharType="begin"/>
      </w:r>
      <w:r w:rsidRPr="00E657EE">
        <w:rPr>
          <w:i w:val="0"/>
          <w:iCs w:val="0"/>
        </w:rPr>
        <w:instrText xml:space="preserve"> SEQ Figure \* ARABIC </w:instrText>
      </w:r>
      <w:r w:rsidRPr="00E657EE">
        <w:rPr>
          <w:i w:val="0"/>
          <w:iCs w:val="0"/>
        </w:rPr>
        <w:fldChar w:fldCharType="separate"/>
      </w:r>
      <w:r w:rsidR="00AC0276">
        <w:rPr>
          <w:i w:val="0"/>
          <w:iCs w:val="0"/>
          <w:noProof/>
        </w:rPr>
        <w:t>3</w:t>
      </w:r>
      <w:r w:rsidRPr="00E657EE">
        <w:rPr>
          <w:i w:val="0"/>
          <w:iCs w:val="0"/>
        </w:rPr>
        <w:fldChar w:fldCharType="end"/>
      </w:r>
      <w:r w:rsidRPr="00E657EE">
        <w:rPr>
          <w:i w:val="0"/>
          <w:iCs w:val="0"/>
        </w:rPr>
        <w:t>: Thematic Synthesis Process and Workflow</w:t>
      </w:r>
    </w:p>
    <w:p w14:paraId="13A6DE04" w14:textId="5F2C3E4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Limitations</w:t>
      </w:r>
    </w:p>
    <w:p w14:paraId="03A00524"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Several limitations should be acknowledged. First, the review is limited to English-language publications, potentially excluding relevant research published in other languages. Second, despite comprehensive search strategies, some relevant sources may have been missed, particularly recent working papers or reports not yet indexed in major databases. Third, the quality and depth of included studies vary, with some providing more rigorous evidence than others. Fourth, publication bias may favor studies reporting positive relationships between trade and development over null or negative findings. These limitations were mitigated through comprehensive search strategies, explicit inclusion criteria, quality assessment, and transparent reporting of methods and findings.</w:t>
      </w:r>
    </w:p>
    <w:p w14:paraId="572C832C" w14:textId="655E80B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RESULTS</w:t>
      </w:r>
    </w:p>
    <w:p w14:paraId="61B10B85" w14:textId="3D19FAFE"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systematic review identified five critical factors that enable developing countries to successfully harness international trade for sustainable development. These factors emerged consistently across the 87 reviewed studies and are supported by both theoretical frameworks and empirical evidence from diverse </w:t>
      </w:r>
      <w:r w:rsidR="00E657EE" w:rsidRPr="00162976">
        <w:rPr>
          <w:rFonts w:ascii="Times New Roman" w:hAnsi="Times New Roman" w:cs="Times New Roman"/>
        </w:rPr>
        <w:t>countries’</w:t>
      </w:r>
      <w:r w:rsidRPr="00162976">
        <w:rPr>
          <w:rFonts w:ascii="Times New Roman" w:hAnsi="Times New Roman" w:cs="Times New Roman"/>
        </w:rPr>
        <w:t xml:space="preserve"> contexts.</w:t>
      </w:r>
    </w:p>
    <w:p w14:paraId="6013D3AB" w14:textId="7D0AC30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Critical Success Factors for Trade-Driven Development</w:t>
      </w:r>
    </w:p>
    <w:p w14:paraId="73AC259A" w14:textId="20EA227E"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Strategic Identification and Cultivation of Comparative Advantages</w:t>
      </w:r>
    </w:p>
    <w:p w14:paraId="080E376D" w14:textId="77777777" w:rsidR="001760B2" w:rsidRDefault="001760B2" w:rsidP="00162976">
      <w:pPr>
        <w:jc w:val="both"/>
        <w:rPr>
          <w:rFonts w:ascii="Times New Roman" w:hAnsi="Times New Roman" w:cs="Times New Roman"/>
        </w:rPr>
      </w:pPr>
      <w:r>
        <w:rPr>
          <w:rFonts w:ascii="Times New Roman" w:hAnsi="Times New Roman" w:cs="Times New Roman"/>
        </w:rPr>
        <w:t>The predominant factor, noted in 73% of analyzed research, was the strategic identification and intentional development of comparative advantages. Countries that attain sustained trade-driven development methodically evaluate their factor endowments, current capabilities, and market prospects to pinpoint areas with potential competitive advantage (Hausmann et al., 2014; Cherif and Hasanov, 2019; Lin and Wang, 2022). This process transcended static comparative advantages derived from existing resources to encompass latent comparative advantages that might be cultivated through strategic interventions (Lin and Monga, 2011).</w:t>
      </w:r>
    </w:p>
    <w:p w14:paraId="67CD5551" w14:textId="77777777" w:rsidR="001760B2" w:rsidRDefault="001760B2" w:rsidP="00162976">
      <w:pPr>
        <w:jc w:val="both"/>
        <w:rPr>
          <w:rFonts w:ascii="Times New Roman" w:hAnsi="Times New Roman" w:cs="Times New Roman"/>
        </w:rPr>
      </w:pPr>
      <w:r>
        <w:rPr>
          <w:rFonts w:ascii="Times New Roman" w:hAnsi="Times New Roman" w:cs="Times New Roman"/>
        </w:rPr>
        <w:t xml:space="preserve">Successful nations utilized various methodologies to discern promising sectors, including product space analysis to pinpoint adjacent products necessitating similar competencies (Hidalgo et al., 2007; Hausmann and Klinger, 2007), examination of burgeoning global demand trends to focus on expanding markets (Freund and </w:t>
      </w:r>
      <w:proofErr w:type="spellStart"/>
      <w:r>
        <w:rPr>
          <w:rFonts w:ascii="Times New Roman" w:hAnsi="Times New Roman" w:cs="Times New Roman"/>
        </w:rPr>
        <w:t>Pierola</w:t>
      </w:r>
      <w:proofErr w:type="spellEnd"/>
      <w:r>
        <w:rPr>
          <w:rFonts w:ascii="Times New Roman" w:hAnsi="Times New Roman" w:cs="Times New Roman"/>
        </w:rPr>
        <w:t>, 2015), assessment of domestic capabilities and potential for learning (Rodrik, 2004), and evaluation of value chain opportunities for task-level specialization (Taglioni and Winkler, 2016).</w:t>
      </w:r>
    </w:p>
    <w:p w14:paraId="11877CFB" w14:textId="52553B0A" w:rsidR="00162976" w:rsidRDefault="001760B2" w:rsidP="00162976">
      <w:pPr>
        <w:jc w:val="both"/>
        <w:rPr>
          <w:rFonts w:ascii="Times New Roman" w:hAnsi="Times New Roman" w:cs="Times New Roman"/>
        </w:rPr>
      </w:pPr>
      <w:r>
        <w:rPr>
          <w:rFonts w:ascii="Times New Roman" w:hAnsi="Times New Roman" w:cs="Times New Roman"/>
        </w:rPr>
        <w:t>Upon identifying promising sectors, nations executed coordinated strategies to enhance competitiveness via targeted infrastructure investments, provision of trade finance and export promotion assistance, establishment of export processing zones and industrial parks, development of sector-specific skills and capabilities, and facilitation of technology transfer and adaptation (Harrison and Rodríguez-Clare, 2010; Aghion et al., 2015; Lederman et al., 2020). The research suggests that mere dependence on current comparative advantages is inadequate; proactive development through strategic policy is essential for enduring trade success.</w:t>
      </w:r>
    </w:p>
    <w:p w14:paraId="26CC1E38" w14:textId="77777777" w:rsidR="001760B2" w:rsidRPr="00162976" w:rsidRDefault="001760B2" w:rsidP="00162976">
      <w:pPr>
        <w:jc w:val="both"/>
        <w:rPr>
          <w:rFonts w:ascii="Times New Roman" w:hAnsi="Times New Roman" w:cs="Times New Roman"/>
        </w:rPr>
      </w:pPr>
    </w:p>
    <w:p w14:paraId="15D25A6A" w14:textId="513A01FB"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Human Capital Development and Skill Formation</w:t>
      </w:r>
    </w:p>
    <w:p w14:paraId="45DD2EE5" w14:textId="77777777" w:rsidR="001760B2" w:rsidRDefault="001760B2" w:rsidP="00162976">
      <w:pPr>
        <w:jc w:val="both"/>
        <w:rPr>
          <w:rFonts w:ascii="Times New Roman" w:hAnsi="Times New Roman" w:cs="Times New Roman"/>
        </w:rPr>
      </w:pPr>
      <w:r>
        <w:rPr>
          <w:rFonts w:ascii="Times New Roman" w:hAnsi="Times New Roman" w:cs="Times New Roman"/>
        </w:rPr>
        <w:t>Human capital development was identified as the second most significant aspect, emphasized in 68% of the analyzed studies. Countries that made considerable investments in education, vocational training, and skill development exhibited markedly improved trade competitiveness and an enhanced ability to derive benefit from trade engagement (</w:t>
      </w:r>
      <w:proofErr w:type="spellStart"/>
      <w:r>
        <w:rPr>
          <w:rFonts w:ascii="Times New Roman" w:hAnsi="Times New Roman" w:cs="Times New Roman"/>
        </w:rPr>
        <w:t>Hanushek</w:t>
      </w:r>
      <w:proofErr w:type="spellEnd"/>
      <w:r>
        <w:rPr>
          <w:rFonts w:ascii="Times New Roman" w:hAnsi="Times New Roman" w:cs="Times New Roman"/>
        </w:rPr>
        <w:t xml:space="preserve"> and </w:t>
      </w:r>
      <w:proofErr w:type="spellStart"/>
      <w:r>
        <w:rPr>
          <w:rFonts w:ascii="Times New Roman" w:hAnsi="Times New Roman" w:cs="Times New Roman"/>
        </w:rPr>
        <w:t>Woessmann</w:t>
      </w:r>
      <w:proofErr w:type="spellEnd"/>
      <w:r>
        <w:rPr>
          <w:rFonts w:ascii="Times New Roman" w:hAnsi="Times New Roman" w:cs="Times New Roman"/>
        </w:rPr>
        <w:t>, 2012; World Bank, 2018; UNCTAD, 2021).</w:t>
      </w:r>
    </w:p>
    <w:p w14:paraId="0F4E4B38" w14:textId="77777777" w:rsidR="001760B2" w:rsidRDefault="001760B2" w:rsidP="00162976">
      <w:pPr>
        <w:jc w:val="both"/>
        <w:rPr>
          <w:rFonts w:ascii="Times New Roman" w:hAnsi="Times New Roman" w:cs="Times New Roman"/>
        </w:rPr>
      </w:pPr>
      <w:r>
        <w:rPr>
          <w:rFonts w:ascii="Times New Roman" w:hAnsi="Times New Roman" w:cs="Times New Roman"/>
        </w:rPr>
        <w:t>The research delineates various dimensions of human capital pertinent to trade competitiveness. Fundamental education (basic and secondary) imparts essential literacy, numeracy, and cognitive competencies necessary for effective employment in contemporary industries (Barro, 2013; Glewwe et al., 2014). Technical and vocational education cultivates specialized skills necessary for the manufacturing and services sectors involved in international trade (Mayer et al., 2020; Sondermann and Glocker, 2021). Tertiary education and research capabilities facilitate innovation, technological adaptability, and transition into knowledge-intensive endeavors (Aghion and Howitt, 2009; Bloom et al., 2014).</w:t>
      </w:r>
    </w:p>
    <w:p w14:paraId="2A79B147" w14:textId="77777777" w:rsidR="001760B2" w:rsidRDefault="001760B2" w:rsidP="00162976">
      <w:pPr>
        <w:jc w:val="both"/>
        <w:rPr>
          <w:rFonts w:ascii="Times New Roman" w:hAnsi="Times New Roman" w:cs="Times New Roman"/>
        </w:rPr>
      </w:pPr>
      <w:r>
        <w:rPr>
          <w:rFonts w:ascii="Times New Roman" w:hAnsi="Times New Roman" w:cs="Times New Roman"/>
        </w:rPr>
        <w:t xml:space="preserve">Quantitative research illustrates robust correlations between human capital and trade results. </w:t>
      </w:r>
      <w:proofErr w:type="gramStart"/>
      <w:r>
        <w:rPr>
          <w:rFonts w:ascii="Times New Roman" w:hAnsi="Times New Roman" w:cs="Times New Roman"/>
        </w:rPr>
        <w:t>An</w:t>
      </w:r>
      <w:proofErr w:type="gramEnd"/>
      <w:r>
        <w:rPr>
          <w:rFonts w:ascii="Times New Roman" w:hAnsi="Times New Roman" w:cs="Times New Roman"/>
        </w:rPr>
        <w:t xml:space="preserve"> survey of 67 developing nations revealed that a one standard deviation increase in average years of schooling correlated with a 23% rise in export sophistication and a 1.2 percentage point increase in yearly GDP growth (Hausmann et al., 2014). Countries in the top quartile of education quality experienced average export growth rates that were 4.3 percentage points more than those in the poorest quartile from 2000 to 2015 (</w:t>
      </w:r>
      <w:proofErr w:type="spellStart"/>
      <w:r>
        <w:rPr>
          <w:rFonts w:ascii="Times New Roman" w:hAnsi="Times New Roman" w:cs="Times New Roman"/>
        </w:rPr>
        <w:t>Hanushek</w:t>
      </w:r>
      <w:proofErr w:type="spellEnd"/>
      <w:r>
        <w:rPr>
          <w:rFonts w:ascii="Times New Roman" w:hAnsi="Times New Roman" w:cs="Times New Roman"/>
        </w:rPr>
        <w:t xml:space="preserve"> and </w:t>
      </w:r>
      <w:proofErr w:type="spellStart"/>
      <w:r>
        <w:rPr>
          <w:rFonts w:ascii="Times New Roman" w:hAnsi="Times New Roman" w:cs="Times New Roman"/>
        </w:rPr>
        <w:t>Woessmann</w:t>
      </w:r>
      <w:proofErr w:type="spellEnd"/>
      <w:r>
        <w:rPr>
          <w:rFonts w:ascii="Times New Roman" w:hAnsi="Times New Roman" w:cs="Times New Roman"/>
        </w:rPr>
        <w:t>, 2020).</w:t>
      </w:r>
    </w:p>
    <w:p w14:paraId="0F20B69B" w14:textId="43FA6B1E" w:rsidR="00162976" w:rsidRPr="00162976" w:rsidRDefault="001760B2" w:rsidP="00162976">
      <w:pPr>
        <w:jc w:val="both"/>
        <w:rPr>
          <w:rFonts w:ascii="Times New Roman" w:hAnsi="Times New Roman" w:cs="Times New Roman"/>
        </w:rPr>
      </w:pPr>
      <w:r>
        <w:rPr>
          <w:rFonts w:ascii="Times New Roman" w:hAnsi="Times New Roman" w:cs="Times New Roman"/>
        </w:rPr>
        <w:t>Digital competencies have become progressively vital for trade competitiveness in the digital economy (Meltzer, 2019; WTO, 2023). Countries exhibiting elevated levels of digital literacy and internet penetration show superior integration into digitally enabled services trade, accelerated productivity growth, and enhanced ability to utilize e-commerce for export diversification (Goldfarb and Tucker, 2019; UNCTAD, 2021).</w:t>
      </w:r>
    </w:p>
    <w:p w14:paraId="750A0244" w14:textId="2D74B79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Integration into Global Value Chains with Upgrading Capabilities</w:t>
      </w:r>
    </w:p>
    <w:p w14:paraId="492C75FA" w14:textId="77777777" w:rsidR="001760B2" w:rsidRDefault="001760B2" w:rsidP="00162976">
      <w:pPr>
        <w:jc w:val="both"/>
        <w:rPr>
          <w:rFonts w:ascii="Times New Roman" w:hAnsi="Times New Roman" w:cs="Times New Roman"/>
        </w:rPr>
      </w:pPr>
      <w:r>
        <w:rPr>
          <w:rFonts w:ascii="Times New Roman" w:hAnsi="Times New Roman" w:cs="Times New Roman"/>
        </w:rPr>
        <w:t>Integration into global value chains (GVCs) with defined pathways for enhancement was deemed essential in 64% of the analyzed studies. Although participation in global value chains can expedite industrialization and facilitate technology transfer, the developmental advantages are fundamentally contingent upon the ability to progressively transition to higher value-added industries (</w:t>
      </w:r>
      <w:proofErr w:type="spellStart"/>
      <w:r>
        <w:rPr>
          <w:rFonts w:ascii="Times New Roman" w:hAnsi="Times New Roman" w:cs="Times New Roman"/>
        </w:rPr>
        <w:t>Gereffi</w:t>
      </w:r>
      <w:proofErr w:type="spellEnd"/>
      <w:r>
        <w:rPr>
          <w:rFonts w:ascii="Times New Roman" w:hAnsi="Times New Roman" w:cs="Times New Roman"/>
        </w:rPr>
        <w:t xml:space="preserve">, 2014; </w:t>
      </w:r>
      <w:proofErr w:type="spellStart"/>
      <w:r>
        <w:rPr>
          <w:rFonts w:ascii="Times New Roman" w:hAnsi="Times New Roman" w:cs="Times New Roman"/>
        </w:rPr>
        <w:t>Taglioni</w:t>
      </w:r>
      <w:proofErr w:type="spellEnd"/>
      <w:r>
        <w:rPr>
          <w:rFonts w:ascii="Times New Roman" w:hAnsi="Times New Roman" w:cs="Times New Roman"/>
        </w:rPr>
        <w:t xml:space="preserve"> and Winkler, 2016; </w:t>
      </w:r>
      <w:proofErr w:type="spellStart"/>
      <w:r>
        <w:rPr>
          <w:rFonts w:ascii="Times New Roman" w:hAnsi="Times New Roman" w:cs="Times New Roman"/>
        </w:rPr>
        <w:t>Gereffi</w:t>
      </w:r>
      <w:proofErr w:type="spellEnd"/>
      <w:r>
        <w:rPr>
          <w:rFonts w:ascii="Times New Roman" w:hAnsi="Times New Roman" w:cs="Times New Roman"/>
        </w:rPr>
        <w:t xml:space="preserve"> and Luo, 2022).</w:t>
      </w:r>
    </w:p>
    <w:p w14:paraId="01971644" w14:textId="77777777" w:rsidR="001760B2" w:rsidRDefault="001760B2" w:rsidP="00162976">
      <w:pPr>
        <w:jc w:val="both"/>
        <w:rPr>
          <w:rFonts w:ascii="Times New Roman" w:hAnsi="Times New Roman" w:cs="Times New Roman"/>
        </w:rPr>
      </w:pPr>
      <w:r>
        <w:rPr>
          <w:rFonts w:ascii="Times New Roman" w:hAnsi="Times New Roman" w:cs="Times New Roman"/>
        </w:rPr>
        <w:t xml:space="preserve">The literature differentiates between basic GVC involvement and advantageous integration. Basic involvement entails engagement in low value-added sectors characterized by restricted learning prospects, negligible knowledge transfer, and susceptibility to the actions of lead firms (Kaplinsky, 2000; Milberg and Winkler, 2013). Beneficial integration entails progressive enhancement via refined processes, transition to superior products, acquisition of novel functionalities, and ultimate chain advancement (Humphrey and Schmitz, 2002; </w:t>
      </w:r>
      <w:proofErr w:type="spellStart"/>
      <w:r>
        <w:rPr>
          <w:rFonts w:ascii="Times New Roman" w:hAnsi="Times New Roman" w:cs="Times New Roman"/>
        </w:rPr>
        <w:t>Gereffi</w:t>
      </w:r>
      <w:proofErr w:type="spellEnd"/>
      <w:r>
        <w:rPr>
          <w:rFonts w:ascii="Times New Roman" w:hAnsi="Times New Roman" w:cs="Times New Roman"/>
        </w:rPr>
        <w:t>, 2005).</w:t>
      </w:r>
    </w:p>
    <w:p w14:paraId="641167A5" w14:textId="77777777" w:rsidR="001760B2" w:rsidRDefault="001760B2" w:rsidP="00162976">
      <w:pPr>
        <w:jc w:val="both"/>
        <w:rPr>
          <w:rFonts w:ascii="Times New Roman" w:hAnsi="Times New Roman" w:cs="Times New Roman"/>
        </w:rPr>
      </w:pPr>
      <w:r>
        <w:rPr>
          <w:rFonts w:ascii="Times New Roman" w:hAnsi="Times New Roman" w:cs="Times New Roman"/>
        </w:rPr>
        <w:t>Countries exhibiting successful GVC upgrading possessed several common traits: they established robust domestic supplier capabilities via backward linkages (</w:t>
      </w:r>
      <w:proofErr w:type="spellStart"/>
      <w:r>
        <w:rPr>
          <w:rFonts w:ascii="Times New Roman" w:hAnsi="Times New Roman" w:cs="Times New Roman"/>
        </w:rPr>
        <w:t>Javorcik</w:t>
      </w:r>
      <w:proofErr w:type="spellEnd"/>
      <w:r>
        <w:rPr>
          <w:rFonts w:ascii="Times New Roman" w:hAnsi="Times New Roman" w:cs="Times New Roman"/>
        </w:rPr>
        <w:t xml:space="preserve">, 2020; </w:t>
      </w:r>
      <w:r>
        <w:rPr>
          <w:rFonts w:ascii="Times New Roman" w:hAnsi="Times New Roman" w:cs="Times New Roman"/>
        </w:rPr>
        <w:lastRenderedPageBreak/>
        <w:t>Newman et al., 2020), invested in technological competencies to foster innovation and adaptability (Lee, 2013; Fu et al., 2021), nurtured relationships with various lead firms to mitigate dependency (Dallas et al., 2019; Ponte and Sturgeon, 2014), and strategically implemented policies to facilitate learning and capability enhancement (Rodrik, 2018; Chang and Lin, 2009).</w:t>
      </w:r>
    </w:p>
    <w:p w14:paraId="12615ED4" w14:textId="0200CCA7" w:rsidR="00162976" w:rsidRPr="00162976" w:rsidRDefault="001760B2" w:rsidP="00162976">
      <w:pPr>
        <w:jc w:val="both"/>
        <w:rPr>
          <w:rFonts w:ascii="Times New Roman" w:hAnsi="Times New Roman" w:cs="Times New Roman"/>
        </w:rPr>
      </w:pPr>
      <w:r>
        <w:rPr>
          <w:rFonts w:ascii="Times New Roman" w:hAnsi="Times New Roman" w:cs="Times New Roman"/>
        </w:rPr>
        <w:t xml:space="preserve">Data from East Asian nations demonstrates effective advancement pathways. South Korea advanced from basic assembly in the 1960s to original equipment </w:t>
      </w:r>
      <w:proofErr w:type="spellStart"/>
      <w:r>
        <w:rPr>
          <w:rFonts w:ascii="Times New Roman" w:hAnsi="Times New Roman" w:cs="Times New Roman"/>
        </w:rPr>
        <w:t>manufacture</w:t>
      </w:r>
      <w:proofErr w:type="spellEnd"/>
      <w:r>
        <w:rPr>
          <w:rFonts w:ascii="Times New Roman" w:hAnsi="Times New Roman" w:cs="Times New Roman"/>
        </w:rPr>
        <w:t xml:space="preserve"> in the 1970s and 1980s, then to original design manufacturing in the 1990s, and ultimately to original brand manufacturing in the electronics and automotive sectors (Amsden, 1989; Lee, 2013). This enhancement was facilitated by a synchronized industrial policy, significant research and development investments, and gradual deregulation aligned with capability advancement (Wade, 1990; Chang, 2002).</w:t>
      </w:r>
    </w:p>
    <w:p w14:paraId="3C7F993F" w14:textId="122EEE32"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Inclusive Trade Policies Addressing Social Equity</w:t>
      </w:r>
    </w:p>
    <w:p w14:paraId="0626E280"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Inclusive trade policies ensuring broad-based benefit sharing were highlighted in 52% of reviewed studies. While trade can generate aggregate economic gains, these benefits are not automatically distributed equitably across regions, social groups, or firm sizes (Goldberg and </w:t>
      </w:r>
      <w:proofErr w:type="spellStart"/>
      <w:r w:rsidRPr="00162976">
        <w:rPr>
          <w:rFonts w:ascii="Times New Roman" w:hAnsi="Times New Roman" w:cs="Times New Roman"/>
        </w:rPr>
        <w:t>Pavcnik</w:t>
      </w:r>
      <w:proofErr w:type="spellEnd"/>
      <w:r w:rsidRPr="00162976">
        <w:rPr>
          <w:rFonts w:ascii="Times New Roman" w:hAnsi="Times New Roman" w:cs="Times New Roman"/>
        </w:rPr>
        <w:t>, 2007; World Bank, 2020; UNCTAD, 2023). Deliberate policies are necessary to ensure that marginalized groups and regions participate in and benefit from trade opportunities.</w:t>
      </w:r>
    </w:p>
    <w:p w14:paraId="1CCC0F76" w14:textId="4C9216D6"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Multiple dimensions of trade inclusivity emerged from the literature. Geographic inclusivity involves ensuring that rural and peripheral regions access trade opportunities through rural infrastructure development, agricultural value chain integration, and regional economic development initiatives (Dorosh and </w:t>
      </w:r>
      <w:proofErr w:type="spellStart"/>
      <w:r w:rsidRPr="00162976">
        <w:rPr>
          <w:rFonts w:ascii="Times New Roman" w:hAnsi="Times New Roman" w:cs="Times New Roman"/>
        </w:rPr>
        <w:t>Thurlow</w:t>
      </w:r>
      <w:proofErr w:type="spellEnd"/>
      <w:r w:rsidRPr="00162976">
        <w:rPr>
          <w:rFonts w:ascii="Times New Roman" w:hAnsi="Times New Roman" w:cs="Times New Roman"/>
        </w:rPr>
        <w:t xml:space="preserve">, 2018; </w:t>
      </w:r>
      <w:proofErr w:type="spellStart"/>
      <w:r w:rsidRPr="00162976">
        <w:rPr>
          <w:rFonts w:ascii="Times New Roman" w:hAnsi="Times New Roman" w:cs="Times New Roman"/>
        </w:rPr>
        <w:t>Swinnen</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Kuijpers</w:t>
      </w:r>
      <w:proofErr w:type="spellEnd"/>
      <w:r w:rsidRPr="00162976">
        <w:rPr>
          <w:rFonts w:ascii="Times New Roman" w:hAnsi="Times New Roman" w:cs="Times New Roman"/>
        </w:rPr>
        <w:t xml:space="preserve">, 2019). Social inclusivity addresses disparities across gender, ethnic, and socioeconomic groups through gender-responsive trade policies, targeted support for disadvantaged groups, and labor market interventions ensuring decent work (Fontana, 2016; World Bank, 2022; ILO, 2020). Firm-size inclusivity enables small and medium enterprises (SMEs) to participate in trade through access to finance and credit, trade </w:t>
      </w:r>
      <w:r w:rsidR="00E657EE" w:rsidRPr="00162976">
        <w:rPr>
          <w:rFonts w:ascii="Times New Roman" w:hAnsi="Times New Roman" w:cs="Times New Roman"/>
        </w:rPr>
        <w:t>facilitation,</w:t>
      </w:r>
      <w:r w:rsidRPr="00162976">
        <w:rPr>
          <w:rFonts w:ascii="Times New Roman" w:hAnsi="Times New Roman" w:cs="Times New Roman"/>
        </w:rPr>
        <w:t xml:space="preserve"> reducing bureaucratic barriers, capacity building for export readiness, and support for technology adoption (ITC, 2020; OECD, 2017).</w:t>
      </w:r>
    </w:p>
    <w:p w14:paraId="5B79D5D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Evidence indicates that countries with more inclusive trade policies achieved better development outcomes. A comparative analysis of 45 developing countries found that those in the top quartile of trade inclusivity (measured by geographic distribution of trade activities, SME participation rates, and female employment in export sectors) achieved poverty reduction rates 1.8 times higher than those in the bottom quartile, despite similar aggregate export growth (World Bank, 2020).</w:t>
      </w:r>
    </w:p>
    <w:p w14:paraId="6C0E81BC" w14:textId="0816ED01"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Gender-responsive trade policies received particular attention in </w:t>
      </w:r>
      <w:r w:rsidR="00E657EE" w:rsidRPr="00162976">
        <w:rPr>
          <w:rFonts w:ascii="Times New Roman" w:hAnsi="Times New Roman" w:cs="Times New Roman"/>
        </w:rPr>
        <w:t>literature</w:t>
      </w:r>
      <w:r w:rsidRPr="00162976">
        <w:rPr>
          <w:rFonts w:ascii="Times New Roman" w:hAnsi="Times New Roman" w:cs="Times New Roman"/>
        </w:rPr>
        <w:t xml:space="preserve">. Trade liberalization affects women differently than men due to sectoral concentration, wage discrimination, and domestic responsibilities (Kabeer and Mahmud, 2004; Tejani and Milberg, 2016). Policies addressing gender dimensions include childcare support enabling female labor force participation, enforcement of equal pay provisions, entrepreneurship programs targeting </w:t>
      </w:r>
      <w:r w:rsidRPr="00162976">
        <w:rPr>
          <w:rFonts w:ascii="Times New Roman" w:hAnsi="Times New Roman" w:cs="Times New Roman"/>
        </w:rPr>
        <w:lastRenderedPageBreak/>
        <w:t>women-owned businesses, and ensuring women's participation in trade policy formulation (World Bank, 2022; UN Women, 2020).</w:t>
      </w:r>
    </w:p>
    <w:p w14:paraId="0393EC35" w14:textId="3B0A38B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Environmental Sustainability Integration</w:t>
      </w:r>
    </w:p>
    <w:p w14:paraId="1907C721" w14:textId="42960E7B" w:rsidR="00162976" w:rsidRPr="00162976" w:rsidRDefault="00162976" w:rsidP="00162976">
      <w:pPr>
        <w:jc w:val="both"/>
        <w:rPr>
          <w:rFonts w:ascii="Times New Roman" w:hAnsi="Times New Roman" w:cs="Times New Roman"/>
        </w:rPr>
      </w:pPr>
      <w:r w:rsidRPr="00162976">
        <w:rPr>
          <w:rFonts w:ascii="Times New Roman" w:hAnsi="Times New Roman" w:cs="Times New Roman"/>
        </w:rPr>
        <w:t>Integration of environmental sustainability considerations into trade strategies was emphasized in 47% of reviewed studies, with particular growth in attention after 2018. The literature recognizes that trade-driven development must be environmentally sustainable to avoid undermining long-term welfare through resource depletion, pollution, and climate change (WTO, 2022; Cao et al., 2023; UNCTAD, 2020).</w:t>
      </w:r>
      <w:r w:rsidR="00E657EE">
        <w:rPr>
          <w:rFonts w:ascii="Times New Roman" w:hAnsi="Times New Roman" w:cs="Times New Roman"/>
        </w:rPr>
        <w:t xml:space="preserve"> </w:t>
      </w:r>
      <w:r w:rsidRPr="00162976">
        <w:rPr>
          <w:rFonts w:ascii="Times New Roman" w:hAnsi="Times New Roman" w:cs="Times New Roman"/>
        </w:rPr>
        <w:t>Environmental dimensions of trade operate through multiple channels. The scale effect increases production and consumption, potentially raising environmental pressures (Grossman and Krueger, 1995). The composition effect changes the mix of economic activities, with environmental impacts depending on whether countries specialize in pollution-intensive or clean sectors (</w:t>
      </w:r>
      <w:proofErr w:type="spellStart"/>
      <w:r w:rsidRPr="00162976">
        <w:rPr>
          <w:rFonts w:ascii="Times New Roman" w:hAnsi="Times New Roman" w:cs="Times New Roman"/>
        </w:rPr>
        <w:t>Antweiler</w:t>
      </w:r>
      <w:proofErr w:type="spellEnd"/>
      <w:r w:rsidRPr="00162976">
        <w:rPr>
          <w:rFonts w:ascii="Times New Roman" w:hAnsi="Times New Roman" w:cs="Times New Roman"/>
        </w:rPr>
        <w:t xml:space="preserve"> et al., 2001). The technique effect involves changes in production technologies, potentially improving environmental outcomes through access to cleaner technologies (Levinson, 2009; </w:t>
      </w:r>
      <w:proofErr w:type="spellStart"/>
      <w:r w:rsidRPr="00162976">
        <w:rPr>
          <w:rFonts w:ascii="Times New Roman" w:hAnsi="Times New Roman" w:cs="Times New Roman"/>
        </w:rPr>
        <w:t>Cherniwchan</w:t>
      </w:r>
      <w:proofErr w:type="spellEnd"/>
      <w:r w:rsidRPr="00162976">
        <w:rPr>
          <w:rFonts w:ascii="Times New Roman" w:hAnsi="Times New Roman" w:cs="Times New Roman"/>
        </w:rPr>
        <w:t xml:space="preserve"> et al., 2017).</w:t>
      </w:r>
    </w:p>
    <w:p w14:paraId="11C8A25D" w14:textId="5CC94520" w:rsidR="00E657EE" w:rsidRDefault="00162976" w:rsidP="00162976">
      <w:pPr>
        <w:jc w:val="both"/>
        <w:rPr>
          <w:rFonts w:ascii="Times New Roman" w:hAnsi="Times New Roman" w:cs="Times New Roman"/>
        </w:rPr>
      </w:pPr>
      <w:r w:rsidRPr="00162976">
        <w:rPr>
          <w:rFonts w:ascii="Times New Roman" w:hAnsi="Times New Roman" w:cs="Times New Roman"/>
        </w:rPr>
        <w:t>Policies promoting environmental sustainability in trade include environmental provisions in trade agreements addressing issues like illegal logging, marine conservation, and climate commitments (Morin et al., 2018; WTO, 2022), green technology transfer mechanisms facilitating access to environmentally sound technologies (Lema and Lema, 2012; UNCTAD, 2020), sustainable standards and certification schemes for products like timber, palm oil, and coffee (Blackman and Rivera, 2011; Tayleur et al., 2017), and alignment of trade policies with climate goals including low-carbon development pathways (Peters and Veld, 2021; Jakob et al., 2022).</w:t>
      </w:r>
      <w:r w:rsidR="00E657EE">
        <w:rPr>
          <w:rFonts w:ascii="Times New Roman" w:hAnsi="Times New Roman" w:cs="Times New Roman"/>
        </w:rPr>
        <w:t xml:space="preserve"> </w:t>
      </w:r>
      <w:r w:rsidRPr="00162976">
        <w:rPr>
          <w:rFonts w:ascii="Times New Roman" w:hAnsi="Times New Roman" w:cs="Times New Roman"/>
        </w:rPr>
        <w:t xml:space="preserve">Evidence suggests that environmental sustainability and trade competitiveness can be mutually </w:t>
      </w:r>
      <w:r w:rsidR="00E657EE" w:rsidRPr="00162976">
        <w:rPr>
          <w:rFonts w:ascii="Times New Roman" w:hAnsi="Times New Roman" w:cs="Times New Roman"/>
        </w:rPr>
        <w:t>reinforced</w:t>
      </w:r>
      <w:r w:rsidRPr="00162976">
        <w:rPr>
          <w:rFonts w:ascii="Times New Roman" w:hAnsi="Times New Roman" w:cs="Times New Roman"/>
        </w:rPr>
        <w:t xml:space="preserve">. Countries that adopted early environmental regulations often developed competitive advantages in environmental technologies and products, becoming major exporters of green goods and services (Porter and van der Linde, 1995;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 Denmark, for example, became a leading wind turbine exporter partly due to early environmental policies creating domestic demand driving innovation (Lewis, 2014).</w:t>
      </w:r>
    </w:p>
    <w:p w14:paraId="4CD04319" w14:textId="77777777" w:rsidR="00E657EE" w:rsidRDefault="00E657EE" w:rsidP="00E657EE">
      <w:pPr>
        <w:keepNext/>
        <w:jc w:val="center"/>
      </w:pPr>
      <w:r w:rsidRPr="00E657EE">
        <w:rPr>
          <w:rFonts w:ascii="Times New Roman" w:hAnsi="Times New Roman" w:cs="Times New Roman"/>
          <w:noProof/>
        </w:rPr>
        <w:drawing>
          <wp:inline distT="0" distB="0" distL="0" distR="0" wp14:anchorId="0184AFA0" wp14:editId="5DA34EF8">
            <wp:extent cx="4533484" cy="2472856"/>
            <wp:effectExtent l="0" t="0" r="635" b="3810"/>
            <wp:docPr id="2081603009" name="Picture 9" descr="A diagram of a research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3009" name="Picture 9" descr="A diagram of a research proce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7534" cy="2480520"/>
                    </a:xfrm>
                    <a:prstGeom prst="rect">
                      <a:avLst/>
                    </a:prstGeom>
                    <a:noFill/>
                    <a:ln>
                      <a:noFill/>
                    </a:ln>
                  </pic:spPr>
                </pic:pic>
              </a:graphicData>
            </a:graphic>
          </wp:inline>
        </w:drawing>
      </w:r>
    </w:p>
    <w:p w14:paraId="40F5B432" w14:textId="4F65DC03" w:rsidR="00E657EE" w:rsidRPr="00E657EE" w:rsidRDefault="00E657EE" w:rsidP="00E657EE">
      <w:pPr>
        <w:pStyle w:val="Caption"/>
        <w:jc w:val="center"/>
        <w:rPr>
          <w:rFonts w:ascii="Times New Roman" w:hAnsi="Times New Roman" w:cs="Times New Roman"/>
          <w:i w:val="0"/>
          <w:iCs w:val="0"/>
        </w:rPr>
      </w:pPr>
      <w:r w:rsidRPr="00E657EE">
        <w:rPr>
          <w:i w:val="0"/>
          <w:iCs w:val="0"/>
        </w:rPr>
        <w:t xml:space="preserve">Figure </w:t>
      </w:r>
      <w:r w:rsidRPr="00E657EE">
        <w:rPr>
          <w:i w:val="0"/>
          <w:iCs w:val="0"/>
        </w:rPr>
        <w:fldChar w:fldCharType="begin"/>
      </w:r>
      <w:r w:rsidRPr="00E657EE">
        <w:rPr>
          <w:i w:val="0"/>
          <w:iCs w:val="0"/>
        </w:rPr>
        <w:instrText xml:space="preserve"> SEQ Figure \* ARABIC </w:instrText>
      </w:r>
      <w:r w:rsidRPr="00E657EE">
        <w:rPr>
          <w:i w:val="0"/>
          <w:iCs w:val="0"/>
        </w:rPr>
        <w:fldChar w:fldCharType="separate"/>
      </w:r>
      <w:r w:rsidR="00AC0276">
        <w:rPr>
          <w:i w:val="0"/>
          <w:iCs w:val="0"/>
          <w:noProof/>
        </w:rPr>
        <w:t>4</w:t>
      </w:r>
      <w:r w:rsidRPr="00E657EE">
        <w:rPr>
          <w:i w:val="0"/>
          <w:iCs w:val="0"/>
        </w:rPr>
        <w:fldChar w:fldCharType="end"/>
      </w:r>
      <w:r w:rsidRPr="00E657EE">
        <w:rPr>
          <w:i w:val="0"/>
          <w:iCs w:val="0"/>
        </w:rPr>
        <w:t>: Factors for Trade Driven Developmen</w:t>
      </w:r>
      <w:r w:rsidR="009C44E8">
        <w:rPr>
          <w:i w:val="0"/>
          <w:iCs w:val="0"/>
        </w:rPr>
        <w:t>t</w:t>
      </w:r>
    </w:p>
    <w:p w14:paraId="45329016" w14:textId="4B84C4E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Quantitative Patterns Across Studies</w:t>
      </w:r>
    </w:p>
    <w:p w14:paraId="3FCE796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Analysis of quantitative evidence across reviewed studies revealed consistent patterns regarding the relationships between trade engagement and development outcomes, moderated by the five critical factors identified above.</w:t>
      </w:r>
    </w:p>
    <w:p w14:paraId="6F1537D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Export Growth and Economic Development:</w:t>
      </w:r>
      <w:r w:rsidRPr="00162976">
        <w:rPr>
          <w:rFonts w:ascii="Times New Roman" w:hAnsi="Times New Roman" w:cs="Times New Roman"/>
        </w:rPr>
        <w:t xml:space="preserve"> Studies examining relationships between export growth and GDP growth (n=34) found positive associations in 88% of cases, with average elasticities of 0.23 (meaning a 10% increase in exports associated with a 2.3% increase in GDP). However, the strength of this relationship varied substantially based on export composition, with manufacturing exports showing stronger growth effects (average elasticity 0.31) than primary commodity exports (average elasticity 0.15).</w:t>
      </w:r>
    </w:p>
    <w:p w14:paraId="1C0C2CDE"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Trade and Poverty Reduction:</w:t>
      </w:r>
      <w:r w:rsidRPr="00162976">
        <w:rPr>
          <w:rFonts w:ascii="Times New Roman" w:hAnsi="Times New Roman" w:cs="Times New Roman"/>
        </w:rPr>
        <w:t xml:space="preserve"> Studies examining trade impacts on poverty (n=27) found that export-oriented countries achieved average annual poverty reduction rates of 2.1 percentage points compared to 0.8 percentage points in less trade-oriented countries over the 2000-2020 period. However, poverty impacts were significantly stronger in countries with inclusive policies: trade-oriented countries with high inclusivity scores achieved annual poverty reduction of 3.2 percentage points, while those with low inclusivity achieved only 1.3 percentage points despite similar export growth rates.</w:t>
      </w:r>
    </w:p>
    <w:p w14:paraId="1A21FA9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Human Capital and Export Sophistication:</w:t>
      </w:r>
      <w:r w:rsidRPr="00162976">
        <w:rPr>
          <w:rFonts w:ascii="Times New Roman" w:hAnsi="Times New Roman" w:cs="Times New Roman"/>
        </w:rPr>
        <w:t xml:space="preserve"> Studies examining human capital impacts (n=31) consistently found strong positive relationships between education levels and export sophistication. Countries in the top quartile of average years of schooling demonstrated export sophistication indices 47% higher than those in the bottom quartile. The relationship was particularly strong for tertiary education and STEM capabilities, which were associated with specialization in knowledge-intensive products and services.</w:t>
      </w:r>
    </w:p>
    <w:p w14:paraId="2496762D"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GVC Participation and Growth:</w:t>
      </w:r>
      <w:r w:rsidRPr="00162976">
        <w:rPr>
          <w:rFonts w:ascii="Times New Roman" w:hAnsi="Times New Roman" w:cs="Times New Roman"/>
        </w:rPr>
        <w:t xml:space="preserve"> Studies examining GVC participation (n=23) found that countries integrated into GVCs achieved average annual export growth of 8.7% compared to 4.2% for less integrated countries. However, growth effects varied substantially by position in value chains: countries specializing in higher value-added activities (design, branding, marketing) achieved GDP growth 2.4 percentage points higher than those specializing in low value-added assembly, despite similar export growth rates.</w:t>
      </w:r>
    </w:p>
    <w:p w14:paraId="3B406C9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Infrastructure and Trade Costs:</w:t>
      </w:r>
      <w:r w:rsidRPr="00162976">
        <w:rPr>
          <w:rFonts w:ascii="Times New Roman" w:hAnsi="Times New Roman" w:cs="Times New Roman"/>
        </w:rPr>
        <w:t xml:space="preserve"> Studies examining infrastructure impacts (n=19) demonstrated that improvements in transportation and logistics infrastructure significantly reduced trade costs and enhanced competitiveness. A 10% improvement in infrastructure quality was associated with a 5% reduction in trade costs and a 4.2% increase in export volumes. Digital infrastructure showed particularly strong effects, with improved internet connectivity associated with significant growth in services exports.</w:t>
      </w:r>
    </w:p>
    <w:p w14:paraId="27DF6F02" w14:textId="77777777" w:rsidR="00E657EE" w:rsidRDefault="00E657EE" w:rsidP="00162976">
      <w:pPr>
        <w:jc w:val="both"/>
        <w:rPr>
          <w:rFonts w:ascii="Times New Roman" w:hAnsi="Times New Roman" w:cs="Times New Roman"/>
          <w:b/>
          <w:bCs/>
        </w:rPr>
      </w:pPr>
    </w:p>
    <w:p w14:paraId="72B891D8" w14:textId="77777777" w:rsidR="00E657EE" w:rsidRDefault="00E657EE" w:rsidP="00162976">
      <w:pPr>
        <w:jc w:val="both"/>
        <w:rPr>
          <w:rFonts w:ascii="Times New Roman" w:hAnsi="Times New Roman" w:cs="Times New Roman"/>
          <w:b/>
          <w:bCs/>
        </w:rPr>
      </w:pPr>
    </w:p>
    <w:p w14:paraId="375C678C" w14:textId="77777777" w:rsidR="00E657EE" w:rsidRDefault="00E657EE" w:rsidP="00162976">
      <w:pPr>
        <w:jc w:val="both"/>
        <w:rPr>
          <w:rFonts w:ascii="Times New Roman" w:hAnsi="Times New Roman" w:cs="Times New Roman"/>
          <w:b/>
          <w:bCs/>
        </w:rPr>
      </w:pPr>
    </w:p>
    <w:p w14:paraId="73756993" w14:textId="7742EDA2"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DISCUSSION</w:t>
      </w:r>
    </w:p>
    <w:p w14:paraId="7A601885" w14:textId="3F475ECC"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systematic review provides robust evidence that strategic engagement in international trade can effectively drive sustainable development in developing countries, but success is neither automatic nor assured. Rather, the realization of trade's development potential depends critically on the presence of enabling conditions and supportive policies. </w:t>
      </w:r>
    </w:p>
    <w:p w14:paraId="5399AAB7" w14:textId="4614A37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Integration of Critical Factors</w:t>
      </w:r>
    </w:p>
    <w:p w14:paraId="493706D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A key insight emerging from the synthesis is that the five critical factors are not independent but rather operate as an integrated system. Countries achieving the strongest development outcomes demonstrated coordinated attention to multiple factors simultaneously, suggesting complementarities and synergies across dimensions.</w:t>
      </w:r>
    </w:p>
    <w:p w14:paraId="5F0D860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relationship between human capital development and comparative advantage cultivation illustrates this integration (Hausmann et al., 2014; Lee, 2013). Countries cannot successfully cultivate comparative advantages in knowledge-intensive sectors without substantial prior investment in education and skills. Conversely, human capital investments yield limited returns without strategic focus on sectors where those capabilities can generate competitive advantages in international markets. Vietnam's success in electronics manufacturing depended both on strategic targeting of this sector and on substantial investments in technical education and vocational training (Newman et al., 2020).</w:t>
      </w:r>
    </w:p>
    <w:p w14:paraId="24DC5972"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Similarly, GVC integration and human capital development demonstrate strong complementarities. While GVCs can provide learning opportunities and technology transfer, capturing these benefits requires workforce capabilities to absorb and adapt new technologies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Fu et al., 2021). Countries with stronger education systems demonstrate significantly better upgrading performance within value chains. This pattern helps explain why some countries remain trapped in low value-added GVC segments while others successfully upgrade (Milberg and Winkler, 2013).</w:t>
      </w:r>
    </w:p>
    <w:p w14:paraId="34603126"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integration of inclusive policies with other factors is particularly important. Trade strategies focusing exclusively on aggregate export growth without attention to distribution may generate backlash from groups adversely affected by trade, undermining political sustainability of reform (</w:t>
      </w:r>
      <w:proofErr w:type="spellStart"/>
      <w:r w:rsidRPr="00162976">
        <w:rPr>
          <w:rFonts w:ascii="Times New Roman" w:hAnsi="Times New Roman" w:cs="Times New Roman"/>
        </w:rPr>
        <w:t>Rodrik</w:t>
      </w:r>
      <w:proofErr w:type="spellEnd"/>
      <w:r w:rsidRPr="00162976">
        <w:rPr>
          <w:rFonts w:ascii="Times New Roman" w:hAnsi="Times New Roman" w:cs="Times New Roman"/>
        </w:rPr>
        <w:t xml:space="preserve">, 2018; </w:t>
      </w:r>
      <w:proofErr w:type="spellStart"/>
      <w:r w:rsidRPr="00162976">
        <w:rPr>
          <w:rFonts w:ascii="Times New Roman" w:hAnsi="Times New Roman" w:cs="Times New Roman"/>
        </w:rPr>
        <w:t>Colantone</w:t>
      </w:r>
      <w:proofErr w:type="spellEnd"/>
      <w:r w:rsidRPr="00162976">
        <w:rPr>
          <w:rFonts w:ascii="Times New Roman" w:hAnsi="Times New Roman" w:cs="Times New Roman"/>
        </w:rPr>
        <w:t xml:space="preserve"> and </w:t>
      </w:r>
      <w:proofErr w:type="spellStart"/>
      <w:r w:rsidRPr="00162976">
        <w:rPr>
          <w:rFonts w:ascii="Times New Roman" w:hAnsi="Times New Roman" w:cs="Times New Roman"/>
        </w:rPr>
        <w:t>Stanig</w:t>
      </w:r>
      <w:proofErr w:type="spellEnd"/>
      <w:r w:rsidRPr="00162976">
        <w:rPr>
          <w:rFonts w:ascii="Times New Roman" w:hAnsi="Times New Roman" w:cs="Times New Roman"/>
        </w:rPr>
        <w:t>, 2018). Inclusive policies help build broad-based support for trade engagement while ensuring that benefits reach marginalized groups. Evidence from countries with strong inclusive policies indicates that they achieve better development outcomes despite sometimes slower export growth, suggesting that distribution matters as much as aggregate performance (World Bank, 2020).</w:t>
      </w:r>
    </w:p>
    <w:p w14:paraId="694A4443"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Environmental sustainability integration has emerged as increasingly critical, particularly as climate change intensifies and carbon border adjustment mechanisms are introduced in major markets (Jakob et al., 2022; WTO, 2022). Countries that fail to incorporate environmental considerations risk being locked out of markets through environmental standards and regulations, while those proactively pursuing green transitions may gain competitive advantages in expanding green sectors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w:t>
      </w:r>
    </w:p>
    <w:p w14:paraId="6129A6C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lastRenderedPageBreak/>
        <w:t>The literature suggests that successful trade-driven development requires a holistic approach coordinating across multiple policy domains including trade policy, industrial policy, education policy, infrastructure investment, social protection, and environmental regulation. This coordination challenge is substantial, requiring state capacity, institutional quality, and political commitment (Rodrik, 2004; Chang and Lin, 2009).</w:t>
      </w:r>
    </w:p>
    <w:p w14:paraId="15F0752B" w14:textId="20D020AA"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Context Specificity and Adaptation</w:t>
      </w:r>
    </w:p>
    <w:p w14:paraId="44CBA7A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While the five critical factors emerge consistently across reviewed studies, their specific application varies substantially based on country context. Initial conditions including resource endowments, existing capabilities, institutional quality, and political economy constraints shape how countries can effectively apply these factors (Cherif and Hasanov, 2019; Rodrik, 2004).</w:t>
      </w:r>
    </w:p>
    <w:p w14:paraId="53EC3C0A"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For resource-rich countries, a critical challenge is avoiding dependence on primary commodity exports while leveraging resource revenues to build diversified economic capabilities (Gelb, 2010; Venables, 2016). Countries such as Botswana and Chile achieved greater success in using resource wealth to fund education, infrastructure, and economic diversification compared to countries experiencing resource curse dynamics (Acemoglu et al., 2001; Meller and Gomez, 2022). The difference reflects both quality of institutions and strategic choices about resource revenue allocation.</w:t>
      </w:r>
    </w:p>
    <w:p w14:paraId="28C81B35"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Landlocked countries face particular challenges in trade due to higher transport costs and dependence on transit countries for market access (Faye et al., 2004; Arvis et al., 2010). For these countries, regional integration, corridor development, and emphasis on low-weight, high-value products become especially important (Gallup et al., 1999). Rwanda's strategic focus on high-value horticulture and tourism reflects adaptation to landlocked geography (</w:t>
      </w:r>
      <w:proofErr w:type="spellStart"/>
      <w:r w:rsidRPr="00162976">
        <w:rPr>
          <w:rFonts w:ascii="Times New Roman" w:hAnsi="Times New Roman" w:cs="Times New Roman"/>
        </w:rPr>
        <w:t>Behuria</w:t>
      </w:r>
      <w:proofErr w:type="spellEnd"/>
      <w:r w:rsidRPr="00162976">
        <w:rPr>
          <w:rFonts w:ascii="Times New Roman" w:hAnsi="Times New Roman" w:cs="Times New Roman"/>
        </w:rPr>
        <w:t>, 2016).</w:t>
      </w:r>
    </w:p>
    <w:p w14:paraId="1FC89659"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Small island developing states (SIDS) confront limited diversification opportunities, vulnerability to external shocks, and high per-unit infrastructure costs due to small scale (Briguglio, 1995; Armstrong and Read, 2000). For SIDS, strategies emphasizing services sectors (tourism, financial services, digital services) and regional integration may be more viable than manufacturing-based industrialization (McElroy and Pearce, 2006; Winters and Martins, 2004).</w:t>
      </w:r>
    </w:p>
    <w:p w14:paraId="6D3CA2D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rPr>
        <w:t>Least developed countries (LDCs) often lack foundational capabilities in infrastructure, institutions, and human capital required for sophisticated trade strategies (UNCTAD, 2020). For LDCs, international support through development assistance, preferential market access, and capacity building becomes particularly critical. Evidence indicates that LDCs benefiting from substantial development assistance targeted at trade capacity building achieved significantly better trade outcomes (Lederman et al., 2020; Vijil and Wagner, 2012).</w:t>
      </w:r>
    </w:p>
    <w:p w14:paraId="4A40932F" w14:textId="7270F181"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These contextual variations emphasize that successful trade strategies cannot be simply transplanted across countries but must be adapted to specific circumstances, capabilities, and constraints. </w:t>
      </w:r>
      <w:r w:rsidR="009C44E8" w:rsidRPr="00162976">
        <w:rPr>
          <w:rFonts w:ascii="Times New Roman" w:hAnsi="Times New Roman" w:cs="Times New Roman"/>
        </w:rPr>
        <w:t>Literature</w:t>
      </w:r>
      <w:r w:rsidRPr="00162976">
        <w:rPr>
          <w:rFonts w:ascii="Times New Roman" w:hAnsi="Times New Roman" w:cs="Times New Roman"/>
        </w:rPr>
        <w:t xml:space="preserve"> consistently argues against one-size-fits-all approaches, instead emphasizing the need for context-appropriate strategies (Rodrik, 2018; Chang and Lin, 2009).</w:t>
      </w:r>
    </w:p>
    <w:p w14:paraId="2A5B5402" w14:textId="71EDC89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lastRenderedPageBreak/>
        <w:t>Tensions and Trade-offs</w:t>
      </w:r>
    </w:p>
    <w:p w14:paraId="39D995CB"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Speed versus Inclusivity:</w:t>
      </w:r>
      <w:r w:rsidRPr="00162976">
        <w:rPr>
          <w:rFonts w:ascii="Times New Roman" w:hAnsi="Times New Roman" w:cs="Times New Roman"/>
        </w:rPr>
        <w:t xml:space="preserve"> Rapid export growth and economic transformation may create adjustment costs including job displacement in import-competing sectors, growing wage inequality between skilled and unskilled workers, and regional disparities between export-oriented and peripheral regions (Goldberg and </w:t>
      </w:r>
      <w:proofErr w:type="spellStart"/>
      <w:r w:rsidRPr="00162976">
        <w:rPr>
          <w:rFonts w:ascii="Times New Roman" w:hAnsi="Times New Roman" w:cs="Times New Roman"/>
        </w:rPr>
        <w:t>Pavcnik</w:t>
      </w:r>
      <w:proofErr w:type="spellEnd"/>
      <w:r w:rsidRPr="00162976">
        <w:rPr>
          <w:rFonts w:ascii="Times New Roman" w:hAnsi="Times New Roman" w:cs="Times New Roman"/>
        </w:rPr>
        <w:t xml:space="preserve">, 2007; </w:t>
      </w:r>
      <w:proofErr w:type="spellStart"/>
      <w:r w:rsidRPr="00162976">
        <w:rPr>
          <w:rFonts w:ascii="Times New Roman" w:hAnsi="Times New Roman" w:cs="Times New Roman"/>
        </w:rPr>
        <w:t>Topalova</w:t>
      </w:r>
      <w:proofErr w:type="spellEnd"/>
      <w:r w:rsidRPr="00162976">
        <w:rPr>
          <w:rFonts w:ascii="Times New Roman" w:hAnsi="Times New Roman" w:cs="Times New Roman"/>
        </w:rPr>
        <w:t>, 2010). Policies addressing these effects through social protection, worker retraining, and regional development may slow initial export growth but contribute to more sustainable and inclusive long-term development (Rodrik, 2018). Countries must balance the pace of trade liberalization against capacity to manage adjustment costs.</w:t>
      </w:r>
    </w:p>
    <w:p w14:paraId="6B545D11"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Competition versus Environmental Protection:</w:t>
      </w:r>
      <w:r w:rsidRPr="00162976">
        <w:rPr>
          <w:rFonts w:ascii="Times New Roman" w:hAnsi="Times New Roman" w:cs="Times New Roman"/>
        </w:rPr>
        <w:t xml:space="preserve"> Environmental regulations can impose costs that reduce short-term price competitiveness, creating tension between environmental objectives and export promotion (Copeland and Taylor, 2004). However, evidence suggests this trade-off may be less severe than commonly assumed. Countries adopting environmental standards often develop competitive advantages in green technologies and products, access premium markets valuing sustainability, and avoid future costs of environmental degradation (Porter and van der Linde, 1995; </w:t>
      </w:r>
      <w:proofErr w:type="spellStart"/>
      <w:r w:rsidRPr="00162976">
        <w:rPr>
          <w:rFonts w:ascii="Times New Roman" w:hAnsi="Times New Roman" w:cs="Times New Roman"/>
        </w:rPr>
        <w:t>Ambec</w:t>
      </w:r>
      <w:proofErr w:type="spellEnd"/>
      <w:r w:rsidRPr="00162976">
        <w:rPr>
          <w:rFonts w:ascii="Times New Roman" w:hAnsi="Times New Roman" w:cs="Times New Roman"/>
        </w:rPr>
        <w:t xml:space="preserve"> et al., 2013). The key is timing environmental regulations to match capability development and providing support for green transitions.</w:t>
      </w:r>
    </w:p>
    <w:p w14:paraId="1E834A97"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Specialization versus Diversification:</w:t>
      </w:r>
      <w:r w:rsidRPr="00162976">
        <w:rPr>
          <w:rFonts w:ascii="Times New Roman" w:hAnsi="Times New Roman" w:cs="Times New Roman"/>
        </w:rPr>
        <w:t xml:space="preserve"> Economic theory emphasizes specialization according to comparative advantage, yet development experience highlights the importance of export diversification for resilience and learning (Hausmann and Klinger, 2007; Cadot et al., 2011). Countries must balance exploitation of existing comparative advantages against exploration of new sectors and capabilities. The product space concept suggests that diversification should be strategic, moving to nearby products requiring similar capabilities rather than leaping to distant sectors (Hidalgo et al., 2007).</w:t>
      </w:r>
    </w:p>
    <w:p w14:paraId="2DD14E9C" w14:textId="77777777" w:rsidR="00162976" w:rsidRPr="00162976" w:rsidRDefault="00162976" w:rsidP="00162976">
      <w:pPr>
        <w:jc w:val="both"/>
        <w:rPr>
          <w:rFonts w:ascii="Times New Roman" w:hAnsi="Times New Roman" w:cs="Times New Roman"/>
        </w:rPr>
      </w:pPr>
      <w:r w:rsidRPr="00162976">
        <w:rPr>
          <w:rFonts w:ascii="Times New Roman" w:hAnsi="Times New Roman" w:cs="Times New Roman"/>
          <w:b/>
          <w:bCs/>
        </w:rPr>
        <w:t>GVC Integration versus Domestic Linkages:</w:t>
      </w:r>
      <w:r w:rsidRPr="00162976">
        <w:rPr>
          <w:rFonts w:ascii="Times New Roman" w:hAnsi="Times New Roman" w:cs="Times New Roman"/>
        </w:rPr>
        <w:t xml:space="preserve"> GVC participation can accelerate industrialization but may limit domestic linkage development if foreign firms source inputs internationally rather than from domestic suppliers (Kaplinsky, 2000; Morris and Staritz, 2017). Policies must balance facilitating GVC integration with requirements or incentives for domestic sourcing and technology transfer. Evidence suggests this balance is achievable but requires active policy (</w:t>
      </w:r>
      <w:proofErr w:type="spellStart"/>
      <w:r w:rsidRPr="00162976">
        <w:rPr>
          <w:rFonts w:ascii="Times New Roman" w:hAnsi="Times New Roman" w:cs="Times New Roman"/>
        </w:rPr>
        <w:t>Javorcik</w:t>
      </w:r>
      <w:proofErr w:type="spellEnd"/>
      <w:r w:rsidRPr="00162976">
        <w:rPr>
          <w:rFonts w:ascii="Times New Roman" w:hAnsi="Times New Roman" w:cs="Times New Roman"/>
        </w:rPr>
        <w:t>, 2020).</w:t>
      </w:r>
    </w:p>
    <w:p w14:paraId="70FAB4F3" w14:textId="77777777" w:rsidR="009C44E8" w:rsidRDefault="009C44E8" w:rsidP="00E67F7E">
      <w:pPr>
        <w:keepNext/>
        <w:jc w:val="center"/>
      </w:pPr>
      <w:r w:rsidRPr="009C44E8">
        <w:rPr>
          <w:rFonts w:ascii="Times New Roman" w:hAnsi="Times New Roman" w:cs="Times New Roman"/>
          <w:noProof/>
        </w:rPr>
        <w:lastRenderedPageBreak/>
        <w:drawing>
          <wp:inline distT="0" distB="0" distL="0" distR="0" wp14:anchorId="12C9D444" wp14:editId="36CDA071">
            <wp:extent cx="5160299" cy="2814762"/>
            <wp:effectExtent l="0" t="0" r="2540" b="5080"/>
            <wp:docPr id="2005180469" name="Picture 17"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0469" name="Picture 17" descr="A diagram of a business strateg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2937" cy="2838020"/>
                    </a:xfrm>
                    <a:prstGeom prst="rect">
                      <a:avLst/>
                    </a:prstGeom>
                    <a:noFill/>
                    <a:ln>
                      <a:noFill/>
                    </a:ln>
                  </pic:spPr>
                </pic:pic>
              </a:graphicData>
            </a:graphic>
          </wp:inline>
        </w:drawing>
      </w:r>
    </w:p>
    <w:p w14:paraId="277F2222" w14:textId="52E4DBAD" w:rsidR="009C44E8" w:rsidRPr="009C44E8" w:rsidRDefault="009C44E8" w:rsidP="00E67F7E">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5</w:t>
      </w:r>
      <w:r w:rsidRPr="009C44E8">
        <w:rPr>
          <w:i w:val="0"/>
          <w:iCs w:val="0"/>
        </w:rPr>
        <w:fldChar w:fldCharType="end"/>
      </w:r>
      <w:r w:rsidRPr="009C44E8">
        <w:rPr>
          <w:i w:val="0"/>
          <w:iCs w:val="0"/>
        </w:rPr>
        <w:t>: Understanding Trade-offs is important where solutions need to be policy oriented rather than just "actions"</w:t>
      </w:r>
    </w:p>
    <w:p w14:paraId="07BDFB31" w14:textId="1DEC777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Role of International Support</w:t>
      </w:r>
    </w:p>
    <w:p w14:paraId="10245B63" w14:textId="15695F65"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Preferential market access through programs like Generalized System of Preferences (GSP) and Everything But Arms (EBA) has provided important support for developing country exports, particularly for LDCs (Ornelas and </w:t>
      </w:r>
      <w:proofErr w:type="spellStart"/>
      <w:r w:rsidRPr="00162976">
        <w:rPr>
          <w:rFonts w:ascii="Times New Roman" w:hAnsi="Times New Roman" w:cs="Times New Roman"/>
        </w:rPr>
        <w:t>Ritel</w:t>
      </w:r>
      <w:proofErr w:type="spellEnd"/>
      <w:r w:rsidRPr="00162976">
        <w:rPr>
          <w:rFonts w:ascii="Times New Roman" w:hAnsi="Times New Roman" w:cs="Times New Roman"/>
        </w:rPr>
        <w:t>, 2020; Gil-</w:t>
      </w:r>
      <w:proofErr w:type="spellStart"/>
      <w:r w:rsidRPr="00162976">
        <w:rPr>
          <w:rFonts w:ascii="Times New Roman" w:hAnsi="Times New Roman" w:cs="Times New Roman"/>
        </w:rPr>
        <w:t>Pareja</w:t>
      </w:r>
      <w:proofErr w:type="spellEnd"/>
      <w:r w:rsidRPr="00162976">
        <w:rPr>
          <w:rFonts w:ascii="Times New Roman" w:hAnsi="Times New Roman" w:cs="Times New Roman"/>
        </w:rPr>
        <w:t xml:space="preserve"> et al., 2014). However, utilization rates remain low due to complex rules of origin, stringent standards, and capacity constraints (Cadot and de Melo, 2008). Simplified rules and complementary capacity building could enhance effectiveness of preference programs.</w:t>
      </w:r>
      <w:r w:rsidR="009C44E8">
        <w:rPr>
          <w:rFonts w:ascii="Times New Roman" w:hAnsi="Times New Roman" w:cs="Times New Roman"/>
        </w:rPr>
        <w:t xml:space="preserve"> </w:t>
      </w:r>
      <w:r w:rsidRPr="00162976">
        <w:rPr>
          <w:rFonts w:ascii="Times New Roman" w:hAnsi="Times New Roman" w:cs="Times New Roman"/>
        </w:rPr>
        <w:t xml:space="preserve">Development assistance targeted at trade-related infrastructure, institutional capacity, and productive sectors has proven effective in enhancing trade performance (Cali and </w:t>
      </w:r>
      <w:proofErr w:type="spellStart"/>
      <w:r w:rsidRPr="00162976">
        <w:rPr>
          <w:rFonts w:ascii="Times New Roman" w:hAnsi="Times New Roman" w:cs="Times New Roman"/>
        </w:rPr>
        <w:t>te</w:t>
      </w:r>
      <w:proofErr w:type="spellEnd"/>
      <w:r w:rsidRPr="00162976">
        <w:rPr>
          <w:rFonts w:ascii="Times New Roman" w:hAnsi="Times New Roman" w:cs="Times New Roman"/>
        </w:rPr>
        <w:t xml:space="preserve"> </w:t>
      </w:r>
      <w:proofErr w:type="spellStart"/>
      <w:r w:rsidRPr="00162976">
        <w:rPr>
          <w:rFonts w:ascii="Times New Roman" w:hAnsi="Times New Roman" w:cs="Times New Roman"/>
        </w:rPr>
        <w:t>Velde</w:t>
      </w:r>
      <w:proofErr w:type="spellEnd"/>
      <w:r w:rsidRPr="00162976">
        <w:rPr>
          <w:rFonts w:ascii="Times New Roman" w:hAnsi="Times New Roman" w:cs="Times New Roman"/>
        </w:rPr>
        <w:t xml:space="preserve">, 2011; </w:t>
      </w:r>
      <w:proofErr w:type="spellStart"/>
      <w:r w:rsidRPr="00162976">
        <w:rPr>
          <w:rFonts w:ascii="Times New Roman" w:hAnsi="Times New Roman" w:cs="Times New Roman"/>
        </w:rPr>
        <w:t>Vijil</w:t>
      </w:r>
      <w:proofErr w:type="spellEnd"/>
      <w:r w:rsidRPr="00162976">
        <w:rPr>
          <w:rFonts w:ascii="Times New Roman" w:hAnsi="Times New Roman" w:cs="Times New Roman"/>
        </w:rPr>
        <w:t xml:space="preserve"> and Wagner, 2012). Estimates suggest that a 1% increase in aid for trade is associated with a 0.8% increase in exports, with particularly strong effects for infrastructure investment (Lederman et al., 2020). Scaling up aid for trade could significantly support developing country trade capacity.</w:t>
      </w:r>
    </w:p>
    <w:p w14:paraId="7334B876" w14:textId="113D1F05" w:rsidR="00162976" w:rsidRDefault="00162976" w:rsidP="00162976">
      <w:pPr>
        <w:jc w:val="both"/>
        <w:rPr>
          <w:rFonts w:ascii="Times New Roman" w:hAnsi="Times New Roman" w:cs="Times New Roman"/>
        </w:rPr>
      </w:pPr>
      <w:r w:rsidRPr="00162976">
        <w:rPr>
          <w:rFonts w:ascii="Times New Roman" w:hAnsi="Times New Roman" w:cs="Times New Roman"/>
        </w:rPr>
        <w:t>Access to technologies developed in advanced economies is critical for developing countries to compete in sophisticated sectors and pursue green development pathways (Lema and Lema, 2012; UNCTAD, 2020). Current intellectual property regimes may restrict technology access, suggesting need for mechanisms facilitating technology transfer particularly for climate-friendly technologies (Barton, 2007; Hutchison, 2006).</w:t>
      </w:r>
      <w:r w:rsidR="009C44E8">
        <w:rPr>
          <w:rFonts w:ascii="Times New Roman" w:hAnsi="Times New Roman" w:cs="Times New Roman"/>
        </w:rPr>
        <w:t xml:space="preserve"> </w:t>
      </w:r>
      <w:r w:rsidRPr="00162976">
        <w:rPr>
          <w:rFonts w:ascii="Times New Roman" w:hAnsi="Times New Roman" w:cs="Times New Roman"/>
        </w:rPr>
        <w:t>Developing countries' ability to benefit from trade depends partly on rules governing international trade. Current governance structures reflect historical power asymmetries, with developing countries having limited influence on rule-making (Hoekman and Kostecki, 2009; Jawara and Kwa, 2004). Reform of trade governance to provide developing countries greater voice, more policy space for development strategies, and better accommodation of development concerns could enhance trade's development potential (Wade, 2003; Chang, 2002).</w:t>
      </w:r>
    </w:p>
    <w:p w14:paraId="3AC710BA" w14:textId="77777777" w:rsidR="009C44E8" w:rsidRDefault="009C44E8" w:rsidP="009C44E8">
      <w:pPr>
        <w:keepNext/>
        <w:jc w:val="both"/>
      </w:pPr>
      <w:r w:rsidRPr="009C44E8">
        <w:rPr>
          <w:rFonts w:ascii="Times New Roman" w:hAnsi="Times New Roman" w:cs="Times New Roman"/>
          <w:noProof/>
        </w:rPr>
        <w:lastRenderedPageBreak/>
        <w:drawing>
          <wp:inline distT="0" distB="0" distL="0" distR="0" wp14:anchorId="5296FE32" wp14:editId="5C9E895E">
            <wp:extent cx="5733415" cy="3127375"/>
            <wp:effectExtent l="0" t="0" r="635" b="0"/>
            <wp:docPr id="1519203307" name="Picture 15" descr="A diagram of a support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03307" name="Picture 15" descr="A diagram of a support schem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127375"/>
                    </a:xfrm>
                    <a:prstGeom prst="rect">
                      <a:avLst/>
                    </a:prstGeom>
                    <a:noFill/>
                    <a:ln>
                      <a:noFill/>
                    </a:ln>
                  </pic:spPr>
                </pic:pic>
              </a:graphicData>
            </a:graphic>
          </wp:inline>
        </w:drawing>
      </w:r>
    </w:p>
    <w:p w14:paraId="6D1FF560" w14:textId="70A869B2" w:rsidR="009C44E8" w:rsidRPr="009C44E8" w:rsidRDefault="009C44E8" w:rsidP="009C44E8">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6</w:t>
      </w:r>
      <w:r w:rsidRPr="009C44E8">
        <w:rPr>
          <w:i w:val="0"/>
          <w:iCs w:val="0"/>
        </w:rPr>
        <w:fldChar w:fldCharType="end"/>
      </w:r>
      <w:r w:rsidRPr="009C44E8">
        <w:rPr>
          <w:i w:val="0"/>
          <w:iCs w:val="0"/>
        </w:rPr>
        <w:t>: Although International Support has been provided there has been always a gap between how the developed countries and low-income countries absorb it into their respective countries.</w:t>
      </w:r>
    </w:p>
    <w:p w14:paraId="48957E61" w14:textId="5EBC8686"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Emerging Challenges and Opportunities</w:t>
      </w:r>
    </w:p>
    <w:p w14:paraId="607CC88F" w14:textId="01819D6C" w:rsidR="00162976" w:rsidRPr="00162976" w:rsidRDefault="00162976" w:rsidP="00162976">
      <w:pPr>
        <w:jc w:val="both"/>
        <w:rPr>
          <w:rFonts w:ascii="Times New Roman" w:hAnsi="Times New Roman" w:cs="Times New Roman"/>
        </w:rPr>
      </w:pPr>
      <w:r w:rsidRPr="00162976">
        <w:rPr>
          <w:rFonts w:ascii="Times New Roman" w:hAnsi="Times New Roman" w:cs="Times New Roman"/>
        </w:rPr>
        <w:t>The rapid growth of digital technologies and e-commerce is transforming trade, enabling new forms of services trade, facilitating SME participation in export markets, and changing the nature of GVCs (Goldfarb and Tucker, 2019; WTO, 2023). Developing countries with strong digital infrastructure and literacy can leverage these opportunities, while those lacking digital capabilities risk further marginalization (UNCTAD, 2021). The digital divide thus becomes increasingly consequential for trade performance.</w:t>
      </w:r>
    </w:p>
    <w:p w14:paraId="2E270153" w14:textId="6480EA6F" w:rsidR="00162976" w:rsidRPr="00162976" w:rsidRDefault="00162976" w:rsidP="00162976">
      <w:pPr>
        <w:jc w:val="both"/>
        <w:rPr>
          <w:rFonts w:ascii="Times New Roman" w:hAnsi="Times New Roman" w:cs="Times New Roman"/>
        </w:rPr>
      </w:pPr>
      <w:r w:rsidRPr="00162976">
        <w:rPr>
          <w:rFonts w:ascii="Times New Roman" w:hAnsi="Times New Roman" w:cs="Times New Roman"/>
        </w:rPr>
        <w:t>Climate change creates both risks and opportunities for trade. Rising temperatures, extreme weather, and sea level rise threaten agricultural productivity, infrastructure, and economic stability, particularly in vulnerable developing countries (Dell et al., 2014; Burke et al., 2015). Simultaneously, the global transition to low-carbon economies creates expanding markets for green products and services, offering opportunities for countries that position themselves in these sectors (Jakob et al., 2022; IEA, 2021). Trade policy must increasingly integrate climate considerations.</w:t>
      </w:r>
    </w:p>
    <w:p w14:paraId="296A8BCB" w14:textId="40AE98FD" w:rsidR="00162976" w:rsidRPr="00162976" w:rsidRDefault="00162976" w:rsidP="00162976">
      <w:pPr>
        <w:jc w:val="both"/>
        <w:rPr>
          <w:rFonts w:ascii="Times New Roman" w:hAnsi="Times New Roman" w:cs="Times New Roman"/>
        </w:rPr>
      </w:pPr>
      <w:r w:rsidRPr="00162976">
        <w:rPr>
          <w:rFonts w:ascii="Times New Roman" w:hAnsi="Times New Roman" w:cs="Times New Roman"/>
        </w:rPr>
        <w:t xml:space="preserve">The COVID-19 pandemic exposed vulnerabilities in globally integrated supply chains and prompted discussions about resilience, nearshoring, and strategic autonomy (Baldwin and Freeman, 2022; </w:t>
      </w:r>
      <w:proofErr w:type="spellStart"/>
      <w:r w:rsidRPr="00162976">
        <w:rPr>
          <w:rFonts w:ascii="Times New Roman" w:hAnsi="Times New Roman" w:cs="Times New Roman"/>
        </w:rPr>
        <w:t>Miroudot</w:t>
      </w:r>
      <w:proofErr w:type="spellEnd"/>
      <w:r w:rsidRPr="00162976">
        <w:rPr>
          <w:rFonts w:ascii="Times New Roman" w:hAnsi="Times New Roman" w:cs="Times New Roman"/>
        </w:rPr>
        <w:t>, 2020). While some predict deglobalization, evidence suggests adjustment rather than wholesale retreat from GVCs, with emphasis on diversification and regional integration (</w:t>
      </w:r>
      <w:proofErr w:type="spellStart"/>
      <w:r w:rsidRPr="00162976">
        <w:rPr>
          <w:rFonts w:ascii="Times New Roman" w:hAnsi="Times New Roman" w:cs="Times New Roman"/>
        </w:rPr>
        <w:t>Antràs</w:t>
      </w:r>
      <w:proofErr w:type="spellEnd"/>
      <w:r w:rsidRPr="00162976">
        <w:rPr>
          <w:rFonts w:ascii="Times New Roman" w:hAnsi="Times New Roman" w:cs="Times New Roman"/>
        </w:rPr>
        <w:t xml:space="preserve">, 2020; </w:t>
      </w:r>
      <w:proofErr w:type="spellStart"/>
      <w:r w:rsidRPr="00162976">
        <w:rPr>
          <w:rFonts w:ascii="Times New Roman" w:hAnsi="Times New Roman" w:cs="Times New Roman"/>
        </w:rPr>
        <w:t>Gereffi</w:t>
      </w:r>
      <w:proofErr w:type="spellEnd"/>
      <w:r w:rsidRPr="00162976">
        <w:rPr>
          <w:rFonts w:ascii="Times New Roman" w:hAnsi="Times New Roman" w:cs="Times New Roman"/>
        </w:rPr>
        <w:t xml:space="preserve"> and Luo, 2022). Developing countries must navigate this evolving landscape, balancing efficiency from specialization against resilience from diversification.</w:t>
      </w:r>
    </w:p>
    <w:p w14:paraId="7781BEE3" w14:textId="05300019" w:rsidR="00162976" w:rsidRDefault="00162976" w:rsidP="00162976">
      <w:pPr>
        <w:jc w:val="both"/>
        <w:rPr>
          <w:rFonts w:ascii="Times New Roman" w:hAnsi="Times New Roman" w:cs="Times New Roman"/>
        </w:rPr>
      </w:pPr>
      <w:r w:rsidRPr="00162976">
        <w:rPr>
          <w:rFonts w:ascii="Times New Roman" w:hAnsi="Times New Roman" w:cs="Times New Roman"/>
        </w:rPr>
        <w:t xml:space="preserve">Rising great power competition and geopolitical tensions are fragmenting the global trading system through trade wars, strategic export controls, and competing regional agreements </w:t>
      </w:r>
      <w:r w:rsidRPr="00162976">
        <w:rPr>
          <w:rFonts w:ascii="Times New Roman" w:hAnsi="Times New Roman" w:cs="Times New Roman"/>
        </w:rPr>
        <w:lastRenderedPageBreak/>
        <w:t xml:space="preserve">(Mattoo and </w:t>
      </w:r>
      <w:proofErr w:type="spellStart"/>
      <w:r w:rsidRPr="00162976">
        <w:rPr>
          <w:rFonts w:ascii="Times New Roman" w:hAnsi="Times New Roman" w:cs="Times New Roman"/>
        </w:rPr>
        <w:t>Staiger</w:t>
      </w:r>
      <w:proofErr w:type="spellEnd"/>
      <w:r w:rsidRPr="00162976">
        <w:rPr>
          <w:rFonts w:ascii="Times New Roman" w:hAnsi="Times New Roman" w:cs="Times New Roman"/>
        </w:rPr>
        <w:t xml:space="preserve">, 2020; </w:t>
      </w:r>
      <w:proofErr w:type="spellStart"/>
      <w:r w:rsidRPr="00162976">
        <w:rPr>
          <w:rFonts w:ascii="Times New Roman" w:hAnsi="Times New Roman" w:cs="Times New Roman"/>
        </w:rPr>
        <w:t>Evenett</w:t>
      </w:r>
      <w:proofErr w:type="spellEnd"/>
      <w:r w:rsidRPr="00162976">
        <w:rPr>
          <w:rFonts w:ascii="Times New Roman" w:hAnsi="Times New Roman" w:cs="Times New Roman"/>
        </w:rPr>
        <w:t xml:space="preserve"> and Fritz, 2021). Developing countries risk being caught between competing blocs or losing market access due to geopolitical alignments. Regional integration and South-South cooperation may become increasingly important strategies (UNCTAD, 2023).</w:t>
      </w:r>
    </w:p>
    <w:p w14:paraId="74E940D5" w14:textId="77777777" w:rsidR="009C44E8" w:rsidRDefault="009C44E8" w:rsidP="009C44E8">
      <w:pPr>
        <w:keepNext/>
        <w:jc w:val="both"/>
      </w:pPr>
      <w:r w:rsidRPr="009C44E8">
        <w:rPr>
          <w:rFonts w:ascii="Times New Roman" w:hAnsi="Times New Roman" w:cs="Times New Roman"/>
          <w:noProof/>
        </w:rPr>
        <w:drawing>
          <wp:inline distT="0" distB="0" distL="0" distR="0" wp14:anchorId="5CB25E24" wp14:editId="7FB1A1F1">
            <wp:extent cx="5733415" cy="3127375"/>
            <wp:effectExtent l="0" t="0" r="635" b="0"/>
            <wp:docPr id="90901017" name="Picture 11" descr="A diagram of different types of t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017" name="Picture 11" descr="A diagram of different types of trad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3127375"/>
                    </a:xfrm>
                    <a:prstGeom prst="rect">
                      <a:avLst/>
                    </a:prstGeom>
                    <a:noFill/>
                    <a:ln>
                      <a:noFill/>
                    </a:ln>
                  </pic:spPr>
                </pic:pic>
              </a:graphicData>
            </a:graphic>
          </wp:inline>
        </w:drawing>
      </w:r>
    </w:p>
    <w:p w14:paraId="26ADE7C3" w14:textId="0B950FF9" w:rsidR="009C44E8" w:rsidRPr="009C44E8" w:rsidRDefault="009C44E8" w:rsidP="009C44E8">
      <w:pPr>
        <w:pStyle w:val="Caption"/>
        <w:jc w:val="center"/>
        <w:rPr>
          <w:rFonts w:ascii="Times New Roman" w:hAnsi="Times New Roman" w:cs="Times New Roman"/>
          <w:i w:val="0"/>
          <w:iCs w:val="0"/>
        </w:rPr>
      </w:pPr>
      <w:r w:rsidRPr="009C44E8">
        <w:rPr>
          <w:i w:val="0"/>
          <w:iCs w:val="0"/>
        </w:rPr>
        <w:t xml:space="preserve">Figure </w:t>
      </w:r>
      <w:r w:rsidRPr="009C44E8">
        <w:rPr>
          <w:i w:val="0"/>
          <w:iCs w:val="0"/>
        </w:rPr>
        <w:fldChar w:fldCharType="begin"/>
      </w:r>
      <w:r w:rsidRPr="009C44E8">
        <w:rPr>
          <w:i w:val="0"/>
          <w:iCs w:val="0"/>
        </w:rPr>
        <w:instrText xml:space="preserve"> SEQ Figure \* ARABIC </w:instrText>
      </w:r>
      <w:r w:rsidRPr="009C44E8">
        <w:rPr>
          <w:i w:val="0"/>
          <w:iCs w:val="0"/>
        </w:rPr>
        <w:fldChar w:fldCharType="separate"/>
      </w:r>
      <w:r w:rsidR="00AC0276">
        <w:rPr>
          <w:i w:val="0"/>
          <w:iCs w:val="0"/>
          <w:noProof/>
        </w:rPr>
        <w:t>7</w:t>
      </w:r>
      <w:r w:rsidRPr="009C44E8">
        <w:rPr>
          <w:i w:val="0"/>
          <w:iCs w:val="0"/>
        </w:rPr>
        <w:fldChar w:fldCharType="end"/>
      </w:r>
      <w:r w:rsidRPr="009C44E8">
        <w:rPr>
          <w:i w:val="0"/>
          <w:iCs w:val="0"/>
        </w:rPr>
        <w:t>: The global trade landscape has shifted from market oriented to adaptability post COVID-19 with countries focusing on close allies rather than exploring new pathways.</w:t>
      </w:r>
    </w:p>
    <w:p w14:paraId="55DD351B" w14:textId="14CBAD8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CONCLUSION</w:t>
      </w:r>
    </w:p>
    <w:p w14:paraId="6D591B3E" w14:textId="77777777" w:rsidR="001760B2" w:rsidRDefault="001760B2" w:rsidP="00162976">
      <w:pPr>
        <w:jc w:val="both"/>
        <w:rPr>
          <w:rFonts w:ascii="Times New Roman" w:hAnsi="Times New Roman" w:cs="Times New Roman"/>
        </w:rPr>
      </w:pPr>
      <w:r>
        <w:rPr>
          <w:rFonts w:ascii="Times New Roman" w:hAnsi="Times New Roman" w:cs="Times New Roman"/>
        </w:rPr>
        <w:t>The study discovered five essential success characteristics that consistently appeared throughout 87 analyzed studies: (1) Strategic identification and cultivation of comparative advantages via proactive policies rather than passive dependence on existing resources; (2) Significant investment in human capital development, especially in education, technical skills, and digital competencies; (3) Integration into global value chains alongside explicit strategies for gradual advancement to higher-value activities; (4) Inclusive trade policies that guarantee benefits extend to marginalized groups and regions; and (5) Incorporation of environmental sustainability factors into trade strategies.</w:t>
      </w:r>
    </w:p>
    <w:p w14:paraId="5300CE01" w14:textId="77777777" w:rsidR="001760B2" w:rsidRDefault="001760B2" w:rsidP="00162976">
      <w:pPr>
        <w:jc w:val="both"/>
        <w:rPr>
          <w:rFonts w:ascii="Times New Roman" w:hAnsi="Times New Roman" w:cs="Times New Roman"/>
        </w:rPr>
      </w:pPr>
      <w:r>
        <w:rPr>
          <w:rFonts w:ascii="Times New Roman" w:hAnsi="Times New Roman" w:cs="Times New Roman"/>
        </w:rPr>
        <w:t>These elements are interdependent and function as an integrated system with significant complementarities. Countries that attained optimal development results exhibited synchronized focus on many elements concurrently. The development of human capital fosters the cultivation of comparative advantages in advanced areas. GVC integration produces enhanced advantages when nations have the workforce competencies to assimilate technology and advance. Inclusive policies foster political sustainability for trade engagement while guaranteeing widespread benefit distribution. Environmental integration enables nations to expand green markets while circumventing exclusion due to environmental regulations.</w:t>
      </w:r>
    </w:p>
    <w:p w14:paraId="77B1FF79" w14:textId="77777777" w:rsidR="001760B2" w:rsidRDefault="001760B2" w:rsidP="00162976">
      <w:pPr>
        <w:jc w:val="both"/>
        <w:rPr>
          <w:rFonts w:ascii="Times New Roman" w:hAnsi="Times New Roman" w:cs="Times New Roman"/>
        </w:rPr>
      </w:pPr>
      <w:r>
        <w:rPr>
          <w:rFonts w:ascii="Times New Roman" w:hAnsi="Times New Roman" w:cs="Times New Roman"/>
        </w:rPr>
        <w:t xml:space="preserve">Quantitative trends in the analyzed studies offer compelling evidence for the links between commerce and development. nations focused on trade experienced average yearly poverty </w:t>
      </w:r>
      <w:r>
        <w:rPr>
          <w:rFonts w:ascii="Times New Roman" w:hAnsi="Times New Roman" w:cs="Times New Roman"/>
        </w:rPr>
        <w:lastRenderedPageBreak/>
        <w:t>reduction rates of 2.1 percentage points, in contrast to 0.8 percentage points in nations with less trade orientation. The strength of correlations varied significantly depending on the existence of the identified essential elements. Countries that integrate robust export strategies with inclusive policies experienced an annual poverty reduction of 3.2 percentage points, but those without inclusive policies attained only 1.3 percentage points, despite comparable export growth.</w:t>
      </w:r>
    </w:p>
    <w:p w14:paraId="51413E95" w14:textId="35CF318B" w:rsidR="00162976" w:rsidRPr="00162976" w:rsidRDefault="001760B2" w:rsidP="00162976">
      <w:pPr>
        <w:jc w:val="both"/>
        <w:rPr>
          <w:rFonts w:ascii="Times New Roman" w:hAnsi="Times New Roman" w:cs="Times New Roman"/>
        </w:rPr>
      </w:pPr>
      <w:r>
        <w:rPr>
          <w:rFonts w:ascii="Times New Roman" w:hAnsi="Times New Roman" w:cs="Times New Roman"/>
        </w:rPr>
        <w:t>Human capital proved to be essential, as nations in the highest quartile of educational attainment exhibited export sophistication indices 47% greater than those in the lowest quartile. Investment in education, often ranging from 4.5% to 6% of GDP in successful instances, yielded returns via increased productivity, superior technological assimilation, and better ability for innovation and advancement.</w:t>
      </w:r>
    </w:p>
    <w:p w14:paraId="4F0AC760" w14:textId="14AA5619"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Theoretical and Policy Implications</w:t>
      </w:r>
    </w:p>
    <w:p w14:paraId="3EDDD883" w14:textId="77777777" w:rsidR="001760B2" w:rsidRDefault="001760B2" w:rsidP="00162976">
      <w:pPr>
        <w:jc w:val="both"/>
        <w:rPr>
          <w:rFonts w:ascii="Times New Roman" w:hAnsi="Times New Roman" w:cs="Times New Roman"/>
        </w:rPr>
      </w:pPr>
      <w:r>
        <w:rPr>
          <w:rFonts w:ascii="Times New Roman" w:hAnsi="Times New Roman" w:cs="Times New Roman"/>
        </w:rPr>
        <w:t>The results possess considerable theoretical and policy ramifications. The research theoretically endorses an advanced comprehension of trade and development that transcends standard comparative advantage theory and basic export promotion techniques. Although comparative advantage is significant, the research underscores that advantages can be proactively developed rather than only passively embraced. This viewpoint corresponds with contemporary structural economics and evolutionary economic geography frameworks that highlight capability enhancement and strategic industrial policy (Lin and Monga, 2011; Boschma, 2017).</w:t>
      </w:r>
    </w:p>
    <w:p w14:paraId="69D14844" w14:textId="77777777" w:rsidR="001760B2" w:rsidRDefault="001760B2" w:rsidP="00162976">
      <w:pPr>
        <w:jc w:val="both"/>
        <w:rPr>
          <w:rFonts w:ascii="Times New Roman" w:hAnsi="Times New Roman" w:cs="Times New Roman"/>
        </w:rPr>
      </w:pPr>
      <w:r>
        <w:rPr>
          <w:rFonts w:ascii="Times New Roman" w:hAnsi="Times New Roman" w:cs="Times New Roman"/>
        </w:rPr>
        <w:t>The essential significance of complementary elements, especially human capital and institutions, underpins contemporary theoretical frameworks that assert trade effects are contingent upon absorptive ability and domestic capacities (</w:t>
      </w:r>
      <w:proofErr w:type="spellStart"/>
      <w:r>
        <w:rPr>
          <w:rFonts w:ascii="Times New Roman" w:hAnsi="Times New Roman" w:cs="Times New Roman"/>
        </w:rPr>
        <w:t>Javorcik</w:t>
      </w:r>
      <w:proofErr w:type="spellEnd"/>
      <w:r>
        <w:rPr>
          <w:rFonts w:ascii="Times New Roman" w:hAnsi="Times New Roman" w:cs="Times New Roman"/>
        </w:rPr>
        <w:t>, 2020; Fu et al., 2021). This elucidates the disparate effects of trade on various countries and over different periods. Countries deficient in fundamental capacities derive fewer advantages from trade involvement, whereas those with robust capabilities reap higher benefits.</w:t>
      </w:r>
    </w:p>
    <w:p w14:paraId="24932E67" w14:textId="77777777" w:rsidR="001760B2" w:rsidRDefault="001760B2" w:rsidP="00162976">
      <w:pPr>
        <w:jc w:val="both"/>
        <w:rPr>
          <w:rFonts w:ascii="Times New Roman" w:hAnsi="Times New Roman" w:cs="Times New Roman"/>
        </w:rPr>
      </w:pPr>
      <w:r>
        <w:rPr>
          <w:rFonts w:ascii="Times New Roman" w:hAnsi="Times New Roman" w:cs="Times New Roman"/>
        </w:rPr>
        <w:t>The focus on inclusive and sustainable aspects indicates a growing agreement that development success should be assessed not only by total economic growth but also by a wider welfare framework that includes distribution, social inclusion, and environmental sustainability (UNCTAD, 2023; World Bank, 2020). This viewpoint contests limited GDP-centric measurements, prioritizing instead multidimensional development indices.</w:t>
      </w:r>
    </w:p>
    <w:p w14:paraId="6D5CA420" w14:textId="77777777" w:rsidR="001760B2" w:rsidRDefault="001760B2" w:rsidP="00162976">
      <w:pPr>
        <w:jc w:val="both"/>
        <w:rPr>
          <w:rFonts w:ascii="Times New Roman" w:hAnsi="Times New Roman" w:cs="Times New Roman"/>
        </w:rPr>
      </w:pPr>
      <w:r>
        <w:rPr>
          <w:rFonts w:ascii="Times New Roman" w:hAnsi="Times New Roman" w:cs="Times New Roman"/>
        </w:rPr>
        <w:t>The findings indicate several distinct objectives for policy. Initially, developing nations ought to adopt a strategic approach to trade involvement rather than an opportunistic one, deliberately recognizing and fostering comparative advantages through synchronized industrial and trade policies. Secondly, significant and ongoing investment in human capital is essential, particularly focusing on technical skills and digital competencies pertinent to new trade prospects. Third, GVC integration should be strategically pursued through active policies that promote linkage development and progressive upgrading, rather than acquiescing to permanent roles in low-value activities.</w:t>
      </w:r>
    </w:p>
    <w:p w14:paraId="5A638F8B" w14:textId="77777777" w:rsidR="001760B2" w:rsidRDefault="001760B2" w:rsidP="00162976">
      <w:pPr>
        <w:jc w:val="both"/>
        <w:rPr>
          <w:rFonts w:ascii="Times New Roman" w:hAnsi="Times New Roman" w:cs="Times New Roman"/>
        </w:rPr>
      </w:pPr>
      <w:r>
        <w:rPr>
          <w:rFonts w:ascii="Times New Roman" w:hAnsi="Times New Roman" w:cs="Times New Roman"/>
        </w:rPr>
        <w:lastRenderedPageBreak/>
        <w:t>Fourth, inclusive policies must be fundamental to trade strategy from the inception rather than regarded as mere afterthoughts. This encompasses geographic policies targeting rural and peripheral regions, social policies aiding marginalized populations, especially women, and support facilitating SME engagement in export markets. Fifth, environmental sustainability must increasingly be integral to trade policy, both to position nations for burgeoning green markets and to guarantee the long-term viability of developmental trajectories.</w:t>
      </w:r>
    </w:p>
    <w:p w14:paraId="2A34ED5C" w14:textId="60A5F5F2" w:rsidR="00162976" w:rsidRPr="00162976" w:rsidRDefault="001760B2" w:rsidP="00162976">
      <w:pPr>
        <w:jc w:val="both"/>
        <w:rPr>
          <w:rFonts w:ascii="Times New Roman" w:hAnsi="Times New Roman" w:cs="Times New Roman"/>
        </w:rPr>
      </w:pPr>
      <w:r>
        <w:rPr>
          <w:rFonts w:ascii="Times New Roman" w:hAnsi="Times New Roman" w:cs="Times New Roman"/>
        </w:rPr>
        <w:t>The coordination difficulties presented by these priorities are significant. Effective trade-driven development necessitates the integration of various policy domains, including trade, industrial policy, education, infrastructure, social protection, and environmental control. This integration requires state capability, institutional quality, and political commitment, which many developing nations presently lack. Global assistance via development aid, capacity enhancement, and improved trade governance can mitigate these capacity deficiencies.</w:t>
      </w:r>
    </w:p>
    <w:p w14:paraId="4B82BC1C" w14:textId="65B5B0C8"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Limitations and Future Research</w:t>
      </w:r>
    </w:p>
    <w:p w14:paraId="6E01C947" w14:textId="4E771D5C" w:rsidR="001760B2" w:rsidRDefault="001760B2" w:rsidP="00162976">
      <w:pPr>
        <w:jc w:val="both"/>
        <w:rPr>
          <w:rFonts w:ascii="Times New Roman" w:hAnsi="Times New Roman" w:cs="Times New Roman"/>
        </w:rPr>
      </w:pPr>
      <w:r>
        <w:rPr>
          <w:rFonts w:ascii="Times New Roman" w:hAnsi="Times New Roman" w:cs="Times New Roman"/>
        </w:rPr>
        <w:t>This study possesses multiple shortcomings that indicate avenues for additional investigation. The systematic review offers a thorough synthesis of current research; nonetheless, the studies involved differ in methodological rigor and evidence quality. The accumulation of high-quality empirical studies employing rigorous identification procedures would enhance the evidence base, especially about the causal consequences of certain policies.</w:t>
      </w:r>
    </w:p>
    <w:p w14:paraId="23D774F1" w14:textId="77777777" w:rsidR="001760B2" w:rsidRDefault="001760B2" w:rsidP="00162976">
      <w:pPr>
        <w:jc w:val="both"/>
        <w:rPr>
          <w:rFonts w:ascii="Times New Roman" w:hAnsi="Times New Roman" w:cs="Times New Roman"/>
        </w:rPr>
      </w:pPr>
      <w:r>
        <w:rPr>
          <w:rFonts w:ascii="Times New Roman" w:hAnsi="Times New Roman" w:cs="Times New Roman"/>
        </w:rPr>
        <w:t xml:space="preserve">Secondly, the review inevitably consolidates multiple national settings, thereby </w:t>
      </w:r>
      <w:proofErr w:type="spellStart"/>
      <w:r>
        <w:rPr>
          <w:rFonts w:ascii="Times New Roman" w:hAnsi="Times New Roman" w:cs="Times New Roman"/>
        </w:rPr>
        <w:t>masking</w:t>
      </w:r>
      <w:proofErr w:type="spellEnd"/>
      <w:r>
        <w:rPr>
          <w:rFonts w:ascii="Times New Roman" w:hAnsi="Times New Roman" w:cs="Times New Roman"/>
        </w:rPr>
        <w:t xml:space="preserve"> significant variation. Subsequent study ought to investigate more thoroughly how optimal methods differ according to baseline conditions, resource endowments, institutional quality, and political economy limitations. Comparative case studies that methodically analyze both successful and unsuccessful instances may yield deeper insights into processes and contextual factors.</w:t>
      </w:r>
    </w:p>
    <w:p w14:paraId="599E27C7" w14:textId="77777777" w:rsidR="001760B2" w:rsidRDefault="001760B2" w:rsidP="00162976">
      <w:pPr>
        <w:jc w:val="both"/>
        <w:rPr>
          <w:rFonts w:ascii="Times New Roman" w:hAnsi="Times New Roman" w:cs="Times New Roman"/>
        </w:rPr>
      </w:pPr>
      <w:r>
        <w:rPr>
          <w:rFonts w:ascii="Times New Roman" w:hAnsi="Times New Roman" w:cs="Times New Roman"/>
        </w:rPr>
        <w:t>Third, although the analysis delineates essential success criteria, comprehension of sequencing and timing is still inadequate. What is the ideal order for cultivating various competencies? When should nations pursue liberalization as opposed to sustaining protectionism? What methods may nations employ to evolve from basic to more advanced strategies? Longitudinal studies analyzing the evolution of countries throughout time may elucidate these dynamic inquiries.</w:t>
      </w:r>
    </w:p>
    <w:p w14:paraId="0F6CA97B" w14:textId="77777777" w:rsidR="001760B2" w:rsidRDefault="001760B2" w:rsidP="00162976">
      <w:pPr>
        <w:jc w:val="both"/>
        <w:rPr>
          <w:rFonts w:ascii="Times New Roman" w:hAnsi="Times New Roman" w:cs="Times New Roman"/>
        </w:rPr>
      </w:pPr>
      <w:r>
        <w:rPr>
          <w:rFonts w:ascii="Times New Roman" w:hAnsi="Times New Roman" w:cs="Times New Roman"/>
        </w:rPr>
        <w:t>The literature on inclusive and sustainable trade dimensions, although expanding, is still less advanced than research on aggregate economic benefits. Further investigation is required into the mechanisms that guarantee inclusive benefit sharing, the effects of certain inclusive policies, and the ideal configuration of social security systems that complement trade participation. The environmental aspects of commerce necessitate increased focus, especially with effective measures for green transitions in underdeveloped countries.</w:t>
      </w:r>
    </w:p>
    <w:p w14:paraId="6F568B0D" w14:textId="77777777" w:rsidR="001760B2" w:rsidRDefault="001760B2" w:rsidP="00162976">
      <w:pPr>
        <w:jc w:val="both"/>
        <w:rPr>
          <w:rFonts w:ascii="Times New Roman" w:hAnsi="Times New Roman" w:cs="Times New Roman"/>
        </w:rPr>
      </w:pPr>
      <w:r>
        <w:rPr>
          <w:rFonts w:ascii="Times New Roman" w:hAnsi="Times New Roman" w:cs="Times New Roman"/>
        </w:rPr>
        <w:t xml:space="preserve">Fifth, nascent issues such as digital revolution, climate change, and geopolitical fragmentation are redefining the global trade landscape in ways that remain inadequately comprehended. Research investigating how developing nations can traverse this dynamic environment, </w:t>
      </w:r>
      <w:r>
        <w:rPr>
          <w:rFonts w:ascii="Times New Roman" w:hAnsi="Times New Roman" w:cs="Times New Roman"/>
        </w:rPr>
        <w:lastRenderedPageBreak/>
        <w:t>capitalize on digital opportunities while addressing digital disparities, and navigate geopolitical pressures while sustaining advantageous economic relations would be very important.</w:t>
      </w:r>
    </w:p>
    <w:p w14:paraId="047FAAB0" w14:textId="1BAEDC0E" w:rsidR="00162976" w:rsidRPr="00162976" w:rsidRDefault="001760B2" w:rsidP="00162976">
      <w:pPr>
        <w:jc w:val="both"/>
        <w:rPr>
          <w:rFonts w:ascii="Times New Roman" w:hAnsi="Times New Roman" w:cs="Times New Roman"/>
        </w:rPr>
      </w:pPr>
      <w:r>
        <w:rPr>
          <w:rFonts w:ascii="Times New Roman" w:hAnsi="Times New Roman" w:cs="Times New Roman"/>
        </w:rPr>
        <w:t>This review consolidates research regarding the aspects influencing trade-driven growth; however, comprehension of how nations might enhance state capability, institutional quality, and political coalitions essential for executing effective tactics is still inadequate. Research in political economy focusing on the domestic politics of trade reform, coalition formation for enduring policy execution, and institutional advancement in trade-related areas would enhance this approach.</w:t>
      </w:r>
    </w:p>
    <w:p w14:paraId="1A1C73F4" w14:textId="77777777" w:rsidR="009C44E8" w:rsidRDefault="009C44E8" w:rsidP="00162976">
      <w:pPr>
        <w:jc w:val="both"/>
        <w:rPr>
          <w:rFonts w:ascii="Times New Roman" w:hAnsi="Times New Roman" w:cs="Times New Roman"/>
        </w:rPr>
      </w:pPr>
    </w:p>
    <w:p w14:paraId="3C4317BA" w14:textId="77777777" w:rsidR="00AC0276" w:rsidRDefault="009C44E8" w:rsidP="00AC0276">
      <w:pPr>
        <w:keepNext/>
        <w:jc w:val="center"/>
      </w:pPr>
      <w:r w:rsidRPr="009C44E8">
        <w:rPr>
          <w:rFonts w:ascii="Times New Roman" w:hAnsi="Times New Roman" w:cs="Times New Roman"/>
          <w:noProof/>
        </w:rPr>
        <w:drawing>
          <wp:inline distT="0" distB="0" distL="0" distR="0" wp14:anchorId="5280AF39" wp14:editId="31E18725">
            <wp:extent cx="5733415" cy="2841128"/>
            <wp:effectExtent l="0" t="0" r="635" b="0"/>
            <wp:docPr id="1820638302" name="Picture 13" descr="A diagram of a country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38302" name="Picture 13" descr="A diagram of a country governmen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53"/>
                    <a:stretch>
                      <a:fillRect/>
                    </a:stretch>
                  </pic:blipFill>
                  <pic:spPr bwMode="auto">
                    <a:xfrm>
                      <a:off x="0" y="0"/>
                      <a:ext cx="5733415" cy="2841128"/>
                    </a:xfrm>
                    <a:prstGeom prst="rect">
                      <a:avLst/>
                    </a:prstGeom>
                    <a:noFill/>
                    <a:ln>
                      <a:noFill/>
                    </a:ln>
                    <a:extLst>
                      <a:ext uri="{53640926-AAD7-44D8-BBD7-CCE9431645EC}">
                        <a14:shadowObscured xmlns:a14="http://schemas.microsoft.com/office/drawing/2010/main"/>
                      </a:ext>
                    </a:extLst>
                  </pic:spPr>
                </pic:pic>
              </a:graphicData>
            </a:graphic>
          </wp:inline>
        </w:drawing>
      </w:r>
    </w:p>
    <w:p w14:paraId="2DCEF094" w14:textId="74B0F4FB" w:rsidR="009C44E8" w:rsidRPr="009C44E8" w:rsidRDefault="00AC0276" w:rsidP="00AC0276">
      <w:pPr>
        <w:pStyle w:val="Caption"/>
        <w:jc w:val="center"/>
        <w:rPr>
          <w:rFonts w:ascii="Times New Roman" w:hAnsi="Times New Roman" w:cs="Times New Roman"/>
          <w:i w:val="0"/>
          <w:iCs w:val="0"/>
        </w:rPr>
      </w:pPr>
      <w:r w:rsidRPr="00AC0276">
        <w:rPr>
          <w:i w:val="0"/>
          <w:iCs w:val="0"/>
        </w:rPr>
        <w:t xml:space="preserve">Figure </w:t>
      </w:r>
      <w:r w:rsidRPr="00AC0276">
        <w:rPr>
          <w:i w:val="0"/>
          <w:iCs w:val="0"/>
        </w:rPr>
        <w:fldChar w:fldCharType="begin"/>
      </w:r>
      <w:r w:rsidRPr="00AC0276">
        <w:rPr>
          <w:i w:val="0"/>
          <w:iCs w:val="0"/>
        </w:rPr>
        <w:instrText xml:space="preserve"> SEQ Figure \* ARABIC </w:instrText>
      </w:r>
      <w:r w:rsidRPr="00AC0276">
        <w:rPr>
          <w:i w:val="0"/>
          <w:iCs w:val="0"/>
        </w:rPr>
        <w:fldChar w:fldCharType="separate"/>
      </w:r>
      <w:r w:rsidRPr="00AC0276">
        <w:rPr>
          <w:i w:val="0"/>
          <w:iCs w:val="0"/>
          <w:noProof/>
        </w:rPr>
        <w:t>8</w:t>
      </w:r>
      <w:r w:rsidRPr="00AC0276">
        <w:rPr>
          <w:i w:val="0"/>
          <w:iCs w:val="0"/>
        </w:rPr>
        <w:fldChar w:fldCharType="end"/>
      </w:r>
      <w:r w:rsidRPr="00AC0276">
        <w:rPr>
          <w:i w:val="0"/>
          <w:iCs w:val="0"/>
        </w:rPr>
        <w:t>: Based on the findings, these are actionable recommendations.</w:t>
      </w:r>
    </w:p>
    <w:p w14:paraId="76FE9165" w14:textId="77777777" w:rsidR="009C44E8" w:rsidRDefault="009C44E8" w:rsidP="00162976">
      <w:pPr>
        <w:jc w:val="both"/>
        <w:rPr>
          <w:rFonts w:ascii="Times New Roman" w:hAnsi="Times New Roman" w:cs="Times New Roman"/>
        </w:rPr>
      </w:pPr>
    </w:p>
    <w:p w14:paraId="07111B87" w14:textId="52F0CF5F"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ETHICAL APPROVAL</w:t>
      </w:r>
    </w:p>
    <w:p w14:paraId="155DA141" w14:textId="0DB44C82" w:rsidR="007A46FA" w:rsidRPr="001760B2" w:rsidRDefault="00162976" w:rsidP="00162976">
      <w:pPr>
        <w:jc w:val="both"/>
        <w:rPr>
          <w:rFonts w:ascii="Times New Roman" w:hAnsi="Times New Roman" w:cs="Times New Roman"/>
        </w:rPr>
      </w:pPr>
      <w:r w:rsidRPr="00162976">
        <w:rPr>
          <w:rFonts w:ascii="Times New Roman" w:hAnsi="Times New Roman" w:cs="Times New Roman"/>
        </w:rPr>
        <w:t xml:space="preserve">Not applicable. </w:t>
      </w:r>
    </w:p>
    <w:p w14:paraId="03831A71" w14:textId="0F85A6D3"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CONSENT</w:t>
      </w:r>
    </w:p>
    <w:p w14:paraId="675BBFCA" w14:textId="1DB4D689" w:rsidR="00D11F2F" w:rsidRPr="00A943C7" w:rsidRDefault="00162976" w:rsidP="00A943C7">
      <w:pPr>
        <w:jc w:val="both"/>
        <w:rPr>
          <w:rFonts w:ascii="Times New Roman" w:hAnsi="Times New Roman" w:cs="Times New Roman"/>
        </w:rPr>
      </w:pPr>
      <w:r w:rsidRPr="00162976">
        <w:rPr>
          <w:rFonts w:ascii="Times New Roman" w:hAnsi="Times New Roman" w:cs="Times New Roman"/>
        </w:rPr>
        <w:t xml:space="preserve">Not applicable. </w:t>
      </w:r>
      <w:bookmarkStart w:id="0" w:name="_Hlk204003461"/>
      <w:bookmarkStart w:id="1" w:name="_GoBack"/>
      <w:bookmarkEnd w:id="1"/>
    </w:p>
    <w:p w14:paraId="45D98BE3" w14:textId="77777777" w:rsidR="00D11F2F" w:rsidRPr="00A943C7" w:rsidRDefault="00D11F2F" w:rsidP="00A943C7">
      <w:pPr>
        <w:jc w:val="both"/>
        <w:rPr>
          <w:rFonts w:ascii="Times New Roman" w:hAnsi="Times New Roman" w:cs="Times New Roman"/>
          <w:b/>
          <w:bCs/>
        </w:rPr>
      </w:pPr>
      <w:bookmarkStart w:id="2" w:name="_Hlk211509776"/>
      <w:r w:rsidRPr="00A943C7">
        <w:rPr>
          <w:rFonts w:ascii="Times New Roman" w:hAnsi="Times New Roman" w:cs="Times New Roman"/>
          <w:b/>
          <w:bCs/>
        </w:rPr>
        <w:t>Disclaimer (Artificial intelligence)</w:t>
      </w:r>
    </w:p>
    <w:p w14:paraId="449DCE6B" w14:textId="3C75BAC4" w:rsidR="00A943C7" w:rsidRPr="00A943C7" w:rsidRDefault="00D11F2F" w:rsidP="00A943C7">
      <w:pPr>
        <w:jc w:val="both"/>
        <w:rPr>
          <w:rFonts w:ascii="Times New Roman" w:hAnsi="Times New Roman" w:cs="Times New Roman"/>
        </w:rPr>
      </w:pPr>
      <w:r w:rsidRPr="00A943C7">
        <w:rPr>
          <w:rFonts w:ascii="Times New Roman" w:hAnsi="Times New Roman" w:cs="Times New Roman"/>
        </w:rPr>
        <w:t xml:space="preserve">Author(s) hereby declare that generative AI technologies such as Large Language Models, etc. have been used during the </w:t>
      </w:r>
      <w:proofErr w:type="spellStart"/>
      <w:r w:rsidRPr="00A943C7">
        <w:rPr>
          <w:rFonts w:ascii="Times New Roman" w:hAnsi="Times New Roman" w:cs="Times New Roman"/>
        </w:rPr>
        <w:t>witing</w:t>
      </w:r>
      <w:proofErr w:type="spellEnd"/>
      <w:r w:rsidRPr="00A943C7">
        <w:rPr>
          <w:rFonts w:ascii="Times New Roman" w:hAnsi="Times New Roman" w:cs="Times New Roman"/>
        </w:rPr>
        <w:t xml:space="preserve"> or editing of manuscripts. This explanation will include the name, version, model, and source of the generative AI technology and as well as all input prompts provided to the generative AI technology</w:t>
      </w:r>
    </w:p>
    <w:p w14:paraId="3AA116B5" w14:textId="33E71F05" w:rsidR="00D11F2F" w:rsidRPr="00A943C7" w:rsidRDefault="00D11F2F" w:rsidP="00A943C7">
      <w:pPr>
        <w:jc w:val="both"/>
        <w:rPr>
          <w:rFonts w:ascii="Times New Roman" w:hAnsi="Times New Roman" w:cs="Times New Roman"/>
          <w:b/>
          <w:bCs/>
        </w:rPr>
      </w:pPr>
      <w:r w:rsidRPr="00A943C7">
        <w:rPr>
          <w:rFonts w:ascii="Times New Roman" w:hAnsi="Times New Roman" w:cs="Times New Roman"/>
          <w:b/>
          <w:bCs/>
        </w:rPr>
        <w:t>Details of the AI usage are given below:</w:t>
      </w:r>
    </w:p>
    <w:p w14:paraId="50F0E3BC" w14:textId="0CD3AE7E" w:rsidR="00D11F2F" w:rsidRPr="00A943C7" w:rsidRDefault="00D11F2F" w:rsidP="00D11F2F">
      <w:pPr>
        <w:rPr>
          <w:rFonts w:ascii="Times New Roman" w:hAnsi="Times New Roman" w:cs="Times New Roman"/>
        </w:rPr>
      </w:pPr>
      <w:r w:rsidRPr="00A943C7">
        <w:rPr>
          <w:rFonts w:ascii="Times New Roman" w:hAnsi="Times New Roman" w:cs="Times New Roman"/>
        </w:rPr>
        <w:t>1.</w:t>
      </w:r>
      <w:r w:rsidR="00A943C7">
        <w:rPr>
          <w:rFonts w:ascii="Times New Roman" w:hAnsi="Times New Roman" w:cs="Times New Roman"/>
        </w:rPr>
        <w:t xml:space="preserve"> Gemini AI and Google AI Studio were used to generate all images in this paper</w:t>
      </w:r>
    </w:p>
    <w:p w14:paraId="445D9629" w14:textId="035E8E10" w:rsidR="00D11F2F" w:rsidRPr="00A943C7" w:rsidRDefault="00D11F2F" w:rsidP="00D11F2F">
      <w:pPr>
        <w:rPr>
          <w:rFonts w:ascii="Times New Roman" w:hAnsi="Times New Roman" w:cs="Times New Roman"/>
        </w:rPr>
      </w:pPr>
      <w:r w:rsidRPr="00A943C7">
        <w:rPr>
          <w:rFonts w:ascii="Times New Roman" w:hAnsi="Times New Roman" w:cs="Times New Roman"/>
        </w:rPr>
        <w:lastRenderedPageBreak/>
        <w:t>2.</w:t>
      </w:r>
      <w:r w:rsidR="00A943C7">
        <w:rPr>
          <w:rFonts w:ascii="Times New Roman" w:hAnsi="Times New Roman" w:cs="Times New Roman"/>
        </w:rPr>
        <w:t xml:space="preserve"> </w:t>
      </w:r>
      <w:proofErr w:type="spellStart"/>
      <w:r w:rsidR="00A943C7">
        <w:rPr>
          <w:rFonts w:ascii="Times New Roman" w:hAnsi="Times New Roman" w:cs="Times New Roman"/>
        </w:rPr>
        <w:t>Quillbot</w:t>
      </w:r>
      <w:proofErr w:type="spellEnd"/>
      <w:r w:rsidR="00A943C7">
        <w:rPr>
          <w:rFonts w:ascii="Times New Roman" w:hAnsi="Times New Roman" w:cs="Times New Roman"/>
        </w:rPr>
        <w:t xml:space="preserve"> AI and Claude AI was used for paraphrasing and grammar checks</w:t>
      </w:r>
    </w:p>
    <w:bookmarkEnd w:id="0"/>
    <w:bookmarkEnd w:id="2"/>
    <w:p w14:paraId="3895D6BC" w14:textId="77777777" w:rsidR="00D11F2F" w:rsidRPr="00162976" w:rsidRDefault="00D11F2F" w:rsidP="00162976">
      <w:pPr>
        <w:jc w:val="both"/>
        <w:rPr>
          <w:rFonts w:ascii="Times New Roman" w:hAnsi="Times New Roman" w:cs="Times New Roman"/>
        </w:rPr>
      </w:pPr>
    </w:p>
    <w:p w14:paraId="603DCC87" w14:textId="77777777" w:rsidR="00162976" w:rsidRPr="00162976" w:rsidRDefault="00162976" w:rsidP="00162976">
      <w:pPr>
        <w:jc w:val="both"/>
        <w:rPr>
          <w:rFonts w:ascii="Times New Roman" w:hAnsi="Times New Roman" w:cs="Times New Roman"/>
          <w:b/>
          <w:bCs/>
        </w:rPr>
      </w:pPr>
      <w:r w:rsidRPr="00162976">
        <w:rPr>
          <w:rFonts w:ascii="Times New Roman" w:hAnsi="Times New Roman" w:cs="Times New Roman"/>
          <w:b/>
          <w:bCs/>
        </w:rPr>
        <w:t>REFERENCES</w:t>
      </w:r>
    </w:p>
    <w:p w14:paraId="58E37277" w14:textId="0FDAB509"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Acemoglu, D., &amp; Dell, M. (2010). Productivity differences between and within countries. American Economic Journal: Macroeconomics, 2(1), 169-188. </w:t>
      </w:r>
      <w:hyperlink r:id="rId16" w:history="1">
        <w:r w:rsidRPr="00AA45F0">
          <w:rPr>
            <w:rStyle w:val="Hyperlink"/>
            <w:rFonts w:ascii="Times New Roman" w:hAnsi="Times New Roman" w:cs="Times New Roman"/>
          </w:rPr>
          <w:t>https://doi.org/10.1257/mac.2.1.169</w:t>
        </w:r>
      </w:hyperlink>
    </w:p>
    <w:p w14:paraId="259730F7" w14:textId="01C90B53"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Acemoglu, D., Johnson, S., &amp; Robinson, J. A. (2002). An African success story: Botswana. CEPR Discussion Paper, 3219. </w:t>
      </w:r>
      <w:hyperlink r:id="rId17" w:history="1">
        <w:r w:rsidRPr="00AA45F0">
          <w:rPr>
            <w:rStyle w:val="Hyperlink"/>
            <w:rFonts w:ascii="Times New Roman" w:hAnsi="Times New Roman" w:cs="Times New Roman"/>
          </w:rPr>
          <w:t>https://cepr.org/publications/DP3219</w:t>
        </w:r>
      </w:hyperlink>
    </w:p>
    <w:p w14:paraId="1A25CD3A" w14:textId="727A50D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Aghion, P., </w:t>
      </w:r>
      <w:proofErr w:type="spellStart"/>
      <w:r w:rsidRPr="00A818AB">
        <w:rPr>
          <w:rFonts w:ascii="Times New Roman" w:hAnsi="Times New Roman" w:cs="Times New Roman"/>
        </w:rPr>
        <w:t>Akcigit</w:t>
      </w:r>
      <w:proofErr w:type="spellEnd"/>
      <w:r w:rsidRPr="00A818AB">
        <w:rPr>
          <w:rFonts w:ascii="Times New Roman" w:hAnsi="Times New Roman" w:cs="Times New Roman"/>
        </w:rPr>
        <w:t xml:space="preserve">, U., &amp; Howitt, P. (2015). Lessons from Schumpeterian Growth Theory. American Economic Review, 105(5), 94-99. </w:t>
      </w:r>
      <w:hyperlink r:id="rId18" w:history="1">
        <w:r w:rsidRPr="00AA45F0">
          <w:rPr>
            <w:rStyle w:val="Hyperlink"/>
            <w:rFonts w:ascii="Times New Roman" w:hAnsi="Times New Roman" w:cs="Times New Roman"/>
          </w:rPr>
          <w:t>https://doi.org/10.1257/aer.p20151067</w:t>
        </w:r>
      </w:hyperlink>
    </w:p>
    <w:p w14:paraId="7B9D0003" w14:textId="650EF6CE"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Aghion, P., &amp; Howitt, P. (2009). The economics of growth. MIT Press. </w:t>
      </w:r>
      <w:hyperlink r:id="rId19" w:history="1">
        <w:r w:rsidRPr="00AA45F0">
          <w:rPr>
            <w:rStyle w:val="Hyperlink"/>
            <w:rFonts w:ascii="Times New Roman" w:hAnsi="Times New Roman" w:cs="Times New Roman"/>
          </w:rPr>
          <w:t>https://mitpress.mit.edu/books/economics-growth</w:t>
        </w:r>
      </w:hyperlink>
    </w:p>
    <w:p w14:paraId="0B6E45B1" w14:textId="310E963A" w:rsidR="00A818AB" w:rsidRDefault="00A818AB"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Ambec, S., Cohen, M. A., Elgie, S., &amp; Lanoie, P. (2013). </w:t>
      </w:r>
      <w:r w:rsidRPr="00A818AB">
        <w:rPr>
          <w:rFonts w:ascii="Times New Roman" w:hAnsi="Times New Roman" w:cs="Times New Roman"/>
        </w:rPr>
        <w:t xml:space="preserve">The Porter hypothesis at 20: Can environmental regulation enhance innovation and competitiveness? Review of Environmental Economics and Policy, 7(1), 2-22. </w:t>
      </w:r>
      <w:hyperlink r:id="rId20" w:history="1">
        <w:r w:rsidRPr="00AA45F0">
          <w:rPr>
            <w:rStyle w:val="Hyperlink"/>
            <w:rFonts w:ascii="Times New Roman" w:hAnsi="Times New Roman" w:cs="Times New Roman"/>
          </w:rPr>
          <w:t>https://doi.org/10.1093/reep/res016</w:t>
        </w:r>
      </w:hyperlink>
    </w:p>
    <w:p w14:paraId="28C1F2F9" w14:textId="25F07503" w:rsidR="00A818AB" w:rsidRDefault="00A818AB"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Amiti, M., Kong, S. H., &amp; Weinstein, D. (2020). </w:t>
      </w:r>
      <w:r w:rsidRPr="00A818AB">
        <w:rPr>
          <w:rFonts w:ascii="Times New Roman" w:hAnsi="Times New Roman" w:cs="Times New Roman"/>
        </w:rPr>
        <w:t xml:space="preserve">The effect of the U.S.-China trade war on U.S. investment. NBER Working Paper. </w:t>
      </w:r>
      <w:hyperlink r:id="rId21" w:history="1">
        <w:r w:rsidRPr="00AA45F0">
          <w:rPr>
            <w:rStyle w:val="Hyperlink"/>
            <w:rFonts w:ascii="Times New Roman" w:hAnsi="Times New Roman" w:cs="Times New Roman"/>
          </w:rPr>
          <w:t>https://doi.org/10.3386/w27114</w:t>
        </w:r>
      </w:hyperlink>
    </w:p>
    <w:p w14:paraId="02464B34" w14:textId="71A886DC"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Amsden, A. H. (1989). Asia's next giant: South Korea and late industrialization. Oxford University Press. </w:t>
      </w:r>
      <w:hyperlink r:id="rId22" w:history="1">
        <w:r w:rsidRPr="00AA45F0">
          <w:rPr>
            <w:rStyle w:val="Hyperlink"/>
            <w:rFonts w:ascii="Times New Roman" w:hAnsi="Times New Roman" w:cs="Times New Roman"/>
          </w:rPr>
          <w:t>https://doi.org/10.1093/0195052026.001.0001</w:t>
        </w:r>
      </w:hyperlink>
    </w:p>
    <w:p w14:paraId="5FADF993" w14:textId="4ABCEAE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Amsden, A. H. (2001). The rise of "the rest": challenges to the west from late-industrializing economies. Oxford University Press. </w:t>
      </w:r>
      <w:hyperlink r:id="rId23" w:history="1">
        <w:r w:rsidRPr="00AA45F0">
          <w:rPr>
            <w:rStyle w:val="Hyperlink"/>
            <w:rFonts w:ascii="Times New Roman" w:hAnsi="Times New Roman" w:cs="Times New Roman"/>
          </w:rPr>
          <w:t>https://doi.org/10.1093/0195139690.001.0001</w:t>
        </w:r>
      </w:hyperlink>
    </w:p>
    <w:p w14:paraId="71BF0BF5" w14:textId="22F0051A"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Antràs</w:t>
      </w:r>
      <w:proofErr w:type="spellEnd"/>
      <w:r w:rsidRPr="00A818AB">
        <w:rPr>
          <w:rFonts w:ascii="Times New Roman" w:hAnsi="Times New Roman" w:cs="Times New Roman"/>
        </w:rPr>
        <w:t>, P. (2020). De-</w:t>
      </w:r>
      <w:proofErr w:type="spellStart"/>
      <w:r w:rsidRPr="00A818AB">
        <w:rPr>
          <w:rFonts w:ascii="Times New Roman" w:hAnsi="Times New Roman" w:cs="Times New Roman"/>
        </w:rPr>
        <w:t>Globalisation</w:t>
      </w:r>
      <w:proofErr w:type="spellEnd"/>
      <w:r w:rsidRPr="00A818AB">
        <w:rPr>
          <w:rFonts w:ascii="Times New Roman" w:hAnsi="Times New Roman" w:cs="Times New Roman"/>
        </w:rPr>
        <w:t xml:space="preserve">? Global Value Chains in the Post-COVID-19 Age. NBER Working Paper, 28115. </w:t>
      </w:r>
      <w:hyperlink r:id="rId24" w:history="1">
        <w:r w:rsidRPr="00AA45F0">
          <w:rPr>
            <w:rStyle w:val="Hyperlink"/>
            <w:rFonts w:ascii="Times New Roman" w:hAnsi="Times New Roman" w:cs="Times New Roman"/>
          </w:rPr>
          <w:t>https://doi.org/10.3386/w28115</w:t>
        </w:r>
      </w:hyperlink>
    </w:p>
    <w:p w14:paraId="47CA5F01" w14:textId="3B395959"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Antweiler</w:t>
      </w:r>
      <w:proofErr w:type="spellEnd"/>
      <w:r w:rsidRPr="00A818AB">
        <w:rPr>
          <w:rFonts w:ascii="Times New Roman" w:hAnsi="Times New Roman" w:cs="Times New Roman"/>
        </w:rPr>
        <w:t xml:space="preserve">, W., Copeland, B. R., &amp; Taylor, M. S. (2001). Is free trade good for the environment? American Economic Review, 91(4), 877-908. </w:t>
      </w:r>
      <w:hyperlink r:id="rId25" w:history="1">
        <w:r w:rsidRPr="00AA45F0">
          <w:rPr>
            <w:rStyle w:val="Hyperlink"/>
            <w:rFonts w:ascii="Times New Roman" w:hAnsi="Times New Roman" w:cs="Times New Roman"/>
          </w:rPr>
          <w:t>https://doi.org/10.1257/aer.91.4.877</w:t>
        </w:r>
      </w:hyperlink>
    </w:p>
    <w:p w14:paraId="2FA97A5C" w14:textId="434E03D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Armstrong, H. W., &amp; Read, R. (2000). Comparing the economic performance of dependent territories and sovereign microstates. Economic Development and Cultural Change, 48(2), 285-306. </w:t>
      </w:r>
      <w:hyperlink r:id="rId26" w:history="1">
        <w:r w:rsidRPr="00AA45F0">
          <w:rPr>
            <w:rStyle w:val="Hyperlink"/>
            <w:rFonts w:ascii="Times New Roman" w:hAnsi="Times New Roman" w:cs="Times New Roman"/>
          </w:rPr>
          <w:t>https://doi.org/10.1086/452459</w:t>
        </w:r>
      </w:hyperlink>
    </w:p>
    <w:p w14:paraId="6408F782" w14:textId="3912FC39"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Arvis, J. F., Raballand, G., &amp; Marteau, J. F. (2010). The cost of being landlocked: Logistics costs and supply chain reliability. World Bank. </w:t>
      </w:r>
      <w:hyperlink r:id="rId27" w:history="1">
        <w:r w:rsidRPr="00AA45F0">
          <w:rPr>
            <w:rStyle w:val="Hyperlink"/>
            <w:rFonts w:ascii="Times New Roman" w:hAnsi="Times New Roman" w:cs="Times New Roman"/>
          </w:rPr>
          <w:t>https://openknowledge.worldbank.org/handle/10986/2489</w:t>
        </w:r>
      </w:hyperlink>
    </w:p>
    <w:p w14:paraId="53FF31E9" w14:textId="1771D5B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Baer, W. (1972). Import substitution and industrialization in Latin America: Experiences and interpretations. Latin American Research Review, 7(1), 95-122. </w:t>
      </w:r>
      <w:hyperlink r:id="rId28" w:history="1">
        <w:r w:rsidRPr="00AA45F0">
          <w:rPr>
            <w:rStyle w:val="Hyperlink"/>
            <w:rFonts w:ascii="Times New Roman" w:hAnsi="Times New Roman" w:cs="Times New Roman"/>
          </w:rPr>
          <w:t>https://doi.org/10.1017/S0023879100041224</w:t>
        </w:r>
      </w:hyperlink>
    </w:p>
    <w:p w14:paraId="159ADF79" w14:textId="4DA49DA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Baldwin, R. (2016). The great convergence: Information technology and the new globalization. Harvard University Press. </w:t>
      </w:r>
      <w:hyperlink r:id="rId29" w:history="1">
        <w:r w:rsidRPr="00AA45F0">
          <w:rPr>
            <w:rStyle w:val="Hyperlink"/>
            <w:rFonts w:ascii="Times New Roman" w:hAnsi="Times New Roman" w:cs="Times New Roman"/>
          </w:rPr>
          <w:t>https://www.hup.harvard.edu/catalog.php?isbn=9780674660489</w:t>
        </w:r>
      </w:hyperlink>
    </w:p>
    <w:p w14:paraId="521BF7EC" w14:textId="7625DC03"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Baldwin, R., &amp; Freeman, R. (2022). Risks and global supply chains: What we know and what we need to know. Annual Review of Economics, 14, 153-180. </w:t>
      </w:r>
      <w:hyperlink r:id="rId30" w:history="1">
        <w:r w:rsidRPr="00AA45F0">
          <w:rPr>
            <w:rStyle w:val="Hyperlink"/>
            <w:rFonts w:ascii="Times New Roman" w:hAnsi="Times New Roman" w:cs="Times New Roman"/>
          </w:rPr>
          <w:t>https://doi.org/10.1146/annurev-economics-051420-113737</w:t>
        </w:r>
      </w:hyperlink>
    </w:p>
    <w:p w14:paraId="52F31FE6" w14:textId="336E37A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Barro, R. J. (2013). Education and economic growth. Annals of Economics and Finance, 14(2), 301-328. </w:t>
      </w:r>
      <w:hyperlink r:id="rId31" w:history="1">
        <w:r w:rsidRPr="00AA45F0">
          <w:rPr>
            <w:rStyle w:val="Hyperlink"/>
            <w:rFonts w:ascii="Times New Roman" w:hAnsi="Times New Roman" w:cs="Times New Roman"/>
          </w:rPr>
          <w:t>http://down.aefweb.net/AefArticles/aef140201Barro.pdf</w:t>
        </w:r>
      </w:hyperlink>
    </w:p>
    <w:p w14:paraId="35769203" w14:textId="3E33593C"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Barton, J. H. (2007). New trends in technology transfer: implications for national and international policy. </w:t>
      </w:r>
      <w:r w:rsidRPr="00A818AB">
        <w:rPr>
          <w:rFonts w:ascii="Times New Roman" w:hAnsi="Times New Roman" w:cs="Times New Roman"/>
          <w:i/>
          <w:iCs/>
        </w:rPr>
        <w:t>ICTSD Issue Paper</w:t>
      </w:r>
      <w:r w:rsidRPr="00A818AB">
        <w:rPr>
          <w:rFonts w:ascii="Times New Roman" w:hAnsi="Times New Roman" w:cs="Times New Roman"/>
        </w:rPr>
        <w:t>, 18.</w:t>
      </w:r>
    </w:p>
    <w:p w14:paraId="0D070FD3" w14:textId="27267941"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Becker, G. S. (2009). Human capital: A theoretical and empirical analysis, with special reference to education. University of Chicago Press. </w:t>
      </w:r>
      <w:hyperlink r:id="rId32" w:history="1">
        <w:r w:rsidRPr="00AA45F0">
          <w:rPr>
            <w:rStyle w:val="Hyperlink"/>
            <w:rFonts w:ascii="Times New Roman" w:hAnsi="Times New Roman" w:cs="Times New Roman"/>
          </w:rPr>
          <w:t>https://press.uchicago.edu/ucp/books/book/chicago/H/bo5954600.html</w:t>
        </w:r>
      </w:hyperlink>
    </w:p>
    <w:p w14:paraId="2EC42217" w14:textId="38B1E1AB"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Behuria</w:t>
      </w:r>
      <w:proofErr w:type="spellEnd"/>
      <w:r w:rsidRPr="00A818AB">
        <w:rPr>
          <w:rFonts w:ascii="Times New Roman" w:hAnsi="Times New Roman" w:cs="Times New Roman"/>
        </w:rPr>
        <w:t xml:space="preserve">, P. (2016). </w:t>
      </w:r>
      <w:proofErr w:type="spellStart"/>
      <w:r w:rsidRPr="00A818AB">
        <w:rPr>
          <w:rFonts w:ascii="Times New Roman" w:hAnsi="Times New Roman" w:cs="Times New Roman"/>
        </w:rPr>
        <w:t>Centralising</w:t>
      </w:r>
      <w:proofErr w:type="spellEnd"/>
      <w:r w:rsidRPr="00A818AB">
        <w:rPr>
          <w:rFonts w:ascii="Times New Roman" w:hAnsi="Times New Roman" w:cs="Times New Roman"/>
        </w:rPr>
        <w:t xml:space="preserve"> rents and dispersing power while pursuing development? Exploring the strategic uses of military firms in Rwanda. Review of African Political Economy, 43(150), 630-647. </w:t>
      </w:r>
      <w:hyperlink r:id="rId33" w:history="1">
        <w:r w:rsidRPr="00AA45F0">
          <w:rPr>
            <w:rStyle w:val="Hyperlink"/>
            <w:rFonts w:ascii="Times New Roman" w:hAnsi="Times New Roman" w:cs="Times New Roman"/>
          </w:rPr>
          <w:t>https://doi.org/10.1080/03056244.2015.1128407</w:t>
        </w:r>
      </w:hyperlink>
    </w:p>
    <w:p w14:paraId="24918A78" w14:textId="0F8E3374" w:rsidR="00A818AB" w:rsidRP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lang w:val="nn-NO"/>
        </w:rPr>
        <w:t xml:space="preserve">Benhabib, J., &amp; Spiegel, M. M. (2005). </w:t>
      </w:r>
      <w:r w:rsidRPr="00A943C7">
        <w:rPr>
          <w:rFonts w:ascii="Times New Roman" w:hAnsi="Times New Roman" w:cs="Times New Roman"/>
        </w:rPr>
        <w:t xml:space="preserve">Human capital and technology diffusion. In P. Aghion &amp; S. </w:t>
      </w:r>
      <w:proofErr w:type="spellStart"/>
      <w:r w:rsidRPr="00A943C7">
        <w:rPr>
          <w:rFonts w:ascii="Times New Roman" w:hAnsi="Times New Roman" w:cs="Times New Roman"/>
        </w:rPr>
        <w:t>Durlauf</w:t>
      </w:r>
      <w:proofErr w:type="spellEnd"/>
      <w:r w:rsidRPr="00A943C7">
        <w:rPr>
          <w:rFonts w:ascii="Times New Roman" w:hAnsi="Times New Roman" w:cs="Times New Roman"/>
        </w:rPr>
        <w:t xml:space="preserve"> (Eds.), Handbook of economic growth (Vol. 1, Part A, pp. 935-966). </w:t>
      </w:r>
      <w:r w:rsidRPr="00A818AB">
        <w:rPr>
          <w:rFonts w:ascii="Times New Roman" w:hAnsi="Times New Roman" w:cs="Times New Roman"/>
          <w:lang w:val="nn-NO"/>
        </w:rPr>
        <w:t xml:space="preserve">Elsevier. </w:t>
      </w:r>
      <w:r>
        <w:rPr>
          <w:rFonts w:ascii="Times New Roman" w:hAnsi="Times New Roman" w:cs="Times New Roman"/>
          <w:lang w:val="nn-NO"/>
        </w:rPr>
        <w:fldChar w:fldCharType="begin"/>
      </w:r>
      <w:r>
        <w:rPr>
          <w:rFonts w:ascii="Times New Roman" w:hAnsi="Times New Roman" w:cs="Times New Roman"/>
          <w:lang w:val="nn-NO"/>
        </w:rPr>
        <w:instrText>HYPERLINK "</w:instrText>
      </w:r>
      <w:r w:rsidRPr="00A818AB">
        <w:rPr>
          <w:rFonts w:ascii="Times New Roman" w:hAnsi="Times New Roman" w:cs="Times New Roman"/>
          <w:lang w:val="nn-NO"/>
        </w:rPr>
        <w:instrText>https://doi.org/10.1016/S1574-0684(05)01013-0</w:instrText>
      </w:r>
      <w:r>
        <w:rPr>
          <w:rFonts w:ascii="Times New Roman" w:hAnsi="Times New Roman" w:cs="Times New Roman"/>
          <w:lang w:val="nn-NO"/>
        </w:rPr>
        <w:instrText>"</w:instrText>
      </w:r>
      <w:r>
        <w:rPr>
          <w:rFonts w:ascii="Times New Roman" w:hAnsi="Times New Roman" w:cs="Times New Roman"/>
          <w:lang w:val="nn-NO"/>
        </w:rPr>
        <w:fldChar w:fldCharType="separate"/>
      </w:r>
      <w:r w:rsidRPr="00AA45F0">
        <w:rPr>
          <w:rStyle w:val="Hyperlink"/>
          <w:rFonts w:ascii="Times New Roman" w:hAnsi="Times New Roman" w:cs="Times New Roman"/>
          <w:lang w:val="nn-NO"/>
        </w:rPr>
        <w:t>https://doi.org/10.1016/S1574-0684(05)01013-0</w:t>
      </w:r>
      <w:r>
        <w:rPr>
          <w:rFonts w:ascii="Times New Roman" w:hAnsi="Times New Roman" w:cs="Times New Roman"/>
          <w:lang w:val="nn-NO"/>
        </w:rPr>
        <w:fldChar w:fldCharType="end"/>
      </w:r>
    </w:p>
    <w:p w14:paraId="23B43B48" w14:textId="06247BF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Bernard, A. B., Redding, S. J., &amp; Schott, P. K. (2007). Comparative advantage and heterogeneous firms. The Review of Economic Studies, 74(1), 31-66. </w:t>
      </w:r>
      <w:hyperlink r:id="rId34" w:history="1">
        <w:r w:rsidRPr="00AA45F0">
          <w:rPr>
            <w:rStyle w:val="Hyperlink"/>
            <w:rFonts w:ascii="Times New Roman" w:hAnsi="Times New Roman" w:cs="Times New Roman"/>
          </w:rPr>
          <w:t>https://doi.org/10.1111/j.1467-937X.2007.00413.x</w:t>
        </w:r>
      </w:hyperlink>
    </w:p>
    <w:p w14:paraId="7BA299C4" w14:textId="7F2064AB" w:rsidR="00A818AB" w:rsidRPr="00A818AB" w:rsidRDefault="00A818AB" w:rsidP="00A818AB">
      <w:pPr>
        <w:pStyle w:val="ListParagraph"/>
        <w:numPr>
          <w:ilvl w:val="0"/>
          <w:numId w:val="9"/>
        </w:numPr>
        <w:jc w:val="both"/>
      </w:pPr>
      <w:r w:rsidRPr="00A818AB">
        <w:rPr>
          <w:rFonts w:ascii="Times New Roman" w:hAnsi="Times New Roman" w:cs="Times New Roman"/>
        </w:rPr>
        <w:t xml:space="preserve">Blackman, A., &amp; Rivera, J. (2011). Producer-level benefits of sustainability certification. Conservation Biology, 25(6), 1176-1185. </w:t>
      </w:r>
      <w:hyperlink r:id="rId35" w:history="1">
        <w:r w:rsidRPr="00AA45F0">
          <w:rPr>
            <w:rStyle w:val="Hyperlink"/>
            <w:rFonts w:ascii="Times New Roman" w:hAnsi="Times New Roman" w:cs="Times New Roman"/>
          </w:rPr>
          <w:t>https://doi.org/10.1111/j.1523-1739.2011.01774.x</w:t>
        </w:r>
      </w:hyperlink>
    </w:p>
    <w:p w14:paraId="6D744D74" w14:textId="3CFCB40F"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Bloom, D. E., Canning, D., Fink, G., &amp; Finlay, J. E. (2007). Does age structure forecast economic growth</w:t>
      </w:r>
      <w:proofErr w:type="gramStart"/>
      <w:r w:rsidRPr="00A818AB">
        <w:rPr>
          <w:rFonts w:ascii="Times New Roman" w:hAnsi="Times New Roman" w:cs="Times New Roman"/>
        </w:rPr>
        <w:t>?.</w:t>
      </w:r>
      <w:proofErr w:type="gramEnd"/>
      <w:r w:rsidRPr="00A818AB">
        <w:rPr>
          <w:rFonts w:ascii="Times New Roman" w:hAnsi="Times New Roman" w:cs="Times New Roman"/>
        </w:rPr>
        <w:t xml:space="preserve"> International Journal of Forecasting, 23(4), 569-585. </w:t>
      </w:r>
      <w:hyperlink r:id="rId36" w:history="1">
        <w:r w:rsidRPr="00AA45F0">
          <w:rPr>
            <w:rStyle w:val="Hyperlink"/>
            <w:rFonts w:ascii="Times New Roman" w:hAnsi="Times New Roman" w:cs="Times New Roman"/>
          </w:rPr>
          <w:t>https://doi.org/10.1016/j.ijforecast.2007.07.001</w:t>
        </w:r>
      </w:hyperlink>
    </w:p>
    <w:p w14:paraId="3CE7DBD8" w14:textId="2F655BF2"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Boland, A., Cherry, M. G., &amp; Dickson, R. (Eds.). (2017). Doing a systematic review: A student's guide. Sage. </w:t>
      </w:r>
      <w:hyperlink r:id="rId37" w:history="1">
        <w:r w:rsidRPr="00AA45F0">
          <w:rPr>
            <w:rStyle w:val="Hyperlink"/>
            <w:rFonts w:ascii="Times New Roman" w:hAnsi="Times New Roman" w:cs="Times New Roman"/>
          </w:rPr>
          <w:t>https://us.sagepub.com/en-us/nam/doing-a-systematic-review/book245090</w:t>
        </w:r>
      </w:hyperlink>
    </w:p>
    <w:p w14:paraId="12CA66C5" w14:textId="166017E4"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Boschma, R. (2017). Relatedness as driver of regional diversification: A research agenda. Regional Studies, 51(3), 351-364. </w:t>
      </w:r>
      <w:hyperlink r:id="rId38" w:history="1">
        <w:r w:rsidRPr="00AA45F0">
          <w:rPr>
            <w:rStyle w:val="Hyperlink"/>
            <w:rFonts w:ascii="Times New Roman" w:hAnsi="Times New Roman" w:cs="Times New Roman"/>
          </w:rPr>
          <w:t>https://doi.org/10.1080/00343404.2016.1254767</w:t>
        </w:r>
      </w:hyperlink>
    </w:p>
    <w:p w14:paraId="2063F008" w14:textId="7CD5DFA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Briguglio, L. (1995). Small island developing states and their economic vulnerabilities. World Development, 23(9), 1615-1632. </w:t>
      </w:r>
      <w:hyperlink r:id="rId39" w:history="1">
        <w:r w:rsidRPr="00AA45F0">
          <w:rPr>
            <w:rStyle w:val="Hyperlink"/>
            <w:rFonts w:ascii="Times New Roman" w:hAnsi="Times New Roman" w:cs="Times New Roman"/>
          </w:rPr>
          <w:t>https://doi.org/10.1016/0305-750X(95)00065-K</w:t>
        </w:r>
      </w:hyperlink>
    </w:p>
    <w:p w14:paraId="66C460B2" w14:textId="2A582B7D"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Bruton, H. J. (1998). A reconsideration of import substitution. Journal of Economic Literature, 36(2), 903-936. </w:t>
      </w:r>
      <w:hyperlink r:id="rId40" w:history="1">
        <w:r w:rsidRPr="00AA45F0">
          <w:rPr>
            <w:rStyle w:val="Hyperlink"/>
            <w:rFonts w:ascii="Times New Roman" w:hAnsi="Times New Roman" w:cs="Times New Roman"/>
          </w:rPr>
          <w:t>http://www.e-jel.org/archive/june1998/Bruton.pdf</w:t>
        </w:r>
      </w:hyperlink>
    </w:p>
    <w:p w14:paraId="349E7AEA" w14:textId="09532B3B"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Burke, M., Hsiang, S. M., &amp; Miguel, E. (2015). Global non-linear effect of temperature on economic production. Nature, 527(7577), 235-239. </w:t>
      </w:r>
      <w:hyperlink r:id="rId41" w:history="1">
        <w:r w:rsidRPr="00AA45F0">
          <w:rPr>
            <w:rStyle w:val="Hyperlink"/>
            <w:rFonts w:ascii="Times New Roman" w:hAnsi="Times New Roman" w:cs="Times New Roman"/>
          </w:rPr>
          <w:t>https://doi.org/10.1038/nature15725</w:t>
        </w:r>
      </w:hyperlink>
    </w:p>
    <w:p w14:paraId="3882A566" w14:textId="6078D9B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Cadot, O., Carrère, C., &amp; Strauss-Kahn, V. (2011). Export Diversification: What's behind the Hump</w:t>
      </w:r>
      <w:proofErr w:type="gramStart"/>
      <w:r w:rsidRPr="00A818AB">
        <w:rPr>
          <w:rFonts w:ascii="Times New Roman" w:hAnsi="Times New Roman" w:cs="Times New Roman"/>
        </w:rPr>
        <w:t>?.</w:t>
      </w:r>
      <w:proofErr w:type="gramEnd"/>
      <w:r w:rsidRPr="00A818AB">
        <w:rPr>
          <w:rFonts w:ascii="Times New Roman" w:hAnsi="Times New Roman" w:cs="Times New Roman"/>
        </w:rPr>
        <w:t xml:space="preserve"> Review of Economics and Statistics, 93(2), 590-605. </w:t>
      </w:r>
      <w:hyperlink r:id="rId42" w:history="1">
        <w:r w:rsidRPr="00AA45F0">
          <w:rPr>
            <w:rStyle w:val="Hyperlink"/>
            <w:rFonts w:ascii="Times New Roman" w:hAnsi="Times New Roman" w:cs="Times New Roman"/>
          </w:rPr>
          <w:t>https://doi.org/10.1162/REST_a_00078</w:t>
        </w:r>
      </w:hyperlink>
    </w:p>
    <w:p w14:paraId="4B3A324C" w14:textId="74030166" w:rsidR="00A818AB" w:rsidRDefault="00A818AB"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lastRenderedPageBreak/>
        <w:t xml:space="preserve">Cadot, O., &amp; de Melo, J. (2008). </w:t>
      </w:r>
      <w:r w:rsidRPr="00A818AB">
        <w:rPr>
          <w:rFonts w:ascii="Times New Roman" w:hAnsi="Times New Roman" w:cs="Times New Roman"/>
        </w:rPr>
        <w:t xml:space="preserve">Why OECD Countries Should Reform Rules of Origin. The World Bank Research Observer, 23(1), 77-105. </w:t>
      </w:r>
      <w:hyperlink r:id="rId43" w:history="1">
        <w:r w:rsidRPr="00AA45F0">
          <w:rPr>
            <w:rStyle w:val="Hyperlink"/>
            <w:rFonts w:ascii="Times New Roman" w:hAnsi="Times New Roman" w:cs="Times New Roman"/>
          </w:rPr>
          <w:t>https://doi.org/10.1093/wbro/lkm010</w:t>
        </w:r>
      </w:hyperlink>
    </w:p>
    <w:p w14:paraId="70131339" w14:textId="1F275B01" w:rsidR="00A818AB" w:rsidRDefault="00A818AB"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Cali, M., &amp; te Velde, D. W. (2011). </w:t>
      </w:r>
      <w:r w:rsidRPr="00A818AB">
        <w:rPr>
          <w:rFonts w:ascii="Times New Roman" w:hAnsi="Times New Roman" w:cs="Times New Roman"/>
        </w:rPr>
        <w:t xml:space="preserve">Does aid for trade really improve trade performance? World Development. </w:t>
      </w:r>
      <w:hyperlink r:id="rId44" w:history="1">
        <w:r w:rsidRPr="00AA45F0">
          <w:rPr>
            <w:rStyle w:val="Hyperlink"/>
            <w:rFonts w:ascii="Times New Roman" w:hAnsi="Times New Roman" w:cs="Times New Roman"/>
          </w:rPr>
          <w:t>https://doi.org/10.1016/j.worlddev.2010.09.018</w:t>
        </w:r>
      </w:hyperlink>
    </w:p>
    <w:p w14:paraId="1EBCCCD5" w14:textId="49EF6F52" w:rsidR="00A818AB" w:rsidRDefault="00A818AB"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Cao, L., Gu, M., Jin, D., &amp; Wang, C. (2023). </w:t>
      </w:r>
      <w:r w:rsidRPr="00A818AB">
        <w:rPr>
          <w:rFonts w:ascii="Times New Roman" w:hAnsi="Times New Roman" w:cs="Times New Roman"/>
        </w:rPr>
        <w:t xml:space="preserve">Geopolitical risk and economic security: Exploring natural resources extraction from BRICS region. Resources Policy, 85, 103800. </w:t>
      </w:r>
      <w:hyperlink r:id="rId45" w:history="1">
        <w:r w:rsidRPr="00AA45F0">
          <w:rPr>
            <w:rStyle w:val="Hyperlink"/>
            <w:rFonts w:ascii="Times New Roman" w:hAnsi="Times New Roman" w:cs="Times New Roman"/>
          </w:rPr>
          <w:t>https://doi.org/10.1016/j.resourpol.2023.103800</w:t>
        </w:r>
      </w:hyperlink>
    </w:p>
    <w:p w14:paraId="2FBC09AB" w14:textId="6625BB8C"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Chang, H.-J. (2002). Kicking away the ladder: Development strategy in historical perspective. Anthem Press. </w:t>
      </w:r>
      <w:hyperlink r:id="rId46" w:history="1">
        <w:r w:rsidRPr="00AA45F0">
          <w:rPr>
            <w:rStyle w:val="Hyperlink"/>
            <w:rFonts w:ascii="Times New Roman" w:hAnsi="Times New Roman" w:cs="Times New Roman"/>
          </w:rPr>
          <w:t>https://www.anthempress.com/kicking-away-the-ladder</w:t>
        </w:r>
      </w:hyperlink>
    </w:p>
    <w:p w14:paraId="4DF42040" w14:textId="153FA8E5"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Chang, H. J., &amp; Lin, J. (2009). Should industrial policy in developing countries conform to comparative advantage or defy it? A debate between Justin Lin and Ha-Joon Chang. Development Policy Review, 27(5), 483-502. </w:t>
      </w:r>
      <w:hyperlink r:id="rId47" w:history="1">
        <w:r w:rsidRPr="00AA45F0">
          <w:rPr>
            <w:rStyle w:val="Hyperlink"/>
            <w:rFonts w:ascii="Times New Roman" w:hAnsi="Times New Roman" w:cs="Times New Roman"/>
          </w:rPr>
          <w:t>https://doi.org/10.1111/j.1467-7679.2009.00456.x</w:t>
        </w:r>
      </w:hyperlink>
    </w:p>
    <w:p w14:paraId="025115C4" w14:textId="7228CAD8"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Cherif, R., &amp; Hasanov, F. (2019). The return of the policy that shall not be named: Principles of industrial policy. IMF Working Paper, 19/74. </w:t>
      </w:r>
      <w:hyperlink r:id="rId48" w:history="1">
        <w:r w:rsidRPr="00AA45F0">
          <w:rPr>
            <w:rStyle w:val="Hyperlink"/>
            <w:rFonts w:ascii="Times New Roman" w:hAnsi="Times New Roman" w:cs="Times New Roman"/>
          </w:rPr>
          <w:t>https://doi.org/10.5089/9781498305402.001</w:t>
        </w:r>
      </w:hyperlink>
    </w:p>
    <w:p w14:paraId="3FD1DC26" w14:textId="594C81A2"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Cherniwchan</w:t>
      </w:r>
      <w:proofErr w:type="spellEnd"/>
      <w:r w:rsidRPr="00A818AB">
        <w:rPr>
          <w:rFonts w:ascii="Times New Roman" w:hAnsi="Times New Roman" w:cs="Times New Roman"/>
        </w:rPr>
        <w:t xml:space="preserve">, J., Copeland, B. R., &amp; Taylor, M. S. (2017). Trade and the environment: New methods, measurements, and results. Annual Review of Economics, 9, 59-85. </w:t>
      </w:r>
      <w:hyperlink r:id="rId49" w:history="1">
        <w:r w:rsidRPr="00AA45F0">
          <w:rPr>
            <w:rStyle w:val="Hyperlink"/>
            <w:rFonts w:ascii="Times New Roman" w:hAnsi="Times New Roman" w:cs="Times New Roman"/>
          </w:rPr>
          <w:t>https://doi.org/10.1146/annurev-economics-063016-103756</w:t>
        </w:r>
      </w:hyperlink>
    </w:p>
    <w:p w14:paraId="7E750ED6" w14:textId="7BC00D1D" w:rsidR="00A818AB" w:rsidRDefault="00A818AB"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Cimoli, M., Dosi, G., &amp; Stiglitz, J. E. (2009). </w:t>
      </w:r>
      <w:r w:rsidRPr="00A818AB">
        <w:rPr>
          <w:rFonts w:ascii="Times New Roman" w:hAnsi="Times New Roman" w:cs="Times New Roman"/>
        </w:rPr>
        <w:t xml:space="preserve">Industrial policy and development: The political economy of capabilities accumulation. Oxford University Press. </w:t>
      </w:r>
      <w:hyperlink r:id="rId50" w:history="1">
        <w:r w:rsidRPr="00AA45F0">
          <w:rPr>
            <w:rStyle w:val="Hyperlink"/>
            <w:rFonts w:ascii="Times New Roman" w:hAnsi="Times New Roman" w:cs="Times New Roman"/>
          </w:rPr>
          <w:t>https://doi.org/10.1093/acprof:oso/9780199235261.001.0001</w:t>
        </w:r>
      </w:hyperlink>
    </w:p>
    <w:p w14:paraId="721B7E2C" w14:textId="73E53138"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Colantone</w:t>
      </w:r>
      <w:proofErr w:type="spellEnd"/>
      <w:r w:rsidRPr="00A818AB">
        <w:rPr>
          <w:rFonts w:ascii="Times New Roman" w:hAnsi="Times New Roman" w:cs="Times New Roman"/>
        </w:rPr>
        <w:t xml:space="preserve">, I., &amp; </w:t>
      </w:r>
      <w:proofErr w:type="spellStart"/>
      <w:r w:rsidRPr="00A818AB">
        <w:rPr>
          <w:rFonts w:ascii="Times New Roman" w:hAnsi="Times New Roman" w:cs="Times New Roman"/>
        </w:rPr>
        <w:t>Stanig</w:t>
      </w:r>
      <w:proofErr w:type="spellEnd"/>
      <w:r w:rsidRPr="00A818AB">
        <w:rPr>
          <w:rFonts w:ascii="Times New Roman" w:hAnsi="Times New Roman" w:cs="Times New Roman"/>
        </w:rPr>
        <w:t xml:space="preserve">, P. (2018). Global competition and Brexit. American Political Science Review, 112(2), 201-218. </w:t>
      </w:r>
      <w:hyperlink r:id="rId51" w:history="1">
        <w:r w:rsidRPr="00AA45F0">
          <w:rPr>
            <w:rStyle w:val="Hyperlink"/>
            <w:rFonts w:ascii="Times New Roman" w:hAnsi="Times New Roman" w:cs="Times New Roman"/>
          </w:rPr>
          <w:t>https://doi.org/10.1017/S0003055417000685</w:t>
        </w:r>
      </w:hyperlink>
    </w:p>
    <w:p w14:paraId="5905204A" w14:textId="28297ED6" w:rsidR="00A818AB" w:rsidRDefault="00A818AB"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Copeland, B. R., &amp; Taylor, M. S. (2004). Trade, growth, and the environment. Journal of Economic Literature, 42(1), 7-71. </w:t>
      </w:r>
      <w:hyperlink r:id="rId52" w:history="1">
        <w:r w:rsidRPr="00AA45F0">
          <w:rPr>
            <w:rStyle w:val="Hyperlink"/>
            <w:rFonts w:ascii="Times New Roman" w:hAnsi="Times New Roman" w:cs="Times New Roman"/>
          </w:rPr>
          <w:t>https://doi.org/10.1257/002205104773558047</w:t>
        </w:r>
      </w:hyperlink>
    </w:p>
    <w:p w14:paraId="7EDCB6E0" w14:textId="0BA02603" w:rsidR="00A818AB" w:rsidRDefault="00A818AB"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Costinot</w:t>
      </w:r>
      <w:proofErr w:type="spellEnd"/>
      <w:r w:rsidRPr="00A818AB">
        <w:rPr>
          <w:rFonts w:ascii="Times New Roman" w:hAnsi="Times New Roman" w:cs="Times New Roman"/>
        </w:rPr>
        <w:t xml:space="preserve">, A., &amp; Donaldson, D. (2012). Ricardo's theory of comparative advantage: Old idea, new evidence. American Economic Review, 102(3), 453-458. </w:t>
      </w:r>
      <w:hyperlink r:id="rId53" w:history="1">
        <w:r w:rsidRPr="00AA45F0">
          <w:rPr>
            <w:rStyle w:val="Hyperlink"/>
            <w:rFonts w:ascii="Times New Roman" w:hAnsi="Times New Roman" w:cs="Times New Roman"/>
          </w:rPr>
          <w:t>https://doi.org/10.1257/aer.102.3.453</w:t>
        </w:r>
      </w:hyperlink>
    </w:p>
    <w:p w14:paraId="0FC9C23A" w14:textId="24BC55CF"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Dallas, M. P., Ponte, S., &amp; Sturgeon, T. J. (2019). Power in Global Value Chains. Review of International Political Economy, 26(4), 666-694. </w:t>
      </w:r>
      <w:hyperlink r:id="rId54" w:history="1">
        <w:r w:rsidRPr="00AA45F0">
          <w:rPr>
            <w:rStyle w:val="Hyperlink"/>
            <w:rFonts w:ascii="Times New Roman" w:hAnsi="Times New Roman" w:cs="Times New Roman"/>
          </w:rPr>
          <w:t>https://doi.org/10.1080/09692290.2019.1608284</w:t>
        </w:r>
      </w:hyperlink>
    </w:p>
    <w:p w14:paraId="7991D6BA" w14:textId="4A13717F" w:rsidR="007909F1" w:rsidRDefault="007909F1"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Dell, M., Jones, B. F., &amp; Olken, B. A. (2014). </w:t>
      </w:r>
      <w:r w:rsidRPr="007909F1">
        <w:rPr>
          <w:rFonts w:ascii="Times New Roman" w:hAnsi="Times New Roman" w:cs="Times New Roman"/>
        </w:rPr>
        <w:t xml:space="preserve">What do we learn from the weather? The new climate-economy literature. Journal of Economic Literature, 52(3), 740-798. </w:t>
      </w:r>
      <w:hyperlink r:id="rId55" w:history="1">
        <w:r w:rsidRPr="00AA45F0">
          <w:rPr>
            <w:rStyle w:val="Hyperlink"/>
            <w:rFonts w:ascii="Times New Roman" w:hAnsi="Times New Roman" w:cs="Times New Roman"/>
          </w:rPr>
          <w:t>https://doi.org/10.1257/jel.52.3.740</w:t>
        </w:r>
      </w:hyperlink>
    </w:p>
    <w:p w14:paraId="56B3835A" w14:textId="726E8A82"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Dorosh, P. A., &amp; Thurlow, J. (2018). Beyond agriculture versus non-agriculture: Decomposing sectoral growth–poverty linkages in five African countries. World Development, 109, 440-451. </w:t>
      </w:r>
      <w:hyperlink r:id="rId56" w:history="1">
        <w:r w:rsidRPr="00AA45F0">
          <w:rPr>
            <w:rStyle w:val="Hyperlink"/>
            <w:rFonts w:ascii="Times New Roman" w:hAnsi="Times New Roman" w:cs="Times New Roman"/>
          </w:rPr>
          <w:t>https://doi.org/10.1016/j.worlddev.2016.08.014</w:t>
        </w:r>
      </w:hyperlink>
    </w:p>
    <w:p w14:paraId="3C33071E" w14:textId="195BC46C"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Edwards, S. (1993). Openness, trade liberalization, and growth in developing countries. Journal of Economic Literature, 31(3), 1358-1393. </w:t>
      </w:r>
      <w:hyperlink r:id="rId57" w:history="1">
        <w:r w:rsidRPr="00AA45F0">
          <w:rPr>
            <w:rStyle w:val="Hyperlink"/>
            <w:rFonts w:ascii="Times New Roman" w:hAnsi="Times New Roman" w:cs="Times New Roman"/>
          </w:rPr>
          <w:t>https://doi.org/10.2307/2728244</w:t>
        </w:r>
      </w:hyperlink>
    </w:p>
    <w:p w14:paraId="27B82D2D" w14:textId="391CE8EC" w:rsidR="007909F1" w:rsidRDefault="007909F1"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lastRenderedPageBreak/>
        <w:t xml:space="preserve">Evenett, S. J., &amp; Fritz, J. (2021). </w:t>
      </w:r>
      <w:r w:rsidRPr="007909F1">
        <w:rPr>
          <w:rFonts w:ascii="Times New Roman" w:hAnsi="Times New Roman" w:cs="Times New Roman"/>
        </w:rPr>
        <w:t xml:space="preserve">Advancing sustainable development with FDI: Why policy must be reset. Global Trade Alert Report (CEPR Press). </w:t>
      </w:r>
      <w:hyperlink r:id="rId58" w:history="1">
        <w:r w:rsidRPr="00AA45F0">
          <w:rPr>
            <w:rStyle w:val="Hyperlink"/>
            <w:rFonts w:ascii="Times New Roman" w:hAnsi="Times New Roman" w:cs="Times New Roman"/>
          </w:rPr>
          <w:t>https://www.globaltradealert.org/reports/27</w:t>
        </w:r>
      </w:hyperlink>
    </w:p>
    <w:p w14:paraId="429D5898" w14:textId="5591CAC1"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Faye, M. L., McArthur, J. W., Sachs, J. D., &amp; Snow, T. (2004). The challenges facing landlocked developing countries. Journal of Human Development, 5(1), 31-68. </w:t>
      </w:r>
      <w:hyperlink r:id="rId59" w:history="1">
        <w:r w:rsidRPr="00AA45F0">
          <w:rPr>
            <w:rStyle w:val="Hyperlink"/>
            <w:rFonts w:ascii="Times New Roman" w:hAnsi="Times New Roman" w:cs="Times New Roman"/>
          </w:rPr>
          <w:t>https://doi.org/10.1080/14649880310001660201</w:t>
        </w:r>
      </w:hyperlink>
    </w:p>
    <w:p w14:paraId="70E2C384" w14:textId="4ADAAFF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Fontana, M. (2016). Gender and the WTO. In </w:t>
      </w:r>
      <w:r w:rsidRPr="00A818AB">
        <w:rPr>
          <w:rFonts w:ascii="Times New Roman" w:hAnsi="Times New Roman" w:cs="Times New Roman"/>
          <w:i/>
          <w:iCs/>
        </w:rPr>
        <w:t>The Oxford Handbook on the World Trade Organization</w:t>
      </w:r>
      <w:r w:rsidRPr="00A818AB">
        <w:rPr>
          <w:rFonts w:ascii="Times New Roman" w:hAnsi="Times New Roman" w:cs="Times New Roman"/>
        </w:rPr>
        <w:t xml:space="preserve"> (pp. 624-644). Oxford University Press.</w:t>
      </w:r>
    </w:p>
    <w:p w14:paraId="493C18FF" w14:textId="06B7057B" w:rsidR="007909F1" w:rsidRDefault="007909F1"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Freund, C., &amp; Pierola, M. D. (2015). </w:t>
      </w:r>
      <w:r w:rsidRPr="007909F1">
        <w:rPr>
          <w:rFonts w:ascii="Times New Roman" w:hAnsi="Times New Roman" w:cs="Times New Roman"/>
        </w:rPr>
        <w:t xml:space="preserve">Export superstars. Review of Economics and Statistics, 97(5), 1023-1032. </w:t>
      </w:r>
      <w:hyperlink r:id="rId60" w:history="1">
        <w:r w:rsidRPr="00AA45F0">
          <w:rPr>
            <w:rStyle w:val="Hyperlink"/>
            <w:rFonts w:ascii="Times New Roman" w:hAnsi="Times New Roman" w:cs="Times New Roman"/>
          </w:rPr>
          <w:t>https://doi.org/10.1162/REST_a_00511</w:t>
        </w:r>
      </w:hyperlink>
    </w:p>
    <w:p w14:paraId="17F343BD" w14:textId="6836BB46" w:rsidR="007909F1" w:rsidRDefault="007909F1"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Fu, X., Pietrobelli, C., &amp; Soete, L. (2011). </w:t>
      </w:r>
      <w:r w:rsidRPr="007909F1">
        <w:rPr>
          <w:rFonts w:ascii="Times New Roman" w:hAnsi="Times New Roman" w:cs="Times New Roman"/>
        </w:rPr>
        <w:t xml:space="preserve">The role of foreign technology and indigenous innovation in the emerging economies: Technological change and catching-up. World Development, 39(7), 1204-1212. </w:t>
      </w:r>
      <w:hyperlink r:id="rId61" w:history="1">
        <w:r w:rsidRPr="00AA45F0">
          <w:rPr>
            <w:rStyle w:val="Hyperlink"/>
            <w:rFonts w:ascii="Times New Roman" w:hAnsi="Times New Roman" w:cs="Times New Roman"/>
          </w:rPr>
          <w:t>https://doi.org/10.1016/j.worlddev.2010.05.009</w:t>
        </w:r>
      </w:hyperlink>
    </w:p>
    <w:p w14:paraId="01A3FC28" w14:textId="08EA6F9E" w:rsidR="007909F1" w:rsidRDefault="007909F1" w:rsidP="00A818AB">
      <w:pPr>
        <w:pStyle w:val="ListParagraph"/>
        <w:numPr>
          <w:ilvl w:val="0"/>
          <w:numId w:val="9"/>
        </w:numPr>
        <w:jc w:val="both"/>
        <w:rPr>
          <w:rFonts w:ascii="Times New Roman" w:hAnsi="Times New Roman" w:cs="Times New Roman"/>
        </w:rPr>
      </w:pPr>
      <w:r w:rsidRPr="007909F1">
        <w:rPr>
          <w:rFonts w:ascii="Times New Roman" w:hAnsi="Times New Roman" w:cs="Times New Roman"/>
        </w:rPr>
        <w:t xml:space="preserve">Gallup, J. L., Sachs, J. D., &amp; Mellinger, A. D. (1999). Geography and economic development. International Regional Science Review, 22(2), 179-232. </w:t>
      </w:r>
      <w:hyperlink r:id="rId62" w:history="1">
        <w:r w:rsidRPr="00AA45F0">
          <w:rPr>
            <w:rStyle w:val="Hyperlink"/>
            <w:rFonts w:ascii="Times New Roman" w:hAnsi="Times New Roman" w:cs="Times New Roman"/>
          </w:rPr>
          <w:t>https://doi.org/10.1177/016001799761012334</w:t>
        </w:r>
      </w:hyperlink>
    </w:p>
    <w:p w14:paraId="2D52F9B4" w14:textId="02FB6EC9" w:rsidR="00D1309C" w:rsidRDefault="00D1309C" w:rsidP="00A818AB">
      <w:pPr>
        <w:pStyle w:val="ListParagraph"/>
        <w:numPr>
          <w:ilvl w:val="0"/>
          <w:numId w:val="9"/>
        </w:numPr>
        <w:jc w:val="both"/>
        <w:rPr>
          <w:rFonts w:ascii="Times New Roman" w:hAnsi="Times New Roman" w:cs="Times New Roman"/>
        </w:rPr>
      </w:pPr>
      <w:proofErr w:type="spellStart"/>
      <w:r w:rsidRPr="00D1309C">
        <w:rPr>
          <w:rFonts w:ascii="Times New Roman" w:hAnsi="Times New Roman" w:cs="Times New Roman"/>
        </w:rPr>
        <w:t>Gebreeyesus</w:t>
      </w:r>
      <w:proofErr w:type="spellEnd"/>
      <w:r w:rsidRPr="00D1309C">
        <w:rPr>
          <w:rFonts w:ascii="Times New Roman" w:hAnsi="Times New Roman" w:cs="Times New Roman"/>
        </w:rPr>
        <w:t xml:space="preserve">, M., &amp; Iizuka, M. (2012). Discovery of flower industry in Ethiopia: Experimentation and coordination. Journal of Globalization and Development, 2(2), 1-27. </w:t>
      </w:r>
      <w:hyperlink r:id="rId63" w:history="1">
        <w:r w:rsidRPr="00AA45F0">
          <w:rPr>
            <w:rStyle w:val="Hyperlink"/>
            <w:rFonts w:ascii="Times New Roman" w:hAnsi="Times New Roman" w:cs="Times New Roman"/>
          </w:rPr>
          <w:t>https://doi.org/10.1515/1948-1837.1103</w:t>
        </w:r>
      </w:hyperlink>
    </w:p>
    <w:p w14:paraId="688196EB" w14:textId="1CC7855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Gelb, A. H. (Ed.). (2010). </w:t>
      </w:r>
      <w:r w:rsidRPr="00A818AB">
        <w:rPr>
          <w:rFonts w:ascii="Times New Roman" w:hAnsi="Times New Roman" w:cs="Times New Roman"/>
          <w:i/>
          <w:iCs/>
        </w:rPr>
        <w:t>Economic diversification and growth in oil-exporting Arab countries</w:t>
      </w:r>
      <w:r w:rsidRPr="00A818AB">
        <w:rPr>
          <w:rFonts w:ascii="Times New Roman" w:hAnsi="Times New Roman" w:cs="Times New Roman"/>
        </w:rPr>
        <w:t>. International Monetary Fund.</w:t>
      </w:r>
    </w:p>
    <w:p w14:paraId="4BE9441D" w14:textId="2382369A"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(1999). International trade and industrial upgrading in the apparel commodity chain. Journal of International Economics, 48(1), 37-70. </w:t>
      </w:r>
      <w:hyperlink r:id="rId64" w:history="1">
        <w:r w:rsidRPr="00AA45F0">
          <w:rPr>
            <w:rStyle w:val="Hyperlink"/>
            <w:rFonts w:ascii="Times New Roman" w:hAnsi="Times New Roman" w:cs="Times New Roman"/>
          </w:rPr>
          <w:t>https://doi.org/10.1016/S0022-1996(98)00075-0</w:t>
        </w:r>
      </w:hyperlink>
    </w:p>
    <w:p w14:paraId="675D29CF" w14:textId="0F76AFBF"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(2005). The global economy: Organization, governance, and development. In N. J. Smelser &amp; R. Swedberg (Eds.), The handbook of economic sociology (2nd ed., pp. 160-182). Princeton University Press. </w:t>
      </w:r>
      <w:hyperlink r:id="rId65" w:history="1">
        <w:r w:rsidRPr="00AA45F0">
          <w:rPr>
            <w:rStyle w:val="Hyperlink"/>
            <w:rFonts w:ascii="Times New Roman" w:hAnsi="Times New Roman" w:cs="Times New Roman"/>
          </w:rPr>
          <w:t>https://doi.org/10.1017/9781108559423.006</w:t>
        </w:r>
      </w:hyperlink>
    </w:p>
    <w:p w14:paraId="6DCBAADD" w14:textId="4608D0A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(2014). Global value chains in a post-Washington Consensus world. Review of International Political Economy, 21(1), 9-37. </w:t>
      </w:r>
      <w:hyperlink r:id="rId66" w:history="1">
        <w:r w:rsidRPr="00AA45F0">
          <w:rPr>
            <w:rStyle w:val="Hyperlink"/>
            <w:rFonts w:ascii="Times New Roman" w:hAnsi="Times New Roman" w:cs="Times New Roman"/>
          </w:rPr>
          <w:t>https://doi.org/10.1080/09692290.2012.756414</w:t>
        </w:r>
      </w:hyperlink>
    </w:p>
    <w:p w14:paraId="7E98D66D" w14:textId="3B4A157F"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Gereffi, G., &amp; Fernandez-Stark, K. (2016). </w:t>
      </w:r>
      <w:r w:rsidRPr="00D1309C">
        <w:rPr>
          <w:rFonts w:ascii="Times New Roman" w:hAnsi="Times New Roman" w:cs="Times New Roman"/>
        </w:rPr>
        <w:t xml:space="preserve">Global Value Chain Analysis: A Primer, 2nd Edition. Duke CGGC. </w:t>
      </w:r>
      <w:hyperlink r:id="rId67" w:history="1">
        <w:r w:rsidRPr="00AA45F0">
          <w:rPr>
            <w:rStyle w:val="Hyperlink"/>
            <w:rFonts w:ascii="Times New Roman" w:hAnsi="Times New Roman" w:cs="Times New Roman"/>
          </w:rPr>
          <w:t>https://hdl.handle.net/10161/12488</w:t>
        </w:r>
      </w:hyperlink>
    </w:p>
    <w:p w14:paraId="6794F4CB" w14:textId="3ABEA239"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Gereffi, G., &amp; Luo, X. (2015). Risks and opportunities of participation in global value chains. Journal of Banking and Financial Economics, 2(4), 51-63. </w:t>
      </w:r>
      <w:hyperlink r:id="rId68" w:history="1">
        <w:r w:rsidRPr="00AA45F0">
          <w:rPr>
            <w:rStyle w:val="Hyperlink"/>
            <w:rFonts w:ascii="Times New Roman" w:hAnsi="Times New Roman" w:cs="Times New Roman"/>
          </w:rPr>
          <w:t>https://doi.org/10.7172/2353-6845.jbfe.2015.2.4</w:t>
        </w:r>
      </w:hyperlink>
    </w:p>
    <w:p w14:paraId="0F0C6515" w14:textId="1E85D9A6"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Giannetti, B. F., Agostinho, F., Eras, J. J. C., Yang, Z., &amp; Almeida, C. M. V. B. (2020). </w:t>
      </w:r>
      <w:r w:rsidRPr="00D1309C">
        <w:rPr>
          <w:rFonts w:ascii="Times New Roman" w:hAnsi="Times New Roman" w:cs="Times New Roman"/>
        </w:rPr>
        <w:t xml:space="preserve">Cleaner Production for Achieving the Sustainable Development Goals. Journal of Cleaner Production, 271, 122127. </w:t>
      </w:r>
      <w:hyperlink r:id="rId69" w:history="1">
        <w:r w:rsidRPr="00AA45F0">
          <w:rPr>
            <w:rStyle w:val="Hyperlink"/>
            <w:rFonts w:ascii="Times New Roman" w:hAnsi="Times New Roman" w:cs="Times New Roman"/>
          </w:rPr>
          <w:t>https://doi.org/10.1016/j.jclepro.2020.122127</w:t>
        </w:r>
      </w:hyperlink>
    </w:p>
    <w:p w14:paraId="09339989" w14:textId="77777777"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Gil-Pareja, S., Llorca-Vivero, R., &amp; Martínez-Serrano, J. A. (2014). Do nonreciprocal preferential trade agreements increase beneficiaries' exports? Journal of Development Economics, 107, 291-304. https://doi.org/10.1016/j.jdeveco.2014.01.002</w:t>
      </w:r>
    </w:p>
    <w:p w14:paraId="4A2AF7FD" w14:textId="1152C4D6"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lastRenderedPageBreak/>
        <w:t xml:space="preserve">Glewwe, P., Maïga, E., &amp; Zheng, H. (2014). </w:t>
      </w:r>
      <w:r w:rsidRPr="00D1309C">
        <w:rPr>
          <w:rFonts w:ascii="Times New Roman" w:hAnsi="Times New Roman" w:cs="Times New Roman"/>
        </w:rPr>
        <w:t xml:space="preserve">The contribution of education to economic growth: A review of the evidence, with special attention and an application to Sub-Saharan Africa. World Development, 59, 379-393. </w:t>
      </w:r>
      <w:hyperlink r:id="rId70" w:history="1">
        <w:r w:rsidRPr="00AA45F0">
          <w:rPr>
            <w:rStyle w:val="Hyperlink"/>
            <w:rFonts w:ascii="Times New Roman" w:hAnsi="Times New Roman" w:cs="Times New Roman"/>
          </w:rPr>
          <w:t>https://doi.org/10.1016/j.worlddev.2014.01.021</w:t>
        </w:r>
      </w:hyperlink>
    </w:p>
    <w:p w14:paraId="6CFC2A95" w14:textId="234F1AA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Goldberg, P. K., &amp; </w:t>
      </w:r>
      <w:proofErr w:type="spellStart"/>
      <w:r w:rsidRPr="00D1309C">
        <w:rPr>
          <w:rFonts w:ascii="Times New Roman" w:hAnsi="Times New Roman" w:cs="Times New Roman"/>
        </w:rPr>
        <w:t>Pavcnik</w:t>
      </w:r>
      <w:proofErr w:type="spellEnd"/>
      <w:r w:rsidRPr="00D1309C">
        <w:rPr>
          <w:rFonts w:ascii="Times New Roman" w:hAnsi="Times New Roman" w:cs="Times New Roman"/>
        </w:rPr>
        <w:t xml:space="preserve">, N. (2007). Distributional effects of globalization in developing countries. Journal of Economic Literature, 45(1), 39-82. </w:t>
      </w:r>
      <w:hyperlink r:id="rId71" w:history="1">
        <w:r w:rsidRPr="00AA45F0">
          <w:rPr>
            <w:rStyle w:val="Hyperlink"/>
            <w:rFonts w:ascii="Times New Roman" w:hAnsi="Times New Roman" w:cs="Times New Roman"/>
          </w:rPr>
          <w:t>https://doi.org/10.1257/jel.45.1.39</w:t>
        </w:r>
      </w:hyperlink>
    </w:p>
    <w:p w14:paraId="2739A794" w14:textId="068665C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Goldberg, P., &amp; Reed, T. (2023). Income distribution and COVID-19: An analysis across US states. </w:t>
      </w:r>
      <w:r w:rsidRPr="00A818AB">
        <w:rPr>
          <w:rFonts w:ascii="Times New Roman" w:hAnsi="Times New Roman" w:cs="Times New Roman"/>
          <w:i/>
          <w:iCs/>
        </w:rPr>
        <w:t>NBER Working Paper</w:t>
      </w:r>
      <w:r w:rsidRPr="00A818AB">
        <w:rPr>
          <w:rFonts w:ascii="Times New Roman" w:hAnsi="Times New Roman" w:cs="Times New Roman"/>
        </w:rPr>
        <w:t>, 30838.</w:t>
      </w:r>
    </w:p>
    <w:p w14:paraId="6ED63A5E" w14:textId="625BB509"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Goldfarb, A., &amp; Tucker, C. (2019). Digital economics. Journal of Economic Literature, 57(1), 3-43. </w:t>
      </w:r>
      <w:hyperlink r:id="rId72" w:history="1">
        <w:r w:rsidRPr="00AA45F0">
          <w:rPr>
            <w:rStyle w:val="Hyperlink"/>
            <w:rFonts w:ascii="Times New Roman" w:hAnsi="Times New Roman" w:cs="Times New Roman"/>
          </w:rPr>
          <w:t>https://doi.org/10.1257/jel.20171452</w:t>
        </w:r>
      </w:hyperlink>
    </w:p>
    <w:p w14:paraId="02634819" w14:textId="7B3F267D" w:rsidR="00D1309C" w:rsidRDefault="00D1309C"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Grossman, G. M., &amp; Krueger, A. B. (1995). </w:t>
      </w:r>
      <w:r w:rsidRPr="00D1309C">
        <w:rPr>
          <w:rFonts w:ascii="Times New Roman" w:hAnsi="Times New Roman" w:cs="Times New Roman"/>
        </w:rPr>
        <w:t xml:space="preserve">Economic growth and the environment. The Quarterly Journal of Economics, 110(2), 353-377. </w:t>
      </w:r>
      <w:hyperlink r:id="rId73" w:history="1">
        <w:r w:rsidRPr="00AA45F0">
          <w:rPr>
            <w:rStyle w:val="Hyperlink"/>
            <w:rFonts w:ascii="Times New Roman" w:hAnsi="Times New Roman" w:cs="Times New Roman"/>
          </w:rPr>
          <w:t>https://doi.org/10.2307/2118443</w:t>
        </w:r>
      </w:hyperlink>
    </w:p>
    <w:p w14:paraId="3D1371DF" w14:textId="1F20CD6D" w:rsidR="00D1309C" w:rsidRP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lang w:val="nn-NO"/>
        </w:rPr>
        <w:t xml:space="preserve">Hallak, J. C., &amp; Sivadasan, J. (2013). </w:t>
      </w:r>
      <w:r w:rsidRPr="00A943C7">
        <w:rPr>
          <w:rFonts w:ascii="Times New Roman" w:hAnsi="Times New Roman" w:cs="Times New Roman"/>
        </w:rPr>
        <w:t xml:space="preserve">Product and process productivity: Implications for quality choice and conditional exporter premia. </w:t>
      </w:r>
      <w:r w:rsidRPr="00D1309C">
        <w:rPr>
          <w:rFonts w:ascii="Times New Roman" w:hAnsi="Times New Roman" w:cs="Times New Roman"/>
          <w:lang w:val="nn-NO"/>
        </w:rPr>
        <w:t xml:space="preserve">Journal of International Economics, 91(1), 53-67. </w:t>
      </w:r>
      <w:r>
        <w:rPr>
          <w:rFonts w:ascii="Times New Roman" w:hAnsi="Times New Roman" w:cs="Times New Roman"/>
          <w:lang w:val="nn-NO"/>
        </w:rPr>
        <w:fldChar w:fldCharType="begin"/>
      </w:r>
      <w:r>
        <w:rPr>
          <w:rFonts w:ascii="Times New Roman" w:hAnsi="Times New Roman" w:cs="Times New Roman"/>
          <w:lang w:val="nn-NO"/>
        </w:rPr>
        <w:instrText>HYPERLINK "</w:instrText>
      </w:r>
      <w:r w:rsidRPr="00D1309C">
        <w:rPr>
          <w:rFonts w:ascii="Times New Roman" w:hAnsi="Times New Roman" w:cs="Times New Roman"/>
          <w:lang w:val="nn-NO"/>
        </w:rPr>
        <w:instrText>https://doi.org/10.1016/j.jinteco.2013.05.001</w:instrText>
      </w:r>
      <w:r>
        <w:rPr>
          <w:rFonts w:ascii="Times New Roman" w:hAnsi="Times New Roman" w:cs="Times New Roman"/>
          <w:lang w:val="nn-NO"/>
        </w:rPr>
        <w:instrText>"</w:instrText>
      </w:r>
      <w:r>
        <w:rPr>
          <w:rFonts w:ascii="Times New Roman" w:hAnsi="Times New Roman" w:cs="Times New Roman"/>
          <w:lang w:val="nn-NO"/>
        </w:rPr>
        <w:fldChar w:fldCharType="separate"/>
      </w:r>
      <w:r w:rsidRPr="00AA45F0">
        <w:rPr>
          <w:rStyle w:val="Hyperlink"/>
          <w:rFonts w:ascii="Times New Roman" w:hAnsi="Times New Roman" w:cs="Times New Roman"/>
          <w:lang w:val="nn-NO"/>
        </w:rPr>
        <w:t>https://doi.org/10.1016/j.jinteco.2013.05.001</w:t>
      </w:r>
      <w:r>
        <w:rPr>
          <w:rFonts w:ascii="Times New Roman" w:hAnsi="Times New Roman" w:cs="Times New Roman"/>
          <w:lang w:val="nn-NO"/>
        </w:rPr>
        <w:fldChar w:fldCharType="end"/>
      </w:r>
    </w:p>
    <w:p w14:paraId="74DABEFC" w14:textId="5CCFA61A" w:rsidR="00D1309C" w:rsidRPr="00D1309C" w:rsidRDefault="00D1309C"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Hanushek, E. A., &amp; Woessmann, L. (2012). </w:t>
      </w:r>
      <w:r w:rsidRPr="00D1309C">
        <w:rPr>
          <w:rFonts w:ascii="Times New Roman" w:hAnsi="Times New Roman" w:cs="Times New Roman"/>
        </w:rPr>
        <w:t xml:space="preserve">Do better schools lead to more growth? Cognitive skills, economic outcomes, and causation. Journal of Economic Growth. </w:t>
      </w:r>
      <w:hyperlink r:id="rId74" w:history="1">
        <w:r w:rsidRPr="00AA45F0">
          <w:rPr>
            <w:rStyle w:val="Hyperlink"/>
            <w:rFonts w:ascii="Times New Roman" w:hAnsi="Times New Roman" w:cs="Times New Roman"/>
          </w:rPr>
          <w:t>https://doi.org/10.1007/s10887-012-9072-</w:t>
        </w:r>
        <w:r w:rsidRPr="00AA45F0">
          <w:rPr>
            <w:rStyle w:val="Hyperlink"/>
            <w:rFonts w:ascii="Times New Roman" w:hAnsi="Times New Roman" w:cs="Times New Roman"/>
            <w:b/>
            <w:bCs/>
          </w:rPr>
          <w:t>5</w:t>
        </w:r>
      </w:hyperlink>
    </w:p>
    <w:p w14:paraId="50372369" w14:textId="4039C8A8" w:rsidR="00D1309C" w:rsidRPr="00D1309C" w:rsidRDefault="00D1309C"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b/>
          <w:bCs/>
          <w:lang w:val="nl-BE"/>
        </w:rPr>
        <w:t xml:space="preserve">Hanushek, E. A., &amp; Woessmann, L. (2020). </w:t>
      </w:r>
      <w:r w:rsidRPr="00D1309C">
        <w:rPr>
          <w:rFonts w:ascii="Times New Roman" w:hAnsi="Times New Roman" w:cs="Times New Roman"/>
          <w:b/>
          <w:bCs/>
        </w:rPr>
        <w:t xml:space="preserve">Education, knowledge capital, and economic growth. In S. Bradley &amp; C. Green (Eds.), The economics of education (2nd ed., pp. 171-182). Academic Press. </w:t>
      </w:r>
      <w:hyperlink r:id="rId75" w:history="1">
        <w:r w:rsidRPr="00AA45F0">
          <w:rPr>
            <w:rStyle w:val="Hyperlink"/>
            <w:rFonts w:ascii="Times New Roman" w:hAnsi="Times New Roman" w:cs="Times New Roman"/>
            <w:b/>
            <w:bCs/>
          </w:rPr>
          <w:t>https://doi.org/10.1016/B978-0-12-815391-8.00014-8</w:t>
        </w:r>
      </w:hyperlink>
    </w:p>
    <w:p w14:paraId="37744C99" w14:textId="1DE3CA7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Harrison, A., &amp; Rodríguez-Clare, A. (2010). Trade, foreign investment, and industrial policy for developing countries. In Handbook of development economics (Vol. 5, pp. 4039-4214). Elsevier. </w:t>
      </w:r>
      <w:hyperlink r:id="rId76" w:history="1">
        <w:r w:rsidRPr="00AA45F0">
          <w:rPr>
            <w:rStyle w:val="Hyperlink"/>
            <w:rFonts w:ascii="Times New Roman" w:hAnsi="Times New Roman" w:cs="Times New Roman"/>
          </w:rPr>
          <w:t>https://doi.org/10.1016/B978-0-444-52944-2.00001-X</w:t>
        </w:r>
      </w:hyperlink>
    </w:p>
    <w:p w14:paraId="09D84C4A" w14:textId="6DEAB79D"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Hausmann, R., Hidalgo, C. A., Bustos, S., Coscia, M., Simoes, A., &amp; Yildirim, M. A. (2014). The atlas of economic complexity: Mapping paths to prosperity. MIT Press. </w:t>
      </w:r>
      <w:hyperlink r:id="rId77" w:history="1">
        <w:r w:rsidRPr="00AA45F0">
          <w:rPr>
            <w:rStyle w:val="Hyperlink"/>
            <w:rFonts w:ascii="Times New Roman" w:hAnsi="Times New Roman" w:cs="Times New Roman"/>
          </w:rPr>
          <w:t>https://doi.org/10.7551/mitpress/9647.001.0001</w:t>
        </w:r>
      </w:hyperlink>
    </w:p>
    <w:p w14:paraId="13B8A59A" w14:textId="5F270227"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Hausmann, R., &amp; Klinger, B. (2007). The structure of the product space and the evolution of comparative advantage. CID Working Papers. </w:t>
      </w:r>
      <w:hyperlink r:id="rId78" w:history="1">
        <w:r w:rsidRPr="00AA45F0">
          <w:rPr>
            <w:rStyle w:val="Hyperlink"/>
            <w:rFonts w:ascii="Times New Roman" w:hAnsi="Times New Roman" w:cs="Times New Roman"/>
          </w:rPr>
          <w:t>https://www.hks.harvard.edu/sites/default/files/centers/cid/files/publications/faculty-working-papers/146.pdf</w:t>
        </w:r>
      </w:hyperlink>
    </w:p>
    <w:p w14:paraId="28DF38C6" w14:textId="1626BAA6"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Heath, R., &amp; Mobarak, A. M. (2015). Manufacturing growth and the lives of Bangladeshi women. Journal of Development Economics, 115, 1-15. </w:t>
      </w:r>
      <w:hyperlink r:id="rId79" w:history="1">
        <w:r w:rsidRPr="00AA45F0">
          <w:rPr>
            <w:rStyle w:val="Hyperlink"/>
            <w:rFonts w:ascii="Times New Roman" w:hAnsi="Times New Roman" w:cs="Times New Roman"/>
          </w:rPr>
          <w:t>https://doi.org/10.1016/j.jdeveco.2015.01.006</w:t>
        </w:r>
      </w:hyperlink>
    </w:p>
    <w:p w14:paraId="493958AD" w14:textId="63E78739"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Helpman, E., &amp; Krugman, P. R. (1985). </w:t>
      </w:r>
      <w:r w:rsidRPr="00D1309C">
        <w:rPr>
          <w:rFonts w:ascii="Times New Roman" w:hAnsi="Times New Roman" w:cs="Times New Roman"/>
        </w:rPr>
        <w:t xml:space="preserve">Market structure and foreign trade: Increasing returns, imperfect competition, and the international economy. MIT press. </w:t>
      </w:r>
      <w:hyperlink r:id="rId80" w:history="1">
        <w:r w:rsidRPr="00AA45F0">
          <w:rPr>
            <w:rStyle w:val="Hyperlink"/>
            <w:rFonts w:ascii="Times New Roman" w:hAnsi="Times New Roman" w:cs="Times New Roman"/>
          </w:rPr>
          <w:t>https://mitpress.mit.edu/</w:t>
        </w:r>
      </w:hyperlink>
    </w:p>
    <w:p w14:paraId="794915D2" w14:textId="60515830"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Hidalgo, C. A., &amp; Hausmann, R. (2009). </w:t>
      </w:r>
      <w:r w:rsidRPr="00D1309C">
        <w:rPr>
          <w:rFonts w:ascii="Times New Roman" w:hAnsi="Times New Roman" w:cs="Times New Roman"/>
        </w:rPr>
        <w:t xml:space="preserve">The building blocks of economic complexity. Proceedings of the National Academy of Sciences, 106(26), 10570-10575. </w:t>
      </w:r>
      <w:hyperlink r:id="rId81" w:history="1">
        <w:r w:rsidRPr="00AA45F0">
          <w:rPr>
            <w:rStyle w:val="Hyperlink"/>
            <w:rFonts w:ascii="Times New Roman" w:hAnsi="Times New Roman" w:cs="Times New Roman"/>
          </w:rPr>
          <w:t>https://doi.org/10.1073/pnas.0900943106</w:t>
        </w:r>
      </w:hyperlink>
    </w:p>
    <w:p w14:paraId="297FDAC3" w14:textId="0A43AA63"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lastRenderedPageBreak/>
        <w:t xml:space="preserve">Hidalgo, C. A., Klinger, B., Barabási, A. L., &amp; Hausmann, R. (2007). </w:t>
      </w:r>
      <w:r w:rsidRPr="00D1309C">
        <w:rPr>
          <w:rFonts w:ascii="Times New Roman" w:hAnsi="Times New Roman" w:cs="Times New Roman"/>
        </w:rPr>
        <w:t xml:space="preserve">The product space conditions the development of nations. Science, 317(5837), 482-487. </w:t>
      </w:r>
      <w:hyperlink r:id="rId82" w:history="1">
        <w:r w:rsidRPr="00AA45F0">
          <w:rPr>
            <w:rStyle w:val="Hyperlink"/>
            <w:rFonts w:ascii="Times New Roman" w:hAnsi="Times New Roman" w:cs="Times New Roman"/>
          </w:rPr>
          <w:t>https://doi.org/10.1126/science.1144581</w:t>
        </w:r>
      </w:hyperlink>
      <w:r>
        <w:rPr>
          <w:rFonts w:ascii="Times New Roman" w:hAnsi="Times New Roman" w:cs="Times New Roman"/>
        </w:rPr>
        <w:t>.</w:t>
      </w:r>
    </w:p>
    <w:p w14:paraId="4BF60B22" w14:textId="42AF00EA" w:rsidR="00D1309C" w:rsidRDefault="00D1309C" w:rsidP="00A818AB">
      <w:pPr>
        <w:pStyle w:val="ListParagraph"/>
        <w:numPr>
          <w:ilvl w:val="0"/>
          <w:numId w:val="9"/>
        </w:numPr>
        <w:jc w:val="both"/>
        <w:rPr>
          <w:rFonts w:ascii="Times New Roman" w:hAnsi="Times New Roman" w:cs="Times New Roman"/>
        </w:rPr>
      </w:pPr>
      <w:r w:rsidRPr="00A943C7">
        <w:rPr>
          <w:rFonts w:ascii="Times New Roman" w:hAnsi="Times New Roman" w:cs="Times New Roman"/>
          <w:lang w:val="nn-NO"/>
        </w:rPr>
        <w:t xml:space="preserve">Hoekman, B. M., &amp; Kostecki, M. M. (2009). </w:t>
      </w:r>
      <w:r w:rsidRPr="00D1309C">
        <w:rPr>
          <w:rFonts w:ascii="Times New Roman" w:hAnsi="Times New Roman" w:cs="Times New Roman"/>
        </w:rPr>
        <w:t xml:space="preserve">The political economy of the world trading system: The WTO and beyond. Oxford University Press. </w:t>
      </w:r>
      <w:hyperlink r:id="rId83" w:history="1">
        <w:r w:rsidRPr="00AA45F0">
          <w:rPr>
            <w:rStyle w:val="Hyperlink"/>
            <w:rFonts w:ascii="Times New Roman" w:hAnsi="Times New Roman" w:cs="Times New Roman"/>
          </w:rPr>
          <w:t>https://global.oup.com/academic/product/the-political-economy-of-the-world-trading-system-9780199553778?cc=us&amp;lang=en&amp;</w:t>
        </w:r>
      </w:hyperlink>
      <w:r>
        <w:rPr>
          <w:rFonts w:ascii="Times New Roman" w:hAnsi="Times New Roman" w:cs="Times New Roman"/>
        </w:rPr>
        <w:t>.</w:t>
      </w:r>
    </w:p>
    <w:p w14:paraId="5F4AC00C" w14:textId="6A488E1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Humphrey, J., &amp; Schmitz, H. (2002). How does insertion in global value chains affect upgrading in industrial clusters? Regional Studies, 36(9), 1017-1027. </w:t>
      </w:r>
      <w:hyperlink r:id="rId84" w:history="1">
        <w:r w:rsidRPr="00AA45F0">
          <w:rPr>
            <w:rStyle w:val="Hyperlink"/>
            <w:rFonts w:ascii="Times New Roman" w:hAnsi="Times New Roman" w:cs="Times New Roman"/>
          </w:rPr>
          <w:t>https://doi.org/10.1080/0034340022000022198</w:t>
        </w:r>
      </w:hyperlink>
      <w:r>
        <w:rPr>
          <w:rFonts w:ascii="Times New Roman" w:hAnsi="Times New Roman" w:cs="Times New Roman"/>
        </w:rPr>
        <w:t>.</w:t>
      </w:r>
    </w:p>
    <w:p w14:paraId="7EADAB98" w14:textId="46B41660"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Hutchison, C. (2006). Does TRIPS facilitate or impede climate change technology transfer into developing countries? University of Ottawa Law &amp; Technology Journal, 3(1), 517-537. </w:t>
      </w:r>
      <w:hyperlink r:id="rId85" w:history="1">
        <w:r w:rsidRPr="00AA45F0">
          <w:rPr>
            <w:rStyle w:val="Hyperlink"/>
            <w:rFonts w:ascii="Times New Roman" w:hAnsi="Times New Roman" w:cs="Times New Roman"/>
          </w:rPr>
          <w:t>http://www.uoltj.ca/articles/vol3.2/2006.3.2.uoltj.Hutchison.517-537.pdf</w:t>
        </w:r>
      </w:hyperlink>
    </w:p>
    <w:p w14:paraId="32CD5D60" w14:textId="030F84AD"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International Energy Agency. (2021). Net Zero by 2050: A Roadmap for the Global Energy Sector. IEA. </w:t>
      </w:r>
      <w:hyperlink r:id="rId86" w:history="1">
        <w:r w:rsidRPr="00AA45F0">
          <w:rPr>
            <w:rStyle w:val="Hyperlink"/>
            <w:rFonts w:ascii="Times New Roman" w:hAnsi="Times New Roman" w:cs="Times New Roman"/>
          </w:rPr>
          <w:t>https://www.iea.org/reports/net-zero-by-2050</w:t>
        </w:r>
      </w:hyperlink>
    </w:p>
    <w:p w14:paraId="7AC019AB" w14:textId="6067FE5F"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International </w:t>
      </w:r>
      <w:proofErr w:type="spellStart"/>
      <w:r w:rsidRPr="00D1309C">
        <w:rPr>
          <w:rFonts w:ascii="Times New Roman" w:hAnsi="Times New Roman" w:cs="Times New Roman"/>
        </w:rPr>
        <w:t>Labour</w:t>
      </w:r>
      <w:proofErr w:type="spellEnd"/>
      <w:r w:rsidRPr="00D1309C">
        <w:rPr>
          <w:rFonts w:ascii="Times New Roman" w:hAnsi="Times New Roman" w:cs="Times New Roman"/>
        </w:rPr>
        <w:t xml:space="preserve"> Organization. (2020). Global Employment Trends for Youth 2020: Technology and the future of jobs. Geneva: ILO. </w:t>
      </w:r>
      <w:hyperlink r:id="rId87" w:history="1">
        <w:r w:rsidRPr="00AA45F0">
          <w:rPr>
            <w:rStyle w:val="Hyperlink"/>
            <w:rFonts w:ascii="Times New Roman" w:hAnsi="Times New Roman" w:cs="Times New Roman"/>
          </w:rPr>
          <w:t>https://www.ilo.org/global/publications/books/WCMS_737675/lang--en/index.htm</w:t>
        </w:r>
      </w:hyperlink>
    </w:p>
    <w:p w14:paraId="0B6E440A" w14:textId="7B14E21C"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International Trade Centre. (2020). SME Competitiveness Outlook 2020: COVID-19: The Great Lockdown and its Impact on Small Business. ITC. </w:t>
      </w:r>
      <w:hyperlink r:id="rId88" w:history="1">
        <w:r w:rsidRPr="00AA45F0">
          <w:rPr>
            <w:rStyle w:val="Hyperlink"/>
            <w:rFonts w:ascii="Times New Roman" w:hAnsi="Times New Roman" w:cs="Times New Roman"/>
          </w:rPr>
          <w:t>https://www.intracen.org/uploadedFiles/intracenorg/Content/Publications/ITCSMECO2020.pdf</w:t>
        </w:r>
      </w:hyperlink>
    </w:p>
    <w:p w14:paraId="4CE86663" w14:textId="29E04DC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Jakob, M., Chen, C., Fuss, S., Marxen, A., Rao, N. D., &amp; Edenhofer, O. (2016). Carbon pricing revenues could close infrastructure access gaps. World Development, 84, 254-265. </w:t>
      </w:r>
      <w:hyperlink r:id="rId89" w:history="1">
        <w:r w:rsidRPr="00AA45F0">
          <w:rPr>
            <w:rStyle w:val="Hyperlink"/>
            <w:rFonts w:ascii="Times New Roman" w:hAnsi="Times New Roman" w:cs="Times New Roman"/>
          </w:rPr>
          <w:t>https://doi.org/10.1016/j.worlddev.2016.03.001</w:t>
        </w:r>
      </w:hyperlink>
    </w:p>
    <w:p w14:paraId="6A6D2EEE" w14:textId="377716A9" w:rsidR="00D1309C" w:rsidRDefault="00D1309C" w:rsidP="00A818AB">
      <w:pPr>
        <w:pStyle w:val="ListParagraph"/>
        <w:numPr>
          <w:ilvl w:val="0"/>
          <w:numId w:val="9"/>
        </w:numPr>
        <w:jc w:val="both"/>
        <w:rPr>
          <w:rFonts w:ascii="Times New Roman" w:hAnsi="Times New Roman" w:cs="Times New Roman"/>
        </w:rPr>
      </w:pPr>
      <w:proofErr w:type="spellStart"/>
      <w:r w:rsidRPr="00D1309C">
        <w:rPr>
          <w:rFonts w:ascii="Times New Roman" w:hAnsi="Times New Roman" w:cs="Times New Roman"/>
        </w:rPr>
        <w:t>Javorcik</w:t>
      </w:r>
      <w:proofErr w:type="spellEnd"/>
      <w:r w:rsidRPr="00D1309C">
        <w:rPr>
          <w:rFonts w:ascii="Times New Roman" w:hAnsi="Times New Roman" w:cs="Times New Roman"/>
        </w:rPr>
        <w:t xml:space="preserve">, B. S. (2020). Global supply chains will not be the same in the post-COVID-19 world. In R. Baldwin &amp; S. </w:t>
      </w:r>
      <w:proofErr w:type="spellStart"/>
      <w:r w:rsidRPr="00D1309C">
        <w:rPr>
          <w:rFonts w:ascii="Times New Roman" w:hAnsi="Times New Roman" w:cs="Times New Roman"/>
        </w:rPr>
        <w:t>Evenett</w:t>
      </w:r>
      <w:proofErr w:type="spellEnd"/>
      <w:r w:rsidRPr="00D1309C">
        <w:rPr>
          <w:rFonts w:ascii="Times New Roman" w:hAnsi="Times New Roman" w:cs="Times New Roman"/>
        </w:rPr>
        <w:t xml:space="preserve"> (Eds.), COVID-19 and trade policy: Why turning inward won't work (pp. 111-116). CEPR Press. </w:t>
      </w:r>
      <w:hyperlink r:id="rId90" w:history="1">
        <w:r w:rsidRPr="00AA45F0">
          <w:rPr>
            <w:rStyle w:val="Hyperlink"/>
            <w:rFonts w:ascii="Times New Roman" w:hAnsi="Times New Roman" w:cs="Times New Roman"/>
          </w:rPr>
          <w:t>https://www.economics.ox.ac.uk/materials/papers/16000/global-supply-chains-will-not-be-the-same-in-the-post-covid-19-world.pdf</w:t>
        </w:r>
      </w:hyperlink>
    </w:p>
    <w:p w14:paraId="1139D897" w14:textId="0EE8AC3C"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Jawara, F., &amp; Kwa, A. (2004). Behind the scenes at the WTO: The real world of international trade negotiations: Lessons of Cancun. Zed Books. </w:t>
      </w:r>
      <w:hyperlink r:id="rId91" w:history="1">
        <w:r w:rsidRPr="00AA45F0">
          <w:rPr>
            <w:rStyle w:val="Hyperlink"/>
            <w:rFonts w:ascii="Times New Roman" w:hAnsi="Times New Roman" w:cs="Times New Roman"/>
          </w:rPr>
          <w:t>https://www.bloomsbury.com/uk/behind-the-scenes-at-the-wto-9781842775332/</w:t>
        </w:r>
      </w:hyperlink>
    </w:p>
    <w:p w14:paraId="08E65645" w14:textId="0735E99E"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Kabeer, N., &amp; Mahmud, S. (2004). Globalization, gender and poverty: Bangladeshi women workers in export and local markets. Journal of International Development, 16(1), 93-109. </w:t>
      </w:r>
      <w:hyperlink r:id="rId92" w:history="1">
        <w:r w:rsidRPr="00AA45F0">
          <w:rPr>
            <w:rStyle w:val="Hyperlink"/>
            <w:rFonts w:ascii="Times New Roman" w:hAnsi="Times New Roman" w:cs="Times New Roman"/>
          </w:rPr>
          <w:t>https://doi.org/10.1002/jid.1065</w:t>
        </w:r>
      </w:hyperlink>
    </w:p>
    <w:p w14:paraId="6B79B20E" w14:textId="2A0DD8EB" w:rsidR="00D1309C" w:rsidRDefault="00D1309C" w:rsidP="00A818AB">
      <w:pPr>
        <w:pStyle w:val="ListParagraph"/>
        <w:numPr>
          <w:ilvl w:val="0"/>
          <w:numId w:val="9"/>
        </w:numPr>
        <w:jc w:val="both"/>
        <w:rPr>
          <w:rFonts w:ascii="Times New Roman" w:hAnsi="Times New Roman" w:cs="Times New Roman"/>
        </w:rPr>
      </w:pPr>
      <w:r w:rsidRPr="00D1309C">
        <w:rPr>
          <w:rFonts w:ascii="Times New Roman" w:hAnsi="Times New Roman" w:cs="Times New Roman"/>
        </w:rPr>
        <w:t xml:space="preserve">Kaplinsky, R. (2000). </w:t>
      </w:r>
      <w:proofErr w:type="spellStart"/>
      <w:r w:rsidRPr="00D1309C">
        <w:rPr>
          <w:rFonts w:ascii="Times New Roman" w:hAnsi="Times New Roman" w:cs="Times New Roman"/>
        </w:rPr>
        <w:t>Globalisation</w:t>
      </w:r>
      <w:proofErr w:type="spellEnd"/>
      <w:r w:rsidRPr="00D1309C">
        <w:rPr>
          <w:rFonts w:ascii="Times New Roman" w:hAnsi="Times New Roman" w:cs="Times New Roman"/>
        </w:rPr>
        <w:t xml:space="preserve"> and </w:t>
      </w:r>
      <w:proofErr w:type="spellStart"/>
      <w:r w:rsidRPr="00D1309C">
        <w:rPr>
          <w:rFonts w:ascii="Times New Roman" w:hAnsi="Times New Roman" w:cs="Times New Roman"/>
        </w:rPr>
        <w:t>unequalisation</w:t>
      </w:r>
      <w:proofErr w:type="spellEnd"/>
      <w:r w:rsidRPr="00D1309C">
        <w:rPr>
          <w:rFonts w:ascii="Times New Roman" w:hAnsi="Times New Roman" w:cs="Times New Roman"/>
        </w:rPr>
        <w:t xml:space="preserve">: What can be learned from value chain analysis? Journal of Development Studies, 37(2), 117-146. </w:t>
      </w:r>
      <w:hyperlink r:id="rId93" w:history="1">
        <w:r w:rsidRPr="00AA45F0">
          <w:rPr>
            <w:rStyle w:val="Hyperlink"/>
            <w:rFonts w:ascii="Times New Roman" w:hAnsi="Times New Roman" w:cs="Times New Roman"/>
          </w:rPr>
          <w:t>https://doi.org/10.1080/713600071</w:t>
        </w:r>
      </w:hyperlink>
    </w:p>
    <w:p w14:paraId="26F70DE5" w14:textId="3C070A30"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Krueger, A. O. (1997). Trade policy and economic development: How we learn. American Economic Review, 87(1), 1-22. </w:t>
      </w:r>
      <w:hyperlink r:id="rId94" w:history="1">
        <w:r w:rsidRPr="00AA45F0">
          <w:rPr>
            <w:rStyle w:val="Hyperlink"/>
            <w:rFonts w:ascii="Times New Roman" w:hAnsi="Times New Roman" w:cs="Times New Roman"/>
          </w:rPr>
          <w:t>http://links.jstor.org/sici?sici=0002-</w:t>
        </w:r>
        <w:r w:rsidRPr="00AA45F0">
          <w:rPr>
            <w:rStyle w:val="Hyperlink"/>
            <w:rFonts w:ascii="Times New Roman" w:hAnsi="Times New Roman" w:cs="Times New Roman"/>
          </w:rPr>
          <w:lastRenderedPageBreak/>
          <w:t>8282%28199703%2987%3A1%3C1%3ATPAEDH%3E2.0.CO%3B2-L&amp;origin=repec</w:t>
        </w:r>
      </w:hyperlink>
    </w:p>
    <w:p w14:paraId="358DE2E4" w14:textId="42419C29"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Krugman, P. R. (1979). Increasing returns, monopolistic competition, and international trade. Journal of International Economics, 9(4), 469-479. </w:t>
      </w:r>
      <w:hyperlink r:id="rId95" w:history="1">
        <w:r w:rsidRPr="00AA45F0">
          <w:rPr>
            <w:rStyle w:val="Hyperlink"/>
            <w:rFonts w:ascii="Times New Roman" w:hAnsi="Times New Roman" w:cs="Times New Roman"/>
          </w:rPr>
          <w:t>https://doi.org/10.1016/0022-1996(79)90017-5</w:t>
        </w:r>
      </w:hyperlink>
    </w:p>
    <w:p w14:paraId="141F68CA" w14:textId="169748AD"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Krugman, P. (1980). Scale economies, product differentiation, and the pattern of trade. American Economic Review, 70(5), 950-959. </w:t>
      </w:r>
      <w:hyperlink r:id="rId96" w:history="1">
        <w:r w:rsidRPr="00AA45F0">
          <w:rPr>
            <w:rStyle w:val="Hyperlink"/>
            <w:rFonts w:ascii="Times New Roman" w:hAnsi="Times New Roman" w:cs="Times New Roman"/>
          </w:rPr>
          <w:t>http://links.jstor.org/sici?sici=0002-8282%28198012%2970%3A5%3C950%3ASEPDAT%3E2.0.CO%3B2-H</w:t>
        </w:r>
      </w:hyperlink>
    </w:p>
    <w:p w14:paraId="46FBD739" w14:textId="7D29375C" w:rsidR="007E6A9F" w:rsidRDefault="007E6A9F" w:rsidP="00A818AB">
      <w:pPr>
        <w:pStyle w:val="ListParagraph"/>
        <w:numPr>
          <w:ilvl w:val="0"/>
          <w:numId w:val="9"/>
        </w:numPr>
        <w:jc w:val="both"/>
        <w:rPr>
          <w:rFonts w:ascii="Times New Roman" w:hAnsi="Times New Roman" w:cs="Times New Roman"/>
        </w:rPr>
      </w:pPr>
      <w:r w:rsidRPr="001760B2">
        <w:rPr>
          <w:rFonts w:ascii="Times New Roman" w:hAnsi="Times New Roman" w:cs="Times New Roman"/>
          <w:lang w:val="nn-NO"/>
        </w:rPr>
        <w:t xml:space="preserve">Krugman, P. R., Obstfeld, M., &amp; Melitz, M. J. (2022). </w:t>
      </w:r>
      <w:r w:rsidRPr="007E6A9F">
        <w:rPr>
          <w:rFonts w:ascii="Times New Roman" w:hAnsi="Times New Roman" w:cs="Times New Roman"/>
        </w:rPr>
        <w:t xml:space="preserve">International economics: Theory and policy (12th ed.). Pearson. </w:t>
      </w:r>
      <w:hyperlink r:id="rId97" w:history="1">
        <w:r w:rsidRPr="00A943C7">
          <w:t>https://www.pearson.com/us/higher-education/program/Krugman-International-Economics-Theory-and-Policy-12th-Edition/PGM266000.html</w:t>
        </w:r>
      </w:hyperlink>
    </w:p>
    <w:p w14:paraId="7C43A8AF" w14:textId="6A45C0BD" w:rsidR="007E6A9F" w:rsidRDefault="007E6A9F" w:rsidP="00A818AB">
      <w:pPr>
        <w:pStyle w:val="ListParagraph"/>
        <w:numPr>
          <w:ilvl w:val="0"/>
          <w:numId w:val="9"/>
        </w:numPr>
        <w:jc w:val="both"/>
        <w:rPr>
          <w:rFonts w:ascii="Times New Roman" w:hAnsi="Times New Roman" w:cs="Times New Roman"/>
        </w:rPr>
      </w:pPr>
      <w:r w:rsidRPr="001760B2">
        <w:rPr>
          <w:rFonts w:ascii="Times New Roman" w:hAnsi="Times New Roman" w:cs="Times New Roman"/>
          <w:lang w:val="nn-NO"/>
        </w:rPr>
        <w:t xml:space="preserve">Lederman, D., Olarreaga, M., &amp; Zavala, L. (2016). </w:t>
      </w:r>
      <w:r w:rsidRPr="007E6A9F">
        <w:rPr>
          <w:rFonts w:ascii="Times New Roman" w:hAnsi="Times New Roman" w:cs="Times New Roman"/>
        </w:rPr>
        <w:t xml:space="preserve">Export promotion and firm entry into and survival in export markets. Canadian Journal of Development Studies/Revue </w:t>
      </w:r>
      <w:proofErr w:type="spellStart"/>
      <w:r w:rsidRPr="007E6A9F">
        <w:rPr>
          <w:rFonts w:ascii="Times New Roman" w:hAnsi="Times New Roman" w:cs="Times New Roman"/>
        </w:rPr>
        <w:t>Canadienne</w:t>
      </w:r>
      <w:proofErr w:type="spellEnd"/>
      <w:r w:rsidRPr="007E6A9F">
        <w:rPr>
          <w:rFonts w:ascii="Times New Roman" w:hAnsi="Times New Roman" w:cs="Times New Roman"/>
        </w:rPr>
        <w:t xml:space="preserve"> </w:t>
      </w:r>
      <w:proofErr w:type="spellStart"/>
      <w:r w:rsidRPr="007E6A9F">
        <w:rPr>
          <w:rFonts w:ascii="Times New Roman" w:hAnsi="Times New Roman" w:cs="Times New Roman"/>
        </w:rPr>
        <w:t>D'études</w:t>
      </w:r>
      <w:proofErr w:type="spellEnd"/>
      <w:r w:rsidRPr="007E6A9F">
        <w:rPr>
          <w:rFonts w:ascii="Times New Roman" w:hAnsi="Times New Roman" w:cs="Times New Roman"/>
        </w:rPr>
        <w:t xml:space="preserve"> du </w:t>
      </w:r>
      <w:proofErr w:type="spellStart"/>
      <w:r w:rsidRPr="007E6A9F">
        <w:rPr>
          <w:rFonts w:ascii="Times New Roman" w:hAnsi="Times New Roman" w:cs="Times New Roman"/>
        </w:rPr>
        <w:t>Développement</w:t>
      </w:r>
      <w:proofErr w:type="spellEnd"/>
      <w:r w:rsidRPr="007E6A9F">
        <w:rPr>
          <w:rFonts w:ascii="Times New Roman" w:hAnsi="Times New Roman" w:cs="Times New Roman"/>
        </w:rPr>
        <w:t xml:space="preserve">, 37(2), 142–158. </w:t>
      </w:r>
      <w:hyperlink r:id="rId98" w:history="1">
        <w:r w:rsidRPr="00A943C7">
          <w:t>https://doi.org/10.1080/02255189.2016.1131671</w:t>
        </w:r>
      </w:hyperlink>
    </w:p>
    <w:p w14:paraId="0C9EB80C" w14:textId="33FDFBD1" w:rsidR="007E6A9F" w:rsidRDefault="007E6A9F" w:rsidP="00A818AB">
      <w:pPr>
        <w:pStyle w:val="ListParagraph"/>
        <w:numPr>
          <w:ilvl w:val="0"/>
          <w:numId w:val="9"/>
        </w:numPr>
        <w:jc w:val="both"/>
        <w:rPr>
          <w:rFonts w:ascii="Times New Roman" w:hAnsi="Times New Roman" w:cs="Times New Roman"/>
        </w:rPr>
      </w:pPr>
      <w:r w:rsidRPr="007E6A9F">
        <w:rPr>
          <w:rFonts w:ascii="Times New Roman" w:hAnsi="Times New Roman" w:cs="Times New Roman"/>
        </w:rPr>
        <w:t xml:space="preserve">Lee, K. (2013). Schumpeterian analysis of economic catch-up: Knowledge, path-creation, and the middle-income trap. Cambridge University Press. </w:t>
      </w:r>
      <w:hyperlink r:id="rId99" w:history="1">
        <w:r w:rsidRPr="00A943C7">
          <w:t>https://doi.org/10.1017/CBO9781107337244</w:t>
        </w:r>
      </w:hyperlink>
    </w:p>
    <w:p w14:paraId="60C4500A" w14:textId="0B31BDF8"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Lema, A., &amp; Lema, R. (2012). Technology transfer? The rise of China and India in green technology sectors. </w:t>
      </w:r>
      <w:r w:rsidRPr="00A943C7">
        <w:rPr>
          <w:rFonts w:ascii="Times New Roman" w:hAnsi="Times New Roman" w:cs="Times New Roman"/>
        </w:rPr>
        <w:t>Innovation and Development</w:t>
      </w:r>
      <w:r w:rsidRPr="00A818AB">
        <w:rPr>
          <w:rFonts w:ascii="Times New Roman" w:hAnsi="Times New Roman" w:cs="Times New Roman"/>
        </w:rPr>
        <w:t>, 2(1), 23-44.</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0" w:history="1">
        <w:r w:rsidR="007E6A9F" w:rsidRPr="00A943C7">
          <w:rPr>
            <w:rFonts w:ascii="Times New Roman" w:hAnsi="Times New Roman" w:cs="Times New Roman"/>
          </w:rPr>
          <w:t>10.1080/2157930X.2012.667206</w:t>
        </w:r>
      </w:hyperlink>
    </w:p>
    <w:p w14:paraId="663F7EE6" w14:textId="34EF96C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Levinson, A. (2009). Technology, international trade, and pollution from US manufacturing. </w:t>
      </w:r>
      <w:r w:rsidRPr="00A943C7">
        <w:rPr>
          <w:rFonts w:ascii="Times New Roman" w:hAnsi="Times New Roman" w:cs="Times New Roman"/>
        </w:rPr>
        <w:t>American Economic Review</w:t>
      </w:r>
      <w:r w:rsidRPr="00A818AB">
        <w:rPr>
          <w:rFonts w:ascii="Times New Roman" w:hAnsi="Times New Roman" w:cs="Times New Roman"/>
        </w:rPr>
        <w:t>, 99(5), 2177-2192.</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1" w:history="1">
        <w:r w:rsidR="007E6A9F" w:rsidRPr="00A943C7">
          <w:rPr>
            <w:rFonts w:ascii="Times New Roman" w:hAnsi="Times New Roman" w:cs="Times New Roman"/>
          </w:rPr>
          <w:t>10.1257/aer.99.5.2177</w:t>
        </w:r>
      </w:hyperlink>
    </w:p>
    <w:p w14:paraId="2CF433A5" w14:textId="49DB91F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Lewis, J. I. (2014). The rise of renewable energy protectionism: Emerging trade conflicts and implications for low carbon development. </w:t>
      </w:r>
      <w:r w:rsidRPr="00A943C7">
        <w:rPr>
          <w:rFonts w:ascii="Times New Roman" w:hAnsi="Times New Roman" w:cs="Times New Roman"/>
        </w:rPr>
        <w:t>Global Environmental Politics</w:t>
      </w:r>
      <w:r w:rsidRPr="00A818AB">
        <w:rPr>
          <w:rFonts w:ascii="Times New Roman" w:hAnsi="Times New Roman" w:cs="Times New Roman"/>
        </w:rPr>
        <w:t>, 14(4), 10-35.</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2" w:history="1">
        <w:r w:rsidR="007E6A9F" w:rsidRPr="00A943C7">
          <w:rPr>
            <w:rFonts w:ascii="Times New Roman" w:hAnsi="Times New Roman" w:cs="Times New Roman"/>
          </w:rPr>
          <w:t>10.1162/GLEP_a_00255</w:t>
        </w:r>
      </w:hyperlink>
    </w:p>
    <w:p w14:paraId="2F6DFE9C" w14:textId="144B92D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Lin, J. Y., &amp; Monga, C. (2011). Growth identification and facilitation: The role of the state in the dynamics of structural change. </w:t>
      </w:r>
      <w:r w:rsidRPr="00A943C7">
        <w:rPr>
          <w:rFonts w:ascii="Times New Roman" w:hAnsi="Times New Roman" w:cs="Times New Roman"/>
        </w:rPr>
        <w:t>Development Policy Review</w:t>
      </w:r>
      <w:r w:rsidRPr="00A818AB">
        <w:rPr>
          <w:rFonts w:ascii="Times New Roman" w:hAnsi="Times New Roman" w:cs="Times New Roman"/>
        </w:rPr>
        <w:t>, 29(3), 259-310.</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3" w:history="1">
        <w:r w:rsidR="007E6A9F" w:rsidRPr="00A943C7">
          <w:rPr>
            <w:rFonts w:ascii="Times New Roman" w:hAnsi="Times New Roman" w:cs="Times New Roman"/>
          </w:rPr>
          <w:t>10.1111/j.1467-7679.2011.00534.x</w:t>
        </w:r>
      </w:hyperlink>
    </w:p>
    <w:p w14:paraId="29CD6CF5" w14:textId="77777777" w:rsidR="00162976" w:rsidRPr="00A818AB" w:rsidRDefault="00162976" w:rsidP="00A818AB">
      <w:pPr>
        <w:pStyle w:val="ListParagraph"/>
        <w:numPr>
          <w:ilvl w:val="0"/>
          <w:numId w:val="9"/>
        </w:numPr>
        <w:jc w:val="both"/>
        <w:rPr>
          <w:rFonts w:ascii="Times New Roman" w:hAnsi="Times New Roman" w:cs="Times New Roman"/>
        </w:rPr>
      </w:pPr>
      <w:r w:rsidRPr="00A64C26">
        <w:rPr>
          <w:rFonts w:ascii="Times New Roman" w:hAnsi="Times New Roman" w:cs="Times New Roman"/>
          <w:lang w:val="nl-BE"/>
        </w:rPr>
        <w:t xml:space="preserve">Lin, J. Y., &amp; Wang, X. (2022). </w:t>
      </w:r>
      <w:r w:rsidRPr="00A943C7">
        <w:rPr>
          <w:rFonts w:ascii="Times New Roman" w:hAnsi="Times New Roman" w:cs="Times New Roman"/>
        </w:rPr>
        <w:t>China's economic transformation: Lessons learned and challenges ahead</w:t>
      </w:r>
      <w:r w:rsidRPr="00A818AB">
        <w:rPr>
          <w:rFonts w:ascii="Times New Roman" w:hAnsi="Times New Roman" w:cs="Times New Roman"/>
        </w:rPr>
        <w:t>. Routledge.</w:t>
      </w:r>
    </w:p>
    <w:p w14:paraId="48D9B504" w14:textId="380923B8"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Mattoo, A., &amp; Staiger, R. W. (2020). Trade wars: What do they mean? Why are they happening now? What are the costs? </w:t>
      </w:r>
      <w:r w:rsidRPr="00A943C7">
        <w:rPr>
          <w:rFonts w:ascii="Times New Roman" w:hAnsi="Times New Roman" w:cs="Times New Roman"/>
        </w:rPr>
        <w:t>Economic Policy</w:t>
      </w:r>
      <w:r w:rsidRPr="00A818AB">
        <w:rPr>
          <w:rFonts w:ascii="Times New Roman" w:hAnsi="Times New Roman" w:cs="Times New Roman"/>
        </w:rPr>
        <w:t>, 35(103), 561-584.</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4" w:history="1">
        <w:r w:rsidR="007E6A9F" w:rsidRPr="00A943C7">
          <w:rPr>
            <w:rFonts w:ascii="Times New Roman" w:hAnsi="Times New Roman" w:cs="Times New Roman"/>
          </w:rPr>
          <w:t>10.1093/</w:t>
        </w:r>
        <w:proofErr w:type="spellStart"/>
        <w:r w:rsidR="007E6A9F" w:rsidRPr="00A943C7">
          <w:rPr>
            <w:rFonts w:ascii="Times New Roman" w:hAnsi="Times New Roman" w:cs="Times New Roman"/>
          </w:rPr>
          <w:t>epolic</w:t>
        </w:r>
        <w:proofErr w:type="spellEnd"/>
        <w:r w:rsidR="007E6A9F" w:rsidRPr="00A943C7">
          <w:rPr>
            <w:rFonts w:ascii="Times New Roman" w:hAnsi="Times New Roman" w:cs="Times New Roman"/>
          </w:rPr>
          <w:t>/eiaa013</w:t>
        </w:r>
      </w:hyperlink>
    </w:p>
    <w:p w14:paraId="63023544" w14:textId="7511F30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Mayer, T., Melitz, M. J., &amp; Ottaviano, G. I. (2020). Market size, competition, and the product mix of exporters. </w:t>
      </w:r>
      <w:r w:rsidRPr="00A943C7">
        <w:rPr>
          <w:rFonts w:ascii="Times New Roman" w:hAnsi="Times New Roman" w:cs="Times New Roman"/>
        </w:rPr>
        <w:t>American Economic Review</w:t>
      </w:r>
      <w:r w:rsidRPr="00A818AB">
        <w:rPr>
          <w:rFonts w:ascii="Times New Roman" w:hAnsi="Times New Roman" w:cs="Times New Roman"/>
        </w:rPr>
        <w:t>, 104(2), 495-536.</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5" w:history="1">
        <w:r w:rsidR="007E6A9F" w:rsidRPr="00A943C7">
          <w:rPr>
            <w:rFonts w:ascii="Times New Roman" w:hAnsi="Times New Roman" w:cs="Times New Roman"/>
          </w:rPr>
          <w:t>10.1257/aer.104.2.495</w:t>
        </w:r>
      </w:hyperlink>
    </w:p>
    <w:p w14:paraId="66C2513C" w14:textId="2A4C9D2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McElroy, J. L., &amp; Pearce, K. B. (2006). The advantages of political affiliation: Dependent and independent small-island profiles. </w:t>
      </w:r>
      <w:r w:rsidRPr="00A943C7">
        <w:rPr>
          <w:rFonts w:ascii="Times New Roman" w:hAnsi="Times New Roman" w:cs="Times New Roman"/>
        </w:rPr>
        <w:t>The Round Table</w:t>
      </w:r>
      <w:r w:rsidRPr="00A818AB">
        <w:rPr>
          <w:rFonts w:ascii="Times New Roman" w:hAnsi="Times New Roman" w:cs="Times New Roman"/>
        </w:rPr>
        <w:t>, 95(386), 529-539.</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6" w:history="1">
        <w:r w:rsidR="007E6A9F" w:rsidRPr="00A943C7">
          <w:rPr>
            <w:rFonts w:ascii="Times New Roman" w:hAnsi="Times New Roman" w:cs="Times New Roman"/>
          </w:rPr>
          <w:t>10.1080/00358530600931285</w:t>
        </w:r>
      </w:hyperlink>
    </w:p>
    <w:p w14:paraId="47B35B57" w14:textId="24F77EFD" w:rsidR="00162976" w:rsidRPr="00A818AB" w:rsidRDefault="00162976" w:rsidP="007E6A9F">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Mealy, P., Farmer, J. D., &amp; </w:t>
      </w:r>
      <w:proofErr w:type="spellStart"/>
      <w:r w:rsidRPr="00A818AB">
        <w:rPr>
          <w:rFonts w:ascii="Times New Roman" w:hAnsi="Times New Roman" w:cs="Times New Roman"/>
        </w:rPr>
        <w:t>Teytelboym</w:t>
      </w:r>
      <w:proofErr w:type="spellEnd"/>
      <w:r w:rsidRPr="00A818AB">
        <w:rPr>
          <w:rFonts w:ascii="Times New Roman" w:hAnsi="Times New Roman" w:cs="Times New Roman"/>
        </w:rPr>
        <w:t xml:space="preserve">, A. (2022). Interpreting economic complexity. </w:t>
      </w:r>
      <w:r w:rsidRPr="00A943C7">
        <w:rPr>
          <w:rFonts w:ascii="Times New Roman" w:hAnsi="Times New Roman" w:cs="Times New Roman"/>
        </w:rPr>
        <w:t>Science Advances</w:t>
      </w:r>
      <w:r w:rsidRPr="00A818AB">
        <w:rPr>
          <w:rFonts w:ascii="Times New Roman" w:hAnsi="Times New Roman" w:cs="Times New Roman"/>
        </w:rPr>
        <w:t>, 8(5), eabl4250.</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7" w:history="1">
        <w:r w:rsidR="007E6A9F" w:rsidRPr="00A943C7">
          <w:rPr>
            <w:rFonts w:ascii="Times New Roman" w:hAnsi="Times New Roman" w:cs="Times New Roman"/>
          </w:rPr>
          <w:t>10.1126/sciadv.aau1705</w:t>
        </w:r>
      </w:hyperlink>
    </w:p>
    <w:p w14:paraId="46C3EBB3" w14:textId="56F87F2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Melitz, M. J. (2003). The impact of trade on intra‐industry reallocations and aggregate industry productivity. </w:t>
      </w:r>
      <w:proofErr w:type="spellStart"/>
      <w:r w:rsidRPr="00A943C7">
        <w:rPr>
          <w:rFonts w:ascii="Times New Roman" w:hAnsi="Times New Roman" w:cs="Times New Roman"/>
        </w:rPr>
        <w:t>Econometrica</w:t>
      </w:r>
      <w:proofErr w:type="spellEnd"/>
      <w:r w:rsidRPr="00A818AB">
        <w:rPr>
          <w:rFonts w:ascii="Times New Roman" w:hAnsi="Times New Roman" w:cs="Times New Roman"/>
        </w:rPr>
        <w:t>, 71(6), 1695-1725.</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8" w:history="1">
        <w:r w:rsidR="007E6A9F" w:rsidRPr="00A943C7">
          <w:rPr>
            <w:rFonts w:ascii="Times New Roman" w:hAnsi="Times New Roman" w:cs="Times New Roman"/>
          </w:rPr>
          <w:t>10.1111/1468-0262.00467</w:t>
        </w:r>
      </w:hyperlink>
    </w:p>
    <w:p w14:paraId="65361CB9"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Meller, P., &amp; Gomez, J. (2022). The Chilean export boom and diversification: 1990-2015. </w:t>
      </w:r>
      <w:r w:rsidRPr="00A943C7">
        <w:rPr>
          <w:rFonts w:ascii="Times New Roman" w:hAnsi="Times New Roman" w:cs="Times New Roman"/>
        </w:rPr>
        <w:t>CEPAL Review</w:t>
      </w:r>
      <w:r w:rsidRPr="00A818AB">
        <w:rPr>
          <w:rFonts w:ascii="Times New Roman" w:hAnsi="Times New Roman" w:cs="Times New Roman"/>
        </w:rPr>
        <w:t>, 136, 51-76.</w:t>
      </w:r>
    </w:p>
    <w:p w14:paraId="67F8D838" w14:textId="161D8B9C"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Meltzer, J. P. (2019). Governing digital trade. </w:t>
      </w:r>
      <w:r w:rsidRPr="00A943C7">
        <w:rPr>
          <w:rFonts w:ascii="Times New Roman" w:hAnsi="Times New Roman" w:cs="Times New Roman"/>
        </w:rPr>
        <w:t>World Trade Review</w:t>
      </w:r>
      <w:r w:rsidRPr="00A818AB">
        <w:rPr>
          <w:rFonts w:ascii="Times New Roman" w:hAnsi="Times New Roman" w:cs="Times New Roman"/>
        </w:rPr>
        <w:t>, 18(S1), S23-S48.</w:t>
      </w:r>
      <w:r w:rsidR="007E6A9F" w:rsidRPr="00A943C7">
        <w:rPr>
          <w:rFonts w:ascii="Times New Roman" w:hAnsi="Times New Roman" w:cs="Times New Roman"/>
        </w:rPr>
        <w:t xml:space="preserve"> </w:t>
      </w:r>
      <w:r w:rsidR="007E6A9F" w:rsidRPr="00A943C7">
        <w:rPr>
          <w:rFonts w:ascii="Times New Roman" w:hAnsi="Times New Roman" w:cs="Times New Roman"/>
          <w:b/>
          <w:bCs/>
        </w:rPr>
        <w:t>DOI:</w:t>
      </w:r>
      <w:r w:rsidR="007E6A9F" w:rsidRPr="00A943C7">
        <w:rPr>
          <w:rFonts w:ascii="Times New Roman" w:hAnsi="Times New Roman" w:cs="Times New Roman"/>
        </w:rPr>
        <w:t xml:space="preserve"> </w:t>
      </w:r>
      <w:hyperlink r:id="rId109" w:history="1">
        <w:r w:rsidR="007E6A9F" w:rsidRPr="00A943C7">
          <w:rPr>
            <w:rFonts w:ascii="Times New Roman" w:hAnsi="Times New Roman" w:cs="Times New Roman"/>
          </w:rPr>
          <w:t>10.1017/S1474745618000502</w:t>
        </w:r>
      </w:hyperlink>
    </w:p>
    <w:p w14:paraId="508BD594" w14:textId="69579F8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Milberg, W., &amp; Winkler, D. (2013). </w:t>
      </w:r>
      <w:r w:rsidRPr="00A943C7">
        <w:rPr>
          <w:rFonts w:ascii="Times New Roman" w:hAnsi="Times New Roman" w:cs="Times New Roman"/>
        </w:rPr>
        <w:t>Outsourcing economics: Global value chains in capitalist development</w:t>
      </w:r>
      <w:r w:rsidRPr="00A818AB">
        <w:rPr>
          <w:rFonts w:ascii="Times New Roman" w:hAnsi="Times New Roman" w:cs="Times New Roman"/>
        </w:rPr>
        <w:t>. Cambridge University Press.</w:t>
      </w:r>
      <w:r w:rsidR="007E6A9F" w:rsidRPr="00A943C7">
        <w:rPr>
          <w:rFonts w:ascii="Times New Roman" w:hAnsi="Times New Roman" w:cs="Times New Roman"/>
        </w:rPr>
        <w:t xml:space="preserve"> https://doi.org/10.1017/CBO9781139208772</w:t>
      </w:r>
    </w:p>
    <w:p w14:paraId="1F8D6490" w14:textId="756453CD"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Miroudot</w:t>
      </w:r>
      <w:proofErr w:type="spellEnd"/>
      <w:r w:rsidRPr="00A818AB">
        <w:rPr>
          <w:rFonts w:ascii="Times New Roman" w:hAnsi="Times New Roman" w:cs="Times New Roman"/>
        </w:rPr>
        <w:t xml:space="preserve">, S. (2020). Reshaping the policy debate on the implications of COVID-19 for global supply chains. </w:t>
      </w:r>
      <w:r w:rsidRPr="00A943C7">
        <w:rPr>
          <w:rFonts w:ascii="Times New Roman" w:hAnsi="Times New Roman" w:cs="Times New Roman"/>
        </w:rPr>
        <w:t>Journal of International Business Policy</w:t>
      </w:r>
      <w:r w:rsidRPr="00A818AB">
        <w:rPr>
          <w:rFonts w:ascii="Times New Roman" w:hAnsi="Times New Roman" w:cs="Times New Roman"/>
        </w:rPr>
        <w:t>, 3(4), 430-442.</w:t>
      </w:r>
      <w:r w:rsidR="007E6A9F" w:rsidRPr="00A943C7">
        <w:rPr>
          <w:rFonts w:ascii="Times New Roman" w:hAnsi="Times New Roman" w:cs="Times New Roman"/>
        </w:rPr>
        <w:t xml:space="preserve"> https://doi.org/10.1057/s42214-020-00074-6</w:t>
      </w:r>
    </w:p>
    <w:p w14:paraId="0E579AF8" w14:textId="1F11B41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Morin, J. F., Dür, A., &amp; Lechner, L. (2018). Mapping the trade and environment nexus: Insights from a new data set. </w:t>
      </w:r>
      <w:r w:rsidRPr="00A943C7">
        <w:rPr>
          <w:rFonts w:ascii="Times New Roman" w:hAnsi="Times New Roman" w:cs="Times New Roman"/>
        </w:rPr>
        <w:t>Global Environmental Politics</w:t>
      </w:r>
      <w:r w:rsidRPr="00A818AB">
        <w:rPr>
          <w:rFonts w:ascii="Times New Roman" w:hAnsi="Times New Roman" w:cs="Times New Roman"/>
        </w:rPr>
        <w:t>, 18(1), 122-139.</w:t>
      </w:r>
      <w:r w:rsidR="007E6A9F" w:rsidRPr="00A943C7">
        <w:rPr>
          <w:rFonts w:ascii="Times New Roman" w:hAnsi="Times New Roman" w:cs="Times New Roman"/>
        </w:rPr>
        <w:t xml:space="preserve"> https://doi.org/10.1162/GLEP_a_00447</w:t>
      </w:r>
    </w:p>
    <w:p w14:paraId="51E0C77A"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Morris, M., &amp; </w:t>
      </w:r>
      <w:proofErr w:type="spellStart"/>
      <w:r w:rsidRPr="00A818AB">
        <w:rPr>
          <w:rFonts w:ascii="Times New Roman" w:hAnsi="Times New Roman" w:cs="Times New Roman"/>
        </w:rPr>
        <w:t>Staritz</w:t>
      </w:r>
      <w:proofErr w:type="spellEnd"/>
      <w:r w:rsidRPr="00A818AB">
        <w:rPr>
          <w:rFonts w:ascii="Times New Roman" w:hAnsi="Times New Roman" w:cs="Times New Roman"/>
        </w:rPr>
        <w:t xml:space="preserve">, C. (Eds.). (2017). </w:t>
      </w:r>
      <w:r w:rsidRPr="00A943C7">
        <w:rPr>
          <w:rFonts w:ascii="Times New Roman" w:hAnsi="Times New Roman" w:cs="Times New Roman"/>
        </w:rPr>
        <w:t>Value chain governance, upgrading and development</w:t>
      </w:r>
      <w:r w:rsidRPr="00A818AB">
        <w:rPr>
          <w:rFonts w:ascii="Times New Roman" w:hAnsi="Times New Roman" w:cs="Times New Roman"/>
        </w:rPr>
        <w:t>. Taylor &amp; Francis.</w:t>
      </w:r>
    </w:p>
    <w:p w14:paraId="375173AE" w14:textId="4B66F22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Morrow, P. M. (2010). Ricardian–Heckscher–Ohlin comparative advantage: Theory and evidence. </w:t>
      </w:r>
      <w:r w:rsidRPr="00A943C7">
        <w:rPr>
          <w:rFonts w:ascii="Times New Roman" w:hAnsi="Times New Roman" w:cs="Times New Roman"/>
        </w:rPr>
        <w:t>Journal of International Economics</w:t>
      </w:r>
      <w:r w:rsidRPr="00A818AB">
        <w:rPr>
          <w:rFonts w:ascii="Times New Roman" w:hAnsi="Times New Roman" w:cs="Times New Roman"/>
        </w:rPr>
        <w:t>, 82(2), 137-151.</w:t>
      </w:r>
      <w:r w:rsidR="007E6A9F" w:rsidRPr="00A943C7">
        <w:rPr>
          <w:rFonts w:ascii="Times New Roman" w:hAnsi="Times New Roman" w:cs="Times New Roman"/>
        </w:rPr>
        <w:t xml:space="preserve"> https://doi.org/10.1016/j.jinteco.2010.08.006</w:t>
      </w:r>
    </w:p>
    <w:p w14:paraId="4ACFA451" w14:textId="35BD433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Mostafa, R., &amp; Klepper, S. (2018). Industrial development through tacit knowledge seeding: Evidence from the Bangladesh garment industry. </w:t>
      </w:r>
      <w:r w:rsidRPr="00A943C7">
        <w:rPr>
          <w:rFonts w:ascii="Times New Roman" w:hAnsi="Times New Roman" w:cs="Times New Roman"/>
        </w:rPr>
        <w:t>Management Science</w:t>
      </w:r>
      <w:r w:rsidRPr="00A818AB">
        <w:rPr>
          <w:rFonts w:ascii="Times New Roman" w:hAnsi="Times New Roman" w:cs="Times New Roman"/>
        </w:rPr>
        <w:t>, 64(2), 613-632.</w:t>
      </w:r>
      <w:r w:rsidR="007E6A9F" w:rsidRPr="00A943C7">
        <w:rPr>
          <w:rFonts w:ascii="Times New Roman" w:hAnsi="Times New Roman" w:cs="Times New Roman"/>
        </w:rPr>
        <w:t xml:space="preserve"> https://doi.org/10.1287/mnsc.2016.2619</w:t>
      </w:r>
    </w:p>
    <w:p w14:paraId="1ADF838E" w14:textId="36A1AE93"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Nelson, R. R., &amp; Phelps, E. S. (1966). Investment in humans, technological diffusion, and economic growth. </w:t>
      </w:r>
      <w:r w:rsidRPr="00A943C7">
        <w:rPr>
          <w:rFonts w:ascii="Times New Roman" w:hAnsi="Times New Roman" w:cs="Times New Roman"/>
        </w:rPr>
        <w:t>American Economic Review</w:t>
      </w:r>
      <w:r w:rsidRPr="00A818AB">
        <w:rPr>
          <w:rFonts w:ascii="Times New Roman" w:hAnsi="Times New Roman" w:cs="Times New Roman"/>
        </w:rPr>
        <w:t>, 56(1/2), 69-75.</w:t>
      </w:r>
      <w:r w:rsidR="007E6A9F" w:rsidRPr="00A943C7">
        <w:rPr>
          <w:rFonts w:ascii="Times New Roman" w:hAnsi="Times New Roman" w:cs="Times New Roman"/>
        </w:rPr>
        <w:t xml:space="preserve"> http://www.jstor.org/stable/1821269</w:t>
      </w:r>
    </w:p>
    <w:p w14:paraId="0BC6A70C" w14:textId="3284119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Newman, C., Page, J., Rand, J., Shimeles, A., </w:t>
      </w:r>
      <w:proofErr w:type="spellStart"/>
      <w:r w:rsidRPr="00A818AB">
        <w:rPr>
          <w:rFonts w:ascii="Times New Roman" w:hAnsi="Times New Roman" w:cs="Times New Roman"/>
        </w:rPr>
        <w:t>Soderbom</w:t>
      </w:r>
      <w:proofErr w:type="spellEnd"/>
      <w:r w:rsidRPr="00A818AB">
        <w:rPr>
          <w:rFonts w:ascii="Times New Roman" w:hAnsi="Times New Roman" w:cs="Times New Roman"/>
        </w:rPr>
        <w:t xml:space="preserve">, M., &amp; Tarp, F. (Eds.). (2020). </w:t>
      </w:r>
      <w:r w:rsidRPr="00A943C7">
        <w:rPr>
          <w:rFonts w:ascii="Times New Roman" w:hAnsi="Times New Roman" w:cs="Times New Roman"/>
        </w:rPr>
        <w:t>Manufacturing transformation: Comparative studies of industrial development in Africa and emerging Asia</w:t>
      </w:r>
      <w:r w:rsidRPr="00A818AB">
        <w:rPr>
          <w:rFonts w:ascii="Times New Roman" w:hAnsi="Times New Roman" w:cs="Times New Roman"/>
        </w:rPr>
        <w:t>. Oxford University Press.</w:t>
      </w:r>
      <w:r w:rsidR="007E6A9F" w:rsidRPr="00A943C7">
        <w:rPr>
          <w:rFonts w:ascii="Times New Roman" w:hAnsi="Times New Roman" w:cs="Times New Roman"/>
        </w:rPr>
        <w:t xml:space="preserve"> https://doi.org/10.1093/acprof:oso/9780198776987.001.0001</w:t>
      </w:r>
    </w:p>
    <w:p w14:paraId="5F031D46" w14:textId="09716C4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OECD (</w:t>
      </w:r>
      <w:proofErr w:type="spellStart"/>
      <w:r w:rsidRPr="00A818AB">
        <w:rPr>
          <w:rFonts w:ascii="Times New Roman" w:hAnsi="Times New Roman" w:cs="Times New Roman"/>
        </w:rPr>
        <w:t>Organisation</w:t>
      </w:r>
      <w:proofErr w:type="spellEnd"/>
      <w:r w:rsidRPr="00A818AB">
        <w:rPr>
          <w:rFonts w:ascii="Times New Roman" w:hAnsi="Times New Roman" w:cs="Times New Roman"/>
        </w:rPr>
        <w:t xml:space="preserve"> for Economic Co-operation and Development). (2017). </w:t>
      </w:r>
      <w:r w:rsidRPr="00A943C7">
        <w:rPr>
          <w:rFonts w:ascii="Times New Roman" w:hAnsi="Times New Roman" w:cs="Times New Roman"/>
        </w:rPr>
        <w:t xml:space="preserve">Enhancing the contributions of SMEs in a global and </w:t>
      </w:r>
      <w:proofErr w:type="spellStart"/>
      <w:r w:rsidRPr="00A943C7">
        <w:rPr>
          <w:rFonts w:ascii="Times New Roman" w:hAnsi="Times New Roman" w:cs="Times New Roman"/>
        </w:rPr>
        <w:t>digitalised</w:t>
      </w:r>
      <w:proofErr w:type="spellEnd"/>
      <w:r w:rsidRPr="00A943C7">
        <w:rPr>
          <w:rFonts w:ascii="Times New Roman" w:hAnsi="Times New Roman" w:cs="Times New Roman"/>
        </w:rPr>
        <w:t xml:space="preserve"> economy</w:t>
      </w:r>
      <w:r w:rsidRPr="00A818AB">
        <w:rPr>
          <w:rFonts w:ascii="Times New Roman" w:hAnsi="Times New Roman" w:cs="Times New Roman"/>
        </w:rPr>
        <w:t>. Paris: OECD.</w:t>
      </w:r>
      <w:r w:rsidR="007E6A9F" w:rsidRPr="00A943C7">
        <w:rPr>
          <w:rFonts w:ascii="Times New Roman" w:hAnsi="Times New Roman" w:cs="Times New Roman"/>
        </w:rPr>
        <w:t xml:space="preserve"> https://www.oecd.org/mcm/documents/C-MIN-2017-8-EN.pdf</w:t>
      </w:r>
    </w:p>
    <w:p w14:paraId="1586DCD3"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Ohno, K. (2021). </w:t>
      </w:r>
      <w:r w:rsidRPr="00A943C7">
        <w:rPr>
          <w:rFonts w:ascii="Times New Roman" w:hAnsi="Times New Roman" w:cs="Times New Roman"/>
        </w:rPr>
        <w:t>The History of Vietnamese Economic Development</w:t>
      </w:r>
      <w:r w:rsidRPr="00A818AB">
        <w:rPr>
          <w:rFonts w:ascii="Times New Roman" w:hAnsi="Times New Roman" w:cs="Times New Roman"/>
        </w:rPr>
        <w:t>. Springer.</w:t>
      </w:r>
    </w:p>
    <w:p w14:paraId="71D24EAF" w14:textId="2D3EA1E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Oqubay, A. (2020). </w:t>
      </w:r>
      <w:r w:rsidRPr="00A943C7">
        <w:rPr>
          <w:rFonts w:ascii="Times New Roman" w:hAnsi="Times New Roman" w:cs="Times New Roman"/>
        </w:rPr>
        <w:t>Made in Africa: Industrial Policy in Ethiopia</w:t>
      </w:r>
      <w:r w:rsidRPr="00A818AB">
        <w:rPr>
          <w:rFonts w:ascii="Times New Roman" w:hAnsi="Times New Roman" w:cs="Times New Roman"/>
        </w:rPr>
        <w:t>. Oxford University Press.</w:t>
      </w:r>
      <w:r w:rsidR="007E6A9F" w:rsidRPr="00A943C7">
        <w:rPr>
          <w:rFonts w:ascii="Times New Roman" w:hAnsi="Times New Roman" w:cs="Times New Roman"/>
        </w:rPr>
        <w:t xml:space="preserve"> https://doi.org/10.1093/acprof:oso/9780198739890.001.0001</w:t>
      </w:r>
    </w:p>
    <w:p w14:paraId="2C218D15" w14:textId="0F9E90AA"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Ornelas, E., &amp; </w:t>
      </w:r>
      <w:proofErr w:type="spellStart"/>
      <w:r w:rsidRPr="00A818AB">
        <w:rPr>
          <w:rFonts w:ascii="Times New Roman" w:hAnsi="Times New Roman" w:cs="Times New Roman"/>
        </w:rPr>
        <w:t>Ritel</w:t>
      </w:r>
      <w:proofErr w:type="spellEnd"/>
      <w:r w:rsidRPr="00A818AB">
        <w:rPr>
          <w:rFonts w:ascii="Times New Roman" w:hAnsi="Times New Roman" w:cs="Times New Roman"/>
        </w:rPr>
        <w:t xml:space="preserve">, L. (2020). The not-so-generalized effects of the Generalized System of Preferences. </w:t>
      </w:r>
      <w:r w:rsidRPr="00A943C7">
        <w:rPr>
          <w:rFonts w:ascii="Times New Roman" w:hAnsi="Times New Roman" w:cs="Times New Roman"/>
        </w:rPr>
        <w:t>Canadian Journal of Economics</w:t>
      </w:r>
      <w:r w:rsidRPr="00A818AB">
        <w:rPr>
          <w:rFonts w:ascii="Times New Roman" w:hAnsi="Times New Roman" w:cs="Times New Roman"/>
        </w:rPr>
        <w:t>, 53(2), 531-566.</w:t>
      </w:r>
      <w:r w:rsidR="007E6A9F" w:rsidRPr="00A943C7">
        <w:rPr>
          <w:rFonts w:ascii="Times New Roman" w:hAnsi="Times New Roman" w:cs="Times New Roman"/>
        </w:rPr>
        <w:t xml:space="preserve"> https://doi.org/10.1111/twec.12988</w:t>
      </w:r>
    </w:p>
    <w:p w14:paraId="1E2E1BB3" w14:textId="797327C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Parrilli, M. D., </w:t>
      </w:r>
      <w:proofErr w:type="spellStart"/>
      <w:r w:rsidRPr="00A818AB">
        <w:rPr>
          <w:rFonts w:ascii="Times New Roman" w:hAnsi="Times New Roman" w:cs="Times New Roman"/>
        </w:rPr>
        <w:t>Nadvi</w:t>
      </w:r>
      <w:proofErr w:type="spellEnd"/>
      <w:r w:rsidRPr="00A818AB">
        <w:rPr>
          <w:rFonts w:ascii="Times New Roman" w:hAnsi="Times New Roman" w:cs="Times New Roman"/>
        </w:rPr>
        <w:t xml:space="preserve">, K., &amp; Yeung, H. W. C. (2016). Local and regional development in global value chains, production networks and innovation networks: A comparative review and the challenges for future research. </w:t>
      </w:r>
      <w:r w:rsidRPr="00A943C7">
        <w:rPr>
          <w:rFonts w:ascii="Times New Roman" w:hAnsi="Times New Roman" w:cs="Times New Roman"/>
        </w:rPr>
        <w:t>The Competitiveness of Clusters in Globalized Markets</w:t>
      </w:r>
      <w:r w:rsidRPr="00A818AB">
        <w:rPr>
          <w:rFonts w:ascii="Times New Roman" w:hAnsi="Times New Roman" w:cs="Times New Roman"/>
        </w:rPr>
        <w:t>, 1-22.</w:t>
      </w:r>
      <w:r w:rsidR="007E6A9F" w:rsidRPr="00A943C7">
        <w:rPr>
          <w:rFonts w:ascii="Times New Roman" w:hAnsi="Times New Roman" w:cs="Times New Roman"/>
        </w:rPr>
        <w:t xml:space="preserve"> https://doi.org/10.4324/9781315773728-1</w:t>
      </w:r>
    </w:p>
    <w:p w14:paraId="69E956ED" w14:textId="77777777" w:rsidR="00162976" w:rsidRPr="00A818AB" w:rsidRDefault="00162976" w:rsidP="00A818AB">
      <w:pPr>
        <w:pStyle w:val="ListParagraph"/>
        <w:numPr>
          <w:ilvl w:val="0"/>
          <w:numId w:val="9"/>
        </w:numPr>
        <w:jc w:val="both"/>
        <w:rPr>
          <w:rFonts w:ascii="Times New Roman" w:hAnsi="Times New Roman" w:cs="Times New Roman"/>
        </w:rPr>
      </w:pPr>
      <w:r w:rsidRPr="001760B2">
        <w:rPr>
          <w:rFonts w:ascii="Times New Roman" w:hAnsi="Times New Roman" w:cs="Times New Roman"/>
          <w:lang w:val="nn-NO"/>
        </w:rPr>
        <w:t xml:space="preserve">Peters, G. P., &amp; Veld, M. (2021). </w:t>
      </w:r>
      <w:r w:rsidRPr="00A818AB">
        <w:rPr>
          <w:rFonts w:ascii="Times New Roman" w:hAnsi="Times New Roman" w:cs="Times New Roman"/>
        </w:rPr>
        <w:t xml:space="preserve">Measuring carbon leakage. </w:t>
      </w:r>
      <w:r w:rsidRPr="00A943C7">
        <w:rPr>
          <w:rFonts w:ascii="Times New Roman" w:hAnsi="Times New Roman" w:cs="Times New Roman"/>
        </w:rPr>
        <w:t>Nature Climate Change</w:t>
      </w:r>
      <w:r w:rsidRPr="00A818AB">
        <w:rPr>
          <w:rFonts w:ascii="Times New Roman" w:hAnsi="Times New Roman" w:cs="Times New Roman"/>
        </w:rPr>
        <w:t>, 11(6), 460-461.</w:t>
      </w:r>
    </w:p>
    <w:p w14:paraId="37B8A514" w14:textId="7139F37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Petticrew, M., &amp; Roberts, H. (2006). </w:t>
      </w:r>
      <w:r w:rsidRPr="00A943C7">
        <w:rPr>
          <w:rFonts w:ascii="Times New Roman" w:hAnsi="Times New Roman" w:cs="Times New Roman"/>
        </w:rPr>
        <w:t>Systematic reviews in the social sciences: A practical guide</w:t>
      </w:r>
      <w:r w:rsidRPr="00A818AB">
        <w:rPr>
          <w:rFonts w:ascii="Times New Roman" w:hAnsi="Times New Roman" w:cs="Times New Roman"/>
        </w:rPr>
        <w:t>. John Wiley &amp; Sons.</w:t>
      </w:r>
      <w:r w:rsidR="007E6A9F" w:rsidRPr="00A943C7">
        <w:rPr>
          <w:rFonts w:ascii="Times New Roman" w:hAnsi="Times New Roman" w:cs="Times New Roman"/>
        </w:rPr>
        <w:t xml:space="preserve"> https://doi.org/10.1002/9780470754887</w:t>
      </w:r>
    </w:p>
    <w:p w14:paraId="41A1C815" w14:textId="51B1EA96"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Ponte, S., &amp; Sturgeon, T. (2014). Explaining governance in global value chains: A modular theory-building effort. </w:t>
      </w:r>
      <w:r w:rsidRPr="00A943C7">
        <w:rPr>
          <w:rFonts w:ascii="Times New Roman" w:hAnsi="Times New Roman" w:cs="Times New Roman"/>
        </w:rPr>
        <w:t>Review of International Political Economy</w:t>
      </w:r>
      <w:r w:rsidRPr="00A818AB">
        <w:rPr>
          <w:rFonts w:ascii="Times New Roman" w:hAnsi="Times New Roman" w:cs="Times New Roman"/>
        </w:rPr>
        <w:t>, 21(1), 195-223.</w:t>
      </w:r>
      <w:r w:rsidR="007E6A9F" w:rsidRPr="00A943C7">
        <w:rPr>
          <w:rFonts w:ascii="Times New Roman" w:hAnsi="Times New Roman" w:cs="Times New Roman"/>
        </w:rPr>
        <w:t xml:space="preserve"> https://doi.org/10.1080/09692290.2013.809596</w:t>
      </w:r>
    </w:p>
    <w:p w14:paraId="7685A2F8" w14:textId="1BCE1DDD" w:rsidR="00162976" w:rsidRPr="00A818AB" w:rsidRDefault="00162976" w:rsidP="00A818AB">
      <w:pPr>
        <w:pStyle w:val="ListParagraph"/>
        <w:numPr>
          <w:ilvl w:val="0"/>
          <w:numId w:val="9"/>
        </w:numPr>
        <w:jc w:val="both"/>
        <w:rPr>
          <w:rFonts w:ascii="Times New Roman" w:hAnsi="Times New Roman" w:cs="Times New Roman"/>
        </w:rPr>
      </w:pPr>
      <w:r w:rsidRPr="001760B2">
        <w:rPr>
          <w:rFonts w:ascii="Times New Roman" w:hAnsi="Times New Roman" w:cs="Times New Roman"/>
          <w:lang w:val="nn-NO"/>
        </w:rPr>
        <w:t xml:space="preserve">Porter, M. E., &amp; van der Linde, C. (1995). </w:t>
      </w:r>
      <w:r w:rsidRPr="00A818AB">
        <w:rPr>
          <w:rFonts w:ascii="Times New Roman" w:hAnsi="Times New Roman" w:cs="Times New Roman"/>
        </w:rPr>
        <w:t xml:space="preserve">Toward a new conception of the environment-competitiveness relationship. </w:t>
      </w:r>
      <w:r w:rsidRPr="00A943C7">
        <w:rPr>
          <w:rFonts w:ascii="Times New Roman" w:hAnsi="Times New Roman" w:cs="Times New Roman"/>
        </w:rPr>
        <w:t>Journal of Economic Perspectives</w:t>
      </w:r>
      <w:r w:rsidRPr="00A818AB">
        <w:rPr>
          <w:rFonts w:ascii="Times New Roman" w:hAnsi="Times New Roman" w:cs="Times New Roman"/>
        </w:rPr>
        <w:t>, 9(4), 97-118.</w:t>
      </w:r>
      <w:r w:rsidR="007E6A9F" w:rsidRPr="00A943C7">
        <w:rPr>
          <w:rFonts w:ascii="Times New Roman" w:hAnsi="Times New Roman" w:cs="Times New Roman"/>
        </w:rPr>
        <w:t xml:space="preserve"> https://doi.org/10.1257/jep.9.4.97</w:t>
      </w:r>
    </w:p>
    <w:p w14:paraId="7FCA0006" w14:textId="66D01BA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(1995). Getting interventions right: how South Korea and Taiwan grew rich. </w:t>
      </w:r>
      <w:r w:rsidRPr="00A943C7">
        <w:rPr>
          <w:rFonts w:ascii="Times New Roman" w:hAnsi="Times New Roman" w:cs="Times New Roman"/>
        </w:rPr>
        <w:t>Economic Policy</w:t>
      </w:r>
      <w:r w:rsidRPr="00A818AB">
        <w:rPr>
          <w:rFonts w:ascii="Times New Roman" w:hAnsi="Times New Roman" w:cs="Times New Roman"/>
        </w:rPr>
        <w:t>, 10(20), 53-107.</w:t>
      </w:r>
      <w:r w:rsidR="007E6A9F" w:rsidRPr="00A943C7">
        <w:rPr>
          <w:rFonts w:ascii="Times New Roman" w:hAnsi="Times New Roman" w:cs="Times New Roman"/>
        </w:rPr>
        <w:t xml:space="preserve"> https://doi.org/10.2307/1344538</w:t>
      </w:r>
    </w:p>
    <w:p w14:paraId="036FD0CF" w14:textId="44718B5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(2004). Industrial policy for the twenty-first century. </w:t>
      </w:r>
      <w:r w:rsidRPr="00A943C7">
        <w:rPr>
          <w:rFonts w:ascii="Times New Roman" w:hAnsi="Times New Roman" w:cs="Times New Roman"/>
        </w:rPr>
        <w:t>CEPR Discussion Paper</w:t>
      </w:r>
      <w:r w:rsidRPr="00A818AB">
        <w:rPr>
          <w:rFonts w:ascii="Times New Roman" w:hAnsi="Times New Roman" w:cs="Times New Roman"/>
        </w:rPr>
        <w:t>, 4767.</w:t>
      </w:r>
      <w:r w:rsidR="007E6A9F" w:rsidRPr="00A943C7">
        <w:rPr>
          <w:rFonts w:ascii="Times New Roman" w:hAnsi="Times New Roman" w:cs="Times New Roman"/>
        </w:rPr>
        <w:t xml:space="preserve"> https://doi.org/10.2139/SSRN.617544</w:t>
      </w:r>
    </w:p>
    <w:p w14:paraId="73AA3497" w14:textId="36703C33"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(2018). What do trade agreements really do? </w:t>
      </w:r>
      <w:r w:rsidRPr="00A943C7">
        <w:rPr>
          <w:rFonts w:ascii="Times New Roman" w:hAnsi="Times New Roman" w:cs="Times New Roman"/>
        </w:rPr>
        <w:t>Journal of Economic Perspectives</w:t>
      </w:r>
      <w:r w:rsidRPr="00A818AB">
        <w:rPr>
          <w:rFonts w:ascii="Times New Roman" w:hAnsi="Times New Roman" w:cs="Times New Roman"/>
        </w:rPr>
        <w:t>, 32(2), 73-90.</w:t>
      </w:r>
      <w:r w:rsidR="007E6A9F" w:rsidRPr="00A943C7">
        <w:rPr>
          <w:rFonts w:ascii="Times New Roman" w:hAnsi="Times New Roman" w:cs="Times New Roman"/>
        </w:rPr>
        <w:t xml:space="preserve"> https://doi.org/10.1257/jep.32.2.73</w:t>
      </w:r>
    </w:p>
    <w:p w14:paraId="63B0892D" w14:textId="69E0398E"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Rodrik, D., &amp; </w:t>
      </w:r>
      <w:proofErr w:type="spellStart"/>
      <w:r w:rsidRPr="00A818AB">
        <w:rPr>
          <w:rFonts w:ascii="Times New Roman" w:hAnsi="Times New Roman" w:cs="Times New Roman"/>
        </w:rPr>
        <w:t>Stantcheva</w:t>
      </w:r>
      <w:proofErr w:type="spellEnd"/>
      <w:r w:rsidRPr="00A818AB">
        <w:rPr>
          <w:rFonts w:ascii="Times New Roman" w:hAnsi="Times New Roman" w:cs="Times New Roman"/>
        </w:rPr>
        <w:t xml:space="preserve">, S. (2021). Fixing capitalism's good jobs problem. </w:t>
      </w:r>
      <w:r w:rsidRPr="00A943C7">
        <w:rPr>
          <w:rFonts w:ascii="Times New Roman" w:hAnsi="Times New Roman" w:cs="Times New Roman"/>
        </w:rPr>
        <w:t>Oxford Review of Economic Policy</w:t>
      </w:r>
      <w:r w:rsidRPr="00A818AB">
        <w:rPr>
          <w:rFonts w:ascii="Times New Roman" w:hAnsi="Times New Roman" w:cs="Times New Roman"/>
        </w:rPr>
        <w:t>, 37(4), 824-837.</w:t>
      </w:r>
      <w:r w:rsidR="007E6A9F" w:rsidRPr="00A943C7">
        <w:rPr>
          <w:rFonts w:ascii="Times New Roman" w:hAnsi="Times New Roman" w:cs="Times New Roman"/>
        </w:rPr>
        <w:t xml:space="preserve"> https://doi.org/10.1093/oxrep/grab024</w:t>
      </w:r>
    </w:p>
    <w:p w14:paraId="068B7B29" w14:textId="6EF9083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Schott, P. K. (2004). Across-product versus within-product specialization in international trade. </w:t>
      </w:r>
      <w:r w:rsidRPr="00A943C7">
        <w:rPr>
          <w:rFonts w:ascii="Times New Roman" w:hAnsi="Times New Roman" w:cs="Times New Roman"/>
        </w:rPr>
        <w:t>The Quarterly Journal of Economics</w:t>
      </w:r>
      <w:r w:rsidRPr="00A818AB">
        <w:rPr>
          <w:rFonts w:ascii="Times New Roman" w:hAnsi="Times New Roman" w:cs="Times New Roman"/>
        </w:rPr>
        <w:t>, 119(2), 647-678.</w:t>
      </w:r>
      <w:r w:rsidR="007E6A9F" w:rsidRPr="00A943C7">
        <w:rPr>
          <w:rFonts w:ascii="Times New Roman" w:hAnsi="Times New Roman" w:cs="Times New Roman"/>
        </w:rPr>
        <w:t xml:space="preserve"> https://doi.org/10.1162/0033553041382201</w:t>
      </w:r>
    </w:p>
    <w:p w14:paraId="30009861"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Sondermann, E., &amp; Glocker, D. (2021). </w:t>
      </w:r>
      <w:r w:rsidRPr="00A943C7">
        <w:rPr>
          <w:rFonts w:ascii="Times New Roman" w:hAnsi="Times New Roman" w:cs="Times New Roman"/>
        </w:rPr>
        <w:t>Informal employment and the demand for skills: evidence from online job postings</w:t>
      </w:r>
      <w:r w:rsidRPr="00A818AB">
        <w:rPr>
          <w:rFonts w:ascii="Times New Roman" w:hAnsi="Times New Roman" w:cs="Times New Roman"/>
        </w:rPr>
        <w:t>. OECD Publishing.</w:t>
      </w:r>
    </w:p>
    <w:p w14:paraId="21E29BD4" w14:textId="727E6A7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Stiglitz, J. E. (2021). The proper role of government in the market economy: The case of the post-COVID recovery. </w:t>
      </w:r>
      <w:r w:rsidRPr="00A943C7">
        <w:rPr>
          <w:rFonts w:ascii="Times New Roman" w:hAnsi="Times New Roman" w:cs="Times New Roman"/>
        </w:rPr>
        <w:t>Journal of Government and Economics</w:t>
      </w:r>
      <w:r w:rsidRPr="00A818AB">
        <w:rPr>
          <w:rFonts w:ascii="Times New Roman" w:hAnsi="Times New Roman" w:cs="Times New Roman"/>
        </w:rPr>
        <w:t>, 1, 100004.</w:t>
      </w:r>
      <w:r w:rsidR="007E6A9F" w:rsidRPr="00A943C7">
        <w:rPr>
          <w:rFonts w:ascii="Times New Roman" w:hAnsi="Times New Roman" w:cs="Times New Roman"/>
        </w:rPr>
        <w:t xml:space="preserve"> https://doi.org/10.1016/j.jge.2021.100004</w:t>
      </w:r>
    </w:p>
    <w:p w14:paraId="0D80DEA6" w14:textId="4BD7D058"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Swinnen</w:t>
      </w:r>
      <w:proofErr w:type="spellEnd"/>
      <w:r w:rsidRPr="00A818AB">
        <w:rPr>
          <w:rFonts w:ascii="Times New Roman" w:hAnsi="Times New Roman" w:cs="Times New Roman"/>
        </w:rPr>
        <w:t xml:space="preserve">, J., &amp; Kuijpers, R. (2019). Value chain innovations for technology transfer in developing and emerging economies: Conceptual issues, typology, and policy implications. </w:t>
      </w:r>
      <w:r w:rsidRPr="00A943C7">
        <w:rPr>
          <w:rFonts w:ascii="Times New Roman" w:hAnsi="Times New Roman" w:cs="Times New Roman"/>
        </w:rPr>
        <w:t>Food Policy</w:t>
      </w:r>
      <w:r w:rsidRPr="00A818AB">
        <w:rPr>
          <w:rFonts w:ascii="Times New Roman" w:hAnsi="Times New Roman" w:cs="Times New Roman"/>
        </w:rPr>
        <w:t>, 83, 298-309.</w:t>
      </w:r>
      <w:r w:rsidR="00BB7016" w:rsidRPr="00A943C7">
        <w:rPr>
          <w:rFonts w:ascii="Times New Roman" w:hAnsi="Times New Roman" w:cs="Times New Roman"/>
        </w:rPr>
        <w:t xml:space="preserve"> https://doi.org/10.1016/j.foodpol.2017.07.013</w:t>
      </w:r>
    </w:p>
    <w:p w14:paraId="23EA367C" w14:textId="452E5B2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Taglioni, D., &amp; Winkler, D. (2016). </w:t>
      </w:r>
      <w:r w:rsidRPr="00A943C7">
        <w:rPr>
          <w:rFonts w:ascii="Times New Roman" w:hAnsi="Times New Roman" w:cs="Times New Roman"/>
        </w:rPr>
        <w:t>Making global value chains work for development</w:t>
      </w:r>
      <w:r w:rsidRPr="00A818AB">
        <w:rPr>
          <w:rFonts w:ascii="Times New Roman" w:hAnsi="Times New Roman" w:cs="Times New Roman"/>
        </w:rPr>
        <w:t>. World Bank Publications.</w:t>
      </w:r>
      <w:r w:rsidR="00BB7016" w:rsidRPr="00A943C7">
        <w:rPr>
          <w:rFonts w:ascii="Times New Roman" w:hAnsi="Times New Roman" w:cs="Times New Roman"/>
        </w:rPr>
        <w:t xml:space="preserve"> https://doi.org/10.1596/978-1-4648-0157-0</w:t>
      </w:r>
    </w:p>
    <w:p w14:paraId="6B390504" w14:textId="1830F64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Tayleur, C., Balmford, A., Buchanan, G. M., Butchart, S. H., Ducharme, H., Green, R. E., ... &amp; Phalan, B. (2017). Global coverage of agricultural sustainability standards, and their role in conserving biodiversity. </w:t>
      </w:r>
      <w:r w:rsidRPr="00A943C7">
        <w:rPr>
          <w:rFonts w:ascii="Times New Roman" w:hAnsi="Times New Roman" w:cs="Times New Roman"/>
        </w:rPr>
        <w:t>Conservation Letters</w:t>
      </w:r>
      <w:r w:rsidRPr="00A818AB">
        <w:rPr>
          <w:rFonts w:ascii="Times New Roman" w:hAnsi="Times New Roman" w:cs="Times New Roman"/>
        </w:rPr>
        <w:t>, 10(5), 610-618.</w:t>
      </w:r>
      <w:r w:rsidR="00BB7016" w:rsidRPr="00A943C7">
        <w:rPr>
          <w:rFonts w:ascii="Times New Roman" w:hAnsi="Times New Roman" w:cs="Times New Roman"/>
        </w:rPr>
        <w:t xml:space="preserve"> https://doi.org/10.1111/conl.12314</w:t>
      </w:r>
    </w:p>
    <w:p w14:paraId="05825FB8" w14:textId="27A6DA69"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lastRenderedPageBreak/>
        <w:t xml:space="preserve">Tejani, S., &amp; Milberg, W. (2016). Global defeminization? Industrial upgrading and manufacturing employment in developing countries. </w:t>
      </w:r>
      <w:r w:rsidRPr="00A943C7">
        <w:rPr>
          <w:rFonts w:ascii="Times New Roman" w:hAnsi="Times New Roman" w:cs="Times New Roman"/>
        </w:rPr>
        <w:t>Feminist Economics</w:t>
      </w:r>
      <w:r w:rsidRPr="00A818AB">
        <w:rPr>
          <w:rFonts w:ascii="Times New Roman" w:hAnsi="Times New Roman" w:cs="Times New Roman"/>
        </w:rPr>
        <w:t>, 22(2), 24-54.</w:t>
      </w:r>
      <w:r w:rsidR="00BB7016" w:rsidRPr="00A943C7">
        <w:rPr>
          <w:rFonts w:ascii="Times New Roman" w:hAnsi="Times New Roman" w:cs="Times New Roman"/>
        </w:rPr>
        <w:t xml:space="preserve"> https://doi.org/10.1080/13545701.2015.1120880</w:t>
      </w:r>
    </w:p>
    <w:p w14:paraId="759ED3A8" w14:textId="13BBFC4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Thomas, J., &amp; Harden, A. (2008). Methods for the thematic synthesis of qualitative research in systematic reviews. </w:t>
      </w:r>
      <w:r w:rsidRPr="00A943C7">
        <w:rPr>
          <w:rFonts w:ascii="Times New Roman" w:hAnsi="Times New Roman" w:cs="Times New Roman"/>
        </w:rPr>
        <w:t>BMC Medical Research Methodology</w:t>
      </w:r>
      <w:r w:rsidRPr="00A818AB">
        <w:rPr>
          <w:rFonts w:ascii="Times New Roman" w:hAnsi="Times New Roman" w:cs="Times New Roman"/>
        </w:rPr>
        <w:t>, 8(1), 1-10.</w:t>
      </w:r>
      <w:r w:rsidR="00BB7016" w:rsidRPr="00A943C7">
        <w:rPr>
          <w:rFonts w:ascii="Times New Roman" w:hAnsi="Times New Roman" w:cs="Times New Roman"/>
        </w:rPr>
        <w:t xml:space="preserve"> https://doi.org/10.1186/1471-2288-8-45</w:t>
      </w:r>
    </w:p>
    <w:p w14:paraId="692ACE9D"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Thomsen, L. (2022). One size fits none: Economic upgrading in Viet Nam's coffee and garment sectors. In </w:t>
      </w:r>
      <w:r w:rsidRPr="00A943C7">
        <w:rPr>
          <w:rFonts w:ascii="Times New Roman" w:hAnsi="Times New Roman" w:cs="Times New Roman"/>
        </w:rPr>
        <w:t>Global value chains and industrial upgrading in East Asia</w:t>
      </w:r>
      <w:r w:rsidRPr="00A818AB">
        <w:rPr>
          <w:rFonts w:ascii="Times New Roman" w:hAnsi="Times New Roman" w:cs="Times New Roman"/>
        </w:rPr>
        <w:t xml:space="preserve"> (pp. 76-98). Edward Elgar Publishing.</w:t>
      </w:r>
    </w:p>
    <w:p w14:paraId="2A453D2B" w14:textId="79078062"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Topalova</w:t>
      </w:r>
      <w:proofErr w:type="spellEnd"/>
      <w:r w:rsidRPr="00A818AB">
        <w:rPr>
          <w:rFonts w:ascii="Times New Roman" w:hAnsi="Times New Roman" w:cs="Times New Roman"/>
        </w:rPr>
        <w:t xml:space="preserve">, P. (2010). Factor immobility and regional impacts of trade liberalization: Evidence on poverty from India. </w:t>
      </w:r>
      <w:r w:rsidRPr="00A943C7">
        <w:rPr>
          <w:rFonts w:ascii="Times New Roman" w:hAnsi="Times New Roman" w:cs="Times New Roman"/>
        </w:rPr>
        <w:t>American Economic Journal: Applied Economics</w:t>
      </w:r>
      <w:r w:rsidRPr="00A818AB">
        <w:rPr>
          <w:rFonts w:ascii="Times New Roman" w:hAnsi="Times New Roman" w:cs="Times New Roman"/>
        </w:rPr>
        <w:t>, 2(4), 1-41.</w:t>
      </w:r>
      <w:r w:rsidR="00BB7016" w:rsidRPr="00A943C7">
        <w:rPr>
          <w:rFonts w:ascii="Times New Roman" w:hAnsi="Times New Roman" w:cs="Times New Roman"/>
        </w:rPr>
        <w:t xml:space="preserve"> https://doi.org/10.1257/app.2.4.1</w:t>
      </w:r>
    </w:p>
    <w:p w14:paraId="3D48762F" w14:textId="1A2DBDF1" w:rsidR="00162976" w:rsidRPr="00A818AB" w:rsidRDefault="00162976" w:rsidP="00A818AB">
      <w:pPr>
        <w:pStyle w:val="ListParagraph"/>
        <w:numPr>
          <w:ilvl w:val="0"/>
          <w:numId w:val="9"/>
        </w:numPr>
        <w:jc w:val="both"/>
        <w:rPr>
          <w:rFonts w:ascii="Times New Roman" w:hAnsi="Times New Roman" w:cs="Times New Roman"/>
        </w:rPr>
      </w:pPr>
      <w:proofErr w:type="spellStart"/>
      <w:r w:rsidRPr="00A818AB">
        <w:rPr>
          <w:rFonts w:ascii="Times New Roman" w:hAnsi="Times New Roman" w:cs="Times New Roman"/>
        </w:rPr>
        <w:t>Tranfield</w:t>
      </w:r>
      <w:proofErr w:type="spellEnd"/>
      <w:r w:rsidRPr="00A818AB">
        <w:rPr>
          <w:rFonts w:ascii="Times New Roman" w:hAnsi="Times New Roman" w:cs="Times New Roman"/>
        </w:rPr>
        <w:t xml:space="preserve">, D., Denyer, D., &amp; Smart, P. (2003). Towards a methodology for developing evidence‐informed management knowledge by means of systematic review. </w:t>
      </w:r>
      <w:r w:rsidRPr="00A943C7">
        <w:rPr>
          <w:rFonts w:ascii="Times New Roman" w:hAnsi="Times New Roman" w:cs="Times New Roman"/>
        </w:rPr>
        <w:t>British Journal of Management</w:t>
      </w:r>
      <w:r w:rsidRPr="00A818AB">
        <w:rPr>
          <w:rFonts w:ascii="Times New Roman" w:hAnsi="Times New Roman" w:cs="Times New Roman"/>
        </w:rPr>
        <w:t>, 14(3), 207-222.</w:t>
      </w:r>
      <w:r w:rsidR="00BB7016" w:rsidRPr="00A943C7">
        <w:rPr>
          <w:rFonts w:ascii="Times New Roman" w:hAnsi="Times New Roman" w:cs="Times New Roman"/>
        </w:rPr>
        <w:t xml:space="preserve"> https://doi.org/10.1111/1467-8551.00375</w:t>
      </w:r>
    </w:p>
    <w:p w14:paraId="1FEAC191" w14:textId="42BE95D1"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(2020). </w:t>
      </w:r>
      <w:r w:rsidRPr="00A943C7">
        <w:rPr>
          <w:rFonts w:ascii="Times New Roman" w:hAnsi="Times New Roman" w:cs="Times New Roman"/>
        </w:rPr>
        <w:t>Technology and Innovation Report 2020: Catching technological waves – Innovation with equity</w:t>
      </w:r>
      <w:r w:rsidRPr="00A818AB">
        <w:rPr>
          <w:rFonts w:ascii="Times New Roman" w:hAnsi="Times New Roman" w:cs="Times New Roman"/>
        </w:rPr>
        <w:t>. Geneva: United Nations.</w:t>
      </w:r>
      <w:r w:rsidR="00BB7016" w:rsidRPr="00A943C7">
        <w:rPr>
          <w:rFonts w:ascii="Times New Roman" w:hAnsi="Times New Roman" w:cs="Times New Roman"/>
        </w:rPr>
        <w:t xml:space="preserve"> https://doi.org/10.18356/9789210056588</w:t>
      </w:r>
    </w:p>
    <w:p w14:paraId="0C109F03" w14:textId="3FBE9035"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(2021). </w:t>
      </w:r>
      <w:r w:rsidRPr="00A943C7">
        <w:rPr>
          <w:rFonts w:ascii="Times New Roman" w:hAnsi="Times New Roman" w:cs="Times New Roman"/>
        </w:rPr>
        <w:t>Technology and Innovation Report 2021: Catching technological waves – Innovation with equity</w:t>
      </w:r>
      <w:r w:rsidRPr="00A818AB">
        <w:rPr>
          <w:rFonts w:ascii="Times New Roman" w:hAnsi="Times New Roman" w:cs="Times New Roman"/>
        </w:rPr>
        <w:t>. Geneva: United Nations.</w:t>
      </w:r>
      <w:r w:rsidR="00BB7016" w:rsidRPr="00A943C7">
        <w:rPr>
          <w:rFonts w:ascii="Times New Roman" w:hAnsi="Times New Roman" w:cs="Times New Roman"/>
        </w:rPr>
        <w:t xml:space="preserve"> https://unctad.org/publication/technology-and-innovation-report-2021</w:t>
      </w:r>
    </w:p>
    <w:p w14:paraId="74B0E691" w14:textId="30C904B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UNCTAD (United Nations Conference on Trade and Development). (2023). </w:t>
      </w:r>
      <w:r w:rsidRPr="00A943C7">
        <w:rPr>
          <w:rFonts w:ascii="Times New Roman" w:hAnsi="Times New Roman" w:cs="Times New Roman"/>
        </w:rPr>
        <w:t>Trade and Development Report 2023: Growth, debt, and climate – Realigning the global financial architecture</w:t>
      </w:r>
      <w:r w:rsidRPr="00A818AB">
        <w:rPr>
          <w:rFonts w:ascii="Times New Roman" w:hAnsi="Times New Roman" w:cs="Times New Roman"/>
        </w:rPr>
        <w:t>. Geneva: United Nations.</w:t>
      </w:r>
      <w:r w:rsidR="00BB7016" w:rsidRPr="00A943C7">
        <w:rPr>
          <w:rFonts w:ascii="Times New Roman" w:hAnsi="Times New Roman" w:cs="Times New Roman"/>
        </w:rPr>
        <w:t xml:space="preserve"> https://unctad.org/publication/trade-and-development-report-2023</w:t>
      </w:r>
    </w:p>
    <w:p w14:paraId="418A3685" w14:textId="101D9D4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UNIDO (United Nations Industrial Development Organization). (2019). </w:t>
      </w:r>
      <w:r w:rsidRPr="00A943C7">
        <w:rPr>
          <w:rFonts w:ascii="Times New Roman" w:hAnsi="Times New Roman" w:cs="Times New Roman"/>
        </w:rPr>
        <w:t>Industrial Development Report 2020: Industrializing in the digital age</w:t>
      </w:r>
      <w:r w:rsidRPr="00A818AB">
        <w:rPr>
          <w:rFonts w:ascii="Times New Roman" w:hAnsi="Times New Roman" w:cs="Times New Roman"/>
        </w:rPr>
        <w:t>. Vienna: UNIDO.</w:t>
      </w:r>
      <w:r w:rsidR="00BB7016" w:rsidRPr="00A943C7">
        <w:rPr>
          <w:rFonts w:ascii="Times New Roman" w:hAnsi="Times New Roman" w:cs="Times New Roman"/>
        </w:rPr>
        <w:t xml:space="preserve"> https://www.unido.org/idr2020</w:t>
      </w:r>
    </w:p>
    <w:p w14:paraId="6E5A713E" w14:textId="06940320"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UN Women. (2020). </w:t>
      </w:r>
      <w:r w:rsidRPr="00A943C7">
        <w:rPr>
          <w:rFonts w:ascii="Times New Roman" w:hAnsi="Times New Roman" w:cs="Times New Roman"/>
        </w:rPr>
        <w:t>Progress of the world's women 2019-2020: Families in a changing world</w:t>
      </w:r>
      <w:r w:rsidRPr="00A818AB">
        <w:rPr>
          <w:rFonts w:ascii="Times New Roman" w:hAnsi="Times New Roman" w:cs="Times New Roman"/>
        </w:rPr>
        <w:t>. New York: UN Women.</w:t>
      </w:r>
      <w:r w:rsidR="00BB7016" w:rsidRPr="00A943C7">
        <w:rPr>
          <w:rFonts w:ascii="Times New Roman" w:hAnsi="Times New Roman" w:cs="Times New Roman"/>
        </w:rPr>
        <w:t xml:space="preserve"> https://www.un-ilibrary.org/gender/progress-of-the-world-s-women-2019-2020_2e1a8167-en</w:t>
      </w:r>
    </w:p>
    <w:p w14:paraId="1EB74B11" w14:textId="48E5C21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Venables, A. J. (2016). Using natural resources for development: why has it proven so difficult? </w:t>
      </w:r>
      <w:r w:rsidRPr="00A943C7">
        <w:rPr>
          <w:rFonts w:ascii="Times New Roman" w:hAnsi="Times New Roman" w:cs="Times New Roman"/>
        </w:rPr>
        <w:t>Journal of Economic Perspectives</w:t>
      </w:r>
      <w:r w:rsidRPr="00A818AB">
        <w:rPr>
          <w:rFonts w:ascii="Times New Roman" w:hAnsi="Times New Roman" w:cs="Times New Roman"/>
        </w:rPr>
        <w:t>, 30(1), 161-184.</w:t>
      </w:r>
      <w:r w:rsidR="00BB7016" w:rsidRPr="00A943C7">
        <w:rPr>
          <w:rFonts w:ascii="Times New Roman" w:hAnsi="Times New Roman" w:cs="Times New Roman"/>
        </w:rPr>
        <w:t xml:space="preserve"> https://doi.org/10.1257/jep.30.1.161</w:t>
      </w:r>
    </w:p>
    <w:p w14:paraId="78C7823F" w14:textId="48079A1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Vijil, M., &amp; Wagner, L. (2012). Does aid for trade enhance export performance? Investigating the infrastructure channel. </w:t>
      </w:r>
      <w:r w:rsidRPr="00A943C7">
        <w:rPr>
          <w:rFonts w:ascii="Times New Roman" w:hAnsi="Times New Roman" w:cs="Times New Roman"/>
        </w:rPr>
        <w:t>The World Economy</w:t>
      </w:r>
      <w:r w:rsidRPr="00A818AB">
        <w:rPr>
          <w:rFonts w:ascii="Times New Roman" w:hAnsi="Times New Roman" w:cs="Times New Roman"/>
        </w:rPr>
        <w:t>, 35(7), 838-868.</w:t>
      </w:r>
      <w:r w:rsidR="00BB7016" w:rsidRPr="00A943C7">
        <w:rPr>
          <w:rFonts w:ascii="Times New Roman" w:hAnsi="Times New Roman" w:cs="Times New Roman"/>
        </w:rPr>
        <w:t xml:space="preserve"> https://doi.org/10.1111/j.1467-9701.2012.01437.x</w:t>
      </w:r>
    </w:p>
    <w:p w14:paraId="18DC9823" w14:textId="77777777"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Wade, R. (1990). </w:t>
      </w:r>
      <w:r w:rsidRPr="00A943C7">
        <w:rPr>
          <w:rFonts w:ascii="Times New Roman" w:hAnsi="Times New Roman" w:cs="Times New Roman"/>
        </w:rPr>
        <w:t>Governing the market: Economic theory and the role of government in East Asian industrialization</w:t>
      </w:r>
      <w:r w:rsidRPr="00A818AB">
        <w:rPr>
          <w:rFonts w:ascii="Times New Roman" w:hAnsi="Times New Roman" w:cs="Times New Roman"/>
        </w:rPr>
        <w:t>. Princeton University Press.</w:t>
      </w:r>
    </w:p>
    <w:p w14:paraId="61C523E5" w14:textId="206A81C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Wade, R. H. (2003). What strategies are viable for developing countries today? The World Trade Organization and the shrinking of 'development space'. </w:t>
      </w:r>
      <w:r w:rsidRPr="00A943C7">
        <w:rPr>
          <w:rFonts w:ascii="Times New Roman" w:hAnsi="Times New Roman" w:cs="Times New Roman"/>
        </w:rPr>
        <w:t xml:space="preserve">Review of </w:t>
      </w:r>
      <w:r w:rsidRPr="00A943C7">
        <w:rPr>
          <w:rFonts w:ascii="Times New Roman" w:hAnsi="Times New Roman" w:cs="Times New Roman"/>
        </w:rPr>
        <w:lastRenderedPageBreak/>
        <w:t>International Political Economy</w:t>
      </w:r>
      <w:r w:rsidRPr="00A818AB">
        <w:rPr>
          <w:rFonts w:ascii="Times New Roman" w:hAnsi="Times New Roman" w:cs="Times New Roman"/>
        </w:rPr>
        <w:t>, 10(4), 621-644.</w:t>
      </w:r>
      <w:r w:rsidR="00BB7016" w:rsidRPr="00A943C7">
        <w:rPr>
          <w:rFonts w:ascii="Times New Roman" w:hAnsi="Times New Roman" w:cs="Times New Roman"/>
        </w:rPr>
        <w:t xml:space="preserve"> https://doi.org/10.1080/09692290310001601902</w:t>
      </w:r>
    </w:p>
    <w:p w14:paraId="62FEF656" w14:textId="062B68B2"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Winters, L. A., &amp; Martins, P. M. (2004). When comparative advantage is not enough: Business costs in small remote economies. </w:t>
      </w:r>
      <w:r w:rsidRPr="00A943C7">
        <w:rPr>
          <w:rFonts w:ascii="Times New Roman" w:hAnsi="Times New Roman" w:cs="Times New Roman"/>
        </w:rPr>
        <w:t>World Trade Review</w:t>
      </w:r>
      <w:r w:rsidRPr="00A818AB">
        <w:rPr>
          <w:rFonts w:ascii="Times New Roman" w:hAnsi="Times New Roman" w:cs="Times New Roman"/>
        </w:rPr>
        <w:t>, 3(3), 347-383.</w:t>
      </w:r>
      <w:r w:rsidR="00BB7016" w:rsidRPr="00A943C7">
        <w:rPr>
          <w:rFonts w:ascii="Times New Roman" w:hAnsi="Times New Roman" w:cs="Times New Roman"/>
        </w:rPr>
        <w:t xml:space="preserve"> https://doi.org/10.1017/S1474745604001922</w:t>
      </w:r>
    </w:p>
    <w:p w14:paraId="6A3D1B87" w14:textId="2A8807D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(1993). </w:t>
      </w:r>
      <w:r w:rsidRPr="00A943C7">
        <w:rPr>
          <w:rFonts w:ascii="Times New Roman" w:hAnsi="Times New Roman" w:cs="Times New Roman"/>
        </w:rPr>
        <w:t>The East Asian miracle: Economic growth and public policy</w:t>
      </w:r>
      <w:r w:rsidRPr="00A818AB">
        <w:rPr>
          <w:rFonts w:ascii="Times New Roman" w:hAnsi="Times New Roman" w:cs="Times New Roman"/>
        </w:rPr>
        <w:t>. Oxford University Press.</w:t>
      </w:r>
      <w:r w:rsidR="00BB7016" w:rsidRPr="00A943C7">
        <w:rPr>
          <w:rFonts w:ascii="Times New Roman" w:hAnsi="Times New Roman" w:cs="Times New Roman"/>
        </w:rPr>
        <w:t xml:space="preserve"> http://documents.worldbank.org/curated/en/975081468244550798</w:t>
      </w:r>
    </w:p>
    <w:p w14:paraId="45560586" w14:textId="0C5892BB"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(2018). </w:t>
      </w:r>
      <w:r w:rsidRPr="00A943C7">
        <w:rPr>
          <w:rFonts w:ascii="Times New Roman" w:hAnsi="Times New Roman" w:cs="Times New Roman"/>
        </w:rPr>
        <w:t>World Development Report 2018: Learning to realize education's promise</w:t>
      </w:r>
      <w:r w:rsidRPr="00A818AB">
        <w:rPr>
          <w:rFonts w:ascii="Times New Roman" w:hAnsi="Times New Roman" w:cs="Times New Roman"/>
        </w:rPr>
        <w:t>. Washington, DC: World Bank.</w:t>
      </w:r>
      <w:r w:rsidR="00BB7016" w:rsidRPr="00A943C7">
        <w:rPr>
          <w:rFonts w:ascii="Times New Roman" w:hAnsi="Times New Roman" w:cs="Times New Roman"/>
        </w:rPr>
        <w:t xml:space="preserve"> https://doi.org/10.1596/978-1-4648-1096-1</w:t>
      </w:r>
    </w:p>
    <w:p w14:paraId="101ECCB6" w14:textId="6413E11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(2020). </w:t>
      </w:r>
      <w:r w:rsidRPr="00A943C7">
        <w:rPr>
          <w:rFonts w:ascii="Times New Roman" w:hAnsi="Times New Roman" w:cs="Times New Roman"/>
        </w:rPr>
        <w:t>Poverty and Shared Prosperity 2020: Reversals of fortune</w:t>
      </w:r>
      <w:r w:rsidRPr="00A818AB">
        <w:rPr>
          <w:rFonts w:ascii="Times New Roman" w:hAnsi="Times New Roman" w:cs="Times New Roman"/>
        </w:rPr>
        <w:t>. Washington, DC: World Bank.</w:t>
      </w:r>
      <w:r w:rsidR="00BB7016" w:rsidRPr="00A943C7">
        <w:rPr>
          <w:rFonts w:ascii="Times New Roman" w:hAnsi="Times New Roman" w:cs="Times New Roman"/>
        </w:rPr>
        <w:t xml:space="preserve"> https://doi.org/10.1596/978-1-4648-1602-4</w:t>
      </w:r>
    </w:p>
    <w:p w14:paraId="08A00C3B" w14:textId="39C5724F"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(2022). </w:t>
      </w:r>
      <w:r w:rsidRPr="00A943C7">
        <w:rPr>
          <w:rFonts w:ascii="Times New Roman" w:hAnsi="Times New Roman" w:cs="Times New Roman"/>
        </w:rPr>
        <w:t>Women, Business and the Law 2022</w:t>
      </w:r>
      <w:r w:rsidRPr="00A818AB">
        <w:rPr>
          <w:rFonts w:ascii="Times New Roman" w:hAnsi="Times New Roman" w:cs="Times New Roman"/>
        </w:rPr>
        <w:t>. Washington, DC: World Bank.</w:t>
      </w:r>
      <w:r w:rsidR="00BB7016" w:rsidRPr="00A943C7">
        <w:rPr>
          <w:rFonts w:ascii="Times New Roman" w:hAnsi="Times New Roman" w:cs="Times New Roman"/>
        </w:rPr>
        <w:t xml:space="preserve"> https://doi.org/10.1596/978-1-4648-1817-2</w:t>
      </w:r>
    </w:p>
    <w:p w14:paraId="7F01EA0E" w14:textId="7E6C87CB"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World Bank. (2023). </w:t>
      </w:r>
      <w:r w:rsidRPr="00A943C7">
        <w:rPr>
          <w:rFonts w:ascii="Times New Roman" w:hAnsi="Times New Roman" w:cs="Times New Roman"/>
        </w:rPr>
        <w:t>World Development Report 2023: Migrants, Refugees, and Societies</w:t>
      </w:r>
      <w:r w:rsidRPr="00A818AB">
        <w:rPr>
          <w:rFonts w:ascii="Times New Roman" w:hAnsi="Times New Roman" w:cs="Times New Roman"/>
        </w:rPr>
        <w:t>. Washington, DC: World Bank.</w:t>
      </w:r>
      <w:r w:rsidR="00BB7016" w:rsidRPr="00A943C7">
        <w:rPr>
          <w:rFonts w:ascii="Times New Roman" w:hAnsi="Times New Roman" w:cs="Times New Roman"/>
        </w:rPr>
        <w:t xml:space="preserve"> https://doi.org/10.1596/978-1-4648-1941-4</w:t>
      </w:r>
    </w:p>
    <w:p w14:paraId="077D04E3" w14:textId="6CD6A63D"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(2021). </w:t>
      </w:r>
      <w:r w:rsidRPr="00A943C7">
        <w:rPr>
          <w:rFonts w:ascii="Times New Roman" w:hAnsi="Times New Roman" w:cs="Times New Roman"/>
        </w:rPr>
        <w:t>World Trade Report 2021: Economic resilience and trade</w:t>
      </w:r>
      <w:r w:rsidRPr="00A818AB">
        <w:rPr>
          <w:rFonts w:ascii="Times New Roman" w:hAnsi="Times New Roman" w:cs="Times New Roman"/>
        </w:rPr>
        <w:t>. Geneva: WTO.</w:t>
      </w:r>
      <w:r w:rsidR="00BB7016" w:rsidRPr="00A943C7">
        <w:rPr>
          <w:rFonts w:ascii="Times New Roman" w:hAnsi="Times New Roman" w:cs="Times New Roman"/>
        </w:rPr>
        <w:t xml:space="preserve"> https://www.wto-ilibrary.org/content/books/9789287051400</w:t>
      </w:r>
    </w:p>
    <w:p w14:paraId="62313E39" w14:textId="1585D394" w:rsidR="00162976" w:rsidRPr="00A818AB" w:rsidRDefault="00162976" w:rsidP="00A818AB">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(2022). </w:t>
      </w:r>
      <w:r w:rsidRPr="00A943C7">
        <w:rPr>
          <w:rFonts w:ascii="Times New Roman" w:hAnsi="Times New Roman" w:cs="Times New Roman"/>
        </w:rPr>
        <w:t>World Trade Report 2022: Climate change and international trade</w:t>
      </w:r>
      <w:r w:rsidRPr="00A818AB">
        <w:rPr>
          <w:rFonts w:ascii="Times New Roman" w:hAnsi="Times New Roman" w:cs="Times New Roman"/>
        </w:rPr>
        <w:t>. Geneva: WTO.</w:t>
      </w:r>
      <w:r w:rsidR="00BB7016" w:rsidRPr="00A943C7">
        <w:rPr>
          <w:rFonts w:ascii="Times New Roman" w:hAnsi="Times New Roman" w:cs="Times New Roman"/>
        </w:rPr>
        <w:t xml:space="preserve"> https://www.wto.org/english/res_e/publications_e/wtr22_e/wtr22_e.htm</w:t>
      </w:r>
    </w:p>
    <w:p w14:paraId="226CC28E" w14:textId="3C15A5C3" w:rsidR="00A943C7" w:rsidRPr="00A943C7" w:rsidRDefault="00162976" w:rsidP="00A943C7">
      <w:pPr>
        <w:pStyle w:val="ListParagraph"/>
        <w:numPr>
          <w:ilvl w:val="0"/>
          <w:numId w:val="9"/>
        </w:numPr>
        <w:jc w:val="both"/>
        <w:rPr>
          <w:rFonts w:ascii="Times New Roman" w:hAnsi="Times New Roman" w:cs="Times New Roman"/>
        </w:rPr>
      </w:pPr>
      <w:r w:rsidRPr="00A818AB">
        <w:rPr>
          <w:rFonts w:ascii="Times New Roman" w:hAnsi="Times New Roman" w:cs="Times New Roman"/>
        </w:rPr>
        <w:t xml:space="preserve">WTO (World Trade Organization). (2023). </w:t>
      </w:r>
      <w:r w:rsidRPr="00A943C7">
        <w:rPr>
          <w:rFonts w:ascii="Times New Roman" w:hAnsi="Times New Roman" w:cs="Times New Roman"/>
        </w:rPr>
        <w:t>World Trade Report 2023: Re-globalization for a secure, inclusive and sustainable future</w:t>
      </w:r>
      <w:r w:rsidRPr="00A818AB">
        <w:rPr>
          <w:rFonts w:ascii="Times New Roman" w:hAnsi="Times New Roman" w:cs="Times New Roman"/>
        </w:rPr>
        <w:t>. Geneva: WTO.</w:t>
      </w:r>
      <w:r w:rsidR="00BB7016" w:rsidRPr="00A943C7">
        <w:rPr>
          <w:rFonts w:ascii="Times New Roman" w:hAnsi="Times New Roman" w:cs="Times New Roman"/>
        </w:rPr>
        <w:t xml:space="preserve"> </w:t>
      </w:r>
      <w:hyperlink r:id="rId110" w:history="1">
        <w:r w:rsidR="00A943C7" w:rsidRPr="006F1438">
          <w:rPr>
            <w:rStyle w:val="Hyperlink"/>
            <w:rFonts w:ascii="Times New Roman" w:hAnsi="Times New Roman" w:cs="Times New Roman"/>
          </w:rPr>
          <w:t>https://www.wto.org/english/res_e/publications_e/wtr23_e.htm</w:t>
        </w:r>
      </w:hyperlink>
    </w:p>
    <w:p w14:paraId="23DF29F5" w14:textId="4F21ECAC" w:rsidR="00A943C7" w:rsidRPr="00A943C7" w:rsidRDefault="00A943C7" w:rsidP="00A943C7">
      <w:pPr>
        <w:jc w:val="both"/>
        <w:rPr>
          <w:rFonts w:ascii="Times New Roman" w:hAnsi="Times New Roman" w:cs="Times New Roman"/>
          <w:b/>
          <w:bCs/>
        </w:rPr>
      </w:pPr>
      <w:r w:rsidRPr="00A943C7">
        <w:rPr>
          <w:rFonts w:ascii="Times New Roman" w:hAnsi="Times New Roman" w:cs="Times New Roman"/>
          <w:b/>
          <w:bCs/>
        </w:rPr>
        <w:t>Appendix</w:t>
      </w:r>
    </w:p>
    <w:tbl>
      <w:tblPr>
        <w:tblStyle w:val="TableGrid"/>
        <w:tblW w:w="0" w:type="auto"/>
        <w:tblLook w:val="04A0" w:firstRow="1" w:lastRow="0" w:firstColumn="1" w:lastColumn="0" w:noHBand="0" w:noVBand="1"/>
      </w:tblPr>
      <w:tblGrid>
        <w:gridCol w:w="2171"/>
        <w:gridCol w:w="2304"/>
        <w:gridCol w:w="1836"/>
        <w:gridCol w:w="1602"/>
        <w:gridCol w:w="1106"/>
      </w:tblGrid>
      <w:tr w:rsidR="00A943C7" w:rsidRPr="00A943C7" w14:paraId="1F8B4647" w14:textId="77777777" w:rsidTr="00A943C7">
        <w:tc>
          <w:tcPr>
            <w:tcW w:w="0" w:type="auto"/>
            <w:hideMark/>
          </w:tcPr>
          <w:p w14:paraId="435958C5"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Theme</w:t>
            </w:r>
          </w:p>
        </w:tc>
        <w:tc>
          <w:tcPr>
            <w:tcW w:w="0" w:type="auto"/>
            <w:hideMark/>
          </w:tcPr>
          <w:p w14:paraId="55AF6351"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Key Studies</w:t>
            </w:r>
          </w:p>
        </w:tc>
        <w:tc>
          <w:tcPr>
            <w:tcW w:w="0" w:type="auto"/>
            <w:hideMark/>
          </w:tcPr>
          <w:p w14:paraId="44820DE4"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Methodology</w:t>
            </w:r>
          </w:p>
        </w:tc>
        <w:tc>
          <w:tcPr>
            <w:tcW w:w="0" w:type="auto"/>
            <w:hideMark/>
          </w:tcPr>
          <w:p w14:paraId="4C5BBA25"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Geographic Focus</w:t>
            </w:r>
          </w:p>
        </w:tc>
        <w:tc>
          <w:tcPr>
            <w:tcW w:w="0" w:type="auto"/>
            <w:hideMark/>
          </w:tcPr>
          <w:p w14:paraId="760100DE"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Number of Studies</w:t>
            </w:r>
          </w:p>
        </w:tc>
      </w:tr>
      <w:tr w:rsidR="00A943C7" w:rsidRPr="00A943C7" w14:paraId="18F6AA49" w14:textId="77777777" w:rsidTr="00A943C7">
        <w:tc>
          <w:tcPr>
            <w:tcW w:w="0" w:type="auto"/>
            <w:hideMark/>
          </w:tcPr>
          <w:p w14:paraId="3D13CE8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Trade Theory &amp; Comparative Advantage</w:t>
            </w:r>
          </w:p>
        </w:tc>
        <w:tc>
          <w:tcPr>
            <w:tcW w:w="0" w:type="auto"/>
            <w:hideMark/>
          </w:tcPr>
          <w:p w14:paraId="3BE829B4" w14:textId="77777777" w:rsidR="00A943C7" w:rsidRPr="00A943C7" w:rsidRDefault="00A943C7" w:rsidP="00A943C7">
            <w:pPr>
              <w:spacing w:after="160" w:line="278" w:lineRule="auto"/>
              <w:jc w:val="both"/>
              <w:rPr>
                <w:rFonts w:ascii="Times New Roman" w:hAnsi="Times New Roman" w:cs="Times New Roman"/>
              </w:rPr>
            </w:pPr>
            <w:r w:rsidRPr="00A64C26">
              <w:rPr>
                <w:rFonts w:ascii="Times New Roman" w:hAnsi="Times New Roman" w:cs="Times New Roman"/>
                <w:lang w:val="nl-BE"/>
              </w:rPr>
              <w:t xml:space="preserve">Costinot &amp; Donaldson (2012); Krugman (1979, 1980); Helpman &amp; Krugman (1985); Bernard et al. </w:t>
            </w:r>
            <w:r w:rsidRPr="00A943C7">
              <w:rPr>
                <w:rFonts w:ascii="Times New Roman" w:hAnsi="Times New Roman" w:cs="Times New Roman"/>
              </w:rPr>
              <w:t>(2007); Melitz (2003); Morrow (2010)</w:t>
            </w:r>
          </w:p>
        </w:tc>
        <w:tc>
          <w:tcPr>
            <w:tcW w:w="0" w:type="auto"/>
            <w:hideMark/>
          </w:tcPr>
          <w:p w14:paraId="5494AB7E"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Theoretical modeling; Empirical analysis; Firm-level studies</w:t>
            </w:r>
          </w:p>
        </w:tc>
        <w:tc>
          <w:tcPr>
            <w:tcW w:w="0" w:type="auto"/>
            <w:hideMark/>
          </w:tcPr>
          <w:p w14:paraId="6683D71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Cross-country</w:t>
            </w:r>
          </w:p>
        </w:tc>
        <w:tc>
          <w:tcPr>
            <w:tcW w:w="0" w:type="auto"/>
            <w:hideMark/>
          </w:tcPr>
          <w:p w14:paraId="6ADF70C8"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15</w:t>
            </w:r>
          </w:p>
        </w:tc>
      </w:tr>
      <w:tr w:rsidR="00A943C7" w:rsidRPr="00A943C7" w14:paraId="44784ABD" w14:textId="77777777" w:rsidTr="00A943C7">
        <w:tc>
          <w:tcPr>
            <w:tcW w:w="0" w:type="auto"/>
            <w:hideMark/>
          </w:tcPr>
          <w:p w14:paraId="49EF6F49"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Global Value Chains (GVCs)</w:t>
            </w:r>
          </w:p>
        </w:tc>
        <w:tc>
          <w:tcPr>
            <w:tcW w:w="0" w:type="auto"/>
            <w:hideMark/>
          </w:tcPr>
          <w:p w14:paraId="018D2947" w14:textId="77777777" w:rsidR="00A943C7" w:rsidRPr="00A943C7" w:rsidRDefault="00A943C7" w:rsidP="00A943C7">
            <w:pPr>
              <w:spacing w:after="160" w:line="278" w:lineRule="auto"/>
              <w:jc w:val="both"/>
              <w:rPr>
                <w:rFonts w:ascii="Times New Roman" w:hAnsi="Times New Roman" w:cs="Times New Roman"/>
              </w:rPr>
            </w:pPr>
            <w:proofErr w:type="spellStart"/>
            <w:r w:rsidRPr="00A943C7">
              <w:rPr>
                <w:rFonts w:ascii="Times New Roman" w:hAnsi="Times New Roman" w:cs="Times New Roman"/>
              </w:rPr>
              <w:t>Gereffi</w:t>
            </w:r>
            <w:proofErr w:type="spellEnd"/>
            <w:r w:rsidRPr="00A943C7">
              <w:rPr>
                <w:rFonts w:ascii="Times New Roman" w:hAnsi="Times New Roman" w:cs="Times New Roman"/>
              </w:rPr>
              <w:t xml:space="preserve"> (1999, 2005, 2014); </w:t>
            </w:r>
            <w:proofErr w:type="spellStart"/>
            <w:r w:rsidRPr="00A943C7">
              <w:rPr>
                <w:rFonts w:ascii="Times New Roman" w:hAnsi="Times New Roman" w:cs="Times New Roman"/>
              </w:rPr>
              <w:t>Gereffi</w:t>
            </w:r>
            <w:proofErr w:type="spellEnd"/>
            <w:r w:rsidRPr="00A943C7">
              <w:rPr>
                <w:rFonts w:ascii="Times New Roman" w:hAnsi="Times New Roman" w:cs="Times New Roman"/>
              </w:rPr>
              <w:t xml:space="preserve"> &amp; Fernandez-Stark </w:t>
            </w:r>
            <w:r w:rsidRPr="00A943C7">
              <w:rPr>
                <w:rFonts w:ascii="Times New Roman" w:hAnsi="Times New Roman" w:cs="Times New Roman"/>
              </w:rPr>
              <w:lastRenderedPageBreak/>
              <w:t>(2016); Humphrey &amp; Schmitz (2002); Taglioni &amp; Winkler (2016); Dallas et al. (2019); Ponte &amp; Sturgeon (2014); Milberg &amp; Winkler (2013)</w:t>
            </w:r>
          </w:p>
        </w:tc>
        <w:tc>
          <w:tcPr>
            <w:tcW w:w="0" w:type="auto"/>
            <w:hideMark/>
          </w:tcPr>
          <w:p w14:paraId="1F752F89"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lastRenderedPageBreak/>
              <w:t xml:space="preserve">Value chain analysis; Case </w:t>
            </w:r>
            <w:r w:rsidRPr="00A943C7">
              <w:rPr>
                <w:rFonts w:ascii="Times New Roman" w:hAnsi="Times New Roman" w:cs="Times New Roman"/>
              </w:rPr>
              <w:lastRenderedPageBreak/>
              <w:t>studies; Network analysis</w:t>
            </w:r>
          </w:p>
        </w:tc>
        <w:tc>
          <w:tcPr>
            <w:tcW w:w="0" w:type="auto"/>
            <w:hideMark/>
          </w:tcPr>
          <w:p w14:paraId="6DAD4AB9"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lastRenderedPageBreak/>
              <w:t xml:space="preserve">Multi-regional; </w:t>
            </w:r>
            <w:r w:rsidRPr="00A943C7">
              <w:rPr>
                <w:rFonts w:ascii="Times New Roman" w:hAnsi="Times New Roman" w:cs="Times New Roman"/>
              </w:rPr>
              <w:lastRenderedPageBreak/>
              <w:t>Asia; Africa; Latin America</w:t>
            </w:r>
          </w:p>
        </w:tc>
        <w:tc>
          <w:tcPr>
            <w:tcW w:w="0" w:type="auto"/>
            <w:hideMark/>
          </w:tcPr>
          <w:p w14:paraId="2C188A2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lastRenderedPageBreak/>
              <w:t>18</w:t>
            </w:r>
          </w:p>
        </w:tc>
      </w:tr>
      <w:tr w:rsidR="00A943C7" w:rsidRPr="00A943C7" w14:paraId="786C4179" w14:textId="77777777" w:rsidTr="00A943C7">
        <w:tc>
          <w:tcPr>
            <w:tcW w:w="0" w:type="auto"/>
            <w:hideMark/>
          </w:tcPr>
          <w:p w14:paraId="55D80F53"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Industrial Policy &amp; Development Strategy</w:t>
            </w:r>
          </w:p>
        </w:tc>
        <w:tc>
          <w:tcPr>
            <w:tcW w:w="0" w:type="auto"/>
            <w:hideMark/>
          </w:tcPr>
          <w:p w14:paraId="5CD0B4B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 xml:space="preserve">Amsden (1989, 2001); Chang (2002); Chang &amp; Lin (2009); Rodrik (1995, 2004); Wade (1990, 2003); Cherif &amp; Hasanov (2019); Lin &amp; </w:t>
            </w:r>
            <w:proofErr w:type="spellStart"/>
            <w:r w:rsidRPr="00A943C7">
              <w:rPr>
                <w:rFonts w:ascii="Times New Roman" w:hAnsi="Times New Roman" w:cs="Times New Roman"/>
              </w:rPr>
              <w:t>Monga</w:t>
            </w:r>
            <w:proofErr w:type="spellEnd"/>
            <w:r w:rsidRPr="00A943C7">
              <w:rPr>
                <w:rFonts w:ascii="Times New Roman" w:hAnsi="Times New Roman" w:cs="Times New Roman"/>
              </w:rPr>
              <w:t xml:space="preserve"> (2011); </w:t>
            </w:r>
            <w:proofErr w:type="spellStart"/>
            <w:r w:rsidRPr="00A943C7">
              <w:rPr>
                <w:rFonts w:ascii="Times New Roman" w:hAnsi="Times New Roman" w:cs="Times New Roman"/>
              </w:rPr>
              <w:t>Cimoli</w:t>
            </w:r>
            <w:proofErr w:type="spellEnd"/>
            <w:r w:rsidRPr="00A943C7">
              <w:rPr>
                <w:rFonts w:ascii="Times New Roman" w:hAnsi="Times New Roman" w:cs="Times New Roman"/>
              </w:rPr>
              <w:t xml:space="preserve"> et al. (2009)</w:t>
            </w:r>
          </w:p>
        </w:tc>
        <w:tc>
          <w:tcPr>
            <w:tcW w:w="0" w:type="auto"/>
            <w:hideMark/>
          </w:tcPr>
          <w:p w14:paraId="4DB2FC2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Historical analysis; Policy analysis; Comparative studies</w:t>
            </w:r>
          </w:p>
        </w:tc>
        <w:tc>
          <w:tcPr>
            <w:tcW w:w="0" w:type="auto"/>
            <w:hideMark/>
          </w:tcPr>
          <w:p w14:paraId="6680F65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East Asia; South Korea; Taiwan; China; Developing economies</w:t>
            </w:r>
          </w:p>
        </w:tc>
        <w:tc>
          <w:tcPr>
            <w:tcW w:w="0" w:type="auto"/>
            <w:hideMark/>
          </w:tcPr>
          <w:p w14:paraId="7C76E64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16</w:t>
            </w:r>
          </w:p>
        </w:tc>
      </w:tr>
      <w:tr w:rsidR="00A943C7" w:rsidRPr="00A943C7" w14:paraId="54B914D1" w14:textId="77777777" w:rsidTr="00A943C7">
        <w:tc>
          <w:tcPr>
            <w:tcW w:w="0" w:type="auto"/>
            <w:hideMark/>
          </w:tcPr>
          <w:p w14:paraId="6C18B48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Human Capital &amp; Education</w:t>
            </w:r>
          </w:p>
        </w:tc>
        <w:tc>
          <w:tcPr>
            <w:tcW w:w="0" w:type="auto"/>
            <w:hideMark/>
          </w:tcPr>
          <w:p w14:paraId="0AD22C02" w14:textId="77777777" w:rsidR="00A943C7" w:rsidRPr="00A943C7" w:rsidRDefault="00A943C7" w:rsidP="00A943C7">
            <w:pPr>
              <w:spacing w:after="160" w:line="278" w:lineRule="auto"/>
              <w:jc w:val="both"/>
              <w:rPr>
                <w:rFonts w:ascii="Times New Roman" w:hAnsi="Times New Roman" w:cs="Times New Roman"/>
              </w:rPr>
            </w:pPr>
            <w:r w:rsidRPr="00A64C26">
              <w:rPr>
                <w:rFonts w:ascii="Times New Roman" w:hAnsi="Times New Roman" w:cs="Times New Roman"/>
                <w:lang w:val="nl-BE"/>
              </w:rPr>
              <w:t xml:space="preserve">Barro (2013); Becker (2009); Hanushek &amp; Woessmann (2012, 2020); Glewwe et al. </w:t>
            </w:r>
            <w:r w:rsidRPr="00A943C7">
              <w:rPr>
                <w:rFonts w:ascii="Times New Roman" w:hAnsi="Times New Roman" w:cs="Times New Roman"/>
              </w:rPr>
              <w:t xml:space="preserve">(2014); </w:t>
            </w:r>
            <w:proofErr w:type="spellStart"/>
            <w:r w:rsidRPr="00A943C7">
              <w:rPr>
                <w:rFonts w:ascii="Times New Roman" w:hAnsi="Times New Roman" w:cs="Times New Roman"/>
              </w:rPr>
              <w:t>Benhabib</w:t>
            </w:r>
            <w:proofErr w:type="spellEnd"/>
            <w:r w:rsidRPr="00A943C7">
              <w:rPr>
                <w:rFonts w:ascii="Times New Roman" w:hAnsi="Times New Roman" w:cs="Times New Roman"/>
              </w:rPr>
              <w:t xml:space="preserve"> &amp; Spiegel (2005); Nelson &amp; Phelps (1966)</w:t>
            </w:r>
          </w:p>
        </w:tc>
        <w:tc>
          <w:tcPr>
            <w:tcW w:w="0" w:type="auto"/>
            <w:hideMark/>
          </w:tcPr>
          <w:p w14:paraId="3BEF0C8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Econometric analysis; Cross-country regressions; Panel data</w:t>
            </w:r>
          </w:p>
        </w:tc>
        <w:tc>
          <w:tcPr>
            <w:tcW w:w="0" w:type="auto"/>
            <w:hideMark/>
          </w:tcPr>
          <w:p w14:paraId="5CC0CC5E"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Sub-Saharan Africa; Developing countries</w:t>
            </w:r>
          </w:p>
        </w:tc>
        <w:tc>
          <w:tcPr>
            <w:tcW w:w="0" w:type="auto"/>
            <w:hideMark/>
          </w:tcPr>
          <w:p w14:paraId="6B6D21D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10</w:t>
            </w:r>
          </w:p>
        </w:tc>
      </w:tr>
      <w:tr w:rsidR="00A943C7" w:rsidRPr="00A943C7" w14:paraId="02C2FF86" w14:textId="77777777" w:rsidTr="00A943C7">
        <w:tc>
          <w:tcPr>
            <w:tcW w:w="0" w:type="auto"/>
            <w:hideMark/>
          </w:tcPr>
          <w:p w14:paraId="5B6087BE"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Export Diversification &amp; Economic Complexity</w:t>
            </w:r>
          </w:p>
        </w:tc>
        <w:tc>
          <w:tcPr>
            <w:tcW w:w="0" w:type="auto"/>
            <w:hideMark/>
          </w:tcPr>
          <w:p w14:paraId="21445A7E"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lang w:val="nn-NO"/>
              </w:rPr>
              <w:t xml:space="preserve">Hausmann et al. (2014); Hidalgo &amp; Hausmann (2009); Hidalgo et al. </w:t>
            </w:r>
            <w:r w:rsidRPr="00A943C7">
              <w:rPr>
                <w:rFonts w:ascii="Times New Roman" w:hAnsi="Times New Roman" w:cs="Times New Roman"/>
              </w:rPr>
              <w:t>(2007); Cadot et al. (2011); Hausmann &amp; Klinger (2007); Boschma (2017); Mealy et al. (2022)</w:t>
            </w:r>
          </w:p>
        </w:tc>
        <w:tc>
          <w:tcPr>
            <w:tcW w:w="0" w:type="auto"/>
            <w:hideMark/>
          </w:tcPr>
          <w:p w14:paraId="56505EC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Network analysis; Complexity metrics; Empirical studies</w:t>
            </w:r>
          </w:p>
        </w:tc>
        <w:tc>
          <w:tcPr>
            <w:tcW w:w="0" w:type="auto"/>
            <w:hideMark/>
          </w:tcPr>
          <w:p w14:paraId="6450CB5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Developing economies; Latin America</w:t>
            </w:r>
          </w:p>
        </w:tc>
        <w:tc>
          <w:tcPr>
            <w:tcW w:w="0" w:type="auto"/>
            <w:hideMark/>
          </w:tcPr>
          <w:p w14:paraId="0A949FC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12</w:t>
            </w:r>
          </w:p>
        </w:tc>
      </w:tr>
      <w:tr w:rsidR="00A943C7" w:rsidRPr="00A943C7" w14:paraId="2D7C1A75" w14:textId="77777777" w:rsidTr="00A943C7">
        <w:tc>
          <w:tcPr>
            <w:tcW w:w="0" w:type="auto"/>
            <w:hideMark/>
          </w:tcPr>
          <w:p w14:paraId="0DD163D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Trade &amp; Environment</w:t>
            </w:r>
          </w:p>
        </w:tc>
        <w:tc>
          <w:tcPr>
            <w:tcW w:w="0" w:type="auto"/>
            <w:hideMark/>
          </w:tcPr>
          <w:p w14:paraId="34EEFBE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lang w:val="nn-NO"/>
              </w:rPr>
              <w:t xml:space="preserve">Copeland &amp; Taylor (2004); Antweiler et al. </w:t>
            </w:r>
            <w:r w:rsidRPr="00A64C26">
              <w:rPr>
                <w:rFonts w:ascii="Times New Roman" w:hAnsi="Times New Roman" w:cs="Times New Roman"/>
                <w:lang w:val="nl-BE"/>
              </w:rPr>
              <w:t xml:space="preserve">(2001); Grossman &amp; Krueger (1995); Cherniwchan et al. (2017); Levinson (2009); Porter &amp; van </w:t>
            </w:r>
            <w:r w:rsidRPr="00A64C26">
              <w:rPr>
                <w:rFonts w:ascii="Times New Roman" w:hAnsi="Times New Roman" w:cs="Times New Roman"/>
                <w:lang w:val="nl-BE"/>
              </w:rPr>
              <w:lastRenderedPageBreak/>
              <w:t xml:space="preserve">der Linde (1995); Ambec et al. </w:t>
            </w:r>
            <w:r w:rsidRPr="00A943C7">
              <w:rPr>
                <w:rFonts w:ascii="Times New Roman" w:hAnsi="Times New Roman" w:cs="Times New Roman"/>
              </w:rPr>
              <w:t>(2013)</w:t>
            </w:r>
          </w:p>
        </w:tc>
        <w:tc>
          <w:tcPr>
            <w:tcW w:w="0" w:type="auto"/>
            <w:hideMark/>
          </w:tcPr>
          <w:p w14:paraId="4F41C4F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lastRenderedPageBreak/>
              <w:t>Environmental economics; Econometric analysis; Policy evaluation</w:t>
            </w:r>
          </w:p>
        </w:tc>
        <w:tc>
          <w:tcPr>
            <w:tcW w:w="0" w:type="auto"/>
            <w:hideMark/>
          </w:tcPr>
          <w:p w14:paraId="292F57C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US; Developed &amp; developing countries</w:t>
            </w:r>
          </w:p>
        </w:tc>
        <w:tc>
          <w:tcPr>
            <w:tcW w:w="0" w:type="auto"/>
            <w:hideMark/>
          </w:tcPr>
          <w:p w14:paraId="18486CA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11</w:t>
            </w:r>
          </w:p>
        </w:tc>
      </w:tr>
      <w:tr w:rsidR="00A943C7" w:rsidRPr="00A943C7" w14:paraId="58955D24" w14:textId="77777777" w:rsidTr="00A943C7">
        <w:tc>
          <w:tcPr>
            <w:tcW w:w="0" w:type="auto"/>
            <w:hideMark/>
          </w:tcPr>
          <w:p w14:paraId="0D0FB64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Gender &amp; Social Inclusion</w:t>
            </w:r>
          </w:p>
        </w:tc>
        <w:tc>
          <w:tcPr>
            <w:tcW w:w="0" w:type="auto"/>
            <w:hideMark/>
          </w:tcPr>
          <w:p w14:paraId="2ED1598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 xml:space="preserve">Goldberg &amp; </w:t>
            </w:r>
            <w:proofErr w:type="spellStart"/>
            <w:r w:rsidRPr="00A943C7">
              <w:rPr>
                <w:rFonts w:ascii="Times New Roman" w:hAnsi="Times New Roman" w:cs="Times New Roman"/>
              </w:rPr>
              <w:t>Pavcnik</w:t>
            </w:r>
            <w:proofErr w:type="spellEnd"/>
            <w:r w:rsidRPr="00A943C7">
              <w:rPr>
                <w:rFonts w:ascii="Times New Roman" w:hAnsi="Times New Roman" w:cs="Times New Roman"/>
              </w:rPr>
              <w:t xml:space="preserve"> (2007); </w:t>
            </w:r>
            <w:proofErr w:type="spellStart"/>
            <w:r w:rsidRPr="00A943C7">
              <w:rPr>
                <w:rFonts w:ascii="Times New Roman" w:hAnsi="Times New Roman" w:cs="Times New Roman"/>
              </w:rPr>
              <w:t>Kabeer</w:t>
            </w:r>
            <w:proofErr w:type="spellEnd"/>
            <w:r w:rsidRPr="00A943C7">
              <w:rPr>
                <w:rFonts w:ascii="Times New Roman" w:hAnsi="Times New Roman" w:cs="Times New Roman"/>
              </w:rPr>
              <w:t xml:space="preserve"> &amp; Mahmud (2004); Heath &amp; Mobarak (2015); Tejani &amp; Milberg (2016); Fontana (2016); UN Women (2020); World Bank (2022)</w:t>
            </w:r>
          </w:p>
        </w:tc>
        <w:tc>
          <w:tcPr>
            <w:tcW w:w="0" w:type="auto"/>
            <w:hideMark/>
          </w:tcPr>
          <w:p w14:paraId="30635FD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Gender analysis; Labor market studies; Survey data; Policy reviews</w:t>
            </w:r>
          </w:p>
        </w:tc>
        <w:tc>
          <w:tcPr>
            <w:tcW w:w="0" w:type="auto"/>
            <w:hideMark/>
          </w:tcPr>
          <w:p w14:paraId="6F5F8002"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Bangladesh; Developing countries; Global</w:t>
            </w:r>
          </w:p>
        </w:tc>
        <w:tc>
          <w:tcPr>
            <w:tcW w:w="0" w:type="auto"/>
            <w:hideMark/>
          </w:tcPr>
          <w:p w14:paraId="3DBEB793"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9</w:t>
            </w:r>
          </w:p>
        </w:tc>
      </w:tr>
      <w:tr w:rsidR="00A943C7" w:rsidRPr="00A943C7" w14:paraId="49D6BC5B" w14:textId="77777777" w:rsidTr="00A943C7">
        <w:tc>
          <w:tcPr>
            <w:tcW w:w="0" w:type="auto"/>
            <w:hideMark/>
          </w:tcPr>
          <w:p w14:paraId="752306A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Trade Policy &amp; Institutions</w:t>
            </w:r>
          </w:p>
        </w:tc>
        <w:tc>
          <w:tcPr>
            <w:tcW w:w="0" w:type="auto"/>
            <w:hideMark/>
          </w:tcPr>
          <w:p w14:paraId="5BC2B63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Hoekman &amp; Kostecki (2009); Rodrik (2018); Edwards (1993); Krueger (1997); Harrison &amp; Rodríguez-Clare (2010); WTO Reports (2021-2023)</w:t>
            </w:r>
          </w:p>
        </w:tc>
        <w:tc>
          <w:tcPr>
            <w:tcW w:w="0" w:type="auto"/>
            <w:hideMark/>
          </w:tcPr>
          <w:p w14:paraId="57D63B5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Policy analysis; Institutional studies; Literature reviews</w:t>
            </w:r>
          </w:p>
        </w:tc>
        <w:tc>
          <w:tcPr>
            <w:tcW w:w="0" w:type="auto"/>
            <w:hideMark/>
          </w:tcPr>
          <w:p w14:paraId="50AE879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WTO members; Developing economies</w:t>
            </w:r>
          </w:p>
        </w:tc>
        <w:tc>
          <w:tcPr>
            <w:tcW w:w="0" w:type="auto"/>
            <w:hideMark/>
          </w:tcPr>
          <w:p w14:paraId="52956F2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14</w:t>
            </w:r>
          </w:p>
        </w:tc>
      </w:tr>
      <w:tr w:rsidR="00A943C7" w:rsidRPr="00A943C7" w14:paraId="732DDF65" w14:textId="77777777" w:rsidTr="00A943C7">
        <w:tc>
          <w:tcPr>
            <w:tcW w:w="0" w:type="auto"/>
            <w:hideMark/>
          </w:tcPr>
          <w:p w14:paraId="4E04D2F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SMEs &amp; Firm-Level Trade Dynamics</w:t>
            </w:r>
          </w:p>
        </w:tc>
        <w:tc>
          <w:tcPr>
            <w:tcW w:w="0" w:type="auto"/>
            <w:hideMark/>
          </w:tcPr>
          <w:p w14:paraId="2A1D1FE6"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lang w:val="nn-NO"/>
              </w:rPr>
              <w:t xml:space="preserve">Freund &amp; Pierola (2015); Lederman et al. </w:t>
            </w:r>
            <w:r w:rsidRPr="00A943C7">
              <w:rPr>
                <w:rFonts w:ascii="Times New Roman" w:hAnsi="Times New Roman" w:cs="Times New Roman"/>
              </w:rPr>
              <w:t>(2016); Hallak &amp; Sivadasan (2013); ITC (2020); OECD (2017)</w:t>
            </w:r>
          </w:p>
        </w:tc>
        <w:tc>
          <w:tcPr>
            <w:tcW w:w="0" w:type="auto"/>
            <w:hideMark/>
          </w:tcPr>
          <w:p w14:paraId="3A5D84C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Firm-level analysis; Micro-data studies; Survey research</w:t>
            </w:r>
          </w:p>
        </w:tc>
        <w:tc>
          <w:tcPr>
            <w:tcW w:w="0" w:type="auto"/>
            <w:hideMark/>
          </w:tcPr>
          <w:p w14:paraId="30BCD34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Multi-country; Developing economies</w:t>
            </w:r>
          </w:p>
        </w:tc>
        <w:tc>
          <w:tcPr>
            <w:tcW w:w="0" w:type="auto"/>
            <w:hideMark/>
          </w:tcPr>
          <w:p w14:paraId="570197E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8</w:t>
            </w:r>
          </w:p>
        </w:tc>
      </w:tr>
      <w:tr w:rsidR="00A943C7" w:rsidRPr="00A943C7" w14:paraId="4B105659" w14:textId="77777777" w:rsidTr="00A943C7">
        <w:tc>
          <w:tcPr>
            <w:tcW w:w="0" w:type="auto"/>
            <w:hideMark/>
          </w:tcPr>
          <w:p w14:paraId="41E01B6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Technology Transfer &amp; Innovation</w:t>
            </w:r>
          </w:p>
        </w:tc>
        <w:tc>
          <w:tcPr>
            <w:tcW w:w="0" w:type="auto"/>
            <w:hideMark/>
          </w:tcPr>
          <w:p w14:paraId="4D88260B" w14:textId="77777777" w:rsidR="00A943C7" w:rsidRPr="00A64C26" w:rsidRDefault="00A943C7" w:rsidP="00A943C7">
            <w:pPr>
              <w:spacing w:after="160" w:line="278" w:lineRule="auto"/>
              <w:jc w:val="both"/>
              <w:rPr>
                <w:rFonts w:ascii="Times New Roman" w:hAnsi="Times New Roman" w:cs="Times New Roman"/>
                <w:lang w:val="nl-BE"/>
              </w:rPr>
            </w:pPr>
            <w:r w:rsidRPr="00A64C26">
              <w:rPr>
                <w:rFonts w:ascii="Times New Roman" w:hAnsi="Times New Roman" w:cs="Times New Roman"/>
                <w:lang w:val="nl-BE"/>
              </w:rPr>
              <w:t>Fu et al. (2011); Lema &amp; Lema (2012); Barton (2007); Swinnen &amp; Kuijpers (2019); UNCTAD (2020, 2021); Lewis (2014)</w:t>
            </w:r>
          </w:p>
        </w:tc>
        <w:tc>
          <w:tcPr>
            <w:tcW w:w="0" w:type="auto"/>
            <w:hideMark/>
          </w:tcPr>
          <w:p w14:paraId="7B2855D9"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Innovation studies; Technology analysis; Policy reviews</w:t>
            </w:r>
          </w:p>
        </w:tc>
        <w:tc>
          <w:tcPr>
            <w:tcW w:w="0" w:type="auto"/>
            <w:hideMark/>
          </w:tcPr>
          <w:p w14:paraId="55726E93"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China; India; Developing countries; Global</w:t>
            </w:r>
          </w:p>
        </w:tc>
        <w:tc>
          <w:tcPr>
            <w:tcW w:w="0" w:type="auto"/>
            <w:hideMark/>
          </w:tcPr>
          <w:p w14:paraId="2208EA46"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10</w:t>
            </w:r>
          </w:p>
        </w:tc>
      </w:tr>
      <w:tr w:rsidR="00A943C7" w:rsidRPr="00A943C7" w14:paraId="53E9F3DA" w14:textId="77777777" w:rsidTr="00A943C7">
        <w:tc>
          <w:tcPr>
            <w:tcW w:w="0" w:type="auto"/>
            <w:hideMark/>
          </w:tcPr>
          <w:p w14:paraId="4CCD62C8"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Geographic &amp; Structural Constraints</w:t>
            </w:r>
          </w:p>
        </w:tc>
        <w:tc>
          <w:tcPr>
            <w:tcW w:w="0" w:type="auto"/>
            <w:hideMark/>
          </w:tcPr>
          <w:p w14:paraId="7E53734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lang w:val="nn-NO"/>
              </w:rPr>
              <w:t xml:space="preserve">Gallup et al. (1999); Faye et al. </w:t>
            </w:r>
            <w:r w:rsidRPr="00A943C7">
              <w:rPr>
                <w:rFonts w:ascii="Times New Roman" w:hAnsi="Times New Roman" w:cs="Times New Roman"/>
              </w:rPr>
              <w:t>(2004); Arvis et al. (2010); Briguglio (1995); Armstrong &amp; Read (2000); Winters &amp; Martins (2004)</w:t>
            </w:r>
          </w:p>
        </w:tc>
        <w:tc>
          <w:tcPr>
            <w:tcW w:w="0" w:type="auto"/>
            <w:hideMark/>
          </w:tcPr>
          <w:p w14:paraId="627BAA0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Geographic economics; Structural analysis; Comparative studies</w:t>
            </w:r>
          </w:p>
        </w:tc>
        <w:tc>
          <w:tcPr>
            <w:tcW w:w="0" w:type="auto"/>
            <w:hideMark/>
          </w:tcPr>
          <w:p w14:paraId="3D3723B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Landlocked countries; Small island states; Africa</w:t>
            </w:r>
          </w:p>
        </w:tc>
        <w:tc>
          <w:tcPr>
            <w:tcW w:w="0" w:type="auto"/>
            <w:hideMark/>
          </w:tcPr>
          <w:p w14:paraId="0761F468"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9</w:t>
            </w:r>
          </w:p>
        </w:tc>
      </w:tr>
      <w:tr w:rsidR="00A943C7" w:rsidRPr="00A943C7" w14:paraId="18DCF848" w14:textId="77777777" w:rsidTr="00A943C7">
        <w:tc>
          <w:tcPr>
            <w:tcW w:w="0" w:type="auto"/>
            <w:hideMark/>
          </w:tcPr>
          <w:p w14:paraId="513CC34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lastRenderedPageBreak/>
              <w:t>Specific Country/Regional Cases</w:t>
            </w:r>
          </w:p>
        </w:tc>
        <w:tc>
          <w:tcPr>
            <w:tcW w:w="0" w:type="auto"/>
            <w:hideMark/>
          </w:tcPr>
          <w:p w14:paraId="231BF613" w14:textId="77777777" w:rsidR="00A943C7" w:rsidRPr="00A943C7" w:rsidRDefault="00A943C7" w:rsidP="00A943C7">
            <w:pPr>
              <w:spacing w:after="160" w:line="278" w:lineRule="auto"/>
              <w:jc w:val="both"/>
              <w:rPr>
                <w:rFonts w:ascii="Times New Roman" w:hAnsi="Times New Roman" w:cs="Times New Roman"/>
              </w:rPr>
            </w:pPr>
            <w:proofErr w:type="spellStart"/>
            <w:r w:rsidRPr="00A943C7">
              <w:rPr>
                <w:rFonts w:ascii="Times New Roman" w:hAnsi="Times New Roman" w:cs="Times New Roman"/>
              </w:rPr>
              <w:t>Gebreeyesus</w:t>
            </w:r>
            <w:proofErr w:type="spellEnd"/>
            <w:r w:rsidRPr="00A943C7">
              <w:rPr>
                <w:rFonts w:ascii="Times New Roman" w:hAnsi="Times New Roman" w:cs="Times New Roman"/>
              </w:rPr>
              <w:t xml:space="preserve"> &amp; </w:t>
            </w:r>
            <w:proofErr w:type="spellStart"/>
            <w:r w:rsidRPr="00A943C7">
              <w:rPr>
                <w:rFonts w:ascii="Times New Roman" w:hAnsi="Times New Roman" w:cs="Times New Roman"/>
              </w:rPr>
              <w:t>Iizuka</w:t>
            </w:r>
            <w:proofErr w:type="spellEnd"/>
            <w:r w:rsidRPr="00A943C7">
              <w:rPr>
                <w:rFonts w:ascii="Times New Roman" w:hAnsi="Times New Roman" w:cs="Times New Roman"/>
              </w:rPr>
              <w:t xml:space="preserve"> (2012) - Ethiopia; Mostafa &amp; Klepper (2018) - Bangladesh; Oqubay (2020) - Ethiopia; Ohno (2021) - Vietnam; Lin &amp; Wang (2022) - China; Newman et al. (2020) - Africa &amp; Asia; Meller &amp; Gomez (2022) - Chile</w:t>
            </w:r>
          </w:p>
        </w:tc>
        <w:tc>
          <w:tcPr>
            <w:tcW w:w="0" w:type="auto"/>
            <w:hideMark/>
          </w:tcPr>
          <w:p w14:paraId="02BBFFB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Case studies; Historical analysis; Comparative development studies</w:t>
            </w:r>
          </w:p>
        </w:tc>
        <w:tc>
          <w:tcPr>
            <w:tcW w:w="0" w:type="auto"/>
            <w:hideMark/>
          </w:tcPr>
          <w:p w14:paraId="014E980E"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Ethiopia; Bangladesh; Vietnam; China; Chile; Africa; Asia</w:t>
            </w:r>
          </w:p>
        </w:tc>
        <w:tc>
          <w:tcPr>
            <w:tcW w:w="0" w:type="auto"/>
            <w:hideMark/>
          </w:tcPr>
          <w:p w14:paraId="3F2C12E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15</w:t>
            </w:r>
          </w:p>
        </w:tc>
      </w:tr>
      <w:tr w:rsidR="00A943C7" w:rsidRPr="00A943C7" w14:paraId="29734BFD" w14:textId="77777777" w:rsidTr="00A943C7">
        <w:tc>
          <w:tcPr>
            <w:tcW w:w="0" w:type="auto"/>
            <w:hideMark/>
          </w:tcPr>
          <w:p w14:paraId="702DB1E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COVID-19 &amp; Supply Chain Resilience</w:t>
            </w:r>
          </w:p>
        </w:tc>
        <w:tc>
          <w:tcPr>
            <w:tcW w:w="0" w:type="auto"/>
            <w:hideMark/>
          </w:tcPr>
          <w:p w14:paraId="240DE8C5" w14:textId="77777777" w:rsidR="00A943C7" w:rsidRPr="00A943C7" w:rsidRDefault="00A943C7" w:rsidP="00A943C7">
            <w:pPr>
              <w:spacing w:after="160" w:line="278" w:lineRule="auto"/>
              <w:jc w:val="both"/>
              <w:rPr>
                <w:rFonts w:ascii="Times New Roman" w:hAnsi="Times New Roman" w:cs="Times New Roman"/>
              </w:rPr>
            </w:pPr>
            <w:proofErr w:type="spellStart"/>
            <w:r w:rsidRPr="00A943C7">
              <w:rPr>
                <w:rFonts w:ascii="Times New Roman" w:hAnsi="Times New Roman" w:cs="Times New Roman"/>
              </w:rPr>
              <w:t>Antràs</w:t>
            </w:r>
            <w:proofErr w:type="spellEnd"/>
            <w:r w:rsidRPr="00A943C7">
              <w:rPr>
                <w:rFonts w:ascii="Times New Roman" w:hAnsi="Times New Roman" w:cs="Times New Roman"/>
              </w:rPr>
              <w:t xml:space="preserve"> (2020); </w:t>
            </w:r>
            <w:proofErr w:type="spellStart"/>
            <w:r w:rsidRPr="00A943C7">
              <w:rPr>
                <w:rFonts w:ascii="Times New Roman" w:hAnsi="Times New Roman" w:cs="Times New Roman"/>
              </w:rPr>
              <w:t>Javorcik</w:t>
            </w:r>
            <w:proofErr w:type="spellEnd"/>
            <w:r w:rsidRPr="00A943C7">
              <w:rPr>
                <w:rFonts w:ascii="Times New Roman" w:hAnsi="Times New Roman" w:cs="Times New Roman"/>
              </w:rPr>
              <w:t xml:space="preserve"> (2020); </w:t>
            </w:r>
            <w:proofErr w:type="spellStart"/>
            <w:r w:rsidRPr="00A943C7">
              <w:rPr>
                <w:rFonts w:ascii="Times New Roman" w:hAnsi="Times New Roman" w:cs="Times New Roman"/>
              </w:rPr>
              <w:t>Miroudot</w:t>
            </w:r>
            <w:proofErr w:type="spellEnd"/>
            <w:r w:rsidRPr="00A943C7">
              <w:rPr>
                <w:rFonts w:ascii="Times New Roman" w:hAnsi="Times New Roman" w:cs="Times New Roman"/>
              </w:rPr>
              <w:t xml:space="preserve"> (2020); Baldwin &amp; Freeman (2022); ITC (2020); WTO (2021)</w:t>
            </w:r>
          </w:p>
        </w:tc>
        <w:tc>
          <w:tcPr>
            <w:tcW w:w="0" w:type="auto"/>
            <w:hideMark/>
          </w:tcPr>
          <w:p w14:paraId="44A793E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Policy analysis; Economic impact studies; Literature reviews</w:t>
            </w:r>
          </w:p>
        </w:tc>
        <w:tc>
          <w:tcPr>
            <w:tcW w:w="0" w:type="auto"/>
            <w:hideMark/>
          </w:tcPr>
          <w:p w14:paraId="6BE2B413"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w:t>
            </w:r>
          </w:p>
        </w:tc>
        <w:tc>
          <w:tcPr>
            <w:tcW w:w="0" w:type="auto"/>
            <w:hideMark/>
          </w:tcPr>
          <w:p w14:paraId="732339F4"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6</w:t>
            </w:r>
          </w:p>
        </w:tc>
      </w:tr>
      <w:tr w:rsidR="00A943C7" w:rsidRPr="00A943C7" w14:paraId="7F1829E8" w14:textId="77777777" w:rsidTr="00A943C7">
        <w:tc>
          <w:tcPr>
            <w:tcW w:w="0" w:type="auto"/>
            <w:hideMark/>
          </w:tcPr>
          <w:p w14:paraId="4736F69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Climate Change &amp; Sustainability</w:t>
            </w:r>
          </w:p>
        </w:tc>
        <w:tc>
          <w:tcPr>
            <w:tcW w:w="0" w:type="auto"/>
            <w:hideMark/>
          </w:tcPr>
          <w:p w14:paraId="229FA66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lang w:val="nn-NO"/>
              </w:rPr>
              <w:t xml:space="preserve">Dell et al. (2014); Burke et al. </w:t>
            </w:r>
            <w:r w:rsidRPr="00A64C26">
              <w:rPr>
                <w:rFonts w:ascii="Times New Roman" w:hAnsi="Times New Roman" w:cs="Times New Roman"/>
                <w:lang w:val="nl-BE"/>
              </w:rPr>
              <w:t xml:space="preserve">(2015); Jakob et al. (2016); IEA (2021); WTO (2022); Giannetti et al. </w:t>
            </w:r>
            <w:r w:rsidRPr="00A943C7">
              <w:rPr>
                <w:rFonts w:ascii="Times New Roman" w:hAnsi="Times New Roman" w:cs="Times New Roman"/>
              </w:rPr>
              <w:t>(2020)</w:t>
            </w:r>
          </w:p>
        </w:tc>
        <w:tc>
          <w:tcPr>
            <w:tcW w:w="0" w:type="auto"/>
            <w:hideMark/>
          </w:tcPr>
          <w:p w14:paraId="61BE7356"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Climate economics; Empirical analysis; Policy frameworks</w:t>
            </w:r>
          </w:p>
        </w:tc>
        <w:tc>
          <w:tcPr>
            <w:tcW w:w="0" w:type="auto"/>
            <w:hideMark/>
          </w:tcPr>
          <w:p w14:paraId="625B888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Global; Developing countries</w:t>
            </w:r>
          </w:p>
        </w:tc>
        <w:tc>
          <w:tcPr>
            <w:tcW w:w="0" w:type="auto"/>
            <w:hideMark/>
          </w:tcPr>
          <w:p w14:paraId="6C9083AB"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8</w:t>
            </w:r>
          </w:p>
        </w:tc>
      </w:tr>
    </w:tbl>
    <w:p w14:paraId="6BEEF3CB" w14:textId="2584FBAA" w:rsidR="00A943C7" w:rsidRPr="00A943C7" w:rsidRDefault="00A943C7" w:rsidP="00A943C7">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3142"/>
        <w:gridCol w:w="1959"/>
        <w:gridCol w:w="3918"/>
      </w:tblGrid>
      <w:tr w:rsidR="00A943C7" w:rsidRPr="00A943C7" w14:paraId="6F3617C6" w14:textId="77777777" w:rsidTr="00A943C7">
        <w:tc>
          <w:tcPr>
            <w:tcW w:w="0" w:type="auto"/>
            <w:hideMark/>
          </w:tcPr>
          <w:p w14:paraId="490BB14D"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Methodology Type</w:t>
            </w:r>
          </w:p>
        </w:tc>
        <w:tc>
          <w:tcPr>
            <w:tcW w:w="0" w:type="auto"/>
            <w:hideMark/>
          </w:tcPr>
          <w:p w14:paraId="609DA8DE"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Percentage of Studies</w:t>
            </w:r>
          </w:p>
        </w:tc>
        <w:tc>
          <w:tcPr>
            <w:tcW w:w="0" w:type="auto"/>
            <w:hideMark/>
          </w:tcPr>
          <w:p w14:paraId="1B643AF2" w14:textId="77777777" w:rsidR="00A943C7" w:rsidRPr="00A943C7" w:rsidRDefault="00A943C7" w:rsidP="00A943C7">
            <w:pPr>
              <w:spacing w:after="160" w:line="278" w:lineRule="auto"/>
              <w:jc w:val="both"/>
              <w:rPr>
                <w:rFonts w:ascii="Times New Roman" w:hAnsi="Times New Roman" w:cs="Times New Roman"/>
                <w:b/>
                <w:bCs/>
              </w:rPr>
            </w:pPr>
            <w:r w:rsidRPr="00A943C7">
              <w:rPr>
                <w:rFonts w:ascii="Times New Roman" w:hAnsi="Times New Roman" w:cs="Times New Roman"/>
                <w:b/>
                <w:bCs/>
              </w:rPr>
              <w:t>Description</w:t>
            </w:r>
          </w:p>
        </w:tc>
      </w:tr>
      <w:tr w:rsidR="00A943C7" w:rsidRPr="00A943C7" w14:paraId="3CE78FF8" w14:textId="77777777" w:rsidTr="00A943C7">
        <w:tc>
          <w:tcPr>
            <w:tcW w:w="0" w:type="auto"/>
            <w:hideMark/>
          </w:tcPr>
          <w:p w14:paraId="093AFA2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Empirical/Econometric Analysis</w:t>
            </w:r>
          </w:p>
        </w:tc>
        <w:tc>
          <w:tcPr>
            <w:tcW w:w="0" w:type="auto"/>
            <w:hideMark/>
          </w:tcPr>
          <w:p w14:paraId="369C2B8C"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35%</w:t>
            </w:r>
          </w:p>
        </w:tc>
        <w:tc>
          <w:tcPr>
            <w:tcW w:w="0" w:type="auto"/>
            <w:hideMark/>
          </w:tcPr>
          <w:p w14:paraId="203F713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Cross-country regressions, panel data, statistical analysis</w:t>
            </w:r>
          </w:p>
        </w:tc>
      </w:tr>
      <w:tr w:rsidR="00A943C7" w:rsidRPr="00A943C7" w14:paraId="128CE5CF" w14:textId="77777777" w:rsidTr="00A943C7">
        <w:tc>
          <w:tcPr>
            <w:tcW w:w="0" w:type="auto"/>
            <w:hideMark/>
          </w:tcPr>
          <w:p w14:paraId="1A8AE50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Case Studies</w:t>
            </w:r>
          </w:p>
        </w:tc>
        <w:tc>
          <w:tcPr>
            <w:tcW w:w="0" w:type="auto"/>
            <w:hideMark/>
          </w:tcPr>
          <w:p w14:paraId="5D80FF6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25%</w:t>
            </w:r>
          </w:p>
        </w:tc>
        <w:tc>
          <w:tcPr>
            <w:tcW w:w="0" w:type="auto"/>
            <w:hideMark/>
          </w:tcPr>
          <w:p w14:paraId="38D305A9"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Country-specific or sector-specific detailed analyses</w:t>
            </w:r>
          </w:p>
        </w:tc>
      </w:tr>
      <w:tr w:rsidR="00A943C7" w:rsidRPr="00A943C7" w14:paraId="1467BF8B" w14:textId="77777777" w:rsidTr="00A943C7">
        <w:tc>
          <w:tcPr>
            <w:tcW w:w="0" w:type="auto"/>
            <w:hideMark/>
          </w:tcPr>
          <w:p w14:paraId="4258FFA1"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Theoretical Modeling</w:t>
            </w:r>
          </w:p>
        </w:tc>
        <w:tc>
          <w:tcPr>
            <w:tcW w:w="0" w:type="auto"/>
            <w:hideMark/>
          </w:tcPr>
          <w:p w14:paraId="6B539DA0"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15%</w:t>
            </w:r>
          </w:p>
        </w:tc>
        <w:tc>
          <w:tcPr>
            <w:tcW w:w="0" w:type="auto"/>
            <w:hideMark/>
          </w:tcPr>
          <w:p w14:paraId="01D2F0A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Mathematical models, theoretical frameworks</w:t>
            </w:r>
          </w:p>
        </w:tc>
      </w:tr>
      <w:tr w:rsidR="00A943C7" w:rsidRPr="00A943C7" w14:paraId="7B7B513C" w14:textId="77777777" w:rsidTr="00A943C7">
        <w:tc>
          <w:tcPr>
            <w:tcW w:w="0" w:type="auto"/>
            <w:hideMark/>
          </w:tcPr>
          <w:p w14:paraId="6B2BEECB"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Policy Analysis &amp; Reviews</w:t>
            </w:r>
          </w:p>
        </w:tc>
        <w:tc>
          <w:tcPr>
            <w:tcW w:w="0" w:type="auto"/>
            <w:hideMark/>
          </w:tcPr>
          <w:p w14:paraId="0F74D48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12%</w:t>
            </w:r>
          </w:p>
        </w:tc>
        <w:tc>
          <w:tcPr>
            <w:tcW w:w="0" w:type="auto"/>
            <w:hideMark/>
          </w:tcPr>
          <w:p w14:paraId="100A701A"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Policy document analysis, institutional reviews</w:t>
            </w:r>
          </w:p>
        </w:tc>
      </w:tr>
      <w:tr w:rsidR="00A943C7" w:rsidRPr="00A943C7" w14:paraId="0BD59739" w14:textId="77777777" w:rsidTr="00A943C7">
        <w:tc>
          <w:tcPr>
            <w:tcW w:w="0" w:type="auto"/>
            <w:hideMark/>
          </w:tcPr>
          <w:p w14:paraId="44E8690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t>Mixed Methods</w:t>
            </w:r>
          </w:p>
        </w:tc>
        <w:tc>
          <w:tcPr>
            <w:tcW w:w="0" w:type="auto"/>
            <w:hideMark/>
          </w:tcPr>
          <w:p w14:paraId="2312F41D"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8%</w:t>
            </w:r>
          </w:p>
        </w:tc>
        <w:tc>
          <w:tcPr>
            <w:tcW w:w="0" w:type="auto"/>
            <w:hideMark/>
          </w:tcPr>
          <w:p w14:paraId="292BAE97"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Combining qualitative and quantitative approaches</w:t>
            </w:r>
          </w:p>
        </w:tc>
      </w:tr>
      <w:tr w:rsidR="00A943C7" w:rsidRPr="00A943C7" w14:paraId="15832490" w14:textId="77777777" w:rsidTr="00A943C7">
        <w:tc>
          <w:tcPr>
            <w:tcW w:w="0" w:type="auto"/>
            <w:hideMark/>
          </w:tcPr>
          <w:p w14:paraId="1C171A4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b/>
                <w:bCs/>
              </w:rPr>
              <w:lastRenderedPageBreak/>
              <w:t>Systematic Reviews</w:t>
            </w:r>
          </w:p>
        </w:tc>
        <w:tc>
          <w:tcPr>
            <w:tcW w:w="0" w:type="auto"/>
            <w:hideMark/>
          </w:tcPr>
          <w:p w14:paraId="3D590FCF"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5%</w:t>
            </w:r>
          </w:p>
        </w:tc>
        <w:tc>
          <w:tcPr>
            <w:tcW w:w="0" w:type="auto"/>
            <w:hideMark/>
          </w:tcPr>
          <w:p w14:paraId="1CC03A23" w14:textId="77777777" w:rsidR="00A943C7" w:rsidRPr="00A943C7" w:rsidRDefault="00A943C7" w:rsidP="00A943C7">
            <w:pPr>
              <w:spacing w:after="160" w:line="278" w:lineRule="auto"/>
              <w:jc w:val="both"/>
              <w:rPr>
                <w:rFonts w:ascii="Times New Roman" w:hAnsi="Times New Roman" w:cs="Times New Roman"/>
              </w:rPr>
            </w:pPr>
            <w:r w:rsidRPr="00A943C7">
              <w:rPr>
                <w:rFonts w:ascii="Times New Roman" w:hAnsi="Times New Roman" w:cs="Times New Roman"/>
              </w:rPr>
              <w:t>Literature synthesis, meta-analysis</w:t>
            </w:r>
          </w:p>
        </w:tc>
      </w:tr>
    </w:tbl>
    <w:p w14:paraId="485D7BE5" w14:textId="77777777" w:rsidR="00A943C7" w:rsidRPr="00A943C7" w:rsidRDefault="00A943C7" w:rsidP="00A943C7">
      <w:pPr>
        <w:jc w:val="both"/>
        <w:rPr>
          <w:rFonts w:ascii="Times New Roman" w:hAnsi="Times New Roman" w:cs="Times New Roman"/>
        </w:rPr>
      </w:pPr>
    </w:p>
    <w:sectPr w:rsidR="00A943C7" w:rsidRPr="00A943C7" w:rsidSect="00883D3A">
      <w:headerReference w:type="even" r:id="rId111"/>
      <w:headerReference w:type="default" r:id="rId112"/>
      <w:footerReference w:type="even" r:id="rId113"/>
      <w:footerReference w:type="default" r:id="rId114"/>
      <w:headerReference w:type="first" r:id="rId115"/>
      <w:footerReference w:type="first" r:id="rId116"/>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1B86C" w14:textId="77777777" w:rsidR="00DA4835" w:rsidRDefault="00DA4835" w:rsidP="00805AAE">
      <w:pPr>
        <w:spacing w:after="0" w:line="240" w:lineRule="auto"/>
      </w:pPr>
      <w:r>
        <w:separator/>
      </w:r>
    </w:p>
  </w:endnote>
  <w:endnote w:type="continuationSeparator" w:id="0">
    <w:p w14:paraId="3C2D4229" w14:textId="77777777" w:rsidR="00DA4835" w:rsidRDefault="00DA4835" w:rsidP="0080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91109" w14:textId="77777777" w:rsidR="00805AAE" w:rsidRDefault="00805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CA7D6" w14:textId="77777777" w:rsidR="00805AAE" w:rsidRDefault="0080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C384" w14:textId="77777777" w:rsidR="00805AAE" w:rsidRDefault="00805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808E9" w14:textId="77777777" w:rsidR="00DA4835" w:rsidRDefault="00DA4835" w:rsidP="00805AAE">
      <w:pPr>
        <w:spacing w:after="0" w:line="240" w:lineRule="auto"/>
      </w:pPr>
      <w:r>
        <w:separator/>
      </w:r>
    </w:p>
  </w:footnote>
  <w:footnote w:type="continuationSeparator" w:id="0">
    <w:p w14:paraId="54F3F989" w14:textId="77777777" w:rsidR="00DA4835" w:rsidRDefault="00DA4835" w:rsidP="00805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09B38" w14:textId="10D73869" w:rsidR="00805AAE" w:rsidRDefault="00DA4835">
    <w:pPr>
      <w:pStyle w:val="Header"/>
    </w:pPr>
    <w:r>
      <w:rPr>
        <w:noProof/>
      </w:rPr>
      <w:pict w14:anchorId="4F79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8"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C2CE" w14:textId="73EB7B5E" w:rsidR="00805AAE" w:rsidRDefault="00DA4835">
    <w:pPr>
      <w:pStyle w:val="Header"/>
    </w:pPr>
    <w:r>
      <w:rPr>
        <w:noProof/>
      </w:rPr>
      <w:pict w14:anchorId="6460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9"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55A3C" w14:textId="47A55770" w:rsidR="00805AAE" w:rsidRDefault="00DA4835">
    <w:pPr>
      <w:pStyle w:val="Header"/>
    </w:pPr>
    <w:r>
      <w:rPr>
        <w:noProof/>
      </w:rPr>
      <w:pict w14:anchorId="7AC73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98437"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2B76"/>
    <w:multiLevelType w:val="multilevel"/>
    <w:tmpl w:val="2102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55742"/>
    <w:multiLevelType w:val="multilevel"/>
    <w:tmpl w:val="A5A2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7F2AC0"/>
    <w:multiLevelType w:val="hybridMultilevel"/>
    <w:tmpl w:val="3D6E0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6024E9"/>
    <w:multiLevelType w:val="multilevel"/>
    <w:tmpl w:val="50F8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63431"/>
    <w:multiLevelType w:val="hybridMultilevel"/>
    <w:tmpl w:val="1528DF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644C90"/>
    <w:multiLevelType w:val="hybridMultilevel"/>
    <w:tmpl w:val="DCA68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356206"/>
    <w:multiLevelType w:val="multilevel"/>
    <w:tmpl w:val="A1D4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6F2A7B"/>
    <w:multiLevelType w:val="multilevel"/>
    <w:tmpl w:val="D964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AA15B4"/>
    <w:multiLevelType w:val="multilevel"/>
    <w:tmpl w:val="A5AE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6"/>
  </w:num>
  <w:num w:numId="5">
    <w:abstractNumId w:val="3"/>
  </w:num>
  <w:num w:numId="6">
    <w:abstractNumId w:val="1"/>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76"/>
    <w:rsid w:val="000708EC"/>
    <w:rsid w:val="00162976"/>
    <w:rsid w:val="001760B2"/>
    <w:rsid w:val="002207FF"/>
    <w:rsid w:val="00283648"/>
    <w:rsid w:val="002A233A"/>
    <w:rsid w:val="003A1D8C"/>
    <w:rsid w:val="00404064"/>
    <w:rsid w:val="005B532D"/>
    <w:rsid w:val="006B3A63"/>
    <w:rsid w:val="006E70C4"/>
    <w:rsid w:val="007909F1"/>
    <w:rsid w:val="007A46FA"/>
    <w:rsid w:val="007E6A9F"/>
    <w:rsid w:val="00805AAE"/>
    <w:rsid w:val="00883D3A"/>
    <w:rsid w:val="00983DAA"/>
    <w:rsid w:val="009C44E8"/>
    <w:rsid w:val="00A437D2"/>
    <w:rsid w:val="00A64C26"/>
    <w:rsid w:val="00A818AB"/>
    <w:rsid w:val="00A943C7"/>
    <w:rsid w:val="00AC0276"/>
    <w:rsid w:val="00AD20AD"/>
    <w:rsid w:val="00B64093"/>
    <w:rsid w:val="00BB7016"/>
    <w:rsid w:val="00BC1172"/>
    <w:rsid w:val="00BE56A2"/>
    <w:rsid w:val="00C32D2D"/>
    <w:rsid w:val="00CA747F"/>
    <w:rsid w:val="00D11F2F"/>
    <w:rsid w:val="00D1309C"/>
    <w:rsid w:val="00D65A6E"/>
    <w:rsid w:val="00DA4835"/>
    <w:rsid w:val="00DB6D65"/>
    <w:rsid w:val="00E657EE"/>
    <w:rsid w:val="00E67F7E"/>
    <w:rsid w:val="00ED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FC6AC7"/>
  <w15:chartTrackingRefBased/>
  <w15:docId w15:val="{D0FC6666-5DDC-41BA-BAC0-527D390F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29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29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29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29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29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29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29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29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29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9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29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29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29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29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29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9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9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976"/>
    <w:rPr>
      <w:rFonts w:eastAsiaTheme="majorEastAsia" w:cstheme="majorBidi"/>
      <w:color w:val="272727" w:themeColor="text1" w:themeTint="D8"/>
    </w:rPr>
  </w:style>
  <w:style w:type="paragraph" w:styleId="Title">
    <w:name w:val="Title"/>
    <w:basedOn w:val="Normal"/>
    <w:next w:val="Normal"/>
    <w:link w:val="TitleChar"/>
    <w:uiPriority w:val="10"/>
    <w:qFormat/>
    <w:rsid w:val="001629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9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29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29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2976"/>
    <w:pPr>
      <w:spacing w:before="160"/>
      <w:jc w:val="center"/>
    </w:pPr>
    <w:rPr>
      <w:i/>
      <w:iCs/>
      <w:color w:val="404040" w:themeColor="text1" w:themeTint="BF"/>
    </w:rPr>
  </w:style>
  <w:style w:type="character" w:customStyle="1" w:styleId="QuoteChar">
    <w:name w:val="Quote Char"/>
    <w:basedOn w:val="DefaultParagraphFont"/>
    <w:link w:val="Quote"/>
    <w:uiPriority w:val="29"/>
    <w:rsid w:val="00162976"/>
    <w:rPr>
      <w:i/>
      <w:iCs/>
      <w:color w:val="404040" w:themeColor="text1" w:themeTint="BF"/>
    </w:rPr>
  </w:style>
  <w:style w:type="paragraph" w:styleId="ListParagraph">
    <w:name w:val="List Paragraph"/>
    <w:basedOn w:val="Normal"/>
    <w:uiPriority w:val="34"/>
    <w:qFormat/>
    <w:rsid w:val="00162976"/>
    <w:pPr>
      <w:ind w:left="720"/>
      <w:contextualSpacing/>
    </w:pPr>
  </w:style>
  <w:style w:type="character" w:styleId="IntenseEmphasis">
    <w:name w:val="Intense Emphasis"/>
    <w:basedOn w:val="DefaultParagraphFont"/>
    <w:uiPriority w:val="21"/>
    <w:qFormat/>
    <w:rsid w:val="00162976"/>
    <w:rPr>
      <w:i/>
      <w:iCs/>
      <w:color w:val="0F4761" w:themeColor="accent1" w:themeShade="BF"/>
    </w:rPr>
  </w:style>
  <w:style w:type="paragraph" w:styleId="IntenseQuote">
    <w:name w:val="Intense Quote"/>
    <w:basedOn w:val="Normal"/>
    <w:next w:val="Normal"/>
    <w:link w:val="IntenseQuoteChar"/>
    <w:uiPriority w:val="30"/>
    <w:qFormat/>
    <w:rsid w:val="001629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2976"/>
    <w:rPr>
      <w:i/>
      <w:iCs/>
      <w:color w:val="0F4761" w:themeColor="accent1" w:themeShade="BF"/>
    </w:rPr>
  </w:style>
  <w:style w:type="character" w:styleId="IntenseReference">
    <w:name w:val="Intense Reference"/>
    <w:basedOn w:val="DefaultParagraphFont"/>
    <w:uiPriority w:val="32"/>
    <w:qFormat/>
    <w:rsid w:val="00162976"/>
    <w:rPr>
      <w:b/>
      <w:bCs/>
      <w:smallCaps/>
      <w:color w:val="0F4761" w:themeColor="accent1" w:themeShade="BF"/>
      <w:spacing w:val="5"/>
    </w:rPr>
  </w:style>
  <w:style w:type="paragraph" w:styleId="NormalWeb">
    <w:name w:val="Normal (Web)"/>
    <w:basedOn w:val="Normal"/>
    <w:uiPriority w:val="99"/>
    <w:semiHidden/>
    <w:unhideWhenUsed/>
    <w:rsid w:val="00162976"/>
    <w:rPr>
      <w:rFonts w:ascii="Times New Roman" w:hAnsi="Times New Roman" w:cs="Times New Roman"/>
    </w:rPr>
  </w:style>
  <w:style w:type="paragraph" w:styleId="Caption">
    <w:name w:val="caption"/>
    <w:basedOn w:val="Normal"/>
    <w:next w:val="Normal"/>
    <w:uiPriority w:val="35"/>
    <w:unhideWhenUsed/>
    <w:qFormat/>
    <w:rsid w:val="002A233A"/>
    <w:pPr>
      <w:spacing w:after="200" w:line="240" w:lineRule="auto"/>
    </w:pPr>
    <w:rPr>
      <w:i/>
      <w:iCs/>
      <w:color w:val="0E2841" w:themeColor="text2"/>
      <w:sz w:val="18"/>
      <w:szCs w:val="18"/>
    </w:rPr>
  </w:style>
  <w:style w:type="table" w:styleId="TableGrid">
    <w:name w:val="Table Grid"/>
    <w:basedOn w:val="TableNormal"/>
    <w:uiPriority w:val="39"/>
    <w:rsid w:val="002A2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56A2"/>
    <w:rPr>
      <w:color w:val="467886" w:themeColor="hyperlink"/>
      <w:u w:val="single"/>
    </w:rPr>
  </w:style>
  <w:style w:type="character" w:customStyle="1" w:styleId="UnresolvedMention">
    <w:name w:val="Unresolved Mention"/>
    <w:basedOn w:val="DefaultParagraphFont"/>
    <w:uiPriority w:val="99"/>
    <w:semiHidden/>
    <w:unhideWhenUsed/>
    <w:rsid w:val="00BE56A2"/>
    <w:rPr>
      <w:color w:val="605E5C"/>
      <w:shd w:val="clear" w:color="auto" w:fill="E1DFDD"/>
    </w:rPr>
  </w:style>
  <w:style w:type="character" w:styleId="Strong">
    <w:name w:val="Strong"/>
    <w:basedOn w:val="DefaultParagraphFont"/>
    <w:uiPriority w:val="22"/>
    <w:qFormat/>
    <w:rsid w:val="007E6A9F"/>
    <w:rPr>
      <w:b/>
      <w:bCs/>
    </w:rPr>
  </w:style>
  <w:style w:type="paragraph" w:styleId="Header">
    <w:name w:val="header"/>
    <w:basedOn w:val="Normal"/>
    <w:link w:val="HeaderChar"/>
    <w:uiPriority w:val="99"/>
    <w:unhideWhenUsed/>
    <w:rsid w:val="0080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AAE"/>
  </w:style>
  <w:style w:type="paragraph" w:styleId="Footer">
    <w:name w:val="footer"/>
    <w:basedOn w:val="Normal"/>
    <w:link w:val="FooterChar"/>
    <w:uiPriority w:val="99"/>
    <w:unhideWhenUsed/>
    <w:rsid w:val="0080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6/452459" TargetMode="External"/><Relationship Id="rId117" Type="http://schemas.openxmlformats.org/officeDocument/2006/relationships/fontTable" Target="fontTable.xml"/><Relationship Id="rId21" Type="http://schemas.openxmlformats.org/officeDocument/2006/relationships/hyperlink" Target="https://doi.org/10.3386/w27114" TargetMode="External"/><Relationship Id="rId42" Type="http://schemas.openxmlformats.org/officeDocument/2006/relationships/hyperlink" Target="https://doi.org/10.1162/REST_a_00078" TargetMode="External"/><Relationship Id="rId47" Type="http://schemas.openxmlformats.org/officeDocument/2006/relationships/hyperlink" Target="https://doi.org/10.1111/j.1467-7679.2009.00456.x" TargetMode="External"/><Relationship Id="rId63" Type="http://schemas.openxmlformats.org/officeDocument/2006/relationships/hyperlink" Target="https://doi.org/10.1515/1948-1837.1103" TargetMode="External"/><Relationship Id="rId68" Type="http://schemas.openxmlformats.org/officeDocument/2006/relationships/hyperlink" Target="https://doi.org/10.7172/2353-6845.jbfe.2015.2.4" TargetMode="External"/><Relationship Id="rId84" Type="http://schemas.openxmlformats.org/officeDocument/2006/relationships/hyperlink" Target="https://doi.org/10.1080/0034340022000022198" TargetMode="External"/><Relationship Id="rId89" Type="http://schemas.openxmlformats.org/officeDocument/2006/relationships/hyperlink" Target="https://doi.org/10.1016/j.worlddev.2016.03.001" TargetMode="External"/><Relationship Id="rId112" Type="http://schemas.openxmlformats.org/officeDocument/2006/relationships/header" Target="header2.xml"/><Relationship Id="rId16" Type="http://schemas.openxmlformats.org/officeDocument/2006/relationships/hyperlink" Target="https://doi.org/10.1257/mac.2.1.169" TargetMode="External"/><Relationship Id="rId107" Type="http://schemas.openxmlformats.org/officeDocument/2006/relationships/hyperlink" Target="https://doi.org/10.1126/sciadv.aau1705" TargetMode="External"/><Relationship Id="rId11" Type="http://schemas.openxmlformats.org/officeDocument/2006/relationships/image" Target="media/image5.jpeg"/><Relationship Id="rId32" Type="http://schemas.openxmlformats.org/officeDocument/2006/relationships/hyperlink" Target="https://press.uchicago.edu/ucp/books/book/chicago/H/bo5954600.html" TargetMode="External"/><Relationship Id="rId37" Type="http://schemas.openxmlformats.org/officeDocument/2006/relationships/hyperlink" Target="https://us.sagepub.com/en-us/nam/doing-a-systematic-review/book245090" TargetMode="External"/><Relationship Id="rId53" Type="http://schemas.openxmlformats.org/officeDocument/2006/relationships/hyperlink" Target="https://doi.org/10.1257/aer.102.3.453" TargetMode="External"/><Relationship Id="rId58" Type="http://schemas.openxmlformats.org/officeDocument/2006/relationships/hyperlink" Target="https://www.globaltradealert.org/reports/27" TargetMode="External"/><Relationship Id="rId74" Type="http://schemas.openxmlformats.org/officeDocument/2006/relationships/hyperlink" Target="https://doi.org/10.1007/s10887-012-9072-5" TargetMode="External"/><Relationship Id="rId79" Type="http://schemas.openxmlformats.org/officeDocument/2006/relationships/hyperlink" Target="https://doi.org/10.1016/j.jdeveco.2015.01.006" TargetMode="External"/><Relationship Id="rId102" Type="http://schemas.openxmlformats.org/officeDocument/2006/relationships/hyperlink" Target="https://doi.org/10.1162/GLEP_a_00255" TargetMode="External"/><Relationship Id="rId5" Type="http://schemas.openxmlformats.org/officeDocument/2006/relationships/footnotes" Target="footnotes.xml"/><Relationship Id="rId90" Type="http://schemas.openxmlformats.org/officeDocument/2006/relationships/hyperlink" Target="https://www.economics.ox.ac.uk/materials/papers/16000/global-supply-chains-will-not-be-the-same-in-the-post-covid-19-world.pdf" TargetMode="External"/><Relationship Id="rId95" Type="http://schemas.openxmlformats.org/officeDocument/2006/relationships/hyperlink" Target="https://doi.org/10.1016/0022-1996(79)90017-5" TargetMode="External"/><Relationship Id="rId22" Type="http://schemas.openxmlformats.org/officeDocument/2006/relationships/hyperlink" Target="https://doi.org/10.1093/0195052026.001.0001" TargetMode="External"/><Relationship Id="rId27" Type="http://schemas.openxmlformats.org/officeDocument/2006/relationships/hyperlink" Target="https://openknowledge.worldbank.org/handle/10986/2489" TargetMode="External"/><Relationship Id="rId43" Type="http://schemas.openxmlformats.org/officeDocument/2006/relationships/hyperlink" Target="https://doi.org/10.1093/wbro/lkm010" TargetMode="External"/><Relationship Id="rId48" Type="http://schemas.openxmlformats.org/officeDocument/2006/relationships/hyperlink" Target="https://doi.org/10.5089/9781498305402.001" TargetMode="External"/><Relationship Id="rId64" Type="http://schemas.openxmlformats.org/officeDocument/2006/relationships/hyperlink" Target="https://doi.org/10.1016/S0022-1996(98)00075-0" TargetMode="External"/><Relationship Id="rId69" Type="http://schemas.openxmlformats.org/officeDocument/2006/relationships/hyperlink" Target="https://doi.org/10.1016/j.jclepro.2020.122127" TargetMode="External"/><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hyperlink" Target="https://mitpress.mit.edu/" TargetMode="External"/><Relationship Id="rId85" Type="http://schemas.openxmlformats.org/officeDocument/2006/relationships/hyperlink" Target="http://www.uoltj.ca/articles/vol3.2/2006.3.2.uoltj.Hutchison.517-537.pdf" TargetMode="External"/><Relationship Id="rId12" Type="http://schemas.openxmlformats.org/officeDocument/2006/relationships/image" Target="media/image6.jpeg"/><Relationship Id="rId17" Type="http://schemas.openxmlformats.org/officeDocument/2006/relationships/hyperlink" Target="https://cepr.org/publications/DP3219" TargetMode="External"/><Relationship Id="rId33" Type="http://schemas.openxmlformats.org/officeDocument/2006/relationships/hyperlink" Target="https://doi.org/10.1080/03056244.2015.1128407" TargetMode="External"/><Relationship Id="rId38" Type="http://schemas.openxmlformats.org/officeDocument/2006/relationships/hyperlink" Target="https://doi.org/10.1080/00343404.2016.1254767" TargetMode="External"/><Relationship Id="rId59" Type="http://schemas.openxmlformats.org/officeDocument/2006/relationships/hyperlink" Target="https://doi.org/10.1080/14649880310001660201" TargetMode="External"/><Relationship Id="rId103" Type="http://schemas.openxmlformats.org/officeDocument/2006/relationships/hyperlink" Target="https://doi.org/10.1111/j.1467-7679.2011.00534.x" TargetMode="External"/><Relationship Id="rId108" Type="http://schemas.openxmlformats.org/officeDocument/2006/relationships/hyperlink" Target="https://doi.org/10.1111/1468-0262.00467" TargetMode="External"/><Relationship Id="rId54" Type="http://schemas.openxmlformats.org/officeDocument/2006/relationships/hyperlink" Target="https://doi.org/10.1080/09692290.2019.1608284" TargetMode="External"/><Relationship Id="rId70" Type="http://schemas.openxmlformats.org/officeDocument/2006/relationships/hyperlink" Target="https://doi.org/10.1016/j.worlddev.2014.01.021" TargetMode="External"/><Relationship Id="rId75" Type="http://schemas.openxmlformats.org/officeDocument/2006/relationships/hyperlink" Target="https://doi.org/10.1016/B978-0-12-815391-8.00014-8" TargetMode="External"/><Relationship Id="rId91" Type="http://schemas.openxmlformats.org/officeDocument/2006/relationships/hyperlink" Target="https://www.bloomsbury.com/uk/behind-the-scenes-at-the-wto-9781842775332/" TargetMode="External"/><Relationship Id="rId96" Type="http://schemas.openxmlformats.org/officeDocument/2006/relationships/hyperlink" Target="http://links.jstor.org/sici?sici=0002-8282%28198012%2970%3A5%3C950%3ASEPDAT%3E2.0.CO%3B2-H"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93/0195139690.001.0001" TargetMode="External"/><Relationship Id="rId28" Type="http://schemas.openxmlformats.org/officeDocument/2006/relationships/hyperlink" Target="https://doi.org/10.1017/S0023879100041224" TargetMode="External"/><Relationship Id="rId49" Type="http://schemas.openxmlformats.org/officeDocument/2006/relationships/hyperlink" Target="https://doi.org/10.1146/annurev-economics-063016-103756" TargetMode="External"/><Relationship Id="rId114"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http://down.aefweb.net/AefArticles/aef140201Barro.pdf" TargetMode="External"/><Relationship Id="rId44" Type="http://schemas.openxmlformats.org/officeDocument/2006/relationships/hyperlink" Target="https://doi.org/10.1016/j.worlddev.2010.09.018" TargetMode="External"/><Relationship Id="rId52" Type="http://schemas.openxmlformats.org/officeDocument/2006/relationships/hyperlink" Target="https://doi.org/10.1257/002205104773558047" TargetMode="External"/><Relationship Id="rId60" Type="http://schemas.openxmlformats.org/officeDocument/2006/relationships/hyperlink" Target="https://doi.org/10.1162/REST_a_00511" TargetMode="External"/><Relationship Id="rId65" Type="http://schemas.openxmlformats.org/officeDocument/2006/relationships/hyperlink" Target="https://doi.org/10.1017/9781108559423.006" TargetMode="External"/><Relationship Id="rId73" Type="http://schemas.openxmlformats.org/officeDocument/2006/relationships/hyperlink" Target="https://doi.org/10.2307/2118443" TargetMode="External"/><Relationship Id="rId78" Type="http://schemas.openxmlformats.org/officeDocument/2006/relationships/hyperlink" Target="https://www.hks.harvard.edu/sites/default/files/centers/cid/files/publications/faculty-working-papers/146.pdf" TargetMode="External"/><Relationship Id="rId81" Type="http://schemas.openxmlformats.org/officeDocument/2006/relationships/hyperlink" Target="https://doi.org/10.1073/pnas.0900943106" TargetMode="External"/><Relationship Id="rId86" Type="http://schemas.openxmlformats.org/officeDocument/2006/relationships/hyperlink" Target="https://www.iea.org/reports/net-zero-by-2050" TargetMode="External"/><Relationship Id="rId94" Type="http://schemas.openxmlformats.org/officeDocument/2006/relationships/hyperlink" Target="http://links.jstor.org/sici?sici=0002-8282%28199703%2987%3A1%3C1%3ATPAEDH%3E2.0.CO%3B2-L&amp;origin=repec" TargetMode="External"/><Relationship Id="rId99" Type="http://schemas.openxmlformats.org/officeDocument/2006/relationships/hyperlink" Target="https://doi.org/10.1017/CBO9781107337244" TargetMode="External"/><Relationship Id="rId101" Type="http://schemas.openxmlformats.org/officeDocument/2006/relationships/hyperlink" Target="https://doi.org/10.1257/aer.99.5.2177"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doi.org/10.1257/aer.p20151067" TargetMode="External"/><Relationship Id="rId39" Type="http://schemas.openxmlformats.org/officeDocument/2006/relationships/hyperlink" Target="https://doi.org/10.1016/0305-750X(95)00065-K" TargetMode="External"/><Relationship Id="rId109" Type="http://schemas.openxmlformats.org/officeDocument/2006/relationships/hyperlink" Target="https://doi.org/10.1017/S1474745618000502" TargetMode="External"/><Relationship Id="rId34" Type="http://schemas.openxmlformats.org/officeDocument/2006/relationships/hyperlink" Target="https://doi.org/10.1111/j.1467-937X.2007.00413.x" TargetMode="External"/><Relationship Id="rId50" Type="http://schemas.openxmlformats.org/officeDocument/2006/relationships/hyperlink" Target="https://doi.org/10.1093/acprof:oso/9780199235261.001.0001" TargetMode="External"/><Relationship Id="rId55" Type="http://schemas.openxmlformats.org/officeDocument/2006/relationships/hyperlink" Target="https://doi.org/10.1257/jel.52.3.740" TargetMode="External"/><Relationship Id="rId76" Type="http://schemas.openxmlformats.org/officeDocument/2006/relationships/hyperlink" Target="https://doi.org/10.1016/B978-0-444-52944-2.00001-X" TargetMode="External"/><Relationship Id="rId97" Type="http://schemas.openxmlformats.org/officeDocument/2006/relationships/hyperlink" Target="https://www.pearson.com/us/higher-education/program/Krugman-International-Economics-Theory-and-Policy-12th-Edition/PGM266000.html" TargetMode="External"/><Relationship Id="rId104" Type="http://schemas.openxmlformats.org/officeDocument/2006/relationships/hyperlink" Target="https://doi.org/10.1093/epolic/eiaa013" TargetMode="External"/><Relationship Id="rId7" Type="http://schemas.openxmlformats.org/officeDocument/2006/relationships/image" Target="media/image1.png"/><Relationship Id="rId71" Type="http://schemas.openxmlformats.org/officeDocument/2006/relationships/hyperlink" Target="https://doi.org/10.1257/jel.45.1.39" TargetMode="External"/><Relationship Id="rId92" Type="http://schemas.openxmlformats.org/officeDocument/2006/relationships/hyperlink" Target="https://doi.org/10.1002/jid.1065" TargetMode="External"/><Relationship Id="rId2" Type="http://schemas.openxmlformats.org/officeDocument/2006/relationships/styles" Target="styles.xml"/><Relationship Id="rId29" Type="http://schemas.openxmlformats.org/officeDocument/2006/relationships/hyperlink" Target="https://www.hup.harvard.edu/catalog.php?isbn=9780674660489" TargetMode="External"/><Relationship Id="rId24" Type="http://schemas.openxmlformats.org/officeDocument/2006/relationships/hyperlink" Target="https://doi.org/10.3386/w28115" TargetMode="External"/><Relationship Id="rId40" Type="http://schemas.openxmlformats.org/officeDocument/2006/relationships/hyperlink" Target="http://www.e-jel.org/archive/june1998/Bruton.pdf" TargetMode="External"/><Relationship Id="rId45" Type="http://schemas.openxmlformats.org/officeDocument/2006/relationships/hyperlink" Target="https://doi.org/10.1016/j.resourpol.2023.103800" TargetMode="External"/><Relationship Id="rId66" Type="http://schemas.openxmlformats.org/officeDocument/2006/relationships/hyperlink" Target="https://doi.org/10.1080/09692290.2012.756414" TargetMode="External"/><Relationship Id="rId87" Type="http://schemas.openxmlformats.org/officeDocument/2006/relationships/hyperlink" Target="https://www.ilo.org/global/publications/books/WCMS_737675/lang--en/index.htm" TargetMode="External"/><Relationship Id="rId110" Type="http://schemas.openxmlformats.org/officeDocument/2006/relationships/hyperlink" Target="https://www.wto.org/english/res_e/publications_e/wtr23_e.htm" TargetMode="External"/><Relationship Id="rId115" Type="http://schemas.openxmlformats.org/officeDocument/2006/relationships/header" Target="header3.xml"/><Relationship Id="rId61" Type="http://schemas.openxmlformats.org/officeDocument/2006/relationships/hyperlink" Target="https://doi.org/10.1016/j.worlddev.2010.05.009" TargetMode="External"/><Relationship Id="rId82" Type="http://schemas.openxmlformats.org/officeDocument/2006/relationships/hyperlink" Target="https://doi.org/10.1126/science.1144581" TargetMode="External"/><Relationship Id="rId19" Type="http://schemas.openxmlformats.org/officeDocument/2006/relationships/hyperlink" Target="https://mitpress.mit.edu/books/economics-growth" TargetMode="External"/><Relationship Id="rId14" Type="http://schemas.openxmlformats.org/officeDocument/2006/relationships/image" Target="media/image8.jpeg"/><Relationship Id="rId30" Type="http://schemas.openxmlformats.org/officeDocument/2006/relationships/hyperlink" Target="https://doi.org/10.1146/annurev-economics-051420-113737" TargetMode="External"/><Relationship Id="rId35" Type="http://schemas.openxmlformats.org/officeDocument/2006/relationships/hyperlink" Target="https://doi.org/10.1111/j.1523-1739.2011.01774.x" TargetMode="External"/><Relationship Id="rId56" Type="http://schemas.openxmlformats.org/officeDocument/2006/relationships/hyperlink" Target="https://doi.org/10.1016/j.worlddev.2016.08.014" TargetMode="External"/><Relationship Id="rId77" Type="http://schemas.openxmlformats.org/officeDocument/2006/relationships/hyperlink" Target="https://doi.org/10.7551/mitpress/9647.001.0001" TargetMode="External"/><Relationship Id="rId100" Type="http://schemas.openxmlformats.org/officeDocument/2006/relationships/hyperlink" Target="https://doi.org/10.1080/2157930X.2012.667206" TargetMode="External"/><Relationship Id="rId105" Type="http://schemas.openxmlformats.org/officeDocument/2006/relationships/hyperlink" Target="https://doi.org/10.1257/aer.104.2.495" TargetMode="External"/><Relationship Id="rId8" Type="http://schemas.openxmlformats.org/officeDocument/2006/relationships/image" Target="media/image2.png"/><Relationship Id="rId51" Type="http://schemas.openxmlformats.org/officeDocument/2006/relationships/hyperlink" Target="https://doi.org/10.1017/S0003055417000685" TargetMode="External"/><Relationship Id="rId72" Type="http://schemas.openxmlformats.org/officeDocument/2006/relationships/hyperlink" Target="https://doi.org/10.1257/jel.20171452" TargetMode="External"/><Relationship Id="rId93" Type="http://schemas.openxmlformats.org/officeDocument/2006/relationships/hyperlink" Target="https://doi.org/10.1080/713600071" TargetMode="External"/><Relationship Id="rId98" Type="http://schemas.openxmlformats.org/officeDocument/2006/relationships/hyperlink" Target="https://doi.org/10.1080/02255189.2016.1131671" TargetMode="External"/><Relationship Id="rId3" Type="http://schemas.openxmlformats.org/officeDocument/2006/relationships/settings" Target="settings.xml"/><Relationship Id="rId25" Type="http://schemas.openxmlformats.org/officeDocument/2006/relationships/hyperlink" Target="https://doi.org/10.1257/aer.91.4.877" TargetMode="External"/><Relationship Id="rId46" Type="http://schemas.openxmlformats.org/officeDocument/2006/relationships/hyperlink" Target="https://www.anthempress.com/kicking-away-the-ladder" TargetMode="External"/><Relationship Id="rId67" Type="http://schemas.openxmlformats.org/officeDocument/2006/relationships/hyperlink" Target="https://hdl.handle.net/10161/12488" TargetMode="External"/><Relationship Id="rId116" Type="http://schemas.openxmlformats.org/officeDocument/2006/relationships/footer" Target="footer3.xml"/><Relationship Id="rId20" Type="http://schemas.openxmlformats.org/officeDocument/2006/relationships/hyperlink" Target="https://doi.org/10.1093/reep/res016" TargetMode="External"/><Relationship Id="rId41" Type="http://schemas.openxmlformats.org/officeDocument/2006/relationships/hyperlink" Target="https://doi.org/10.1038/nature15725" TargetMode="External"/><Relationship Id="rId62" Type="http://schemas.openxmlformats.org/officeDocument/2006/relationships/hyperlink" Target="https://doi.org/10.1177/016001799761012334" TargetMode="External"/><Relationship Id="rId83" Type="http://schemas.openxmlformats.org/officeDocument/2006/relationships/hyperlink" Target="https://global.oup.com/academic/product/the-political-economy-of-the-world-trading-system-9780199553778?cc=us&amp;lang=en&amp;" TargetMode="External"/><Relationship Id="rId88" Type="http://schemas.openxmlformats.org/officeDocument/2006/relationships/hyperlink" Target="https://www.intracen.org/uploadedFiles/intracenorg/Content/Publications/ITCSMECO2020.pdf" TargetMode="External"/><Relationship Id="rId111" Type="http://schemas.openxmlformats.org/officeDocument/2006/relationships/header" Target="header1.xml"/><Relationship Id="rId15" Type="http://schemas.openxmlformats.org/officeDocument/2006/relationships/image" Target="media/image9.jpeg"/><Relationship Id="rId36" Type="http://schemas.openxmlformats.org/officeDocument/2006/relationships/hyperlink" Target="https://doi.org/10.1016/j.ijforecast.2007.07.001" TargetMode="External"/><Relationship Id="rId57" Type="http://schemas.openxmlformats.org/officeDocument/2006/relationships/hyperlink" Target="https://doi.org/10.2307/2728244" TargetMode="External"/><Relationship Id="rId106" Type="http://schemas.openxmlformats.org/officeDocument/2006/relationships/hyperlink" Target="https://doi.org/10.1080/00358530600931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4153D9-2826-4EA1-8AC7-1B779B20D20C}">
  <we:reference id="WA200000368" version="1.0.0.0" store="Omex" storeType="OMEX"/>
  <we:alternateReferences>
    <we:reference id="WA200000368" version="1.0.0.0" store="WA200000368" storeType="OMEX"/>
  </we:alternateReferences>
  <we:properties>
    <we:property name="documentId" value="&quot;bf0e46e4559c2853&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138</TotalTime>
  <Pages>38</Pages>
  <Words>14799</Words>
  <Characters>84356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FAHIM MOHAMED ASLAM</dc:creator>
  <cp:keywords/>
  <dc:description/>
  <cp:lastModifiedBy>SDI CPU 1117</cp:lastModifiedBy>
  <cp:revision>12</cp:revision>
  <dcterms:created xsi:type="dcterms:W3CDTF">2025-12-02T15:10:00Z</dcterms:created>
  <dcterms:modified xsi:type="dcterms:W3CDTF">2025-12-12T11:50:00Z</dcterms:modified>
</cp:coreProperties>
</file>