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CB339" w14:textId="55FE8F6E" w:rsidR="00AB4CA0" w:rsidRPr="00AB4CA0" w:rsidRDefault="00AB4CA0" w:rsidP="00AB4CA0">
      <w:pPr>
        <w:pStyle w:val="Style1"/>
        <w:spacing w:after="0" w:line="360" w:lineRule="auto"/>
        <w:ind w:left="720"/>
        <w:rPr>
          <w:rFonts w:cs="Times New Roman"/>
          <w:b/>
          <w:szCs w:val="24"/>
          <w:lang w:val="en-US"/>
        </w:rPr>
      </w:pPr>
      <w:r w:rsidRPr="00AB4CA0">
        <w:rPr>
          <w:rFonts w:cs="Times New Roman"/>
          <w:b/>
          <w:szCs w:val="24"/>
          <w:lang w:val="en-US"/>
        </w:rPr>
        <w:t>AI-Powered Marketing: Shaping the Future</w:t>
      </w:r>
      <w:r w:rsidR="00F7183F">
        <w:rPr>
          <w:rFonts w:cs="Times New Roman"/>
          <w:b/>
          <w:szCs w:val="24"/>
          <w:lang w:val="en-US"/>
        </w:rPr>
        <w:t xml:space="preserve"> of the Pharmaceutical Industry</w:t>
      </w:r>
    </w:p>
    <w:p w14:paraId="1B4646C0" w14:textId="77777777" w:rsidR="00631BAA" w:rsidRPr="00AB4CA0" w:rsidRDefault="00631BAA" w:rsidP="008D3809">
      <w:pPr>
        <w:pStyle w:val="Style1"/>
        <w:spacing w:after="0" w:line="360" w:lineRule="auto"/>
        <w:jc w:val="center"/>
        <w:rPr>
          <w:rFonts w:cs="Times New Roman"/>
          <w:szCs w:val="24"/>
          <w:lang w:val="en-US"/>
        </w:rPr>
      </w:pPr>
    </w:p>
    <w:p w14:paraId="713C6FD6" w14:textId="77777777" w:rsidR="00AB4CA0" w:rsidRPr="00AB4CA0" w:rsidRDefault="00AB4CA0" w:rsidP="00AB4CA0">
      <w:pPr>
        <w:pStyle w:val="Style1"/>
        <w:spacing w:after="0" w:line="360" w:lineRule="auto"/>
        <w:rPr>
          <w:rFonts w:cs="Times New Roman"/>
          <w:szCs w:val="24"/>
          <w:lang w:val="en-US"/>
        </w:rPr>
      </w:pPr>
      <w:r w:rsidRPr="00AB4CA0">
        <w:rPr>
          <w:rFonts w:cs="Times New Roman"/>
          <w:b/>
          <w:szCs w:val="24"/>
          <w:lang w:val="en-US"/>
        </w:rPr>
        <w:t>Introduction:</w:t>
      </w:r>
      <w:r w:rsidRPr="00AB4CA0">
        <w:rPr>
          <w:rFonts w:cs="Times New Roman"/>
          <w:szCs w:val="24"/>
          <w:lang w:val="en-US"/>
        </w:rPr>
        <w:br/>
        <w:t>Artificial Intelligence (AI) is rapidly transforming the pharmaceutical marketing landscape by enabling more data-driven, personalized, and efficient strategies. Traditionally cautious in adopting new marketing technologies, the pharmaceutical industry is now embracing AI to enhance decision-making and customer engagement.</w:t>
      </w:r>
    </w:p>
    <w:p w14:paraId="369B6492" w14:textId="77777777" w:rsidR="00AB4CA0" w:rsidRPr="00AB4CA0" w:rsidRDefault="00AB4CA0" w:rsidP="00AB4CA0">
      <w:pPr>
        <w:pStyle w:val="Style1"/>
        <w:spacing w:after="0" w:line="360" w:lineRule="auto"/>
        <w:rPr>
          <w:rFonts w:cs="Times New Roman"/>
          <w:szCs w:val="24"/>
          <w:lang w:val="en-US"/>
        </w:rPr>
      </w:pPr>
      <w:r w:rsidRPr="00AB4CA0">
        <w:rPr>
          <w:rFonts w:cs="Times New Roman"/>
          <w:b/>
          <w:szCs w:val="24"/>
          <w:lang w:val="en-US"/>
        </w:rPr>
        <w:t>Background:</w:t>
      </w:r>
      <w:r w:rsidRPr="00AB4CA0">
        <w:rPr>
          <w:rFonts w:cs="Times New Roman"/>
          <w:szCs w:val="24"/>
          <w:lang w:val="en-US"/>
        </w:rPr>
        <w:br/>
        <w:t>Pharmaceutical marketing has historically relied on conventional methods, but the advent of AI technologies such as natural language processing, machine learning, and predictive analytics is reshaping how companies approach customer relationship management, brand positioning, and market forecasting. These tools allow for deeper insights into customer behavior, sentiment analysis, and omnichannel engagement, which are critical in a highly regulated and competitive environment.</w:t>
      </w:r>
    </w:p>
    <w:p w14:paraId="026E0A63" w14:textId="77777777" w:rsidR="00AB4CA0" w:rsidRPr="00AB4CA0" w:rsidRDefault="00AB4CA0" w:rsidP="00AB4CA0">
      <w:pPr>
        <w:pStyle w:val="Style1"/>
        <w:spacing w:after="0" w:line="360" w:lineRule="auto"/>
        <w:rPr>
          <w:rFonts w:cs="Times New Roman"/>
          <w:szCs w:val="24"/>
          <w:lang w:val="en-US"/>
        </w:rPr>
      </w:pPr>
      <w:r w:rsidRPr="00AB4CA0">
        <w:rPr>
          <w:rFonts w:cs="Times New Roman"/>
          <w:b/>
          <w:szCs w:val="24"/>
          <w:lang w:val="en-US"/>
        </w:rPr>
        <w:t>Methodology:</w:t>
      </w:r>
      <w:r w:rsidRPr="00AB4CA0">
        <w:rPr>
          <w:rFonts w:cs="Times New Roman"/>
          <w:szCs w:val="24"/>
          <w:lang w:val="en-US"/>
        </w:rPr>
        <w:br/>
        <w:t>This review synthesizes current literature and case studies from leading pharmaceutical companies to evaluate the applications and impact of AI in marketing. It examines AI-driven tools used to optimize sales operations, improve medical representative efficiency, and ensure regulatory compliance. Challenges such as data privacy, ethical concerns, and regulatory constraints are also critically analyzed.</w:t>
      </w:r>
    </w:p>
    <w:p w14:paraId="5291272B" w14:textId="77777777" w:rsidR="00AB4CA0" w:rsidRPr="00AB4CA0" w:rsidRDefault="00AB4CA0" w:rsidP="00AB4CA0">
      <w:pPr>
        <w:pStyle w:val="Style1"/>
        <w:spacing w:after="0" w:line="360" w:lineRule="auto"/>
        <w:rPr>
          <w:rFonts w:cs="Times New Roman"/>
          <w:szCs w:val="24"/>
          <w:lang w:val="en-US"/>
        </w:rPr>
      </w:pPr>
      <w:r w:rsidRPr="00AB4CA0">
        <w:rPr>
          <w:rFonts w:cs="Times New Roman"/>
          <w:b/>
          <w:szCs w:val="24"/>
          <w:lang w:val="en-US"/>
        </w:rPr>
        <w:t>Results:</w:t>
      </w:r>
      <w:r w:rsidRPr="00AB4CA0">
        <w:rPr>
          <w:rFonts w:cs="Times New Roman"/>
          <w:szCs w:val="24"/>
          <w:lang w:val="en-US"/>
        </w:rPr>
        <w:br/>
        <w:t>Findings indicate that AI adoption leads to measurable benefits including increased return on investment (ROI), enhanced market segmentation, and improved drug adoption rates. AI facilitates more personalized communication strategies and streamlines marketing workflows, contributing to cost efficiency and patient-centric approaches.</w:t>
      </w:r>
    </w:p>
    <w:p w14:paraId="25988719" w14:textId="77777777" w:rsidR="00AB4CA0" w:rsidRPr="00AB4CA0" w:rsidRDefault="00AB4CA0" w:rsidP="00AB4CA0">
      <w:pPr>
        <w:pStyle w:val="Style1"/>
        <w:spacing w:after="0" w:line="360" w:lineRule="auto"/>
        <w:rPr>
          <w:rFonts w:cs="Times New Roman"/>
          <w:szCs w:val="24"/>
          <w:lang w:val="en-US"/>
        </w:rPr>
      </w:pPr>
      <w:r w:rsidRPr="00AB4CA0">
        <w:rPr>
          <w:rFonts w:cs="Times New Roman"/>
          <w:b/>
          <w:szCs w:val="24"/>
          <w:lang w:val="en-US"/>
        </w:rPr>
        <w:t>Conclusion:</w:t>
      </w:r>
      <w:r w:rsidRPr="00AB4CA0">
        <w:rPr>
          <w:rFonts w:cs="Times New Roman"/>
          <w:szCs w:val="24"/>
          <w:lang w:val="en-US"/>
        </w:rPr>
        <w:br/>
        <w:t>AI integration marks a pivotal shift toward smarter, ethical, and more effective pharmaceutical marketing. Future trends such as generative AI, conversational analytics, and digital twins promise to further revolutionize the sector, driving sustainable digital growth.</w:t>
      </w:r>
    </w:p>
    <w:p w14:paraId="678398D4" w14:textId="77777777" w:rsidR="00AB4CA0" w:rsidRPr="00AB4CA0" w:rsidRDefault="00AB4CA0" w:rsidP="00AB4CA0">
      <w:pPr>
        <w:pStyle w:val="Style1"/>
        <w:spacing w:after="0" w:line="360" w:lineRule="auto"/>
        <w:rPr>
          <w:rFonts w:cs="Times New Roman"/>
          <w:szCs w:val="24"/>
          <w:lang w:val="en-US"/>
        </w:rPr>
      </w:pPr>
      <w:r w:rsidRPr="00AB4CA0">
        <w:rPr>
          <w:rFonts w:cs="Times New Roman"/>
          <w:b/>
          <w:szCs w:val="24"/>
          <w:lang w:val="en-US"/>
        </w:rPr>
        <w:t>Keywords</w:t>
      </w:r>
      <w:proofErr w:type="gramStart"/>
      <w:r w:rsidRPr="00AB4CA0">
        <w:rPr>
          <w:rFonts w:cs="Times New Roman"/>
          <w:b/>
          <w:szCs w:val="24"/>
          <w:lang w:val="en-US"/>
        </w:rPr>
        <w:t>:</w:t>
      </w:r>
      <w:proofErr w:type="gramEnd"/>
      <w:r w:rsidRPr="00AB4CA0">
        <w:rPr>
          <w:rFonts w:cs="Times New Roman"/>
          <w:szCs w:val="24"/>
          <w:lang w:val="en-US"/>
        </w:rPr>
        <w:br/>
        <w:t>Artificial Intelligence, Pharmaceutical Marketing, Machine Learning, Predictive Analytics, Customer Relationship Management, Regulatory Compliance, Digital Transformation, Patient-Centric Marketing.</w:t>
      </w:r>
    </w:p>
    <w:p w14:paraId="24585F8D" w14:textId="77777777" w:rsidR="003D7B34" w:rsidRPr="00AB4CA0" w:rsidRDefault="003D7B34" w:rsidP="008D3809">
      <w:pPr>
        <w:pStyle w:val="Style1"/>
        <w:spacing w:after="0" w:line="360" w:lineRule="auto"/>
        <w:rPr>
          <w:rFonts w:cs="Times New Roman"/>
          <w:b/>
          <w:bCs w:val="0"/>
          <w:szCs w:val="24"/>
          <w:lang w:val="en-US"/>
        </w:rPr>
      </w:pPr>
    </w:p>
    <w:p w14:paraId="005EEFD7" w14:textId="77777777" w:rsidR="003D7B34" w:rsidRPr="008D3809" w:rsidRDefault="003D7B34" w:rsidP="008D3809">
      <w:pPr>
        <w:pStyle w:val="Style1"/>
        <w:spacing w:after="0" w:line="360" w:lineRule="auto"/>
        <w:rPr>
          <w:rFonts w:cs="Times New Roman"/>
          <w:b/>
          <w:bCs w:val="0"/>
          <w:szCs w:val="24"/>
        </w:rPr>
      </w:pPr>
    </w:p>
    <w:p w14:paraId="5813C323" w14:textId="77777777" w:rsidR="003D7B34" w:rsidRPr="008D3809" w:rsidRDefault="003D7B34" w:rsidP="008D3809">
      <w:pPr>
        <w:pStyle w:val="Style1"/>
        <w:spacing w:after="0" w:line="360" w:lineRule="auto"/>
        <w:rPr>
          <w:rFonts w:cs="Times New Roman"/>
          <w:b/>
          <w:bCs w:val="0"/>
          <w:szCs w:val="24"/>
        </w:rPr>
      </w:pPr>
    </w:p>
    <w:p w14:paraId="5CB44143" w14:textId="77777777" w:rsidR="003D7B34" w:rsidRPr="008D3809" w:rsidRDefault="003D7B34" w:rsidP="008D3809">
      <w:pPr>
        <w:pStyle w:val="Style1"/>
        <w:spacing w:after="0" w:line="360" w:lineRule="auto"/>
        <w:rPr>
          <w:rFonts w:cs="Times New Roman"/>
          <w:b/>
          <w:bCs w:val="0"/>
          <w:szCs w:val="24"/>
        </w:rPr>
      </w:pPr>
    </w:p>
    <w:p w14:paraId="39AE7A9C" w14:textId="77777777" w:rsidR="003D7B34" w:rsidRDefault="003D7B34" w:rsidP="008D3809">
      <w:pPr>
        <w:pStyle w:val="Style1"/>
        <w:spacing w:after="0" w:line="360" w:lineRule="auto"/>
        <w:rPr>
          <w:rFonts w:cs="Times New Roman"/>
          <w:b/>
          <w:bCs w:val="0"/>
          <w:szCs w:val="24"/>
        </w:rPr>
      </w:pPr>
    </w:p>
    <w:p w14:paraId="3DB4C08C" w14:textId="77777777" w:rsidR="00C72284" w:rsidRDefault="00C72284" w:rsidP="008D3809">
      <w:pPr>
        <w:pStyle w:val="Style1"/>
        <w:spacing w:after="0" w:line="360" w:lineRule="auto"/>
        <w:rPr>
          <w:rFonts w:cs="Times New Roman"/>
          <w:b/>
          <w:bCs w:val="0"/>
          <w:szCs w:val="24"/>
        </w:rPr>
      </w:pPr>
    </w:p>
    <w:p w14:paraId="0D089E51" w14:textId="77777777" w:rsidR="00C72284" w:rsidRDefault="00C72284" w:rsidP="008D3809">
      <w:pPr>
        <w:pStyle w:val="Style1"/>
        <w:spacing w:after="0" w:line="360" w:lineRule="auto"/>
        <w:rPr>
          <w:rFonts w:cs="Times New Roman"/>
          <w:b/>
          <w:bCs w:val="0"/>
          <w:szCs w:val="24"/>
        </w:rPr>
      </w:pPr>
    </w:p>
    <w:p w14:paraId="1CF60082" w14:textId="77777777" w:rsidR="00C72284" w:rsidRDefault="00C72284" w:rsidP="008D3809">
      <w:pPr>
        <w:pStyle w:val="Style1"/>
        <w:spacing w:after="0" w:line="360" w:lineRule="auto"/>
        <w:rPr>
          <w:rFonts w:cs="Times New Roman"/>
          <w:b/>
          <w:bCs w:val="0"/>
          <w:szCs w:val="24"/>
        </w:rPr>
      </w:pPr>
    </w:p>
    <w:p w14:paraId="1839FC69" w14:textId="77777777" w:rsidR="00C72284" w:rsidRDefault="00C72284" w:rsidP="008D3809">
      <w:pPr>
        <w:pStyle w:val="Style1"/>
        <w:spacing w:after="0" w:line="360" w:lineRule="auto"/>
        <w:rPr>
          <w:rFonts w:cs="Times New Roman"/>
          <w:b/>
          <w:bCs w:val="0"/>
          <w:szCs w:val="24"/>
        </w:rPr>
      </w:pPr>
    </w:p>
    <w:p w14:paraId="06380C6B" w14:textId="77777777" w:rsidR="00C72284" w:rsidRDefault="00C72284" w:rsidP="008D3809">
      <w:pPr>
        <w:pStyle w:val="Style1"/>
        <w:spacing w:after="0" w:line="360" w:lineRule="auto"/>
        <w:rPr>
          <w:rFonts w:cs="Times New Roman"/>
          <w:b/>
          <w:bCs w:val="0"/>
          <w:szCs w:val="24"/>
        </w:rPr>
      </w:pPr>
    </w:p>
    <w:p w14:paraId="7132CA46" w14:textId="676A2AF9" w:rsidR="00C72284" w:rsidRDefault="00C72284" w:rsidP="008D3809">
      <w:pPr>
        <w:pStyle w:val="Style1"/>
        <w:spacing w:after="0" w:line="360" w:lineRule="auto"/>
        <w:rPr>
          <w:rFonts w:cs="Times New Roman"/>
          <w:b/>
          <w:bCs w:val="0"/>
          <w:szCs w:val="24"/>
        </w:rPr>
      </w:pPr>
      <w:r>
        <w:rPr>
          <w:rFonts w:cs="Times New Roman"/>
          <w:b/>
          <w:bCs w:val="0"/>
          <w:szCs w:val="24"/>
        </w:rPr>
        <w:t xml:space="preserve">Graphical Abstract: </w:t>
      </w:r>
    </w:p>
    <w:p w14:paraId="5A20C344" w14:textId="24965EB4" w:rsidR="00C72284" w:rsidRDefault="0036208E" w:rsidP="008D3809">
      <w:pPr>
        <w:pStyle w:val="Style1"/>
        <w:spacing w:after="0" w:line="360" w:lineRule="auto"/>
        <w:rPr>
          <w:rFonts w:cs="Times New Roman"/>
          <w:b/>
          <w:bCs w:val="0"/>
          <w:szCs w:val="24"/>
        </w:rPr>
      </w:pPr>
      <w:r>
        <w:rPr>
          <w:noProof/>
          <w:lang w:eastAsia="en-IN"/>
        </w:rPr>
        <w:drawing>
          <wp:inline distT="0" distB="0" distL="0" distR="0" wp14:anchorId="205CBEF8" wp14:editId="46C53249">
            <wp:extent cx="5731510" cy="3820795"/>
            <wp:effectExtent l="19050" t="19050" r="21590" b="27305"/>
            <wp:docPr id="224203343" name="Picture 1" descr="A diagram of a market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3343" name="Picture 1" descr="A diagram of a marketing strate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9050">
                      <a:solidFill>
                        <a:schemeClr val="tx1"/>
                      </a:solidFill>
                    </a:ln>
                  </pic:spPr>
                </pic:pic>
              </a:graphicData>
            </a:graphic>
          </wp:inline>
        </w:drawing>
      </w:r>
    </w:p>
    <w:p w14:paraId="04E7DF7B" w14:textId="77777777" w:rsidR="00C72284" w:rsidRDefault="00C72284" w:rsidP="008D3809">
      <w:pPr>
        <w:pStyle w:val="Style1"/>
        <w:spacing w:after="0" w:line="360" w:lineRule="auto"/>
        <w:rPr>
          <w:rFonts w:cs="Times New Roman"/>
          <w:b/>
          <w:bCs w:val="0"/>
          <w:szCs w:val="24"/>
        </w:rPr>
      </w:pPr>
    </w:p>
    <w:p w14:paraId="01612D93" w14:textId="77777777" w:rsidR="00C72284" w:rsidRDefault="00C72284" w:rsidP="008D3809">
      <w:pPr>
        <w:pStyle w:val="Style1"/>
        <w:spacing w:after="0" w:line="360" w:lineRule="auto"/>
        <w:rPr>
          <w:rFonts w:cs="Times New Roman"/>
          <w:b/>
          <w:bCs w:val="0"/>
          <w:szCs w:val="24"/>
        </w:rPr>
      </w:pPr>
    </w:p>
    <w:p w14:paraId="0734F629" w14:textId="77777777" w:rsidR="00C72284" w:rsidRDefault="00C72284" w:rsidP="008D3809">
      <w:pPr>
        <w:pStyle w:val="Style1"/>
        <w:spacing w:after="0" w:line="360" w:lineRule="auto"/>
        <w:rPr>
          <w:rFonts w:cs="Times New Roman"/>
          <w:b/>
          <w:bCs w:val="0"/>
          <w:szCs w:val="24"/>
        </w:rPr>
      </w:pPr>
    </w:p>
    <w:p w14:paraId="26D44039" w14:textId="77777777" w:rsidR="00AB4CA0" w:rsidRDefault="00AB4CA0" w:rsidP="008D3809">
      <w:pPr>
        <w:pStyle w:val="Style1"/>
        <w:spacing w:after="0" w:line="360" w:lineRule="auto"/>
        <w:rPr>
          <w:rFonts w:cs="Times New Roman"/>
          <w:b/>
          <w:bCs w:val="0"/>
          <w:szCs w:val="24"/>
        </w:rPr>
      </w:pPr>
    </w:p>
    <w:p w14:paraId="0E2F9CD7" w14:textId="77777777" w:rsidR="00AB4CA0" w:rsidRDefault="00AB4CA0" w:rsidP="008D3809">
      <w:pPr>
        <w:pStyle w:val="Style1"/>
        <w:spacing w:after="0" w:line="360" w:lineRule="auto"/>
        <w:rPr>
          <w:rFonts w:cs="Times New Roman"/>
          <w:b/>
          <w:bCs w:val="0"/>
          <w:szCs w:val="24"/>
        </w:rPr>
      </w:pPr>
    </w:p>
    <w:p w14:paraId="53C9F674" w14:textId="77777777" w:rsidR="00AB4CA0" w:rsidRDefault="00AB4CA0" w:rsidP="008D3809">
      <w:pPr>
        <w:pStyle w:val="Style1"/>
        <w:spacing w:after="0" w:line="360" w:lineRule="auto"/>
        <w:rPr>
          <w:rFonts w:cs="Times New Roman"/>
          <w:b/>
          <w:bCs w:val="0"/>
          <w:szCs w:val="24"/>
        </w:rPr>
      </w:pPr>
    </w:p>
    <w:p w14:paraId="6264A9BB" w14:textId="77777777" w:rsidR="00AB4CA0" w:rsidRDefault="00AB4CA0" w:rsidP="008D3809">
      <w:pPr>
        <w:pStyle w:val="Style1"/>
        <w:spacing w:after="0" w:line="360" w:lineRule="auto"/>
        <w:rPr>
          <w:rFonts w:cs="Times New Roman"/>
          <w:b/>
          <w:bCs w:val="0"/>
          <w:szCs w:val="24"/>
        </w:rPr>
      </w:pPr>
    </w:p>
    <w:p w14:paraId="34949E76" w14:textId="77777777" w:rsidR="00AB4CA0" w:rsidRDefault="00AB4CA0" w:rsidP="008D3809">
      <w:pPr>
        <w:pStyle w:val="Style1"/>
        <w:spacing w:after="0" w:line="360" w:lineRule="auto"/>
        <w:rPr>
          <w:rFonts w:cs="Times New Roman"/>
          <w:b/>
          <w:bCs w:val="0"/>
          <w:szCs w:val="24"/>
        </w:rPr>
      </w:pPr>
    </w:p>
    <w:p w14:paraId="6149A17A" w14:textId="77777777" w:rsidR="00AB4CA0" w:rsidRDefault="00AB4CA0" w:rsidP="008D3809">
      <w:pPr>
        <w:pStyle w:val="Style1"/>
        <w:spacing w:after="0" w:line="360" w:lineRule="auto"/>
        <w:rPr>
          <w:rFonts w:cs="Times New Roman"/>
          <w:b/>
          <w:bCs w:val="0"/>
          <w:szCs w:val="24"/>
        </w:rPr>
      </w:pPr>
    </w:p>
    <w:p w14:paraId="1334A7CA" w14:textId="3956FBA9" w:rsidR="003D7B34" w:rsidRPr="003D7B34" w:rsidRDefault="003D7B34" w:rsidP="008D3809">
      <w:pPr>
        <w:pStyle w:val="Style1"/>
        <w:spacing w:after="0" w:line="360" w:lineRule="auto"/>
        <w:rPr>
          <w:rFonts w:cs="Times New Roman"/>
          <w:b/>
          <w:szCs w:val="24"/>
        </w:rPr>
      </w:pPr>
      <w:r w:rsidRPr="003D7B34">
        <w:rPr>
          <w:rFonts w:cs="Times New Roman"/>
          <w:b/>
          <w:szCs w:val="24"/>
        </w:rPr>
        <w:lastRenderedPageBreak/>
        <w:t xml:space="preserve">1. Introduction </w:t>
      </w:r>
    </w:p>
    <w:p w14:paraId="369FFE39" w14:textId="77777777" w:rsidR="00B56E99" w:rsidRDefault="00B56E99" w:rsidP="008D3809">
      <w:pPr>
        <w:pStyle w:val="Style1"/>
        <w:spacing w:after="0" w:line="360" w:lineRule="auto"/>
        <w:rPr>
          <w:rFonts w:cs="Times New Roman"/>
          <w:bCs w:val="0"/>
          <w:szCs w:val="24"/>
        </w:rPr>
      </w:pPr>
      <w:r w:rsidRPr="00B56E99">
        <w:rPr>
          <w:rFonts w:cs="Times New Roman"/>
          <w:bCs w:val="0"/>
          <w:szCs w:val="24"/>
        </w:rPr>
        <w:t xml:space="preserve">Pharmaceutical industry is one of the most data-intensive, regulated, and competitive industries throughout the world. It works at the nexus of science, technology and healthcare where the innovation is not confined to drug discovery </w:t>
      </w:r>
      <w:proofErr w:type="gramStart"/>
      <w:r w:rsidRPr="00B56E99">
        <w:rPr>
          <w:rFonts w:cs="Times New Roman"/>
          <w:bCs w:val="0"/>
          <w:szCs w:val="24"/>
        </w:rPr>
        <w:t>( 1</w:t>
      </w:r>
      <w:proofErr w:type="gramEnd"/>
      <w:r w:rsidRPr="00B56E99">
        <w:rPr>
          <w:rFonts w:cs="Times New Roman"/>
          <w:bCs w:val="0"/>
          <w:szCs w:val="24"/>
        </w:rPr>
        <w:t>) and development but also to the communication of the innovations to the physicians, healthcare professionals (HCPs) and the patients. Traditionally, pharmaceutical marketing was characterized by human activities face-to-face description by medical representatives, advertisements in medical journals, and support of scientific conferences. Although they were great at creating personal rapport, these old-fashioned means were not always measurable, scalable, and able to adapt to the market changes in real-time (2).</w:t>
      </w:r>
      <w:r w:rsidRPr="00B56E99">
        <w:rPr>
          <w:rFonts w:cs="Times New Roman"/>
          <w:bCs w:val="0"/>
          <w:szCs w:val="24"/>
        </w:rPr>
        <w:br/>
        <w:t xml:space="preserve">However, over the last several years, the digitalization of healthcare has changed the marketing environment radically. Big data, advanced analytics and artificial intelligence (AI) have also opened up new opportunities to pharmaceutical marketers to understand patterns, forecast </w:t>
      </w:r>
      <w:proofErr w:type="spellStart"/>
      <w:r w:rsidRPr="00B56E99">
        <w:rPr>
          <w:rFonts w:cs="Times New Roman"/>
          <w:bCs w:val="0"/>
          <w:szCs w:val="24"/>
        </w:rPr>
        <w:t>behavior</w:t>
      </w:r>
      <w:proofErr w:type="spellEnd"/>
      <w:r w:rsidRPr="00B56E99">
        <w:rPr>
          <w:rFonts w:cs="Times New Roman"/>
          <w:bCs w:val="0"/>
          <w:szCs w:val="24"/>
        </w:rPr>
        <w:t xml:space="preserve"> and make the most out of the engagement strategies. The general concept of AI as simulating human intelligence through machines that learn, reason, and make decisions has ceased being a futuristic concept, and is being realized in practice in the life sciences. It presents some of the most potent technologies, including machine learning (ML), natural language processing (NLP), and predictive </w:t>
      </w:r>
      <w:proofErr w:type="spellStart"/>
      <w:r w:rsidRPr="00B56E99">
        <w:rPr>
          <w:rFonts w:cs="Times New Roman"/>
          <w:bCs w:val="0"/>
          <w:szCs w:val="24"/>
        </w:rPr>
        <w:t>modeling</w:t>
      </w:r>
      <w:proofErr w:type="spellEnd"/>
      <w:r w:rsidRPr="00B56E99">
        <w:rPr>
          <w:rFonts w:cs="Times New Roman"/>
          <w:bCs w:val="0"/>
          <w:szCs w:val="24"/>
        </w:rPr>
        <w:t>, that help companies to transform huge amounts of healthcare data into actionable resources(3).</w:t>
      </w:r>
      <w:r w:rsidRPr="00B56E99">
        <w:rPr>
          <w:rFonts w:cs="Times New Roman"/>
          <w:bCs w:val="0"/>
          <w:szCs w:val="24"/>
        </w:rPr>
        <w:br/>
        <w:t>The adoption of AI in pharmaceutical marketing will represent a paradigm shift between reactive and intuit-driven decisions and proactive or evidence-based approaches. Marketers can now learn not only what physicians order, but why, based on who the patient is and the comorbidities and treatment results and even how they express their feelings via digital mediums. The AI models can predict the patterns of prescribing, provide new therapeutic opportunities, and customize marketing messages to each segment with unprecedented accuracy. This kind of personalization increases efficiency and ethical accountability of pharmaceutical communication, insuring that professionals involved into health care are informed about the information that is relevant, scientifically correct and timely (3,4).</w:t>
      </w:r>
    </w:p>
    <w:p w14:paraId="30BC53C2" w14:textId="77777777" w:rsidR="00B56E99" w:rsidRDefault="00B56E99" w:rsidP="008D3809">
      <w:pPr>
        <w:pStyle w:val="Style1"/>
        <w:spacing w:after="0" w:line="360" w:lineRule="auto"/>
        <w:rPr>
          <w:rFonts w:cs="Times New Roman"/>
          <w:bCs w:val="0"/>
          <w:szCs w:val="24"/>
        </w:rPr>
      </w:pPr>
      <w:r w:rsidRPr="00B56E99">
        <w:rPr>
          <w:rFonts w:cs="Times New Roman"/>
          <w:bCs w:val="0"/>
          <w:szCs w:val="24"/>
        </w:rPr>
        <w:t xml:space="preserve">The emergence of healthcare ecosystems has enhanced the necessity of smarter marketing strategies. An example is the COVID-19 pandemic that increasingly adopted digital engagement models due to lockdown-related restrictions to face-to-face communication between medical representatives and clinicians. Such pharmaceutical firms as Pfizer, Novartis, and AstraZeneca rapidly resorted to AI-based virtual assistants, chatbots, and predictive analytics dashboards to maintain the communication with prescribers. These </w:t>
      </w:r>
      <w:r w:rsidRPr="00B56E99">
        <w:rPr>
          <w:rFonts w:cs="Times New Roman"/>
          <w:bCs w:val="0"/>
          <w:szCs w:val="24"/>
        </w:rPr>
        <w:lastRenderedPageBreak/>
        <w:t>systems examined the data of engagement to recommend the best timings to contact the patient, preferences of the physician, and even recommend the types of content that would lead to a greater level of engagement. Consequently, AI emerged as a key facilitator of continuity, agility, and compliance in marketing of pharmaceuticals (5,6).</w:t>
      </w:r>
      <w:r w:rsidRPr="00B56E99">
        <w:rPr>
          <w:rFonts w:cs="Times New Roman"/>
          <w:bCs w:val="0"/>
          <w:szCs w:val="24"/>
        </w:rPr>
        <w:br/>
        <w:t xml:space="preserve">The increasing focus on value-based healthcare and patient-centricity is also another important factor that has led to AI adoption. In comparison to the old sales-based practices, the contemporary marketing should be consistent with clinical results and patient health. This change is enabled by AI, which interlaces the information of the electronic health records (EHRs), prescription databases, wearable gadgets, and social media to map the whole journey of the patient. Through this integration, the marketers are able to create educational and adherence campaigns that will meet the unmet needs and enhance treatment outcomes. An example is the predictive adherence algorithms that can detect at-risk patients and activate some timely interventions, like reminder messages or </w:t>
      </w:r>
      <w:proofErr w:type="spellStart"/>
      <w:r w:rsidRPr="00B56E99">
        <w:rPr>
          <w:rFonts w:cs="Times New Roman"/>
          <w:bCs w:val="0"/>
          <w:szCs w:val="24"/>
        </w:rPr>
        <w:t>counseling</w:t>
      </w:r>
      <w:proofErr w:type="spellEnd"/>
      <w:r w:rsidRPr="00B56E99">
        <w:rPr>
          <w:rFonts w:cs="Times New Roman"/>
          <w:bCs w:val="0"/>
          <w:szCs w:val="24"/>
        </w:rPr>
        <w:t xml:space="preserve"> assistance (7).</w:t>
      </w:r>
    </w:p>
    <w:p w14:paraId="443142A0" w14:textId="77777777" w:rsidR="00B56E99" w:rsidRDefault="00B56E99" w:rsidP="008D3809">
      <w:pPr>
        <w:pStyle w:val="Style1"/>
        <w:spacing w:after="0" w:line="360" w:lineRule="auto"/>
        <w:rPr>
          <w:rFonts w:cs="Times New Roman"/>
          <w:bCs w:val="0"/>
          <w:szCs w:val="24"/>
        </w:rPr>
      </w:pPr>
      <w:r w:rsidRPr="00B56E99">
        <w:rPr>
          <w:rFonts w:cs="Times New Roman"/>
          <w:bCs w:val="0"/>
          <w:szCs w:val="24"/>
        </w:rPr>
        <w:t xml:space="preserve">Furthermore, AI helps close the gap between marketing and medical functions that has existed since time immemorial. Traditional marketing approaches tended to be based on the fixed segmentation and the analysis of restricted datasets manually. Contemporarily, AIs are able to automatically </w:t>
      </w:r>
      <w:proofErr w:type="spellStart"/>
      <w:r w:rsidRPr="00B56E99">
        <w:rPr>
          <w:rFonts w:cs="Times New Roman"/>
          <w:bCs w:val="0"/>
          <w:szCs w:val="24"/>
        </w:rPr>
        <w:t>analyze</w:t>
      </w:r>
      <w:proofErr w:type="spellEnd"/>
      <w:r w:rsidRPr="00B56E99">
        <w:rPr>
          <w:rFonts w:cs="Times New Roman"/>
          <w:bCs w:val="0"/>
          <w:szCs w:val="24"/>
        </w:rPr>
        <w:t xml:space="preserve"> actual-world evidence, trial data, and physician feedback to create insights to direct both marketing and product development. This cross-functional intelligence assists companies not only in marketing existing drugs more efficiently, but in designing upcoming molecules and formulations that are in line with the demand in the market (8).</w:t>
      </w:r>
      <w:r w:rsidRPr="00B56E99">
        <w:rPr>
          <w:rFonts w:cs="Times New Roman"/>
          <w:bCs w:val="0"/>
          <w:szCs w:val="24"/>
        </w:rPr>
        <w:br/>
        <w:t xml:space="preserve">Operational-wise, AI boosts productivity by robots taking up the monotonous marketing activities. In the context of strategy and creativity, Robotic Process Automation (RPA) is able to perform data entry, lead management, and reporting and release human teams to work on strategy and creativity. AI-driven predictive sales forecasting tools are used to predict future performance through </w:t>
      </w:r>
      <w:proofErr w:type="spellStart"/>
      <w:r w:rsidRPr="00B56E99">
        <w:rPr>
          <w:rFonts w:cs="Times New Roman"/>
          <w:bCs w:val="0"/>
          <w:szCs w:val="24"/>
        </w:rPr>
        <w:t>analyzing</w:t>
      </w:r>
      <w:proofErr w:type="spellEnd"/>
      <w:r w:rsidRPr="00B56E99">
        <w:rPr>
          <w:rFonts w:cs="Times New Roman"/>
          <w:bCs w:val="0"/>
          <w:szCs w:val="24"/>
        </w:rPr>
        <w:t xml:space="preserve"> the past trends, competition, or external elements like disease seasonality or policy changes. Such data-informed choices save on marketing resources wastage and maximize on return on investment (ROI) (9,10).</w:t>
      </w:r>
      <w:r w:rsidRPr="00B56E99">
        <w:rPr>
          <w:rFonts w:cs="Times New Roman"/>
          <w:bCs w:val="0"/>
          <w:szCs w:val="24"/>
        </w:rPr>
        <w:br/>
        <w:t>Moreover, AI has made analytics accessible in organizations democratically. Before, only the high level of data interpretation was accessible to the professional team of analysts. Nowadays, AI platform on clouds combined with Customer Relationship Management (CRM) system will offer real-time dashboards that can be viewed by both marketers and medical liaisons, as well as senior executives. The transparency leads to the development of cooperative decision-making and dynamic campaign optimization (11).</w:t>
      </w:r>
      <w:r w:rsidRPr="00B56E99">
        <w:rPr>
          <w:rFonts w:cs="Times New Roman"/>
          <w:bCs w:val="0"/>
          <w:szCs w:val="24"/>
        </w:rPr>
        <w:br/>
      </w:r>
      <w:r w:rsidRPr="00B56E99">
        <w:rPr>
          <w:rFonts w:cs="Times New Roman"/>
          <w:bCs w:val="0"/>
          <w:szCs w:val="24"/>
        </w:rPr>
        <w:lastRenderedPageBreak/>
        <w:t>Nevertheless, the emergence of AI in the sphere of pharmaceutical marketing also creates ethical, regulatory as well as technical issues. Gathering and utilizing patient and prescriber information should adhere to the privacy laws like the General Data Protection Regulation (GDPR) and the Health Insurance Portability and Accountability Act (HIPAA). Moreover, explainability and accountability are problematic when certain AI algorithms are described as a black-box model due to their general lack of transparency. The marketing teams should make sure that AI generated information is not biased and will not harm the integrity of promotional messages. Due to the emergence of regulatory authorities, such as the U.S. Food and Drug Administration (FDA) and the European Medicines Agency (EMA) initiating the provision of guidance on the use of AI in life sciences, compliance and transparency have already become part of AI governance models (12).</w:t>
      </w:r>
    </w:p>
    <w:p w14:paraId="03F796C1" w14:textId="77777777" w:rsidR="00B56E99" w:rsidRDefault="00B56E99" w:rsidP="008D3809">
      <w:pPr>
        <w:pStyle w:val="Style1"/>
        <w:spacing w:after="0" w:line="360" w:lineRule="auto"/>
        <w:rPr>
          <w:rFonts w:cs="Times New Roman"/>
          <w:bCs w:val="0"/>
          <w:szCs w:val="24"/>
        </w:rPr>
      </w:pPr>
      <w:r w:rsidRPr="00B56E99">
        <w:rPr>
          <w:rFonts w:cs="Times New Roman"/>
          <w:bCs w:val="0"/>
          <w:szCs w:val="24"/>
        </w:rPr>
        <w:t>Regardless of these fears, the tide in AI application in pharmaceutical marketing cannot be ignored. The market research indicates that AI uses in pharma are growing exponentially as it is necessary to optimize costs, achieve a competitive advantage, and make decisions based on data. As an example, the worldwide AI market in life sciences was estimated to grow to about USD 2.5 billion and will grow to over USD 9 billion by 2022 and 2030 respectively, where marketing and sales analytics will constitute a substantial portion of the increase. The advantages of increased targeting accuracy and efficiency in engagement as well as faster go-to-market strategies easily outnumbers the implementation transition issues (13).</w:t>
      </w:r>
      <w:r w:rsidRPr="00B56E99">
        <w:rPr>
          <w:rFonts w:cs="Times New Roman"/>
          <w:bCs w:val="0"/>
          <w:szCs w:val="24"/>
        </w:rPr>
        <w:br/>
        <w:t xml:space="preserve">To conclude, pharmaceutical marketing is being redefined through AI. It is changing the emphasis of non-specific communication to hyper-specific communication, non-reflective analysis to proactive planning, and promotional activity to value-based association. With pharmaceutical firms still struggling to </w:t>
      </w:r>
      <w:proofErr w:type="spellStart"/>
      <w:r w:rsidRPr="00B56E99">
        <w:rPr>
          <w:rFonts w:cs="Times New Roman"/>
          <w:bCs w:val="0"/>
          <w:szCs w:val="24"/>
        </w:rPr>
        <w:t>maneuver</w:t>
      </w:r>
      <w:proofErr w:type="spellEnd"/>
      <w:r w:rsidRPr="00B56E99">
        <w:rPr>
          <w:rFonts w:cs="Times New Roman"/>
          <w:bCs w:val="0"/>
          <w:szCs w:val="24"/>
        </w:rPr>
        <w:t xml:space="preserve"> through the intricacies of healthcare delivery, AI provides a tactical guide that helps the companies to match marketing goals and patient outcomes, scientific integrity, and regulatory compliance (14).</w:t>
      </w:r>
      <w:r w:rsidRPr="00B56E99">
        <w:rPr>
          <w:rFonts w:cs="Times New Roman"/>
          <w:bCs w:val="0"/>
          <w:szCs w:val="24"/>
        </w:rPr>
        <w:br/>
        <w:t xml:space="preserve">The purpose of this review is to thoroughly investigate the concept of AI in the development of pharmaceutical marketing, its basic elements, their use, the ethical aspect of AI, and the trends in its development. It offers a synthesized approach to the current evidence and case studies, which creates an integrated view of how AI-driven smart marketing could change the pharmaceutical sector into a more </w:t>
      </w:r>
      <w:proofErr w:type="spellStart"/>
      <w:r w:rsidRPr="00B56E99">
        <w:rPr>
          <w:rFonts w:cs="Times New Roman"/>
          <w:bCs w:val="0"/>
          <w:szCs w:val="24"/>
        </w:rPr>
        <w:t>adaptative</w:t>
      </w:r>
      <w:proofErr w:type="spellEnd"/>
      <w:r w:rsidRPr="00B56E99">
        <w:rPr>
          <w:rFonts w:cs="Times New Roman"/>
          <w:bCs w:val="0"/>
          <w:szCs w:val="24"/>
        </w:rPr>
        <w:t>, responsible, and patient-</w:t>
      </w:r>
      <w:proofErr w:type="spellStart"/>
      <w:r w:rsidRPr="00B56E99">
        <w:rPr>
          <w:rFonts w:cs="Times New Roman"/>
          <w:bCs w:val="0"/>
          <w:szCs w:val="24"/>
        </w:rPr>
        <w:t>centered</w:t>
      </w:r>
      <w:proofErr w:type="spellEnd"/>
      <w:r w:rsidRPr="00B56E99">
        <w:rPr>
          <w:rFonts w:cs="Times New Roman"/>
          <w:bCs w:val="0"/>
          <w:szCs w:val="24"/>
        </w:rPr>
        <w:t xml:space="preserve"> ecosystem (15).</w:t>
      </w:r>
    </w:p>
    <w:p w14:paraId="4817CFB9" w14:textId="6DA23C7E"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2. Evolution of Pharmaceutical Marketing </w:t>
      </w:r>
    </w:p>
    <w:p w14:paraId="7ADB02C9" w14:textId="13FEBF89"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evolution of pharmaceutical marketing reflects the broader transformation of the healthcare industry</w:t>
      </w:r>
      <w:r w:rsidR="00BC05E9">
        <w:rPr>
          <w:rFonts w:cs="Times New Roman"/>
          <w:bCs w:val="0"/>
          <w:szCs w:val="24"/>
        </w:rPr>
        <w:t xml:space="preserve"> </w:t>
      </w:r>
      <w:r w:rsidRPr="003D7B34">
        <w:rPr>
          <w:rFonts w:cs="Times New Roman"/>
          <w:bCs w:val="0"/>
          <w:szCs w:val="24"/>
        </w:rPr>
        <w:t>from a product-</w:t>
      </w:r>
      <w:proofErr w:type="spellStart"/>
      <w:r w:rsidRPr="003D7B34">
        <w:rPr>
          <w:rFonts w:cs="Times New Roman"/>
          <w:bCs w:val="0"/>
          <w:szCs w:val="24"/>
        </w:rPr>
        <w:t>centered</w:t>
      </w:r>
      <w:proofErr w:type="spellEnd"/>
      <w:r w:rsidRPr="003D7B34">
        <w:rPr>
          <w:rFonts w:cs="Times New Roman"/>
          <w:bCs w:val="0"/>
          <w:szCs w:val="24"/>
        </w:rPr>
        <w:t xml:space="preserve"> and physician-driven approach to a patient-</w:t>
      </w:r>
      <w:r w:rsidRPr="003D7B34">
        <w:rPr>
          <w:rFonts w:cs="Times New Roman"/>
          <w:bCs w:val="0"/>
          <w:szCs w:val="24"/>
        </w:rPr>
        <w:lastRenderedPageBreak/>
        <w:t>focused, data-driven ecosystem. Historically, marketing in the pharmaceutical domain was characterized by direct human interactions, limited feedback mechanisms, and restricted data analytics. Over the decades, this landscape has undergone three major phases: the traditional marketing paradigm, the digital revolution, and the emergence of smart marketing, each driven by technological, regulatory, and societal changes</w:t>
      </w:r>
      <w:r w:rsidR="00A034C4">
        <w:rPr>
          <w:rFonts w:cs="Times New Roman"/>
          <w:bCs w:val="0"/>
          <w:szCs w:val="24"/>
        </w:rPr>
        <w:t xml:space="preserve"> </w:t>
      </w:r>
      <w:sdt>
        <w:sdtPr>
          <w:rPr>
            <w:rFonts w:cs="Times New Roman"/>
            <w:bCs w:val="0"/>
            <w:color w:val="000000"/>
            <w:szCs w:val="24"/>
          </w:rPr>
          <w:tag w:val="MENDELEY_CITATION_v3_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"/>
          <w:id w:val="1254543627"/>
          <w:placeholder>
            <w:docPart w:val="DefaultPlaceholder_-1854013440"/>
          </w:placeholder>
        </w:sdtPr>
        <w:sdtEndPr/>
        <w:sdtContent>
          <w:r w:rsidR="00A034C4" w:rsidRPr="00A034C4">
            <w:rPr>
              <w:rFonts w:cs="Times New Roman"/>
              <w:bCs w:val="0"/>
              <w:color w:val="000000"/>
              <w:szCs w:val="24"/>
            </w:rPr>
            <w:t>(16)</w:t>
          </w:r>
        </w:sdtContent>
      </w:sdt>
      <w:r w:rsidRPr="003D7B34">
        <w:rPr>
          <w:rFonts w:cs="Times New Roman"/>
          <w:bCs w:val="0"/>
          <w:szCs w:val="24"/>
        </w:rPr>
        <w:t>.</w:t>
      </w:r>
    </w:p>
    <w:p w14:paraId="3F06C07F" w14:textId="77777777" w:rsidR="003D7B34" w:rsidRPr="00BC05E9" w:rsidRDefault="003D7B34" w:rsidP="008D3809">
      <w:pPr>
        <w:pStyle w:val="Style1"/>
        <w:spacing w:after="0" w:line="360" w:lineRule="auto"/>
        <w:rPr>
          <w:rFonts w:cs="Times New Roman"/>
          <w:b/>
          <w:szCs w:val="24"/>
        </w:rPr>
      </w:pPr>
      <w:r w:rsidRPr="00BC05E9">
        <w:rPr>
          <w:rFonts w:cs="Times New Roman"/>
          <w:b/>
          <w:szCs w:val="24"/>
        </w:rPr>
        <w:t>2.1 Traditional Marketing Paradigm: Relationship and Reach</w:t>
      </w:r>
    </w:p>
    <w:p w14:paraId="12BBD96C" w14:textId="096058BE" w:rsidR="00B56E99" w:rsidRDefault="00B56E99" w:rsidP="008D3809">
      <w:pPr>
        <w:pStyle w:val="Style1"/>
        <w:spacing w:after="0" w:line="360" w:lineRule="auto"/>
        <w:rPr>
          <w:rFonts w:cs="Times New Roman"/>
          <w:bCs w:val="0"/>
          <w:szCs w:val="24"/>
        </w:rPr>
      </w:pPr>
      <w:r w:rsidRPr="00B56E99">
        <w:rPr>
          <w:rFonts w:cs="Times New Roman"/>
          <w:bCs w:val="0"/>
          <w:szCs w:val="24"/>
        </w:rPr>
        <w:t xml:space="preserve">Personal selling and relationship-building were the main activities that stayed on pharmaceutical marketing until the end of the 20 </w:t>
      </w:r>
      <w:proofErr w:type="spellStart"/>
      <w:r w:rsidRPr="00B56E99">
        <w:rPr>
          <w:rFonts w:cs="Times New Roman"/>
          <w:bCs w:val="0"/>
          <w:szCs w:val="24"/>
        </w:rPr>
        <w:t>th</w:t>
      </w:r>
      <w:proofErr w:type="spellEnd"/>
      <w:r w:rsidRPr="00B56E99">
        <w:rPr>
          <w:rFonts w:cs="Times New Roman"/>
          <w:bCs w:val="0"/>
          <w:szCs w:val="24"/>
        </w:rPr>
        <w:t xml:space="preserve"> century. The key figure in this model was the medical representative (MR) whose job was to educate the physicians on new drugs, give them product literature and sample. Much relied on interpersonal skills, number of visits and persuasive communication instead of quantifiable information or analytical understanding.</w:t>
      </w:r>
      <w:r w:rsidRPr="00B56E99">
        <w:rPr>
          <w:rFonts w:cs="Times New Roman"/>
          <w:bCs w:val="0"/>
          <w:szCs w:val="24"/>
        </w:rPr>
        <w:br/>
        <w:t>Medical journals, print advertisements, scientific conferences, and continuing medical education (CME) programs were used to enhance the promotional strategies. These strategies were meant to impact the prescribing pattern, which was to keep the products in the view. Nonetheless, a lack of digital tools complicated the process of performance tracking, and the choices were frequently based on anecdotal information or market intuition. In addition, the marketing budgets were very lopsided in their distribution to field activities and little was given on analytical assessment.</w:t>
      </w:r>
      <w:r>
        <w:rPr>
          <w:rFonts w:cs="Times New Roman"/>
          <w:bCs w:val="0"/>
          <w:szCs w:val="24"/>
        </w:rPr>
        <w:t xml:space="preserve"> </w:t>
      </w:r>
      <w:r w:rsidRPr="00B56E99">
        <w:rPr>
          <w:rFonts w:cs="Times New Roman"/>
          <w:bCs w:val="0"/>
          <w:szCs w:val="24"/>
        </w:rPr>
        <w:t>Despite being a relationship-based model, this model started experiencing problems in the early 2000s as a result of increased operational expenses, limitation in the number of patients the physicians had to attend to, and the tightening of regulatory restraints. The growing concern about marketing ethics like giving gifts or other incentives resulted in more compliance needs which made the use of conventional detailing less effective. Further, the competition on time and attention of physicians increased disproportionately along with the number of pharmaceutical products (17,18), necessitating more novel and data-driven means of engaging physicians (19,20).</w:t>
      </w:r>
    </w:p>
    <w:p w14:paraId="69E85121" w14:textId="6183A773" w:rsidR="003D7B34" w:rsidRPr="00BC05E9" w:rsidRDefault="003D7B34" w:rsidP="008D3809">
      <w:pPr>
        <w:pStyle w:val="Style1"/>
        <w:spacing w:after="0" w:line="360" w:lineRule="auto"/>
        <w:rPr>
          <w:rFonts w:cs="Times New Roman"/>
          <w:b/>
          <w:szCs w:val="24"/>
        </w:rPr>
      </w:pPr>
      <w:r w:rsidRPr="00BC05E9">
        <w:rPr>
          <w:rFonts w:cs="Times New Roman"/>
          <w:b/>
          <w:szCs w:val="24"/>
        </w:rPr>
        <w:t>2.2 The Digital Transformation Era: Data and Accessibility</w:t>
      </w:r>
    </w:p>
    <w:p w14:paraId="528F9389" w14:textId="77777777" w:rsidR="00B56E99" w:rsidRDefault="00B56E99" w:rsidP="008D3809">
      <w:pPr>
        <w:pStyle w:val="Style1"/>
        <w:spacing w:after="0" w:line="360" w:lineRule="auto"/>
        <w:rPr>
          <w:rFonts w:cs="Times New Roman"/>
          <w:bCs w:val="0"/>
          <w:szCs w:val="24"/>
        </w:rPr>
      </w:pPr>
      <w:r w:rsidRPr="00B56E99">
        <w:rPr>
          <w:rFonts w:cs="Times New Roman"/>
          <w:bCs w:val="0"/>
          <w:szCs w:val="24"/>
        </w:rPr>
        <w:t>The initial significant disruption through the introduction of digital communication technologies to the pharmaceutical marketing industry. The emergence of multichannel marketing in the early 2000s was a mix of the previously employed field-based strategies and digital communication via email and online portals, webinars, and mobile apps. The goal was to go deeper and at the same time be compliant and personal (21).</w:t>
      </w:r>
      <w:r w:rsidRPr="00B56E99">
        <w:rPr>
          <w:rFonts w:cs="Times New Roman"/>
          <w:bCs w:val="0"/>
          <w:szCs w:val="24"/>
        </w:rPr>
        <w:br/>
        <w:t xml:space="preserve">E-detailing platforms came as a revolution and enabled representatives to make interactive presentations using tablets and receive feedback in real time. Customer Relationship Management (CRM) tools, like Veeva and Salesforce, started to consolidate the data during </w:t>
      </w:r>
      <w:r w:rsidRPr="00B56E99">
        <w:rPr>
          <w:rFonts w:cs="Times New Roman"/>
          <w:bCs w:val="0"/>
          <w:szCs w:val="24"/>
        </w:rPr>
        <w:lastRenderedPageBreak/>
        <w:t xml:space="preserve">the field visits and email communication, as well as electronic campaigns and form unified customer profiles. Such data integration offered new information about physician </w:t>
      </w:r>
      <w:proofErr w:type="spellStart"/>
      <w:r w:rsidRPr="00B56E99">
        <w:rPr>
          <w:rFonts w:cs="Times New Roman"/>
          <w:bCs w:val="0"/>
          <w:szCs w:val="24"/>
        </w:rPr>
        <w:t>behavioral</w:t>
      </w:r>
      <w:proofErr w:type="spellEnd"/>
      <w:r w:rsidRPr="00B56E99">
        <w:rPr>
          <w:rFonts w:cs="Times New Roman"/>
          <w:bCs w:val="0"/>
          <w:szCs w:val="24"/>
        </w:rPr>
        <w:t xml:space="preserve"> patterns, prescribing patterns, and effectiveness of engagement.</w:t>
      </w:r>
      <w:r w:rsidRPr="00B56E99">
        <w:rPr>
          <w:rFonts w:cs="Times New Roman"/>
          <w:bCs w:val="0"/>
          <w:szCs w:val="24"/>
        </w:rPr>
        <w:br/>
        <w:t xml:space="preserve">Nevertheless, the digital stage also came with new complications. The amount of data in the scope of social media communications to electronic medical records generated was overwhelming that the marketers did not have the capability to </w:t>
      </w:r>
      <w:proofErr w:type="spellStart"/>
      <w:r w:rsidRPr="00B56E99">
        <w:rPr>
          <w:rFonts w:cs="Times New Roman"/>
          <w:bCs w:val="0"/>
          <w:szCs w:val="24"/>
        </w:rPr>
        <w:t>analyze</w:t>
      </w:r>
      <w:proofErr w:type="spellEnd"/>
      <w:r w:rsidRPr="00B56E99">
        <w:rPr>
          <w:rFonts w:cs="Times New Roman"/>
          <w:bCs w:val="0"/>
          <w:szCs w:val="24"/>
        </w:rPr>
        <w:t xml:space="preserve"> it into actionable information. Decision-making was mostly a descriptive and not a predictive one. Though it has become efficient, marketing activities were disjointed and the customer experience differed depending on the channel.</w:t>
      </w:r>
      <w:r w:rsidRPr="00B56E99">
        <w:rPr>
          <w:rFonts w:cs="Times New Roman"/>
          <w:bCs w:val="0"/>
          <w:szCs w:val="24"/>
        </w:rPr>
        <w:br/>
        <w:t xml:space="preserve">The COVID-19 (22-24) pandemic became a trigger of the further digital acceleration. Also, due to lockdowns and the inability to visit a pharmacy in person, pharmaceutical companies switched to virtual conferences, webinars, and chatbots that are supported by AI. Marketing automation systems provided continuity though the transition revealed a very important gap, which was the need to have smart systems that can </w:t>
      </w:r>
      <w:proofErr w:type="spellStart"/>
      <w:r w:rsidRPr="00B56E99">
        <w:rPr>
          <w:rFonts w:cs="Times New Roman"/>
          <w:bCs w:val="0"/>
          <w:szCs w:val="24"/>
        </w:rPr>
        <w:t>analyze</w:t>
      </w:r>
      <w:proofErr w:type="spellEnd"/>
      <w:r w:rsidRPr="00B56E99">
        <w:rPr>
          <w:rFonts w:cs="Times New Roman"/>
          <w:bCs w:val="0"/>
          <w:szCs w:val="24"/>
        </w:rPr>
        <w:t xml:space="preserve"> </w:t>
      </w:r>
      <w:proofErr w:type="spellStart"/>
      <w:r w:rsidRPr="00B56E99">
        <w:rPr>
          <w:rFonts w:cs="Times New Roman"/>
          <w:bCs w:val="0"/>
          <w:szCs w:val="24"/>
        </w:rPr>
        <w:t>behavioral</w:t>
      </w:r>
      <w:proofErr w:type="spellEnd"/>
      <w:r w:rsidRPr="00B56E99">
        <w:rPr>
          <w:rFonts w:cs="Times New Roman"/>
          <w:bCs w:val="0"/>
          <w:szCs w:val="24"/>
        </w:rPr>
        <w:t xml:space="preserve"> data, forecast the engagement preferences, and dynamically tailor messages. This awareness led to the next stage which is the emergence of smart marketing (25-27).</w:t>
      </w:r>
    </w:p>
    <w:p w14:paraId="1AC88B1C" w14:textId="2EB78C56" w:rsidR="003D7B34" w:rsidRPr="00BC05E9" w:rsidRDefault="003D7B34" w:rsidP="008D3809">
      <w:pPr>
        <w:pStyle w:val="Style1"/>
        <w:spacing w:after="0" w:line="360" w:lineRule="auto"/>
        <w:rPr>
          <w:rFonts w:cs="Times New Roman"/>
          <w:b/>
          <w:szCs w:val="24"/>
        </w:rPr>
      </w:pPr>
      <w:r w:rsidRPr="00BC05E9">
        <w:rPr>
          <w:rFonts w:cs="Times New Roman"/>
          <w:b/>
          <w:szCs w:val="24"/>
        </w:rPr>
        <w:t>2.3 Emergence of Smart Marketing: Intelligence and Integration</w:t>
      </w:r>
    </w:p>
    <w:p w14:paraId="44FBEC61" w14:textId="77777777" w:rsidR="00B56E99" w:rsidRDefault="00B56E99" w:rsidP="008D3809">
      <w:pPr>
        <w:pStyle w:val="Style1"/>
        <w:spacing w:after="0" w:line="360" w:lineRule="auto"/>
        <w:rPr>
          <w:rFonts w:cs="Times New Roman"/>
          <w:bCs w:val="0"/>
          <w:szCs w:val="24"/>
        </w:rPr>
      </w:pPr>
      <w:r w:rsidRPr="00B56E99">
        <w:rPr>
          <w:rFonts w:cs="Times New Roman"/>
          <w:bCs w:val="0"/>
          <w:szCs w:val="24"/>
        </w:rPr>
        <w:t>Smart marketing is a combination of digital technologies, artificial intelligence and data science to form self-adaptive marketing environments. Assuming that smart marketing is based on the principles of understanding, prediction, and personalization, unlike digital marketing, which aims at presenting the message via various channels, smart marketing revolves around understanding. It incorporates machine learning algorithms, real-time analytics, and automation to direct decisions at each level of the marketing cycle.</w:t>
      </w:r>
      <w:r w:rsidRPr="00B56E99">
        <w:rPr>
          <w:rFonts w:cs="Times New Roman"/>
          <w:bCs w:val="0"/>
          <w:szCs w:val="24"/>
        </w:rPr>
        <w:br/>
        <w:t>In intelligent marketing, predictive algorithms powered by AI determine the physicians with the highest likelihood to prescribe a certain therapy, the points of contact that can most easily reach them, and the channels that display the best performance. These models are based on various data, such as past prescriptions, clinical affiliations, patient demographics, and even mood shown in medical communities on the Internet. Such analytical accuracy makes it possible to optimize the use of resources so that marketing budgets are allocated to the most effective activities (28,29).</w:t>
      </w:r>
      <w:r w:rsidRPr="00B56E99">
        <w:rPr>
          <w:rFonts w:cs="Times New Roman"/>
          <w:bCs w:val="0"/>
          <w:szCs w:val="24"/>
        </w:rPr>
        <w:br/>
        <w:t xml:space="preserve">Moreover, NLP applications allow performing sentiment analysis and tracking trends through social media, forums, and news sources. Pharmaceutical brands are able to access the opinion of the populace, identify misinformation, and react by providing evidence-based communication. Likewise, chatbots and virtual medical assistants enable providers to interact </w:t>
      </w:r>
      <w:r w:rsidRPr="00B56E99">
        <w:rPr>
          <w:rFonts w:cs="Times New Roman"/>
          <w:bCs w:val="0"/>
          <w:szCs w:val="24"/>
        </w:rPr>
        <w:lastRenderedPageBreak/>
        <w:t>with patients and healthcare professionals 24/7, where they give information regarding indications, dosage, and safety data, and where they make sure that the promotional codes are followed.</w:t>
      </w:r>
      <w:r w:rsidRPr="00B56E99">
        <w:rPr>
          <w:rFonts w:cs="Times New Roman"/>
          <w:bCs w:val="0"/>
          <w:szCs w:val="24"/>
        </w:rPr>
        <w:br/>
        <w:t>Omnichannel integration the smooth way online and offline communication can be coordinated with the purpose to provide regular and personalized experience is another characteristic feature of smart marketing. AI systems integrate physician touchpoints in email campaigns, webinars, field visit, and conference. An example is when a physician visits the website of a drug or is a participant of a virtual discussion, the AI system automatically updates the CRM and initiates a follow-up communication based on his or her personal interest.</w:t>
      </w:r>
      <w:r w:rsidRPr="00B56E99">
        <w:rPr>
          <w:rFonts w:cs="Times New Roman"/>
          <w:bCs w:val="0"/>
          <w:szCs w:val="24"/>
        </w:rPr>
        <w:br/>
        <w:t>Market simulation and forecasting are also facilitated by smart marketing. Advanced AI applications based on historical and real-life data can predict how the market will react to the new campaign or the introduction of a new competitor, which will enable companies to test their strategies prior to their implementation. This predictive capability greatly minimizes the financial risk as well as increases the speed of time-to-market decisions.</w:t>
      </w:r>
      <w:r w:rsidRPr="00B56E99">
        <w:rPr>
          <w:rFonts w:cs="Times New Roman"/>
          <w:bCs w:val="0"/>
          <w:szCs w:val="24"/>
        </w:rPr>
        <w:br/>
        <w:t>2.4 The Data-Driven Decision-Making Strategic Shift (30-32).</w:t>
      </w:r>
      <w:r w:rsidRPr="00B56E99">
        <w:rPr>
          <w:rFonts w:cs="Times New Roman"/>
          <w:bCs w:val="0"/>
          <w:szCs w:val="24"/>
        </w:rPr>
        <w:br/>
        <w:t>The change of conventional to smart marketing represents a more significant cultural transformation of the pharmaceutical sector as a product-focused promotion to an evidence-based collaboration. Information is no longer an output of marketing but its main asset. Business is spending a lot on data governance, analytics infrastructure, and artificial intelligence-based decision support systems to make sure that all marketing activities are quantifiable, are compliant, and are result-oriented.</w:t>
      </w:r>
      <w:r w:rsidRPr="00B56E99">
        <w:rPr>
          <w:rFonts w:cs="Times New Roman"/>
          <w:bCs w:val="0"/>
          <w:szCs w:val="24"/>
        </w:rPr>
        <w:br/>
        <w:t>In this paradigm, success is not exclusively based on sales alone but based on the quality of engagement, satisfaction of the prescriber and patient adherence outcomes. Medical affairs and pharmacovigilance, as well as regulatory teams, are now working hand in hand with marketers to make sure that AI-generated insights are consistent with ethics and legal frameworks.</w:t>
      </w:r>
      <w:r w:rsidRPr="00B56E99">
        <w:rPr>
          <w:rFonts w:cs="Times New Roman"/>
          <w:bCs w:val="0"/>
          <w:szCs w:val="24"/>
        </w:rPr>
        <w:br/>
        <w:t xml:space="preserve">Overall, the development of the pharmaceutical marketing reflects the overall orientation toward the digital maturity and the patient-centricity of the industry. Marketing was traditionally focused on individual relationship, digital marketing widened the boundaries and smart marketing introduced intelligence, morals, and flexibility. The phases have enhanced one another with the final phase being an advanced AI-based ecosystem that can </w:t>
      </w:r>
      <w:proofErr w:type="spellStart"/>
      <w:r w:rsidRPr="00B56E99">
        <w:rPr>
          <w:rFonts w:cs="Times New Roman"/>
          <w:bCs w:val="0"/>
          <w:szCs w:val="24"/>
        </w:rPr>
        <w:t>analyze</w:t>
      </w:r>
      <w:proofErr w:type="spellEnd"/>
      <w:r w:rsidRPr="00B56E99">
        <w:rPr>
          <w:rFonts w:cs="Times New Roman"/>
          <w:bCs w:val="0"/>
          <w:szCs w:val="24"/>
        </w:rPr>
        <w:t xml:space="preserve"> in real-time, have customized communication, and design a strategy.</w:t>
      </w:r>
    </w:p>
    <w:p w14:paraId="4AE5C119" w14:textId="6C1A38A4"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3. Understanding Artificial Intelligence in Marketing </w:t>
      </w:r>
    </w:p>
    <w:p w14:paraId="75C8AA24" w14:textId="064B857F"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Artificial Intelligence (AI) is an interdisciplinary field that aims to simulate human intelligence using computational systems capable of learning, reasoning, and decision-making. In pharmaceutical marketing, AI acts as a powerful enabler that integrates data analytics, automation, and predictive capabilities to enhance communication strategies, improve decision-making, and optimize resource allocation. To understand its role and potential, it is essential to explore the foundational concepts, key technologies, and practical mechanisms through which AI transforms pharmaceutical marketing</w:t>
      </w:r>
      <w:r w:rsidR="00A034C4">
        <w:rPr>
          <w:rFonts w:cs="Times New Roman"/>
          <w:szCs w:val="24"/>
        </w:rPr>
        <w:t xml:space="preserve"> </w:t>
      </w:r>
      <w:sdt>
        <w:sdtPr>
          <w:rPr>
            <w:rFonts w:cs="Times New Roman"/>
            <w:color w:val="000000"/>
            <w:szCs w:val="24"/>
          </w:rPr>
          <w:tag w:val="MENDELEY_CITATION_v3_eyJjaXRhdGlvbklEIjoiTUVOREVMRVlfQ0lUQVRJT05fOGUyYTY5YzQtM2YzYS00NWEzLWE1MDUtMjI4NWE5NDE0OTZm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
          <w:id w:val="-1059236595"/>
          <w:placeholder>
            <w:docPart w:val="DefaultPlaceholder_-1854013440"/>
          </w:placeholder>
        </w:sdtPr>
        <w:sdtEndPr/>
        <w:sdtContent>
          <w:r w:rsidR="00A034C4" w:rsidRPr="00A034C4">
            <w:rPr>
              <w:rFonts w:cs="Times New Roman"/>
              <w:color w:val="000000"/>
              <w:szCs w:val="24"/>
            </w:rPr>
            <w:t>(33)</w:t>
          </w:r>
        </w:sdtContent>
      </w:sdt>
      <w:r w:rsidRPr="000B42CC">
        <w:rPr>
          <w:rFonts w:cs="Times New Roman"/>
          <w:szCs w:val="24"/>
        </w:rPr>
        <w:t>.</w:t>
      </w:r>
    </w:p>
    <w:p w14:paraId="2E34273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3.1 The Concept of Artificial Intelligence in Business and Healthcare</w:t>
      </w:r>
    </w:p>
    <w:p w14:paraId="21D0E71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refers to the ability of machines to perform cognitive tasks such as perception, learning, problem-solving, and language understanding. In marketing, AI extends beyond simple automation; it involves adaptive systems that continuously learn from new data to improve performance and decision quality. When applied to the pharmaceutical industry, AI enables marketers to move from descriptive analytics (what happened) to predictive analytics (what will happen) and ultimately prescriptive analytics (what should be done).</w:t>
      </w:r>
    </w:p>
    <w:p w14:paraId="663EE241" w14:textId="6B5E011D"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marketing generates vast and complex datasets </w:t>
      </w:r>
      <w:r w:rsidR="00BC05E9">
        <w:rPr>
          <w:rFonts w:cs="Times New Roman"/>
          <w:szCs w:val="24"/>
        </w:rPr>
        <w:t xml:space="preserve"> </w:t>
      </w:r>
      <w:r w:rsidRPr="000B42CC">
        <w:rPr>
          <w:rFonts w:cs="Times New Roman"/>
          <w:szCs w:val="24"/>
        </w:rPr>
        <w:t xml:space="preserve"> including prescription trends, sales figures, electronic health records, social media feedback, and patient adherence data. Traditional analytics tools are insufficient to process and interpret this high-volume, high-velocity information. AI bridges this gap by applying machine learning algorithms that automatically detect patterns, correlations, and causal relationships, providing marketers with insights that were previously unattainable</w:t>
      </w:r>
      <w:r w:rsidR="00A034C4">
        <w:rPr>
          <w:rFonts w:cs="Times New Roman"/>
          <w:szCs w:val="24"/>
        </w:rPr>
        <w:t xml:space="preserve"> </w:t>
      </w:r>
      <w:sdt>
        <w:sdtPr>
          <w:rPr>
            <w:rFonts w:cs="Times New Roman"/>
            <w:color w:val="000000"/>
            <w:szCs w:val="24"/>
          </w:rPr>
          <w:tag w:val="MENDELEY_CITATION_v3_eyJjaXRhdGlvbklEIjoiTUVOREVMRVlfQ0lUQVRJT05fODVkZjlhMWMtYTllZC00Nzc5LWIwNTUtMWMwMzVlZjI1MTM2IiwicHJvcGVydGllcyI6eyJub3RlSW5kZXgiOjB9LCJpc0VkaXRlZCI6ZmFsc2UsIm1hbnVhbE92ZXJyaWRlIjp7ImlzTWFudWFsbHlPdmVycmlkZGVuIjpmYWxzZSwiY2l0ZXByb2NUZXh0IjoiKDEw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
          <w:id w:val="183261441"/>
          <w:placeholder>
            <w:docPart w:val="DefaultPlaceholder_-1854013440"/>
          </w:placeholder>
        </w:sdtPr>
        <w:sdtEndPr/>
        <w:sdtContent>
          <w:r w:rsidR="00A034C4" w:rsidRPr="00A034C4">
            <w:rPr>
              <w:rFonts w:cs="Times New Roman"/>
              <w:color w:val="000000"/>
              <w:szCs w:val="24"/>
            </w:rPr>
            <w:t>(10,34)</w:t>
          </w:r>
        </w:sdtContent>
      </w:sdt>
      <w:r w:rsidRPr="000B42CC">
        <w:rPr>
          <w:rFonts w:cs="Times New Roman"/>
          <w:szCs w:val="24"/>
        </w:rPr>
        <w:t>.</w:t>
      </w:r>
    </w:p>
    <w:p w14:paraId="157AC39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AI can identify which physicians are early adopters of new drugs, predict the likelihood of prescription conversion after an interaction, and suggest the optimal timing and content for subsequent communication. This shift from human intuition to algorithmic intelligence represents a fundamental redefinition of marketing strategy.</w:t>
      </w:r>
    </w:p>
    <w:p w14:paraId="30489E7E"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3.2 Core Components of AI Relevant to Pharmaceutical Marketing</w:t>
      </w:r>
    </w:p>
    <w:p w14:paraId="6CF523E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is not a singular technology but a collection of computational methods that operate synergistically. The following are key components that directly influence modern pharmaceutical marketing systems:</w:t>
      </w:r>
    </w:p>
    <w:p w14:paraId="137071B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a. Machine Learning (ML)</w:t>
      </w:r>
    </w:p>
    <w:p w14:paraId="5BC6AC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Machine Learning forms the backbone of AI applications in marketing. It involves training algorithms on historical data so that they can make predictions or decisions without explicit programming. In the pharmaceutical domain, ML models </w:t>
      </w:r>
      <w:proofErr w:type="spellStart"/>
      <w:r w:rsidRPr="000B42CC">
        <w:rPr>
          <w:rFonts w:cs="Times New Roman"/>
          <w:szCs w:val="24"/>
        </w:rPr>
        <w:t>analyze</w:t>
      </w:r>
      <w:proofErr w:type="spellEnd"/>
      <w:r w:rsidRPr="000B42CC">
        <w:rPr>
          <w:rFonts w:cs="Times New Roman"/>
          <w:szCs w:val="24"/>
        </w:rPr>
        <w:t xml:space="preserve"> physician </w:t>
      </w:r>
      <w:proofErr w:type="spellStart"/>
      <w:r w:rsidRPr="000B42CC">
        <w:rPr>
          <w:rFonts w:cs="Times New Roman"/>
          <w:szCs w:val="24"/>
        </w:rPr>
        <w:t>behavior</w:t>
      </w:r>
      <w:proofErr w:type="spellEnd"/>
      <w:r w:rsidRPr="000B42CC">
        <w:rPr>
          <w:rFonts w:cs="Times New Roman"/>
          <w:szCs w:val="24"/>
        </w:rPr>
        <w:t>, prescribing patterns, market dynamics, and promotional responses.</w:t>
      </w:r>
    </w:p>
    <w:p w14:paraId="6FE121D2"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For instance, supervised learning techniques (e.g., decision trees, regression models) can predict sales outcomes based on historical campaign data, while unsupervised learning methods (e.g., clustering algorithms) can segment physicians or patient populations according to </w:t>
      </w:r>
      <w:proofErr w:type="spellStart"/>
      <w:r w:rsidRPr="000B42CC">
        <w:rPr>
          <w:rFonts w:cs="Times New Roman"/>
          <w:szCs w:val="24"/>
        </w:rPr>
        <w:t>behavior</w:t>
      </w:r>
      <w:proofErr w:type="spellEnd"/>
      <w:r w:rsidRPr="000B42CC">
        <w:rPr>
          <w:rFonts w:cs="Times New Roman"/>
          <w:szCs w:val="24"/>
        </w:rPr>
        <w:t>, geography, or therapeutic focus. Reinforcement learning further enables AI systems to adjust marketing strategies dynamically by learning from feedback loops.</w:t>
      </w:r>
    </w:p>
    <w:p w14:paraId="2ADB6934" w14:textId="75F526B2"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strength of ML lies in its scalability and adaptability </w:t>
      </w:r>
      <w:r w:rsidR="00BC05E9">
        <w:rPr>
          <w:rFonts w:cs="Times New Roman"/>
          <w:szCs w:val="24"/>
        </w:rPr>
        <w:t xml:space="preserve"> </w:t>
      </w:r>
      <w:r w:rsidRPr="000B42CC">
        <w:rPr>
          <w:rFonts w:cs="Times New Roman"/>
          <w:szCs w:val="24"/>
        </w:rPr>
        <w:t xml:space="preserve"> as more data are fed into the model, its accuracy improves, leading to continuously optimized marketing performance</w:t>
      </w:r>
      <w:r w:rsidR="00A034C4">
        <w:rPr>
          <w:rFonts w:cs="Times New Roman"/>
          <w:szCs w:val="24"/>
        </w:rPr>
        <w:t xml:space="preserve"> </w:t>
      </w:r>
      <w:sdt>
        <w:sdtPr>
          <w:rPr>
            <w:rFonts w:cs="Times New Roman"/>
            <w:color w:val="000000"/>
            <w:szCs w:val="24"/>
          </w:rPr>
          <w:tag w:val="MENDELEY_CITATION_v3_eyJjaXRhdGlvbklEIjoiTUVOREVMRVlfQ0lUQVRJT05fM2QzYTkzMjItNDEzZS00YjBmLWFmM2MtMDE1ODVkMTJhOTAz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
          <w:id w:val="315232722"/>
          <w:placeholder>
            <w:docPart w:val="DefaultPlaceholder_-1854013440"/>
          </w:placeholder>
        </w:sdtPr>
        <w:sdtEndPr/>
        <w:sdtContent>
          <w:r w:rsidR="00A034C4" w:rsidRPr="00A034C4">
            <w:rPr>
              <w:rFonts w:cs="Times New Roman"/>
              <w:color w:val="000000"/>
              <w:szCs w:val="24"/>
            </w:rPr>
            <w:t>(6)</w:t>
          </w:r>
        </w:sdtContent>
      </w:sdt>
      <w:r w:rsidRPr="000B42CC">
        <w:rPr>
          <w:rFonts w:cs="Times New Roman"/>
          <w:szCs w:val="24"/>
        </w:rPr>
        <w:t>.</w:t>
      </w:r>
    </w:p>
    <w:p w14:paraId="3E5FC9B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b. Natural Language Processing (NLP)</w:t>
      </w:r>
    </w:p>
    <w:p w14:paraId="7BCADC9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NLP allows machines to understand, interpret, and generate human language. This technology has profound implications for marketing communication, particularly in processing unstructured textual data. In pharmaceutical marketing, NLP is employed for:</w:t>
      </w:r>
    </w:p>
    <w:p w14:paraId="307DFFB3"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Sentiment analysis:</w:t>
      </w:r>
      <w:r w:rsidRPr="000B42CC">
        <w:rPr>
          <w:rFonts w:cs="Times New Roman"/>
          <w:szCs w:val="24"/>
        </w:rPr>
        <w:t xml:space="preserve"> </w:t>
      </w:r>
      <w:proofErr w:type="spellStart"/>
      <w:r w:rsidRPr="000B42CC">
        <w:rPr>
          <w:rFonts w:cs="Times New Roman"/>
          <w:szCs w:val="24"/>
        </w:rPr>
        <w:t>Analyzing</w:t>
      </w:r>
      <w:proofErr w:type="spellEnd"/>
      <w:r w:rsidRPr="000B42CC">
        <w:rPr>
          <w:rFonts w:cs="Times New Roman"/>
          <w:szCs w:val="24"/>
        </w:rPr>
        <w:t xml:space="preserve"> online discussions, physician reviews, and social media conversations to assess public perception of a product.</w:t>
      </w:r>
    </w:p>
    <w:p w14:paraId="6CC74453"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Chatbots and virtual assistants:</w:t>
      </w:r>
      <w:r w:rsidRPr="000B42CC">
        <w:rPr>
          <w:rFonts w:cs="Times New Roman"/>
          <w:szCs w:val="24"/>
        </w:rPr>
        <w:t xml:space="preserve"> Facilitating HCP and patient interactions by providing on-demand, compliant information about indications, side effects, and administration guidelines.</w:t>
      </w:r>
    </w:p>
    <w:p w14:paraId="33951D3D"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Automated content generation:</w:t>
      </w:r>
      <w:r w:rsidRPr="000B42CC">
        <w:rPr>
          <w:rFonts w:cs="Times New Roman"/>
          <w:szCs w:val="24"/>
        </w:rPr>
        <w:t xml:space="preserve"> Drafting personalized newsletters, summaries, or follow-up messages in response to HCP engagement.</w:t>
      </w:r>
    </w:p>
    <w:p w14:paraId="7A8F750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NLP bridges communication gaps and ensures that marketing messages remain contextually relevant and linguistically natural.</w:t>
      </w:r>
    </w:p>
    <w:p w14:paraId="6C88FBB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c. Predictive Analytics</w:t>
      </w:r>
    </w:p>
    <w:p w14:paraId="5E2D464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Predictive analytics leverages statistical </w:t>
      </w:r>
      <w:proofErr w:type="spellStart"/>
      <w:r w:rsidRPr="000B42CC">
        <w:rPr>
          <w:rFonts w:cs="Times New Roman"/>
          <w:szCs w:val="24"/>
        </w:rPr>
        <w:t>modeling</w:t>
      </w:r>
      <w:proofErr w:type="spellEnd"/>
      <w:r w:rsidRPr="000B42CC">
        <w:rPr>
          <w:rFonts w:cs="Times New Roman"/>
          <w:szCs w:val="24"/>
        </w:rPr>
        <w:t xml:space="preserve"> and ML to forecast future trends. In pharmaceutical marketing, predictive systems </w:t>
      </w:r>
      <w:proofErr w:type="spellStart"/>
      <w:r w:rsidRPr="000B42CC">
        <w:rPr>
          <w:rFonts w:cs="Times New Roman"/>
          <w:szCs w:val="24"/>
        </w:rPr>
        <w:t>analyze</w:t>
      </w:r>
      <w:proofErr w:type="spellEnd"/>
      <w:r w:rsidRPr="000B42CC">
        <w:rPr>
          <w:rFonts w:cs="Times New Roman"/>
          <w:szCs w:val="24"/>
        </w:rPr>
        <w:t xml:space="preserve"> patterns in prescription data, market performance, and patient demographics to forecast demand, identify emerging therapeutic needs, or anticipate potential market barriers.</w:t>
      </w:r>
    </w:p>
    <w:p w14:paraId="09ED6DC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predictive models can estimate how the launch of a generic competitor might impact branded sales or how seasonal disease variations influence demand for vaccines or antibiotics. Such foresight enables proactive strategy adjustments, thereby reducing risks and optimizing market readiness.</w:t>
      </w:r>
    </w:p>
    <w:p w14:paraId="749850C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d. Deep Learning (DL)</w:t>
      </w:r>
    </w:p>
    <w:p w14:paraId="126040C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Deep Learning, a subset of ML, uses artificial neural networks inspired by the human brain to model complex relationships. DL is particularly effective in </w:t>
      </w:r>
      <w:proofErr w:type="spellStart"/>
      <w:r w:rsidRPr="000B42CC">
        <w:rPr>
          <w:rFonts w:cs="Times New Roman"/>
          <w:szCs w:val="24"/>
        </w:rPr>
        <w:t>analyzing</w:t>
      </w:r>
      <w:proofErr w:type="spellEnd"/>
      <w:r w:rsidRPr="000B42CC">
        <w:rPr>
          <w:rFonts w:cs="Times New Roman"/>
          <w:szCs w:val="24"/>
        </w:rPr>
        <w:t xml:space="preserve"> image, voice, and large-scale unstructured data. In marketing, DL can interpret visual engagement metrics, such as the effectiveness of advertisements or packaging, and optimize digital content accordingly.</w:t>
      </w:r>
    </w:p>
    <w:p w14:paraId="11A11132"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For example, pharmaceutical firms employ convolutional neural networks (CNNs) to evaluate digital banners or campaign visuals, ensuring that visual communication aligns with audience attention and emotional resonance.</w:t>
      </w:r>
    </w:p>
    <w:p w14:paraId="6B1D5FE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e. Robotic Process Automation (RPA)</w:t>
      </w:r>
    </w:p>
    <w:p w14:paraId="60F5690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RPA focuses on automating repetitive, rule-based tasks. In pharmaceutical marketing, RPA can be used to update CRM records, manage physician databases, schedule follow-ups, or generate regulatory compliance reports. This automation not only saves time but also reduces human error and enhances data accuracy.</w:t>
      </w:r>
    </w:p>
    <w:p w14:paraId="41CBF7D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f. Cognitive Computing and Recommendation Systems</w:t>
      </w:r>
    </w:p>
    <w:p w14:paraId="48F0681F" w14:textId="520FB82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Cognitive computing combines AI and ML to simulate human reasoning. Recommendation systems, widely used in e-commerce, are now entering pharmaceutical marketing. They suggest relevant content or educational materials to physicians based on their specialty, engagement history, and expressed interests </w:t>
      </w:r>
      <w:r w:rsidR="00BC05E9">
        <w:rPr>
          <w:rFonts w:cs="Times New Roman"/>
          <w:szCs w:val="24"/>
        </w:rPr>
        <w:t xml:space="preserve"> </w:t>
      </w:r>
      <w:r w:rsidRPr="000B42CC">
        <w:rPr>
          <w:rFonts w:cs="Times New Roman"/>
          <w:szCs w:val="24"/>
        </w:rPr>
        <w:t xml:space="preserve"> creating a more personalized, efficient communication process.</w:t>
      </w:r>
    </w:p>
    <w:p w14:paraId="629BC471" w14:textId="03EAF294" w:rsidR="000B42CC" w:rsidRPr="000B42CC" w:rsidRDefault="000B42CC" w:rsidP="008D3809">
      <w:pPr>
        <w:pStyle w:val="Style1"/>
        <w:spacing w:after="0" w:line="360" w:lineRule="auto"/>
        <w:rPr>
          <w:rFonts w:cs="Times New Roman"/>
          <w:b/>
          <w:szCs w:val="24"/>
        </w:rPr>
      </w:pPr>
      <w:r w:rsidRPr="000B42CC">
        <w:rPr>
          <w:rFonts w:cs="Times New Roman"/>
          <w:b/>
          <w:szCs w:val="24"/>
        </w:rPr>
        <w:t>3.3 Data: The Fuel of AI in Marketing</w:t>
      </w:r>
      <w:r w:rsidR="00A034C4">
        <w:rPr>
          <w:rFonts w:cs="Times New Roman"/>
          <w:b/>
          <w:szCs w:val="24"/>
        </w:rPr>
        <w:t xml:space="preserve"> </w:t>
      </w:r>
      <w:sdt>
        <w:sdtPr>
          <w:rPr>
            <w:rFonts w:cs="Times New Roman"/>
            <w:color w:val="000000"/>
            <w:szCs w:val="24"/>
          </w:rPr>
          <w:tag w:val="MENDELEY_CITATION_v3_eyJjaXRhdGlvbklEIjoiTUVOREVMRVlfQ0lUQVRJT05fMTZiYTRmNWYtZWM3OC00MjQzLWE0N2MtZWUzYWMwZWI2ZDNlIiwicHJvcGVydGllcyI6eyJub3RlSW5kZXgiOjB9LCJpc0VkaXRlZCI6ZmFsc2UsIm1hbnVhbE92ZXJyaWRlIjp7ImlzTWFudWFsbHlPdmVycmlkZGVuIjpmYWxzZSwiY2l0ZXByb2NUZXh0IjoiKDM1LDM2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"/>
          <w:id w:val="-38978483"/>
          <w:placeholder>
            <w:docPart w:val="DefaultPlaceholder_-1854013440"/>
          </w:placeholder>
        </w:sdtPr>
        <w:sdtEndPr/>
        <w:sdtContent>
          <w:r w:rsidR="00A034C4" w:rsidRPr="00A034C4">
            <w:rPr>
              <w:rFonts w:cs="Times New Roman"/>
              <w:color w:val="000000"/>
              <w:szCs w:val="24"/>
            </w:rPr>
            <w:t>(35,36)</w:t>
          </w:r>
        </w:sdtContent>
      </w:sdt>
    </w:p>
    <w:p w14:paraId="0CCC204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systems thrive on data. In pharmaceutical marketing, this data originates from multiple sources:</w:t>
      </w:r>
    </w:p>
    <w:p w14:paraId="0DFE4B76"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t>Internal:</w:t>
      </w:r>
      <w:r w:rsidRPr="000B42CC">
        <w:rPr>
          <w:rFonts w:cs="Times New Roman"/>
          <w:szCs w:val="24"/>
        </w:rPr>
        <w:t xml:space="preserve"> Sales reports, CRM databases, call logs, e-detailing platforms, and market research.</w:t>
      </w:r>
    </w:p>
    <w:p w14:paraId="6FA1AC48"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t>External:</w:t>
      </w:r>
      <w:r w:rsidRPr="000B42CC">
        <w:rPr>
          <w:rFonts w:cs="Times New Roman"/>
          <w:szCs w:val="24"/>
        </w:rPr>
        <w:t xml:space="preserve"> Social media feeds, prescription datasets, healthcare portals, clinical publications, and regulatory updates.</w:t>
      </w:r>
    </w:p>
    <w:p w14:paraId="285B2BC3"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t>Real-world data (RWD):</w:t>
      </w:r>
      <w:r w:rsidRPr="000B42CC">
        <w:rPr>
          <w:rFonts w:cs="Times New Roman"/>
          <w:szCs w:val="24"/>
        </w:rPr>
        <w:t xml:space="preserve"> Derived from EHRs, insurance claims, and patient-reported outcomes.</w:t>
      </w:r>
    </w:p>
    <w:p w14:paraId="4CAA970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ability of AI algorithms to process structured (quantitative) and unstructured (textual or visual) data provides pharmaceutical marketers with a 360-degree understanding of market </w:t>
      </w:r>
      <w:proofErr w:type="spellStart"/>
      <w:r w:rsidRPr="000B42CC">
        <w:rPr>
          <w:rFonts w:cs="Times New Roman"/>
          <w:szCs w:val="24"/>
        </w:rPr>
        <w:t>behavior</w:t>
      </w:r>
      <w:proofErr w:type="spellEnd"/>
      <w:r w:rsidRPr="000B42CC">
        <w:rPr>
          <w:rFonts w:cs="Times New Roman"/>
          <w:szCs w:val="24"/>
        </w:rPr>
        <w:t>. Importantly, the integration of real-world evidence (RWE) enables companies to design campaigns that are aligned with clinical outcomes rather than merely promotional metrics.</w:t>
      </w:r>
    </w:p>
    <w:p w14:paraId="476FDFE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However, data quality, interoperability, and ethical governance remain critical determinants of AI accuracy. Poor data can lead to biased models and misleading recommendations, highlighting the need for continuous data validation and regulatory compliance.</w:t>
      </w:r>
    </w:p>
    <w:p w14:paraId="349D1BD1" w14:textId="74AB0DF3" w:rsidR="000B42CC" w:rsidRPr="000B42CC" w:rsidRDefault="000B42CC" w:rsidP="008D3809">
      <w:pPr>
        <w:pStyle w:val="Style1"/>
        <w:spacing w:after="0" w:line="360" w:lineRule="auto"/>
        <w:rPr>
          <w:rFonts w:cs="Times New Roman"/>
          <w:b/>
          <w:szCs w:val="24"/>
        </w:rPr>
      </w:pPr>
      <w:r w:rsidRPr="000B42CC">
        <w:rPr>
          <w:rFonts w:cs="Times New Roman"/>
          <w:b/>
          <w:szCs w:val="24"/>
        </w:rPr>
        <w:t>3.4 Integration of AI with Marketing Systems</w:t>
      </w:r>
      <w:r w:rsidR="00A034C4">
        <w:rPr>
          <w:rFonts w:cs="Times New Roman"/>
          <w:b/>
          <w:szCs w:val="24"/>
        </w:rPr>
        <w:t xml:space="preserve"> </w:t>
      </w:r>
      <w:sdt>
        <w:sdtPr>
          <w:rPr>
            <w:rFonts w:cs="Times New Roman"/>
            <w:color w:val="000000"/>
            <w:szCs w:val="24"/>
          </w:rPr>
          <w:tag w:val="MENDELEY_CITATION_v3_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"/>
          <w:id w:val="-587380165"/>
          <w:placeholder>
            <w:docPart w:val="DefaultPlaceholder_-1854013440"/>
          </w:placeholder>
        </w:sdtPr>
        <w:sdtEndPr/>
        <w:sdtContent>
          <w:r w:rsidR="00A034C4" w:rsidRPr="00A034C4">
            <w:rPr>
              <w:rFonts w:cs="Times New Roman"/>
              <w:color w:val="000000"/>
              <w:szCs w:val="24"/>
            </w:rPr>
            <w:t>(37,38)</w:t>
          </w:r>
        </w:sdtContent>
      </w:sdt>
    </w:p>
    <w:p w14:paraId="0A40E06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true power of AI emerges when it is embedded within broader marketing infrastructure. Modern </w:t>
      </w:r>
      <w:r w:rsidRPr="000B42CC">
        <w:rPr>
          <w:rFonts w:cs="Times New Roman"/>
          <w:b/>
          <w:szCs w:val="24"/>
        </w:rPr>
        <w:t>Customer Relationship Management (CRM)</w:t>
      </w:r>
      <w:r w:rsidRPr="000B42CC">
        <w:rPr>
          <w:rFonts w:cs="Times New Roman"/>
          <w:szCs w:val="24"/>
        </w:rPr>
        <w:t xml:space="preserve"> platforms now integrate AI modules </w:t>
      </w:r>
      <w:r w:rsidRPr="000B42CC">
        <w:rPr>
          <w:rFonts w:cs="Times New Roman"/>
          <w:szCs w:val="24"/>
        </w:rPr>
        <w:lastRenderedPageBreak/>
        <w:t xml:space="preserve">that </w:t>
      </w:r>
      <w:proofErr w:type="spellStart"/>
      <w:r w:rsidRPr="000B42CC">
        <w:rPr>
          <w:rFonts w:cs="Times New Roman"/>
          <w:szCs w:val="24"/>
        </w:rPr>
        <w:t>analyze</w:t>
      </w:r>
      <w:proofErr w:type="spellEnd"/>
      <w:r w:rsidRPr="000B42CC">
        <w:rPr>
          <w:rFonts w:cs="Times New Roman"/>
          <w:szCs w:val="24"/>
        </w:rPr>
        <w:t xml:space="preserve"> engagement histories, predict optimal outreach timing, and automatically recommend next steps. Similarly, </w:t>
      </w:r>
      <w:r w:rsidRPr="000B42CC">
        <w:rPr>
          <w:rFonts w:cs="Times New Roman"/>
          <w:b/>
          <w:szCs w:val="24"/>
        </w:rPr>
        <w:t>marketing automation systems</w:t>
      </w:r>
      <w:r w:rsidRPr="000B42CC">
        <w:rPr>
          <w:rFonts w:cs="Times New Roman"/>
          <w:szCs w:val="24"/>
        </w:rPr>
        <w:t xml:space="preserve"> deploy AI algorithms to personalize emails, manage digital ads, and optimize content delivery in real time.</w:t>
      </w:r>
    </w:p>
    <w:p w14:paraId="75ED3065" w14:textId="0BAC3B49"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instance, when a physician downloads product literature or attends a webinar, the system logs the interaction, assesses their interest level using engagement scores, and recommends the next action </w:t>
      </w:r>
      <w:r w:rsidR="00BC05E9">
        <w:rPr>
          <w:rFonts w:cs="Times New Roman"/>
          <w:szCs w:val="24"/>
        </w:rPr>
        <w:t xml:space="preserve"> </w:t>
      </w:r>
      <w:r w:rsidRPr="000B42CC">
        <w:rPr>
          <w:rFonts w:cs="Times New Roman"/>
          <w:szCs w:val="24"/>
        </w:rPr>
        <w:t xml:space="preserve"> such as a follow-up call or a customized information packet. Over time, the system learns which combinations of actions yield the best outcomes for each profile, continuously refining its strategy.</w:t>
      </w:r>
    </w:p>
    <w:p w14:paraId="27668B4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dynamic learning capability distinguishes AI-driven marketing from static digital campaigns. It transforms marketing from a one-way communication process into an adaptive dialogue supported by data-driven intelligence.</w:t>
      </w:r>
    </w:p>
    <w:p w14:paraId="21A0A2B3" w14:textId="35026CD5" w:rsidR="000B42CC" w:rsidRPr="000B42CC" w:rsidRDefault="000B42CC" w:rsidP="008D3809">
      <w:pPr>
        <w:pStyle w:val="Style1"/>
        <w:spacing w:after="0" w:line="360" w:lineRule="auto"/>
        <w:rPr>
          <w:rFonts w:cs="Times New Roman"/>
          <w:b/>
          <w:szCs w:val="24"/>
        </w:rPr>
      </w:pPr>
      <w:r w:rsidRPr="000B42CC">
        <w:rPr>
          <w:rFonts w:cs="Times New Roman"/>
          <w:b/>
          <w:szCs w:val="24"/>
        </w:rPr>
        <w:t>3.5 The Strategic Implications of AI Adoption</w:t>
      </w:r>
      <w:r w:rsidR="00A034C4">
        <w:rPr>
          <w:rFonts w:cs="Times New Roman"/>
          <w:b/>
          <w:szCs w:val="24"/>
        </w:rPr>
        <w:t xml:space="preserve"> </w:t>
      </w:r>
      <w:sdt>
        <w:sdtPr>
          <w:rPr>
            <w:rFonts w:cs="Times New Roman"/>
            <w:color w:val="000000"/>
            <w:szCs w:val="24"/>
          </w:rPr>
          <w:tag w:val="MENDELEY_CITATION_v3_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0LjAwMiIsIklTU04iOiIyMjEwMzUzOCIsImlzc3VlZCI6eyJkYXRlLXBhcnRzIjpbWzIwMjUsOSwxXV19LCJwYWdlIjoiMzg5LTQwMyIsInB1Ymxpc2hlciI6IlcuQi4gU2F1bmRlcnMiLCJpc3N1ZSI6IjMiLCJ2b2x1bWUiOiI0MyJ9LCJpc1RlbXBvcmFyeSI6ZmFsc2V9XX0="/>
          <w:id w:val="265514561"/>
          <w:placeholder>
            <w:docPart w:val="DefaultPlaceholder_-1854013440"/>
          </w:placeholder>
        </w:sdtPr>
        <w:sdtEndPr/>
        <w:sdtContent>
          <w:r w:rsidR="00A034C4" w:rsidRPr="00A034C4">
            <w:rPr>
              <w:rFonts w:cs="Times New Roman"/>
              <w:color w:val="000000"/>
              <w:szCs w:val="24"/>
            </w:rPr>
            <w:t>(39,40)</w:t>
          </w:r>
        </w:sdtContent>
      </w:sdt>
    </w:p>
    <w:p w14:paraId="2A8E774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in pharmaceutical marketing is not just a technological upgrade; it represents a strategic evolution toward </w:t>
      </w:r>
      <w:r w:rsidRPr="000B42CC">
        <w:rPr>
          <w:rFonts w:cs="Times New Roman"/>
          <w:b/>
          <w:szCs w:val="24"/>
        </w:rPr>
        <w:t>precision engagement</w:t>
      </w:r>
      <w:r w:rsidRPr="000B42CC">
        <w:rPr>
          <w:rFonts w:cs="Times New Roman"/>
          <w:szCs w:val="24"/>
        </w:rPr>
        <w:t xml:space="preserve"> and </w:t>
      </w:r>
      <w:r w:rsidRPr="000B42CC">
        <w:rPr>
          <w:rFonts w:cs="Times New Roman"/>
          <w:b/>
          <w:szCs w:val="24"/>
        </w:rPr>
        <w:t>value-based communication</w:t>
      </w:r>
      <w:r w:rsidRPr="000B42CC">
        <w:rPr>
          <w:rFonts w:cs="Times New Roman"/>
          <w:szCs w:val="24"/>
        </w:rPr>
        <w:t>. By automating analytics and augmenting human judgment, AI empowers marketers to allocate budgets efficiently, target the right stakeholders, and enhance compliance monitoring.</w:t>
      </w:r>
    </w:p>
    <w:p w14:paraId="3682DF3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Moreover, AI democratizes decision-making across organizations. Senior managers can access real-time dashboards for strategic planning, while field teams benefit from intelligent scheduling and lead scoring systems. This creates a closed feedback loop where every marketing decision is informed by evidence and continuously optimized through machine learning.</w:t>
      </w:r>
    </w:p>
    <w:p w14:paraId="55BA4DEB" w14:textId="4CAD67D5" w:rsidR="000B42CC" w:rsidRPr="000B42CC" w:rsidRDefault="000B42CC" w:rsidP="008D3809">
      <w:pPr>
        <w:pStyle w:val="Style1"/>
        <w:spacing w:after="0" w:line="360" w:lineRule="auto"/>
        <w:rPr>
          <w:rFonts w:cs="Times New Roman"/>
          <w:szCs w:val="24"/>
        </w:rPr>
      </w:pPr>
      <w:r w:rsidRPr="000B42CC">
        <w:rPr>
          <w:rFonts w:cs="Times New Roman"/>
          <w:szCs w:val="24"/>
        </w:rPr>
        <w:t xml:space="preserve">At a macro level, AI contributes to </w:t>
      </w:r>
      <w:r w:rsidRPr="000B42CC">
        <w:rPr>
          <w:rFonts w:cs="Times New Roman"/>
          <w:b/>
          <w:szCs w:val="24"/>
        </w:rPr>
        <w:t>corporate sustainability and ethical governance</w:t>
      </w:r>
      <w:r w:rsidRPr="000B42CC">
        <w:rPr>
          <w:rFonts w:cs="Times New Roman"/>
          <w:szCs w:val="24"/>
        </w:rPr>
        <w:t xml:space="preserve">. By promoting scientific accuracy, eliminating redundant promotion, and aligning messages with public health objectives, AI reinforces the credibility of the pharmaceutical industry </w:t>
      </w:r>
      <w:r w:rsidR="00BC05E9">
        <w:rPr>
          <w:rFonts w:cs="Times New Roman"/>
          <w:szCs w:val="24"/>
        </w:rPr>
        <w:t xml:space="preserve"> </w:t>
      </w:r>
      <w:r w:rsidRPr="000B42CC">
        <w:rPr>
          <w:rFonts w:cs="Times New Roman"/>
          <w:szCs w:val="24"/>
        </w:rPr>
        <w:t xml:space="preserve"> an aspect often scrutinized in public discourse.</w:t>
      </w:r>
    </w:p>
    <w:p w14:paraId="24277BFE" w14:textId="281CFA81" w:rsidR="000B42CC" w:rsidRPr="000B42CC" w:rsidRDefault="000B42CC" w:rsidP="008D3809">
      <w:pPr>
        <w:pStyle w:val="Style1"/>
        <w:spacing w:after="0" w:line="360" w:lineRule="auto"/>
        <w:rPr>
          <w:rFonts w:cs="Times New Roman"/>
          <w:szCs w:val="24"/>
        </w:rPr>
      </w:pPr>
      <w:r w:rsidRPr="000B42CC">
        <w:rPr>
          <w:rFonts w:cs="Times New Roman"/>
          <w:szCs w:val="24"/>
        </w:rPr>
        <w:t>In essence, AI provides the cognitive and computational infrastructure necessary for smart pharmaceutical marketing. Its components</w:t>
      </w:r>
      <w:r w:rsidR="00BC05E9">
        <w:rPr>
          <w:rFonts w:cs="Times New Roman"/>
          <w:szCs w:val="24"/>
        </w:rPr>
        <w:t xml:space="preserve"> </w:t>
      </w:r>
      <w:r w:rsidRPr="000B42CC">
        <w:rPr>
          <w:rFonts w:cs="Times New Roman"/>
          <w:szCs w:val="24"/>
        </w:rPr>
        <w:t>ranging from ML and NLP to RPA and predictive analytics</w:t>
      </w:r>
      <w:r w:rsidR="00BC05E9">
        <w:rPr>
          <w:rFonts w:cs="Times New Roman"/>
          <w:szCs w:val="24"/>
        </w:rPr>
        <w:t xml:space="preserve"> </w:t>
      </w:r>
      <w:r w:rsidRPr="000B42CC">
        <w:rPr>
          <w:rFonts w:cs="Times New Roman"/>
          <w:szCs w:val="24"/>
        </w:rPr>
        <w:t>work synergistically to transform raw data into actionable insights, automate repetitive processes, and personalize communication across multiple touchpoints.</w:t>
      </w:r>
    </w:p>
    <w:p w14:paraId="19CC73F3" w14:textId="210B2419" w:rsidR="000B42CC" w:rsidRPr="000B42CC" w:rsidRDefault="000B42CC" w:rsidP="008D3809">
      <w:pPr>
        <w:pStyle w:val="Style1"/>
        <w:spacing w:after="0" w:line="360" w:lineRule="auto"/>
        <w:rPr>
          <w:rFonts w:cs="Times New Roman"/>
          <w:szCs w:val="24"/>
        </w:rPr>
      </w:pPr>
      <w:r w:rsidRPr="000B42CC">
        <w:rPr>
          <w:rFonts w:cs="Times New Roman"/>
          <w:szCs w:val="24"/>
        </w:rPr>
        <w:t>The next section will delve deeper into how these technologies are practically applied within pharmaceutical marketing functions such as customer relationship management, market segmentation, demand forecasting, social listening, and personalized patient engagement</w:t>
      </w:r>
      <w:r w:rsidR="00BC05E9">
        <w:rPr>
          <w:rFonts w:cs="Times New Roman"/>
          <w:szCs w:val="24"/>
        </w:rPr>
        <w:t xml:space="preserve"> </w:t>
      </w:r>
      <w:r w:rsidRPr="000B42CC">
        <w:rPr>
          <w:rFonts w:cs="Times New Roman"/>
          <w:szCs w:val="24"/>
        </w:rPr>
        <w:t>illustrating the tangible benefits and real-world impact of AI-driven marketing strategies.</w:t>
      </w:r>
    </w:p>
    <w:p w14:paraId="356AEEF0" w14:textId="1C7128A0"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4. Applications of AI in Pharmaceutical Marketing </w:t>
      </w:r>
      <w:sdt>
        <w:sdtPr>
          <w:rPr>
            <w:rFonts w:cs="Times New Roman"/>
            <w:color w:val="000000"/>
            <w:szCs w:val="24"/>
          </w:rPr>
          <w:tag w:val="MENDELEY_CITATION_v3_eyJjaXRhdGlvbklEIjoiTUVOREVMRVlfQ0lUQVRJT05fZTI4ZDcyOTUtNWIwNC00ODk0LTlhYWYtMDVkYTVjMDc2MGVkIiwicHJvcGVydGllcyI6eyJub3RlSW5kZXgiOjB9LCJpc0VkaXRlZCI6ZmFsc2UsIm1hbnVhbE92ZXJyaWRlIjp7ImlzTWFudWFsbHlPdmVycmlkZGVuIjpmYWxzZSwiY2l0ZXByb2NUZXh0IjoiKDQxLDQy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"/>
          <w:id w:val="78260787"/>
          <w:placeholder>
            <w:docPart w:val="DefaultPlaceholder_-1854013440"/>
          </w:placeholder>
        </w:sdtPr>
        <w:sdtEndPr/>
        <w:sdtContent>
          <w:r w:rsidR="00A034C4" w:rsidRPr="00A034C4">
            <w:rPr>
              <w:rFonts w:cs="Times New Roman"/>
              <w:color w:val="000000"/>
              <w:szCs w:val="24"/>
            </w:rPr>
            <w:t>(41,42)</w:t>
          </w:r>
        </w:sdtContent>
      </w:sdt>
    </w:p>
    <w:p w14:paraId="63887FEE" w14:textId="6A719590"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Artificial Intelligence has transcended theoretical boundaries to become an indispensable operational and strategic tool in pharmaceutical marketing. Its capabilities extend across every stage of the marketing value chain</w:t>
      </w:r>
      <w:r w:rsidR="00BC05E9">
        <w:rPr>
          <w:rFonts w:cs="Times New Roman"/>
          <w:szCs w:val="24"/>
        </w:rPr>
        <w:t xml:space="preserve"> </w:t>
      </w:r>
      <w:r w:rsidRPr="000B42CC">
        <w:rPr>
          <w:rFonts w:cs="Times New Roman"/>
          <w:szCs w:val="24"/>
        </w:rPr>
        <w:t>from understanding market needs and forecasting demand to personalizing customer engagement and measuring campaign performance. The integration of AI into pharmaceutical marketing is reshaping traditional models of physician interaction, patient education, and brand communication into intelligent, adaptive, and data-driven systems.</w:t>
      </w:r>
    </w:p>
    <w:p w14:paraId="06A0CC5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section explores the major applications of AI in pharmaceutical marketing, emphasizing their mechanisms, benefits, and real-world examples.</w:t>
      </w:r>
    </w:p>
    <w:p w14:paraId="44CF1752"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 AI-Enhanced Customer Relationship Management (CRM)</w:t>
      </w:r>
    </w:p>
    <w:p w14:paraId="57BE6C45" w14:textId="5F7AF5D7" w:rsidR="000B42CC" w:rsidRPr="000B42CC" w:rsidRDefault="000B42CC" w:rsidP="008D3809">
      <w:pPr>
        <w:pStyle w:val="Style1"/>
        <w:spacing w:after="0" w:line="360" w:lineRule="auto"/>
        <w:rPr>
          <w:rFonts w:cs="Times New Roman"/>
          <w:szCs w:val="24"/>
        </w:rPr>
      </w:pPr>
      <w:r w:rsidRPr="000B42CC">
        <w:rPr>
          <w:rFonts w:cs="Times New Roman"/>
          <w:szCs w:val="24"/>
        </w:rPr>
        <w:t>Customer Relationship Management (CRM) systems are at the heart of pharmaceutical marketing operations. Traditionally, CRMs stored static records of interactions between medical representatives (MRs) and healthcare professionals (HCPs). Today, AI transforms these systems into dynamic, predictive, and self-learning platforms that actively guide marketing decisions</w:t>
      </w:r>
      <w:r w:rsidR="00A034C4">
        <w:rPr>
          <w:rFonts w:cs="Times New Roman"/>
          <w:szCs w:val="24"/>
        </w:rPr>
        <w:t xml:space="preserve"> </w:t>
      </w:r>
      <w:sdt>
        <w:sdtPr>
          <w:rPr>
            <w:rFonts w:cs="Times New Roman"/>
            <w:color w:val="000000"/>
            <w:szCs w:val="24"/>
          </w:rPr>
          <w:tag w:val="MENDELEY_CITATION_v3_eyJjaXRhdGlvbklEIjoiTUVOREVMRVlfQ0lUQVRJT05fYmJiYWFjYjgtM2E0MC00ZmQ5LWI3OWUtZWUzYjgyODQyMzFjIiwicHJvcGVydGllcyI6eyJub3RlSW5kZXgiOjB9LCJpc0VkaXRlZCI6ZmFsc2UsIm1hbnVhbE92ZXJyaWRlIjp7ImlzTWFudWFsbHlPdmVycmlkZGVuIjpmYWxzZSwiY2l0ZXByb2NUZXh0IjoiK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V19"/>
          <w:id w:val="808603464"/>
          <w:placeholder>
            <w:docPart w:val="DefaultPlaceholder_-1854013440"/>
          </w:placeholder>
        </w:sdtPr>
        <w:sdtEndPr/>
        <w:sdtContent>
          <w:r w:rsidR="00A034C4" w:rsidRPr="00A034C4">
            <w:rPr>
              <w:rFonts w:cs="Times New Roman"/>
              <w:color w:val="000000"/>
              <w:szCs w:val="24"/>
            </w:rPr>
            <w:t>(41)</w:t>
          </w:r>
        </w:sdtContent>
      </w:sdt>
      <w:r w:rsidRPr="000B42CC">
        <w:rPr>
          <w:rFonts w:cs="Times New Roman"/>
          <w:szCs w:val="24"/>
        </w:rPr>
        <w:t>.</w:t>
      </w:r>
    </w:p>
    <w:p w14:paraId="3F4C77D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AI-driven CRMs </w:t>
      </w:r>
      <w:proofErr w:type="spellStart"/>
      <w:r w:rsidRPr="000B42CC">
        <w:rPr>
          <w:rFonts w:cs="Times New Roman"/>
          <w:szCs w:val="24"/>
        </w:rPr>
        <w:t>analyze</w:t>
      </w:r>
      <w:proofErr w:type="spellEnd"/>
      <w:r w:rsidRPr="000B42CC">
        <w:rPr>
          <w:rFonts w:cs="Times New Roman"/>
          <w:szCs w:val="24"/>
        </w:rPr>
        <w:t xml:space="preserve"> data such as prescribing history, digital engagement </w:t>
      </w:r>
      <w:proofErr w:type="spellStart"/>
      <w:r w:rsidRPr="000B42CC">
        <w:rPr>
          <w:rFonts w:cs="Times New Roman"/>
          <w:szCs w:val="24"/>
        </w:rPr>
        <w:t>behavior</w:t>
      </w:r>
      <w:proofErr w:type="spellEnd"/>
      <w:r w:rsidRPr="000B42CC">
        <w:rPr>
          <w:rFonts w:cs="Times New Roman"/>
          <w:szCs w:val="24"/>
        </w:rPr>
        <w:t xml:space="preserve">, and regional market trends to generate actionable insights. For example, AI algorithms within platforms like </w:t>
      </w:r>
      <w:r w:rsidRPr="00AB4CA0">
        <w:rPr>
          <w:rFonts w:cs="Times New Roman"/>
          <w:bCs w:val="0"/>
          <w:szCs w:val="24"/>
        </w:rPr>
        <w:t>Veeva CRM or Salesforce Einstein</w:t>
      </w:r>
      <w:r w:rsidRPr="000B42CC">
        <w:rPr>
          <w:rFonts w:cs="Times New Roman"/>
          <w:szCs w:val="24"/>
        </w:rPr>
        <w:t xml:space="preserve"> can identify which HCPs are most likely to prescribe a drug, suggest optimal contact times, and recommend personalized content.</w:t>
      </w:r>
    </w:p>
    <w:p w14:paraId="739E7F1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Additionally, AI can track HCP sentiment across interactions. By applying Natural Language Processing (NLP) to meeting notes or email exchanges, CRMs can detect tone, interest levels, or hesitation cues. This enables marketers to adjust their messaging strategies for better engagement.</w:t>
      </w:r>
    </w:p>
    <w:p w14:paraId="227DBB1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also aids </w:t>
      </w:r>
      <w:r w:rsidRPr="00AB4CA0">
        <w:rPr>
          <w:rFonts w:cs="Times New Roman"/>
          <w:bCs w:val="0"/>
          <w:szCs w:val="24"/>
        </w:rPr>
        <w:t>lead scoring,</w:t>
      </w:r>
      <w:r w:rsidRPr="000B42CC">
        <w:rPr>
          <w:rFonts w:cs="Times New Roman"/>
          <w:szCs w:val="24"/>
        </w:rPr>
        <w:t xml:space="preserve"> assigning priority to HCPs or institutions based on predicted prescription potential. This helps MRs allocate time and resources efficiently. Predictive CRM analytics have been shown to increase sales conversion rates by 15–20% while reducing marketing costs.</w:t>
      </w:r>
    </w:p>
    <w:p w14:paraId="4C7E59CF" w14:textId="31E2DA1C" w:rsidR="000B42CC" w:rsidRPr="000B42CC" w:rsidRDefault="000B42CC" w:rsidP="008D3809">
      <w:pPr>
        <w:pStyle w:val="Style1"/>
        <w:spacing w:after="0" w:line="360" w:lineRule="auto"/>
        <w:rPr>
          <w:rFonts w:cs="Times New Roman"/>
          <w:szCs w:val="24"/>
        </w:rPr>
      </w:pPr>
      <w:r w:rsidRPr="000B42CC">
        <w:rPr>
          <w:rFonts w:cs="Times New Roman"/>
          <w:szCs w:val="24"/>
        </w:rPr>
        <w:t>In essence, AI elevates CRM from a data repository to an intelligent advisor</w:t>
      </w:r>
      <w:r w:rsidR="00BC05E9">
        <w:rPr>
          <w:rFonts w:cs="Times New Roman"/>
          <w:szCs w:val="24"/>
        </w:rPr>
        <w:t xml:space="preserve"> </w:t>
      </w:r>
      <w:r w:rsidRPr="000B42CC">
        <w:rPr>
          <w:rFonts w:cs="Times New Roman"/>
          <w:szCs w:val="24"/>
        </w:rPr>
        <w:t>turning every engagement into a learning opportunity that enhances future outreach.</w:t>
      </w:r>
    </w:p>
    <w:p w14:paraId="3D5FBA04" w14:textId="3B205E9D" w:rsidR="000B42CC" w:rsidRPr="000B42CC" w:rsidRDefault="000B42CC" w:rsidP="008D3809">
      <w:pPr>
        <w:pStyle w:val="Style1"/>
        <w:spacing w:after="0" w:line="360" w:lineRule="auto"/>
        <w:rPr>
          <w:rFonts w:cs="Times New Roman"/>
          <w:b/>
          <w:szCs w:val="24"/>
        </w:rPr>
      </w:pPr>
      <w:r w:rsidRPr="000B42CC">
        <w:rPr>
          <w:rFonts w:cs="Times New Roman"/>
          <w:b/>
          <w:szCs w:val="24"/>
        </w:rPr>
        <w:t>4.2 Market Segmentation and Targeting</w:t>
      </w:r>
      <w:r w:rsidR="00A034C4">
        <w:rPr>
          <w:rFonts w:cs="Times New Roman"/>
          <w:b/>
          <w:szCs w:val="24"/>
        </w:rPr>
        <w:t xml:space="preserve"> </w:t>
      </w:r>
      <w:sdt>
        <w:sdtPr>
          <w:rPr>
            <w:rFonts w:cs="Times New Roman"/>
            <w:color w:val="000000"/>
            <w:szCs w:val="24"/>
          </w:rPr>
          <w:tag w:val="MENDELEY_CITATION_v3_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"/>
          <w:id w:val="1582555631"/>
          <w:placeholder>
            <w:docPart w:val="DefaultPlaceholder_-1854013440"/>
          </w:placeholder>
        </w:sdtPr>
        <w:sdtEndPr/>
        <w:sdtContent>
          <w:r w:rsidR="00A034C4" w:rsidRPr="00A034C4">
            <w:rPr>
              <w:rFonts w:cs="Times New Roman"/>
              <w:color w:val="000000"/>
              <w:szCs w:val="24"/>
            </w:rPr>
            <w:t>(43,44)</w:t>
          </w:r>
        </w:sdtContent>
      </w:sdt>
    </w:p>
    <w:p w14:paraId="1C7011A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Market segmentation is fundamental to pharmaceutical marketing, as it ensures communication relevance and resource optimization. Traditional segmentation relied on static demographic or specialty-based divisions. However, AI enables </w:t>
      </w:r>
      <w:proofErr w:type="spellStart"/>
      <w:r w:rsidRPr="00AB4CA0">
        <w:rPr>
          <w:rFonts w:cs="Times New Roman"/>
          <w:bCs w:val="0"/>
          <w:szCs w:val="24"/>
        </w:rPr>
        <w:t>behavioral</w:t>
      </w:r>
      <w:proofErr w:type="spellEnd"/>
      <w:r w:rsidRPr="00AB4CA0">
        <w:rPr>
          <w:rFonts w:cs="Times New Roman"/>
          <w:bCs w:val="0"/>
          <w:szCs w:val="24"/>
        </w:rPr>
        <w:t xml:space="preserve"> and predictive segmentation</w:t>
      </w:r>
      <w:r w:rsidRPr="000B42CC">
        <w:rPr>
          <w:rFonts w:cs="Times New Roman"/>
          <w:szCs w:val="24"/>
        </w:rPr>
        <w:t xml:space="preserve"> using multidimensional data sources.</w:t>
      </w:r>
    </w:p>
    <w:p w14:paraId="12622A95" w14:textId="418C27FD"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Machine learning algorithms cluster physicians based on prescribing patterns, patient profiles, geographical differences, and engagement </w:t>
      </w:r>
      <w:proofErr w:type="spellStart"/>
      <w:r w:rsidRPr="000B42CC">
        <w:rPr>
          <w:rFonts w:cs="Times New Roman"/>
          <w:szCs w:val="24"/>
        </w:rPr>
        <w:t>behavior</w:t>
      </w:r>
      <w:proofErr w:type="spellEnd"/>
      <w:r w:rsidRPr="000B42CC">
        <w:rPr>
          <w:rFonts w:cs="Times New Roman"/>
          <w:szCs w:val="24"/>
        </w:rPr>
        <w:t>. These segments are dynamic</w:t>
      </w:r>
      <w:r w:rsidR="00BC05E9">
        <w:rPr>
          <w:rFonts w:cs="Times New Roman"/>
          <w:szCs w:val="24"/>
        </w:rPr>
        <w:t xml:space="preserve"> </w:t>
      </w:r>
      <w:r w:rsidRPr="000B42CC">
        <w:rPr>
          <w:rFonts w:cs="Times New Roman"/>
          <w:szCs w:val="24"/>
        </w:rPr>
        <w:t xml:space="preserve">continuously updated as new data flows in. For instance, if a cardiologist begins prescribing a new class of antihypertensive drugs, the AI model automatically reclassifies them into a new </w:t>
      </w:r>
      <w:proofErr w:type="spellStart"/>
      <w:r w:rsidRPr="000B42CC">
        <w:rPr>
          <w:rFonts w:cs="Times New Roman"/>
          <w:szCs w:val="24"/>
        </w:rPr>
        <w:t>behavioral</w:t>
      </w:r>
      <w:proofErr w:type="spellEnd"/>
      <w:r w:rsidRPr="000B42CC">
        <w:rPr>
          <w:rFonts w:cs="Times New Roman"/>
          <w:szCs w:val="24"/>
        </w:rPr>
        <w:t xml:space="preserve"> cluster, ensuring future campaigns reflect this change.</w:t>
      </w:r>
    </w:p>
    <w:p w14:paraId="5B0853B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Advanced segmentation models also incorporate </w:t>
      </w:r>
      <w:r w:rsidRPr="00AB4CA0">
        <w:rPr>
          <w:rFonts w:cs="Times New Roman"/>
          <w:bCs w:val="0"/>
          <w:szCs w:val="24"/>
        </w:rPr>
        <w:t>psychographic and sentiment dimensions,</w:t>
      </w:r>
      <w:r w:rsidRPr="000B42CC">
        <w:rPr>
          <w:rFonts w:cs="Times New Roman"/>
          <w:szCs w:val="24"/>
        </w:rPr>
        <w:t xml:space="preserve"> identifying HCPs who are innovators, early adopters, or conservative prescribers. This allows marketers to tailor communication styles accordingly.</w:t>
      </w:r>
    </w:p>
    <w:p w14:paraId="69809F85" w14:textId="0FE8FBD6"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companies like </w:t>
      </w:r>
      <w:r w:rsidRPr="00AB4CA0">
        <w:rPr>
          <w:rFonts w:cs="Times New Roman"/>
          <w:bCs w:val="0"/>
          <w:szCs w:val="24"/>
        </w:rPr>
        <w:t>Novartis and Sanofi</w:t>
      </w:r>
      <w:r w:rsidRPr="000B42CC">
        <w:rPr>
          <w:rFonts w:cs="Times New Roman"/>
          <w:szCs w:val="24"/>
        </w:rPr>
        <w:t xml:space="preserve"> have successfully implemented AI-driven segmentation models, achieving higher precision in targeting and better alignment between marketing messages and clinical needs. AI thus replaces static segmentation with a living system that learns and adapts</w:t>
      </w:r>
      <w:r w:rsidR="00BC05E9">
        <w:rPr>
          <w:rFonts w:cs="Times New Roman"/>
          <w:szCs w:val="24"/>
        </w:rPr>
        <w:t xml:space="preserve"> </w:t>
      </w:r>
      <w:r w:rsidRPr="000B42CC">
        <w:rPr>
          <w:rFonts w:cs="Times New Roman"/>
          <w:szCs w:val="24"/>
        </w:rPr>
        <w:t xml:space="preserve">mirroring the complexity of real-world prescribing </w:t>
      </w:r>
      <w:proofErr w:type="spellStart"/>
      <w:r w:rsidRPr="000B42CC">
        <w:rPr>
          <w:rFonts w:cs="Times New Roman"/>
          <w:szCs w:val="24"/>
        </w:rPr>
        <w:t>behavior</w:t>
      </w:r>
      <w:proofErr w:type="spellEnd"/>
      <w:r w:rsidRPr="000B42CC">
        <w:rPr>
          <w:rFonts w:cs="Times New Roman"/>
          <w:szCs w:val="24"/>
        </w:rPr>
        <w:t>.</w:t>
      </w:r>
    </w:p>
    <w:p w14:paraId="42D70F00" w14:textId="1370F3B5" w:rsidR="000B42CC" w:rsidRPr="000B42CC" w:rsidRDefault="000B42CC" w:rsidP="008D3809">
      <w:pPr>
        <w:pStyle w:val="Style1"/>
        <w:spacing w:after="0" w:line="360" w:lineRule="auto"/>
        <w:rPr>
          <w:rFonts w:cs="Times New Roman"/>
          <w:b/>
          <w:szCs w:val="24"/>
        </w:rPr>
      </w:pPr>
      <w:r w:rsidRPr="000B42CC">
        <w:rPr>
          <w:rFonts w:cs="Times New Roman"/>
          <w:b/>
          <w:szCs w:val="24"/>
        </w:rPr>
        <w:t>4.3 Predictive Marketing and Demand Forecasting</w:t>
      </w:r>
      <w:r w:rsidR="00A034C4">
        <w:rPr>
          <w:rFonts w:cs="Times New Roman"/>
          <w:b/>
          <w:szCs w:val="24"/>
        </w:rPr>
        <w:t xml:space="preserve"> </w:t>
      </w:r>
      <w:sdt>
        <w:sdtPr>
          <w:rPr>
            <w:rFonts w:cs="Times New Roman"/>
            <w:color w:val="000000"/>
            <w:szCs w:val="24"/>
          </w:rPr>
          <w:tag w:val="MENDELEY_CITATION_v3_eyJjaXRhdGlvbklEIjoiTUVOREVMRVlfQ0lUQVRJT05fZGNkNzBkMjYtYmVlNi00OGY3LWI1MjUtNDI1NDY0MDQ0ZmIx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573959471"/>
          <w:placeholder>
            <w:docPart w:val="DefaultPlaceholder_-1854013440"/>
          </w:placeholder>
        </w:sdtPr>
        <w:sdtEndPr/>
        <w:sdtContent>
          <w:r w:rsidR="00A034C4" w:rsidRPr="00A034C4">
            <w:rPr>
              <w:rFonts w:cs="Times New Roman"/>
              <w:color w:val="000000"/>
              <w:szCs w:val="24"/>
            </w:rPr>
            <w:t>(45)</w:t>
          </w:r>
        </w:sdtContent>
      </w:sdt>
    </w:p>
    <w:p w14:paraId="4F67560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AI’s predictive power is one of its most valuable assets in pharmaceutical marketing. Demand forecasting in the pharmaceutical industry has traditionally been challenging due to factors such as seasonality, policy changes, disease outbreaks, and competitor launches. AI addresses these challenges through predictive analytics models that synthesize internal sales data with external signals like epidemiological trends, social media sentiment, and market access developments.</w:t>
      </w:r>
    </w:p>
    <w:p w14:paraId="4A5D35D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AI can predict an uptick in antibiotic sales based on weather forecasts and historical infection data. Similarly, it can forecast the market impact of a new competitor entering a therapeutic category. These insights guide production planning, inventory management, and promotional budgeting.</w:t>
      </w:r>
    </w:p>
    <w:p w14:paraId="74E87D3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Tools such as </w:t>
      </w:r>
      <w:r w:rsidRPr="00AB4CA0">
        <w:rPr>
          <w:rFonts w:cs="Times New Roman"/>
          <w:bCs w:val="0"/>
          <w:szCs w:val="24"/>
        </w:rPr>
        <w:t>Amazon Forecast and IBM Watson Analytics</w:t>
      </w:r>
      <w:r w:rsidRPr="000B42CC">
        <w:rPr>
          <w:rFonts w:cs="Times New Roman"/>
          <w:szCs w:val="24"/>
        </w:rPr>
        <w:t xml:space="preserve"> have been integrated into life sciences marketing departments to model real-time demand. Studies indicate that AI-driven demand forecasting can reduce inventory costs by up to 30% and improve supply chain responsiveness.</w:t>
      </w:r>
    </w:p>
    <w:p w14:paraId="16193CB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predictive marketing, AI identifies which promotional strategies yield the highest engagement. Machine learning models </w:t>
      </w:r>
      <w:proofErr w:type="spellStart"/>
      <w:r w:rsidRPr="000B42CC">
        <w:rPr>
          <w:rFonts w:cs="Times New Roman"/>
          <w:szCs w:val="24"/>
        </w:rPr>
        <w:t>analyze</w:t>
      </w:r>
      <w:proofErr w:type="spellEnd"/>
      <w:r w:rsidRPr="000B42CC">
        <w:rPr>
          <w:rFonts w:cs="Times New Roman"/>
          <w:szCs w:val="24"/>
        </w:rPr>
        <w:t xml:space="preserve"> click-through rates, prescription uptakes, and interaction histories to predict which physicians are most likely to convert after a particular campaign. Marketing teams can then allocate resources strategically to maximize ROI.</w:t>
      </w:r>
    </w:p>
    <w:p w14:paraId="56B3016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4.4 Sentiment Analysis and Social Listening</w:t>
      </w:r>
    </w:p>
    <w:p w14:paraId="2C49F62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modern pharmaceutical landscape extends beyond prescribers to include patients, caregivers, policymakers, and the public. Understanding how these stakeholders perceive a </w:t>
      </w:r>
      <w:r w:rsidRPr="000B42CC">
        <w:rPr>
          <w:rFonts w:cs="Times New Roman"/>
          <w:szCs w:val="24"/>
        </w:rPr>
        <w:lastRenderedPageBreak/>
        <w:t xml:space="preserve">brand or therapy is crucial for trust and reputation management. AI-driven </w:t>
      </w:r>
      <w:r w:rsidRPr="00AB4CA0">
        <w:rPr>
          <w:rFonts w:cs="Times New Roman"/>
          <w:bCs w:val="0"/>
          <w:szCs w:val="24"/>
        </w:rPr>
        <w:t>sentiment analysis</w:t>
      </w:r>
      <w:r w:rsidRPr="000B42CC">
        <w:rPr>
          <w:rFonts w:cs="Times New Roman"/>
          <w:szCs w:val="24"/>
        </w:rPr>
        <w:t xml:space="preserve"> uses NLP to monitor social media platforms, news articles, and patient forums to evaluate public sentiment toward specific drugs, companies, or health topics.</w:t>
      </w:r>
    </w:p>
    <w:p w14:paraId="2C7439C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By processing millions of online posts, AI can detect positive, neutral, or negative opinions in real time. For instance, </w:t>
      </w:r>
      <w:r w:rsidRPr="00AB4CA0">
        <w:rPr>
          <w:rFonts w:cs="Times New Roman"/>
          <w:bCs w:val="0"/>
          <w:szCs w:val="24"/>
        </w:rPr>
        <w:t>GlaxoSmithKline (GSK)</w:t>
      </w:r>
      <w:r w:rsidRPr="000B42CC">
        <w:rPr>
          <w:rFonts w:cs="Times New Roman"/>
          <w:szCs w:val="24"/>
        </w:rPr>
        <w:t xml:space="preserve"> used sentiment analysis tools to monitor vaccine-related discussions during the COVID-19 era. When misinformation spikes were detected, the company launched corrective educational campaigns, improving vaccine acceptance.</w:t>
      </w:r>
    </w:p>
    <w:p w14:paraId="01D9C02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addition to perception </w:t>
      </w:r>
      <w:r w:rsidRPr="00B56E99">
        <w:rPr>
          <w:rFonts w:cs="Times New Roman"/>
          <w:szCs w:val="24"/>
        </w:rPr>
        <w:t xml:space="preserve">tracking, social listening helps identify unmet medical needs or adverse event mentions that can inform pharmacovigilance and product improvement. AI tools such as </w:t>
      </w:r>
      <w:proofErr w:type="spellStart"/>
      <w:r w:rsidRPr="00B56E99">
        <w:rPr>
          <w:rFonts w:cs="Times New Roman"/>
          <w:szCs w:val="24"/>
        </w:rPr>
        <w:t>Brandwatch</w:t>
      </w:r>
      <w:proofErr w:type="spellEnd"/>
      <w:r w:rsidRPr="00B56E99">
        <w:rPr>
          <w:rFonts w:cs="Times New Roman"/>
          <w:szCs w:val="24"/>
        </w:rPr>
        <w:t xml:space="preserve">, </w:t>
      </w:r>
      <w:proofErr w:type="spellStart"/>
      <w:r w:rsidRPr="00B56E99">
        <w:rPr>
          <w:rFonts w:cs="Times New Roman"/>
          <w:szCs w:val="24"/>
        </w:rPr>
        <w:t>Talkwalker</w:t>
      </w:r>
      <w:proofErr w:type="spellEnd"/>
      <w:r w:rsidRPr="00B56E99">
        <w:rPr>
          <w:rFonts w:cs="Times New Roman"/>
          <w:szCs w:val="24"/>
        </w:rPr>
        <w:t xml:space="preserve">, and </w:t>
      </w:r>
      <w:proofErr w:type="spellStart"/>
      <w:r w:rsidRPr="00B56E99">
        <w:rPr>
          <w:rFonts w:cs="Times New Roman"/>
          <w:szCs w:val="24"/>
        </w:rPr>
        <w:t>Sprinklr</w:t>
      </w:r>
      <w:proofErr w:type="spellEnd"/>
      <w:r w:rsidRPr="00B56E99">
        <w:rPr>
          <w:rFonts w:cs="Times New Roman"/>
          <w:szCs w:val="24"/>
        </w:rPr>
        <w:t xml:space="preserve"> enable continuous monitoring of digital discourse, offering pharmaceutical marketers a</w:t>
      </w:r>
      <w:r w:rsidRPr="000B42CC">
        <w:rPr>
          <w:rFonts w:cs="Times New Roman"/>
          <w:szCs w:val="24"/>
        </w:rPr>
        <w:t xml:space="preserve"> strategic advantage in reputation management and patient engagement.</w:t>
      </w:r>
    </w:p>
    <w:p w14:paraId="1D5A67EF"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4.5 Chatbots and Virtual Medical Representatives</w:t>
      </w:r>
    </w:p>
    <w:p w14:paraId="3052096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AI-powered chatbots and virtual medical representatives (VMRs) are redefining how pharmaceutical companies interact with healthcare professionals and patients. Chatbots utilize NLP and ML to provide instant, compliant responses to medical or product-related queries, operating 24/7 across multiple channels.</w:t>
      </w:r>
    </w:p>
    <w:p w14:paraId="563E81A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HCPs, chatbots deliver personalized information such as dosage guidelines, mechanism of action, or recent clinical trial data. For patients, they provide adherence reminders, side-effect management tips, or educational resources. Importantly, these systems are designed to remain compliant with promotional regulations, offering evidence-based information only.</w:t>
      </w:r>
    </w:p>
    <w:p w14:paraId="37003B48" w14:textId="660080ED" w:rsidR="000B42CC" w:rsidRPr="00B56E99" w:rsidRDefault="000B42CC" w:rsidP="008D3809">
      <w:pPr>
        <w:pStyle w:val="Style1"/>
        <w:spacing w:after="0" w:line="360" w:lineRule="auto"/>
        <w:rPr>
          <w:rFonts w:cs="Times New Roman"/>
          <w:bCs w:val="0"/>
          <w:szCs w:val="24"/>
        </w:rPr>
      </w:pPr>
      <w:r w:rsidRPr="00B56E99">
        <w:rPr>
          <w:rFonts w:cs="Times New Roman"/>
          <w:bCs w:val="0"/>
          <w:szCs w:val="24"/>
        </w:rPr>
        <w:t>Pfizer’s AI chatbot, deployed during the COVID-19 vaccination campaign, is a prime example</w:t>
      </w:r>
      <w:r w:rsidR="00BC05E9" w:rsidRPr="00B56E99">
        <w:rPr>
          <w:rFonts w:cs="Times New Roman"/>
          <w:bCs w:val="0"/>
          <w:szCs w:val="24"/>
        </w:rPr>
        <w:t xml:space="preserve"> </w:t>
      </w:r>
      <w:r w:rsidRPr="00B56E99">
        <w:rPr>
          <w:rFonts w:cs="Times New Roman"/>
          <w:bCs w:val="0"/>
          <w:szCs w:val="24"/>
        </w:rPr>
        <w:t>it addressed thousands of physician queries daily, improving accessibility and reducing response time by 60%.</w:t>
      </w:r>
    </w:p>
    <w:p w14:paraId="1EEF16AB" w14:textId="77777777" w:rsidR="000B42CC" w:rsidRPr="000B42CC" w:rsidRDefault="000B42CC" w:rsidP="008D3809">
      <w:pPr>
        <w:pStyle w:val="Style1"/>
        <w:spacing w:after="0" w:line="360" w:lineRule="auto"/>
        <w:rPr>
          <w:rFonts w:cs="Times New Roman"/>
          <w:szCs w:val="24"/>
        </w:rPr>
      </w:pPr>
      <w:r w:rsidRPr="00B56E99">
        <w:rPr>
          <w:rFonts w:cs="Times New Roman"/>
          <w:bCs w:val="0"/>
          <w:szCs w:val="24"/>
        </w:rPr>
        <w:t>In addition, Virtual Medical Representatives (VMRs) simulate one-on-one detailing through video or voice-enabled platforms, guided by AI-driven conversation</w:t>
      </w:r>
      <w:r w:rsidRPr="000B42CC">
        <w:rPr>
          <w:rFonts w:cs="Times New Roman"/>
          <w:szCs w:val="24"/>
        </w:rPr>
        <w:t xml:space="preserve"> flows. These systems can </w:t>
      </w:r>
      <w:proofErr w:type="spellStart"/>
      <w:r w:rsidRPr="000B42CC">
        <w:rPr>
          <w:rFonts w:cs="Times New Roman"/>
          <w:szCs w:val="24"/>
        </w:rPr>
        <w:t>analyze</w:t>
      </w:r>
      <w:proofErr w:type="spellEnd"/>
      <w:r w:rsidRPr="000B42CC">
        <w:rPr>
          <w:rFonts w:cs="Times New Roman"/>
          <w:szCs w:val="24"/>
        </w:rPr>
        <w:t xml:space="preserve"> engagement tone and adjust responses dynamically, making interactions both interactive and personalized.</w:t>
      </w:r>
    </w:p>
    <w:p w14:paraId="55456BF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outcome is enhanced customer satisfaction, reduced marketing costs, and consistent messaging across geographies.</w:t>
      </w:r>
    </w:p>
    <w:p w14:paraId="75782C8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4.6 Personalized Content and Omnichannel Engagement</w:t>
      </w:r>
    </w:p>
    <w:p w14:paraId="1E50A2F7" w14:textId="1F4F8808" w:rsidR="000B42CC" w:rsidRPr="000B42CC" w:rsidRDefault="000B42CC" w:rsidP="008D3809">
      <w:pPr>
        <w:pStyle w:val="Style1"/>
        <w:spacing w:after="0" w:line="360" w:lineRule="auto"/>
        <w:rPr>
          <w:rFonts w:cs="Times New Roman"/>
          <w:szCs w:val="24"/>
        </w:rPr>
      </w:pPr>
      <w:r w:rsidRPr="00B56E99">
        <w:rPr>
          <w:rFonts w:cs="Times New Roman"/>
          <w:szCs w:val="24"/>
        </w:rPr>
        <w:lastRenderedPageBreak/>
        <w:t>Pharmaceutical marketing has moved from mass messaging to personalized and omnichannel communication. AI ensures that every physician receives content tailored to their needs, delivered through their preferred medium</w:t>
      </w:r>
      <w:r w:rsidR="00BC05E9">
        <w:rPr>
          <w:rFonts w:cs="Times New Roman"/>
          <w:szCs w:val="24"/>
        </w:rPr>
        <w:t xml:space="preserve"> </w:t>
      </w:r>
      <w:r w:rsidRPr="000B42CC">
        <w:rPr>
          <w:rFonts w:cs="Times New Roman"/>
          <w:szCs w:val="24"/>
        </w:rPr>
        <w:t>email, webinar, mobile app, or in-person visit.</w:t>
      </w:r>
    </w:p>
    <w:p w14:paraId="16889D7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w:t>
      </w:r>
      <w:proofErr w:type="spellStart"/>
      <w:r w:rsidRPr="000B42CC">
        <w:rPr>
          <w:rFonts w:cs="Times New Roman"/>
          <w:szCs w:val="24"/>
        </w:rPr>
        <w:t>analyze</w:t>
      </w:r>
      <w:proofErr w:type="spellEnd"/>
      <w:r w:rsidRPr="000B42CC">
        <w:rPr>
          <w:rFonts w:cs="Times New Roman"/>
          <w:szCs w:val="24"/>
        </w:rPr>
        <w:t xml:space="preserve"> engagement data to determine what content resonates best with each HCP. For example, if a neurologist consistently opens newsletters on migraine therapy, the system prioritizes similar topics in future communications. This personalization increases engagement rates and brand recall.</w:t>
      </w:r>
    </w:p>
    <w:p w14:paraId="120EDAB8"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Omnichannel integration</w:t>
      </w:r>
      <w:r w:rsidRPr="000B42CC">
        <w:rPr>
          <w:rFonts w:cs="Times New Roman"/>
          <w:szCs w:val="24"/>
        </w:rPr>
        <w:t xml:space="preserve"> ensures that communication across different channels remains synchronized. If a physician interacts with a company’s webinar, the CRM automatically updates their profile and triggers follow-up content through the next best channel.</w:t>
      </w:r>
    </w:p>
    <w:p w14:paraId="5EE9868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Companies like </w:t>
      </w:r>
      <w:r w:rsidRPr="000B42CC">
        <w:rPr>
          <w:rFonts w:cs="Times New Roman"/>
          <w:b/>
          <w:szCs w:val="24"/>
        </w:rPr>
        <w:t>AstraZeneca</w:t>
      </w:r>
      <w:r w:rsidRPr="000B42CC">
        <w:rPr>
          <w:rFonts w:cs="Times New Roman"/>
          <w:szCs w:val="24"/>
        </w:rPr>
        <w:t xml:space="preserve"> have implemented AI-based omnichannel marketing frameworks, achieving a 35% improvement in digital engagement and higher consistency in brand communication.</w:t>
      </w:r>
    </w:p>
    <w:p w14:paraId="7069267B" w14:textId="46864AC2" w:rsidR="000B42CC" w:rsidRPr="000B42CC" w:rsidRDefault="000B42CC" w:rsidP="008D3809">
      <w:pPr>
        <w:pStyle w:val="Style1"/>
        <w:spacing w:after="0" w:line="360" w:lineRule="auto"/>
        <w:rPr>
          <w:rFonts w:cs="Times New Roman"/>
          <w:b/>
          <w:szCs w:val="24"/>
        </w:rPr>
      </w:pPr>
      <w:r w:rsidRPr="000B42CC">
        <w:rPr>
          <w:rFonts w:cs="Times New Roman"/>
          <w:b/>
          <w:szCs w:val="24"/>
        </w:rPr>
        <w:t>4.7 Sales Force and Field Force Optimization</w:t>
      </w:r>
      <w:r w:rsidR="00A034C4">
        <w:rPr>
          <w:rFonts w:cs="Times New Roman"/>
          <w:b/>
          <w:szCs w:val="24"/>
        </w:rPr>
        <w:t xml:space="preserve"> </w:t>
      </w:r>
      <w:sdt>
        <w:sdtPr>
          <w:rPr>
            <w:rFonts w:cs="Times New Roman"/>
            <w:color w:val="000000"/>
            <w:szCs w:val="24"/>
          </w:rPr>
          <w:tag w:val="MENDELEY_CITATION_v3_eyJjaXRhdGlvbklEIjoiTUVOREVMRVlfQ0lUQVRJT05fZTVlZWFmMzAtMTk1Ny00ZjZhLTliYzQtZGU5MGJjYjA2Zjdj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806845584"/>
          <w:placeholder>
            <w:docPart w:val="DefaultPlaceholder_-1854013440"/>
          </w:placeholder>
        </w:sdtPr>
        <w:sdtEndPr/>
        <w:sdtContent>
          <w:r w:rsidR="00A034C4" w:rsidRPr="00A034C4">
            <w:rPr>
              <w:rFonts w:cs="Times New Roman"/>
              <w:color w:val="000000"/>
              <w:szCs w:val="24"/>
            </w:rPr>
            <w:t>(45)</w:t>
          </w:r>
        </w:sdtContent>
      </w:sdt>
    </w:p>
    <w:p w14:paraId="0CF62BB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enhances field marketing efficiency by optimizing MR routes, call frequencies, and performance evaluations. Predictive algorithms identify which physicians are most likely to respond positively to visits, helping managers prioritize high-value interactions.</w:t>
      </w:r>
    </w:p>
    <w:p w14:paraId="5AF85FE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AI-powered tools </w:t>
      </w:r>
      <w:r w:rsidRPr="00B56E99">
        <w:rPr>
          <w:rFonts w:cs="Times New Roman"/>
          <w:szCs w:val="24"/>
        </w:rPr>
        <w:t>like IQVIA OCE integrate</w:t>
      </w:r>
      <w:r w:rsidRPr="000B42CC">
        <w:rPr>
          <w:rFonts w:cs="Times New Roman"/>
          <w:szCs w:val="24"/>
        </w:rPr>
        <w:t xml:space="preserve"> geolocation analytics, call history, and engagement data to generate optimal field plans. Moreover, AI evaluates MR performance in real time, suggesting coaching interventions or scheduling adjustments.</w:t>
      </w:r>
    </w:p>
    <w:p w14:paraId="0583F8E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data-driven approach not only increases sales productivity but also ensures that promotional activities align with compliance and ethical marketing standards.</w:t>
      </w:r>
    </w:p>
    <w:p w14:paraId="367351EE" w14:textId="06AB520B" w:rsidR="000B42CC" w:rsidRPr="000B42CC" w:rsidRDefault="000B42CC" w:rsidP="008D3809">
      <w:pPr>
        <w:pStyle w:val="Style1"/>
        <w:spacing w:after="0" w:line="360" w:lineRule="auto"/>
        <w:rPr>
          <w:rFonts w:cs="Times New Roman"/>
          <w:b/>
          <w:szCs w:val="24"/>
        </w:rPr>
      </w:pPr>
      <w:r w:rsidRPr="000B42CC">
        <w:rPr>
          <w:rFonts w:cs="Times New Roman"/>
          <w:b/>
          <w:szCs w:val="24"/>
        </w:rPr>
        <w:t>4.8 Clinical and Patient Education Campaigns</w:t>
      </w:r>
      <w:r w:rsidR="00A034C4">
        <w:rPr>
          <w:rFonts w:cs="Times New Roman"/>
          <w:b/>
          <w:szCs w:val="24"/>
        </w:rPr>
        <w:t xml:space="preserve"> </w:t>
      </w:r>
      <w:sdt>
        <w:sdtPr>
          <w:rPr>
            <w:rFonts w:cs="Times New Roman"/>
            <w:color w:val="000000"/>
            <w:szCs w:val="24"/>
          </w:rPr>
          <w:tag w:val="MENDELEY_CITATION_v3_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"/>
          <w:id w:val="665747749"/>
          <w:placeholder>
            <w:docPart w:val="DefaultPlaceholder_-1854013440"/>
          </w:placeholder>
        </w:sdtPr>
        <w:sdtEndPr/>
        <w:sdtContent>
          <w:r w:rsidR="00A034C4" w:rsidRPr="00A034C4">
            <w:rPr>
              <w:rFonts w:cs="Times New Roman"/>
              <w:color w:val="000000"/>
              <w:szCs w:val="24"/>
            </w:rPr>
            <w:t>(46)</w:t>
          </w:r>
        </w:sdtContent>
      </w:sdt>
    </w:p>
    <w:p w14:paraId="011ADC5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contributes to </w:t>
      </w:r>
      <w:r w:rsidRPr="000B42CC">
        <w:rPr>
          <w:rFonts w:cs="Times New Roman"/>
          <w:b/>
          <w:szCs w:val="24"/>
        </w:rPr>
        <w:t>patient-</w:t>
      </w:r>
      <w:proofErr w:type="spellStart"/>
      <w:r w:rsidRPr="000B42CC">
        <w:rPr>
          <w:rFonts w:cs="Times New Roman"/>
          <w:b/>
          <w:szCs w:val="24"/>
        </w:rPr>
        <w:t>centered</w:t>
      </w:r>
      <w:proofErr w:type="spellEnd"/>
      <w:r w:rsidRPr="000B42CC">
        <w:rPr>
          <w:rFonts w:cs="Times New Roman"/>
          <w:b/>
          <w:szCs w:val="24"/>
        </w:rPr>
        <w:t xml:space="preserve"> marketing</w:t>
      </w:r>
      <w:r w:rsidRPr="000B42CC">
        <w:rPr>
          <w:rFonts w:cs="Times New Roman"/>
          <w:szCs w:val="24"/>
        </w:rPr>
        <w:t xml:space="preserve"> by facilitating education and adherence programs. Predictive models identify patients at risk of non-compliance based on prescription refill patterns and demographic data. AI-enabled apps then send reminders, motivational messages, or connect patients with healthcare professionals for </w:t>
      </w:r>
      <w:proofErr w:type="spellStart"/>
      <w:r w:rsidRPr="000B42CC">
        <w:rPr>
          <w:rFonts w:cs="Times New Roman"/>
          <w:szCs w:val="24"/>
        </w:rPr>
        <w:t>counseling</w:t>
      </w:r>
      <w:proofErr w:type="spellEnd"/>
      <w:r w:rsidRPr="000B42CC">
        <w:rPr>
          <w:rFonts w:cs="Times New Roman"/>
          <w:szCs w:val="24"/>
        </w:rPr>
        <w:t>.</w:t>
      </w:r>
    </w:p>
    <w:p w14:paraId="7E830CD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w:t>
      </w:r>
      <w:r w:rsidRPr="00B56E99">
        <w:rPr>
          <w:rFonts w:cs="Times New Roman"/>
          <w:szCs w:val="24"/>
        </w:rPr>
        <w:t>example, Novartis launched an AI-based adherence app for heart failure patients that improved medication compliance by 18%. Similarly, patient chatbots deployed by Roche assist</w:t>
      </w:r>
      <w:r w:rsidRPr="000B42CC">
        <w:rPr>
          <w:rFonts w:cs="Times New Roman"/>
          <w:szCs w:val="24"/>
        </w:rPr>
        <w:t xml:space="preserve"> oncology patients by providing educational resources and tracking treatment progress.</w:t>
      </w:r>
    </w:p>
    <w:p w14:paraId="049109F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By integrating AI into educational campaigns, pharmaceutical marketers promote responsible medication use while strengthening public trust in the brand.</w:t>
      </w:r>
    </w:p>
    <w:p w14:paraId="285B4633" w14:textId="00C20CB5" w:rsidR="000B42CC" w:rsidRPr="000B42CC" w:rsidRDefault="000B42CC" w:rsidP="008D3809">
      <w:pPr>
        <w:pStyle w:val="Style1"/>
        <w:spacing w:after="0" w:line="360" w:lineRule="auto"/>
        <w:rPr>
          <w:rFonts w:cs="Times New Roman"/>
          <w:b/>
          <w:szCs w:val="24"/>
        </w:rPr>
      </w:pPr>
      <w:r w:rsidRPr="000B42CC">
        <w:rPr>
          <w:rFonts w:cs="Times New Roman"/>
          <w:b/>
          <w:szCs w:val="24"/>
        </w:rPr>
        <w:t>4.9 Real-World Evidence (RWE) Integration in Marketing</w:t>
      </w:r>
      <w:r w:rsidR="00A034C4">
        <w:rPr>
          <w:rFonts w:cs="Times New Roman"/>
          <w:b/>
          <w:szCs w:val="24"/>
        </w:rPr>
        <w:t xml:space="preserve"> </w:t>
      </w:r>
      <w:sdt>
        <w:sdtPr>
          <w:rPr>
            <w:rFonts w:cs="Times New Roman"/>
            <w:color w:val="000000"/>
            <w:szCs w:val="24"/>
          </w:rPr>
          <w:tag w:val="MENDELEY_CITATION_v3_eyJjaXRhdGlvbklEIjoiTUVOREVMRVlfQ0lUQVRJT05fZDc3MGY0YmMtM2NjYy00M2I0LWE1MzktZjk1MGE2ZTJiYTc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255430980"/>
          <w:placeholder>
            <w:docPart w:val="DefaultPlaceholder_-1854013440"/>
          </w:placeholder>
        </w:sdtPr>
        <w:sdtEndPr/>
        <w:sdtContent>
          <w:r w:rsidR="00A034C4" w:rsidRPr="00A034C4">
            <w:rPr>
              <w:rFonts w:cs="Times New Roman"/>
              <w:color w:val="000000"/>
              <w:szCs w:val="24"/>
            </w:rPr>
            <w:t>(45)</w:t>
          </w:r>
        </w:sdtContent>
      </w:sdt>
    </w:p>
    <w:p w14:paraId="50A0D48A" w14:textId="33A78915"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AI enables the integration of </w:t>
      </w:r>
      <w:r w:rsidRPr="000B42CC">
        <w:rPr>
          <w:rFonts w:cs="Times New Roman"/>
          <w:b/>
          <w:szCs w:val="24"/>
        </w:rPr>
        <w:t>Real-World Evidence (RWE)</w:t>
      </w:r>
      <w:r w:rsidR="00BC05E9">
        <w:rPr>
          <w:rFonts w:cs="Times New Roman"/>
          <w:szCs w:val="24"/>
        </w:rPr>
        <w:t xml:space="preserve"> </w:t>
      </w:r>
      <w:r w:rsidRPr="000B42CC">
        <w:rPr>
          <w:rFonts w:cs="Times New Roman"/>
          <w:szCs w:val="24"/>
        </w:rPr>
        <w:t>data derived from clinical practice, registries, and insurance claims</w:t>
      </w:r>
      <w:r w:rsidR="00BC05E9">
        <w:rPr>
          <w:rFonts w:cs="Times New Roman"/>
          <w:szCs w:val="24"/>
        </w:rPr>
        <w:t xml:space="preserve"> </w:t>
      </w:r>
      <w:r w:rsidRPr="000B42CC">
        <w:rPr>
          <w:rFonts w:cs="Times New Roman"/>
          <w:szCs w:val="24"/>
        </w:rPr>
        <w:t xml:space="preserve">into marketing decision-making. Marketers can </w:t>
      </w:r>
      <w:proofErr w:type="spellStart"/>
      <w:r w:rsidRPr="000B42CC">
        <w:rPr>
          <w:rFonts w:cs="Times New Roman"/>
          <w:szCs w:val="24"/>
        </w:rPr>
        <w:t>analyze</w:t>
      </w:r>
      <w:proofErr w:type="spellEnd"/>
      <w:r w:rsidRPr="000B42CC">
        <w:rPr>
          <w:rFonts w:cs="Times New Roman"/>
          <w:szCs w:val="24"/>
        </w:rPr>
        <w:t xml:space="preserve"> treatment outcomes, adverse event frequencies, and therapy effectiveness in diverse populations to tailor value propositions for different stakeholders.</w:t>
      </w:r>
    </w:p>
    <w:p w14:paraId="45068CF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RWE-driven marketing strengthens scientific credibility, aligning promotional narratives with clinical realities. AI systems, by processing vast RWE datasets, identify trends that support health economics and outcomes research (HEOR), providing data-backed justifications for formulary inclusion or reimbursement discussions.</w:t>
      </w:r>
    </w:p>
    <w:p w14:paraId="42A9A8F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4.10 Performance Measurement and ROI Analytics</w:t>
      </w:r>
    </w:p>
    <w:p w14:paraId="01C3921A" w14:textId="0EC7E6FF"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traditional challenge in pharmaceutical marketing has been quantifying ROI due to the long and indirect link between promotional activity and prescription </w:t>
      </w:r>
      <w:proofErr w:type="spellStart"/>
      <w:r w:rsidRPr="000B42CC">
        <w:rPr>
          <w:rFonts w:cs="Times New Roman"/>
          <w:szCs w:val="24"/>
        </w:rPr>
        <w:t>behavior</w:t>
      </w:r>
      <w:proofErr w:type="spellEnd"/>
      <w:r w:rsidRPr="000B42CC">
        <w:rPr>
          <w:rFonts w:cs="Times New Roman"/>
          <w:szCs w:val="24"/>
        </w:rPr>
        <w:t>. AI solves this by linking multichannel data streams</w:t>
      </w:r>
      <w:r w:rsidR="00BC05E9">
        <w:rPr>
          <w:rFonts w:cs="Times New Roman"/>
          <w:szCs w:val="24"/>
        </w:rPr>
        <w:t xml:space="preserve"> </w:t>
      </w:r>
      <w:r w:rsidRPr="000B42CC">
        <w:rPr>
          <w:rFonts w:cs="Times New Roman"/>
          <w:szCs w:val="24"/>
        </w:rPr>
        <w:t>digital engagements, sales data, physician interactions, and patient outcomes</w:t>
      </w:r>
      <w:r w:rsidR="00BC05E9">
        <w:rPr>
          <w:rFonts w:cs="Times New Roman"/>
          <w:szCs w:val="24"/>
        </w:rPr>
        <w:t xml:space="preserve"> </w:t>
      </w:r>
      <w:r w:rsidRPr="000B42CC">
        <w:rPr>
          <w:rFonts w:cs="Times New Roman"/>
          <w:szCs w:val="24"/>
        </w:rPr>
        <w:t xml:space="preserve">to </w:t>
      </w:r>
      <w:r w:rsidRPr="00B56E99">
        <w:rPr>
          <w:rFonts w:cs="Times New Roman"/>
          <w:szCs w:val="24"/>
        </w:rPr>
        <w:t>build attribution models that accurate</w:t>
      </w:r>
      <w:r w:rsidRPr="000B42CC">
        <w:rPr>
          <w:rFonts w:cs="Times New Roman"/>
          <w:szCs w:val="24"/>
        </w:rPr>
        <w:t>ly measure marketing impact.</w:t>
      </w:r>
    </w:p>
    <w:p w14:paraId="46C8B3C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Machine learning models can determine which combination of activities (e.g., webinar attendance + follow-up email) leads to the highest prescription likelihood. AI-based ROI dashboards enable marketers to reallocate budgets dynamically toward the most effective initiatives.</w:t>
      </w:r>
    </w:p>
    <w:p w14:paraId="1CA5CC5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Companies adopting AI for performance analytics report up to </w:t>
      </w:r>
      <w:r w:rsidRPr="000B42CC">
        <w:rPr>
          <w:rFonts w:cs="Times New Roman"/>
          <w:b/>
          <w:szCs w:val="24"/>
        </w:rPr>
        <w:t>20–30% improvements in campaign efficiency</w:t>
      </w:r>
      <w:r w:rsidRPr="000B42CC">
        <w:rPr>
          <w:rFonts w:cs="Times New Roman"/>
          <w:szCs w:val="24"/>
        </w:rPr>
        <w:t xml:space="preserve"> and significant cost savings.</w:t>
      </w:r>
    </w:p>
    <w:p w14:paraId="3969C021"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4.11 Integration of AI in Market Access and Policy Communication</w:t>
      </w:r>
    </w:p>
    <w:p w14:paraId="28FC8B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also supports strategic communication with policymakers, insurers, and hospital procurement bodies. By </w:t>
      </w:r>
      <w:proofErr w:type="spellStart"/>
      <w:r w:rsidRPr="000B42CC">
        <w:rPr>
          <w:rFonts w:cs="Times New Roman"/>
          <w:szCs w:val="24"/>
        </w:rPr>
        <w:t>analyzing</w:t>
      </w:r>
      <w:proofErr w:type="spellEnd"/>
      <w:r w:rsidRPr="000B42CC">
        <w:rPr>
          <w:rFonts w:cs="Times New Roman"/>
          <w:szCs w:val="24"/>
        </w:rPr>
        <w:t xml:space="preserve"> cost-effectiveness data and patient outcomes, AI generates evidence-based narratives for formulary inclusion or tender bidding. Predictive policy analysis can identify future reimbursement trends or healthcare investment priorities, guiding long-term marketing strategy.</w:t>
      </w:r>
    </w:p>
    <w:p w14:paraId="6E85DA5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4.12 Benefits Summary</w:t>
      </w:r>
    </w:p>
    <w:p w14:paraId="201596D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AI’s applications in pharmaceutical marketing deliver measurable benefits across multiple dimensions:</w:t>
      </w:r>
    </w:p>
    <w:p w14:paraId="7747A2B8"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Efficiency:</w:t>
      </w:r>
      <w:r w:rsidRPr="000B42CC">
        <w:rPr>
          <w:rFonts w:cs="Times New Roman"/>
          <w:szCs w:val="24"/>
        </w:rPr>
        <w:t xml:space="preserve"> Automation reduces repetitive workload and accelerates campaign cycles.</w:t>
      </w:r>
    </w:p>
    <w:p w14:paraId="123A6209"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Precision:</w:t>
      </w:r>
      <w:r w:rsidRPr="000B42CC">
        <w:rPr>
          <w:rFonts w:cs="Times New Roman"/>
          <w:szCs w:val="24"/>
        </w:rPr>
        <w:t xml:space="preserve"> Predictive analytics improve targeting accuracy.</w:t>
      </w:r>
    </w:p>
    <w:p w14:paraId="64CFAA0A"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Personalization:</w:t>
      </w:r>
      <w:r w:rsidRPr="000B42CC">
        <w:rPr>
          <w:rFonts w:cs="Times New Roman"/>
          <w:szCs w:val="24"/>
        </w:rPr>
        <w:t xml:space="preserve"> Tailored content enhances physician and patient engagement.</w:t>
      </w:r>
    </w:p>
    <w:p w14:paraId="0DBB395F"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Transparency:</w:t>
      </w:r>
      <w:r w:rsidRPr="000B42CC">
        <w:rPr>
          <w:rFonts w:cs="Times New Roman"/>
          <w:szCs w:val="24"/>
        </w:rPr>
        <w:t xml:space="preserve"> Data-driven insights ensure accountability and compliance.</w:t>
      </w:r>
    </w:p>
    <w:p w14:paraId="6294AF07"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Sustainability:</w:t>
      </w:r>
      <w:r w:rsidRPr="000B42CC">
        <w:rPr>
          <w:rFonts w:cs="Times New Roman"/>
          <w:szCs w:val="24"/>
        </w:rPr>
        <w:t xml:space="preserve"> Smart marketing reduces resource wastage and enhances ethical communication.</w:t>
      </w:r>
    </w:p>
    <w:p w14:paraId="7D0B7E40"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Collectively, these outcomes represent a transition from reactive, intuition-based marketing to proactive, intelligent, and ethically responsible engagement.</w:t>
      </w:r>
    </w:p>
    <w:p w14:paraId="38646791" w14:textId="5871DB26" w:rsidR="000B42CC" w:rsidRPr="000B42CC" w:rsidRDefault="000B42CC" w:rsidP="008D3809">
      <w:pPr>
        <w:pStyle w:val="Style1"/>
        <w:spacing w:after="0" w:line="360" w:lineRule="auto"/>
        <w:rPr>
          <w:rFonts w:cs="Times New Roman"/>
          <w:szCs w:val="24"/>
        </w:rPr>
      </w:pPr>
      <w:r w:rsidRPr="000B42CC">
        <w:rPr>
          <w:rFonts w:cs="Times New Roman"/>
          <w:szCs w:val="24"/>
        </w:rPr>
        <w:t>AI’s integration into pharmaceutical marketing is not a passing trend but a structural transformation. By leveraging technologies such as machine learning, NLP, predictive analytics, and automation, companies achieve holistic visibility of market dynamics, customer needs, and performance outcomes. Whether in CRM optimization, segmentation, or patient education, AI empowers marketers to deliver scientifically accurate, personalized, and compliant communication</w:t>
      </w:r>
      <w:r w:rsidR="00BC05E9">
        <w:rPr>
          <w:rFonts w:cs="Times New Roman"/>
          <w:szCs w:val="24"/>
        </w:rPr>
        <w:t xml:space="preserve"> </w:t>
      </w:r>
      <w:r w:rsidRPr="000B42CC">
        <w:rPr>
          <w:rFonts w:cs="Times New Roman"/>
          <w:szCs w:val="24"/>
        </w:rPr>
        <w:t>ultimately bridging the gap between innovation and patient benefit.</w:t>
      </w:r>
    </w:p>
    <w:p w14:paraId="3A8EBFAA" w14:textId="37C8E92D"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5. Ethical and Regulatory Considerations </w:t>
      </w:r>
      <w:r w:rsidR="00A034C4">
        <w:rPr>
          <w:rFonts w:cs="Times New Roman"/>
          <w:b/>
          <w:szCs w:val="24"/>
        </w:rPr>
        <w:t xml:space="preserve"> </w:t>
      </w:r>
      <w:sdt>
        <w:sdtPr>
          <w:rPr>
            <w:rFonts w:cs="Times New Roman"/>
            <w:color w:val="000000"/>
            <w:szCs w:val="24"/>
          </w:rPr>
          <w:tag w:val="MENDELEY_CITATION_v3_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MTAuMTAxNi9qLm9uYW5vLjIwMjUuMTAwMjQ1IiwiSVNTTiI6IjIzNTI5NTIwIiwiVVJMIjoiaHR0cHM6Ly9saW5raW5naHViLmVsc2V2aWVyLmNvbS9yZXRyaWV2ZS9waWkvUzIzNTI5NTIwMjUwMDAxNDMiLCJpc3N1ZWQiOnsiZGF0ZS1wYXJ0cyI6W1syMDI1LDRdXX0sInBhZ2UiOiIxMDAyNDUiLCJjb250YWluZXItdGl0bGUtc2hvcnQiOiIifSwiaXNUZW1wb3JhcnkiOmZhbHNlfV19"/>
          <w:id w:val="1036780429"/>
          <w:placeholder>
            <w:docPart w:val="DefaultPlaceholder_-1854013440"/>
          </w:placeholder>
        </w:sdtPr>
        <w:sdtEndPr/>
        <w:sdtContent>
          <w:r w:rsidR="00A034C4" w:rsidRPr="00A034C4">
            <w:rPr>
              <w:rFonts w:cs="Times New Roman"/>
              <w:color w:val="000000"/>
              <w:szCs w:val="24"/>
            </w:rPr>
            <w:t>(47–49)</w:t>
          </w:r>
        </w:sdtContent>
      </w:sdt>
    </w:p>
    <w:p w14:paraId="5E2C5FD3" w14:textId="19BCD968" w:rsidR="000B42CC" w:rsidRPr="000B42CC" w:rsidRDefault="000B42CC" w:rsidP="008D3809">
      <w:pPr>
        <w:pStyle w:val="Style1"/>
        <w:spacing w:after="0" w:line="360" w:lineRule="auto"/>
        <w:rPr>
          <w:rFonts w:cs="Times New Roman"/>
          <w:szCs w:val="24"/>
        </w:rPr>
      </w:pPr>
      <w:r w:rsidRPr="000B42CC">
        <w:rPr>
          <w:rFonts w:cs="Times New Roman"/>
          <w:szCs w:val="24"/>
        </w:rPr>
        <w:t>The adoption of Artificial Intelligence (AI) in pharmaceutical marketing introduces transformative benefits</w:t>
      </w:r>
      <w:r w:rsidR="00BC05E9">
        <w:rPr>
          <w:rFonts w:cs="Times New Roman"/>
          <w:szCs w:val="24"/>
        </w:rPr>
        <w:t xml:space="preserve"> </w:t>
      </w:r>
      <w:r w:rsidRPr="000B42CC">
        <w:rPr>
          <w:rFonts w:cs="Times New Roman"/>
          <w:szCs w:val="24"/>
        </w:rPr>
        <w:t xml:space="preserve">precision, personalization, and predictive capabilities. However, these advancements also bring forth </w:t>
      </w:r>
      <w:r w:rsidRPr="00B56E99">
        <w:rPr>
          <w:rFonts w:cs="Times New Roman"/>
          <w:szCs w:val="24"/>
        </w:rPr>
        <w:t>significant ethical, legal, and regulatory challenges</w:t>
      </w:r>
      <w:r w:rsidRPr="000B42CC">
        <w:rPr>
          <w:rFonts w:cs="Times New Roman"/>
          <w:szCs w:val="24"/>
        </w:rPr>
        <w:t>. Given that pharmaceutical marketing operates within a highly regulated and socially sensitive environment, the integration of AI requires rigorous oversight to ensure that its deployment aligns with ethical standards, public trust, and global compliance frameworks.</w:t>
      </w:r>
    </w:p>
    <w:p w14:paraId="6764F9E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section explores the ethical and regulatory dimensions of AI-driven marketing, including data privacy, algorithmic transparency, bias prevention, and adherence to national and international marketing guidelines.</w:t>
      </w:r>
    </w:p>
    <w:p w14:paraId="20BD2551" w14:textId="07AF405C" w:rsidR="000B42CC" w:rsidRPr="000B42CC" w:rsidRDefault="000B42CC" w:rsidP="008D3809">
      <w:pPr>
        <w:pStyle w:val="Style1"/>
        <w:spacing w:after="0" w:line="360" w:lineRule="auto"/>
        <w:rPr>
          <w:rFonts w:cs="Times New Roman"/>
          <w:b/>
          <w:szCs w:val="24"/>
        </w:rPr>
      </w:pPr>
      <w:r w:rsidRPr="000B42CC">
        <w:rPr>
          <w:rFonts w:cs="Times New Roman"/>
          <w:b/>
          <w:szCs w:val="24"/>
        </w:rPr>
        <w:t>5.1 Ethical Foundations of AI in Pharmaceutical Marketing</w:t>
      </w:r>
      <w:r w:rsidR="00A034C4">
        <w:rPr>
          <w:rFonts w:cs="Times New Roman"/>
          <w:b/>
          <w:szCs w:val="24"/>
        </w:rPr>
        <w:t xml:space="preserve"> </w:t>
      </w:r>
      <w:sdt>
        <w:sdtPr>
          <w:rPr>
            <w:rFonts w:cs="Times New Roman"/>
            <w:color w:val="000000"/>
            <w:szCs w:val="24"/>
          </w:rPr>
          <w:tag w:val="MENDELEY_CITATION_v3_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"/>
          <w:id w:val="921145140"/>
          <w:placeholder>
            <w:docPart w:val="DefaultPlaceholder_-1854013440"/>
          </w:placeholder>
        </w:sdtPr>
        <w:sdtEndPr/>
        <w:sdtContent>
          <w:r w:rsidR="00A034C4" w:rsidRPr="00A034C4">
            <w:rPr>
              <w:rFonts w:cs="Times New Roman"/>
              <w:color w:val="000000"/>
              <w:szCs w:val="24"/>
            </w:rPr>
            <w:t>(50,51)</w:t>
          </w:r>
        </w:sdtContent>
      </w:sdt>
    </w:p>
    <w:p w14:paraId="134D4A14" w14:textId="2F2A6199" w:rsidR="000B42CC" w:rsidRPr="00B56E99" w:rsidRDefault="000B42CC" w:rsidP="008D3809">
      <w:pPr>
        <w:pStyle w:val="Style1"/>
        <w:spacing w:after="0" w:line="360" w:lineRule="auto"/>
        <w:rPr>
          <w:rFonts w:cs="Times New Roman"/>
          <w:szCs w:val="24"/>
        </w:rPr>
      </w:pPr>
      <w:r w:rsidRPr="000B42CC">
        <w:rPr>
          <w:rFonts w:cs="Times New Roman"/>
          <w:szCs w:val="24"/>
        </w:rPr>
        <w:t xml:space="preserve">Ethics in </w:t>
      </w:r>
      <w:r w:rsidRPr="00B56E99">
        <w:rPr>
          <w:rFonts w:cs="Times New Roman"/>
          <w:szCs w:val="24"/>
        </w:rPr>
        <w:t>pharmaceutical marketing revolves around the principles of beneficence, non-maleficence, autonomy, and justice</w:t>
      </w:r>
      <w:r w:rsidR="00BC05E9" w:rsidRPr="00B56E99">
        <w:rPr>
          <w:rFonts w:cs="Times New Roman"/>
          <w:szCs w:val="24"/>
        </w:rPr>
        <w:t xml:space="preserve"> </w:t>
      </w:r>
      <w:r w:rsidRPr="00B56E99">
        <w:rPr>
          <w:rFonts w:cs="Times New Roman"/>
          <w:szCs w:val="24"/>
        </w:rPr>
        <w:t>ensuring that promotional activities prioritize patient welfare, truthful communication, and equitable access to information. The introduction of AI amplifies the ethical stakes because automated systems influence decision-making at a scale and speed beyond human capacity.</w:t>
      </w:r>
    </w:p>
    <w:p w14:paraId="171F96D8" w14:textId="77777777" w:rsidR="000B42CC" w:rsidRPr="000B42CC" w:rsidRDefault="000B42CC" w:rsidP="008D3809">
      <w:pPr>
        <w:pStyle w:val="Style1"/>
        <w:spacing w:after="0" w:line="360" w:lineRule="auto"/>
        <w:rPr>
          <w:rFonts w:cs="Times New Roman"/>
          <w:szCs w:val="24"/>
        </w:rPr>
      </w:pPr>
      <w:r w:rsidRPr="00B56E99">
        <w:rPr>
          <w:rFonts w:cs="Times New Roman"/>
          <w:szCs w:val="24"/>
        </w:rPr>
        <w:t>AI-driven tools can unintentionally propagate biases, misinterpret clinical data, or target vulnerable populations if not carefully designed. Therefore</w:t>
      </w:r>
      <w:r w:rsidRPr="000B42CC">
        <w:rPr>
          <w:rFonts w:cs="Times New Roman"/>
          <w:szCs w:val="24"/>
        </w:rPr>
        <w:t xml:space="preserve">, </w:t>
      </w:r>
      <w:r w:rsidRPr="00B56E99">
        <w:rPr>
          <w:rFonts w:cs="Times New Roman"/>
          <w:szCs w:val="24"/>
        </w:rPr>
        <w:t>companies must establish AI governance frameworks that emphasize transparency, accountability, and fairness. Ethical AI in marketing ensures that technological efficiency does not compromise</w:t>
      </w:r>
      <w:r w:rsidRPr="000B42CC">
        <w:rPr>
          <w:rFonts w:cs="Times New Roman"/>
          <w:szCs w:val="24"/>
        </w:rPr>
        <w:t xml:space="preserve"> the integrity of communication or the autonomy of healthcare professionals (HCPs) and patients.</w:t>
      </w:r>
    </w:p>
    <w:p w14:paraId="0DE630FF" w14:textId="4DBEF046" w:rsidR="000B42CC" w:rsidRPr="000B42CC" w:rsidRDefault="000B42CC" w:rsidP="008D3809">
      <w:pPr>
        <w:pStyle w:val="Style1"/>
        <w:spacing w:after="0" w:line="360" w:lineRule="auto"/>
        <w:rPr>
          <w:rFonts w:cs="Times New Roman"/>
          <w:b/>
          <w:szCs w:val="24"/>
        </w:rPr>
      </w:pPr>
      <w:r w:rsidRPr="000B42CC">
        <w:rPr>
          <w:rFonts w:cs="Times New Roman"/>
          <w:b/>
          <w:szCs w:val="24"/>
        </w:rPr>
        <w:t>5.2 Data Privacy and Security Compliance</w:t>
      </w:r>
      <w:r w:rsidR="00A034C4">
        <w:rPr>
          <w:rFonts w:cs="Times New Roman"/>
          <w:b/>
          <w:szCs w:val="24"/>
        </w:rPr>
        <w:t xml:space="preserve"> </w:t>
      </w:r>
      <w:sdt>
        <w:sdtPr>
          <w:rPr>
            <w:rFonts w:cs="Times New Roman"/>
            <w:color w:val="000000"/>
            <w:szCs w:val="24"/>
          </w:rPr>
          <w:tag w:val="MENDELEY_CITATION_v3_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"/>
          <w:id w:val="640463010"/>
          <w:placeholder>
            <w:docPart w:val="DefaultPlaceholder_-1854013440"/>
          </w:placeholder>
        </w:sdtPr>
        <w:sdtEndPr/>
        <w:sdtContent>
          <w:r w:rsidR="00A034C4" w:rsidRPr="00A034C4">
            <w:rPr>
              <w:rFonts w:cs="Times New Roman"/>
              <w:color w:val="000000"/>
              <w:szCs w:val="24"/>
            </w:rPr>
            <w:t>(52)</w:t>
          </w:r>
        </w:sdtContent>
      </w:sdt>
    </w:p>
    <w:p w14:paraId="52F258FD" w14:textId="7721F98F" w:rsidR="000B42CC" w:rsidRPr="000B42CC" w:rsidRDefault="000B42CC" w:rsidP="008D3809">
      <w:pPr>
        <w:pStyle w:val="Style1"/>
        <w:spacing w:after="0" w:line="360" w:lineRule="auto"/>
        <w:rPr>
          <w:rFonts w:cs="Times New Roman"/>
          <w:szCs w:val="24"/>
        </w:rPr>
      </w:pPr>
      <w:r w:rsidRPr="000B42CC">
        <w:rPr>
          <w:rFonts w:cs="Times New Roman"/>
          <w:szCs w:val="24"/>
        </w:rPr>
        <w:t>The foundation of AI systems lies in data</w:t>
      </w:r>
      <w:r w:rsidR="00BC05E9">
        <w:rPr>
          <w:rFonts w:cs="Times New Roman"/>
          <w:szCs w:val="24"/>
        </w:rPr>
        <w:t xml:space="preserve"> </w:t>
      </w:r>
      <w:r w:rsidRPr="000B42CC">
        <w:rPr>
          <w:rFonts w:cs="Times New Roman"/>
          <w:szCs w:val="24"/>
        </w:rPr>
        <w:t xml:space="preserve">often sourced from healthcare providers, patients, and public databases. This raises </w:t>
      </w:r>
      <w:r w:rsidRPr="00B56E99">
        <w:rPr>
          <w:rFonts w:cs="Times New Roman"/>
          <w:szCs w:val="24"/>
        </w:rPr>
        <w:t>profound data privacy concerns. AI algorithms</w:t>
      </w:r>
      <w:r w:rsidRPr="000B42CC">
        <w:rPr>
          <w:rFonts w:cs="Times New Roman"/>
          <w:szCs w:val="24"/>
        </w:rPr>
        <w:t xml:space="preserve"> require large </w:t>
      </w:r>
      <w:r w:rsidRPr="000B42CC">
        <w:rPr>
          <w:rFonts w:cs="Times New Roman"/>
          <w:szCs w:val="24"/>
        </w:rPr>
        <w:lastRenderedPageBreak/>
        <w:t>datasets to train and optimize performance; however, these datasets often contain sensitive personal information such as prescription history, health status, or demographic identifiers.</w:t>
      </w:r>
    </w:p>
    <w:p w14:paraId="364CBE2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To ensure privacy protection, global regulations have established stringent frameworks:</w:t>
      </w:r>
    </w:p>
    <w:p w14:paraId="39278249"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General Data Protection Regulation (GDPR)</w:t>
      </w:r>
      <w:r w:rsidRPr="000B42CC">
        <w:rPr>
          <w:rFonts w:cs="Times New Roman"/>
          <w:szCs w:val="24"/>
        </w:rPr>
        <w:t xml:space="preserve"> (European Union): Governs data processing and grants individuals control over their personal information. Pharmaceutical companies using AI must obtain explicit consent, ensure anonymization, and provide opt-out mechanisms for data subjects.</w:t>
      </w:r>
    </w:p>
    <w:p w14:paraId="3BBDF320"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Health Insurance Portability and Accountability Act (HIPAA)</w:t>
      </w:r>
      <w:r w:rsidRPr="000B42CC">
        <w:rPr>
          <w:rFonts w:cs="Times New Roman"/>
          <w:szCs w:val="24"/>
        </w:rPr>
        <w:t xml:space="preserve"> (United States): Protects the confidentiality of health-related data. AI applications must comply with HIPAA’s Privacy and Security Rules when handling patient information for marketing or analytics.</w:t>
      </w:r>
    </w:p>
    <w:p w14:paraId="0124ECD8"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Personal Data Protection Bill (PDPB, 2019; India)</w:t>
      </w:r>
      <w:r w:rsidRPr="000B42CC">
        <w:rPr>
          <w:rFonts w:cs="Times New Roman"/>
          <w:szCs w:val="24"/>
        </w:rPr>
        <w:t xml:space="preserve">: Regulates data processing by Indian entities and mandates explicit consent for sensitive health data. Compliance with </w:t>
      </w:r>
      <w:r w:rsidRPr="000B42CC">
        <w:rPr>
          <w:rFonts w:cs="Times New Roman"/>
          <w:b/>
          <w:szCs w:val="24"/>
        </w:rPr>
        <w:t>CDSCO</w:t>
      </w:r>
      <w:r w:rsidRPr="000B42CC">
        <w:rPr>
          <w:rFonts w:cs="Times New Roman"/>
          <w:szCs w:val="24"/>
        </w:rPr>
        <w:t xml:space="preserve"> promotional guidelines and this bill is crucial for AI-based pharmaceutical marketing in India.</w:t>
      </w:r>
    </w:p>
    <w:p w14:paraId="009EC243" w14:textId="77956A7B"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AI-driven marketing, data should </w:t>
      </w:r>
      <w:r w:rsidRPr="00B56E99">
        <w:rPr>
          <w:rFonts w:cs="Times New Roman"/>
          <w:szCs w:val="24"/>
        </w:rPr>
        <w:t>be de-identified or pseudonymized, stored securely, and processed with minimal human access. Furthermore, organizations must implement data stewardship policies to monitor data lifecycle management</w:t>
      </w:r>
      <w:r w:rsidR="00BC05E9" w:rsidRPr="00B56E99">
        <w:rPr>
          <w:rFonts w:cs="Times New Roman"/>
          <w:szCs w:val="24"/>
        </w:rPr>
        <w:t xml:space="preserve"> </w:t>
      </w:r>
      <w:r w:rsidRPr="00B56E99">
        <w:rPr>
          <w:rFonts w:cs="Times New Roman"/>
          <w:szCs w:val="24"/>
        </w:rPr>
        <w:t>covering collection</w:t>
      </w:r>
      <w:r w:rsidRPr="000B42CC">
        <w:rPr>
          <w:rFonts w:cs="Times New Roman"/>
          <w:szCs w:val="24"/>
        </w:rPr>
        <w:t>, storage, access, and disposal.</w:t>
      </w:r>
    </w:p>
    <w:p w14:paraId="658F22C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Cybersecurity is another critical element. Since AI models may be hosted on cloud servers, they are potential targets for data breaches. </w:t>
      </w:r>
      <w:r w:rsidRPr="00B56E99">
        <w:rPr>
          <w:rFonts w:cs="Times New Roman"/>
          <w:szCs w:val="24"/>
        </w:rPr>
        <w:t>Regular audits, encryption, and ethical hacking simulations are recommended to ensure system resilience and protect consumer trust</w:t>
      </w:r>
      <w:r w:rsidRPr="000B42CC">
        <w:rPr>
          <w:rFonts w:cs="Times New Roman"/>
          <w:szCs w:val="24"/>
        </w:rPr>
        <w:t>.</w:t>
      </w:r>
    </w:p>
    <w:p w14:paraId="7FDA96E0" w14:textId="4B0033D9" w:rsidR="000B42CC" w:rsidRPr="000B42CC" w:rsidRDefault="000B42CC" w:rsidP="008D3809">
      <w:pPr>
        <w:pStyle w:val="Style1"/>
        <w:spacing w:after="0" w:line="360" w:lineRule="auto"/>
        <w:rPr>
          <w:rFonts w:cs="Times New Roman"/>
          <w:b/>
          <w:szCs w:val="24"/>
        </w:rPr>
      </w:pPr>
      <w:r w:rsidRPr="000B42CC">
        <w:rPr>
          <w:rFonts w:cs="Times New Roman"/>
          <w:b/>
          <w:szCs w:val="24"/>
        </w:rPr>
        <w:t>5.3 Algorithmic Transparency and Explainability</w:t>
      </w:r>
      <w:r w:rsidR="00A034C4">
        <w:rPr>
          <w:rFonts w:cs="Times New Roman"/>
          <w:b/>
          <w:szCs w:val="24"/>
        </w:rPr>
        <w:t xml:space="preserve"> </w:t>
      </w:r>
      <w:sdt>
        <w:sdtPr>
          <w:rPr>
            <w:rFonts w:cs="Times New Roman"/>
            <w:color w:val="000000"/>
            <w:szCs w:val="24"/>
          </w:rPr>
          <w:tag w:val="MENDELEY_CITATION_v3_eyJjaXRhdGlvbklEIjoiTUVOREVMRVlfQ0lUQVRJT05fZjIzNDczMmQtNDIwNC00OTIwLWFlMjktODI1MzVhMGIzMjlhIiwicHJvcGVydGllcyI6eyJub3RlSW5kZXgiOjB9LCJpc0VkaXRlZCI6ZmFsc2UsIm1hbnVhbE92ZXJyaWRlIjp7ImlzTWFudWFsbHlPdmVycmlkZGVuIjpmYWxzZSwiY2l0ZXByb2NUZXh0IjoiKDQ4KSIsIm1hbnVhbE92ZXJyaWRlVGV4dCI6IiJ9LCJjaXRhdGlvbkl0ZW1zIjpbeyJpZCI6IjNiODkwZGVmLWVhNTgtMzVmNC1iN2JkLTMzM2MxYTYxZDYzNSIsIml0ZW1EYXRhIjp7InR5cGUiOiJhcnRpY2xlLWpvdXJuYWwiLCJpZCI6IjNiODkwZGVmLWVhNTgtMzVmNC1iN2JkLTMzM2MxYTYxZDYzNS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"/>
          <w:id w:val="312987134"/>
          <w:placeholder>
            <w:docPart w:val="DefaultPlaceholder_-1854013440"/>
          </w:placeholder>
        </w:sdtPr>
        <w:sdtEndPr/>
        <w:sdtContent>
          <w:r w:rsidR="00A034C4" w:rsidRPr="00A034C4">
            <w:rPr>
              <w:rFonts w:cs="Times New Roman"/>
              <w:color w:val="000000"/>
              <w:szCs w:val="24"/>
            </w:rPr>
            <w:t>(48)</w:t>
          </w:r>
        </w:sdtContent>
      </w:sdt>
    </w:p>
    <w:p w14:paraId="7FDB078E" w14:textId="6A323E31" w:rsidR="000B42CC" w:rsidRPr="000B42CC" w:rsidRDefault="000B42CC" w:rsidP="008D3809">
      <w:pPr>
        <w:pStyle w:val="Style1"/>
        <w:spacing w:after="0" w:line="360" w:lineRule="auto"/>
        <w:rPr>
          <w:rFonts w:cs="Times New Roman"/>
          <w:szCs w:val="24"/>
        </w:rPr>
      </w:pPr>
      <w:r w:rsidRPr="000B42CC">
        <w:rPr>
          <w:rFonts w:cs="Times New Roman"/>
          <w:szCs w:val="24"/>
        </w:rPr>
        <w:t xml:space="preserve">A key ethical challenge in AI-based </w:t>
      </w:r>
      <w:r w:rsidRPr="00B56E99">
        <w:rPr>
          <w:rFonts w:cs="Times New Roman"/>
          <w:szCs w:val="24"/>
        </w:rPr>
        <w:t>marketing is the “black-box problem”</w:t>
      </w:r>
      <w:r w:rsidR="00BC05E9" w:rsidRPr="00B56E99">
        <w:rPr>
          <w:rFonts w:cs="Times New Roman"/>
          <w:szCs w:val="24"/>
        </w:rPr>
        <w:t xml:space="preserve"> </w:t>
      </w:r>
      <w:r w:rsidRPr="00B56E99">
        <w:rPr>
          <w:rFonts w:cs="Times New Roman"/>
          <w:szCs w:val="24"/>
        </w:rPr>
        <w:t>the opacity of machine learning models that make decisions without clear explanations of their reasoning. This lack of transparency poses risks in regulatory</w:t>
      </w:r>
      <w:r w:rsidRPr="000B42CC">
        <w:rPr>
          <w:rFonts w:cs="Times New Roman"/>
          <w:szCs w:val="24"/>
        </w:rPr>
        <w:t xml:space="preserve"> environments where accountability and auditability are mandatory.</w:t>
      </w:r>
    </w:p>
    <w:p w14:paraId="10BDE047" w14:textId="2EE81E7F"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marketers must </w:t>
      </w:r>
      <w:r w:rsidRPr="00B56E99">
        <w:rPr>
          <w:rFonts w:cs="Times New Roman"/>
          <w:szCs w:val="24"/>
        </w:rPr>
        <w:t xml:space="preserve">ensure explainable AI (XAI) </w:t>
      </w:r>
      <w:r w:rsidR="00BC05E9" w:rsidRPr="00B56E99">
        <w:rPr>
          <w:rFonts w:cs="Times New Roman"/>
          <w:szCs w:val="24"/>
        </w:rPr>
        <w:t xml:space="preserve"> </w:t>
      </w:r>
      <w:r w:rsidRPr="00B56E99">
        <w:rPr>
          <w:rFonts w:cs="Times New Roman"/>
          <w:szCs w:val="24"/>
        </w:rPr>
        <w:t xml:space="preserve"> systems</w:t>
      </w:r>
      <w:r w:rsidRPr="000B42CC">
        <w:rPr>
          <w:rFonts w:cs="Times New Roman"/>
          <w:szCs w:val="24"/>
        </w:rPr>
        <w:t xml:space="preserve"> that can justify their recommendations or predictions in human-understandable terms. For instance, if an AI algorithm classifies a physician as a high-priority target, the system should indicate the factors influencing this decision (e.g., specialty, prescribing pattern, geographic need).</w:t>
      </w:r>
    </w:p>
    <w:p w14:paraId="5F51C9D9" w14:textId="77777777" w:rsidR="000B42CC" w:rsidRPr="00B56E99" w:rsidRDefault="000B42CC" w:rsidP="008D3809">
      <w:pPr>
        <w:pStyle w:val="Style1"/>
        <w:spacing w:after="0" w:line="360" w:lineRule="auto"/>
        <w:rPr>
          <w:rFonts w:cs="Times New Roman"/>
          <w:szCs w:val="24"/>
        </w:rPr>
      </w:pPr>
      <w:r w:rsidRPr="000B42CC">
        <w:rPr>
          <w:rFonts w:cs="Times New Roman"/>
          <w:szCs w:val="24"/>
        </w:rPr>
        <w:t xml:space="preserve">Explainability fosters trust among regulators, marketing professionals, and end-users by enabling human oversight and ethical </w:t>
      </w:r>
      <w:r w:rsidRPr="00B56E99">
        <w:rPr>
          <w:rFonts w:cs="Times New Roman"/>
          <w:szCs w:val="24"/>
        </w:rPr>
        <w:t xml:space="preserve">accountability. The European Medicines Agency (EMA) and U.S. Food and Drug Administration (FDA) emphasize the importance of </w:t>
      </w:r>
      <w:r w:rsidRPr="00B56E99">
        <w:rPr>
          <w:rFonts w:cs="Times New Roman"/>
          <w:szCs w:val="24"/>
        </w:rPr>
        <w:lastRenderedPageBreak/>
        <w:t>algorithm interpretability in AI-related regulatory submissions, and the same principle applies to AI-assisted marketing systems.</w:t>
      </w:r>
    </w:p>
    <w:p w14:paraId="6AFCF7EF"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5.4 Bias and Fairness in AI Systems</w:t>
      </w:r>
    </w:p>
    <w:p w14:paraId="05C06A3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systems are only as unbiased as the data they are trained on. If historical marketing data reflect preferential treatment toward specific regions, demographics, or prescribing </w:t>
      </w:r>
      <w:proofErr w:type="spellStart"/>
      <w:r w:rsidRPr="000B42CC">
        <w:rPr>
          <w:rFonts w:cs="Times New Roman"/>
          <w:szCs w:val="24"/>
        </w:rPr>
        <w:t>behaviors</w:t>
      </w:r>
      <w:proofErr w:type="spellEnd"/>
      <w:r w:rsidRPr="000B42CC">
        <w:rPr>
          <w:rFonts w:cs="Times New Roman"/>
          <w:szCs w:val="24"/>
        </w:rPr>
        <w:t>, the AI model may inadvertently perpetuate those biases.</w:t>
      </w:r>
    </w:p>
    <w:p w14:paraId="41B8548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Algorithmic bias can manifest in:</w:t>
      </w:r>
    </w:p>
    <w:p w14:paraId="57901CAE"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Unequal targeting:</w:t>
      </w:r>
      <w:r w:rsidRPr="000B42CC">
        <w:rPr>
          <w:rFonts w:cs="Times New Roman"/>
          <w:szCs w:val="24"/>
        </w:rPr>
        <w:t xml:space="preserve"> Over-prioritizing urban or high-income physician groups.</w:t>
      </w:r>
    </w:p>
    <w:p w14:paraId="4EA9244A"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Exclusion:</w:t>
      </w:r>
      <w:r w:rsidRPr="000B42CC">
        <w:rPr>
          <w:rFonts w:cs="Times New Roman"/>
          <w:szCs w:val="24"/>
        </w:rPr>
        <w:t xml:space="preserve"> Neglecting rural or underrepresented healthcare providers.</w:t>
      </w:r>
    </w:p>
    <w:p w14:paraId="49E205FF"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Stereotyping:</w:t>
      </w:r>
      <w:r w:rsidRPr="000B42CC">
        <w:rPr>
          <w:rFonts w:cs="Times New Roman"/>
          <w:szCs w:val="24"/>
        </w:rPr>
        <w:t xml:space="preserve"> Reinforcing outdated assumptions about therapeutic preferences or patient populations.</w:t>
      </w:r>
    </w:p>
    <w:p w14:paraId="7F0CDCAD" w14:textId="77777777" w:rsidR="000B42CC" w:rsidRPr="00B56E99" w:rsidRDefault="000B42CC" w:rsidP="008D3809">
      <w:pPr>
        <w:pStyle w:val="Style1"/>
        <w:spacing w:after="0" w:line="360" w:lineRule="auto"/>
        <w:rPr>
          <w:rFonts w:cs="Times New Roman"/>
          <w:szCs w:val="24"/>
        </w:rPr>
      </w:pPr>
      <w:r w:rsidRPr="000B42CC">
        <w:rPr>
          <w:rFonts w:cs="Times New Roman"/>
          <w:szCs w:val="24"/>
        </w:rPr>
        <w:t xml:space="preserve">Mitigating bias </w:t>
      </w:r>
      <w:r w:rsidRPr="00B56E99">
        <w:rPr>
          <w:rFonts w:cs="Times New Roman"/>
          <w:szCs w:val="24"/>
        </w:rPr>
        <w:t>requires diverse, representative, and continuously updated datasets. Companies should conduct bias audits and use fairness metrics to evaluate AI performance. Some organizations have adopted ethics boards or AI governance committees to monitor fairness across algorithms.</w:t>
      </w:r>
    </w:p>
    <w:p w14:paraId="2B7ADF45" w14:textId="77777777" w:rsidR="000B42CC" w:rsidRPr="000B42CC" w:rsidRDefault="000B42CC" w:rsidP="008D3809">
      <w:pPr>
        <w:pStyle w:val="Style1"/>
        <w:spacing w:after="0" w:line="360" w:lineRule="auto"/>
        <w:rPr>
          <w:rFonts w:cs="Times New Roman"/>
          <w:szCs w:val="24"/>
        </w:rPr>
      </w:pPr>
      <w:r w:rsidRPr="00B56E99">
        <w:rPr>
          <w:rFonts w:cs="Times New Roman"/>
          <w:szCs w:val="24"/>
        </w:rPr>
        <w:t>Ethical frameworks such as the OECD Principles on AI (2021) and the WHO Guidance on Ethics and Governance of AI for Health (2023) advocate</w:t>
      </w:r>
      <w:r w:rsidRPr="000B42CC">
        <w:rPr>
          <w:rFonts w:cs="Times New Roman"/>
          <w:szCs w:val="24"/>
        </w:rPr>
        <w:t xml:space="preserve"> for fairness, inclusivity, and non-discrimination in all AI deployments, including marketing applications.</w:t>
      </w:r>
    </w:p>
    <w:p w14:paraId="1E14A5C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5.5 Regulatory Oversight of AI in Marketing</w:t>
      </w:r>
    </w:p>
    <w:p w14:paraId="1927757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Pharmaceutical marketing is already governed by strict promotional codes, and the introduction of AI adds another regulatory dimension. Regulatory bodies worldwide are now drafting guidelines for the ethical and compliant use of AI technologies in life sciences.</w:t>
      </w:r>
    </w:p>
    <w:p w14:paraId="19D2315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a. U.S. Food and Drug Administration (FDA)</w:t>
      </w:r>
    </w:p>
    <w:p w14:paraId="2FBBD204" w14:textId="454AB6BA"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FDA regulates all promotional materials </w:t>
      </w:r>
      <w:r w:rsidRPr="00B56E99">
        <w:rPr>
          <w:rFonts w:cs="Times New Roman"/>
          <w:szCs w:val="24"/>
        </w:rPr>
        <w:t>under 21 CFR Part 202, ensuring</w:t>
      </w:r>
      <w:r w:rsidRPr="000B42CC">
        <w:rPr>
          <w:rFonts w:cs="Times New Roman"/>
          <w:szCs w:val="24"/>
        </w:rPr>
        <w:t xml:space="preserve"> truthful, balanced, and evidence-based communication. AI-driven systems used in marketing must adhere to these standards</w:t>
      </w:r>
      <w:r w:rsidR="00BC05E9">
        <w:rPr>
          <w:rFonts w:cs="Times New Roman"/>
          <w:szCs w:val="24"/>
        </w:rPr>
        <w:t xml:space="preserve"> </w:t>
      </w:r>
      <w:r w:rsidRPr="000B42CC">
        <w:rPr>
          <w:rFonts w:cs="Times New Roman"/>
          <w:szCs w:val="24"/>
        </w:rPr>
        <w:t>especially when automating message generation or engagement tracking. The FDA encourages transparency regarding AI use in promotional decision-making and mandates that content generated via AI remains verifiable and scientifically accurate.</w:t>
      </w:r>
    </w:p>
    <w:p w14:paraId="53749D26"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b. European Medicines Agency (EMA)</w:t>
      </w:r>
    </w:p>
    <w:p w14:paraId="3BBD8F6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EMA emphasizes data integrity, consent, </w:t>
      </w:r>
      <w:r w:rsidRPr="00B56E99">
        <w:rPr>
          <w:rFonts w:cs="Times New Roman"/>
          <w:szCs w:val="24"/>
        </w:rPr>
        <w:t>and ethical communication. Under its Good Pharmacovigilance Practices (GVP) and Ethical AI Guidelines (2023), the use of AI for HCP engagement must maintain transparency and respect</w:t>
      </w:r>
      <w:r w:rsidRPr="000B42CC">
        <w:rPr>
          <w:rFonts w:cs="Times New Roman"/>
          <w:szCs w:val="24"/>
        </w:rPr>
        <w:t xml:space="preserve"> professional autonomy. AI applications influencing prescribing </w:t>
      </w:r>
      <w:proofErr w:type="spellStart"/>
      <w:r w:rsidRPr="000B42CC">
        <w:rPr>
          <w:rFonts w:cs="Times New Roman"/>
          <w:szCs w:val="24"/>
        </w:rPr>
        <w:t>behavior</w:t>
      </w:r>
      <w:proofErr w:type="spellEnd"/>
      <w:r w:rsidRPr="000B42CC">
        <w:rPr>
          <w:rFonts w:cs="Times New Roman"/>
          <w:szCs w:val="24"/>
        </w:rPr>
        <w:t xml:space="preserve"> are scrutinized to prevent covert promotion.</w:t>
      </w:r>
    </w:p>
    <w:p w14:paraId="723318A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lastRenderedPageBreak/>
        <w:t>c. Central Drugs Standard Control Organization (CDSCO, India)</w:t>
      </w:r>
    </w:p>
    <w:p w14:paraId="2D461F1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India’s CDSCO </w:t>
      </w:r>
      <w:r w:rsidRPr="00B56E99">
        <w:rPr>
          <w:rFonts w:cs="Times New Roman"/>
          <w:szCs w:val="24"/>
        </w:rPr>
        <w:t>follows the Drugs and Magic Remedies (Objectionable Advertisements) Act, 1954, and Uniform Code for Pharmaceutical Marketing Practices (UCPMP). These frameworks require all promotional content</w:t>
      </w:r>
      <w:r w:rsidRPr="000B42CC">
        <w:rPr>
          <w:rFonts w:cs="Times New Roman"/>
          <w:szCs w:val="24"/>
        </w:rPr>
        <w:t>, including AI-assisted communications, to be ethical, evidence-based, and non-deceptive. With the emergence of AI, CDSCO is considering additional standards on algorithmic accountability, ensuring that AI-driven marketing remains compliant with Indian data protection laws.</w:t>
      </w:r>
    </w:p>
    <w:p w14:paraId="76231CB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d. Other Jurisdictions</w:t>
      </w:r>
    </w:p>
    <w:p w14:paraId="3C110872" w14:textId="77777777" w:rsidR="000B42CC" w:rsidRPr="00B56E99" w:rsidRDefault="000B42CC" w:rsidP="008D3809">
      <w:pPr>
        <w:pStyle w:val="Style1"/>
        <w:spacing w:after="0" w:line="360" w:lineRule="auto"/>
        <w:rPr>
          <w:rFonts w:cs="Times New Roman"/>
          <w:szCs w:val="24"/>
        </w:rPr>
      </w:pPr>
      <w:r w:rsidRPr="000B42CC">
        <w:rPr>
          <w:rFonts w:cs="Times New Roman"/>
          <w:szCs w:val="24"/>
        </w:rPr>
        <w:t xml:space="preserve">Health Canada, the UK’s MHRA, and Singapore’s HSA are also developing policies for AI use in marketing and </w:t>
      </w:r>
      <w:r w:rsidRPr="00B56E99">
        <w:rPr>
          <w:rFonts w:cs="Times New Roman"/>
          <w:szCs w:val="24"/>
        </w:rPr>
        <w:t>digital health communication. Globally, regulators are converging toward a unified principle: AI must augment human ethical judgment, not replace it.</w:t>
      </w:r>
    </w:p>
    <w:p w14:paraId="1B7B217E"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5.6 Human Oversight and Accountability</w:t>
      </w:r>
    </w:p>
    <w:p w14:paraId="5DC0AC9F" w14:textId="77777777" w:rsidR="000B42CC" w:rsidRPr="00B56E99" w:rsidRDefault="000B42CC" w:rsidP="008D3809">
      <w:pPr>
        <w:pStyle w:val="Style1"/>
        <w:spacing w:after="0" w:line="360" w:lineRule="auto"/>
        <w:rPr>
          <w:rFonts w:cs="Times New Roman"/>
          <w:szCs w:val="24"/>
        </w:rPr>
      </w:pPr>
      <w:r w:rsidRPr="000B42CC">
        <w:rPr>
          <w:rFonts w:cs="Times New Roman"/>
          <w:szCs w:val="24"/>
        </w:rPr>
        <w:t>While AI automates and optimizes processes</w:t>
      </w:r>
      <w:r w:rsidRPr="00B56E99">
        <w:rPr>
          <w:rFonts w:cs="Times New Roman"/>
          <w:szCs w:val="24"/>
        </w:rPr>
        <w:t>, human oversight remains indispensable. Marketing professionals, regulatory officers, and data scientists must collaborate to supervise AI outputs, validate decision logic, and ensure compliance with promotional ethics.</w:t>
      </w:r>
    </w:p>
    <w:p w14:paraId="43AB4566" w14:textId="77777777" w:rsidR="000B42CC" w:rsidRPr="000B42CC" w:rsidRDefault="000B42CC" w:rsidP="008D3809">
      <w:pPr>
        <w:pStyle w:val="Style1"/>
        <w:spacing w:after="0" w:line="360" w:lineRule="auto"/>
        <w:rPr>
          <w:rFonts w:cs="Times New Roman"/>
          <w:szCs w:val="24"/>
        </w:rPr>
      </w:pPr>
      <w:r w:rsidRPr="00B56E99">
        <w:rPr>
          <w:rFonts w:cs="Times New Roman"/>
          <w:szCs w:val="24"/>
        </w:rPr>
        <w:t>Companies should adopt a “human-in-the-loop” (HITL) approach, wherein humans review and approve AI-generated insights or communications before</w:t>
      </w:r>
      <w:r w:rsidRPr="000B42CC">
        <w:rPr>
          <w:rFonts w:cs="Times New Roman"/>
          <w:szCs w:val="24"/>
        </w:rPr>
        <w:t xml:space="preserve"> deployment. This ensures accountability and prevents unintended ethical violations.</w:t>
      </w:r>
    </w:p>
    <w:p w14:paraId="1C923AA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Moreover, internal audit mechanisms and compliance training programs must be updated to include AI governance principles. Regular staff education on algorithmic </w:t>
      </w:r>
      <w:proofErr w:type="spellStart"/>
      <w:r w:rsidRPr="000B42CC">
        <w:rPr>
          <w:rFonts w:cs="Times New Roman"/>
          <w:szCs w:val="24"/>
        </w:rPr>
        <w:t>behavior</w:t>
      </w:r>
      <w:proofErr w:type="spellEnd"/>
      <w:r w:rsidRPr="000B42CC">
        <w:rPr>
          <w:rFonts w:cs="Times New Roman"/>
          <w:szCs w:val="24"/>
        </w:rPr>
        <w:t>, data ethics, and regulatory standards will help build organizational competence in responsible AI use.</w:t>
      </w:r>
    </w:p>
    <w:p w14:paraId="2A8B96D6"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5.7 Ethical Communication and Patient Protection</w:t>
      </w:r>
    </w:p>
    <w:p w14:paraId="48265952" w14:textId="5C849E6A" w:rsidR="000B42CC" w:rsidRPr="000B42CC" w:rsidRDefault="000B42CC" w:rsidP="008D3809">
      <w:pPr>
        <w:pStyle w:val="Style1"/>
        <w:spacing w:after="0" w:line="360" w:lineRule="auto"/>
        <w:rPr>
          <w:rFonts w:cs="Times New Roman"/>
          <w:szCs w:val="24"/>
        </w:rPr>
      </w:pPr>
      <w:r w:rsidRPr="000B42CC">
        <w:rPr>
          <w:rFonts w:cs="Times New Roman"/>
          <w:szCs w:val="24"/>
        </w:rPr>
        <w:t xml:space="preserve">Beyond compliance, AI should </w:t>
      </w:r>
      <w:r w:rsidRPr="00B56E99">
        <w:rPr>
          <w:rFonts w:cs="Times New Roman"/>
          <w:szCs w:val="24"/>
        </w:rPr>
        <w:t>reinforce ethical communication principles</w:t>
      </w:r>
      <w:r w:rsidR="00BC05E9" w:rsidRPr="00B56E99">
        <w:rPr>
          <w:rFonts w:cs="Times New Roman"/>
          <w:szCs w:val="24"/>
        </w:rPr>
        <w:t xml:space="preserve"> </w:t>
      </w:r>
      <w:r w:rsidRPr="00B56E99">
        <w:rPr>
          <w:rFonts w:cs="Times New Roman"/>
          <w:szCs w:val="24"/>
        </w:rPr>
        <w:t>transparency, empathy, and truthfulness. Chatbots, for instance</w:t>
      </w:r>
      <w:r w:rsidRPr="000B42CC">
        <w:rPr>
          <w:rFonts w:cs="Times New Roman"/>
          <w:szCs w:val="24"/>
        </w:rPr>
        <w:t>, must clearly disclose that users are interacting with an AI system. Automated messages must provide evidence-backed information and avoid making therapeutic claims not supported by clinical data.</w:t>
      </w:r>
    </w:p>
    <w:p w14:paraId="023D86D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patient-facing applications, AI should never substitute professional medical advice. Instead, it should function as an educational and supportive tool to improve adherence, awareness, and empowerment. Maintaining this boundary between education and promotion is central to ethical pharmaceutical marketing.</w:t>
      </w:r>
    </w:p>
    <w:p w14:paraId="7788B782"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5.8 The Path Toward Ethical AI Governance</w:t>
      </w:r>
    </w:p>
    <w:p w14:paraId="52F4FC4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ethical integration of AI in pharmaceutical marketing requires an organization-wide governance strategy built on five pillars:</w:t>
      </w:r>
    </w:p>
    <w:p w14:paraId="1B7EE19F"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lastRenderedPageBreak/>
        <w:t>Transparency:</w:t>
      </w:r>
      <w:r w:rsidRPr="000B42CC">
        <w:rPr>
          <w:rFonts w:cs="Times New Roman"/>
          <w:szCs w:val="24"/>
        </w:rPr>
        <w:t xml:space="preserve"> Documenting and disclosing AI model design, data sources, and limitations.</w:t>
      </w:r>
    </w:p>
    <w:p w14:paraId="6DA26295"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Accountability:</w:t>
      </w:r>
      <w:r w:rsidRPr="000B42CC">
        <w:rPr>
          <w:rFonts w:cs="Times New Roman"/>
          <w:szCs w:val="24"/>
        </w:rPr>
        <w:t xml:space="preserve"> Assigning clear responsibility for AI-driven decisions.</w:t>
      </w:r>
    </w:p>
    <w:p w14:paraId="09ACD575"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Fairness:</w:t>
      </w:r>
      <w:r w:rsidRPr="000B42CC">
        <w:rPr>
          <w:rFonts w:cs="Times New Roman"/>
          <w:szCs w:val="24"/>
        </w:rPr>
        <w:t xml:space="preserve"> Ensuring equitable treatment of all stakeholders.</w:t>
      </w:r>
    </w:p>
    <w:p w14:paraId="4685AF90"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Privacy:</w:t>
      </w:r>
      <w:r w:rsidRPr="000B42CC">
        <w:rPr>
          <w:rFonts w:cs="Times New Roman"/>
          <w:szCs w:val="24"/>
        </w:rPr>
        <w:t xml:space="preserve"> Safeguarding sensitive information and maintaining data integrity.</w:t>
      </w:r>
    </w:p>
    <w:p w14:paraId="11ACFAC9"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Sustainability:</w:t>
      </w:r>
      <w:r w:rsidRPr="000B42CC">
        <w:rPr>
          <w:rFonts w:cs="Times New Roman"/>
          <w:szCs w:val="24"/>
        </w:rPr>
        <w:t xml:space="preserve"> Using AI responsibly to advance societal health goals.</w:t>
      </w:r>
    </w:p>
    <w:p w14:paraId="341DB1D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firms must integrate these principles into their corporate social responsibility (CSR) frameworks and adopt global standards </w:t>
      </w:r>
      <w:r w:rsidRPr="00B56E99">
        <w:rPr>
          <w:rFonts w:cs="Times New Roman"/>
          <w:szCs w:val="24"/>
        </w:rPr>
        <w:t>such as ISO/IEC 42001:2023 for AI</w:t>
      </w:r>
      <w:r w:rsidRPr="000B42CC">
        <w:rPr>
          <w:rFonts w:cs="Times New Roman"/>
          <w:szCs w:val="24"/>
        </w:rPr>
        <w:t xml:space="preserve"> management systems.</w:t>
      </w:r>
    </w:p>
    <w:p w14:paraId="57016E3F" w14:textId="640CD7D6" w:rsidR="000B42CC" w:rsidRPr="000B42CC" w:rsidRDefault="000B42CC" w:rsidP="008D3809">
      <w:pPr>
        <w:pStyle w:val="Style1"/>
        <w:spacing w:after="0" w:line="360" w:lineRule="auto"/>
        <w:rPr>
          <w:rFonts w:cs="Times New Roman"/>
          <w:szCs w:val="24"/>
        </w:rPr>
      </w:pPr>
      <w:r w:rsidRPr="000B42CC">
        <w:rPr>
          <w:rFonts w:cs="Times New Roman"/>
          <w:szCs w:val="24"/>
        </w:rPr>
        <w:t>Ethical and regulatory considerations are not barriers to AI innovation but essential enablers of responsible progress. The long-term success of AI in pharmaceutical marketing depends on its ability to operate transparently, protect data privacy, and uphold the integrity of scientific communication. By embedding ethics and compliance at every stage</w:t>
      </w:r>
      <w:r w:rsidR="00BC05E9">
        <w:rPr>
          <w:rFonts w:cs="Times New Roman"/>
          <w:szCs w:val="24"/>
        </w:rPr>
        <w:t xml:space="preserve"> </w:t>
      </w:r>
      <w:r w:rsidRPr="000B42CC">
        <w:rPr>
          <w:rFonts w:cs="Times New Roman"/>
          <w:szCs w:val="24"/>
        </w:rPr>
        <w:t>data collection, algorithm design, and content dissemination</w:t>
      </w:r>
      <w:r w:rsidR="00BC05E9">
        <w:rPr>
          <w:rFonts w:cs="Times New Roman"/>
          <w:szCs w:val="24"/>
        </w:rPr>
        <w:t xml:space="preserve"> </w:t>
      </w:r>
      <w:r w:rsidRPr="000B42CC">
        <w:rPr>
          <w:rFonts w:cs="Times New Roman"/>
          <w:szCs w:val="24"/>
        </w:rPr>
        <w:t>AI can become a trusted ally in achieving sustainable, patient-centric marketing excellence.</w:t>
      </w:r>
    </w:p>
    <w:p w14:paraId="6BB19FEE" w14:textId="2BF410D4"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6. Case Studies </w:t>
      </w:r>
      <w:r w:rsidR="00A034C4">
        <w:rPr>
          <w:rFonts w:cs="Times New Roman"/>
          <w:b/>
          <w:szCs w:val="24"/>
        </w:rPr>
        <w:t xml:space="preserve"> </w:t>
      </w:r>
      <w:sdt>
        <w:sdtPr>
          <w:rPr>
            <w:rFonts w:cs="Times New Roman"/>
            <w:color w:val="000000"/>
            <w:szCs w:val="24"/>
          </w:rPr>
          <w:tag w:val="MENDELEY_CITATION_v3_eyJjaXRhdGlvbklEIjoiTUVOREVMRVlfQ0lUQVRJT05fYjdjMjZmMDktNzM0Mi00YzdmLWFkOTAtM2JlNWE2NzY1MzI1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
          <w:id w:val="412351802"/>
          <w:placeholder>
            <w:docPart w:val="DefaultPlaceholder_-1854013440"/>
          </w:placeholder>
        </w:sdtPr>
        <w:sdtEndPr/>
        <w:sdtContent>
          <w:r w:rsidR="00A034C4" w:rsidRPr="00A034C4">
            <w:rPr>
              <w:rFonts w:cs="Times New Roman"/>
              <w:color w:val="000000"/>
              <w:szCs w:val="24"/>
            </w:rPr>
            <w:t>(30,41)</w:t>
          </w:r>
        </w:sdtContent>
      </w:sdt>
    </w:p>
    <w:p w14:paraId="70BB6061" w14:textId="085E778E"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practical success of artificial </w:t>
      </w:r>
      <w:r w:rsidRPr="00B56E99">
        <w:rPr>
          <w:rFonts w:cs="Times New Roman"/>
          <w:szCs w:val="24"/>
        </w:rPr>
        <w:t>intelligence (AI) in pharmaceutical marketing is best understood through real-world case analyses. Industry leaders such as Pfizer, Novartis, GlaxoSmithKline (GSK), Sanofi, and Roche have pioneered AI-enabled programs that demonstrate measurable advantages in market</w:t>
      </w:r>
      <w:r w:rsidRPr="000B42CC">
        <w:rPr>
          <w:rFonts w:cs="Times New Roman"/>
          <w:szCs w:val="24"/>
        </w:rPr>
        <w:t xml:space="preserve"> forecasting, physician engagement, and patient education. Each example highlights a distinct application domain</w:t>
      </w:r>
      <w:r w:rsidR="00BC05E9">
        <w:rPr>
          <w:rFonts w:cs="Times New Roman"/>
          <w:szCs w:val="24"/>
        </w:rPr>
        <w:t xml:space="preserve"> </w:t>
      </w:r>
      <w:r w:rsidRPr="000B42CC">
        <w:rPr>
          <w:rFonts w:cs="Times New Roman"/>
          <w:szCs w:val="24"/>
        </w:rPr>
        <w:t>predictive analytics, sentiment monitoring, omnichannel personalization, or virtual interaction</w:t>
      </w:r>
      <w:r w:rsidR="00BC05E9">
        <w:rPr>
          <w:rFonts w:cs="Times New Roman"/>
          <w:szCs w:val="24"/>
        </w:rPr>
        <w:t xml:space="preserve"> </w:t>
      </w:r>
      <w:r w:rsidRPr="000B42CC">
        <w:rPr>
          <w:rFonts w:cs="Times New Roman"/>
          <w:szCs w:val="24"/>
        </w:rPr>
        <w:t>illustrating how AI technologies translate theoretical potential into tangible business outcomes.</w:t>
      </w:r>
    </w:p>
    <w:p w14:paraId="025C126C"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6.1 Pfizer: AI-Driven Virtual Engagement and Physician Communication</w:t>
      </w:r>
    </w:p>
    <w:p w14:paraId="213B63F2"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Maintain continuous, compliant engagement with healthcare professionals (HCPs) during the COVID-19 pandemic, when face-to-face interactions were severely limited.</w:t>
      </w:r>
    </w:p>
    <w:p w14:paraId="7E7602EB" w14:textId="1C28648C"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Pfizer introduced </w:t>
      </w:r>
      <w:r w:rsidRPr="00B56E99">
        <w:rPr>
          <w:rFonts w:cs="Times New Roman"/>
          <w:szCs w:val="24"/>
        </w:rPr>
        <w:t>an AI-powered conversational chatbot, trained</w:t>
      </w:r>
      <w:r w:rsidRPr="000B42CC">
        <w:rPr>
          <w:rFonts w:cs="Times New Roman"/>
          <w:szCs w:val="24"/>
        </w:rPr>
        <w:t xml:space="preserve"> through natural language processing (NLP) and machine learning (ML), to answer HCP inquiries regarding product mechanisms, dosage information, and safety data. The chatbot was integrated into Pfizer’s digital CRM and accessible through multiple channels</w:t>
      </w:r>
      <w:r w:rsidR="00BC05E9">
        <w:rPr>
          <w:rFonts w:cs="Times New Roman"/>
          <w:szCs w:val="24"/>
        </w:rPr>
        <w:t xml:space="preserve"> </w:t>
      </w:r>
      <w:r w:rsidRPr="000B42CC">
        <w:rPr>
          <w:rFonts w:cs="Times New Roman"/>
          <w:szCs w:val="24"/>
        </w:rPr>
        <w:t>company website, WhatsApp, and email.</w:t>
      </w:r>
    </w:p>
    <w:p w14:paraId="105AF792"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The AI system </w:t>
      </w:r>
      <w:proofErr w:type="spellStart"/>
      <w:r w:rsidRPr="000B42CC">
        <w:rPr>
          <w:rFonts w:cs="Times New Roman"/>
          <w:szCs w:val="24"/>
        </w:rPr>
        <w:t>analyzed</w:t>
      </w:r>
      <w:proofErr w:type="spellEnd"/>
      <w:r w:rsidRPr="000B42CC">
        <w:rPr>
          <w:rFonts w:cs="Times New Roman"/>
          <w:szCs w:val="24"/>
        </w:rPr>
        <w:t xml:space="preserve"> historical conversation logs to anticipate the most frequent physician questions. It continuously updated responses from internal regulatory-approved databases, ensuring medical accuracy and compliance.</w:t>
      </w:r>
    </w:p>
    <w:p w14:paraId="0CD85BC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6346B76A"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Response latency reduced by &gt;60 %, enhancing physician satisfaction.</w:t>
      </w:r>
    </w:p>
    <w:p w14:paraId="2AF74596"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Engagement rates increased by 40 % compared with traditional email campaigns.</w:t>
      </w:r>
    </w:p>
    <w:p w14:paraId="6B354A6E"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 xml:space="preserve">Cost savings of approximately 30 % were realized through reduced reliance on call </w:t>
      </w:r>
      <w:proofErr w:type="spellStart"/>
      <w:r w:rsidRPr="000B42CC">
        <w:rPr>
          <w:rFonts w:cs="Times New Roman"/>
          <w:szCs w:val="24"/>
        </w:rPr>
        <w:t>centers</w:t>
      </w:r>
      <w:proofErr w:type="spellEnd"/>
      <w:r w:rsidRPr="000B42CC">
        <w:rPr>
          <w:rFonts w:cs="Times New Roman"/>
          <w:szCs w:val="24"/>
        </w:rPr>
        <w:t>.</w:t>
      </w:r>
    </w:p>
    <w:p w14:paraId="76754DFA"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Pfizer’s initiative established a blueprint </w:t>
      </w:r>
      <w:r w:rsidRPr="00B56E99">
        <w:rPr>
          <w:rFonts w:cs="Times New Roman"/>
          <w:szCs w:val="24"/>
        </w:rPr>
        <w:t>for hybrid marketing, blending</w:t>
      </w:r>
      <w:r w:rsidRPr="000B42CC">
        <w:rPr>
          <w:rFonts w:cs="Times New Roman"/>
          <w:szCs w:val="24"/>
        </w:rPr>
        <w:t xml:space="preserve"> automation with human oversight. The chatbot handled routine queries, while medical science liaisons (MSLs) addressed complex scientific discussions. This case demonstrated how AI could maintain ethical standards while expanding scalability and accessibility of medical information.</w:t>
      </w:r>
    </w:p>
    <w:p w14:paraId="0670056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6.2 Novartis: Predictive Analytics for Market Forecasting and Resource Optimization</w:t>
      </w:r>
    </w:p>
    <w:p w14:paraId="128C8063"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Enhance accuracy of sales forecasting and promotional investment decisions across therapeutic portfolios.</w:t>
      </w:r>
    </w:p>
    <w:p w14:paraId="33261761" w14:textId="7F38D479" w:rsidR="000B42CC" w:rsidRPr="00B56E99"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Novartis </w:t>
      </w:r>
      <w:r w:rsidRPr="00B56E99">
        <w:rPr>
          <w:rFonts w:cs="Times New Roman"/>
          <w:szCs w:val="24"/>
        </w:rPr>
        <w:t>deployed machine learning-based predictive analytics models trained on multi-source datasets</w:t>
      </w:r>
      <w:r w:rsidR="00BC05E9" w:rsidRPr="00B56E99">
        <w:rPr>
          <w:rFonts w:cs="Times New Roman"/>
          <w:szCs w:val="24"/>
        </w:rPr>
        <w:t xml:space="preserve"> </w:t>
      </w:r>
      <w:r w:rsidRPr="00B56E99">
        <w:rPr>
          <w:rFonts w:cs="Times New Roman"/>
          <w:szCs w:val="24"/>
        </w:rPr>
        <w:t>sales reports, prescription databases, macroeconomic indicators, and epidemiological trends. The models, developed using platforms such as IBM Watson Analytics and in-house tools, provided demand projections at national and regional levels.</w:t>
      </w:r>
    </w:p>
    <w:p w14:paraId="575BADAB" w14:textId="77777777" w:rsidR="000B42CC" w:rsidRPr="000B42CC" w:rsidRDefault="000B42CC" w:rsidP="008D3809">
      <w:pPr>
        <w:pStyle w:val="Style1"/>
        <w:spacing w:after="0" w:line="360" w:lineRule="auto"/>
        <w:rPr>
          <w:rFonts w:cs="Times New Roman"/>
          <w:szCs w:val="24"/>
        </w:rPr>
      </w:pPr>
      <w:r w:rsidRPr="00B56E99">
        <w:rPr>
          <w:rFonts w:cs="Times New Roman"/>
          <w:szCs w:val="24"/>
        </w:rPr>
        <w:t>Additionally, AI was used for marketing-mix optimization, evaluating the relative contribution of digital campaigns, field visits, and scientific</w:t>
      </w:r>
      <w:r w:rsidRPr="000B42CC">
        <w:rPr>
          <w:rFonts w:cs="Times New Roman"/>
          <w:szCs w:val="24"/>
        </w:rPr>
        <w:t xml:space="preserve"> events to sales performance. Reinforcement learning algorithms simulated alternative budget allocations to identify the most cost-effective promotional combination.</w:t>
      </w:r>
    </w:p>
    <w:p w14:paraId="73225342"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06E0F887"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Forecasting accuracy improved by 25 %, reducing production surpluses and shortages.</w:t>
      </w:r>
    </w:p>
    <w:p w14:paraId="7FAAF5BB"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Marketing expenditure decreased by 18 % while maintaining revenue growth.</w:t>
      </w:r>
    </w:p>
    <w:p w14:paraId="5CA20AF5"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Decision-making cycle times shortened from monthly to weekly intervals.</w:t>
      </w:r>
    </w:p>
    <w:p w14:paraId="4F8B34F1"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Novartis demonstrated how AI converts data into predictive intelligence, allowing marketing managers to shift from reactive adjustment to proactive planning. The company </w:t>
      </w:r>
      <w:r w:rsidRPr="000B42CC">
        <w:rPr>
          <w:rFonts w:cs="Times New Roman"/>
          <w:szCs w:val="24"/>
        </w:rPr>
        <w:lastRenderedPageBreak/>
        <w:t xml:space="preserve">institutionalized AI dashboards in </w:t>
      </w:r>
      <w:r w:rsidRPr="00B56E99">
        <w:rPr>
          <w:rFonts w:cs="Times New Roman"/>
          <w:szCs w:val="24"/>
        </w:rPr>
        <w:t>its Commercial Excellence Division, integrating</w:t>
      </w:r>
      <w:r w:rsidRPr="000B42CC">
        <w:rPr>
          <w:rFonts w:cs="Times New Roman"/>
          <w:szCs w:val="24"/>
        </w:rPr>
        <w:t xml:space="preserve"> them with global CRM systems for continuous learning and optimization.</w:t>
      </w:r>
    </w:p>
    <w:p w14:paraId="45848568"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6.3 GlaxoSmithKline (GSK): Sentiment Analysis in Vaccine Promotion</w:t>
      </w:r>
    </w:p>
    <w:p w14:paraId="07FEBF80"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Monitor public sentiment, identify misinformation, and improve communication strategies during global immunization campaigns.</w:t>
      </w:r>
    </w:p>
    <w:p w14:paraId="5305475F"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GSK implemented </w:t>
      </w:r>
      <w:r w:rsidRPr="00B56E99">
        <w:rPr>
          <w:rFonts w:cs="Times New Roman"/>
          <w:szCs w:val="24"/>
        </w:rPr>
        <w:t>an AI-driven social-listening platform using</w:t>
      </w:r>
      <w:r w:rsidRPr="000B42CC">
        <w:rPr>
          <w:rFonts w:cs="Times New Roman"/>
          <w:szCs w:val="24"/>
        </w:rPr>
        <w:t xml:space="preserve"> NLP to </w:t>
      </w:r>
      <w:proofErr w:type="spellStart"/>
      <w:r w:rsidRPr="000B42CC">
        <w:rPr>
          <w:rFonts w:cs="Times New Roman"/>
          <w:szCs w:val="24"/>
        </w:rPr>
        <w:t>analyze</w:t>
      </w:r>
      <w:proofErr w:type="spellEnd"/>
      <w:r w:rsidRPr="000B42CC">
        <w:rPr>
          <w:rFonts w:cs="Times New Roman"/>
          <w:szCs w:val="24"/>
        </w:rPr>
        <w:t xml:space="preserve"> millions of online posts from Twitter, Facebook, health forums, and news outlets. The model classified content by tone (positive, neutral, negative) and topic (efficacy, safety, trust).</w:t>
      </w:r>
    </w:p>
    <w:p w14:paraId="0C8FF85B" w14:textId="4496DD6D" w:rsidR="000B42CC" w:rsidRPr="000B42CC" w:rsidRDefault="000B42CC" w:rsidP="008D3809">
      <w:pPr>
        <w:pStyle w:val="Style1"/>
        <w:spacing w:after="0" w:line="360" w:lineRule="auto"/>
        <w:rPr>
          <w:rFonts w:cs="Times New Roman"/>
          <w:szCs w:val="24"/>
        </w:rPr>
      </w:pPr>
      <w:r w:rsidRPr="000B42CC">
        <w:rPr>
          <w:rFonts w:cs="Times New Roman"/>
          <w:szCs w:val="24"/>
        </w:rPr>
        <w:t>Machine learning algorithms detected spikes in misinformation</w:t>
      </w:r>
      <w:r w:rsidR="00BC05E9">
        <w:rPr>
          <w:rFonts w:cs="Times New Roman"/>
          <w:szCs w:val="24"/>
        </w:rPr>
        <w:t xml:space="preserve"> </w:t>
      </w:r>
      <w:r w:rsidRPr="000B42CC">
        <w:rPr>
          <w:rFonts w:cs="Times New Roman"/>
          <w:szCs w:val="24"/>
        </w:rPr>
        <w:t>for example, false claims about vaccine side effects</w:t>
      </w:r>
      <w:r w:rsidR="00BC05E9">
        <w:rPr>
          <w:rFonts w:cs="Times New Roman"/>
          <w:szCs w:val="24"/>
        </w:rPr>
        <w:t xml:space="preserve"> </w:t>
      </w:r>
      <w:r w:rsidRPr="000B42CC">
        <w:rPr>
          <w:rFonts w:cs="Times New Roman"/>
          <w:szCs w:val="24"/>
        </w:rPr>
        <w:t>and alerted GSK’s communications team in real time. AI-generated dashboards highlighted geographic zones where negative sentiment was trending, guiding targeted outreach through educational content and collaborations with healthcare authorities.</w:t>
      </w:r>
    </w:p>
    <w:p w14:paraId="0A3783A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0EC2EAFA"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Online misinformation incidence decreased by 32 % in monitored regions.</w:t>
      </w:r>
    </w:p>
    <w:p w14:paraId="66BD209B"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Public trust scores in independent surveys rose by 18 %.</w:t>
      </w:r>
    </w:p>
    <w:p w14:paraId="0098C576"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Campaign efficiency improved as resources were redirected toward high-impact areas identified by AI.</w:t>
      </w:r>
    </w:p>
    <w:p w14:paraId="7FDBE999" w14:textId="68E96B60"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GSK’s initiative illustrated the ethical dimension of AI in marketing</w:t>
      </w:r>
      <w:r w:rsidR="00BC05E9">
        <w:rPr>
          <w:rFonts w:cs="Times New Roman"/>
          <w:szCs w:val="24"/>
        </w:rPr>
        <w:t xml:space="preserve"> </w:t>
      </w:r>
      <w:r w:rsidRPr="000B42CC">
        <w:rPr>
          <w:rFonts w:cs="Times New Roman"/>
          <w:szCs w:val="24"/>
        </w:rPr>
        <w:t xml:space="preserve">promoting transparency and combating misinformation rather than manipulating sentiment. It also emphasized the use </w:t>
      </w:r>
      <w:r w:rsidRPr="00B56E99">
        <w:rPr>
          <w:rFonts w:cs="Times New Roman"/>
          <w:szCs w:val="24"/>
        </w:rPr>
        <w:t>of AI as a pharmacovigilance and reputation-management tool</w:t>
      </w:r>
      <w:r w:rsidRPr="000B42CC">
        <w:rPr>
          <w:rFonts w:cs="Times New Roman"/>
          <w:szCs w:val="24"/>
        </w:rPr>
        <w:t>, aligning marketing objectives with public health priorities.</w:t>
      </w:r>
    </w:p>
    <w:p w14:paraId="6314DAB8" w14:textId="456606FD" w:rsidR="000B42CC" w:rsidRPr="000B42CC" w:rsidRDefault="000B42CC" w:rsidP="008D3809">
      <w:pPr>
        <w:pStyle w:val="Style1"/>
        <w:spacing w:after="0" w:line="360" w:lineRule="auto"/>
        <w:rPr>
          <w:rFonts w:cs="Times New Roman"/>
          <w:b/>
          <w:szCs w:val="24"/>
        </w:rPr>
      </w:pPr>
      <w:r w:rsidRPr="000B42CC">
        <w:rPr>
          <w:rFonts w:cs="Times New Roman"/>
          <w:b/>
          <w:szCs w:val="24"/>
        </w:rPr>
        <w:t>6.4 Sanofi: AI-Enabled Omnichannel Marketing and Content Personalization</w:t>
      </w:r>
      <w:r w:rsidR="00A034C4">
        <w:rPr>
          <w:rFonts w:cs="Times New Roman"/>
          <w:b/>
          <w:szCs w:val="24"/>
        </w:rPr>
        <w:t xml:space="preserve"> </w:t>
      </w:r>
      <w:sdt>
        <w:sdtPr>
          <w:rPr>
            <w:rFonts w:cs="Times New Roman"/>
            <w:color w:val="000000"/>
            <w:szCs w:val="24"/>
          </w:rPr>
          <w:tag w:val="MENDELEY_CITATION_v3_eyJjaXRhdGlvbklEIjoiTUVOREVMRVlfQ0lUQVRJT05fOTcyOGQ3YjYtZDIyMi00OTk4LWFmMTktZjAyYjRkMTk5YWJlIiwicHJvcGVydGllcyI6eyJub3RlSW5kZXgiOjB9LCJpc0VkaXRlZCI6ZmFsc2UsIm1hbnVhbE92ZXJyaWRlIjp7ImlzTWFudWFsbHlPdmVycmlkZGVuIjpmYWxzZSwiY2l0ZXByb2NUZXh0IjoiKDMz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"/>
          <w:id w:val="1289244043"/>
          <w:placeholder>
            <w:docPart w:val="DefaultPlaceholder_-1854013440"/>
          </w:placeholder>
        </w:sdtPr>
        <w:sdtEndPr/>
        <w:sdtContent>
          <w:r w:rsidR="00A034C4" w:rsidRPr="00A034C4">
            <w:rPr>
              <w:rFonts w:cs="Times New Roman"/>
              <w:color w:val="000000"/>
              <w:szCs w:val="24"/>
            </w:rPr>
            <w:t>(33,34)</w:t>
          </w:r>
        </w:sdtContent>
      </w:sdt>
    </w:p>
    <w:p w14:paraId="3217AE0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Build a unified, data-driven engagement ecosystem capable of delivering personalized experiences across multiple digital and offline touchpoints.</w:t>
      </w:r>
    </w:p>
    <w:p w14:paraId="517CB6BC"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Sanofi partnered </w:t>
      </w:r>
      <w:r w:rsidRPr="00B56E99">
        <w:rPr>
          <w:rFonts w:cs="Times New Roman"/>
          <w:szCs w:val="24"/>
        </w:rPr>
        <w:t>with Adobe Experience Cloud and Salesforce Einstein Analytics to deploy an AI-based omnichannel marketing</w:t>
      </w:r>
      <w:r w:rsidRPr="000B42CC">
        <w:rPr>
          <w:rFonts w:cs="Times New Roman"/>
          <w:szCs w:val="24"/>
        </w:rPr>
        <w:t xml:space="preserve"> system. The platform collected data from email campaigns, webinars, e-detailing sessions, and field-force reports to create a 360-degree physician profile.</w:t>
      </w:r>
    </w:p>
    <w:p w14:paraId="387B22DD" w14:textId="7134D1A3"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scored HCPs based on interaction frequency, specialty relevance, and digital </w:t>
      </w:r>
      <w:proofErr w:type="spellStart"/>
      <w:r w:rsidRPr="000B42CC">
        <w:rPr>
          <w:rFonts w:cs="Times New Roman"/>
          <w:szCs w:val="24"/>
        </w:rPr>
        <w:t>behavior</w:t>
      </w:r>
      <w:proofErr w:type="spellEnd"/>
      <w:r w:rsidRPr="000B42CC">
        <w:rPr>
          <w:rFonts w:cs="Times New Roman"/>
          <w:szCs w:val="24"/>
        </w:rPr>
        <w:t xml:space="preserve"> patterns. Personalized content</w:t>
      </w:r>
      <w:r w:rsidR="00BC05E9">
        <w:rPr>
          <w:rFonts w:cs="Times New Roman"/>
          <w:szCs w:val="24"/>
        </w:rPr>
        <w:t xml:space="preserve"> </w:t>
      </w:r>
      <w:r w:rsidRPr="000B42CC">
        <w:rPr>
          <w:rFonts w:cs="Times New Roman"/>
          <w:szCs w:val="24"/>
        </w:rPr>
        <w:t>scientific updates, product monographs, or case discussions</w:t>
      </w:r>
      <w:r w:rsidR="00BC05E9">
        <w:rPr>
          <w:rFonts w:cs="Times New Roman"/>
          <w:szCs w:val="24"/>
        </w:rPr>
        <w:t xml:space="preserve"> </w:t>
      </w:r>
      <w:r w:rsidRPr="000B42CC">
        <w:rPr>
          <w:rFonts w:cs="Times New Roman"/>
          <w:szCs w:val="24"/>
        </w:rPr>
        <w:t>was then delivered through the most effective channel at the most receptive time.</w:t>
      </w:r>
    </w:p>
    <w:p w14:paraId="66F54695"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Sanofi also implemented </w:t>
      </w:r>
      <w:r w:rsidRPr="00B56E99">
        <w:rPr>
          <w:rFonts w:cs="Times New Roman"/>
          <w:bCs w:val="0"/>
          <w:szCs w:val="24"/>
        </w:rPr>
        <w:t>predictive lead-nurturing workflows: if an HCP downloaded content but did not engage further, the system automatically triggered</w:t>
      </w:r>
      <w:r w:rsidRPr="000B42CC">
        <w:rPr>
          <w:rFonts w:cs="Times New Roman"/>
          <w:szCs w:val="24"/>
        </w:rPr>
        <w:t xml:space="preserve"> a follow-up email or scheduled MR visit.</w:t>
      </w:r>
    </w:p>
    <w:p w14:paraId="6AA1BB36"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5997F4D6"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Digital engagement increased by 35 %.</w:t>
      </w:r>
    </w:p>
    <w:p w14:paraId="35989700"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Content open rates rose by 50 % among high-priority physicians.</w:t>
      </w:r>
    </w:p>
    <w:p w14:paraId="39E5AC00"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Conversion to prescription intent improved by 25 %.</w:t>
      </w:r>
    </w:p>
    <w:p w14:paraId="3B043D0A"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Sanofi’s case underscores how AI transforms marketing from linear, channel-specific operations into an </w:t>
      </w:r>
      <w:r w:rsidRPr="00FF59E4">
        <w:rPr>
          <w:rFonts w:cs="Times New Roman"/>
          <w:bCs w:val="0"/>
          <w:szCs w:val="24"/>
        </w:rPr>
        <w:t>adaptive ecosystem where</w:t>
      </w:r>
      <w:r w:rsidRPr="000B42CC">
        <w:rPr>
          <w:rFonts w:cs="Times New Roman"/>
          <w:szCs w:val="24"/>
        </w:rPr>
        <w:t xml:space="preserve"> every interaction refines future engagement strategies. The success of this project inspired the company to extend AI integration to its patient-support programs, enabling personalized adherence interventions.</w:t>
      </w:r>
    </w:p>
    <w:p w14:paraId="08F9C3E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6.5 Roche: AI-Based KOL Mapping and Influence Network Analysis</w:t>
      </w:r>
    </w:p>
    <w:p w14:paraId="70DC2DA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Identify and engage the most influential Key Opinion Leaders (KOLs) and digital thought leaders across therapeutic areas to enhance scientific credibility and outreach efficiency.</w:t>
      </w:r>
    </w:p>
    <w:p w14:paraId="49D16D16"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Roche </w:t>
      </w:r>
      <w:r w:rsidRPr="00B56E99">
        <w:rPr>
          <w:rFonts w:cs="Times New Roman"/>
          <w:szCs w:val="24"/>
        </w:rPr>
        <w:t>utilized graph analytics and natural language processing</w:t>
      </w:r>
      <w:r w:rsidRPr="000B42CC">
        <w:rPr>
          <w:rFonts w:cs="Times New Roman"/>
          <w:szCs w:val="24"/>
        </w:rPr>
        <w:t xml:space="preserve"> to map KOL networks. AI </w:t>
      </w:r>
      <w:proofErr w:type="spellStart"/>
      <w:r w:rsidRPr="000B42CC">
        <w:rPr>
          <w:rFonts w:cs="Times New Roman"/>
          <w:szCs w:val="24"/>
        </w:rPr>
        <w:t>analyzed</w:t>
      </w:r>
      <w:proofErr w:type="spellEnd"/>
      <w:r w:rsidRPr="000B42CC">
        <w:rPr>
          <w:rFonts w:cs="Times New Roman"/>
          <w:szCs w:val="24"/>
        </w:rPr>
        <w:t xml:space="preserve"> publications, conference presentations, social-media interactions, and citation metrics to determine influence hierarchies within oncology and immunology research communities.</w:t>
      </w:r>
    </w:p>
    <w:p w14:paraId="0252CF05" w14:textId="54A01884" w:rsidR="000B42CC" w:rsidRPr="000B42CC" w:rsidRDefault="000B42CC" w:rsidP="008D3809">
      <w:pPr>
        <w:pStyle w:val="Style1"/>
        <w:spacing w:after="0" w:line="360" w:lineRule="auto"/>
        <w:rPr>
          <w:rFonts w:cs="Times New Roman"/>
          <w:szCs w:val="24"/>
        </w:rPr>
      </w:pPr>
      <w:r w:rsidRPr="000B42CC">
        <w:rPr>
          <w:rFonts w:cs="Times New Roman"/>
          <w:szCs w:val="24"/>
        </w:rPr>
        <w:t>The system identified not only traditional KOLs but also emerging “digital influencers”</w:t>
      </w:r>
      <w:r w:rsidR="00BC05E9">
        <w:rPr>
          <w:rFonts w:cs="Times New Roman"/>
          <w:szCs w:val="24"/>
        </w:rPr>
        <w:t xml:space="preserve"> </w:t>
      </w:r>
      <w:r w:rsidRPr="000B42CC">
        <w:rPr>
          <w:rFonts w:cs="Times New Roman"/>
          <w:szCs w:val="24"/>
        </w:rPr>
        <w:t>physicians with substantial online educational presence. Sentiment analysis evaluated their stance toward Roche’s therapies, allowing the company to tailor engagement strategies.</w:t>
      </w:r>
    </w:p>
    <w:p w14:paraId="3DDCA71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5503FB7F"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Identification accuracy of relevant KOLs improved by 40 %.</w:t>
      </w:r>
    </w:p>
    <w:p w14:paraId="14D42090"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Engagement efforts became 25 % more cost-effective due to focused outreach.</w:t>
      </w:r>
    </w:p>
    <w:p w14:paraId="28F1FD98"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Collaboration opportunities expanded, leading to new co-authored publications and symposium participation.</w:t>
      </w:r>
    </w:p>
    <w:p w14:paraId="669A7C6B" w14:textId="77777777" w:rsidR="000B42CC" w:rsidRPr="00B56E99"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By replacing subjective selection with algorithmic insight, Roche optimized its scientific communication strategy and strengthened relationships with credible voices in the medical community. The model is now part of </w:t>
      </w:r>
      <w:r w:rsidRPr="00B56E99">
        <w:rPr>
          <w:rFonts w:cs="Times New Roman"/>
          <w:szCs w:val="24"/>
        </w:rPr>
        <w:t>Roche’s global AI-powered influencer-relationship platform.</w:t>
      </w:r>
    </w:p>
    <w:p w14:paraId="6339BD8C" w14:textId="5A740E38" w:rsidR="000B42CC" w:rsidRPr="000B42CC" w:rsidRDefault="000B42CC" w:rsidP="008D3809">
      <w:pPr>
        <w:pStyle w:val="Style1"/>
        <w:spacing w:after="0" w:line="360" w:lineRule="auto"/>
        <w:rPr>
          <w:rFonts w:cs="Times New Roman"/>
          <w:b/>
          <w:szCs w:val="24"/>
        </w:rPr>
      </w:pPr>
      <w:r w:rsidRPr="000B42CC">
        <w:rPr>
          <w:rFonts w:cs="Times New Roman"/>
          <w:b/>
          <w:szCs w:val="24"/>
        </w:rPr>
        <w:lastRenderedPageBreak/>
        <w:t>6.6 Cross-Case Comparative Insights</w:t>
      </w:r>
      <w:r w:rsidR="00A034C4">
        <w:rPr>
          <w:rFonts w:cs="Times New Roman"/>
          <w:b/>
          <w:szCs w:val="24"/>
        </w:rPr>
        <w:t xml:space="preserve"> </w:t>
      </w:r>
      <w:sdt>
        <w:sdtPr>
          <w:rPr>
            <w:rFonts w:cs="Times New Roman"/>
            <w:color w:val="000000"/>
            <w:szCs w:val="24"/>
          </w:rPr>
          <w:tag w:val="MENDELEY_CITATION_v3_eyJjaXRhdGlvbklEIjoiTUVOREVMRVlfQ0lUQVRJT05fNWVjZWU3YmYtYzc3Mi00MmI0LWI2NTQtZTY0Y2UzODhjZTI1IiwicHJvcGVydGllcyI6eyJub3RlSW5kZXgiOjB9LCJpc0VkaXRlZCI6ZmFsc2UsIm1hbnVhbE92ZXJyaWRlIjp7ImlzTWFudWFsbHlPdmVycmlkZGVuIjpmYWxzZSwiY2l0ZXByb2NUZXh0IjoiKDYsMzU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0s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XX0="/>
          <w:id w:val="-179500299"/>
          <w:placeholder>
            <w:docPart w:val="DefaultPlaceholder_-1854013440"/>
          </w:placeholder>
        </w:sdtPr>
        <w:sdtEndPr/>
        <w:sdtContent>
          <w:r w:rsidR="00A034C4" w:rsidRPr="00A034C4">
            <w:rPr>
              <w:rFonts w:cs="Times New Roman"/>
              <w:color w:val="000000"/>
              <w:szCs w:val="24"/>
            </w:rPr>
            <w:t>(6,35)</w:t>
          </w:r>
        </w:sdtContent>
      </w:sdt>
    </w:p>
    <w:p w14:paraId="3929A0F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Across all five companies, several common themes emerge:</w:t>
      </w:r>
    </w:p>
    <w:p w14:paraId="0D11F0CA" w14:textId="4E3155F4"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Data Centralization and Integration:</w:t>
      </w:r>
      <w:r w:rsidRPr="008D3809">
        <w:rPr>
          <w:rFonts w:cs="Times New Roman"/>
          <w:szCs w:val="24"/>
        </w:rPr>
        <w:t xml:space="preserve"> </w:t>
      </w:r>
      <w:r w:rsidRPr="000B42CC">
        <w:rPr>
          <w:rFonts w:cs="Times New Roman"/>
          <w:szCs w:val="24"/>
        </w:rPr>
        <w:t>Each organization established centralized data lakes, integrating CRM, sales, and digital-engagement data. This ensured that AI models were trained on comprehensive, real-time datasets.</w:t>
      </w:r>
    </w:p>
    <w:p w14:paraId="044F37EC" w14:textId="6516DFC0"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Ethical AI and Compliance:</w:t>
      </w:r>
      <w:r w:rsidRPr="008D3809">
        <w:rPr>
          <w:rFonts w:cs="Times New Roman"/>
          <w:szCs w:val="24"/>
        </w:rPr>
        <w:t xml:space="preserve"> </w:t>
      </w:r>
      <w:r w:rsidRPr="000B42CC">
        <w:rPr>
          <w:rFonts w:cs="Times New Roman"/>
          <w:szCs w:val="24"/>
        </w:rPr>
        <w:t>All case studies maintained regulatory compliance by incorporating human oversight and using only validated, regulatory-approved content for AI communication. Transparency was embedded in every automated interaction.</w:t>
      </w:r>
    </w:p>
    <w:p w14:paraId="6E211799" w14:textId="5DE1835E"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Tangible Performance Gains:</w:t>
      </w:r>
      <w:r w:rsidRPr="008D3809">
        <w:rPr>
          <w:rFonts w:cs="Times New Roman"/>
          <w:szCs w:val="24"/>
        </w:rPr>
        <w:t xml:space="preserve"> </w:t>
      </w:r>
      <w:r w:rsidRPr="000B42CC">
        <w:rPr>
          <w:rFonts w:cs="Times New Roman"/>
          <w:szCs w:val="24"/>
        </w:rPr>
        <w:t>The adoption of AI led to improvements in forecast accuracy (up to 25 %), engagement rates (30–40 %), and marketing ROI (15–25 %), proving the measurable business case for AI adoption.</w:t>
      </w:r>
    </w:p>
    <w:p w14:paraId="069331A3" w14:textId="0D363453"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Human-Machine Collaboration:</w:t>
      </w:r>
      <w:r w:rsidRPr="008D3809">
        <w:rPr>
          <w:rFonts w:cs="Times New Roman"/>
          <w:szCs w:val="24"/>
        </w:rPr>
        <w:t xml:space="preserve"> </w:t>
      </w:r>
      <w:r w:rsidRPr="000B42CC">
        <w:rPr>
          <w:rFonts w:cs="Times New Roman"/>
          <w:szCs w:val="24"/>
        </w:rPr>
        <w:t>AI did not replace marketing professionals but enhanced their capacity for strategic decision-making. Medical representatives and data scientists collaborated to interpret AI insights and ensure ethical alignment.</w:t>
      </w:r>
    </w:p>
    <w:p w14:paraId="57E3E0CD" w14:textId="53EE4260"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Scalability and Learning:</w:t>
      </w:r>
      <w:r w:rsidRPr="008D3809">
        <w:rPr>
          <w:rFonts w:cs="Times New Roman"/>
          <w:szCs w:val="24"/>
        </w:rPr>
        <w:t xml:space="preserve"> </w:t>
      </w:r>
      <w:r w:rsidRPr="000B42CC">
        <w:rPr>
          <w:rFonts w:cs="Times New Roman"/>
          <w:szCs w:val="24"/>
        </w:rPr>
        <w:t xml:space="preserve">Once implemented, AI systems continuously learned from new data, enabling </w:t>
      </w:r>
      <w:r w:rsidRPr="000B42CC">
        <w:rPr>
          <w:rFonts w:cs="Times New Roman"/>
          <w:b/>
          <w:szCs w:val="24"/>
        </w:rPr>
        <w:t>scalable marketing intelligence</w:t>
      </w:r>
      <w:r w:rsidRPr="000B42CC">
        <w:rPr>
          <w:rFonts w:cs="Times New Roman"/>
          <w:szCs w:val="24"/>
        </w:rPr>
        <w:t xml:space="preserve"> adaptable to new products, markets, and regulations.</w:t>
      </w:r>
    </w:p>
    <w:p w14:paraId="5305B4A7" w14:textId="7F12A2C2" w:rsidR="000B42CC" w:rsidRPr="000B42CC" w:rsidRDefault="000B42CC" w:rsidP="008D3809">
      <w:pPr>
        <w:pStyle w:val="Style1"/>
        <w:spacing w:after="0" w:line="360" w:lineRule="auto"/>
        <w:rPr>
          <w:rFonts w:cs="Times New Roman"/>
          <w:b/>
          <w:szCs w:val="24"/>
        </w:rPr>
      </w:pPr>
      <w:r w:rsidRPr="000B42CC">
        <w:rPr>
          <w:rFonts w:cs="Times New Roman"/>
          <w:b/>
          <w:szCs w:val="24"/>
        </w:rPr>
        <w:t>6.7 Challenges and Lessons Learned</w:t>
      </w:r>
      <w:r w:rsidR="00A034C4">
        <w:rPr>
          <w:rFonts w:cs="Times New Roman"/>
          <w:b/>
          <w:szCs w:val="24"/>
        </w:rPr>
        <w:t xml:space="preserve"> </w:t>
      </w:r>
      <w:sdt>
        <w:sdtPr>
          <w:rPr>
            <w:rFonts w:cs="Times New Roman"/>
            <w:color w:val="000000"/>
            <w:szCs w:val="24"/>
          </w:rPr>
          <w:tag w:val="MENDELEY_CITATION_v3_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"/>
          <w:id w:val="-2043196005"/>
          <w:placeholder>
            <w:docPart w:val="DefaultPlaceholder_-1854013440"/>
          </w:placeholder>
        </w:sdtPr>
        <w:sdtEndPr/>
        <w:sdtContent>
          <w:r w:rsidR="00A034C4" w:rsidRPr="00A034C4">
            <w:rPr>
              <w:rFonts w:cs="Times New Roman"/>
              <w:color w:val="000000"/>
              <w:szCs w:val="24"/>
            </w:rPr>
            <w:t>(37,53)</w:t>
          </w:r>
        </w:sdtContent>
      </w:sdt>
    </w:p>
    <w:p w14:paraId="1CF0452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Despite their success, these pioneers also encountered common challenges:</w:t>
      </w:r>
    </w:p>
    <w:p w14:paraId="489ADFBC"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Data Integration Barriers:</w:t>
      </w:r>
      <w:r w:rsidRPr="000B42CC">
        <w:rPr>
          <w:rFonts w:cs="Times New Roman"/>
          <w:szCs w:val="24"/>
        </w:rPr>
        <w:t xml:space="preserve"> Harmonizing diverse datasets from legacy systems was a time-intensive process.</w:t>
      </w:r>
    </w:p>
    <w:p w14:paraId="788609F5"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Algorithm Transparency:</w:t>
      </w:r>
      <w:r w:rsidRPr="000B42CC">
        <w:rPr>
          <w:rFonts w:cs="Times New Roman"/>
          <w:szCs w:val="24"/>
        </w:rPr>
        <w:t xml:space="preserve"> Ensuring explainability to regulators and marketing teams required customized dashboards.</w:t>
      </w:r>
    </w:p>
    <w:p w14:paraId="4938F3F7"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Cultural Resistance:</w:t>
      </w:r>
      <w:r w:rsidRPr="000B42CC">
        <w:rPr>
          <w:rFonts w:cs="Times New Roman"/>
          <w:szCs w:val="24"/>
        </w:rPr>
        <w:t xml:space="preserve"> Traditional marketing teams initially viewed AI as a disruptive or opaque technology; extensive training mitigated this concern.</w:t>
      </w:r>
    </w:p>
    <w:p w14:paraId="28F41D3A"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Cost and Time of Implementation:</w:t>
      </w:r>
      <w:r w:rsidRPr="000B42CC">
        <w:rPr>
          <w:rFonts w:cs="Times New Roman"/>
          <w:szCs w:val="24"/>
        </w:rPr>
        <w:t xml:space="preserve"> Initial setup costs for data infrastructure and AI integration were substantial but justified by long-term ROI.</w:t>
      </w:r>
    </w:p>
    <w:p w14:paraId="38121363" w14:textId="59A42EED"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overarching lesson is that successful AI implementation </w:t>
      </w:r>
      <w:r w:rsidRPr="00B56E99">
        <w:rPr>
          <w:rFonts w:cs="Times New Roman"/>
          <w:szCs w:val="24"/>
        </w:rPr>
        <w:t>demands a multidisciplinary approach</w:t>
      </w:r>
      <w:r w:rsidR="00BC05E9" w:rsidRPr="00B56E99">
        <w:rPr>
          <w:rFonts w:cs="Times New Roman"/>
          <w:szCs w:val="24"/>
        </w:rPr>
        <w:t xml:space="preserve"> </w:t>
      </w:r>
      <w:r w:rsidRPr="00B56E99">
        <w:rPr>
          <w:rFonts w:cs="Times New Roman"/>
          <w:szCs w:val="24"/>
        </w:rPr>
        <w:t>combining technical expertise, regulatory knowledge, and ethical</w:t>
      </w:r>
      <w:r w:rsidRPr="000B42CC">
        <w:rPr>
          <w:rFonts w:cs="Times New Roman"/>
          <w:szCs w:val="24"/>
        </w:rPr>
        <w:t xml:space="preserve"> oversight.</w:t>
      </w:r>
    </w:p>
    <w:p w14:paraId="18A34E95" w14:textId="248717B3" w:rsidR="000B42CC" w:rsidRPr="000B42CC" w:rsidRDefault="000B42CC" w:rsidP="008D3809">
      <w:pPr>
        <w:pStyle w:val="Style1"/>
        <w:spacing w:after="0" w:line="360" w:lineRule="auto"/>
        <w:rPr>
          <w:rFonts w:cs="Times New Roman"/>
          <w:b/>
          <w:szCs w:val="24"/>
        </w:rPr>
      </w:pPr>
      <w:r w:rsidRPr="000B42CC">
        <w:rPr>
          <w:rFonts w:cs="Times New Roman"/>
          <w:b/>
          <w:szCs w:val="24"/>
        </w:rPr>
        <w:t>6.8 Synthesis: From Experimentation to Institutionalization</w:t>
      </w:r>
      <w:r w:rsidR="00A034C4">
        <w:rPr>
          <w:rFonts w:cs="Times New Roman"/>
          <w:b/>
          <w:szCs w:val="24"/>
        </w:rPr>
        <w:t xml:space="preserve"> </w:t>
      </w:r>
      <w:sdt>
        <w:sdtPr>
          <w:rPr>
            <w:rFonts w:cs="Times New Roman"/>
            <w:color w:val="000000"/>
            <w:szCs w:val="24"/>
          </w:rPr>
          <w:tag w:val="MENDELEY_CITATION_v3_eyJjaXRhdGlvbklEIjoiTUVOREVMRVlfQ0lUQVRJT05fNjJkNDZiZjMtZTM1OC00ZDcxLWFjNmQtYWU0ODE5ZWZlNjBk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
          <w:id w:val="-459497360"/>
          <w:placeholder>
            <w:docPart w:val="DefaultPlaceholder_-1854013440"/>
          </w:placeholder>
        </w:sdtPr>
        <w:sdtEndPr/>
        <w:sdtContent>
          <w:r w:rsidR="00A034C4" w:rsidRPr="00A034C4">
            <w:rPr>
              <w:rFonts w:cs="Times New Roman"/>
              <w:color w:val="000000"/>
              <w:szCs w:val="24"/>
            </w:rPr>
            <w:t>(6)</w:t>
          </w:r>
        </w:sdtContent>
      </w:sdt>
    </w:p>
    <w:p w14:paraId="4C0A75B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These case studies collectively signify a decisive shift: AI in pharmaceutical marketing is evolving from isolated pilot projects to enterprise-wide transformation strategies. Initially adopted to address pandemic-related disruptions, AI is now embedded within commercial planning, medical affairs, and corporate strategy.</w:t>
      </w:r>
    </w:p>
    <w:p w14:paraId="48536B56" w14:textId="66483869" w:rsidR="000B42CC" w:rsidRPr="00B56E99" w:rsidRDefault="000B42CC" w:rsidP="008D3809">
      <w:pPr>
        <w:pStyle w:val="Style1"/>
        <w:spacing w:after="0" w:line="360" w:lineRule="auto"/>
        <w:rPr>
          <w:rFonts w:cs="Times New Roman"/>
          <w:szCs w:val="24"/>
        </w:rPr>
      </w:pPr>
      <w:r w:rsidRPr="000B42CC">
        <w:rPr>
          <w:rFonts w:cs="Times New Roman"/>
          <w:szCs w:val="24"/>
        </w:rPr>
        <w:lastRenderedPageBreak/>
        <w:t>By integrating AI across verticals</w:t>
      </w:r>
      <w:r w:rsidR="00BC05E9">
        <w:rPr>
          <w:rFonts w:cs="Times New Roman"/>
          <w:szCs w:val="24"/>
        </w:rPr>
        <w:t xml:space="preserve"> </w:t>
      </w:r>
      <w:r w:rsidRPr="000B42CC">
        <w:rPr>
          <w:rFonts w:cs="Times New Roman"/>
          <w:szCs w:val="24"/>
        </w:rPr>
        <w:t>forecasting, communication, patient education, and KOL engagement</w:t>
      </w:r>
      <w:r w:rsidR="00BC05E9">
        <w:rPr>
          <w:rFonts w:cs="Times New Roman"/>
          <w:szCs w:val="24"/>
        </w:rPr>
        <w:t xml:space="preserve"> </w:t>
      </w:r>
      <w:r w:rsidRPr="000B42CC">
        <w:rPr>
          <w:rFonts w:cs="Times New Roman"/>
          <w:szCs w:val="24"/>
        </w:rPr>
        <w:t xml:space="preserve">companies have </w:t>
      </w:r>
      <w:r w:rsidRPr="00B56E99">
        <w:rPr>
          <w:rFonts w:cs="Times New Roman"/>
          <w:szCs w:val="24"/>
        </w:rPr>
        <w:t>established closed feedback loops where every marketing action generates data that improves subsequent decisions. The result is a learning organization capable of adapting marketing practices in real time based on empirical evidence and predictive analytics.</w:t>
      </w:r>
    </w:p>
    <w:p w14:paraId="4349AB5E" w14:textId="1DA44CDB" w:rsidR="000B42CC" w:rsidRPr="000B42CC" w:rsidRDefault="000B42CC" w:rsidP="008D3809">
      <w:pPr>
        <w:pStyle w:val="Style1"/>
        <w:spacing w:after="0" w:line="360" w:lineRule="auto"/>
        <w:rPr>
          <w:rFonts w:cs="Times New Roman"/>
          <w:szCs w:val="24"/>
        </w:rPr>
      </w:pPr>
      <w:r w:rsidRPr="000B42CC">
        <w:rPr>
          <w:rFonts w:cs="Times New Roman"/>
          <w:szCs w:val="24"/>
        </w:rPr>
        <w:t>Moreover, these real-world experiences demonstrate that AI can coexist harmoniously with ethical marketing frameworks when transparency, consent, and human oversight are prioritized. Rather than replacing professionals, AI augments their capabilities</w:t>
      </w:r>
      <w:r w:rsidR="00BC05E9">
        <w:rPr>
          <w:rFonts w:cs="Times New Roman"/>
          <w:szCs w:val="24"/>
        </w:rPr>
        <w:t xml:space="preserve"> </w:t>
      </w:r>
      <w:r w:rsidRPr="000B42CC">
        <w:rPr>
          <w:rFonts w:cs="Times New Roman"/>
          <w:szCs w:val="24"/>
        </w:rPr>
        <w:t>turning marketing into a scientific discipline driven by analytics, empathy, and precision.</w:t>
      </w:r>
    </w:p>
    <w:p w14:paraId="6AAC9973" w14:textId="77777777" w:rsidR="000B42CC" w:rsidRPr="00B56E99" w:rsidRDefault="000B42CC" w:rsidP="008D3809">
      <w:pPr>
        <w:pStyle w:val="Style1"/>
        <w:spacing w:after="0" w:line="360" w:lineRule="auto"/>
        <w:rPr>
          <w:rFonts w:cs="Times New Roman"/>
          <w:szCs w:val="24"/>
        </w:rPr>
      </w:pPr>
      <w:r w:rsidRPr="000B42CC">
        <w:rPr>
          <w:rFonts w:cs="Times New Roman"/>
          <w:szCs w:val="24"/>
        </w:rPr>
        <w:t xml:space="preserve">The examined case studies exemplify how AI delivers measurable strategic and operational value to pharmaceutical marketing. Whether through Pfizer’s chatbot for physician engagement, Novartis’s predictive analytics, GSK’s sentiment monitoring, Sanofi’s omnichannel personalization, or Roche’s </w:t>
      </w:r>
      <w:r w:rsidRPr="00B56E99">
        <w:rPr>
          <w:rFonts w:cs="Times New Roman"/>
          <w:szCs w:val="24"/>
        </w:rPr>
        <w:t>influencer mapping, the pattern is clear: AI transforms marketing from reactive promotion into proactive, evidence-based partnership.</w:t>
      </w:r>
    </w:p>
    <w:p w14:paraId="7A87ADFC" w14:textId="040395D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AI maturity increases, future pharmaceutical marketing will integrate real-world evidence, patient </w:t>
      </w:r>
      <w:proofErr w:type="spellStart"/>
      <w:r w:rsidRPr="000B42CC">
        <w:rPr>
          <w:rFonts w:cs="Times New Roman"/>
          <w:szCs w:val="24"/>
        </w:rPr>
        <w:t>behavior</w:t>
      </w:r>
      <w:proofErr w:type="spellEnd"/>
      <w:r w:rsidRPr="000B42CC">
        <w:rPr>
          <w:rFonts w:cs="Times New Roman"/>
          <w:szCs w:val="24"/>
        </w:rPr>
        <w:t xml:space="preserve"> analytics, and digital-twin simulations to achieve even greater personalization and transparency. These early successes serve as benchmarks for the broader industry</w:t>
      </w:r>
      <w:r w:rsidR="00BC05E9">
        <w:rPr>
          <w:rFonts w:cs="Times New Roman"/>
          <w:szCs w:val="24"/>
        </w:rPr>
        <w:t xml:space="preserve"> </w:t>
      </w:r>
      <w:r w:rsidRPr="000B42CC">
        <w:rPr>
          <w:rFonts w:cs="Times New Roman"/>
          <w:szCs w:val="24"/>
        </w:rPr>
        <w:t>demonstrating that when governed responsibly, AI can enhance both business performance and societal trust in the pharmaceutical enterprise.</w:t>
      </w:r>
    </w:p>
    <w:p w14:paraId="56D417AB" w14:textId="04517109" w:rsidR="003D7B34" w:rsidRPr="008D3809" w:rsidRDefault="003D7B34" w:rsidP="008D3809">
      <w:pPr>
        <w:pStyle w:val="Style1"/>
        <w:spacing w:after="0" w:line="360" w:lineRule="auto"/>
        <w:rPr>
          <w:rFonts w:cs="Times New Roman"/>
          <w:b/>
          <w:szCs w:val="24"/>
        </w:rPr>
      </w:pPr>
      <w:r w:rsidRPr="003D7B34">
        <w:rPr>
          <w:rFonts w:cs="Times New Roman"/>
          <w:b/>
          <w:szCs w:val="24"/>
        </w:rPr>
        <w:t xml:space="preserve">7. Challenges and Limitations </w:t>
      </w:r>
    </w:p>
    <w:p w14:paraId="4C1CCCF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While Artificial Intelligence (AI) holds immense promise for transforming pharmaceutical marketing, its practical implementation </w:t>
      </w:r>
      <w:r w:rsidRPr="00B56E99">
        <w:rPr>
          <w:rFonts w:cs="Times New Roman"/>
          <w:szCs w:val="24"/>
        </w:rPr>
        <w:t>presents a range of technical, organizational, ethical, and economic challenges. These limitations often determine the pace and success of AI adoption across the life sciences industry. The following section critically examines the major challenges hindering the large-scale integration of</w:t>
      </w:r>
      <w:r w:rsidRPr="000B42CC">
        <w:rPr>
          <w:rFonts w:cs="Times New Roman"/>
          <w:szCs w:val="24"/>
        </w:rPr>
        <w:t xml:space="preserve"> AI into pharmaceutical marketing and explores strategies to mitigate them.</w:t>
      </w:r>
    </w:p>
    <w:p w14:paraId="3BA57E6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7.1 Data Fragmentation and Quality Issues</w:t>
      </w:r>
    </w:p>
    <w:p w14:paraId="56EDFD05" w14:textId="1BDCC52A"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systems rely on the </w:t>
      </w:r>
      <w:r w:rsidRPr="00B56E99">
        <w:rPr>
          <w:rFonts w:cs="Times New Roman"/>
          <w:szCs w:val="24"/>
        </w:rPr>
        <w:t>availability of accurate, comprehensive, and interoperable data. However, pharmaceutical data are typically fragmented across multiple silos</w:t>
      </w:r>
      <w:r w:rsidR="00BC05E9" w:rsidRPr="00B56E99">
        <w:rPr>
          <w:rFonts w:cs="Times New Roman"/>
          <w:szCs w:val="24"/>
        </w:rPr>
        <w:t xml:space="preserve"> </w:t>
      </w:r>
      <w:r w:rsidRPr="00B56E99">
        <w:rPr>
          <w:rFonts w:cs="Times New Roman"/>
          <w:szCs w:val="24"/>
        </w:rPr>
        <w:t>sales databases, electronic health records (EHRs), CRM systems</w:t>
      </w:r>
      <w:r w:rsidRPr="000B42CC">
        <w:rPr>
          <w:rFonts w:cs="Times New Roman"/>
          <w:szCs w:val="24"/>
        </w:rPr>
        <w:t>, pharmacovigilance databases, and third-party market research sources. These datasets often vary in format, structure, and quality, making integration complex.</w:t>
      </w:r>
    </w:p>
    <w:p w14:paraId="031081FC" w14:textId="77777777" w:rsidR="000B42CC" w:rsidRPr="00B56E99" w:rsidRDefault="000B42CC" w:rsidP="008D3809">
      <w:pPr>
        <w:pStyle w:val="Style1"/>
        <w:spacing w:after="0" w:line="360" w:lineRule="auto"/>
        <w:rPr>
          <w:rFonts w:cs="Times New Roman"/>
          <w:szCs w:val="24"/>
        </w:rPr>
      </w:pPr>
      <w:r w:rsidRPr="000B42CC">
        <w:rPr>
          <w:rFonts w:cs="Times New Roman"/>
          <w:szCs w:val="24"/>
        </w:rPr>
        <w:lastRenderedPageBreak/>
        <w:t xml:space="preserve">Inconsistent data inputs can </w:t>
      </w:r>
      <w:r w:rsidRPr="00B56E99">
        <w:rPr>
          <w:rFonts w:cs="Times New Roman"/>
          <w:szCs w:val="24"/>
        </w:rPr>
        <w:t>lead to biased or inaccurate model outputs, compromising the reliability of AI-driven insights. For example, if prescription data are delayed or incomplete, predictive algorithms may misestimate demand or physician engagement trends.</w:t>
      </w:r>
    </w:p>
    <w:p w14:paraId="2B5759DE" w14:textId="77777777" w:rsidR="000B42CC" w:rsidRPr="00B56E99" w:rsidRDefault="000B42CC" w:rsidP="008D3809">
      <w:pPr>
        <w:pStyle w:val="Style1"/>
        <w:spacing w:after="0" w:line="360" w:lineRule="auto"/>
        <w:rPr>
          <w:rFonts w:cs="Times New Roman"/>
          <w:szCs w:val="24"/>
        </w:rPr>
      </w:pPr>
      <w:r w:rsidRPr="00B56E99">
        <w:rPr>
          <w:rFonts w:cs="Times New Roman"/>
          <w:szCs w:val="24"/>
        </w:rPr>
        <w:t>Data governance frameworks are therefore crucial to ensure standardization, data lineage tracking, and validation. However, establishing such frameworks demands significant investment in infrastructure, data-cleaning protocols, and interdepartmental collaboration.</w:t>
      </w:r>
    </w:p>
    <w:p w14:paraId="511F71C4" w14:textId="2008BD3E" w:rsidR="000B42CC" w:rsidRPr="000B42CC" w:rsidRDefault="000B42CC" w:rsidP="008D3809">
      <w:pPr>
        <w:pStyle w:val="Style1"/>
        <w:spacing w:after="0" w:line="360" w:lineRule="auto"/>
        <w:rPr>
          <w:rFonts w:cs="Times New Roman"/>
          <w:szCs w:val="24"/>
        </w:rPr>
      </w:pPr>
      <w:r w:rsidRPr="00B56E99">
        <w:rPr>
          <w:rFonts w:cs="Times New Roman"/>
          <w:szCs w:val="24"/>
        </w:rPr>
        <w:t>Furthermore, data privacy regulations (such as GDPR, HIPAA, and India’s PDP Bill) limit the types of data that can be processed, adding</w:t>
      </w:r>
      <w:r w:rsidRPr="000B42CC">
        <w:rPr>
          <w:rFonts w:cs="Times New Roman"/>
          <w:szCs w:val="24"/>
        </w:rPr>
        <w:t xml:space="preserve"> complexity to data collection and storage. Pharmaceutical marketers must anonymize or pseudonymize sensitive data to remain compliant</w:t>
      </w:r>
      <w:r w:rsidR="00BC05E9">
        <w:rPr>
          <w:rFonts w:cs="Times New Roman"/>
          <w:szCs w:val="24"/>
        </w:rPr>
        <w:t xml:space="preserve"> </w:t>
      </w:r>
      <w:r w:rsidRPr="000B42CC">
        <w:rPr>
          <w:rFonts w:cs="Times New Roman"/>
          <w:szCs w:val="24"/>
        </w:rPr>
        <w:t>sometimes at the cost of analytical depth.</w:t>
      </w:r>
    </w:p>
    <w:p w14:paraId="762B77D4"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7.2 Integration Complexity and Technological Infrastructure</w:t>
      </w:r>
    </w:p>
    <w:p w14:paraId="7CA0ECC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Implementing AI in pharmaceutical </w:t>
      </w:r>
      <w:r w:rsidRPr="00B56E99">
        <w:rPr>
          <w:rFonts w:cs="Times New Roman"/>
          <w:szCs w:val="24"/>
        </w:rPr>
        <w:t>marketing requires the integration of legacy systems with modern cloud-based analytics platforms. Ma</w:t>
      </w:r>
      <w:r w:rsidRPr="000B42CC">
        <w:rPr>
          <w:rFonts w:cs="Times New Roman"/>
          <w:szCs w:val="24"/>
        </w:rPr>
        <w:t>ny companies still rely on outdated CRM systems and fragmented data warehouses, which lack the computational power or interoperability required by AI algorithms.</w:t>
      </w:r>
    </w:p>
    <w:p w14:paraId="44A9B78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This integration challenge is </w:t>
      </w:r>
      <w:r w:rsidRPr="00B56E99">
        <w:rPr>
          <w:rFonts w:cs="Times New Roman"/>
          <w:szCs w:val="24"/>
        </w:rPr>
        <w:t>compounded by the need for real-time data synchronization, as marketing decisions often depend on dynamic market conditions. Establishing seamless connectivity between AI engines, CRM platforms, and enterprise resource planning (ERP) systems demands not only technical upgrades but</w:t>
      </w:r>
      <w:r w:rsidRPr="000B42CC">
        <w:rPr>
          <w:rFonts w:cs="Times New Roman"/>
          <w:szCs w:val="24"/>
        </w:rPr>
        <w:t xml:space="preserve"> also architectural redesigns.</w:t>
      </w:r>
    </w:p>
    <w:p w14:paraId="3DF1EF3C" w14:textId="58CC4108" w:rsidR="000B42CC" w:rsidRPr="000B42CC" w:rsidRDefault="000B42CC" w:rsidP="008D3809">
      <w:pPr>
        <w:pStyle w:val="Style1"/>
        <w:spacing w:after="0" w:line="360" w:lineRule="auto"/>
        <w:rPr>
          <w:rFonts w:cs="Times New Roman"/>
          <w:szCs w:val="24"/>
        </w:rPr>
      </w:pPr>
      <w:r w:rsidRPr="000B42CC">
        <w:rPr>
          <w:rFonts w:cs="Times New Roman"/>
          <w:szCs w:val="24"/>
        </w:rPr>
        <w:t>Moreover, maintaining AI infrastructure</w:t>
      </w:r>
      <w:r w:rsidR="00BC05E9">
        <w:rPr>
          <w:rFonts w:cs="Times New Roman"/>
          <w:szCs w:val="24"/>
        </w:rPr>
        <w:t xml:space="preserve"> </w:t>
      </w:r>
      <w:r w:rsidRPr="000B42CC">
        <w:rPr>
          <w:rFonts w:cs="Times New Roman"/>
          <w:szCs w:val="24"/>
        </w:rPr>
        <w:t>including machine learning pipelines, data servers, and cybersecurity systems</w:t>
      </w:r>
      <w:r w:rsidR="00BC05E9">
        <w:rPr>
          <w:rFonts w:cs="Times New Roman"/>
          <w:szCs w:val="24"/>
        </w:rPr>
        <w:t xml:space="preserve"> </w:t>
      </w:r>
      <w:r w:rsidRPr="000B42CC">
        <w:rPr>
          <w:rFonts w:cs="Times New Roman"/>
          <w:szCs w:val="24"/>
        </w:rPr>
        <w:t>requires continuous monitoring and resource allocation. For smaller pharmaceutical companies or generic manufacturers, these technological demands can be prohibitively expensive, creating an uneven landscape of AI adoption between multinational firms and mid-sized enterprises.</w:t>
      </w:r>
    </w:p>
    <w:p w14:paraId="436889BD" w14:textId="458086CF" w:rsidR="000B42CC" w:rsidRPr="000B42CC" w:rsidRDefault="000B42CC" w:rsidP="008D3809">
      <w:pPr>
        <w:pStyle w:val="Style1"/>
        <w:spacing w:after="0" w:line="360" w:lineRule="auto"/>
        <w:rPr>
          <w:rFonts w:cs="Times New Roman"/>
          <w:b/>
          <w:szCs w:val="24"/>
        </w:rPr>
      </w:pPr>
      <w:r w:rsidRPr="000B42CC">
        <w:rPr>
          <w:rFonts w:cs="Times New Roman"/>
          <w:b/>
          <w:szCs w:val="24"/>
        </w:rPr>
        <w:t>7.3 Cost and Return on Investment (ROI) Concerns</w:t>
      </w:r>
      <w:r w:rsidR="00A034C4">
        <w:rPr>
          <w:rFonts w:cs="Times New Roman"/>
          <w:b/>
          <w:szCs w:val="24"/>
        </w:rPr>
        <w:t xml:space="preserve"> </w:t>
      </w:r>
      <w:sdt>
        <w:sdtPr>
          <w:rPr>
            <w:rFonts w:cs="Times New Roman"/>
            <w:color w:val="000000"/>
            <w:szCs w:val="24"/>
          </w:rPr>
          <w:tag w:val="MENDELEY_CITATION_v3_eyJjaXRhdGlvbklEIjoiTUVOREVMRVlfQ0lUQVRJT05fYzFhNTgzYTQtZmUxYy00MWE0LTk0YmMtNDJmNGE5OTQ2NDE2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
          <w:id w:val="-741022541"/>
          <w:placeholder>
            <w:docPart w:val="DefaultPlaceholder_-1854013440"/>
          </w:placeholder>
        </w:sdtPr>
        <w:sdtEndPr/>
        <w:sdtContent>
          <w:r w:rsidR="00A034C4" w:rsidRPr="00A034C4">
            <w:rPr>
              <w:rFonts w:cs="Times New Roman"/>
              <w:color w:val="000000"/>
              <w:szCs w:val="24"/>
            </w:rPr>
            <w:t>(30,41)</w:t>
          </w:r>
        </w:sdtContent>
      </w:sdt>
    </w:p>
    <w:p w14:paraId="1C78E84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Despite the proven benefits of AI in </w:t>
      </w:r>
      <w:r w:rsidRPr="00B56E99">
        <w:rPr>
          <w:rFonts w:cs="Times New Roman"/>
          <w:szCs w:val="24"/>
        </w:rPr>
        <w:t>marketing optimization, the financial burden of AI deployment remains a key deterrent. Developing proprietary algorithms, hiring data scientists, training marketing teams, and integrating cloud</w:t>
      </w:r>
      <w:r w:rsidRPr="000B42CC">
        <w:rPr>
          <w:rFonts w:cs="Times New Roman"/>
          <w:szCs w:val="24"/>
        </w:rPr>
        <w:t>-based systems involve significant upfront investment.</w:t>
      </w:r>
    </w:p>
    <w:p w14:paraId="6573FD14" w14:textId="77777777" w:rsidR="000B42CC" w:rsidRPr="000B42CC" w:rsidRDefault="000B42CC" w:rsidP="008D3809">
      <w:pPr>
        <w:pStyle w:val="Style1"/>
        <w:spacing w:after="0" w:line="360" w:lineRule="auto"/>
        <w:rPr>
          <w:rFonts w:cs="Times New Roman"/>
          <w:szCs w:val="24"/>
        </w:rPr>
      </w:pPr>
      <w:r w:rsidRPr="00B56E99">
        <w:rPr>
          <w:rFonts w:cs="Times New Roman"/>
          <w:szCs w:val="24"/>
        </w:rPr>
        <w:t>The ROI from AI systems is often long-term and indirect, particularly in pharmaceutical marketing, where</w:t>
      </w:r>
      <w:r w:rsidRPr="000B42CC">
        <w:rPr>
          <w:rFonts w:cs="Times New Roman"/>
          <w:szCs w:val="24"/>
        </w:rPr>
        <w:t xml:space="preserve"> the impact of promotional strategies on prescription </w:t>
      </w:r>
      <w:proofErr w:type="spellStart"/>
      <w:r w:rsidRPr="000B42CC">
        <w:rPr>
          <w:rFonts w:cs="Times New Roman"/>
          <w:szCs w:val="24"/>
        </w:rPr>
        <w:t>behavior</w:t>
      </w:r>
      <w:proofErr w:type="spellEnd"/>
      <w:r w:rsidRPr="000B42CC">
        <w:rPr>
          <w:rFonts w:cs="Times New Roman"/>
          <w:szCs w:val="24"/>
        </w:rPr>
        <w:t xml:space="preserve"> may take months or years to materialize. This delay challenges the conventional quarterly ROI expectations of marketing departments.</w:t>
      </w:r>
    </w:p>
    <w:p w14:paraId="2DC0C9D3"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Furthermore, subscription-based licensing models for AI tools, combined with data acquisition and regulatory-compliance costs, increase operational expenditure. To justify these costs, pharmaceutical firms </w:t>
      </w:r>
      <w:r w:rsidRPr="00B56E99">
        <w:rPr>
          <w:rFonts w:cs="Times New Roman"/>
          <w:szCs w:val="24"/>
        </w:rPr>
        <w:t>must adopt performance-tracking frameworks that correlate AI-driven marketing actions with measurable business outcomes such as improved physician engagement, reduced campaign waste, or enhanced</w:t>
      </w:r>
      <w:r w:rsidRPr="000B42CC">
        <w:rPr>
          <w:rFonts w:cs="Times New Roman"/>
          <w:szCs w:val="24"/>
        </w:rPr>
        <w:t xml:space="preserve"> sales forecasting accuracy.</w:t>
      </w:r>
    </w:p>
    <w:p w14:paraId="48F47DD0" w14:textId="310D2A69" w:rsidR="000B42CC" w:rsidRPr="000B42CC" w:rsidRDefault="000B42CC" w:rsidP="008D3809">
      <w:pPr>
        <w:pStyle w:val="Style1"/>
        <w:spacing w:after="0" w:line="360" w:lineRule="auto"/>
        <w:rPr>
          <w:rFonts w:cs="Times New Roman"/>
          <w:b/>
          <w:szCs w:val="24"/>
        </w:rPr>
      </w:pPr>
      <w:r w:rsidRPr="000B42CC">
        <w:rPr>
          <w:rFonts w:cs="Times New Roman"/>
          <w:b/>
          <w:szCs w:val="24"/>
        </w:rPr>
        <w:t>7.4 Talent Gap and Organizational Readiness</w:t>
      </w:r>
      <w:r w:rsidR="00A034C4">
        <w:rPr>
          <w:rFonts w:cs="Times New Roman"/>
          <w:b/>
          <w:szCs w:val="24"/>
        </w:rPr>
        <w:t xml:space="preserve"> </w:t>
      </w:r>
      <w:sdt>
        <w:sdtPr>
          <w:rPr>
            <w:rFonts w:cs="Times New Roman"/>
            <w:color w:val="000000"/>
            <w:szCs w:val="24"/>
          </w:rPr>
          <w:tag w:val="MENDELEY_CITATION_v3_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1LjAwNCIsIklTU04iOiIyMjEwMzUzOCIsImlzc3VlZCI6eyJkYXRlLXBhcnRzIjpbWzIwMjUsOSwxXV19LCJwYWdlIjoiNDkxLTUwNSIsInB1Ymxpc2hlciI6IlcuQi4gU2F1bmRlcnMiLCJpc3N1ZSI6IjMiLCJ2b2x1bWUiOiI0MyJ9LCJpc1RlbXBvcmFyeSI6ZmFsc2V9XX0="/>
          <w:id w:val="-586998878"/>
          <w:placeholder>
            <w:docPart w:val="DefaultPlaceholder_-1854013440"/>
          </w:placeholder>
        </w:sdtPr>
        <w:sdtEndPr/>
        <w:sdtContent>
          <w:r w:rsidR="00A034C4" w:rsidRPr="00A034C4">
            <w:rPr>
              <w:rFonts w:cs="Times New Roman"/>
              <w:color w:val="000000"/>
              <w:szCs w:val="24"/>
            </w:rPr>
            <w:t>(32)</w:t>
          </w:r>
        </w:sdtContent>
      </w:sdt>
    </w:p>
    <w:p w14:paraId="668B630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successful deployment of AI </w:t>
      </w:r>
      <w:r w:rsidRPr="00B56E99">
        <w:rPr>
          <w:rFonts w:cs="Times New Roman"/>
          <w:szCs w:val="24"/>
        </w:rPr>
        <w:t>requires a multidisciplinary workforce capable of understanding both data science and pharmaceutical marketing principles. However, there is a global shortage of professionals who possess this</w:t>
      </w:r>
      <w:r w:rsidRPr="000B42CC">
        <w:rPr>
          <w:rFonts w:cs="Times New Roman"/>
          <w:szCs w:val="24"/>
        </w:rPr>
        <w:t xml:space="preserve"> hybrid expertise.</w:t>
      </w:r>
    </w:p>
    <w:p w14:paraId="0C624AC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Many marketing teams lack familiarity with AI concepts, while data scientists often lack understanding of healthcare regulations or promotional ethics. This disconnect can lead to misinterpretation of AI outputs or misalignment between marketing objectives and model design.</w:t>
      </w:r>
    </w:p>
    <w:p w14:paraId="31DA675E" w14:textId="1AD2FB7C" w:rsidR="000B42CC" w:rsidRPr="000B42CC" w:rsidRDefault="000B42CC" w:rsidP="008D3809">
      <w:pPr>
        <w:pStyle w:val="Style1"/>
        <w:spacing w:after="0" w:line="360" w:lineRule="auto"/>
        <w:rPr>
          <w:rFonts w:cs="Times New Roman"/>
          <w:szCs w:val="24"/>
        </w:rPr>
      </w:pPr>
      <w:r w:rsidRPr="000B42CC">
        <w:rPr>
          <w:rFonts w:cs="Times New Roman"/>
          <w:szCs w:val="24"/>
        </w:rPr>
        <w:t xml:space="preserve">Training programs </w:t>
      </w:r>
      <w:r w:rsidRPr="00B56E99">
        <w:rPr>
          <w:rFonts w:cs="Times New Roman"/>
          <w:szCs w:val="24"/>
        </w:rPr>
        <w:t>and cross-functional collaboration between marketing, IT, and compliance teams are essential to bri</w:t>
      </w:r>
      <w:r w:rsidRPr="000B42CC">
        <w:rPr>
          <w:rFonts w:cs="Times New Roman"/>
          <w:szCs w:val="24"/>
        </w:rPr>
        <w:t>dge this gap. Nevertheless, building AI literacy across large organizations is a gradual process. Resistance to change among traditional marketers</w:t>
      </w:r>
      <w:r w:rsidR="00BC05E9">
        <w:rPr>
          <w:rFonts w:cs="Times New Roman"/>
          <w:szCs w:val="24"/>
        </w:rPr>
        <w:t xml:space="preserve"> </w:t>
      </w:r>
      <w:r w:rsidRPr="000B42CC">
        <w:rPr>
          <w:rFonts w:cs="Times New Roman"/>
          <w:szCs w:val="24"/>
        </w:rPr>
        <w:t>accustomed to intuition-driven decisions</w:t>
      </w:r>
      <w:r w:rsidR="00BC05E9">
        <w:rPr>
          <w:rFonts w:cs="Times New Roman"/>
          <w:szCs w:val="24"/>
        </w:rPr>
        <w:t xml:space="preserve"> </w:t>
      </w:r>
      <w:r w:rsidRPr="000B42CC">
        <w:rPr>
          <w:rFonts w:cs="Times New Roman"/>
          <w:szCs w:val="24"/>
        </w:rPr>
        <w:t>further slows adoption.</w:t>
      </w:r>
    </w:p>
    <w:p w14:paraId="22BC3CCB" w14:textId="77777777" w:rsidR="000B42CC" w:rsidRPr="00B56E99" w:rsidRDefault="000B42CC" w:rsidP="008D3809">
      <w:pPr>
        <w:pStyle w:val="Style1"/>
        <w:spacing w:after="0" w:line="360" w:lineRule="auto"/>
        <w:rPr>
          <w:rFonts w:cs="Times New Roman"/>
          <w:szCs w:val="24"/>
        </w:rPr>
      </w:pPr>
      <w:r w:rsidRPr="000B42CC">
        <w:rPr>
          <w:rFonts w:cs="Times New Roman"/>
          <w:szCs w:val="24"/>
        </w:rPr>
        <w:t xml:space="preserve">Organizational readiness also depends on leadership commitment. Without executive sponsorship and cultural acceptance, AI </w:t>
      </w:r>
      <w:r w:rsidRPr="00B56E99">
        <w:rPr>
          <w:rFonts w:cs="Times New Roman"/>
          <w:szCs w:val="24"/>
        </w:rPr>
        <w:t>initiatives risk remaining isolated pilot projects rather than integrated corporate strategies.</w:t>
      </w:r>
    </w:p>
    <w:p w14:paraId="65CF1494" w14:textId="68B40A8B" w:rsidR="000B42CC" w:rsidRPr="000B42CC" w:rsidRDefault="000B42CC" w:rsidP="008D3809">
      <w:pPr>
        <w:pStyle w:val="Style1"/>
        <w:spacing w:after="0" w:line="360" w:lineRule="auto"/>
        <w:rPr>
          <w:rFonts w:cs="Times New Roman"/>
          <w:b/>
          <w:szCs w:val="24"/>
        </w:rPr>
      </w:pPr>
      <w:r w:rsidRPr="000B42CC">
        <w:rPr>
          <w:rFonts w:cs="Times New Roman"/>
          <w:b/>
          <w:szCs w:val="24"/>
        </w:rPr>
        <w:t>7.5 Algorithmic Bias and Lack of Explainability</w:t>
      </w:r>
      <w:r w:rsidR="00A034C4">
        <w:rPr>
          <w:rFonts w:cs="Times New Roman"/>
          <w:b/>
          <w:szCs w:val="24"/>
        </w:rPr>
        <w:t xml:space="preserve"> </w:t>
      </w:r>
      <w:sdt>
        <w:sdtPr>
          <w:rPr>
            <w:rFonts w:cs="Times New Roman"/>
            <w:color w:val="000000"/>
            <w:szCs w:val="24"/>
          </w:rPr>
          <w:tag w:val="MENDELEY_CITATION_v3_eyJjaXRhdGlvbklEIjoiTUVOREVMRVlfQ0lUQVRJT05fZTk0YTQwMTEtNzExMy00NTEzLWE1YjktNmE1NjZlOThjOGNk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
          <w:id w:val="-1656372459"/>
          <w:placeholder>
            <w:docPart w:val="DefaultPlaceholder_-1854013440"/>
          </w:placeholder>
        </w:sdtPr>
        <w:sdtEndPr/>
        <w:sdtContent>
          <w:r w:rsidR="00A034C4" w:rsidRPr="00A034C4">
            <w:rPr>
              <w:rFonts w:cs="Times New Roman"/>
              <w:color w:val="000000"/>
              <w:szCs w:val="24"/>
            </w:rPr>
            <w:t>(33)</w:t>
          </w:r>
        </w:sdtContent>
      </w:sdt>
    </w:p>
    <w:p w14:paraId="545568D3" w14:textId="35F57562" w:rsidR="000B42CC" w:rsidRPr="00B56E99" w:rsidRDefault="000B42CC" w:rsidP="008D3809">
      <w:pPr>
        <w:pStyle w:val="Style1"/>
        <w:spacing w:after="0" w:line="360" w:lineRule="auto"/>
        <w:rPr>
          <w:rFonts w:cs="Times New Roman"/>
          <w:szCs w:val="24"/>
        </w:rPr>
      </w:pPr>
      <w:r w:rsidRPr="000B42CC">
        <w:rPr>
          <w:rFonts w:cs="Times New Roman"/>
          <w:szCs w:val="24"/>
        </w:rPr>
        <w:t xml:space="preserve">AI algorithms can inadvertently inherit biases from the data on which they are trained. In pharmaceutical marketing, this can </w:t>
      </w:r>
      <w:r w:rsidRPr="00B56E99">
        <w:rPr>
          <w:rFonts w:cs="Times New Roman"/>
          <w:szCs w:val="24"/>
        </w:rPr>
        <w:t>result in unequal targeting</w:t>
      </w:r>
      <w:r w:rsidR="00BC05E9" w:rsidRPr="00B56E99">
        <w:rPr>
          <w:rFonts w:cs="Times New Roman"/>
          <w:szCs w:val="24"/>
        </w:rPr>
        <w:t xml:space="preserve"> </w:t>
      </w:r>
      <w:r w:rsidRPr="00B56E99">
        <w:rPr>
          <w:rFonts w:cs="Times New Roman"/>
          <w:szCs w:val="24"/>
        </w:rPr>
        <w:t>for example, overemphasizing urban physicians or high-revenue institutions while neglecting rural or smaller healthcare providers.</w:t>
      </w:r>
    </w:p>
    <w:p w14:paraId="6BA3588A" w14:textId="77777777" w:rsidR="000B42CC" w:rsidRPr="00B56E99" w:rsidRDefault="000B42CC" w:rsidP="008D3809">
      <w:pPr>
        <w:pStyle w:val="Style1"/>
        <w:spacing w:after="0" w:line="360" w:lineRule="auto"/>
        <w:rPr>
          <w:rFonts w:cs="Times New Roman"/>
          <w:szCs w:val="24"/>
        </w:rPr>
      </w:pPr>
      <w:r w:rsidRPr="00B56E99">
        <w:rPr>
          <w:rFonts w:cs="Times New Roman"/>
          <w:szCs w:val="24"/>
        </w:rPr>
        <w:t>Additionally, black-box algorithms often lack transparency in how they generate predictions or segment audiences. This opacity creates compliance risks, as regulatory agencies require clear audit trails for all promotional decisions.</w:t>
      </w:r>
    </w:p>
    <w:p w14:paraId="7488A9EE" w14:textId="77777777" w:rsidR="000B42CC" w:rsidRPr="000B42CC" w:rsidRDefault="000B42CC" w:rsidP="008D3809">
      <w:pPr>
        <w:pStyle w:val="Style1"/>
        <w:spacing w:after="0" w:line="360" w:lineRule="auto"/>
        <w:rPr>
          <w:rFonts w:cs="Times New Roman"/>
          <w:szCs w:val="24"/>
        </w:rPr>
      </w:pPr>
      <w:r w:rsidRPr="00B56E99">
        <w:rPr>
          <w:rFonts w:cs="Times New Roman"/>
          <w:szCs w:val="24"/>
        </w:rPr>
        <w:t>To mitigate these risks, companies must implement Explainable AI (XAI) frameworks that provide interpretable outputs and document the rationale</w:t>
      </w:r>
      <w:r w:rsidRPr="000B42CC">
        <w:rPr>
          <w:rFonts w:cs="Times New Roman"/>
          <w:szCs w:val="24"/>
        </w:rPr>
        <w:t xml:space="preserve"> behind algorithmic decisions. Routine audits and bias assessments should be incorporated into the AI governance structure to ensure fairness and accountability.</w:t>
      </w:r>
    </w:p>
    <w:p w14:paraId="2D4D5F1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7.6 Ethical and Regulatory Ambiguity</w:t>
      </w:r>
    </w:p>
    <w:p w14:paraId="0C45FEC7" w14:textId="77777777" w:rsidR="000B42CC" w:rsidRPr="00B56E99" w:rsidRDefault="000B42CC" w:rsidP="008D3809">
      <w:pPr>
        <w:pStyle w:val="Style1"/>
        <w:spacing w:after="0" w:line="360" w:lineRule="auto"/>
        <w:rPr>
          <w:rFonts w:cs="Times New Roman"/>
          <w:bCs w:val="0"/>
          <w:szCs w:val="24"/>
        </w:rPr>
      </w:pPr>
      <w:r w:rsidRPr="000B42CC">
        <w:rPr>
          <w:rFonts w:cs="Times New Roman"/>
          <w:szCs w:val="24"/>
        </w:rPr>
        <w:lastRenderedPageBreak/>
        <w:t xml:space="preserve">Regulatory agencies worldwide are still developing guidelines for AI applications in marketing, resulting in </w:t>
      </w:r>
      <w:r w:rsidRPr="00B56E99">
        <w:rPr>
          <w:rFonts w:cs="Times New Roman"/>
          <w:bCs w:val="0"/>
          <w:szCs w:val="24"/>
        </w:rPr>
        <w:t>uncertainty and inconsistency across jurisdictions. While the U.S. FDA, EMA, and India’s CDSCO have well-defined frameworks for digital health tools, explicit regulations for AI-based promotional systems remain limited.</w:t>
      </w:r>
    </w:p>
    <w:p w14:paraId="744BD0B6" w14:textId="77777777" w:rsidR="000B42CC" w:rsidRPr="00B56E99" w:rsidRDefault="000B42CC" w:rsidP="008D3809">
      <w:pPr>
        <w:pStyle w:val="Style1"/>
        <w:spacing w:after="0" w:line="360" w:lineRule="auto"/>
        <w:rPr>
          <w:rFonts w:cs="Times New Roman"/>
          <w:bCs w:val="0"/>
          <w:szCs w:val="24"/>
        </w:rPr>
      </w:pPr>
      <w:r w:rsidRPr="00B56E99">
        <w:rPr>
          <w:rFonts w:cs="Times New Roman"/>
          <w:bCs w:val="0"/>
          <w:szCs w:val="24"/>
        </w:rPr>
        <w:t>This ambiguity places the responsibility for ethical compliance primarily on companies themselves. Organizations must establish internal AI ethics boards or compliance committees to review data sources, model outputs, and communication practices before deployment.</w:t>
      </w:r>
    </w:p>
    <w:p w14:paraId="1B92CDB5" w14:textId="677AC628" w:rsidR="000B42CC" w:rsidRPr="000B42CC" w:rsidRDefault="000B42CC" w:rsidP="008D3809">
      <w:pPr>
        <w:pStyle w:val="Style1"/>
        <w:spacing w:after="0" w:line="360" w:lineRule="auto"/>
        <w:rPr>
          <w:rFonts w:cs="Times New Roman"/>
          <w:szCs w:val="24"/>
        </w:rPr>
      </w:pPr>
      <w:r w:rsidRPr="00B56E99">
        <w:rPr>
          <w:rFonts w:cs="Times New Roman"/>
          <w:bCs w:val="0"/>
          <w:szCs w:val="24"/>
        </w:rPr>
        <w:t>Another concern is regulatory lag</w:t>
      </w:r>
      <w:r w:rsidR="00BC05E9" w:rsidRPr="00B56E99">
        <w:rPr>
          <w:rFonts w:cs="Times New Roman"/>
          <w:bCs w:val="0"/>
          <w:szCs w:val="24"/>
        </w:rPr>
        <w:t xml:space="preserve"> </w:t>
      </w:r>
      <w:r w:rsidRPr="00B56E99">
        <w:rPr>
          <w:rFonts w:cs="Times New Roman"/>
          <w:bCs w:val="0"/>
          <w:szCs w:val="24"/>
        </w:rPr>
        <w:t>technology often evolves faster than the laws governing it. For example, generative AI models</w:t>
      </w:r>
      <w:r w:rsidRPr="000B42CC">
        <w:rPr>
          <w:rFonts w:cs="Times New Roman"/>
          <w:szCs w:val="24"/>
        </w:rPr>
        <w:t xml:space="preserve"> capable of producing marketing content raise new questions about authorship, liability, and message authenticity. Without clear regulatory guidance, companies risk unintentional violations of promotional ethics.</w:t>
      </w:r>
    </w:p>
    <w:p w14:paraId="5BE5CBD4"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7.7 Cultural and Ethical Resistance</w:t>
      </w:r>
    </w:p>
    <w:p w14:paraId="19C973E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adoption also </w:t>
      </w:r>
      <w:r w:rsidRPr="00B56E99">
        <w:rPr>
          <w:rFonts w:cs="Times New Roman"/>
          <w:szCs w:val="24"/>
        </w:rPr>
        <w:t>encounters cultural resistance within organizations. Traditional marketing models are human-centric,</w:t>
      </w:r>
      <w:r w:rsidRPr="000B42CC">
        <w:rPr>
          <w:rFonts w:cs="Times New Roman"/>
          <w:szCs w:val="24"/>
        </w:rPr>
        <w:t xml:space="preserve"> emphasizing personal relationships and intuition. The introduction of algorithmic decision-making may create </w:t>
      </w:r>
      <w:proofErr w:type="spellStart"/>
      <w:r w:rsidRPr="000B42CC">
        <w:rPr>
          <w:rFonts w:cs="Times New Roman"/>
          <w:szCs w:val="24"/>
        </w:rPr>
        <w:t>skepticism</w:t>
      </w:r>
      <w:proofErr w:type="spellEnd"/>
      <w:r w:rsidRPr="000B42CC">
        <w:rPr>
          <w:rFonts w:cs="Times New Roman"/>
          <w:szCs w:val="24"/>
        </w:rPr>
        <w:t xml:space="preserve"> or fear of replacement among marketing professionals.</w:t>
      </w:r>
    </w:p>
    <w:p w14:paraId="606F8635" w14:textId="4A31BEFF"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 address this, companies </w:t>
      </w:r>
      <w:r w:rsidRPr="00B56E99">
        <w:rPr>
          <w:rFonts w:cs="Times New Roman"/>
          <w:szCs w:val="24"/>
        </w:rPr>
        <w:t>must position AI as a collaborative tool, not a substitute for human intelligence. Clear communication about</w:t>
      </w:r>
      <w:r w:rsidRPr="000B42CC">
        <w:rPr>
          <w:rFonts w:cs="Times New Roman"/>
          <w:szCs w:val="24"/>
        </w:rPr>
        <w:t xml:space="preserve"> AI’s role</w:t>
      </w:r>
      <w:r w:rsidR="00BC05E9">
        <w:rPr>
          <w:rFonts w:cs="Times New Roman"/>
          <w:szCs w:val="24"/>
        </w:rPr>
        <w:t xml:space="preserve"> </w:t>
      </w:r>
      <w:r w:rsidRPr="000B42CC">
        <w:rPr>
          <w:rFonts w:cs="Times New Roman"/>
          <w:szCs w:val="24"/>
        </w:rPr>
        <w:t>augmenting decision-making rather than replacing creativity</w:t>
      </w:r>
      <w:r w:rsidR="00BC05E9">
        <w:rPr>
          <w:rFonts w:cs="Times New Roman"/>
          <w:szCs w:val="24"/>
        </w:rPr>
        <w:t xml:space="preserve"> </w:t>
      </w:r>
      <w:r w:rsidRPr="000B42CC">
        <w:rPr>
          <w:rFonts w:cs="Times New Roman"/>
          <w:szCs w:val="24"/>
        </w:rPr>
        <w:t>is essential to foster acceptance.</w:t>
      </w:r>
    </w:p>
    <w:p w14:paraId="317C88A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Ethically, marketers must remain vigilant to ensure that AI-driven personalization does not cross into manipulation or over-promotion. Respecting physician autonomy and patient privacy remains paramount. Maintaining this ethical equilibrium is a continuous challenge as AI systems become more persuasive and adaptive.</w:t>
      </w:r>
    </w:p>
    <w:p w14:paraId="001461FB" w14:textId="0196381B" w:rsidR="000B42CC" w:rsidRPr="000B42CC" w:rsidRDefault="000B42CC" w:rsidP="008D3809">
      <w:pPr>
        <w:pStyle w:val="Style1"/>
        <w:spacing w:after="0" w:line="360" w:lineRule="auto"/>
        <w:rPr>
          <w:rFonts w:cs="Times New Roman"/>
          <w:b/>
          <w:szCs w:val="24"/>
        </w:rPr>
      </w:pPr>
      <w:r w:rsidRPr="000B42CC">
        <w:rPr>
          <w:rFonts w:cs="Times New Roman"/>
          <w:b/>
          <w:szCs w:val="24"/>
        </w:rPr>
        <w:t>7.8 Interoperability and Standardization Challenges</w:t>
      </w:r>
      <w:r w:rsidR="00A034C4">
        <w:rPr>
          <w:rFonts w:cs="Times New Roman"/>
          <w:b/>
          <w:szCs w:val="24"/>
        </w:rPr>
        <w:t xml:space="preserve"> </w:t>
      </w:r>
      <w:sdt>
        <w:sdtPr>
          <w:rPr>
            <w:rFonts w:cs="Times New Roman"/>
            <w:color w:val="000000"/>
            <w:szCs w:val="24"/>
          </w:rPr>
          <w:tag w:val="MENDELEY_CITATION_v3_eyJjaXRhdGlvbklEIjoiTUVOREVMRVlfQ0lUQVRJT05fNzU3NGFlZmItYWUzYy00OWQ3LTliZWUtZTZiMDZiZmQzODM2IiwicHJvcGVydGllcyI6eyJub3RlSW5kZXgiOjB9LCJpc0VkaXRlZCI6ZmFsc2UsIm1hbnVhbE92ZXJyaWRlIjp7ImlzTWFudWFsbHlPdmVycmlkZGVuIjpmYWxzZSwiY2l0ZXByb2NUZXh0IjoiKDEw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XX0="/>
          <w:id w:val="-1401831320"/>
          <w:placeholder>
            <w:docPart w:val="DefaultPlaceholder_-1854013440"/>
          </w:placeholder>
        </w:sdtPr>
        <w:sdtEndPr/>
        <w:sdtContent>
          <w:r w:rsidR="00A034C4" w:rsidRPr="00A034C4">
            <w:rPr>
              <w:rFonts w:cs="Times New Roman"/>
              <w:color w:val="000000"/>
              <w:szCs w:val="24"/>
            </w:rPr>
            <w:t>(10)</w:t>
          </w:r>
        </w:sdtContent>
      </w:sdt>
    </w:p>
    <w:p w14:paraId="28FF833F" w14:textId="77777777" w:rsidR="000B42CC" w:rsidRPr="00BC05E9" w:rsidRDefault="000B42CC" w:rsidP="008D3809">
      <w:pPr>
        <w:pStyle w:val="Style1"/>
        <w:spacing w:after="0" w:line="360" w:lineRule="auto"/>
        <w:rPr>
          <w:rFonts w:cs="Times New Roman"/>
          <w:szCs w:val="24"/>
        </w:rPr>
      </w:pPr>
      <w:r w:rsidRPr="000B42CC">
        <w:rPr>
          <w:rFonts w:cs="Times New Roman"/>
          <w:szCs w:val="24"/>
        </w:rPr>
        <w:t xml:space="preserve">Pharmaceutical AI marketing platforms often </w:t>
      </w:r>
      <w:r w:rsidRPr="00BC05E9">
        <w:rPr>
          <w:rFonts w:cs="Times New Roman"/>
          <w:szCs w:val="24"/>
        </w:rPr>
        <w:t>operate in non-standardized environments, where data schemas, coding systems, and terminologies differ across markets and regions. For example, prescription codes in Europe differ from those in Asia, complicating cross-market analytics.</w:t>
      </w:r>
    </w:p>
    <w:p w14:paraId="6D5AD00B" w14:textId="77777777" w:rsidR="000B42CC" w:rsidRPr="00BC05E9" w:rsidRDefault="000B42CC" w:rsidP="008D3809">
      <w:pPr>
        <w:pStyle w:val="Style1"/>
        <w:spacing w:after="0" w:line="360" w:lineRule="auto"/>
        <w:rPr>
          <w:rFonts w:cs="Times New Roman"/>
          <w:szCs w:val="24"/>
        </w:rPr>
      </w:pPr>
      <w:r w:rsidRPr="00BC05E9">
        <w:rPr>
          <w:rFonts w:cs="Times New Roman"/>
          <w:szCs w:val="24"/>
        </w:rPr>
        <w:t>The lack of interoperability standards hinders scalability and global consistency of AI solutions. International organizations such as the International Medical Device Regulators Forum (IMDRF) and International Organization for Standardization (ISO) are now working toward global AI standardization, but widespread implementation remains years away.</w:t>
      </w:r>
    </w:p>
    <w:p w14:paraId="4FEC1A66" w14:textId="4B0A32E4" w:rsidR="000B42CC" w:rsidRPr="00BC05E9" w:rsidRDefault="000B42CC" w:rsidP="008D3809">
      <w:pPr>
        <w:pStyle w:val="Style1"/>
        <w:spacing w:after="0" w:line="360" w:lineRule="auto"/>
        <w:rPr>
          <w:rFonts w:cs="Times New Roman"/>
          <w:szCs w:val="24"/>
        </w:rPr>
      </w:pPr>
      <w:r w:rsidRPr="00BC05E9">
        <w:rPr>
          <w:rFonts w:cs="Times New Roman"/>
          <w:szCs w:val="24"/>
        </w:rPr>
        <w:t>Until universal interoperability frameworks are established, multinational companies must rely on customized, market-specific AI models</w:t>
      </w:r>
      <w:r w:rsidR="00BC05E9" w:rsidRPr="00BC05E9">
        <w:rPr>
          <w:rFonts w:cs="Times New Roman"/>
          <w:szCs w:val="24"/>
        </w:rPr>
        <w:t xml:space="preserve"> </w:t>
      </w:r>
      <w:r w:rsidRPr="00BC05E9">
        <w:rPr>
          <w:rFonts w:cs="Times New Roman"/>
          <w:szCs w:val="24"/>
        </w:rPr>
        <w:t>leading to redundancy and higher costs.</w:t>
      </w:r>
    </w:p>
    <w:p w14:paraId="19504C7C" w14:textId="4EA1F07C" w:rsidR="000B42CC" w:rsidRPr="000B42CC" w:rsidRDefault="000B42CC" w:rsidP="008D3809">
      <w:pPr>
        <w:pStyle w:val="Style1"/>
        <w:spacing w:after="0" w:line="360" w:lineRule="auto"/>
        <w:rPr>
          <w:rFonts w:cs="Times New Roman"/>
          <w:b/>
          <w:szCs w:val="24"/>
        </w:rPr>
      </w:pPr>
      <w:r w:rsidRPr="000B42CC">
        <w:rPr>
          <w:rFonts w:cs="Times New Roman"/>
          <w:b/>
          <w:szCs w:val="24"/>
        </w:rPr>
        <w:lastRenderedPageBreak/>
        <w:t>7.9 Continuous Monitoring and Model Drift</w:t>
      </w:r>
      <w:r w:rsidR="00A034C4">
        <w:rPr>
          <w:rFonts w:cs="Times New Roman"/>
          <w:b/>
          <w:szCs w:val="24"/>
        </w:rPr>
        <w:t xml:space="preserve"> </w:t>
      </w:r>
      <w:sdt>
        <w:sdtPr>
          <w:rPr>
            <w:rFonts w:cs="Times New Roman"/>
            <w:color w:val="000000"/>
            <w:szCs w:val="24"/>
          </w:rPr>
          <w:tag w:val="MENDELEY_CITATION_v3_eyJjaXRhdGlvbklEIjoiTUVOREVMRVlfQ0lUQVRJT05fZjVmMTM4MjItMDhmNS00MGQ4LWFmMzMtYjMyNWIyNjZhMzNh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
          <w:id w:val="1116566445"/>
          <w:placeholder>
            <w:docPart w:val="DefaultPlaceholder_-1854013440"/>
          </w:placeholder>
        </w:sdtPr>
        <w:sdtEndPr/>
        <w:sdtContent>
          <w:r w:rsidR="00A034C4" w:rsidRPr="00A034C4">
            <w:rPr>
              <w:rFonts w:cs="Times New Roman"/>
              <w:color w:val="000000"/>
              <w:szCs w:val="24"/>
            </w:rPr>
            <w:t>(34)</w:t>
          </w:r>
        </w:sdtContent>
      </w:sdt>
    </w:p>
    <w:p w14:paraId="3892E75F" w14:textId="37AC918D"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models evolve over time as new data become available, but if not regularly updated, they may experience </w:t>
      </w:r>
      <w:r w:rsidRPr="00BC05E9">
        <w:rPr>
          <w:rFonts w:cs="Times New Roman"/>
          <w:bCs w:val="0"/>
          <w:szCs w:val="24"/>
        </w:rPr>
        <w:t>model drift</w:t>
      </w:r>
      <w:r w:rsidR="00BC05E9" w:rsidRPr="00BC05E9">
        <w:rPr>
          <w:rFonts w:cs="Times New Roman"/>
          <w:bCs w:val="0"/>
          <w:szCs w:val="24"/>
        </w:rPr>
        <w:t xml:space="preserve"> </w:t>
      </w:r>
      <w:r w:rsidRPr="00BC05E9">
        <w:rPr>
          <w:rFonts w:cs="Times New Roman"/>
          <w:bCs w:val="0"/>
          <w:szCs w:val="24"/>
        </w:rPr>
        <w:t>a gradual</w:t>
      </w:r>
      <w:r w:rsidRPr="000B42CC">
        <w:rPr>
          <w:rFonts w:cs="Times New Roman"/>
          <w:szCs w:val="24"/>
        </w:rPr>
        <w:t xml:space="preserve"> decline in predictive accuracy. In pharmaceutical marketing, this can lead to incorrect targeting, flawed forecasts, or irrelevant content recommendations.</w:t>
      </w:r>
    </w:p>
    <w:p w14:paraId="76C2F56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Continuous model validation and retraining are essential to sustain performance. However, this requires dedicated teams, robust monitoring systems, and ethical review checkpoints. Smaller organizations often lack the resources to maintain such continuous optimization cycles.</w:t>
      </w:r>
    </w:p>
    <w:p w14:paraId="535A49FF" w14:textId="70747FBD" w:rsidR="000B42CC" w:rsidRPr="000B42CC" w:rsidRDefault="000B42CC" w:rsidP="008D3809">
      <w:pPr>
        <w:pStyle w:val="Style1"/>
        <w:spacing w:after="0" w:line="360" w:lineRule="auto"/>
        <w:rPr>
          <w:rFonts w:cs="Times New Roman"/>
          <w:b/>
          <w:szCs w:val="24"/>
        </w:rPr>
      </w:pPr>
      <w:r w:rsidRPr="000B42CC">
        <w:rPr>
          <w:rFonts w:cs="Times New Roman"/>
          <w:b/>
          <w:szCs w:val="24"/>
        </w:rPr>
        <w:t>7.10 Summary of Challenges</w:t>
      </w:r>
      <w:r w:rsidR="00A034C4">
        <w:rPr>
          <w:rFonts w:cs="Times New Roman"/>
          <w:b/>
          <w:szCs w:val="24"/>
        </w:rPr>
        <w:t xml:space="preserve"> </w:t>
      </w:r>
      <w:sdt>
        <w:sdtPr>
          <w:rPr>
            <w:rFonts w:cs="Times New Roman"/>
            <w:color w:val="000000"/>
            <w:szCs w:val="24"/>
          </w:rPr>
          <w:tag w:val="MENDELEY_CITATION_v3_eyJjaXRhdGlvbklEIjoiTUVOREVMRVlfQ0lUQVRJT05fYzE4YzNjOWItMWZjYy00YTkyLWJkZmMtMDE5MTk1MTdkMmQ4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
          <w:id w:val="-1397891945"/>
          <w:placeholder>
            <w:docPart w:val="DefaultPlaceholder_-1854013440"/>
          </w:placeholder>
        </w:sdtPr>
        <w:sdtEndPr/>
        <w:sdtContent>
          <w:r w:rsidR="00A034C4" w:rsidRPr="00A034C4">
            <w:rPr>
              <w:rFonts w:cs="Times New Roman"/>
              <w:color w:val="000000"/>
              <w:szCs w:val="24"/>
            </w:rPr>
            <w:t>(34)</w:t>
          </w:r>
        </w:sdtContent>
      </w:sdt>
    </w:p>
    <w:tbl>
      <w:tblPr>
        <w:tblStyle w:val="TableGrid"/>
        <w:tblW w:w="0" w:type="auto"/>
        <w:tblLook w:val="04A0" w:firstRow="1" w:lastRow="0" w:firstColumn="1" w:lastColumn="0" w:noHBand="0" w:noVBand="1"/>
      </w:tblPr>
      <w:tblGrid>
        <w:gridCol w:w="2309"/>
        <w:gridCol w:w="2662"/>
        <w:gridCol w:w="4271"/>
      </w:tblGrid>
      <w:tr w:rsidR="000B42CC" w:rsidRPr="000B42CC" w14:paraId="3676C8D9" w14:textId="77777777" w:rsidTr="000B42CC">
        <w:tc>
          <w:tcPr>
            <w:tcW w:w="0" w:type="auto"/>
            <w:vAlign w:val="center"/>
            <w:hideMark/>
          </w:tcPr>
          <w:p w14:paraId="49D5A1FD"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Challenge</w:t>
            </w:r>
          </w:p>
        </w:tc>
        <w:tc>
          <w:tcPr>
            <w:tcW w:w="0" w:type="auto"/>
            <w:vAlign w:val="center"/>
            <w:hideMark/>
          </w:tcPr>
          <w:p w14:paraId="23B44566"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Impact</w:t>
            </w:r>
          </w:p>
        </w:tc>
        <w:tc>
          <w:tcPr>
            <w:tcW w:w="0" w:type="auto"/>
            <w:vAlign w:val="center"/>
            <w:hideMark/>
          </w:tcPr>
          <w:p w14:paraId="55D70F67"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Mitigation Strategy</w:t>
            </w:r>
          </w:p>
        </w:tc>
      </w:tr>
      <w:tr w:rsidR="000B42CC" w:rsidRPr="000B42CC" w14:paraId="0FCFE493" w14:textId="77777777" w:rsidTr="000B42CC">
        <w:tc>
          <w:tcPr>
            <w:tcW w:w="0" w:type="auto"/>
            <w:vAlign w:val="center"/>
            <w:hideMark/>
          </w:tcPr>
          <w:p w14:paraId="0603EBED"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Data fragmentation</w:t>
            </w:r>
          </w:p>
        </w:tc>
        <w:tc>
          <w:tcPr>
            <w:tcW w:w="0" w:type="auto"/>
            <w:vAlign w:val="center"/>
            <w:hideMark/>
          </w:tcPr>
          <w:p w14:paraId="5F7E9453"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Reduces accuracy of insights</w:t>
            </w:r>
          </w:p>
        </w:tc>
        <w:tc>
          <w:tcPr>
            <w:tcW w:w="0" w:type="auto"/>
            <w:vAlign w:val="center"/>
            <w:hideMark/>
          </w:tcPr>
          <w:p w14:paraId="160D1AF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Implement centralized data lakes and governance frameworks</w:t>
            </w:r>
          </w:p>
        </w:tc>
      </w:tr>
      <w:tr w:rsidR="000B42CC" w:rsidRPr="000B42CC" w14:paraId="4B77A7F8" w14:textId="77777777" w:rsidTr="000B42CC">
        <w:tc>
          <w:tcPr>
            <w:tcW w:w="0" w:type="auto"/>
            <w:vAlign w:val="center"/>
            <w:hideMark/>
          </w:tcPr>
          <w:p w14:paraId="35809E64"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Integration complexity</w:t>
            </w:r>
          </w:p>
        </w:tc>
        <w:tc>
          <w:tcPr>
            <w:tcW w:w="0" w:type="auto"/>
            <w:vAlign w:val="center"/>
            <w:hideMark/>
          </w:tcPr>
          <w:p w14:paraId="224924A4"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Limits scalability</w:t>
            </w:r>
          </w:p>
        </w:tc>
        <w:tc>
          <w:tcPr>
            <w:tcW w:w="0" w:type="auto"/>
            <w:vAlign w:val="center"/>
            <w:hideMark/>
          </w:tcPr>
          <w:p w14:paraId="6B0F77E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Upgrade legacy systems; use API-based architectures</w:t>
            </w:r>
          </w:p>
        </w:tc>
      </w:tr>
      <w:tr w:rsidR="000B42CC" w:rsidRPr="000B42CC" w14:paraId="180C7827" w14:textId="77777777" w:rsidTr="000B42CC">
        <w:tc>
          <w:tcPr>
            <w:tcW w:w="0" w:type="auto"/>
            <w:vAlign w:val="center"/>
            <w:hideMark/>
          </w:tcPr>
          <w:p w14:paraId="4873A0D9"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High implementation cost</w:t>
            </w:r>
          </w:p>
        </w:tc>
        <w:tc>
          <w:tcPr>
            <w:tcW w:w="0" w:type="auto"/>
            <w:vAlign w:val="center"/>
            <w:hideMark/>
          </w:tcPr>
          <w:p w14:paraId="16EE70D0"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Slows adoption</w:t>
            </w:r>
          </w:p>
        </w:tc>
        <w:tc>
          <w:tcPr>
            <w:tcW w:w="0" w:type="auto"/>
            <w:vAlign w:val="center"/>
            <w:hideMark/>
          </w:tcPr>
          <w:p w14:paraId="546A961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Adopt phased AI deployment; measure incremental ROI</w:t>
            </w:r>
          </w:p>
        </w:tc>
      </w:tr>
      <w:tr w:rsidR="000B42CC" w:rsidRPr="000B42CC" w14:paraId="1D664A78" w14:textId="77777777" w:rsidTr="000B42CC">
        <w:tc>
          <w:tcPr>
            <w:tcW w:w="0" w:type="auto"/>
            <w:vAlign w:val="center"/>
            <w:hideMark/>
          </w:tcPr>
          <w:p w14:paraId="316A1F73"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Talent gap</w:t>
            </w:r>
          </w:p>
        </w:tc>
        <w:tc>
          <w:tcPr>
            <w:tcW w:w="0" w:type="auto"/>
            <w:vAlign w:val="center"/>
            <w:hideMark/>
          </w:tcPr>
          <w:p w14:paraId="4F4549D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Misalignment of strategy</w:t>
            </w:r>
          </w:p>
        </w:tc>
        <w:tc>
          <w:tcPr>
            <w:tcW w:w="0" w:type="auto"/>
            <w:vAlign w:val="center"/>
            <w:hideMark/>
          </w:tcPr>
          <w:p w14:paraId="302F308C"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Upskill teams; foster cross-functional collaboration</w:t>
            </w:r>
          </w:p>
        </w:tc>
      </w:tr>
      <w:tr w:rsidR="000B42CC" w:rsidRPr="000B42CC" w14:paraId="7CBCF0FC" w14:textId="77777777" w:rsidTr="000B42CC">
        <w:tc>
          <w:tcPr>
            <w:tcW w:w="0" w:type="auto"/>
            <w:vAlign w:val="center"/>
            <w:hideMark/>
          </w:tcPr>
          <w:p w14:paraId="7843AEBD"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Algorithmic bias</w:t>
            </w:r>
          </w:p>
        </w:tc>
        <w:tc>
          <w:tcPr>
            <w:tcW w:w="0" w:type="auto"/>
            <w:vAlign w:val="center"/>
            <w:hideMark/>
          </w:tcPr>
          <w:p w14:paraId="57937DFF"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Ethical and compliance risk</w:t>
            </w:r>
          </w:p>
        </w:tc>
        <w:tc>
          <w:tcPr>
            <w:tcW w:w="0" w:type="auto"/>
            <w:vAlign w:val="center"/>
            <w:hideMark/>
          </w:tcPr>
          <w:p w14:paraId="50558ADC"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Conduct fairness audits; implement explainable AI</w:t>
            </w:r>
          </w:p>
        </w:tc>
      </w:tr>
      <w:tr w:rsidR="000B42CC" w:rsidRPr="000B42CC" w14:paraId="1794EF02" w14:textId="77777777" w:rsidTr="000B42CC">
        <w:tc>
          <w:tcPr>
            <w:tcW w:w="0" w:type="auto"/>
            <w:vAlign w:val="center"/>
            <w:hideMark/>
          </w:tcPr>
          <w:p w14:paraId="7775F64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Regulatory ambiguity</w:t>
            </w:r>
          </w:p>
        </w:tc>
        <w:tc>
          <w:tcPr>
            <w:tcW w:w="0" w:type="auto"/>
            <w:vAlign w:val="center"/>
            <w:hideMark/>
          </w:tcPr>
          <w:p w14:paraId="03769A1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Compliance uncertainty</w:t>
            </w:r>
          </w:p>
        </w:tc>
        <w:tc>
          <w:tcPr>
            <w:tcW w:w="0" w:type="auto"/>
            <w:vAlign w:val="center"/>
            <w:hideMark/>
          </w:tcPr>
          <w:p w14:paraId="78029ED9"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Establish internal AI ethics committees</w:t>
            </w:r>
          </w:p>
        </w:tc>
      </w:tr>
      <w:tr w:rsidR="000B42CC" w:rsidRPr="000B42CC" w14:paraId="6865669A" w14:textId="77777777" w:rsidTr="000B42CC">
        <w:tc>
          <w:tcPr>
            <w:tcW w:w="0" w:type="auto"/>
            <w:vAlign w:val="center"/>
            <w:hideMark/>
          </w:tcPr>
          <w:p w14:paraId="47A1E31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Cultural resistance</w:t>
            </w:r>
          </w:p>
        </w:tc>
        <w:tc>
          <w:tcPr>
            <w:tcW w:w="0" w:type="auto"/>
            <w:vAlign w:val="center"/>
            <w:hideMark/>
          </w:tcPr>
          <w:p w14:paraId="2891A82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Slows transformation</w:t>
            </w:r>
          </w:p>
        </w:tc>
        <w:tc>
          <w:tcPr>
            <w:tcW w:w="0" w:type="auto"/>
            <w:vAlign w:val="center"/>
            <w:hideMark/>
          </w:tcPr>
          <w:p w14:paraId="76EC758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Promote AI as an augmentative tool</w:t>
            </w:r>
          </w:p>
        </w:tc>
      </w:tr>
      <w:tr w:rsidR="000B42CC" w:rsidRPr="000B42CC" w14:paraId="415EC05F" w14:textId="77777777" w:rsidTr="000B42CC">
        <w:tc>
          <w:tcPr>
            <w:tcW w:w="0" w:type="auto"/>
            <w:vAlign w:val="center"/>
            <w:hideMark/>
          </w:tcPr>
          <w:p w14:paraId="151E0262"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Model drift</w:t>
            </w:r>
          </w:p>
        </w:tc>
        <w:tc>
          <w:tcPr>
            <w:tcW w:w="0" w:type="auto"/>
            <w:vAlign w:val="center"/>
            <w:hideMark/>
          </w:tcPr>
          <w:p w14:paraId="3B4E1450"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Degrades performance over time</w:t>
            </w:r>
          </w:p>
        </w:tc>
        <w:tc>
          <w:tcPr>
            <w:tcW w:w="0" w:type="auto"/>
            <w:vAlign w:val="center"/>
            <w:hideMark/>
          </w:tcPr>
          <w:p w14:paraId="3D6E0912"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Regular retraining and validation</w:t>
            </w:r>
          </w:p>
        </w:tc>
      </w:tr>
    </w:tbl>
    <w:p w14:paraId="6B06C544" w14:textId="02500D42" w:rsidR="000B42CC" w:rsidRPr="00CE5DAC" w:rsidRDefault="00A2437E" w:rsidP="008D3809">
      <w:pPr>
        <w:pStyle w:val="Style1"/>
        <w:spacing w:after="0" w:line="360" w:lineRule="auto"/>
        <w:rPr>
          <w:rFonts w:cs="Times New Roman"/>
          <w:b/>
          <w:bCs w:val="0"/>
          <w:szCs w:val="24"/>
        </w:rPr>
      </w:pPr>
      <w:r w:rsidRPr="00CE5DAC">
        <w:rPr>
          <w:rFonts w:cs="Times New Roman"/>
          <w:b/>
          <w:bCs w:val="0"/>
          <w:szCs w:val="24"/>
        </w:rPr>
        <w:t xml:space="preserve">Table 1 </w:t>
      </w:r>
      <w:r w:rsidR="00CE5DAC" w:rsidRPr="00CE5DAC">
        <w:rPr>
          <w:rFonts w:cs="Times New Roman"/>
          <w:b/>
          <w:bCs w:val="0"/>
          <w:szCs w:val="24"/>
        </w:rPr>
        <w:t>–</w:t>
      </w:r>
      <w:r w:rsidRPr="00CE5DAC">
        <w:rPr>
          <w:rFonts w:cs="Times New Roman"/>
          <w:b/>
          <w:bCs w:val="0"/>
          <w:szCs w:val="24"/>
        </w:rPr>
        <w:t xml:space="preserve"> </w:t>
      </w:r>
      <w:r w:rsidR="00CE5DAC" w:rsidRPr="00CE5DAC">
        <w:rPr>
          <w:rFonts w:cs="Times New Roman"/>
          <w:b/>
          <w:bCs w:val="0"/>
          <w:szCs w:val="24"/>
        </w:rPr>
        <w:t xml:space="preserve">Challenges of AI and </w:t>
      </w:r>
      <w:r w:rsidR="00D871D3" w:rsidRPr="00CE5DAC">
        <w:rPr>
          <w:rFonts w:cs="Times New Roman"/>
          <w:b/>
          <w:bCs w:val="0"/>
          <w:szCs w:val="24"/>
        </w:rPr>
        <w:t xml:space="preserve">mitigation strategies </w:t>
      </w:r>
    </w:p>
    <w:p w14:paraId="62E2FC9D" w14:textId="4B659FD1" w:rsidR="000B42CC" w:rsidRPr="00BC05E9" w:rsidRDefault="000B42CC" w:rsidP="008D3809">
      <w:pPr>
        <w:pStyle w:val="Style1"/>
        <w:spacing w:after="0" w:line="360" w:lineRule="auto"/>
        <w:rPr>
          <w:rFonts w:cs="Times New Roman"/>
          <w:szCs w:val="24"/>
        </w:rPr>
      </w:pPr>
      <w:r w:rsidRPr="000B42CC">
        <w:rPr>
          <w:rFonts w:cs="Times New Roman"/>
          <w:szCs w:val="24"/>
        </w:rPr>
        <w:t>The challenges and limitations of AI in pharmaceutical marketing reflect the complexities of integrating cutting-edge technology into a highly regulated, ethically sensitive sector. Overcoming these barriers requires a balanced approach</w:t>
      </w:r>
      <w:r w:rsidR="00BC05E9">
        <w:rPr>
          <w:rFonts w:cs="Times New Roman"/>
          <w:szCs w:val="24"/>
        </w:rPr>
        <w:t xml:space="preserve"> </w:t>
      </w:r>
      <w:r w:rsidRPr="000B42CC">
        <w:rPr>
          <w:rFonts w:cs="Times New Roman"/>
          <w:szCs w:val="24"/>
        </w:rPr>
        <w:t xml:space="preserve">combining robust technical infrastructure with strong </w:t>
      </w:r>
      <w:r w:rsidRPr="00BC05E9">
        <w:rPr>
          <w:rFonts w:cs="Times New Roman"/>
          <w:szCs w:val="24"/>
        </w:rPr>
        <w:t>ethical governance and organizational adaptability.</w:t>
      </w:r>
    </w:p>
    <w:p w14:paraId="39020CF2" w14:textId="61DEB138" w:rsidR="000B42CC" w:rsidRPr="000B42CC" w:rsidRDefault="000B42CC" w:rsidP="008D3809">
      <w:pPr>
        <w:pStyle w:val="Style1"/>
        <w:spacing w:after="0" w:line="360" w:lineRule="auto"/>
        <w:rPr>
          <w:rFonts w:cs="Times New Roman"/>
          <w:szCs w:val="24"/>
        </w:rPr>
      </w:pPr>
      <w:r w:rsidRPr="00BC05E9">
        <w:rPr>
          <w:rFonts w:cs="Times New Roman"/>
          <w:szCs w:val="24"/>
        </w:rPr>
        <w:t>As the industry matures, collaborative ecosystems involving</w:t>
      </w:r>
      <w:r w:rsidRPr="000B42CC">
        <w:rPr>
          <w:rFonts w:cs="Times New Roman"/>
          <w:szCs w:val="24"/>
        </w:rPr>
        <w:t xml:space="preserve"> regulators, academia, and technology providers will be essential to standardize AI practices and ensure responsible </w:t>
      </w:r>
      <w:r w:rsidRPr="000B42CC">
        <w:rPr>
          <w:rFonts w:cs="Times New Roman"/>
          <w:szCs w:val="24"/>
        </w:rPr>
        <w:lastRenderedPageBreak/>
        <w:t>innovation. The companies that proactively address these challenges today will be best positioned to harness the full potential of AI-driven marketing tomorrow</w:t>
      </w:r>
      <w:r w:rsidR="00BC05E9">
        <w:rPr>
          <w:rFonts w:cs="Times New Roman"/>
          <w:szCs w:val="24"/>
        </w:rPr>
        <w:t xml:space="preserve"> </w:t>
      </w:r>
      <w:r w:rsidRPr="000B42CC">
        <w:rPr>
          <w:rFonts w:cs="Times New Roman"/>
          <w:szCs w:val="24"/>
        </w:rPr>
        <w:t>achieving not only commercial success but also enduring trust among healthcare professionals and patients alike.</w:t>
      </w:r>
    </w:p>
    <w:p w14:paraId="703F4783" w14:textId="0A5BF536"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8. Future Perspectives </w:t>
      </w:r>
    </w:p>
    <w:p w14:paraId="16D0F30D" w14:textId="77777777" w:rsidR="000B42CC" w:rsidRPr="00BC05E9" w:rsidRDefault="000B42CC" w:rsidP="008D3809">
      <w:pPr>
        <w:pStyle w:val="Style1"/>
        <w:spacing w:after="0" w:line="360" w:lineRule="auto"/>
        <w:rPr>
          <w:rFonts w:cs="Times New Roman"/>
          <w:szCs w:val="24"/>
        </w:rPr>
      </w:pPr>
      <w:r w:rsidRPr="00BC05E9">
        <w:rPr>
          <w:rFonts w:cs="Times New Roman"/>
          <w:szCs w:val="24"/>
        </w:rPr>
        <w:t>Artificial Intelligence (AI) in pharmaceutical marketing has progressed from experimental adoption to strategic integration. However, its full potential remains largely untapped. As technological ecosystems evolve and regulatory landscapes mature, the coming decade is expected to usher in a new generation of intelligent, ethical, and patient-centric marketing models. The following perspectives highlight the emerging trends and innovations likely to redefine pharmaceutical marketing in the near future.</w:t>
      </w:r>
    </w:p>
    <w:p w14:paraId="17BCC0F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8.1 Generative AI and Content Automation</w:t>
      </w:r>
    </w:p>
    <w:p w14:paraId="3F43F0E4" w14:textId="61C40804" w:rsidR="000B42CC" w:rsidRPr="00BC05E9" w:rsidRDefault="000B42CC" w:rsidP="008D3809">
      <w:pPr>
        <w:pStyle w:val="Style1"/>
        <w:spacing w:after="0" w:line="360" w:lineRule="auto"/>
        <w:rPr>
          <w:rFonts w:cs="Times New Roman"/>
          <w:szCs w:val="24"/>
        </w:rPr>
      </w:pPr>
      <w:r w:rsidRPr="00BC05E9">
        <w:rPr>
          <w:rFonts w:cs="Times New Roman"/>
          <w:szCs w:val="24"/>
        </w:rPr>
        <w:t>Generative AI</w:t>
      </w:r>
      <w:r w:rsidR="00BC05E9" w:rsidRPr="00BC05E9">
        <w:rPr>
          <w:rFonts w:cs="Times New Roman"/>
          <w:szCs w:val="24"/>
        </w:rPr>
        <w:t xml:space="preserve"> </w:t>
      </w:r>
      <w:r w:rsidRPr="00BC05E9">
        <w:rPr>
          <w:rFonts w:cs="Times New Roman"/>
          <w:szCs w:val="24"/>
        </w:rPr>
        <w:t>powered by large language models (LLMs) such as GPT, Claude, and Gemini</w:t>
      </w:r>
      <w:r w:rsidR="00BC05E9" w:rsidRPr="00BC05E9">
        <w:rPr>
          <w:rFonts w:cs="Times New Roman"/>
          <w:szCs w:val="24"/>
        </w:rPr>
        <w:t xml:space="preserve"> </w:t>
      </w:r>
      <w:r w:rsidRPr="00BC05E9">
        <w:rPr>
          <w:rFonts w:cs="Times New Roman"/>
          <w:szCs w:val="24"/>
        </w:rPr>
        <w:t>is poised to revolutionize medical communication and content generation. These systems can draft scientific abstracts, personalized newsletters, medical-affairs summaries, and compliant marketing materials within seconds, dramatically reducing production time.</w:t>
      </w:r>
    </w:p>
    <w:p w14:paraId="2C7D2BE7" w14:textId="77777777" w:rsidR="000B42CC" w:rsidRPr="00B56E99" w:rsidRDefault="000B42CC" w:rsidP="008D3809">
      <w:pPr>
        <w:pStyle w:val="Style1"/>
        <w:spacing w:after="0" w:line="360" w:lineRule="auto"/>
        <w:rPr>
          <w:rFonts w:cs="Times New Roman"/>
          <w:szCs w:val="24"/>
        </w:rPr>
      </w:pPr>
      <w:r w:rsidRPr="00BC05E9">
        <w:rPr>
          <w:rFonts w:cs="Times New Roman"/>
          <w:szCs w:val="24"/>
        </w:rPr>
        <w:t>In the pharmaceutical context, generative AI can tailor educational content to specific physician segments, ensuring that messages remain evidence-based and consistent with regulatory guidance. For example</w:t>
      </w:r>
      <w:r w:rsidRPr="00B56E99">
        <w:rPr>
          <w:rFonts w:cs="Times New Roman"/>
          <w:szCs w:val="24"/>
        </w:rPr>
        <w:t>, generative systems can produce differentiated drug monographs or disease-awareness materials aligned with regional treatment guidelines.</w:t>
      </w:r>
    </w:p>
    <w:p w14:paraId="590A04EC" w14:textId="77777777" w:rsidR="000B42CC" w:rsidRPr="00B56E99" w:rsidRDefault="000B42CC" w:rsidP="008D3809">
      <w:pPr>
        <w:pStyle w:val="Style1"/>
        <w:spacing w:after="0" w:line="360" w:lineRule="auto"/>
        <w:rPr>
          <w:rFonts w:cs="Times New Roman"/>
          <w:szCs w:val="24"/>
        </w:rPr>
      </w:pPr>
      <w:r w:rsidRPr="00B56E99">
        <w:rPr>
          <w:rFonts w:cs="Times New Roman"/>
          <w:szCs w:val="24"/>
        </w:rPr>
        <w:t>To safeguard accuracy, companies are beginning to deploy “human-in-the-loop” (HITL) workflows, where medical writers review AI-generated drafts before publication. This hybrid model merges computational speed with human judgment, minimizing the risks of misinformation.</w:t>
      </w:r>
    </w:p>
    <w:p w14:paraId="706BC0ED" w14:textId="65829F86" w:rsidR="000B42CC" w:rsidRPr="000B42CC" w:rsidRDefault="000B42CC" w:rsidP="008D3809">
      <w:pPr>
        <w:pStyle w:val="Style1"/>
        <w:spacing w:after="0" w:line="360" w:lineRule="auto"/>
        <w:rPr>
          <w:rFonts w:cs="Times New Roman"/>
          <w:szCs w:val="24"/>
        </w:rPr>
      </w:pPr>
      <w:r w:rsidRPr="00B56E99">
        <w:rPr>
          <w:rFonts w:cs="Times New Roman"/>
          <w:szCs w:val="24"/>
        </w:rPr>
        <w:t>Over time, generative AI will evolve into co-creative partners for marketers</w:t>
      </w:r>
      <w:r w:rsidR="00BC05E9" w:rsidRPr="00B56E99">
        <w:rPr>
          <w:rFonts w:cs="Times New Roman"/>
          <w:szCs w:val="24"/>
        </w:rPr>
        <w:t xml:space="preserve"> </w:t>
      </w:r>
      <w:r w:rsidRPr="00B56E99">
        <w:rPr>
          <w:rFonts w:cs="Times New Roman"/>
          <w:szCs w:val="24"/>
        </w:rPr>
        <w:t>suggesting campaign concepts, predicting physician responses, and automatically</w:t>
      </w:r>
      <w:r w:rsidRPr="000B42CC">
        <w:rPr>
          <w:rFonts w:cs="Times New Roman"/>
          <w:szCs w:val="24"/>
        </w:rPr>
        <w:t xml:space="preserve"> updating promotional content in line with new clinical data. The outcome will be an agile, adaptive, and continuously learning marketing ecosystem.</w:t>
      </w:r>
    </w:p>
    <w:p w14:paraId="3E1AAD3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8.2 Digital Twins and Predictive Personas</w:t>
      </w:r>
    </w:p>
    <w:p w14:paraId="20739735" w14:textId="21A43BB8" w:rsidR="000B42CC" w:rsidRPr="000B42CC" w:rsidRDefault="000B42CC" w:rsidP="008D3809">
      <w:pPr>
        <w:pStyle w:val="Style1"/>
        <w:spacing w:after="0" w:line="360" w:lineRule="auto"/>
        <w:rPr>
          <w:rFonts w:cs="Times New Roman"/>
          <w:szCs w:val="24"/>
        </w:rPr>
      </w:pPr>
      <w:r w:rsidRPr="000B42CC">
        <w:rPr>
          <w:rFonts w:cs="Times New Roman"/>
          <w:szCs w:val="24"/>
        </w:rPr>
        <w:t>Another transformative innovation is the emergence of digital-twin technology</w:t>
      </w:r>
      <w:r w:rsidR="00BC05E9">
        <w:rPr>
          <w:rFonts w:cs="Times New Roman"/>
          <w:szCs w:val="24"/>
        </w:rPr>
        <w:t xml:space="preserve"> </w:t>
      </w:r>
      <w:r w:rsidRPr="000B42CC">
        <w:rPr>
          <w:rFonts w:cs="Times New Roman"/>
          <w:szCs w:val="24"/>
        </w:rPr>
        <w:t xml:space="preserve">virtual replicas of physical systems or populations that simulate </w:t>
      </w:r>
      <w:proofErr w:type="spellStart"/>
      <w:r w:rsidRPr="000B42CC">
        <w:rPr>
          <w:rFonts w:cs="Times New Roman"/>
          <w:szCs w:val="24"/>
        </w:rPr>
        <w:t>behavior</w:t>
      </w:r>
      <w:proofErr w:type="spellEnd"/>
      <w:r w:rsidRPr="000B42CC">
        <w:rPr>
          <w:rFonts w:cs="Times New Roman"/>
          <w:szCs w:val="24"/>
        </w:rPr>
        <w:t xml:space="preserve"> in real time. In pharmaceutical marketing, digital twins can represent market environments, therapeutic classes, or even physician segments.</w:t>
      </w:r>
    </w:p>
    <w:p w14:paraId="0D7C94A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By feeding these virtual models with data on prescribing patterns, patient demographics, and economic variables, marketers can simulate the outcomes of different promotional strategies </w:t>
      </w:r>
      <w:r w:rsidRPr="000B42CC">
        <w:rPr>
          <w:rFonts w:cs="Times New Roman"/>
          <w:szCs w:val="24"/>
        </w:rPr>
        <w:lastRenderedPageBreak/>
        <w:t>before implementation. For instance, a digital twin of the Indian cardiovascular market could forecast how a new fixed-dose combination would perform under various pricing or messaging conditions.</w:t>
      </w:r>
    </w:p>
    <w:p w14:paraId="7F5EF685" w14:textId="21F8F874" w:rsidR="000B42CC" w:rsidRPr="000B42CC" w:rsidRDefault="000B42CC" w:rsidP="008D3809">
      <w:pPr>
        <w:pStyle w:val="Style1"/>
        <w:spacing w:after="0" w:line="360" w:lineRule="auto"/>
        <w:rPr>
          <w:rFonts w:cs="Times New Roman"/>
          <w:szCs w:val="24"/>
        </w:rPr>
      </w:pPr>
      <w:r w:rsidRPr="000B42CC">
        <w:rPr>
          <w:rFonts w:cs="Times New Roman"/>
          <w:szCs w:val="24"/>
        </w:rPr>
        <w:t>Complementing this, AI-generated predictive personas can model individual HCP preferences based on historical interactions, enabling micro-level personalization. These technologies allow companies to test hypotheses, identify potential risks, and optimize investments without disrupting real-world operations</w:t>
      </w:r>
      <w:r w:rsidR="00BC05E9">
        <w:rPr>
          <w:rFonts w:cs="Times New Roman"/>
          <w:szCs w:val="24"/>
        </w:rPr>
        <w:t xml:space="preserve"> </w:t>
      </w:r>
      <w:r w:rsidRPr="000B42CC">
        <w:rPr>
          <w:rFonts w:cs="Times New Roman"/>
          <w:szCs w:val="24"/>
        </w:rPr>
        <w:t>essentially transforming marketing planning into a scientific experiment.</w:t>
      </w:r>
    </w:p>
    <w:p w14:paraId="00B23AD4" w14:textId="3229D064" w:rsidR="000B42CC" w:rsidRPr="000B42CC" w:rsidRDefault="000B42CC" w:rsidP="008D3809">
      <w:pPr>
        <w:pStyle w:val="Style1"/>
        <w:spacing w:after="0" w:line="360" w:lineRule="auto"/>
        <w:rPr>
          <w:rFonts w:cs="Times New Roman"/>
          <w:b/>
          <w:szCs w:val="24"/>
        </w:rPr>
      </w:pPr>
      <w:r w:rsidRPr="000B42CC">
        <w:rPr>
          <w:rFonts w:cs="Times New Roman"/>
          <w:b/>
          <w:szCs w:val="24"/>
        </w:rPr>
        <w:t>8.3 Augmented Reality (AR), Virtual Reality (VR), and Mixed Reality (MR) Integration</w:t>
      </w:r>
      <w:r w:rsidR="00A034C4">
        <w:rPr>
          <w:rFonts w:cs="Times New Roman"/>
          <w:b/>
          <w:szCs w:val="24"/>
        </w:rPr>
        <w:t xml:space="preserve"> </w:t>
      </w:r>
      <w:sdt>
        <w:sdtPr>
          <w:rPr>
            <w:rFonts w:cs="Times New Roman"/>
            <w:color w:val="000000"/>
            <w:szCs w:val="24"/>
          </w:rPr>
          <w:tag w:val="MENDELEY_CITATION_v3_eyJjaXRhdGlvbklEIjoiTUVOREVMRVlfQ0lUQVRJT05fMTU4YWRiMmEtZDI2YS00MTZhLWI3MGItYjZkOWE4ODNlMTQ4IiwicHJvcGVydGllcyI6eyJub3RlSW5kZXgiOjB9LCJpc0VkaXRlZCI6ZmFsc2UsIm1hbnVhbE92ZXJyaWRlIjp7ImlzTWFudWFsbHlPdmVycmlkZGVuIjpmYWxzZSwiY2l0ZXByb2NUZXh0IjoiKDEwLDM1LDU0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
          <w:id w:val="1788741"/>
          <w:placeholder>
            <w:docPart w:val="DefaultPlaceholder_-1854013440"/>
          </w:placeholder>
        </w:sdtPr>
        <w:sdtEndPr/>
        <w:sdtContent>
          <w:r w:rsidR="00A034C4" w:rsidRPr="00A034C4">
            <w:rPr>
              <w:rFonts w:cs="Times New Roman"/>
              <w:color w:val="000000"/>
              <w:szCs w:val="24"/>
            </w:rPr>
            <w:t>(10,35,54)</w:t>
          </w:r>
        </w:sdtContent>
      </w:sdt>
    </w:p>
    <w:p w14:paraId="50878B6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convergence of AI with </w:t>
      </w:r>
      <w:r w:rsidRPr="000B42CC">
        <w:rPr>
          <w:rFonts w:cs="Times New Roman"/>
          <w:b/>
          <w:szCs w:val="24"/>
        </w:rPr>
        <w:t>immersive technologies</w:t>
      </w:r>
      <w:r w:rsidRPr="000B42CC">
        <w:rPr>
          <w:rFonts w:cs="Times New Roman"/>
          <w:szCs w:val="24"/>
        </w:rPr>
        <w:t xml:space="preserve"> such as AR, VR, and MR is expected to redefine engagement experiences. AI-driven AR applications can overlay real-time visual data during drug demonstrations, while VR environments can recreate clinical scenarios for physician education or virtual conferences.</w:t>
      </w:r>
    </w:p>
    <w:p w14:paraId="7AFB53E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companies are already </w:t>
      </w:r>
      <w:r w:rsidRPr="00B56E99">
        <w:rPr>
          <w:rFonts w:cs="Times New Roman"/>
          <w:szCs w:val="24"/>
        </w:rPr>
        <w:t>experimenting with AI-curated virtual detailing, where physicians interact with 3D drug-mechanism m</w:t>
      </w:r>
      <w:r w:rsidRPr="000B42CC">
        <w:rPr>
          <w:rFonts w:cs="Times New Roman"/>
          <w:szCs w:val="24"/>
        </w:rPr>
        <w:t xml:space="preserve">odels through headsets guided by conversational AI. For example, oncology products can be showcased via AI-enhanced 3D </w:t>
      </w:r>
      <w:proofErr w:type="spellStart"/>
      <w:r w:rsidRPr="000B42CC">
        <w:rPr>
          <w:rFonts w:cs="Times New Roman"/>
          <w:szCs w:val="24"/>
        </w:rPr>
        <w:t>tumor</w:t>
      </w:r>
      <w:proofErr w:type="spellEnd"/>
      <w:r w:rsidRPr="000B42CC">
        <w:rPr>
          <w:rFonts w:cs="Times New Roman"/>
          <w:szCs w:val="24"/>
        </w:rPr>
        <w:t>-response simulations, helping clinicians visualize efficacy mechanisms.</w:t>
      </w:r>
    </w:p>
    <w:p w14:paraId="16CE51F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From a patient perspective, VR-based adherence programs and AR-enabled medication guides will strengthen understanding and compliance. Combined with AI analytics, these platforms can track </w:t>
      </w:r>
      <w:proofErr w:type="spellStart"/>
      <w:r w:rsidRPr="000B42CC">
        <w:rPr>
          <w:rFonts w:cs="Times New Roman"/>
          <w:szCs w:val="24"/>
        </w:rPr>
        <w:t>behavioral</w:t>
      </w:r>
      <w:proofErr w:type="spellEnd"/>
      <w:r w:rsidRPr="000B42CC">
        <w:rPr>
          <w:rFonts w:cs="Times New Roman"/>
          <w:szCs w:val="24"/>
        </w:rPr>
        <w:t xml:space="preserve"> responses and customize future interventions.</w:t>
      </w:r>
    </w:p>
    <w:p w14:paraId="042AEED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Immersive, AI-powered experiences </w:t>
      </w:r>
      <w:r w:rsidRPr="00B56E99">
        <w:rPr>
          <w:rFonts w:cs="Times New Roman"/>
          <w:szCs w:val="24"/>
        </w:rPr>
        <w:t>will thus become integral components of omnichannel marketing, enabling deeper engagement and more effective</w:t>
      </w:r>
      <w:r w:rsidRPr="000B42CC">
        <w:rPr>
          <w:rFonts w:cs="Times New Roman"/>
          <w:szCs w:val="24"/>
        </w:rPr>
        <w:t xml:space="preserve"> scientific communication.</w:t>
      </w:r>
    </w:p>
    <w:p w14:paraId="4E239956" w14:textId="6095F187" w:rsidR="000B42CC" w:rsidRPr="000B42CC" w:rsidRDefault="000B42CC" w:rsidP="008D3809">
      <w:pPr>
        <w:pStyle w:val="Style1"/>
        <w:spacing w:after="0" w:line="360" w:lineRule="auto"/>
        <w:rPr>
          <w:rFonts w:cs="Times New Roman"/>
          <w:b/>
          <w:szCs w:val="24"/>
        </w:rPr>
      </w:pPr>
      <w:r w:rsidRPr="000B42CC">
        <w:rPr>
          <w:rFonts w:cs="Times New Roman"/>
          <w:b/>
          <w:szCs w:val="24"/>
        </w:rPr>
        <w:t>8.4 Explainable AI (XAI) and Ethical Intelligence</w:t>
      </w:r>
      <w:r w:rsidR="00A034C4">
        <w:rPr>
          <w:rFonts w:cs="Times New Roman"/>
          <w:b/>
          <w:szCs w:val="24"/>
        </w:rPr>
        <w:t xml:space="preserve"> </w:t>
      </w:r>
      <w:sdt>
        <w:sdtPr>
          <w:rPr>
            <w:rFonts w:cs="Times New Roman"/>
            <w:color w:val="000000"/>
            <w:szCs w:val="24"/>
          </w:rPr>
          <w:tag w:val="MENDELEY_CITATION_v3_eyJjaXRhdGlvbklEIjoiTUVOREVMRVlfQ0lUQVRJT05fYzgzMjYzMTUtYTM2ZC00NzY2LTkzYjYtY2E2OThjMTY4NjU0IiwicHJvcGVydGllcyI6eyJub3RlSW5kZXgiOjB9LCJpc0VkaXRlZCI6ZmFsc2UsIm1hbnVhbE92ZXJyaWRlIjp7ImlzTWFudWFsbHlPdmVycmlkZGVuIjpmYWxzZSwiY2l0ZXByb2NUZXh0IjoiKDM1L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
          <w:id w:val="42335968"/>
          <w:placeholder>
            <w:docPart w:val="DefaultPlaceholder_-1854013440"/>
          </w:placeholder>
        </w:sdtPr>
        <w:sdtEndPr/>
        <w:sdtContent>
          <w:r w:rsidR="00A034C4" w:rsidRPr="00A034C4">
            <w:rPr>
              <w:rFonts w:cs="Times New Roman"/>
              <w:color w:val="000000"/>
              <w:szCs w:val="24"/>
            </w:rPr>
            <w:t>(35,45)</w:t>
          </w:r>
        </w:sdtContent>
      </w:sdt>
    </w:p>
    <w:p w14:paraId="46BE4857" w14:textId="77777777" w:rsidR="000B42CC" w:rsidRPr="00B56E99" w:rsidRDefault="000B42CC" w:rsidP="008D3809">
      <w:pPr>
        <w:pStyle w:val="Style1"/>
        <w:spacing w:after="0" w:line="360" w:lineRule="auto"/>
        <w:rPr>
          <w:rFonts w:cs="Times New Roman"/>
          <w:szCs w:val="24"/>
        </w:rPr>
      </w:pPr>
      <w:r w:rsidRPr="000B42CC">
        <w:rPr>
          <w:rFonts w:cs="Times New Roman"/>
          <w:szCs w:val="24"/>
        </w:rPr>
        <w:t xml:space="preserve">As AI systems become more </w:t>
      </w:r>
      <w:r w:rsidRPr="00B56E99">
        <w:rPr>
          <w:rFonts w:cs="Times New Roman"/>
          <w:szCs w:val="24"/>
        </w:rPr>
        <w:t>autonomous, explainability and ethics will be decisive factors for regulatory acceptance and societal trust. The future will witness a transition from opaque “black-box” models to transparent, auditable algorithms capable of providing clear rationales for their predictions.</w:t>
      </w:r>
    </w:p>
    <w:p w14:paraId="0CEA121E" w14:textId="77777777" w:rsidR="000B42CC" w:rsidRPr="00B56E99" w:rsidRDefault="000B42CC" w:rsidP="008D3809">
      <w:pPr>
        <w:pStyle w:val="Style1"/>
        <w:spacing w:after="0" w:line="360" w:lineRule="auto"/>
        <w:rPr>
          <w:rFonts w:cs="Times New Roman"/>
          <w:szCs w:val="24"/>
        </w:rPr>
      </w:pPr>
      <w:r w:rsidRPr="00B56E99">
        <w:rPr>
          <w:rFonts w:cs="Times New Roman"/>
          <w:szCs w:val="24"/>
        </w:rPr>
        <w:t>Explainable AI (XAI) will enable marketers and regulators to trace why an algorithm suggested a particular physician segmentation or forecasted a market shift. This interpretability will enhance confidence among compliance officers, ensuring that AI decisions remain aligned with ethical marketing codes such as the UCPMP (India), FDA 21 CFR 202, and EMA ethical guidelines.</w:t>
      </w:r>
    </w:p>
    <w:p w14:paraId="0AC5BA94" w14:textId="738B8C7C" w:rsidR="000B42CC" w:rsidRPr="000B42CC" w:rsidRDefault="000B42CC" w:rsidP="008D3809">
      <w:pPr>
        <w:pStyle w:val="Style1"/>
        <w:spacing w:after="0" w:line="360" w:lineRule="auto"/>
        <w:rPr>
          <w:rFonts w:cs="Times New Roman"/>
          <w:szCs w:val="24"/>
        </w:rPr>
      </w:pPr>
      <w:r w:rsidRPr="00B56E99">
        <w:rPr>
          <w:rFonts w:cs="Times New Roman"/>
          <w:szCs w:val="24"/>
        </w:rPr>
        <w:lastRenderedPageBreak/>
        <w:t>Moreover, AI systems will increasingly incorporate ethical reasoning frameworks</w:t>
      </w:r>
      <w:r w:rsidR="00BC05E9" w:rsidRPr="00B56E99">
        <w:rPr>
          <w:rFonts w:cs="Times New Roman"/>
          <w:szCs w:val="24"/>
        </w:rPr>
        <w:t xml:space="preserve"> </w:t>
      </w:r>
      <w:r w:rsidRPr="00B56E99">
        <w:rPr>
          <w:rFonts w:cs="Times New Roman"/>
          <w:szCs w:val="24"/>
        </w:rPr>
        <w:t>automatically screening content for potential bias, regulatory violations</w:t>
      </w:r>
      <w:r w:rsidRPr="000B42CC">
        <w:rPr>
          <w:rFonts w:cs="Times New Roman"/>
          <w:szCs w:val="24"/>
        </w:rPr>
        <w:t>, or misleading claims before dissemination. Ethical AI will thus evolve from a governance requirement into a built-in feature of next-generation marketing tools.</w:t>
      </w:r>
    </w:p>
    <w:p w14:paraId="5C2E66DF" w14:textId="6B576855" w:rsidR="000B42CC" w:rsidRPr="000B42CC" w:rsidRDefault="000B42CC" w:rsidP="008D3809">
      <w:pPr>
        <w:pStyle w:val="Style1"/>
        <w:spacing w:after="0" w:line="360" w:lineRule="auto"/>
        <w:rPr>
          <w:rFonts w:cs="Times New Roman"/>
          <w:b/>
          <w:szCs w:val="24"/>
        </w:rPr>
      </w:pPr>
      <w:r w:rsidRPr="000B42CC">
        <w:rPr>
          <w:rFonts w:cs="Times New Roman"/>
          <w:b/>
          <w:szCs w:val="24"/>
        </w:rPr>
        <w:t>8.5 Convergence of AI with Big Data, IoT, and Edge Computing</w:t>
      </w:r>
      <w:r w:rsidR="00A034C4">
        <w:rPr>
          <w:rFonts w:cs="Times New Roman"/>
          <w:b/>
          <w:szCs w:val="24"/>
        </w:rPr>
        <w:t xml:space="preserve"> </w:t>
      </w:r>
      <w:sdt>
        <w:sdtPr>
          <w:rPr>
            <w:rFonts w:cs="Times New Roman"/>
            <w:color w:val="000000"/>
            <w:szCs w:val="24"/>
          </w:rPr>
          <w:tag w:val="MENDELEY_CITATION_v3_eyJjaXRhdGlvbklEIjoiTUVOREVMRVlfQ0lUQVRJT05fYWU1YzIzMzYtNDE0Yy00M2YyLTgzN2YtZGYyYjJhMDc3ZTg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148359763"/>
          <w:placeholder>
            <w:docPart w:val="DefaultPlaceholder_-1854013440"/>
          </w:placeholder>
        </w:sdtPr>
        <w:sdtEndPr/>
        <w:sdtContent>
          <w:r w:rsidR="00A034C4" w:rsidRPr="00A034C4">
            <w:rPr>
              <w:rFonts w:cs="Times New Roman"/>
              <w:color w:val="000000"/>
              <w:szCs w:val="24"/>
            </w:rPr>
            <w:t>(45)</w:t>
          </w:r>
        </w:sdtContent>
      </w:sdt>
    </w:p>
    <w:p w14:paraId="7B2D649B" w14:textId="77777777" w:rsidR="000B42CC" w:rsidRPr="00B56E99" w:rsidRDefault="000B42CC" w:rsidP="008D3809">
      <w:pPr>
        <w:pStyle w:val="Style1"/>
        <w:spacing w:after="0" w:line="360" w:lineRule="auto"/>
        <w:rPr>
          <w:rFonts w:cs="Times New Roman"/>
          <w:szCs w:val="24"/>
        </w:rPr>
      </w:pPr>
      <w:r w:rsidRPr="000B42CC">
        <w:rPr>
          <w:rFonts w:cs="Times New Roman"/>
          <w:szCs w:val="24"/>
        </w:rPr>
        <w:t xml:space="preserve">The next decade will also see </w:t>
      </w:r>
      <w:r w:rsidRPr="00B56E99">
        <w:rPr>
          <w:rFonts w:cs="Times New Roman"/>
          <w:szCs w:val="24"/>
        </w:rPr>
        <w:t>the fusion of AI with Internet of Things (IoT) devices and edge-computing architectures. Wearables, mobile health apps, and connected diagnostic tools continuously generate patient data that can inform targeted educational and adherence campaigns.</w:t>
      </w:r>
    </w:p>
    <w:p w14:paraId="17798838" w14:textId="7D751F87" w:rsidR="000B42CC" w:rsidRPr="00B56E99" w:rsidRDefault="000B42CC" w:rsidP="008D3809">
      <w:pPr>
        <w:pStyle w:val="Style1"/>
        <w:spacing w:after="0" w:line="360" w:lineRule="auto"/>
        <w:rPr>
          <w:rFonts w:cs="Times New Roman"/>
          <w:szCs w:val="24"/>
        </w:rPr>
      </w:pPr>
      <w:r w:rsidRPr="00B56E99">
        <w:rPr>
          <w:rFonts w:cs="Times New Roman"/>
          <w:szCs w:val="24"/>
        </w:rPr>
        <w:t>AI analytics operating at the edge</w:t>
      </w:r>
      <w:r w:rsidR="00BC05E9" w:rsidRPr="00B56E99">
        <w:rPr>
          <w:rFonts w:cs="Times New Roman"/>
          <w:szCs w:val="24"/>
        </w:rPr>
        <w:t xml:space="preserve"> </w:t>
      </w:r>
      <w:r w:rsidRPr="00B56E99">
        <w:rPr>
          <w:rFonts w:cs="Times New Roman"/>
          <w:szCs w:val="24"/>
        </w:rPr>
        <w:t>closer to data sources</w:t>
      </w:r>
      <w:r w:rsidR="00BC05E9" w:rsidRPr="00B56E99">
        <w:rPr>
          <w:rFonts w:cs="Times New Roman"/>
          <w:szCs w:val="24"/>
        </w:rPr>
        <w:t xml:space="preserve"> </w:t>
      </w:r>
      <w:r w:rsidRPr="00B56E99">
        <w:rPr>
          <w:rFonts w:cs="Times New Roman"/>
          <w:szCs w:val="24"/>
        </w:rPr>
        <w:t>will enable real-time personalization without compromising privacy. For example, if a wearable detects irregular glucose levels, an AI system could trigger a tailored educational message about antidiabetic therapy adherence.</w:t>
      </w:r>
    </w:p>
    <w:p w14:paraId="2C6B9434" w14:textId="77777777" w:rsidR="000B42CC" w:rsidRPr="000B42CC" w:rsidRDefault="000B42CC" w:rsidP="008D3809">
      <w:pPr>
        <w:pStyle w:val="Style1"/>
        <w:spacing w:after="0" w:line="360" w:lineRule="auto"/>
        <w:rPr>
          <w:rFonts w:cs="Times New Roman"/>
          <w:szCs w:val="24"/>
        </w:rPr>
      </w:pPr>
      <w:r w:rsidRPr="00B56E99">
        <w:rPr>
          <w:rFonts w:cs="Times New Roman"/>
          <w:szCs w:val="24"/>
        </w:rPr>
        <w:t>This convergence will enable context-aware marketing, where engagement is guided by situational data rather than static demographics. Pharmaceutical</w:t>
      </w:r>
      <w:r w:rsidRPr="000B42CC">
        <w:rPr>
          <w:rFonts w:cs="Times New Roman"/>
          <w:szCs w:val="24"/>
        </w:rPr>
        <w:t xml:space="preserve"> brands that harness these technologies responsibly will gain a competitive edge in patient-centric marketing while adhering to strict privacy norms through on-device processing and federated learning.</w:t>
      </w:r>
    </w:p>
    <w:p w14:paraId="3618750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8.6 Collaborative and Open Innovation Ecosystems</w:t>
      </w:r>
    </w:p>
    <w:p w14:paraId="634E01D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Future pharmaceutical marketing will increasingly rely on collaborative ecosystems involving technology startups, data-analytics firms, regulatory bodies, and academia. No single entity can master the multifaceted challenges of AI governance, cybersecurity, and data integration alone.</w:t>
      </w:r>
    </w:p>
    <w:p w14:paraId="42A9FB83" w14:textId="47F6177F" w:rsidR="000B42CC" w:rsidRPr="000B42CC" w:rsidRDefault="000B42CC" w:rsidP="008D3809">
      <w:pPr>
        <w:pStyle w:val="Style1"/>
        <w:spacing w:after="0" w:line="360" w:lineRule="auto"/>
        <w:rPr>
          <w:rFonts w:cs="Times New Roman"/>
          <w:szCs w:val="24"/>
        </w:rPr>
      </w:pPr>
      <w:r w:rsidRPr="000B42CC">
        <w:rPr>
          <w:rFonts w:cs="Times New Roman"/>
          <w:szCs w:val="24"/>
        </w:rPr>
        <w:t>Open-innovation models</w:t>
      </w:r>
      <w:r w:rsidR="00BC05E9">
        <w:rPr>
          <w:rFonts w:cs="Times New Roman"/>
          <w:szCs w:val="24"/>
        </w:rPr>
        <w:t xml:space="preserve"> </w:t>
      </w:r>
      <w:r w:rsidRPr="000B42CC">
        <w:rPr>
          <w:rFonts w:cs="Times New Roman"/>
          <w:szCs w:val="24"/>
        </w:rPr>
        <w:t>such as AI consortia and digital-health alliances</w:t>
      </w:r>
      <w:r w:rsidR="00BC05E9">
        <w:rPr>
          <w:rFonts w:cs="Times New Roman"/>
          <w:szCs w:val="24"/>
        </w:rPr>
        <w:t xml:space="preserve"> </w:t>
      </w:r>
      <w:r w:rsidRPr="000B42CC">
        <w:rPr>
          <w:rFonts w:cs="Times New Roman"/>
          <w:szCs w:val="24"/>
        </w:rPr>
        <w:t>are already emerging. Initiatives like the Partnership on AI for Health and Open Data Pharma Alliance promote data-sharing standards, algorithmic transparency, and ethical best practices.</w:t>
      </w:r>
    </w:p>
    <w:p w14:paraId="0E2298F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These collaborations will accelerate the development of standardized AI frameworks for marketing analytics, facilitating regulatory harmonization across regions. The role of regulators is also expected to evolve from gatekeepers to innovation enablers, offering sandboxes for responsible experimentation and cross-industry learning.</w:t>
      </w:r>
    </w:p>
    <w:p w14:paraId="76DB32B7"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8.7 Sustainability and Societal Value Orientation</w:t>
      </w:r>
    </w:p>
    <w:p w14:paraId="5235808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future of AI in pharmaceutical marketing will not be confined to commercial outcomes; it will also address sustainability and public-health goals. Smart marketing strategies will increasingly align with environmental, social, and governance (ESG) principles.</w:t>
      </w:r>
    </w:p>
    <w:p w14:paraId="698FAF9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can optimize logistics and reduce the carbon footprint of promotional activities by </w:t>
      </w:r>
      <w:proofErr w:type="spellStart"/>
      <w:r w:rsidRPr="000B42CC">
        <w:rPr>
          <w:rFonts w:cs="Times New Roman"/>
          <w:szCs w:val="24"/>
        </w:rPr>
        <w:t>analyzing</w:t>
      </w:r>
      <w:proofErr w:type="spellEnd"/>
      <w:r w:rsidRPr="000B42CC">
        <w:rPr>
          <w:rFonts w:cs="Times New Roman"/>
          <w:szCs w:val="24"/>
        </w:rPr>
        <w:t xml:space="preserve"> travel routes, virtualizing conferences, and minimizing print material waste. </w:t>
      </w:r>
      <w:r w:rsidRPr="000B42CC">
        <w:rPr>
          <w:rFonts w:cs="Times New Roman"/>
          <w:szCs w:val="24"/>
        </w:rPr>
        <w:lastRenderedPageBreak/>
        <w:t>Furthermore, by tailoring patient-education campaigns, AI supports health-literacy initiatives and equitable access to information, contributing to the broader United Nations Sustainable Development Goals (SDG 3: Good Health and Well-being).</w:t>
      </w:r>
    </w:p>
    <w:p w14:paraId="48507F8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Thus, AI will evolve into a societal enabler, reinforcing the ethical and humanitarian dimensions of pharmaceutical marketing.</w:t>
      </w:r>
    </w:p>
    <w:p w14:paraId="3C68078D"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8.8 Continuous Learning and Adaptive Organizations</w:t>
      </w:r>
    </w:p>
    <w:p w14:paraId="7DF6741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most successful pharmaceutical companies of the future will be those that transform into learning organizations. AI systems thrive on continuous data input; similarly, marketing teams must cultivate a culture of perpetual learning, agility, and experimentation.</w:t>
      </w:r>
    </w:p>
    <w:p w14:paraId="72D00485" w14:textId="09B9307D" w:rsidR="000B42CC" w:rsidRPr="000B42CC" w:rsidRDefault="000B42CC" w:rsidP="008D3809">
      <w:pPr>
        <w:pStyle w:val="Style1"/>
        <w:spacing w:after="0" w:line="360" w:lineRule="auto"/>
        <w:rPr>
          <w:rFonts w:cs="Times New Roman"/>
          <w:szCs w:val="24"/>
        </w:rPr>
      </w:pPr>
      <w:r w:rsidRPr="000B42CC">
        <w:rPr>
          <w:rFonts w:cs="Times New Roman"/>
          <w:szCs w:val="24"/>
        </w:rPr>
        <w:t>Marketers will shift from campaign managers to AI strategists</w:t>
      </w:r>
      <w:r w:rsidR="00BC05E9">
        <w:rPr>
          <w:rFonts w:cs="Times New Roman"/>
          <w:szCs w:val="24"/>
        </w:rPr>
        <w:t xml:space="preserve"> </w:t>
      </w:r>
      <w:r w:rsidRPr="000B42CC">
        <w:rPr>
          <w:rFonts w:cs="Times New Roman"/>
          <w:szCs w:val="24"/>
        </w:rPr>
        <w:t>interpreting data narratives, validating algorithmic insights, and ensuring ethical alignment. Upskilling programs in data science, ethics, and digital health will become core components of professional development.</w:t>
      </w:r>
    </w:p>
    <w:p w14:paraId="314A59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Furthermore, adaptive governance structures will replace rigid hierarchies, enabling real-time decision-making based on AI insights. Companies that embed adaptability into their organizational DNA will be best equipped to navigate the fast-changing digital health economy.</w:t>
      </w:r>
    </w:p>
    <w:p w14:paraId="164DFCD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8.9 The Road Ahead: Toward Cognitive Marketing Ecosystems</w:t>
      </w:r>
    </w:p>
    <w:p w14:paraId="48EA2291" w14:textId="48CD72C5" w:rsidR="000B42CC" w:rsidRPr="000B42CC" w:rsidRDefault="000B42CC" w:rsidP="008D3809">
      <w:pPr>
        <w:pStyle w:val="Style1"/>
        <w:spacing w:after="0" w:line="360" w:lineRule="auto"/>
        <w:rPr>
          <w:rFonts w:cs="Times New Roman"/>
          <w:szCs w:val="24"/>
        </w:rPr>
      </w:pPr>
      <w:r w:rsidRPr="000B42CC">
        <w:rPr>
          <w:rFonts w:cs="Times New Roman"/>
          <w:szCs w:val="24"/>
        </w:rPr>
        <w:t>The long-term vision of AI in pharmaceutical marketing is the creation of cognitive ecosystems</w:t>
      </w:r>
      <w:r w:rsidR="00BC05E9">
        <w:rPr>
          <w:rFonts w:cs="Times New Roman"/>
          <w:szCs w:val="24"/>
        </w:rPr>
        <w:t xml:space="preserve"> </w:t>
      </w:r>
      <w:r w:rsidRPr="000B42CC">
        <w:rPr>
          <w:rFonts w:cs="Times New Roman"/>
          <w:szCs w:val="24"/>
        </w:rPr>
        <w:t>self-optimizing networks where AI systems interact seamlessly across R&amp;D, regulatory affairs, sales, and patient engagement. These ecosystems will leverage federated learning, secure data exchange, and ethical AI principles to unify scientific evidence with marketing strategy.</w:t>
      </w:r>
    </w:p>
    <w:p w14:paraId="593CF9AE" w14:textId="26DA1A8D" w:rsidR="000B42CC" w:rsidRPr="000B42CC" w:rsidRDefault="000B42CC" w:rsidP="008D3809">
      <w:pPr>
        <w:pStyle w:val="Style1"/>
        <w:spacing w:after="0" w:line="360" w:lineRule="auto"/>
        <w:rPr>
          <w:rFonts w:cs="Times New Roman"/>
          <w:szCs w:val="24"/>
        </w:rPr>
      </w:pPr>
      <w:r w:rsidRPr="000B42CC">
        <w:rPr>
          <w:rFonts w:cs="Times New Roman"/>
          <w:szCs w:val="24"/>
        </w:rPr>
        <w:t>In such a scenario, marketing will evolve from persuasion to precision education</w:t>
      </w:r>
      <w:r w:rsidR="00BC05E9">
        <w:rPr>
          <w:rFonts w:cs="Times New Roman"/>
          <w:szCs w:val="24"/>
        </w:rPr>
        <w:t xml:space="preserve"> </w:t>
      </w:r>
      <w:r w:rsidRPr="000B42CC">
        <w:rPr>
          <w:rFonts w:cs="Times New Roman"/>
          <w:szCs w:val="24"/>
        </w:rPr>
        <w:t>providing stakeholders with the right information, at the right time, through the right channel. Every interaction will feed back into the system, refining algorithms and enhancing value delivery.</w:t>
      </w:r>
    </w:p>
    <w:p w14:paraId="13435C5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transition represents not merely technological advancement but a philosophical shift: from transactional marketing to relational, trust-based communication grounded in transparency, empathy, and measurable outcomes.</w:t>
      </w:r>
    </w:p>
    <w:p w14:paraId="4D277E7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future of pharmaceutical marketing will be shaped by the synergy of generative intelligence, digital-twin simulations, immersive engagement, and ethical governance. AI will transform from a tactical enhancement tool into a strategic compass guiding sustainable, patient-focused communication.</w:t>
      </w:r>
    </w:p>
    <w:p w14:paraId="7F2AA644" w14:textId="6C5C448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the boundary between digital innovation and ethical responsibility narrows, pharmaceutical companies that embrace explainable, inclusive, and transparent AI will lead </w:t>
      </w:r>
      <w:r w:rsidRPr="000B42CC">
        <w:rPr>
          <w:rFonts w:cs="Times New Roman"/>
          <w:szCs w:val="24"/>
        </w:rPr>
        <w:lastRenderedPageBreak/>
        <w:t>the next era of marketing excellence. The ultimate vision is not simply smarter marketing</w:t>
      </w:r>
      <w:r w:rsidR="00BC05E9">
        <w:rPr>
          <w:rFonts w:cs="Times New Roman"/>
          <w:szCs w:val="24"/>
        </w:rPr>
        <w:t xml:space="preserve"> </w:t>
      </w:r>
      <w:r w:rsidRPr="000B42CC">
        <w:rPr>
          <w:rFonts w:cs="Times New Roman"/>
          <w:szCs w:val="24"/>
        </w:rPr>
        <w:t>but responsible intelligence that harmonizes technological advancement with human values and global health priorities.</w:t>
      </w:r>
      <w:sdt>
        <w:sdtPr>
          <w:rPr>
            <w:rFonts w:cs="Times New Roman"/>
            <w:color w:val="000000"/>
            <w:szCs w:val="24"/>
          </w:rPr>
          <w:tag w:val="MENDELEY_CITATION_v3_eyJjaXRhdGlvbklEIjoiTUVOREVMRVlfQ0lUQVRJT05fOTI5ODM0ZTEtODAxZS00MTYxLWE4ZDItYjliMmI2NGEwOGRmIiwicHJvcGVydGllcyI6eyJub3RlSW5kZXgiOjB9LCJpc0VkaXRlZCI6ZmFsc2UsIm1hbnVhbE92ZXJyaWRlIjp7ImlzTWFudWFsbHlPdmVycmlkZGVuIjpmYWxzZSwiY2l0ZXByb2NUZXh0IjoiKDM1LDQ1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"/>
          <w:id w:val="1545246456"/>
          <w:placeholder>
            <w:docPart w:val="DefaultPlaceholder_-1854013440"/>
          </w:placeholder>
        </w:sdtPr>
        <w:sdtEndPr/>
        <w:sdtContent>
          <w:r w:rsidR="00A034C4" w:rsidRPr="00A034C4">
            <w:rPr>
              <w:rFonts w:cs="Times New Roman"/>
              <w:color w:val="000000"/>
              <w:szCs w:val="24"/>
            </w:rPr>
            <w:t>(35,45)</w:t>
          </w:r>
        </w:sdtContent>
      </w:sdt>
    </w:p>
    <w:p w14:paraId="11D36BA8" w14:textId="7E7B1685"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9. </w:t>
      </w:r>
      <w:r w:rsidR="00DB7EA7">
        <w:rPr>
          <w:rFonts w:cs="Times New Roman"/>
          <w:b/>
          <w:szCs w:val="24"/>
        </w:rPr>
        <w:t xml:space="preserve">Summary and </w:t>
      </w:r>
      <w:r w:rsidRPr="003D7B34">
        <w:rPr>
          <w:rFonts w:cs="Times New Roman"/>
          <w:b/>
          <w:szCs w:val="24"/>
        </w:rPr>
        <w:t xml:space="preserve">Conclusion </w:t>
      </w:r>
      <w:bookmarkStart w:id="0" w:name="_GoBack"/>
      <w:bookmarkEnd w:id="0"/>
    </w:p>
    <w:p w14:paraId="6DD3054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integration of Artificial Intelligence (AI) into pharmaceutical marketing marks one of the most profound transformations in the history of the life sciences industry. From traditional, intuition-driven practices to data-informed, predictive, and personalized strategies, AI has redefined how pharmaceutical companies interact with healthcare professionals (HCPs), patients, and the broader healthcare ecosystem. This paradigm shift represents not merely a technological advancement but a strategic evolution toward precision communication, ethical engagement, and sustainable value creation.</w:t>
      </w:r>
    </w:p>
    <w:p w14:paraId="537F048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review underscores that AI has enabled marketing to move from reactive persuasion to proactive partnership. Machine learning and predictive analytics have empowered marketers to identify the right stakeholders, anticipate needs, and deliver relevant, evidence-based information at precisely the right moment. Natural Language Processing (NLP) and chatbots have bridged communication gaps by offering 24/7, compliant engagement, while omnichannel and personalization algorithms have elevated user experience to unprecedented levels. Case studies from Pfizer, Novartis, GSK, Sanofi, and Roche demonstrate that when applied responsibly, AI not only enhances operational efficiency but also strengthens credibility, compliance, and trust.</w:t>
      </w:r>
    </w:p>
    <w:p w14:paraId="4ADEB49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However, this transformation is not without challenges. The pharmaceutical industry faces significant barriers such as data fragmentation, integration complexity, algorithmic bias, and regulatory ambiguity. The need for explainable AI (XAI), ethical governance, and data stewardship has never been more urgent. The review highlights that while AI’s analytical precision is unparalleled, it must remain underpinned by human oversight and moral accountability. The ethical success of AI-driven marketing depends on transparency, fairness, and respect for physician autonomy and patient privacy.</w:t>
      </w:r>
    </w:p>
    <w:p w14:paraId="5CC3127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Looking ahead, the next generation of AI applications will usher in a new era of “cognitive marketing ecosystems.” Generative AI will accelerate content creation, digital twins will simulate market scenarios, and immersive technologies such as AR/VR will redefine engagement. Explainable and ethical AI frameworks will become integral to regulatory compliance, while edge computing and IoT integration will enable real-time, context-aware communication. These advances will foster the emergence of patient-centric, sustainable marketing strategies that align business objectives with public health goals.</w:t>
      </w:r>
    </w:p>
    <w:p w14:paraId="42A86AF9" w14:textId="517C4DA2"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Crucially, the future of pharmaceutical marketing lies not in replacing human intelligence but in augmenting it. AI should be viewed as a collaborative ally</w:t>
      </w:r>
      <w:r w:rsidR="00BC05E9">
        <w:rPr>
          <w:rFonts w:cs="Times New Roman"/>
          <w:szCs w:val="24"/>
        </w:rPr>
        <w:t xml:space="preserve"> </w:t>
      </w:r>
      <w:r w:rsidRPr="000B42CC">
        <w:rPr>
          <w:rFonts w:cs="Times New Roman"/>
          <w:szCs w:val="24"/>
        </w:rPr>
        <w:t>enhancing creativity, decision-making, and ethical integrity. Organizations that invest in continuous learning, interdisciplinary collaboration, and adaptive governance will lead the evolution from digital marketing to intelligent, responsible marketing.</w:t>
      </w:r>
    </w:p>
    <w:p w14:paraId="521CA314" w14:textId="2E1FFE1A" w:rsidR="000B42CC" w:rsidRPr="000B42CC" w:rsidRDefault="000B42CC" w:rsidP="008D3809">
      <w:pPr>
        <w:pStyle w:val="Style1"/>
        <w:spacing w:after="0" w:line="360" w:lineRule="auto"/>
        <w:rPr>
          <w:rFonts w:cs="Times New Roman"/>
          <w:szCs w:val="24"/>
        </w:rPr>
      </w:pPr>
      <w:r w:rsidRPr="000B42CC">
        <w:rPr>
          <w:rFonts w:cs="Times New Roman"/>
          <w:szCs w:val="24"/>
        </w:rPr>
        <w:t>In conclusion, Artificial Intelligence is reshaping pharmaceutical marketing into a discipline that is not only smarter but also more human. By combining computational power with empathy, precision with transparency, and innovation with responsibility, AI offers the pharmaceutical industry a unique opportunity to build enduring relationships founded on trust, knowledge, and value. The rise of smart marketing is therefore not the end of traditional engagement</w:t>
      </w:r>
      <w:r w:rsidR="00BC05E9">
        <w:rPr>
          <w:rFonts w:cs="Times New Roman"/>
          <w:szCs w:val="24"/>
        </w:rPr>
        <w:t xml:space="preserve"> </w:t>
      </w:r>
      <w:r w:rsidRPr="000B42CC">
        <w:rPr>
          <w:rFonts w:cs="Times New Roman"/>
          <w:szCs w:val="24"/>
        </w:rPr>
        <w:t>it is the beginning of a new, ethically intelligent era in global healthcare communication.</w:t>
      </w:r>
    </w:p>
    <w:p w14:paraId="10ED91E1" w14:textId="5FE9212B" w:rsidR="00C404E4" w:rsidRDefault="000B42CC" w:rsidP="008D3809">
      <w:pPr>
        <w:pStyle w:val="Style1"/>
        <w:spacing w:after="0" w:line="360" w:lineRule="auto"/>
        <w:rPr>
          <w:rFonts w:cs="Times New Roman"/>
          <w:szCs w:val="24"/>
        </w:rPr>
      </w:pPr>
      <w:r w:rsidRPr="00A034C4">
        <w:rPr>
          <w:rFonts w:cs="Times New Roman"/>
          <w:b/>
          <w:bCs w:val="0"/>
          <w:szCs w:val="24"/>
        </w:rPr>
        <w:t>10. Conflict of Interest</w:t>
      </w:r>
      <w:r w:rsidRPr="008D3809">
        <w:rPr>
          <w:rFonts w:cs="Times New Roman"/>
          <w:szCs w:val="24"/>
        </w:rPr>
        <w:t>: Not Applicable</w:t>
      </w:r>
    </w:p>
    <w:p w14:paraId="6C7967CA" w14:textId="77777777" w:rsidR="00FA7FFB" w:rsidRPr="00BC05E9" w:rsidRDefault="00FA7FFB" w:rsidP="00BC05E9">
      <w:pPr>
        <w:jc w:val="both"/>
        <w:outlineLvl w:val="0"/>
        <w:rPr>
          <w:rFonts w:ascii="Times New Roman" w:hAnsi="Times New Roman" w:cs="Times New Roman"/>
        </w:rPr>
      </w:pPr>
      <w:r w:rsidRPr="00BC05E9">
        <w:rPr>
          <w:rFonts w:ascii="Times New Roman" w:hAnsi="Times New Roman" w:cs="Times New Roman"/>
          <w:b/>
          <w:bCs/>
        </w:rPr>
        <w:t>COMPETING INTERESTS DISCLAIMER:</w:t>
      </w:r>
    </w:p>
    <w:p w14:paraId="088FADAB" w14:textId="6374CA9D" w:rsidR="00FA7FFB" w:rsidRPr="00BC05E9" w:rsidRDefault="00FA7FFB" w:rsidP="00BC05E9">
      <w:pPr>
        <w:jc w:val="both"/>
        <w:rPr>
          <w:rFonts w:ascii="Times New Roman" w:hAnsi="Times New Roman" w:cs="Times New Roman"/>
        </w:rPr>
      </w:pPr>
      <w:r w:rsidRPr="00BC05E9">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128DDA2E" w14:textId="66F7D4D3" w:rsidR="00F801CE" w:rsidRDefault="00F801CE" w:rsidP="00FA7FFB"/>
    <w:p w14:paraId="4CAC92BF" w14:textId="1386790A" w:rsidR="00F801CE" w:rsidRDefault="00F801CE" w:rsidP="00FA7FFB"/>
    <w:p w14:paraId="6E312648" w14:textId="77777777" w:rsidR="00F801CE" w:rsidRDefault="00F801CE" w:rsidP="00F801CE">
      <w:pPr>
        <w:rPr>
          <w:rFonts w:ascii="Calibri" w:eastAsia="Calibri" w:hAnsi="Calibri" w:cs="Times New Roman"/>
          <w:highlight w:val="yellow"/>
          <w:lang w:val="en-US"/>
        </w:rPr>
      </w:pPr>
      <w:bookmarkStart w:id="1" w:name="_Hlk204003461"/>
    </w:p>
    <w:p w14:paraId="6E968027" w14:textId="77777777" w:rsidR="00F801CE" w:rsidRPr="00046C34" w:rsidRDefault="00F801CE" w:rsidP="00F801CE">
      <w:pPr>
        <w:rPr>
          <w:rFonts w:ascii="Calibri" w:eastAsia="Calibri" w:hAnsi="Calibri" w:cs="Times New Roman"/>
          <w:highlight w:val="yellow"/>
          <w:lang w:val="en-US"/>
        </w:rPr>
      </w:pPr>
      <w:bookmarkStart w:id="2" w:name="_Hlk211509776"/>
      <w:r w:rsidRPr="00046C34">
        <w:rPr>
          <w:rFonts w:ascii="Calibri" w:eastAsia="Calibri" w:hAnsi="Calibri" w:cs="Times New Roman"/>
          <w:highlight w:val="yellow"/>
          <w:lang w:val="en-US"/>
        </w:rPr>
        <w:t>Disclaimer (Artificial intelligence)</w:t>
      </w:r>
    </w:p>
    <w:p w14:paraId="1EBF5CDE" w14:textId="77777777" w:rsidR="00F801CE" w:rsidRPr="00046C34" w:rsidRDefault="00F801CE" w:rsidP="00F801CE">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Option 1: </w:t>
      </w:r>
    </w:p>
    <w:p w14:paraId="2E5A7E80" w14:textId="77777777" w:rsidR="00F801CE" w:rsidRPr="00046C34" w:rsidRDefault="00F801CE" w:rsidP="00F801CE">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28DE2B55" w14:textId="77777777" w:rsidR="00F801CE" w:rsidRDefault="00F801CE" w:rsidP="00FA7FFB"/>
    <w:p w14:paraId="1DE5F384" w14:textId="77777777" w:rsidR="00FA7FFB" w:rsidRPr="008D3809" w:rsidRDefault="00FA7FFB" w:rsidP="008D3809">
      <w:pPr>
        <w:pStyle w:val="Style1"/>
        <w:spacing w:after="0" w:line="360" w:lineRule="auto"/>
        <w:rPr>
          <w:rFonts w:cs="Times New Roman"/>
          <w:szCs w:val="24"/>
        </w:rPr>
      </w:pPr>
    </w:p>
    <w:p w14:paraId="595720C7" w14:textId="441CEC56" w:rsidR="000B42CC" w:rsidRPr="00A034C4" w:rsidRDefault="000B42CC" w:rsidP="008D3809">
      <w:pPr>
        <w:pStyle w:val="Style1"/>
        <w:spacing w:after="0" w:line="360" w:lineRule="auto"/>
        <w:rPr>
          <w:rFonts w:cs="Times New Roman"/>
          <w:b/>
          <w:bCs w:val="0"/>
          <w:szCs w:val="24"/>
        </w:rPr>
      </w:pPr>
      <w:r w:rsidRPr="00A034C4">
        <w:rPr>
          <w:rFonts w:cs="Times New Roman"/>
          <w:b/>
          <w:bCs w:val="0"/>
          <w:szCs w:val="24"/>
        </w:rPr>
        <w:t xml:space="preserve">11. References: </w:t>
      </w:r>
    </w:p>
    <w:sdt>
      <w:sdtPr>
        <w:rPr>
          <w:rFonts w:ascii="Times New Roman" w:hAnsi="Times New Roman" w:cs="Times New Roman"/>
          <w:bCs/>
          <w:color w:val="000000"/>
          <w:sz w:val="24"/>
          <w:szCs w:val="24"/>
        </w:rPr>
        <w:tag w:val="MENDELEY_BIBLIOGRAPHY"/>
        <w:id w:val="1259417292"/>
        <w:placeholder>
          <w:docPart w:val="DefaultPlaceholder_-1854013440"/>
        </w:placeholder>
      </w:sdtPr>
      <w:sdtEndPr/>
      <w:sdtContent>
        <w:p w14:paraId="254BAFB7" w14:textId="77777777" w:rsidR="00A034C4" w:rsidRPr="00A034C4" w:rsidRDefault="00A034C4" w:rsidP="00A034C4">
          <w:pPr>
            <w:autoSpaceDE w:val="0"/>
            <w:autoSpaceDN w:val="0"/>
            <w:spacing w:line="360" w:lineRule="auto"/>
            <w:ind w:hanging="640"/>
            <w:jc w:val="both"/>
            <w:divId w:val="871385336"/>
            <w:rPr>
              <w:rFonts w:ascii="Times New Roman" w:eastAsia="Times New Roman" w:hAnsi="Times New Roman" w:cs="Times New Roman"/>
              <w:color w:val="000000"/>
              <w:kern w:val="0"/>
              <w:sz w:val="24"/>
              <w:szCs w:val="24"/>
              <w14:ligatures w14:val="none"/>
            </w:rPr>
          </w:pPr>
          <w:r w:rsidRPr="00A034C4">
            <w:rPr>
              <w:rFonts w:ascii="Times New Roman" w:eastAsia="Times New Roman" w:hAnsi="Times New Roman" w:cs="Times New Roman"/>
              <w:color w:val="000000"/>
              <w:sz w:val="24"/>
              <w:szCs w:val="24"/>
              <w:lang w:val="pt-BR"/>
            </w:rPr>
            <w:t>1.</w:t>
          </w:r>
          <w:r w:rsidRPr="00A034C4">
            <w:rPr>
              <w:rFonts w:ascii="Times New Roman" w:eastAsia="Times New Roman" w:hAnsi="Times New Roman" w:cs="Times New Roman"/>
              <w:color w:val="000000"/>
              <w:sz w:val="24"/>
              <w:szCs w:val="24"/>
              <w:lang w:val="pt-BR"/>
            </w:rPr>
            <w:tab/>
            <w:t xml:space="preserve">Sharma R, Sharma R, Singla RK. </w:t>
          </w:r>
          <w:r w:rsidRPr="00A034C4">
            <w:rPr>
              <w:rFonts w:ascii="Times New Roman" w:eastAsia="Times New Roman" w:hAnsi="Times New Roman" w:cs="Times New Roman"/>
              <w:color w:val="000000"/>
              <w:sz w:val="24"/>
              <w:szCs w:val="24"/>
            </w:rPr>
            <w:t xml:space="preserve">Drug Discovery, Diagnostic, and therapeutic trends on Mpox: A patent landscape. </w:t>
          </w:r>
          <w:proofErr w:type="spellStart"/>
          <w:r w:rsidRPr="00A034C4">
            <w:rPr>
              <w:rFonts w:ascii="Times New Roman" w:eastAsia="Times New Roman" w:hAnsi="Times New Roman" w:cs="Times New Roman"/>
              <w:color w:val="000000"/>
              <w:sz w:val="24"/>
              <w:szCs w:val="24"/>
            </w:rPr>
            <w:t>Curr</w:t>
          </w:r>
          <w:proofErr w:type="spellEnd"/>
          <w:r w:rsidRPr="00A034C4">
            <w:rPr>
              <w:rFonts w:ascii="Times New Roman" w:eastAsia="Times New Roman" w:hAnsi="Times New Roman" w:cs="Times New Roman"/>
              <w:color w:val="000000"/>
              <w:sz w:val="24"/>
              <w:szCs w:val="24"/>
            </w:rPr>
            <w:t xml:space="preserve"> Res </w:t>
          </w:r>
          <w:proofErr w:type="spellStart"/>
          <w:r w:rsidRPr="00A034C4">
            <w:rPr>
              <w:rFonts w:ascii="Times New Roman" w:eastAsia="Times New Roman" w:hAnsi="Times New Roman" w:cs="Times New Roman"/>
              <w:color w:val="000000"/>
              <w:sz w:val="24"/>
              <w:szCs w:val="24"/>
            </w:rPr>
            <w:t>Biotechnol</w:t>
          </w:r>
          <w:proofErr w:type="spellEnd"/>
          <w:r w:rsidRPr="00A034C4">
            <w:rPr>
              <w:rFonts w:ascii="Times New Roman" w:eastAsia="Times New Roman" w:hAnsi="Times New Roman" w:cs="Times New Roman"/>
              <w:color w:val="000000"/>
              <w:sz w:val="24"/>
              <w:szCs w:val="24"/>
            </w:rPr>
            <w:t xml:space="preserve">. 2024 Jan 1;7. </w:t>
          </w:r>
        </w:p>
        <w:p w14:paraId="63A0D7AB" w14:textId="77777777" w:rsidR="00A034C4" w:rsidRPr="00A034C4" w:rsidRDefault="00A034C4" w:rsidP="00A034C4">
          <w:pPr>
            <w:autoSpaceDE w:val="0"/>
            <w:autoSpaceDN w:val="0"/>
            <w:spacing w:line="360" w:lineRule="auto"/>
            <w:ind w:hanging="640"/>
            <w:jc w:val="both"/>
            <w:divId w:val="11707010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w:t>
          </w:r>
          <w:r w:rsidRPr="00A034C4">
            <w:rPr>
              <w:rFonts w:ascii="Times New Roman" w:eastAsia="Times New Roman" w:hAnsi="Times New Roman" w:cs="Times New Roman"/>
              <w:color w:val="000000"/>
              <w:sz w:val="24"/>
              <w:szCs w:val="24"/>
            </w:rPr>
            <w:tab/>
            <w:t xml:space="preserve">Wainwright CL, Teixeira MM, Adelson DL, Buenz EJ, David B, Glaser KB, et al. Future directions for the discovery of natural product-derived immunomodulating drugs: an IUPHAR positional review. Vol. 177, Pharmacological Research. Academic Press; 2022. </w:t>
          </w:r>
        </w:p>
        <w:p w14:paraId="2C7EB34F" w14:textId="77777777" w:rsidR="00A034C4" w:rsidRPr="00A034C4" w:rsidRDefault="00A034C4" w:rsidP="00A034C4">
          <w:pPr>
            <w:autoSpaceDE w:val="0"/>
            <w:autoSpaceDN w:val="0"/>
            <w:spacing w:line="360" w:lineRule="auto"/>
            <w:ind w:hanging="640"/>
            <w:jc w:val="both"/>
            <w:divId w:val="57517144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Rogalewicz</w:t>
          </w:r>
          <w:proofErr w:type="spellEnd"/>
          <w:r w:rsidRPr="00A034C4">
            <w:rPr>
              <w:rFonts w:ascii="Times New Roman" w:eastAsia="Times New Roman" w:hAnsi="Times New Roman" w:cs="Times New Roman"/>
              <w:color w:val="000000"/>
              <w:sz w:val="24"/>
              <w:szCs w:val="24"/>
            </w:rPr>
            <w:t xml:space="preserve"> B, </w:t>
          </w:r>
          <w:proofErr w:type="spellStart"/>
          <w:r w:rsidRPr="00A034C4">
            <w:rPr>
              <w:rFonts w:ascii="Times New Roman" w:eastAsia="Times New Roman" w:hAnsi="Times New Roman" w:cs="Times New Roman"/>
              <w:color w:val="000000"/>
              <w:sz w:val="24"/>
              <w:szCs w:val="24"/>
            </w:rPr>
            <w:t>Czylkowska</w:t>
          </w:r>
          <w:proofErr w:type="spellEnd"/>
          <w:r w:rsidRPr="00A034C4">
            <w:rPr>
              <w:rFonts w:ascii="Times New Roman" w:eastAsia="Times New Roman" w:hAnsi="Times New Roman" w:cs="Times New Roman"/>
              <w:color w:val="000000"/>
              <w:sz w:val="24"/>
              <w:szCs w:val="24"/>
            </w:rPr>
            <w:t xml:space="preserve"> A. Recent advances in the discovery of </w:t>
          </w:r>
          <w:proofErr w:type="gramStart"/>
          <w:r w:rsidRPr="00A034C4">
            <w:rPr>
              <w:rFonts w:ascii="Times New Roman" w:eastAsia="Times New Roman" w:hAnsi="Times New Roman" w:cs="Times New Roman"/>
              <w:color w:val="000000"/>
              <w:sz w:val="24"/>
              <w:szCs w:val="24"/>
            </w:rPr>
            <w:t>copper(</w:t>
          </w:r>
          <w:proofErr w:type="gramEnd"/>
          <w:r w:rsidRPr="00A034C4">
            <w:rPr>
              <w:rFonts w:ascii="Times New Roman" w:eastAsia="Times New Roman" w:hAnsi="Times New Roman" w:cs="Times New Roman"/>
              <w:color w:val="000000"/>
              <w:sz w:val="24"/>
              <w:szCs w:val="24"/>
            </w:rPr>
            <w:t xml:space="preserve">II) complexes as potential anticancer drugs. Vol. 292, European Journal of Medicinal Chemistry. Elsevier Masson </w:t>
          </w:r>
          <w:proofErr w:type="spellStart"/>
          <w:r w:rsidRPr="00A034C4">
            <w:rPr>
              <w:rFonts w:ascii="Times New Roman" w:eastAsia="Times New Roman" w:hAnsi="Times New Roman" w:cs="Times New Roman"/>
              <w:color w:val="000000"/>
              <w:sz w:val="24"/>
              <w:szCs w:val="24"/>
            </w:rPr>
            <w:t>s.r.l</w:t>
          </w:r>
          <w:proofErr w:type="spellEnd"/>
          <w:r w:rsidRPr="00A034C4">
            <w:rPr>
              <w:rFonts w:ascii="Times New Roman" w:eastAsia="Times New Roman" w:hAnsi="Times New Roman" w:cs="Times New Roman"/>
              <w:color w:val="000000"/>
              <w:sz w:val="24"/>
              <w:szCs w:val="24"/>
            </w:rPr>
            <w:t xml:space="preserve">.; 2025. </w:t>
          </w:r>
        </w:p>
        <w:p w14:paraId="13B19EAA" w14:textId="77777777" w:rsidR="00A034C4" w:rsidRPr="00A034C4" w:rsidRDefault="00A034C4" w:rsidP="00A034C4">
          <w:pPr>
            <w:autoSpaceDE w:val="0"/>
            <w:autoSpaceDN w:val="0"/>
            <w:spacing w:line="360" w:lineRule="auto"/>
            <w:ind w:hanging="640"/>
            <w:jc w:val="both"/>
            <w:divId w:val="143894054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w:t>
          </w:r>
          <w:r w:rsidRPr="00A034C4">
            <w:rPr>
              <w:rFonts w:ascii="Times New Roman" w:eastAsia="Times New Roman" w:hAnsi="Times New Roman" w:cs="Times New Roman"/>
              <w:color w:val="000000"/>
              <w:sz w:val="24"/>
              <w:szCs w:val="24"/>
            </w:rPr>
            <w:tab/>
            <w:t xml:space="preserve">Casalini T. Not only in silico drug discovery: Molecular </w:t>
          </w:r>
          <w:proofErr w:type="spellStart"/>
          <w:r w:rsidRPr="00A034C4">
            <w:rPr>
              <w:rFonts w:ascii="Times New Roman" w:eastAsia="Times New Roman" w:hAnsi="Times New Roman" w:cs="Times New Roman"/>
              <w:color w:val="000000"/>
              <w:sz w:val="24"/>
              <w:szCs w:val="24"/>
            </w:rPr>
            <w:t>modeling</w:t>
          </w:r>
          <w:proofErr w:type="spellEnd"/>
          <w:r w:rsidRPr="00A034C4">
            <w:rPr>
              <w:rFonts w:ascii="Times New Roman" w:eastAsia="Times New Roman" w:hAnsi="Times New Roman" w:cs="Times New Roman"/>
              <w:color w:val="000000"/>
              <w:sz w:val="24"/>
              <w:szCs w:val="24"/>
            </w:rPr>
            <w:t xml:space="preserve"> towards in </w:t>
          </w:r>
          <w:proofErr w:type="spellStart"/>
          <w:r w:rsidRPr="00A034C4">
            <w:rPr>
              <w:rFonts w:ascii="Times New Roman" w:eastAsia="Times New Roman" w:hAnsi="Times New Roman" w:cs="Times New Roman"/>
              <w:color w:val="000000"/>
              <w:sz w:val="24"/>
              <w:szCs w:val="24"/>
            </w:rPr>
            <w:t>silico</w:t>
          </w:r>
          <w:proofErr w:type="spellEnd"/>
          <w:r w:rsidRPr="00A034C4">
            <w:rPr>
              <w:rFonts w:ascii="Times New Roman" w:eastAsia="Times New Roman" w:hAnsi="Times New Roman" w:cs="Times New Roman"/>
              <w:color w:val="000000"/>
              <w:sz w:val="24"/>
              <w:szCs w:val="24"/>
            </w:rPr>
            <w:t xml:space="preserve"> drug delivery formulations. Vol. 332, Journal of Controlled Release. Elsevier B.V.; 2021. p. 390–417. </w:t>
          </w:r>
        </w:p>
        <w:p w14:paraId="2020A5BE" w14:textId="700E07B7" w:rsidR="00A034C4" w:rsidRPr="00A034C4" w:rsidRDefault="00A034C4" w:rsidP="00A034C4">
          <w:pPr>
            <w:autoSpaceDE w:val="0"/>
            <w:autoSpaceDN w:val="0"/>
            <w:spacing w:line="360" w:lineRule="auto"/>
            <w:ind w:hanging="640"/>
            <w:jc w:val="both"/>
            <w:divId w:val="150689543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w:t>
          </w:r>
          <w:r w:rsidRPr="00A034C4">
            <w:rPr>
              <w:rFonts w:ascii="Times New Roman" w:eastAsia="Times New Roman" w:hAnsi="Times New Roman" w:cs="Times New Roman"/>
              <w:color w:val="000000"/>
              <w:sz w:val="24"/>
              <w:szCs w:val="24"/>
            </w:rPr>
            <w:tab/>
          </w:r>
          <w:proofErr w:type="spellStart"/>
          <w:r w:rsidR="00DF7456" w:rsidRPr="00DF7456">
            <w:rPr>
              <w:rFonts w:ascii="Times New Roman" w:eastAsia="Times New Roman" w:hAnsi="Times New Roman" w:cs="Times New Roman"/>
              <w:color w:val="000000"/>
              <w:sz w:val="24"/>
              <w:szCs w:val="24"/>
            </w:rPr>
            <w:t>Shitalkumar</w:t>
          </w:r>
          <w:proofErr w:type="spellEnd"/>
          <w:r w:rsidR="00DF7456" w:rsidRPr="00DF7456">
            <w:rPr>
              <w:rFonts w:ascii="Times New Roman" w:eastAsia="Times New Roman" w:hAnsi="Times New Roman" w:cs="Times New Roman"/>
              <w:color w:val="000000"/>
              <w:sz w:val="24"/>
              <w:szCs w:val="24"/>
            </w:rPr>
            <w:t xml:space="preserve"> </w:t>
          </w:r>
          <w:proofErr w:type="spellStart"/>
          <w:r w:rsidR="00DF7456" w:rsidRPr="00DF7456">
            <w:rPr>
              <w:rFonts w:ascii="Times New Roman" w:eastAsia="Times New Roman" w:hAnsi="Times New Roman" w:cs="Times New Roman"/>
              <w:color w:val="000000"/>
              <w:sz w:val="24"/>
              <w:szCs w:val="24"/>
            </w:rPr>
            <w:t>Patil</w:t>
          </w:r>
          <w:proofErr w:type="spellEnd"/>
          <w:r w:rsidR="00DF7456" w:rsidRPr="00DF7456">
            <w:rPr>
              <w:rFonts w:ascii="Times New Roman" w:eastAsia="Times New Roman" w:hAnsi="Times New Roman" w:cs="Times New Roman"/>
              <w:color w:val="000000"/>
              <w:sz w:val="24"/>
              <w:szCs w:val="24"/>
            </w:rPr>
            <w:t xml:space="preserve">, </w:t>
          </w:r>
          <w:proofErr w:type="spellStart"/>
          <w:r w:rsidR="00DF7456" w:rsidRPr="00DF7456">
            <w:rPr>
              <w:rFonts w:ascii="Times New Roman" w:eastAsia="Times New Roman" w:hAnsi="Times New Roman" w:cs="Times New Roman"/>
              <w:color w:val="000000"/>
              <w:sz w:val="24"/>
              <w:szCs w:val="24"/>
            </w:rPr>
            <w:t>Vrushabh</w:t>
          </w:r>
          <w:proofErr w:type="spellEnd"/>
          <w:r w:rsidR="00DF7456" w:rsidRPr="00DF7456">
            <w:rPr>
              <w:rFonts w:ascii="Times New Roman" w:eastAsia="Times New Roman" w:hAnsi="Times New Roman" w:cs="Times New Roman"/>
              <w:color w:val="000000"/>
              <w:sz w:val="24"/>
              <w:szCs w:val="24"/>
            </w:rPr>
            <w:t xml:space="preserve"> </w:t>
          </w:r>
          <w:proofErr w:type="spellStart"/>
          <w:r w:rsidR="00DF7456" w:rsidRPr="00DF7456">
            <w:rPr>
              <w:rFonts w:ascii="Times New Roman" w:eastAsia="Times New Roman" w:hAnsi="Times New Roman" w:cs="Times New Roman"/>
              <w:color w:val="000000"/>
              <w:sz w:val="24"/>
              <w:szCs w:val="24"/>
            </w:rPr>
            <w:t>Patil</w:t>
          </w:r>
          <w:proofErr w:type="spellEnd"/>
          <w:r w:rsidR="00DF7456" w:rsidRPr="00DF7456">
            <w:rPr>
              <w:rFonts w:ascii="Times New Roman" w:eastAsia="Times New Roman" w:hAnsi="Times New Roman" w:cs="Times New Roman"/>
              <w:color w:val="000000"/>
              <w:sz w:val="24"/>
              <w:szCs w:val="24"/>
            </w:rPr>
            <w:t>, Darshani Taral, Shreya Magdum, Rachana Koli, and Siddhi Mane. 2025. “</w:t>
          </w:r>
          <w:proofErr w:type="spellStart"/>
          <w:r w:rsidR="00DF7456" w:rsidRPr="00DF7456">
            <w:rPr>
              <w:rFonts w:ascii="Times New Roman" w:eastAsia="Times New Roman" w:hAnsi="Times New Roman" w:cs="Times New Roman"/>
              <w:color w:val="000000"/>
              <w:sz w:val="24"/>
              <w:szCs w:val="24"/>
            </w:rPr>
            <w:t>FromTheory</w:t>
          </w:r>
          <w:proofErr w:type="spellEnd"/>
          <w:r w:rsidR="00DF7456" w:rsidRPr="00DF7456">
            <w:rPr>
              <w:rFonts w:ascii="Times New Roman" w:eastAsia="Times New Roman" w:hAnsi="Times New Roman" w:cs="Times New Roman"/>
              <w:color w:val="000000"/>
              <w:sz w:val="24"/>
              <w:szCs w:val="24"/>
            </w:rPr>
            <w:t xml:space="preserve"> to Practice: How Artificial Intelligence Is Reshaping Pharmacy Education Globally?”. Journal of Global Research </w:t>
          </w:r>
          <w:proofErr w:type="spellStart"/>
          <w:r w:rsidR="00DF7456" w:rsidRPr="00DF7456">
            <w:rPr>
              <w:rFonts w:ascii="Times New Roman" w:eastAsia="Times New Roman" w:hAnsi="Times New Roman" w:cs="Times New Roman"/>
              <w:color w:val="000000"/>
              <w:sz w:val="24"/>
              <w:szCs w:val="24"/>
            </w:rPr>
            <w:t>inEducation</w:t>
          </w:r>
          <w:proofErr w:type="spellEnd"/>
          <w:r w:rsidR="00DF7456" w:rsidRPr="00DF7456">
            <w:rPr>
              <w:rFonts w:ascii="Times New Roman" w:eastAsia="Times New Roman" w:hAnsi="Times New Roman" w:cs="Times New Roman"/>
              <w:color w:val="000000"/>
              <w:sz w:val="24"/>
              <w:szCs w:val="24"/>
            </w:rPr>
            <w:t xml:space="preserve"> and Social Science 19 (4):32–50. https://doi.org/10.56557/jogress/2025/v19i49683. </w:t>
          </w:r>
        </w:p>
        <w:p w14:paraId="1F833687" w14:textId="77777777" w:rsidR="00A034C4" w:rsidRPr="00A034C4" w:rsidRDefault="00A034C4" w:rsidP="00A034C4">
          <w:pPr>
            <w:autoSpaceDE w:val="0"/>
            <w:autoSpaceDN w:val="0"/>
            <w:spacing w:line="360" w:lineRule="auto"/>
            <w:ind w:hanging="640"/>
            <w:jc w:val="both"/>
            <w:divId w:val="1213612013"/>
            <w:rPr>
              <w:rFonts w:ascii="Times New Roman" w:eastAsia="Times New Roman" w:hAnsi="Times New Roman" w:cs="Times New Roman"/>
              <w:color w:val="000000"/>
              <w:sz w:val="24"/>
              <w:szCs w:val="24"/>
            </w:rPr>
          </w:pPr>
          <w:r w:rsidRPr="00DF7456">
            <w:rPr>
              <w:rFonts w:ascii="Times New Roman" w:eastAsia="Times New Roman" w:hAnsi="Times New Roman" w:cs="Times New Roman"/>
              <w:color w:val="000000"/>
              <w:sz w:val="24"/>
              <w:szCs w:val="24"/>
              <w:lang w:val="nb-NO"/>
            </w:rPr>
            <w:t>6.</w:t>
          </w:r>
          <w:r w:rsidRPr="00DF7456">
            <w:rPr>
              <w:rFonts w:ascii="Times New Roman" w:eastAsia="Times New Roman" w:hAnsi="Times New Roman" w:cs="Times New Roman"/>
              <w:color w:val="000000"/>
              <w:sz w:val="24"/>
              <w:szCs w:val="24"/>
              <w:lang w:val="nb-NO"/>
            </w:rPr>
            <w:tab/>
            <w:t xml:space="preserve">Bandi MP, Mali SS, Kodag PP, Gadade SS. </w:t>
          </w:r>
          <w:r w:rsidRPr="00A034C4">
            <w:rPr>
              <w:rFonts w:ascii="Times New Roman" w:eastAsia="Times New Roman" w:hAnsi="Times New Roman" w:cs="Times New Roman"/>
              <w:color w:val="000000"/>
              <w:sz w:val="24"/>
              <w:szCs w:val="24"/>
            </w:rPr>
            <w:t>“INTEGRATION OF ARTIFICIAL INTELLIGENCE IN DRUG DISCOVERY AND DRUG DELIVERY: A COMPREHENSIVE REVIEW.” 2024; Available from: www.ijrar.org</w:t>
          </w:r>
        </w:p>
        <w:p w14:paraId="07CF9DFB" w14:textId="77777777" w:rsidR="00A034C4" w:rsidRPr="00A034C4" w:rsidRDefault="00A034C4" w:rsidP="00A034C4">
          <w:pPr>
            <w:autoSpaceDE w:val="0"/>
            <w:autoSpaceDN w:val="0"/>
            <w:spacing w:line="360" w:lineRule="auto"/>
            <w:ind w:hanging="640"/>
            <w:jc w:val="both"/>
            <w:divId w:val="192251930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7.</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Gadade</w:t>
          </w:r>
          <w:proofErr w:type="spellEnd"/>
          <w:r w:rsidRPr="00A034C4">
            <w:rPr>
              <w:rFonts w:ascii="Times New Roman" w:eastAsia="Times New Roman" w:hAnsi="Times New Roman" w:cs="Times New Roman"/>
              <w:color w:val="000000"/>
              <w:sz w:val="24"/>
              <w:szCs w:val="24"/>
            </w:rPr>
            <w:t xml:space="preserve"> SS, Mali1 SS, </w:t>
          </w:r>
          <w:proofErr w:type="spellStart"/>
          <w:r w:rsidRPr="00A034C4">
            <w:rPr>
              <w:rFonts w:ascii="Times New Roman" w:eastAsia="Times New Roman" w:hAnsi="Times New Roman" w:cs="Times New Roman"/>
              <w:color w:val="000000"/>
              <w:sz w:val="24"/>
              <w:szCs w:val="24"/>
            </w:rPr>
            <w:t>Bandi</w:t>
          </w:r>
          <w:proofErr w:type="spellEnd"/>
          <w:r w:rsidRPr="00A034C4">
            <w:rPr>
              <w:rFonts w:ascii="Times New Roman" w:eastAsia="Times New Roman" w:hAnsi="Times New Roman" w:cs="Times New Roman"/>
              <w:color w:val="000000"/>
              <w:sz w:val="24"/>
              <w:szCs w:val="24"/>
            </w:rPr>
            <w:t xml:space="preserve"> MP, </w:t>
          </w:r>
          <w:proofErr w:type="spellStart"/>
          <w:r w:rsidRPr="00A034C4">
            <w:rPr>
              <w:rFonts w:ascii="Times New Roman" w:eastAsia="Times New Roman" w:hAnsi="Times New Roman" w:cs="Times New Roman"/>
              <w:color w:val="000000"/>
              <w:sz w:val="24"/>
              <w:szCs w:val="24"/>
            </w:rPr>
            <w:t>Kodag</w:t>
          </w:r>
          <w:proofErr w:type="spellEnd"/>
          <w:r w:rsidRPr="00A034C4">
            <w:rPr>
              <w:rFonts w:ascii="Times New Roman" w:eastAsia="Times New Roman" w:hAnsi="Times New Roman" w:cs="Times New Roman"/>
              <w:color w:val="000000"/>
              <w:sz w:val="24"/>
              <w:szCs w:val="24"/>
            </w:rPr>
            <w:t xml:space="preserve"> PP. “RNA-BASED THERAPEUTICS: PARADIGMS SHIFT IN DRUG DISCOVERY AND DELIVERY.” 2024; Available from: www.ijrar.org</w:t>
          </w:r>
        </w:p>
        <w:p w14:paraId="42EC5DDB" w14:textId="77777777" w:rsidR="00A034C4" w:rsidRPr="00A034C4" w:rsidRDefault="00A034C4" w:rsidP="00A034C4">
          <w:pPr>
            <w:autoSpaceDE w:val="0"/>
            <w:autoSpaceDN w:val="0"/>
            <w:spacing w:line="360" w:lineRule="auto"/>
            <w:ind w:hanging="640"/>
            <w:jc w:val="both"/>
            <w:divId w:val="10951261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8.</w:t>
          </w:r>
          <w:r w:rsidRPr="00A034C4">
            <w:rPr>
              <w:rFonts w:ascii="Times New Roman" w:eastAsia="Times New Roman" w:hAnsi="Times New Roman" w:cs="Times New Roman"/>
              <w:color w:val="000000"/>
              <w:sz w:val="24"/>
              <w:szCs w:val="24"/>
            </w:rPr>
            <w:tab/>
            <w:t>RNA-based therapeutics: Paradigms shift in Drug discovery and delivery [Internet]. Available from: www.ijrar.org</w:t>
          </w:r>
        </w:p>
        <w:p w14:paraId="00D972D4" w14:textId="77777777" w:rsidR="00A034C4" w:rsidRPr="00A034C4" w:rsidRDefault="00A034C4" w:rsidP="00A034C4">
          <w:pPr>
            <w:autoSpaceDE w:val="0"/>
            <w:autoSpaceDN w:val="0"/>
            <w:spacing w:line="360" w:lineRule="auto"/>
            <w:ind w:hanging="640"/>
            <w:jc w:val="both"/>
            <w:divId w:val="579801265"/>
            <w:rPr>
              <w:rFonts w:ascii="Times New Roman" w:eastAsia="Times New Roman" w:hAnsi="Times New Roman" w:cs="Times New Roman"/>
              <w:color w:val="000000"/>
              <w:sz w:val="24"/>
              <w:szCs w:val="24"/>
            </w:rPr>
          </w:pPr>
          <w:r w:rsidRPr="00BC05E9">
            <w:rPr>
              <w:rFonts w:ascii="Times New Roman" w:eastAsia="Times New Roman" w:hAnsi="Times New Roman" w:cs="Times New Roman"/>
              <w:color w:val="000000"/>
              <w:sz w:val="24"/>
              <w:szCs w:val="24"/>
              <w:lang w:val="nb-NO"/>
            </w:rPr>
            <w:t>9.</w:t>
          </w:r>
          <w:r w:rsidRPr="00BC05E9">
            <w:rPr>
              <w:rFonts w:ascii="Times New Roman" w:eastAsia="Times New Roman" w:hAnsi="Times New Roman" w:cs="Times New Roman"/>
              <w:color w:val="000000"/>
              <w:sz w:val="24"/>
              <w:szCs w:val="24"/>
              <w:lang w:val="nb-NO"/>
            </w:rPr>
            <w:tab/>
            <w:t xml:space="preserve">Hajare AA, Salunkhe SS, Mali SS, Gorde SS, Nadaf SJ, Pishawikar SA. </w:t>
          </w:r>
          <w:r w:rsidRPr="00A034C4">
            <w:rPr>
              <w:rFonts w:ascii="Times New Roman" w:eastAsia="Times New Roman" w:hAnsi="Times New Roman" w:cs="Times New Roman"/>
              <w:color w:val="000000"/>
              <w:sz w:val="24"/>
              <w:szCs w:val="24"/>
            </w:rPr>
            <w:t xml:space="preserve">Review On: High-Throughput Screening Is An Approach To Drug Discovery. American Journal of </w:t>
          </w:r>
          <w:proofErr w:type="spellStart"/>
          <w:r w:rsidRPr="00A034C4">
            <w:rPr>
              <w:rFonts w:ascii="Times New Roman" w:eastAsia="Times New Roman" w:hAnsi="Times New Roman" w:cs="Times New Roman"/>
              <w:color w:val="000000"/>
              <w:sz w:val="24"/>
              <w:szCs w:val="24"/>
            </w:rPr>
            <w:t>PharmTech</w:t>
          </w:r>
          <w:proofErr w:type="spellEnd"/>
          <w:r w:rsidRPr="00A034C4">
            <w:rPr>
              <w:rFonts w:ascii="Times New Roman" w:eastAsia="Times New Roman" w:hAnsi="Times New Roman" w:cs="Times New Roman"/>
              <w:color w:val="000000"/>
              <w:sz w:val="24"/>
              <w:szCs w:val="24"/>
            </w:rPr>
            <w:t xml:space="preserve"> Research [Internet]. 2014;4(1). Available from: http://www.ajptr.com/</w:t>
          </w:r>
        </w:p>
        <w:p w14:paraId="3116E172" w14:textId="77777777" w:rsidR="00A034C4" w:rsidRPr="00A034C4" w:rsidRDefault="00A034C4" w:rsidP="00A034C4">
          <w:pPr>
            <w:autoSpaceDE w:val="0"/>
            <w:autoSpaceDN w:val="0"/>
            <w:spacing w:line="360" w:lineRule="auto"/>
            <w:ind w:hanging="640"/>
            <w:jc w:val="both"/>
            <w:divId w:val="145151431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10.</w:t>
          </w:r>
          <w:r w:rsidRPr="00A034C4">
            <w:rPr>
              <w:rFonts w:ascii="Times New Roman" w:eastAsia="Times New Roman" w:hAnsi="Times New Roman" w:cs="Times New Roman"/>
              <w:color w:val="000000"/>
              <w:sz w:val="24"/>
              <w:szCs w:val="24"/>
            </w:rPr>
            <w:tab/>
            <w:t xml:space="preserve">Bandi MP. Integration </w:t>
          </w:r>
          <w:proofErr w:type="gramStart"/>
          <w:r w:rsidRPr="00A034C4">
            <w:rPr>
              <w:rFonts w:ascii="Times New Roman" w:eastAsia="Times New Roman" w:hAnsi="Times New Roman" w:cs="Times New Roman"/>
              <w:color w:val="000000"/>
              <w:sz w:val="24"/>
              <w:szCs w:val="24"/>
            </w:rPr>
            <w:t>Of Artificial Intelligence In</w:t>
          </w:r>
          <w:proofErr w:type="gramEnd"/>
          <w:r w:rsidRPr="00A034C4">
            <w:rPr>
              <w:rFonts w:ascii="Times New Roman" w:eastAsia="Times New Roman" w:hAnsi="Times New Roman" w:cs="Times New Roman"/>
              <w:color w:val="000000"/>
              <w:sz w:val="24"/>
              <w:szCs w:val="24"/>
            </w:rPr>
            <w:t xml:space="preserve"> Drug Discovery and Delivery: A Comprehensive review [Internet]. Available from: www.ijrar.org</w:t>
          </w:r>
        </w:p>
        <w:p w14:paraId="55D38F42" w14:textId="77777777" w:rsidR="00A034C4" w:rsidRPr="00A034C4" w:rsidRDefault="00A034C4" w:rsidP="00A034C4">
          <w:pPr>
            <w:autoSpaceDE w:val="0"/>
            <w:autoSpaceDN w:val="0"/>
            <w:spacing w:line="360" w:lineRule="auto"/>
            <w:ind w:hanging="640"/>
            <w:jc w:val="both"/>
            <w:divId w:val="187507094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11.</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Puhlmann</w:t>
          </w:r>
          <w:proofErr w:type="spellEnd"/>
          <w:r w:rsidRPr="00A034C4">
            <w:rPr>
              <w:rFonts w:ascii="Times New Roman" w:eastAsia="Times New Roman" w:hAnsi="Times New Roman" w:cs="Times New Roman"/>
              <w:color w:val="000000"/>
              <w:sz w:val="24"/>
              <w:szCs w:val="24"/>
            </w:rPr>
            <w:t xml:space="preserve"> N, </w:t>
          </w:r>
          <w:proofErr w:type="spellStart"/>
          <w:r w:rsidRPr="00A034C4">
            <w:rPr>
              <w:rFonts w:ascii="Times New Roman" w:eastAsia="Times New Roman" w:hAnsi="Times New Roman" w:cs="Times New Roman"/>
              <w:color w:val="000000"/>
              <w:sz w:val="24"/>
              <w:szCs w:val="24"/>
            </w:rPr>
            <w:t>Vidaurre</w:t>
          </w:r>
          <w:proofErr w:type="spellEnd"/>
          <w:r w:rsidRPr="00A034C4">
            <w:rPr>
              <w:rFonts w:ascii="Times New Roman" w:eastAsia="Times New Roman" w:hAnsi="Times New Roman" w:cs="Times New Roman"/>
              <w:color w:val="000000"/>
              <w:sz w:val="24"/>
              <w:szCs w:val="24"/>
            </w:rPr>
            <w:t xml:space="preserve"> R, </w:t>
          </w:r>
          <w:proofErr w:type="spellStart"/>
          <w:r w:rsidRPr="00A034C4">
            <w:rPr>
              <w:rFonts w:ascii="Times New Roman" w:eastAsia="Times New Roman" w:hAnsi="Times New Roman" w:cs="Times New Roman"/>
              <w:color w:val="000000"/>
              <w:sz w:val="24"/>
              <w:szCs w:val="24"/>
            </w:rPr>
            <w:t>Kümmerer</w:t>
          </w:r>
          <w:proofErr w:type="spellEnd"/>
          <w:r w:rsidRPr="00A034C4">
            <w:rPr>
              <w:rFonts w:ascii="Times New Roman" w:eastAsia="Times New Roman" w:hAnsi="Times New Roman" w:cs="Times New Roman"/>
              <w:color w:val="000000"/>
              <w:sz w:val="24"/>
              <w:szCs w:val="24"/>
            </w:rPr>
            <w:t xml:space="preserve"> K. Designing greener active pharmaceutical ingredients: Insights from pharmaceutical industry into drug discovery and development. European Journal of Pharmaceutical Sciences. 2024 Jan 1;192. </w:t>
          </w:r>
        </w:p>
        <w:p w14:paraId="302BA8D6" w14:textId="77777777" w:rsidR="00A034C4" w:rsidRPr="00A034C4" w:rsidRDefault="00A034C4" w:rsidP="00A034C4">
          <w:pPr>
            <w:autoSpaceDE w:val="0"/>
            <w:autoSpaceDN w:val="0"/>
            <w:spacing w:line="360" w:lineRule="auto"/>
            <w:ind w:hanging="640"/>
            <w:jc w:val="both"/>
            <w:divId w:val="211053879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12.</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S, Mali SN, Mali S. Unveiling promising </w:t>
          </w:r>
          <w:proofErr w:type="spellStart"/>
          <w:r w:rsidRPr="00A034C4">
            <w:rPr>
              <w:rFonts w:ascii="Times New Roman" w:eastAsia="Times New Roman" w:hAnsi="Times New Roman" w:cs="Times New Roman"/>
              <w:color w:val="000000"/>
              <w:sz w:val="24"/>
              <w:szCs w:val="24"/>
            </w:rPr>
            <w:t>bioactives</w:t>
          </w:r>
          <w:proofErr w:type="spellEnd"/>
          <w:r w:rsidRPr="00A034C4">
            <w:rPr>
              <w:rFonts w:ascii="Times New Roman" w:eastAsia="Times New Roman" w:hAnsi="Times New Roman" w:cs="Times New Roman"/>
              <w:color w:val="000000"/>
              <w:sz w:val="24"/>
              <w:szCs w:val="24"/>
            </w:rPr>
            <w:t xml:space="preserve"> for breast cancer: a novel approach for herbal-based drug discovery. Phytochemistry Reviews. 2024; </w:t>
          </w:r>
        </w:p>
        <w:p w14:paraId="15F8F169" w14:textId="77777777" w:rsidR="00A034C4" w:rsidRPr="00A034C4" w:rsidRDefault="00A034C4" w:rsidP="00A034C4">
          <w:pPr>
            <w:autoSpaceDE w:val="0"/>
            <w:autoSpaceDN w:val="0"/>
            <w:spacing w:line="360" w:lineRule="auto"/>
            <w:ind w:hanging="640"/>
            <w:jc w:val="both"/>
            <w:divId w:val="182773998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13.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S, Mali SN, Mali S. Unveiling promising </w:t>
          </w:r>
          <w:proofErr w:type="spellStart"/>
          <w:r w:rsidRPr="00A034C4">
            <w:rPr>
              <w:rFonts w:ascii="Times New Roman" w:eastAsia="Times New Roman" w:hAnsi="Times New Roman" w:cs="Times New Roman"/>
              <w:color w:val="000000"/>
              <w:sz w:val="24"/>
              <w:szCs w:val="24"/>
            </w:rPr>
            <w:t>bioactives</w:t>
          </w:r>
          <w:proofErr w:type="spellEnd"/>
          <w:r w:rsidRPr="00A034C4">
            <w:rPr>
              <w:rFonts w:ascii="Times New Roman" w:eastAsia="Times New Roman" w:hAnsi="Times New Roman" w:cs="Times New Roman"/>
              <w:color w:val="000000"/>
              <w:sz w:val="24"/>
              <w:szCs w:val="24"/>
            </w:rPr>
            <w:t xml:space="preserve"> for breast cancer: a novel approach for herbal-based drug discovery. Phytochemistry Reviews. 2024; </w:t>
          </w:r>
        </w:p>
        <w:p w14:paraId="0A52108E" w14:textId="77777777" w:rsidR="00A034C4" w:rsidRPr="00A034C4" w:rsidRDefault="00A034C4" w:rsidP="00A034C4">
          <w:pPr>
            <w:autoSpaceDE w:val="0"/>
            <w:autoSpaceDN w:val="0"/>
            <w:spacing w:line="360" w:lineRule="auto"/>
            <w:ind w:hanging="640"/>
            <w:jc w:val="both"/>
            <w:divId w:val="610581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14.</w:t>
          </w:r>
          <w:r w:rsidRPr="00A034C4">
            <w:rPr>
              <w:rFonts w:ascii="Times New Roman" w:eastAsia="Times New Roman" w:hAnsi="Times New Roman" w:cs="Times New Roman"/>
              <w:color w:val="000000"/>
              <w:sz w:val="24"/>
              <w:szCs w:val="24"/>
            </w:rPr>
            <w:tab/>
            <w:t xml:space="preserve">Fang F, Dai Y, Wang H, Ji Y, Liang X, Peng X, et al. Structure-based drug discovery of novel fused-pyrazolone carboxamide derivatives as potent and selective AXL inhibitors. Acta Pharm Sin B. 2023 Dec 1;13(12):4918–33. </w:t>
          </w:r>
        </w:p>
        <w:p w14:paraId="0951CF09" w14:textId="77777777" w:rsidR="00A034C4" w:rsidRPr="00A034C4" w:rsidRDefault="00A034C4" w:rsidP="00A034C4">
          <w:pPr>
            <w:autoSpaceDE w:val="0"/>
            <w:autoSpaceDN w:val="0"/>
            <w:spacing w:line="360" w:lineRule="auto"/>
            <w:ind w:hanging="640"/>
            <w:jc w:val="both"/>
            <w:divId w:val="36857880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15.</w:t>
          </w:r>
          <w:r w:rsidRPr="00A034C4">
            <w:rPr>
              <w:rFonts w:ascii="Times New Roman" w:eastAsia="Times New Roman" w:hAnsi="Times New Roman" w:cs="Times New Roman"/>
              <w:color w:val="000000"/>
              <w:sz w:val="24"/>
              <w:szCs w:val="24"/>
            </w:rPr>
            <w:tab/>
            <w:t xml:space="preserve">Liang Z, </w:t>
          </w:r>
          <w:proofErr w:type="spellStart"/>
          <w:r w:rsidRPr="00A034C4">
            <w:rPr>
              <w:rFonts w:ascii="Times New Roman" w:eastAsia="Times New Roman" w:hAnsi="Times New Roman" w:cs="Times New Roman"/>
              <w:color w:val="000000"/>
              <w:sz w:val="24"/>
              <w:szCs w:val="24"/>
            </w:rPr>
            <w:t>Candib</w:t>
          </w:r>
          <w:proofErr w:type="spellEnd"/>
          <w:r w:rsidRPr="00A034C4">
            <w:rPr>
              <w:rFonts w:ascii="Times New Roman" w:eastAsia="Times New Roman" w:hAnsi="Times New Roman" w:cs="Times New Roman"/>
              <w:color w:val="000000"/>
              <w:sz w:val="24"/>
              <w:szCs w:val="24"/>
            </w:rPr>
            <w:t xml:space="preserve"> A, Soriano-Castell D, Fischer W, Finley K, Maher P. Fragment-based drug discovery and biological evaluation of novel </w:t>
          </w:r>
          <w:proofErr w:type="spellStart"/>
          <w:r w:rsidRPr="00A034C4">
            <w:rPr>
              <w:rFonts w:ascii="Times New Roman" w:eastAsia="Times New Roman" w:hAnsi="Times New Roman" w:cs="Times New Roman"/>
              <w:color w:val="000000"/>
              <w:sz w:val="24"/>
              <w:szCs w:val="24"/>
            </w:rPr>
            <w:t>cannabinol</w:t>
          </w:r>
          <w:proofErr w:type="spellEnd"/>
          <w:r w:rsidRPr="00A034C4">
            <w:rPr>
              <w:rFonts w:ascii="Times New Roman" w:eastAsia="Times New Roman" w:hAnsi="Times New Roman" w:cs="Times New Roman"/>
              <w:color w:val="000000"/>
              <w:sz w:val="24"/>
              <w:szCs w:val="24"/>
            </w:rPr>
            <w:t xml:space="preserve">-based inhibitors of </w:t>
          </w:r>
          <w:proofErr w:type="spellStart"/>
          <w:r w:rsidRPr="00A034C4">
            <w:rPr>
              <w:rFonts w:ascii="Times New Roman" w:eastAsia="Times New Roman" w:hAnsi="Times New Roman" w:cs="Times New Roman"/>
              <w:color w:val="000000"/>
              <w:sz w:val="24"/>
              <w:szCs w:val="24"/>
            </w:rPr>
            <w:t>oxytosis</w:t>
          </w:r>
          <w:proofErr w:type="spellEnd"/>
          <w:r w:rsidRPr="00A034C4">
            <w:rPr>
              <w:rFonts w:ascii="Times New Roman" w:eastAsia="Times New Roman" w:hAnsi="Times New Roman" w:cs="Times New Roman"/>
              <w:color w:val="000000"/>
              <w:sz w:val="24"/>
              <w:szCs w:val="24"/>
            </w:rPr>
            <w:t>/</w:t>
          </w:r>
          <w:proofErr w:type="spellStart"/>
          <w:r w:rsidRPr="00A034C4">
            <w:rPr>
              <w:rFonts w:ascii="Times New Roman" w:eastAsia="Times New Roman" w:hAnsi="Times New Roman" w:cs="Times New Roman"/>
              <w:color w:val="000000"/>
              <w:sz w:val="24"/>
              <w:szCs w:val="24"/>
            </w:rPr>
            <w:t>ferroptosis</w:t>
          </w:r>
          <w:proofErr w:type="spellEnd"/>
          <w:r w:rsidRPr="00A034C4">
            <w:rPr>
              <w:rFonts w:ascii="Times New Roman" w:eastAsia="Times New Roman" w:hAnsi="Times New Roman" w:cs="Times New Roman"/>
              <w:color w:val="000000"/>
              <w:sz w:val="24"/>
              <w:szCs w:val="24"/>
            </w:rPr>
            <w:t xml:space="preserve"> for neurological disorders. Redox </w:t>
          </w:r>
          <w:proofErr w:type="spellStart"/>
          <w:r w:rsidRPr="00A034C4">
            <w:rPr>
              <w:rFonts w:ascii="Times New Roman" w:eastAsia="Times New Roman" w:hAnsi="Times New Roman" w:cs="Times New Roman"/>
              <w:color w:val="000000"/>
              <w:sz w:val="24"/>
              <w:szCs w:val="24"/>
            </w:rPr>
            <w:t>Biol</w:t>
          </w:r>
          <w:proofErr w:type="spellEnd"/>
          <w:r w:rsidRPr="00A034C4">
            <w:rPr>
              <w:rFonts w:ascii="Times New Roman" w:eastAsia="Times New Roman" w:hAnsi="Times New Roman" w:cs="Times New Roman"/>
              <w:color w:val="000000"/>
              <w:sz w:val="24"/>
              <w:szCs w:val="24"/>
            </w:rPr>
            <w:t xml:space="preserve"> [Internet]. 2024 Mar;103138. Available from: https://linkinghub.elsevier.com/retrieve/pii/S2213231724001149</w:t>
          </w:r>
        </w:p>
        <w:p w14:paraId="22804FA2" w14:textId="77777777" w:rsidR="00A034C4" w:rsidRPr="00A034C4" w:rsidRDefault="00A034C4" w:rsidP="00A034C4">
          <w:pPr>
            <w:autoSpaceDE w:val="0"/>
            <w:autoSpaceDN w:val="0"/>
            <w:spacing w:line="360" w:lineRule="auto"/>
            <w:ind w:hanging="640"/>
            <w:jc w:val="both"/>
            <w:divId w:val="1932661758"/>
            <w:rPr>
              <w:rFonts w:ascii="Times New Roman" w:eastAsia="Times New Roman" w:hAnsi="Times New Roman" w:cs="Times New Roman"/>
              <w:color w:val="000000"/>
              <w:sz w:val="24"/>
              <w:szCs w:val="24"/>
            </w:rPr>
          </w:pPr>
          <w:r w:rsidRPr="00BC05E9">
            <w:rPr>
              <w:rFonts w:ascii="Times New Roman" w:eastAsia="Times New Roman" w:hAnsi="Times New Roman" w:cs="Times New Roman"/>
              <w:color w:val="000000"/>
              <w:sz w:val="24"/>
              <w:szCs w:val="24"/>
              <w:lang w:val="nb-NO"/>
            </w:rPr>
            <w:t>16.</w:t>
          </w:r>
          <w:r w:rsidRPr="00BC05E9">
            <w:rPr>
              <w:rFonts w:ascii="Times New Roman" w:eastAsia="Times New Roman" w:hAnsi="Times New Roman" w:cs="Times New Roman"/>
              <w:color w:val="000000"/>
              <w:sz w:val="24"/>
              <w:szCs w:val="24"/>
              <w:lang w:val="nb-NO"/>
            </w:rPr>
            <w:tab/>
            <w:t xml:space="preserve">Mahurkar ND, Gawhale ND, Lokhande MN, Uke SJ, Kodape MM. </w:t>
          </w:r>
          <w:r w:rsidRPr="00A034C4">
            <w:rPr>
              <w:rFonts w:ascii="Times New Roman" w:eastAsia="Times New Roman" w:hAnsi="Times New Roman" w:cs="Times New Roman"/>
              <w:color w:val="000000"/>
              <w:sz w:val="24"/>
              <w:szCs w:val="24"/>
            </w:rPr>
            <w:t xml:space="preserve">Benzimidazole: A versatile scaffold for drug discovery and beyond – A comprehensive review of synthetic approaches and recent advancements in medicinal chemistry. Results Chem. 2023 Dec 1;6. </w:t>
          </w:r>
        </w:p>
        <w:p w14:paraId="2F7BB8A5" w14:textId="77777777" w:rsidR="00A034C4" w:rsidRPr="00A034C4" w:rsidRDefault="00A034C4" w:rsidP="00A034C4">
          <w:pPr>
            <w:autoSpaceDE w:val="0"/>
            <w:autoSpaceDN w:val="0"/>
            <w:spacing w:line="360" w:lineRule="auto"/>
            <w:ind w:hanging="640"/>
            <w:jc w:val="both"/>
            <w:divId w:val="78377105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17.</w:t>
          </w:r>
          <w:r w:rsidRPr="00A034C4">
            <w:rPr>
              <w:rFonts w:ascii="Times New Roman" w:eastAsia="Times New Roman" w:hAnsi="Times New Roman" w:cs="Times New Roman"/>
              <w:color w:val="000000"/>
              <w:sz w:val="24"/>
              <w:szCs w:val="24"/>
            </w:rPr>
            <w:tab/>
            <w:t xml:space="preserve">Danielak D, Krejčí T, Beránek J. Increasing the efficacy of abiraterone - from pharmacokinetics, through therapeutic drug monitoring to overcoming food effects with innovative pharmaceutical products. Vol. 176, European Journal of Pharmaceutical Sciences. Elsevier B.V.; 2022. </w:t>
          </w:r>
        </w:p>
        <w:p w14:paraId="38674DA9" w14:textId="77777777" w:rsidR="00A034C4" w:rsidRPr="00A034C4" w:rsidRDefault="00A034C4" w:rsidP="00A034C4">
          <w:pPr>
            <w:autoSpaceDE w:val="0"/>
            <w:autoSpaceDN w:val="0"/>
            <w:spacing w:line="360" w:lineRule="auto"/>
            <w:ind w:hanging="640"/>
            <w:jc w:val="both"/>
            <w:divId w:val="69501142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18.</w:t>
          </w:r>
          <w:r w:rsidRPr="00A034C4">
            <w:rPr>
              <w:rFonts w:ascii="Times New Roman" w:eastAsia="Times New Roman" w:hAnsi="Times New Roman" w:cs="Times New Roman"/>
              <w:color w:val="000000"/>
              <w:sz w:val="24"/>
              <w:szCs w:val="24"/>
            </w:rPr>
            <w:tab/>
            <w:t xml:space="preserve">Chauhan T, Shah M. A systematic and comprehensive review of the properties and synthesis of anticancer heterocyclic natural products. Vol. 21, Current Pharmaceutical Analysis. Elsevier B.V.; 2025. p. 145–68. </w:t>
          </w:r>
        </w:p>
        <w:p w14:paraId="6E1B1D51" w14:textId="77777777" w:rsidR="00A034C4" w:rsidRPr="00A034C4" w:rsidRDefault="00A034C4" w:rsidP="00A034C4">
          <w:pPr>
            <w:autoSpaceDE w:val="0"/>
            <w:autoSpaceDN w:val="0"/>
            <w:spacing w:line="360" w:lineRule="auto"/>
            <w:ind w:hanging="640"/>
            <w:jc w:val="both"/>
            <w:divId w:val="70131891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19.</w:t>
          </w:r>
          <w:r w:rsidRPr="00A034C4">
            <w:rPr>
              <w:rFonts w:ascii="Times New Roman" w:eastAsia="Times New Roman" w:hAnsi="Times New Roman" w:cs="Times New Roman"/>
              <w:color w:val="000000"/>
              <w:sz w:val="24"/>
              <w:szCs w:val="24"/>
            </w:rPr>
            <w:tab/>
            <w:t xml:space="preserve">Noor-ul-Ain R, Ilyas N, </w:t>
          </w:r>
          <w:proofErr w:type="spellStart"/>
          <w:r w:rsidRPr="00A034C4">
            <w:rPr>
              <w:rFonts w:ascii="Times New Roman" w:eastAsia="Times New Roman" w:hAnsi="Times New Roman" w:cs="Times New Roman"/>
              <w:color w:val="000000"/>
              <w:sz w:val="24"/>
              <w:szCs w:val="24"/>
            </w:rPr>
            <w:t>Saeed</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Subramaniam</w:t>
          </w:r>
          <w:proofErr w:type="spellEnd"/>
          <w:r w:rsidRPr="00A034C4">
            <w:rPr>
              <w:rFonts w:ascii="Times New Roman" w:eastAsia="Times New Roman" w:hAnsi="Times New Roman" w:cs="Times New Roman"/>
              <w:color w:val="000000"/>
              <w:sz w:val="24"/>
              <w:szCs w:val="24"/>
            </w:rPr>
            <w:t xml:space="preserve"> G, </w:t>
          </w:r>
          <w:proofErr w:type="spellStart"/>
          <w:r w:rsidRPr="00A034C4">
            <w:rPr>
              <w:rFonts w:ascii="Times New Roman" w:eastAsia="Times New Roman" w:hAnsi="Times New Roman" w:cs="Times New Roman"/>
              <w:color w:val="000000"/>
              <w:sz w:val="24"/>
              <w:szCs w:val="24"/>
            </w:rPr>
            <w:t>Mastinu</w:t>
          </w:r>
          <w:proofErr w:type="spellEnd"/>
          <w:r w:rsidRPr="00A034C4">
            <w:rPr>
              <w:rFonts w:ascii="Times New Roman" w:eastAsia="Times New Roman" w:hAnsi="Times New Roman" w:cs="Times New Roman"/>
              <w:color w:val="000000"/>
              <w:sz w:val="24"/>
              <w:szCs w:val="24"/>
            </w:rPr>
            <w:t xml:space="preserve"> A. Advances in pharmaceutical and biomedical applications of plant–based nano-biopolymers with special emphasis on vaginal drug delivery systems: A review. Vol. 225, Industrial Crops and Products. Elsevier B.V.; 2025. </w:t>
          </w:r>
        </w:p>
        <w:p w14:paraId="21408CDC" w14:textId="77777777" w:rsidR="00A034C4" w:rsidRPr="00A034C4" w:rsidRDefault="00A034C4" w:rsidP="00A034C4">
          <w:pPr>
            <w:autoSpaceDE w:val="0"/>
            <w:autoSpaceDN w:val="0"/>
            <w:spacing w:line="360" w:lineRule="auto"/>
            <w:ind w:hanging="640"/>
            <w:jc w:val="both"/>
            <w:divId w:val="398555505"/>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20.</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Tabboon</w:t>
          </w:r>
          <w:proofErr w:type="spellEnd"/>
          <w:r w:rsidRPr="00A034C4">
            <w:rPr>
              <w:rFonts w:ascii="Times New Roman" w:eastAsia="Times New Roman" w:hAnsi="Times New Roman" w:cs="Times New Roman"/>
              <w:color w:val="000000"/>
              <w:sz w:val="24"/>
              <w:szCs w:val="24"/>
            </w:rPr>
            <w:t xml:space="preserve"> P, </w:t>
          </w:r>
          <w:proofErr w:type="spellStart"/>
          <w:r w:rsidRPr="00A034C4">
            <w:rPr>
              <w:rFonts w:ascii="Times New Roman" w:eastAsia="Times New Roman" w:hAnsi="Times New Roman" w:cs="Times New Roman"/>
              <w:color w:val="000000"/>
              <w:sz w:val="24"/>
              <w:szCs w:val="24"/>
            </w:rPr>
            <w:t>Limpongsa</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Tuntiyasawasdikul</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Jarungsirawat</w:t>
          </w:r>
          <w:proofErr w:type="spellEnd"/>
          <w:r w:rsidRPr="00A034C4">
            <w:rPr>
              <w:rFonts w:ascii="Times New Roman" w:eastAsia="Times New Roman" w:hAnsi="Times New Roman" w:cs="Times New Roman"/>
              <w:color w:val="000000"/>
              <w:sz w:val="24"/>
              <w:szCs w:val="24"/>
            </w:rPr>
            <w:t xml:space="preserve"> R, </w:t>
          </w:r>
          <w:proofErr w:type="spellStart"/>
          <w:r w:rsidRPr="00A034C4">
            <w:rPr>
              <w:rFonts w:ascii="Times New Roman" w:eastAsia="Times New Roman" w:hAnsi="Times New Roman" w:cs="Times New Roman"/>
              <w:color w:val="000000"/>
              <w:sz w:val="24"/>
              <w:szCs w:val="24"/>
            </w:rPr>
            <w:t>Pongjanyakul</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Jaipakdee</w:t>
          </w:r>
          <w:proofErr w:type="spellEnd"/>
          <w:r w:rsidRPr="00A034C4">
            <w:rPr>
              <w:rFonts w:ascii="Times New Roman" w:eastAsia="Times New Roman" w:hAnsi="Times New Roman" w:cs="Times New Roman"/>
              <w:color w:val="000000"/>
              <w:sz w:val="24"/>
              <w:szCs w:val="24"/>
            </w:rPr>
            <w:t xml:space="preserve"> N. Screening the potential of pharmaceutical liquids on enhancing dissolution, intestinal permeation, and stability of </w:t>
          </w:r>
          <w:proofErr w:type="spellStart"/>
          <w:r w:rsidRPr="00A034C4">
            <w:rPr>
              <w:rFonts w:ascii="Times New Roman" w:eastAsia="Times New Roman" w:hAnsi="Times New Roman" w:cs="Times New Roman"/>
              <w:color w:val="000000"/>
              <w:sz w:val="24"/>
              <w:szCs w:val="24"/>
            </w:rPr>
            <w:t>Mitragyna</w:t>
          </w:r>
          <w:proofErr w:type="spellEnd"/>
          <w:r w:rsidRPr="00A034C4">
            <w:rPr>
              <w:rFonts w:ascii="Times New Roman" w:eastAsia="Times New Roman" w:hAnsi="Times New Roman" w:cs="Times New Roman"/>
              <w:color w:val="000000"/>
              <w:sz w:val="24"/>
              <w:szCs w:val="24"/>
            </w:rPr>
            <w:t xml:space="preserve"> </w:t>
          </w:r>
          <w:proofErr w:type="spellStart"/>
          <w:r w:rsidRPr="00A034C4">
            <w:rPr>
              <w:rFonts w:ascii="Times New Roman" w:eastAsia="Times New Roman" w:hAnsi="Times New Roman" w:cs="Times New Roman"/>
              <w:color w:val="000000"/>
              <w:sz w:val="24"/>
              <w:szCs w:val="24"/>
            </w:rPr>
            <w:t>speciosa</w:t>
          </w:r>
          <w:proofErr w:type="spellEnd"/>
          <w:r w:rsidRPr="00A034C4">
            <w:rPr>
              <w:rFonts w:ascii="Times New Roman" w:eastAsia="Times New Roman" w:hAnsi="Times New Roman" w:cs="Times New Roman"/>
              <w:color w:val="000000"/>
              <w:sz w:val="24"/>
              <w:szCs w:val="24"/>
            </w:rPr>
            <w:t xml:space="preserve"> bioactive for peroral delivery systems. Ind Crops Prod. 2025 Mar 1;225. </w:t>
          </w:r>
        </w:p>
        <w:p w14:paraId="4468A512" w14:textId="77777777" w:rsidR="00A034C4" w:rsidRPr="00A034C4" w:rsidRDefault="00A034C4" w:rsidP="00A034C4">
          <w:pPr>
            <w:autoSpaceDE w:val="0"/>
            <w:autoSpaceDN w:val="0"/>
            <w:spacing w:line="360" w:lineRule="auto"/>
            <w:ind w:hanging="640"/>
            <w:jc w:val="both"/>
            <w:divId w:val="94006425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21.</w:t>
          </w:r>
          <w:r w:rsidRPr="00A034C4">
            <w:rPr>
              <w:rFonts w:ascii="Times New Roman" w:eastAsia="Times New Roman" w:hAnsi="Times New Roman" w:cs="Times New Roman"/>
              <w:color w:val="000000"/>
              <w:sz w:val="24"/>
              <w:szCs w:val="24"/>
            </w:rPr>
            <w:tab/>
            <w:t xml:space="preserve">Noor-ul-Ain R, Ilyas N, </w:t>
          </w:r>
          <w:proofErr w:type="spellStart"/>
          <w:r w:rsidRPr="00A034C4">
            <w:rPr>
              <w:rFonts w:ascii="Times New Roman" w:eastAsia="Times New Roman" w:hAnsi="Times New Roman" w:cs="Times New Roman"/>
              <w:color w:val="000000"/>
              <w:sz w:val="24"/>
              <w:szCs w:val="24"/>
            </w:rPr>
            <w:t>Saeed</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Subramaniam</w:t>
          </w:r>
          <w:proofErr w:type="spellEnd"/>
          <w:r w:rsidRPr="00A034C4">
            <w:rPr>
              <w:rFonts w:ascii="Times New Roman" w:eastAsia="Times New Roman" w:hAnsi="Times New Roman" w:cs="Times New Roman"/>
              <w:color w:val="000000"/>
              <w:sz w:val="24"/>
              <w:szCs w:val="24"/>
            </w:rPr>
            <w:t xml:space="preserve"> G, </w:t>
          </w:r>
          <w:proofErr w:type="spellStart"/>
          <w:r w:rsidRPr="00A034C4">
            <w:rPr>
              <w:rFonts w:ascii="Times New Roman" w:eastAsia="Times New Roman" w:hAnsi="Times New Roman" w:cs="Times New Roman"/>
              <w:color w:val="000000"/>
              <w:sz w:val="24"/>
              <w:szCs w:val="24"/>
            </w:rPr>
            <w:t>Mastinu</w:t>
          </w:r>
          <w:proofErr w:type="spellEnd"/>
          <w:r w:rsidRPr="00A034C4">
            <w:rPr>
              <w:rFonts w:ascii="Times New Roman" w:eastAsia="Times New Roman" w:hAnsi="Times New Roman" w:cs="Times New Roman"/>
              <w:color w:val="000000"/>
              <w:sz w:val="24"/>
              <w:szCs w:val="24"/>
            </w:rPr>
            <w:t xml:space="preserve"> A. Advances in pharmaceutical and biomedical applications of plant–based nano-biopolymers with special emphasis on vaginal drug delivery systems: A review. Ind Crops Prod [Internet]. 2025</w:t>
          </w:r>
          <w:proofErr w:type="gramStart"/>
          <w:r w:rsidRPr="00A034C4">
            <w:rPr>
              <w:rFonts w:ascii="Times New Roman" w:eastAsia="Times New Roman" w:hAnsi="Times New Roman" w:cs="Times New Roman"/>
              <w:color w:val="000000"/>
              <w:sz w:val="24"/>
              <w:szCs w:val="24"/>
            </w:rPr>
            <w:t>;225:120592</w:t>
          </w:r>
          <w:proofErr w:type="gramEnd"/>
          <w:r w:rsidRPr="00A034C4">
            <w:rPr>
              <w:rFonts w:ascii="Times New Roman" w:eastAsia="Times New Roman" w:hAnsi="Times New Roman" w:cs="Times New Roman"/>
              <w:color w:val="000000"/>
              <w:sz w:val="24"/>
              <w:szCs w:val="24"/>
            </w:rPr>
            <w:t>. Available from: https://www.sciencedirect.com/science/article/pii/S0926669025001384</w:t>
          </w:r>
        </w:p>
        <w:p w14:paraId="7D917283" w14:textId="77777777" w:rsidR="00A034C4" w:rsidRPr="00A034C4" w:rsidRDefault="00A034C4" w:rsidP="00A034C4">
          <w:pPr>
            <w:autoSpaceDE w:val="0"/>
            <w:autoSpaceDN w:val="0"/>
            <w:spacing w:line="360" w:lineRule="auto"/>
            <w:ind w:hanging="640"/>
            <w:jc w:val="both"/>
            <w:divId w:val="146107490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22.</w:t>
          </w:r>
          <w:r w:rsidRPr="00A034C4">
            <w:rPr>
              <w:rFonts w:ascii="Times New Roman" w:eastAsia="Times New Roman" w:hAnsi="Times New Roman" w:cs="Times New Roman"/>
              <w:color w:val="000000"/>
              <w:sz w:val="24"/>
              <w:szCs w:val="24"/>
            </w:rPr>
            <w:tab/>
            <w:t xml:space="preserve">Reus P, Guthmann H, </w:t>
          </w:r>
          <w:proofErr w:type="spellStart"/>
          <w:r w:rsidRPr="00A034C4">
            <w:rPr>
              <w:rFonts w:ascii="Times New Roman" w:eastAsia="Times New Roman" w:hAnsi="Times New Roman" w:cs="Times New Roman"/>
              <w:color w:val="000000"/>
              <w:sz w:val="24"/>
              <w:szCs w:val="24"/>
            </w:rPr>
            <w:t>Uhlig</w:t>
          </w:r>
          <w:proofErr w:type="spellEnd"/>
          <w:r w:rsidRPr="00A034C4">
            <w:rPr>
              <w:rFonts w:ascii="Times New Roman" w:eastAsia="Times New Roman" w:hAnsi="Times New Roman" w:cs="Times New Roman"/>
              <w:color w:val="000000"/>
              <w:sz w:val="24"/>
              <w:szCs w:val="24"/>
            </w:rPr>
            <w:t xml:space="preserve"> N, </w:t>
          </w:r>
          <w:proofErr w:type="spellStart"/>
          <w:r w:rsidRPr="00A034C4">
            <w:rPr>
              <w:rFonts w:ascii="Times New Roman" w:eastAsia="Times New Roman" w:hAnsi="Times New Roman" w:cs="Times New Roman"/>
              <w:color w:val="000000"/>
              <w:sz w:val="24"/>
              <w:szCs w:val="24"/>
            </w:rPr>
            <w:t>Agbaria</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Issmail</w:t>
          </w:r>
          <w:proofErr w:type="spellEnd"/>
          <w:r w:rsidRPr="00A034C4">
            <w:rPr>
              <w:rFonts w:ascii="Times New Roman" w:eastAsia="Times New Roman" w:hAnsi="Times New Roman" w:cs="Times New Roman"/>
              <w:color w:val="000000"/>
              <w:sz w:val="24"/>
              <w:szCs w:val="24"/>
            </w:rPr>
            <w:t xml:space="preserve"> L, </w:t>
          </w:r>
          <w:proofErr w:type="spellStart"/>
          <w:r w:rsidRPr="00A034C4">
            <w:rPr>
              <w:rFonts w:ascii="Times New Roman" w:eastAsia="Times New Roman" w:hAnsi="Times New Roman" w:cs="Times New Roman"/>
              <w:color w:val="000000"/>
              <w:sz w:val="24"/>
              <w:szCs w:val="24"/>
            </w:rPr>
            <w:t>Eberlein</w:t>
          </w:r>
          <w:proofErr w:type="spellEnd"/>
          <w:r w:rsidRPr="00A034C4">
            <w:rPr>
              <w:rFonts w:ascii="Times New Roman" w:eastAsia="Times New Roman" w:hAnsi="Times New Roman" w:cs="Times New Roman"/>
              <w:color w:val="000000"/>
              <w:sz w:val="24"/>
              <w:szCs w:val="24"/>
            </w:rPr>
            <w:t xml:space="preserve"> V, et al. Drug repurposing for the treatment of COVID-19: Targeting </w:t>
          </w:r>
          <w:proofErr w:type="spellStart"/>
          <w:r w:rsidRPr="00A034C4">
            <w:rPr>
              <w:rFonts w:ascii="Times New Roman" w:eastAsia="Times New Roman" w:hAnsi="Times New Roman" w:cs="Times New Roman"/>
              <w:color w:val="000000"/>
              <w:sz w:val="24"/>
              <w:szCs w:val="24"/>
            </w:rPr>
            <w:t>nafamostat</w:t>
          </w:r>
          <w:proofErr w:type="spellEnd"/>
          <w:r w:rsidRPr="00A034C4">
            <w:rPr>
              <w:rFonts w:ascii="Times New Roman" w:eastAsia="Times New Roman" w:hAnsi="Times New Roman" w:cs="Times New Roman"/>
              <w:color w:val="000000"/>
              <w:sz w:val="24"/>
              <w:szCs w:val="24"/>
            </w:rPr>
            <w:t xml:space="preserve"> to the lungs by a liposomal delivery system. Journal of Controlled Release. 2023 Dec</w:t>
          </w:r>
          <w:proofErr w:type="gramStart"/>
          <w:r w:rsidRPr="00A034C4">
            <w:rPr>
              <w:rFonts w:ascii="Times New Roman" w:eastAsia="Times New Roman" w:hAnsi="Times New Roman" w:cs="Times New Roman"/>
              <w:color w:val="000000"/>
              <w:sz w:val="24"/>
              <w:szCs w:val="24"/>
            </w:rPr>
            <w:t>;364:654</w:t>
          </w:r>
          <w:proofErr w:type="gramEnd"/>
          <w:r w:rsidRPr="00A034C4">
            <w:rPr>
              <w:rFonts w:ascii="Times New Roman" w:eastAsia="Times New Roman" w:hAnsi="Times New Roman" w:cs="Times New Roman"/>
              <w:color w:val="000000"/>
              <w:sz w:val="24"/>
              <w:szCs w:val="24"/>
            </w:rPr>
            <w:t xml:space="preserve">–71. </w:t>
          </w:r>
        </w:p>
        <w:p w14:paraId="4FE2F6A9" w14:textId="77777777" w:rsidR="00A034C4" w:rsidRPr="00A034C4" w:rsidRDefault="00A034C4" w:rsidP="00A034C4">
          <w:pPr>
            <w:autoSpaceDE w:val="0"/>
            <w:autoSpaceDN w:val="0"/>
            <w:spacing w:line="360" w:lineRule="auto"/>
            <w:ind w:hanging="640"/>
            <w:jc w:val="both"/>
            <w:divId w:val="172971911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23.</w:t>
          </w:r>
          <w:r w:rsidRPr="00A034C4">
            <w:rPr>
              <w:rFonts w:ascii="Times New Roman" w:eastAsia="Times New Roman" w:hAnsi="Times New Roman" w:cs="Times New Roman"/>
              <w:color w:val="000000"/>
              <w:sz w:val="24"/>
              <w:szCs w:val="24"/>
            </w:rPr>
            <w:tab/>
            <w:t xml:space="preserve">Chen J, Vitetta L, Henson JD, Hall S. The intestinal microbiota and improving the efficacy of COVID-19 vaccinations. Vol. 87, Journal of Functional Foods. Elsevier Ltd; 2021. </w:t>
          </w:r>
        </w:p>
        <w:p w14:paraId="511DA0F6" w14:textId="77777777" w:rsidR="00A034C4" w:rsidRPr="00A034C4" w:rsidRDefault="00A034C4" w:rsidP="00A034C4">
          <w:pPr>
            <w:autoSpaceDE w:val="0"/>
            <w:autoSpaceDN w:val="0"/>
            <w:spacing w:line="360" w:lineRule="auto"/>
            <w:ind w:hanging="640"/>
            <w:jc w:val="both"/>
            <w:divId w:val="57057726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24.</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Ahelegbey</w:t>
          </w:r>
          <w:proofErr w:type="spellEnd"/>
          <w:r w:rsidRPr="00A034C4">
            <w:rPr>
              <w:rFonts w:ascii="Times New Roman" w:eastAsia="Times New Roman" w:hAnsi="Times New Roman" w:cs="Times New Roman"/>
              <w:color w:val="000000"/>
              <w:sz w:val="24"/>
              <w:szCs w:val="24"/>
            </w:rPr>
            <w:t xml:space="preserve"> DF, </w:t>
          </w:r>
          <w:proofErr w:type="spellStart"/>
          <w:r w:rsidRPr="00A034C4">
            <w:rPr>
              <w:rFonts w:ascii="Times New Roman" w:eastAsia="Times New Roman" w:hAnsi="Times New Roman" w:cs="Times New Roman"/>
              <w:color w:val="000000"/>
              <w:sz w:val="24"/>
              <w:szCs w:val="24"/>
            </w:rPr>
            <w:t>Cerchiello</w:t>
          </w:r>
          <w:proofErr w:type="spellEnd"/>
          <w:r w:rsidRPr="00A034C4">
            <w:rPr>
              <w:rFonts w:ascii="Times New Roman" w:eastAsia="Times New Roman" w:hAnsi="Times New Roman" w:cs="Times New Roman"/>
              <w:color w:val="000000"/>
              <w:sz w:val="24"/>
              <w:szCs w:val="24"/>
            </w:rPr>
            <w:t xml:space="preserve"> P, </w:t>
          </w:r>
          <w:proofErr w:type="spellStart"/>
          <w:r w:rsidRPr="00A034C4">
            <w:rPr>
              <w:rFonts w:ascii="Times New Roman" w:eastAsia="Times New Roman" w:hAnsi="Times New Roman" w:cs="Times New Roman"/>
              <w:color w:val="000000"/>
              <w:sz w:val="24"/>
              <w:szCs w:val="24"/>
            </w:rPr>
            <w:t>Scaramozzino</w:t>
          </w:r>
          <w:proofErr w:type="spellEnd"/>
          <w:r w:rsidRPr="00A034C4">
            <w:rPr>
              <w:rFonts w:ascii="Times New Roman" w:eastAsia="Times New Roman" w:hAnsi="Times New Roman" w:cs="Times New Roman"/>
              <w:color w:val="000000"/>
              <w:sz w:val="24"/>
              <w:szCs w:val="24"/>
            </w:rPr>
            <w:t xml:space="preserve"> R. Network based evidence of the financial impact of Covid-19 pandemic. International Review of Financial Analysis. 2022 May 1;81. </w:t>
          </w:r>
        </w:p>
        <w:p w14:paraId="78B4E8F6" w14:textId="77777777" w:rsidR="00A034C4" w:rsidRPr="00A034C4" w:rsidRDefault="00A034C4" w:rsidP="00A034C4">
          <w:pPr>
            <w:autoSpaceDE w:val="0"/>
            <w:autoSpaceDN w:val="0"/>
            <w:spacing w:line="360" w:lineRule="auto"/>
            <w:ind w:hanging="640"/>
            <w:jc w:val="both"/>
            <w:divId w:val="13232395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25.</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Telg</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Dubinova</w:t>
          </w:r>
          <w:proofErr w:type="spellEnd"/>
          <w:r w:rsidRPr="00A034C4">
            <w:rPr>
              <w:rFonts w:ascii="Times New Roman" w:eastAsia="Times New Roman" w:hAnsi="Times New Roman" w:cs="Times New Roman"/>
              <w:color w:val="000000"/>
              <w:sz w:val="24"/>
              <w:szCs w:val="24"/>
            </w:rPr>
            <w:t xml:space="preserve"> A, Lucas A. Covid-19, credit risk management </w:t>
          </w:r>
          <w:proofErr w:type="spellStart"/>
          <w:r w:rsidRPr="00A034C4">
            <w:rPr>
              <w:rFonts w:ascii="Times New Roman" w:eastAsia="Times New Roman" w:hAnsi="Times New Roman" w:cs="Times New Roman"/>
              <w:color w:val="000000"/>
              <w:sz w:val="24"/>
              <w:szCs w:val="24"/>
            </w:rPr>
            <w:t>modeling</w:t>
          </w:r>
          <w:proofErr w:type="spellEnd"/>
          <w:r w:rsidRPr="00A034C4">
            <w:rPr>
              <w:rFonts w:ascii="Times New Roman" w:eastAsia="Times New Roman" w:hAnsi="Times New Roman" w:cs="Times New Roman"/>
              <w:color w:val="000000"/>
              <w:sz w:val="24"/>
              <w:szCs w:val="24"/>
            </w:rPr>
            <w:t xml:space="preserve">, and government support. J Bank </w:t>
          </w:r>
          <w:proofErr w:type="spellStart"/>
          <w:r w:rsidRPr="00A034C4">
            <w:rPr>
              <w:rFonts w:ascii="Times New Roman" w:eastAsia="Times New Roman" w:hAnsi="Times New Roman" w:cs="Times New Roman"/>
              <w:color w:val="000000"/>
              <w:sz w:val="24"/>
              <w:szCs w:val="24"/>
            </w:rPr>
            <w:t>Financ</w:t>
          </w:r>
          <w:proofErr w:type="spellEnd"/>
          <w:r w:rsidRPr="00A034C4">
            <w:rPr>
              <w:rFonts w:ascii="Times New Roman" w:eastAsia="Times New Roman" w:hAnsi="Times New Roman" w:cs="Times New Roman"/>
              <w:color w:val="000000"/>
              <w:sz w:val="24"/>
              <w:szCs w:val="24"/>
            </w:rPr>
            <w:t xml:space="preserve">. 2023 Feb 1;147. </w:t>
          </w:r>
        </w:p>
        <w:p w14:paraId="4F5A1F46" w14:textId="77777777" w:rsidR="00A034C4" w:rsidRPr="00A034C4" w:rsidRDefault="00A034C4" w:rsidP="00A034C4">
          <w:pPr>
            <w:autoSpaceDE w:val="0"/>
            <w:autoSpaceDN w:val="0"/>
            <w:spacing w:line="360" w:lineRule="auto"/>
            <w:ind w:hanging="640"/>
            <w:jc w:val="both"/>
            <w:divId w:val="22808303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26.</w:t>
          </w:r>
          <w:r w:rsidRPr="00A034C4">
            <w:rPr>
              <w:rFonts w:ascii="Times New Roman" w:eastAsia="Times New Roman" w:hAnsi="Times New Roman" w:cs="Times New Roman"/>
              <w:color w:val="000000"/>
              <w:sz w:val="24"/>
              <w:szCs w:val="24"/>
            </w:rPr>
            <w:tab/>
            <w:t xml:space="preserve">Hale G, Juvenal L. External Balance Sheets and the COVID-19 Crisis. J Bank </w:t>
          </w:r>
          <w:proofErr w:type="spellStart"/>
          <w:r w:rsidRPr="00A034C4">
            <w:rPr>
              <w:rFonts w:ascii="Times New Roman" w:eastAsia="Times New Roman" w:hAnsi="Times New Roman" w:cs="Times New Roman"/>
              <w:color w:val="000000"/>
              <w:sz w:val="24"/>
              <w:szCs w:val="24"/>
            </w:rPr>
            <w:t>Financ</w:t>
          </w:r>
          <w:proofErr w:type="spellEnd"/>
          <w:r w:rsidRPr="00A034C4">
            <w:rPr>
              <w:rFonts w:ascii="Times New Roman" w:eastAsia="Times New Roman" w:hAnsi="Times New Roman" w:cs="Times New Roman"/>
              <w:color w:val="000000"/>
              <w:sz w:val="24"/>
              <w:szCs w:val="24"/>
            </w:rPr>
            <w:t xml:space="preserve">. 2023 Feb 1;147. </w:t>
          </w:r>
        </w:p>
        <w:p w14:paraId="4F6EAEA6" w14:textId="77777777" w:rsidR="00A034C4" w:rsidRPr="00A034C4" w:rsidRDefault="00A034C4" w:rsidP="00A034C4">
          <w:pPr>
            <w:autoSpaceDE w:val="0"/>
            <w:autoSpaceDN w:val="0"/>
            <w:spacing w:line="360" w:lineRule="auto"/>
            <w:ind w:hanging="640"/>
            <w:jc w:val="both"/>
            <w:divId w:val="129664146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27.</w:t>
          </w:r>
          <w:r w:rsidRPr="00A034C4">
            <w:rPr>
              <w:rFonts w:ascii="Times New Roman" w:eastAsia="Times New Roman" w:hAnsi="Times New Roman" w:cs="Times New Roman"/>
              <w:color w:val="000000"/>
              <w:sz w:val="24"/>
              <w:szCs w:val="24"/>
            </w:rPr>
            <w:tab/>
            <w:t xml:space="preserve">Yousef M, Rob M, Varghese S, Rao S, Zamir F, Paul P, et al. The effect of microbiome therapy on COVID-19-induced gut dysbiosis: A narrative and systematic review. Vol. 342, Life Sciences. Elsevier Inc.; 2024. </w:t>
          </w:r>
        </w:p>
        <w:p w14:paraId="642EF78F" w14:textId="77777777" w:rsidR="00A034C4" w:rsidRPr="00A034C4" w:rsidRDefault="00A034C4" w:rsidP="00A034C4">
          <w:pPr>
            <w:autoSpaceDE w:val="0"/>
            <w:autoSpaceDN w:val="0"/>
            <w:spacing w:line="360" w:lineRule="auto"/>
            <w:ind w:hanging="640"/>
            <w:jc w:val="both"/>
            <w:divId w:val="72923033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28.</w:t>
          </w:r>
          <w:r w:rsidRPr="00A034C4">
            <w:rPr>
              <w:rFonts w:ascii="Times New Roman" w:eastAsia="Times New Roman" w:hAnsi="Times New Roman" w:cs="Times New Roman"/>
              <w:color w:val="000000"/>
              <w:sz w:val="24"/>
              <w:szCs w:val="24"/>
            </w:rPr>
            <w:tab/>
            <w:t xml:space="preserve">Krishnaswami V, </w:t>
          </w:r>
          <w:proofErr w:type="spellStart"/>
          <w:r w:rsidRPr="00A034C4">
            <w:rPr>
              <w:rFonts w:ascii="Times New Roman" w:eastAsia="Times New Roman" w:hAnsi="Times New Roman" w:cs="Times New Roman"/>
              <w:color w:val="000000"/>
              <w:sz w:val="24"/>
              <w:szCs w:val="24"/>
            </w:rPr>
            <w:t>Rajan</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Dutta</w:t>
          </w:r>
          <w:proofErr w:type="spellEnd"/>
          <w:r w:rsidRPr="00A034C4">
            <w:rPr>
              <w:rFonts w:ascii="Times New Roman" w:eastAsia="Times New Roman" w:hAnsi="Times New Roman" w:cs="Times New Roman"/>
              <w:color w:val="000000"/>
              <w:sz w:val="24"/>
              <w:szCs w:val="24"/>
            </w:rPr>
            <w:t xml:space="preserve"> G, </w:t>
          </w:r>
          <w:proofErr w:type="spellStart"/>
          <w:r w:rsidRPr="00A034C4">
            <w:rPr>
              <w:rFonts w:ascii="Times New Roman" w:eastAsia="Times New Roman" w:hAnsi="Times New Roman" w:cs="Times New Roman"/>
              <w:color w:val="000000"/>
              <w:sz w:val="24"/>
              <w:szCs w:val="24"/>
            </w:rPr>
            <w:t>Muruganantham</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Sugumaran</w:t>
          </w:r>
          <w:proofErr w:type="spellEnd"/>
          <w:r w:rsidRPr="00A034C4">
            <w:rPr>
              <w:rFonts w:ascii="Times New Roman" w:eastAsia="Times New Roman" w:hAnsi="Times New Roman" w:cs="Times New Roman"/>
              <w:color w:val="000000"/>
              <w:sz w:val="24"/>
              <w:szCs w:val="24"/>
            </w:rPr>
            <w:t xml:space="preserve"> A, SA JR. Chitosan mediated smart photodynamic therapy based novel drug delivery systems- a futuristic view. Carbohydrate Polymer Technologies and Applications. 2024 Jun 1;7. </w:t>
          </w:r>
        </w:p>
        <w:p w14:paraId="78DC204F" w14:textId="77777777" w:rsidR="00A034C4" w:rsidRPr="00A034C4" w:rsidRDefault="00A034C4" w:rsidP="00A034C4">
          <w:pPr>
            <w:autoSpaceDE w:val="0"/>
            <w:autoSpaceDN w:val="0"/>
            <w:spacing w:line="360" w:lineRule="auto"/>
            <w:ind w:hanging="640"/>
            <w:jc w:val="both"/>
            <w:divId w:val="15026207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29.</w:t>
          </w:r>
          <w:r w:rsidRPr="00A034C4">
            <w:rPr>
              <w:rFonts w:ascii="Times New Roman" w:eastAsia="Times New Roman" w:hAnsi="Times New Roman" w:cs="Times New Roman"/>
              <w:color w:val="000000"/>
              <w:sz w:val="24"/>
              <w:szCs w:val="24"/>
            </w:rPr>
            <w:tab/>
            <w:t xml:space="preserve">Bansal K, Bhati H, Vanshita, Bajpai M. Recent insights into therapeutic potential and nanostructured carrier systems of Centella asiatica: An evidence-based review. Vol. 10, Pharmacological Research - Modern Chinese Medicine. Elsevier B.V.; 2024. </w:t>
          </w:r>
        </w:p>
        <w:p w14:paraId="2FD05E1A" w14:textId="77777777" w:rsidR="00A034C4" w:rsidRPr="00A034C4" w:rsidRDefault="00A034C4" w:rsidP="00A034C4">
          <w:pPr>
            <w:autoSpaceDE w:val="0"/>
            <w:autoSpaceDN w:val="0"/>
            <w:spacing w:line="360" w:lineRule="auto"/>
            <w:ind w:hanging="640"/>
            <w:jc w:val="both"/>
            <w:divId w:val="26060215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30.</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Nobakht</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Raru</w:t>
          </w:r>
          <w:proofErr w:type="spellEnd"/>
          <w:r w:rsidRPr="00A034C4">
            <w:rPr>
              <w:rFonts w:ascii="Times New Roman" w:eastAsia="Times New Roman" w:hAnsi="Times New Roman" w:cs="Times New Roman"/>
              <w:color w:val="000000"/>
              <w:sz w:val="24"/>
              <w:szCs w:val="24"/>
            </w:rPr>
            <w:t xml:space="preserve"> W, </w:t>
          </w:r>
          <w:proofErr w:type="spellStart"/>
          <w:r w:rsidRPr="00A034C4">
            <w:rPr>
              <w:rFonts w:ascii="Times New Roman" w:eastAsia="Times New Roman" w:hAnsi="Times New Roman" w:cs="Times New Roman"/>
              <w:color w:val="000000"/>
              <w:sz w:val="24"/>
              <w:szCs w:val="24"/>
            </w:rPr>
            <w:t>Dadgar</w:t>
          </w:r>
          <w:proofErr w:type="spellEnd"/>
          <w:r w:rsidRPr="00A034C4">
            <w:rPr>
              <w:rFonts w:ascii="Times New Roman" w:eastAsia="Times New Roman" w:hAnsi="Times New Roman" w:cs="Times New Roman"/>
              <w:color w:val="000000"/>
              <w:sz w:val="24"/>
              <w:szCs w:val="24"/>
            </w:rPr>
            <w:t xml:space="preserve"> S, El </w:t>
          </w:r>
          <w:proofErr w:type="spellStart"/>
          <w:r w:rsidRPr="00A034C4">
            <w:rPr>
              <w:rFonts w:ascii="Times New Roman" w:eastAsia="Times New Roman" w:hAnsi="Times New Roman" w:cs="Times New Roman"/>
              <w:color w:val="000000"/>
              <w:sz w:val="24"/>
              <w:szCs w:val="24"/>
            </w:rPr>
            <w:t>Shamy</w:t>
          </w:r>
          <w:proofErr w:type="spellEnd"/>
          <w:r w:rsidRPr="00A034C4">
            <w:rPr>
              <w:rFonts w:ascii="Times New Roman" w:eastAsia="Times New Roman" w:hAnsi="Times New Roman" w:cs="Times New Roman"/>
              <w:color w:val="000000"/>
              <w:sz w:val="24"/>
              <w:szCs w:val="24"/>
            </w:rPr>
            <w:t xml:space="preserve"> O. Precision Dialysis: Leveraging Big Data and Artificial Intelligence. Vol. 6, Kidney Medicine. Elsevier Inc.; 2024. </w:t>
          </w:r>
        </w:p>
        <w:p w14:paraId="67B6D865" w14:textId="77777777" w:rsidR="00A034C4" w:rsidRPr="00A034C4" w:rsidRDefault="00A034C4" w:rsidP="00A034C4">
          <w:pPr>
            <w:autoSpaceDE w:val="0"/>
            <w:autoSpaceDN w:val="0"/>
            <w:spacing w:line="360" w:lineRule="auto"/>
            <w:ind w:hanging="640"/>
            <w:jc w:val="both"/>
            <w:divId w:val="17979457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31.</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Abbara</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Crabol</w:t>
          </w:r>
          <w:proofErr w:type="spellEnd"/>
          <w:r w:rsidRPr="00A034C4">
            <w:rPr>
              <w:rFonts w:ascii="Times New Roman" w:eastAsia="Times New Roman" w:hAnsi="Times New Roman" w:cs="Times New Roman"/>
              <w:color w:val="000000"/>
              <w:sz w:val="24"/>
              <w:szCs w:val="24"/>
            </w:rPr>
            <w:t xml:space="preserve"> Y, de </w:t>
          </w:r>
          <w:proofErr w:type="spellStart"/>
          <w:r w:rsidRPr="00A034C4">
            <w:rPr>
              <w:rFonts w:ascii="Times New Roman" w:eastAsia="Times New Roman" w:hAnsi="Times New Roman" w:cs="Times New Roman"/>
              <w:color w:val="000000"/>
              <w:sz w:val="24"/>
              <w:szCs w:val="24"/>
            </w:rPr>
            <w:t>Bouillé</w:t>
          </w:r>
          <w:proofErr w:type="spellEnd"/>
          <w:r w:rsidRPr="00A034C4">
            <w:rPr>
              <w:rFonts w:ascii="Times New Roman" w:eastAsia="Times New Roman" w:hAnsi="Times New Roman" w:cs="Times New Roman"/>
              <w:color w:val="000000"/>
              <w:sz w:val="24"/>
              <w:szCs w:val="24"/>
            </w:rPr>
            <w:t xml:space="preserve"> JG, </w:t>
          </w:r>
          <w:proofErr w:type="spellStart"/>
          <w:r w:rsidRPr="00A034C4">
            <w:rPr>
              <w:rFonts w:ascii="Times New Roman" w:eastAsia="Times New Roman" w:hAnsi="Times New Roman" w:cs="Times New Roman"/>
              <w:color w:val="000000"/>
              <w:sz w:val="24"/>
              <w:szCs w:val="24"/>
            </w:rPr>
            <w:t>Dinh</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Morquin</w:t>
          </w:r>
          <w:proofErr w:type="spellEnd"/>
          <w:r w:rsidRPr="00A034C4">
            <w:rPr>
              <w:rFonts w:ascii="Times New Roman" w:eastAsia="Times New Roman" w:hAnsi="Times New Roman" w:cs="Times New Roman"/>
              <w:color w:val="000000"/>
              <w:sz w:val="24"/>
              <w:szCs w:val="24"/>
            </w:rPr>
            <w:t xml:space="preserve"> D. Artificial intelligence and infectious diseases: Scope and perspectives. Infect Dis Now [Internet]. 2025 Nov;55(7):105131. Available from: https://linkinghub.elsevier.com/retrieve/pii/S2666991925001101</w:t>
          </w:r>
        </w:p>
        <w:p w14:paraId="6C98896F" w14:textId="77777777" w:rsidR="00A034C4" w:rsidRPr="00A034C4" w:rsidRDefault="00A034C4" w:rsidP="00A034C4">
          <w:pPr>
            <w:autoSpaceDE w:val="0"/>
            <w:autoSpaceDN w:val="0"/>
            <w:spacing w:line="360" w:lineRule="auto"/>
            <w:ind w:hanging="640"/>
            <w:jc w:val="both"/>
            <w:divId w:val="73474237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lang w:val="pt-BR"/>
            </w:rPr>
            <w:t>32.</w:t>
          </w:r>
          <w:r w:rsidRPr="00A034C4">
            <w:rPr>
              <w:rFonts w:ascii="Times New Roman" w:eastAsia="Times New Roman" w:hAnsi="Times New Roman" w:cs="Times New Roman"/>
              <w:color w:val="000000"/>
              <w:sz w:val="24"/>
              <w:szCs w:val="24"/>
              <w:lang w:val="pt-BR"/>
            </w:rPr>
            <w:tab/>
            <w:t xml:space="preserve">Medeiros HJS, Dabbagh A, Vlassakov K, Sabouri AS. </w:t>
          </w:r>
          <w:r w:rsidRPr="00A034C4">
            <w:rPr>
              <w:rFonts w:ascii="Times New Roman" w:eastAsia="Times New Roman" w:hAnsi="Times New Roman" w:cs="Times New Roman"/>
              <w:color w:val="000000"/>
              <w:sz w:val="24"/>
              <w:szCs w:val="24"/>
            </w:rPr>
            <w:t xml:space="preserve">Artificial Intelligence in Regional </w:t>
          </w:r>
          <w:proofErr w:type="spellStart"/>
          <w:r w:rsidRPr="00A034C4">
            <w:rPr>
              <w:rFonts w:ascii="Times New Roman" w:eastAsia="Times New Roman" w:hAnsi="Times New Roman" w:cs="Times New Roman"/>
              <w:color w:val="000000"/>
              <w:sz w:val="24"/>
              <w:szCs w:val="24"/>
            </w:rPr>
            <w:t>Anesthesia</w:t>
          </w:r>
          <w:proofErr w:type="spellEnd"/>
          <w:r w:rsidRPr="00A034C4">
            <w:rPr>
              <w:rFonts w:ascii="Times New Roman" w:eastAsia="Times New Roman" w:hAnsi="Times New Roman" w:cs="Times New Roman"/>
              <w:color w:val="000000"/>
              <w:sz w:val="24"/>
              <w:szCs w:val="24"/>
            </w:rPr>
            <w:t xml:space="preserve"> and Pain Management. Vol. 43, </w:t>
          </w:r>
          <w:proofErr w:type="spellStart"/>
          <w:r w:rsidRPr="00A034C4">
            <w:rPr>
              <w:rFonts w:ascii="Times New Roman" w:eastAsia="Times New Roman" w:hAnsi="Times New Roman" w:cs="Times New Roman"/>
              <w:color w:val="000000"/>
              <w:sz w:val="24"/>
              <w:szCs w:val="24"/>
            </w:rPr>
            <w:t>Anesthesiology</w:t>
          </w:r>
          <w:proofErr w:type="spellEnd"/>
          <w:r w:rsidRPr="00A034C4">
            <w:rPr>
              <w:rFonts w:ascii="Times New Roman" w:eastAsia="Times New Roman" w:hAnsi="Times New Roman" w:cs="Times New Roman"/>
              <w:color w:val="000000"/>
              <w:sz w:val="24"/>
              <w:szCs w:val="24"/>
            </w:rPr>
            <w:t xml:space="preserve"> Clinics. W.B. Saunders; 2025. p. 491–505. </w:t>
          </w:r>
        </w:p>
        <w:p w14:paraId="32DD52FF" w14:textId="77777777" w:rsidR="00A034C4" w:rsidRPr="00A034C4" w:rsidRDefault="00A034C4" w:rsidP="00A034C4">
          <w:pPr>
            <w:autoSpaceDE w:val="0"/>
            <w:autoSpaceDN w:val="0"/>
            <w:spacing w:line="360" w:lineRule="auto"/>
            <w:ind w:hanging="640"/>
            <w:jc w:val="both"/>
            <w:divId w:val="126499670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33.</w:t>
          </w:r>
          <w:r w:rsidRPr="00A034C4">
            <w:rPr>
              <w:rFonts w:ascii="Times New Roman" w:eastAsia="Times New Roman" w:hAnsi="Times New Roman" w:cs="Times New Roman"/>
              <w:color w:val="000000"/>
              <w:sz w:val="24"/>
              <w:szCs w:val="24"/>
            </w:rPr>
            <w:tab/>
            <w:t xml:space="preserve">Wu YC, Chia-Yu Su E, Hou JH, Lin CJ, Lin KB, Chen CH. Artificial intelligence and assisted reproductive technology: A comprehensive systematic review. Vol. 64, Taiwanese Journal of Obstetrics and </w:t>
          </w:r>
          <w:proofErr w:type="spellStart"/>
          <w:r w:rsidRPr="00A034C4">
            <w:rPr>
              <w:rFonts w:ascii="Times New Roman" w:eastAsia="Times New Roman" w:hAnsi="Times New Roman" w:cs="Times New Roman"/>
              <w:color w:val="000000"/>
              <w:sz w:val="24"/>
              <w:szCs w:val="24"/>
            </w:rPr>
            <w:t>Gynecology</w:t>
          </w:r>
          <w:proofErr w:type="spellEnd"/>
          <w:r w:rsidRPr="00A034C4">
            <w:rPr>
              <w:rFonts w:ascii="Times New Roman" w:eastAsia="Times New Roman" w:hAnsi="Times New Roman" w:cs="Times New Roman"/>
              <w:color w:val="000000"/>
              <w:sz w:val="24"/>
              <w:szCs w:val="24"/>
            </w:rPr>
            <w:t xml:space="preserve">. Elsevier Ltd; 2025. p. 11–26. </w:t>
          </w:r>
        </w:p>
        <w:p w14:paraId="6FC5DB39" w14:textId="77777777" w:rsidR="00A034C4" w:rsidRPr="00A034C4" w:rsidRDefault="00A034C4" w:rsidP="00A034C4">
          <w:pPr>
            <w:autoSpaceDE w:val="0"/>
            <w:autoSpaceDN w:val="0"/>
            <w:spacing w:line="360" w:lineRule="auto"/>
            <w:ind w:hanging="640"/>
            <w:jc w:val="both"/>
            <w:divId w:val="76180332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34.</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Ghaderi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Chitzan-Zadeh</w:t>
          </w:r>
          <w:proofErr w:type="spellEnd"/>
          <w:r w:rsidRPr="00A034C4">
            <w:rPr>
              <w:rFonts w:ascii="Times New Roman" w:eastAsia="Times New Roman" w:hAnsi="Times New Roman" w:cs="Times New Roman"/>
              <w:color w:val="000000"/>
              <w:sz w:val="24"/>
              <w:szCs w:val="24"/>
            </w:rPr>
            <w:t xml:space="preserve"> K, </w:t>
          </w:r>
          <w:proofErr w:type="spellStart"/>
          <w:r w:rsidRPr="00A034C4">
            <w:rPr>
              <w:rFonts w:ascii="Times New Roman" w:eastAsia="Times New Roman" w:hAnsi="Times New Roman" w:cs="Times New Roman"/>
              <w:color w:val="000000"/>
              <w:sz w:val="24"/>
              <w:szCs w:val="24"/>
            </w:rPr>
            <w:t>Mokarami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Mokarami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Shokoohi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Vafa</w:t>
          </w:r>
          <w:proofErr w:type="spellEnd"/>
          <w:r w:rsidRPr="00A034C4">
            <w:rPr>
              <w:rFonts w:ascii="Times New Roman" w:eastAsia="Times New Roman" w:hAnsi="Times New Roman" w:cs="Times New Roman"/>
              <w:color w:val="000000"/>
              <w:sz w:val="24"/>
              <w:szCs w:val="24"/>
            </w:rPr>
            <w:t xml:space="preserve"> RG. Revolutionizing diabetes management: Artificial intelligence (AI) from assessment to advanced monitoring. Next Research. 2025 Sep;2(3):100472. </w:t>
          </w:r>
        </w:p>
        <w:p w14:paraId="14780AB4" w14:textId="77777777" w:rsidR="00A034C4" w:rsidRPr="00A034C4" w:rsidRDefault="00A034C4" w:rsidP="00A034C4">
          <w:pPr>
            <w:autoSpaceDE w:val="0"/>
            <w:autoSpaceDN w:val="0"/>
            <w:spacing w:line="360" w:lineRule="auto"/>
            <w:ind w:hanging="640"/>
            <w:jc w:val="both"/>
            <w:divId w:val="32467433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35.</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Aravazhi</w:t>
          </w:r>
          <w:proofErr w:type="spellEnd"/>
          <w:r w:rsidRPr="00A034C4">
            <w:rPr>
              <w:rFonts w:ascii="Times New Roman" w:eastAsia="Times New Roman" w:hAnsi="Times New Roman" w:cs="Times New Roman"/>
              <w:color w:val="000000"/>
              <w:sz w:val="24"/>
              <w:szCs w:val="24"/>
            </w:rPr>
            <w:t xml:space="preserve"> PS, </w:t>
          </w:r>
          <w:proofErr w:type="spellStart"/>
          <w:r w:rsidRPr="00A034C4">
            <w:rPr>
              <w:rFonts w:ascii="Times New Roman" w:eastAsia="Times New Roman" w:hAnsi="Times New Roman" w:cs="Times New Roman"/>
              <w:color w:val="000000"/>
              <w:sz w:val="24"/>
              <w:szCs w:val="24"/>
            </w:rPr>
            <w:t>Gunasekaran</w:t>
          </w:r>
          <w:proofErr w:type="spellEnd"/>
          <w:r w:rsidRPr="00A034C4">
            <w:rPr>
              <w:rFonts w:ascii="Times New Roman" w:eastAsia="Times New Roman" w:hAnsi="Times New Roman" w:cs="Times New Roman"/>
              <w:color w:val="000000"/>
              <w:sz w:val="24"/>
              <w:szCs w:val="24"/>
            </w:rPr>
            <w:t xml:space="preserve"> P, Benjamin NZY, Thai A, </w:t>
          </w:r>
          <w:proofErr w:type="spellStart"/>
          <w:r w:rsidRPr="00A034C4">
            <w:rPr>
              <w:rFonts w:ascii="Times New Roman" w:eastAsia="Times New Roman" w:hAnsi="Times New Roman" w:cs="Times New Roman"/>
              <w:color w:val="000000"/>
              <w:sz w:val="24"/>
              <w:szCs w:val="24"/>
            </w:rPr>
            <w:t>Chandrasekar</w:t>
          </w:r>
          <w:proofErr w:type="spellEnd"/>
          <w:r w:rsidRPr="00A034C4">
            <w:rPr>
              <w:rFonts w:ascii="Times New Roman" w:eastAsia="Times New Roman" w:hAnsi="Times New Roman" w:cs="Times New Roman"/>
              <w:color w:val="000000"/>
              <w:sz w:val="24"/>
              <w:szCs w:val="24"/>
            </w:rPr>
            <w:t xml:space="preserve"> KK, </w:t>
          </w:r>
          <w:proofErr w:type="spellStart"/>
          <w:r w:rsidRPr="00A034C4">
            <w:rPr>
              <w:rFonts w:ascii="Times New Roman" w:eastAsia="Times New Roman" w:hAnsi="Times New Roman" w:cs="Times New Roman"/>
              <w:color w:val="000000"/>
              <w:sz w:val="24"/>
              <w:szCs w:val="24"/>
            </w:rPr>
            <w:t>Kolanu</w:t>
          </w:r>
          <w:proofErr w:type="spellEnd"/>
          <w:r w:rsidRPr="00A034C4">
            <w:rPr>
              <w:rFonts w:ascii="Times New Roman" w:eastAsia="Times New Roman" w:hAnsi="Times New Roman" w:cs="Times New Roman"/>
              <w:color w:val="000000"/>
              <w:sz w:val="24"/>
              <w:szCs w:val="24"/>
            </w:rPr>
            <w:t xml:space="preserve"> ND, et al. The integration of artificial intelligence into clinical medicine: Trends, challenges, and future directions. Disease-a-Month. 2025 Jun 1;71(6). </w:t>
          </w:r>
        </w:p>
        <w:p w14:paraId="5C3F4B91" w14:textId="77777777" w:rsidR="00A034C4" w:rsidRPr="00A034C4" w:rsidRDefault="00A034C4" w:rsidP="00A034C4">
          <w:pPr>
            <w:autoSpaceDE w:val="0"/>
            <w:autoSpaceDN w:val="0"/>
            <w:spacing w:line="360" w:lineRule="auto"/>
            <w:ind w:hanging="640"/>
            <w:jc w:val="both"/>
            <w:divId w:val="44377267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36.</w:t>
          </w:r>
          <w:r w:rsidRPr="00A034C4">
            <w:rPr>
              <w:rFonts w:ascii="Times New Roman" w:eastAsia="Times New Roman" w:hAnsi="Times New Roman" w:cs="Times New Roman"/>
              <w:color w:val="000000"/>
              <w:sz w:val="24"/>
              <w:szCs w:val="24"/>
            </w:rPr>
            <w:tab/>
            <w:t>Lim ECN, Cheng NCL, Lim CED. The art of medical synthesis: Where Chinese medical wisdom intersects with artificial intelligence. Journal of Traditional Chinese Medical Sciences [Internet]. 2025 Aug; Available from: https://linkinghub.elsevier.com/retrieve/pii/S209575482500078X</w:t>
          </w:r>
        </w:p>
        <w:p w14:paraId="0342F204" w14:textId="77777777" w:rsidR="00A034C4" w:rsidRPr="00A034C4" w:rsidRDefault="00A034C4" w:rsidP="00A034C4">
          <w:pPr>
            <w:autoSpaceDE w:val="0"/>
            <w:autoSpaceDN w:val="0"/>
            <w:spacing w:line="360" w:lineRule="auto"/>
            <w:ind w:hanging="640"/>
            <w:jc w:val="both"/>
            <w:divId w:val="17248617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37.</w:t>
          </w:r>
          <w:r w:rsidRPr="00A034C4">
            <w:rPr>
              <w:rFonts w:ascii="Times New Roman" w:eastAsia="Times New Roman" w:hAnsi="Times New Roman" w:cs="Times New Roman"/>
              <w:color w:val="000000"/>
              <w:sz w:val="24"/>
              <w:szCs w:val="24"/>
            </w:rPr>
            <w:tab/>
            <w:t xml:space="preserve">Liu R, Shen W. Data acquisition of exercise and fitness pressure measurement based on artificial intelligence technology. SLAS Technol. 2025 Aug 1;33. </w:t>
          </w:r>
        </w:p>
        <w:p w14:paraId="3A4B2BFD" w14:textId="77777777" w:rsidR="00A034C4" w:rsidRPr="00A034C4" w:rsidRDefault="00A034C4" w:rsidP="00A034C4">
          <w:pPr>
            <w:autoSpaceDE w:val="0"/>
            <w:autoSpaceDN w:val="0"/>
            <w:spacing w:line="360" w:lineRule="auto"/>
            <w:ind w:hanging="640"/>
            <w:jc w:val="both"/>
            <w:divId w:val="54919272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38.</w:t>
          </w:r>
          <w:r w:rsidRPr="00A034C4">
            <w:rPr>
              <w:rFonts w:ascii="Times New Roman" w:eastAsia="Times New Roman" w:hAnsi="Times New Roman" w:cs="Times New Roman"/>
              <w:color w:val="000000"/>
              <w:sz w:val="24"/>
              <w:szCs w:val="24"/>
            </w:rPr>
            <w:tab/>
            <w:t>Habbal S, Mian M, Imam M, Tahiri J, Amor A, Reddy PH. Harnessing artificial intelligence for transforming dementia care: Innovations in early detection and treatment. Brain Organoid and Systems Neuroscience Journal. 2025 Dec</w:t>
          </w:r>
          <w:proofErr w:type="gramStart"/>
          <w:r w:rsidRPr="00A034C4">
            <w:rPr>
              <w:rFonts w:ascii="Times New Roman" w:eastAsia="Times New Roman" w:hAnsi="Times New Roman" w:cs="Times New Roman"/>
              <w:color w:val="000000"/>
              <w:sz w:val="24"/>
              <w:szCs w:val="24"/>
            </w:rPr>
            <w:t>;3:122</w:t>
          </w:r>
          <w:proofErr w:type="gramEnd"/>
          <w:r w:rsidRPr="00A034C4">
            <w:rPr>
              <w:rFonts w:ascii="Times New Roman" w:eastAsia="Times New Roman" w:hAnsi="Times New Roman" w:cs="Times New Roman"/>
              <w:color w:val="000000"/>
              <w:sz w:val="24"/>
              <w:szCs w:val="24"/>
            </w:rPr>
            <w:t xml:space="preserve">–33. </w:t>
          </w:r>
        </w:p>
        <w:p w14:paraId="70E36D04" w14:textId="77777777" w:rsidR="00A034C4" w:rsidRPr="00A034C4" w:rsidRDefault="00A034C4" w:rsidP="00A034C4">
          <w:pPr>
            <w:autoSpaceDE w:val="0"/>
            <w:autoSpaceDN w:val="0"/>
            <w:spacing w:line="360" w:lineRule="auto"/>
            <w:ind w:hanging="640"/>
            <w:jc w:val="both"/>
            <w:divId w:val="209619975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39.</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Abbaoui</w:t>
          </w:r>
          <w:proofErr w:type="spellEnd"/>
          <w:r w:rsidRPr="00A034C4">
            <w:rPr>
              <w:rFonts w:ascii="Times New Roman" w:eastAsia="Times New Roman" w:hAnsi="Times New Roman" w:cs="Times New Roman"/>
              <w:color w:val="000000"/>
              <w:sz w:val="24"/>
              <w:szCs w:val="24"/>
            </w:rPr>
            <w:t xml:space="preserve"> W, </w:t>
          </w:r>
          <w:proofErr w:type="spellStart"/>
          <w:r w:rsidRPr="00A034C4">
            <w:rPr>
              <w:rFonts w:ascii="Times New Roman" w:eastAsia="Times New Roman" w:hAnsi="Times New Roman" w:cs="Times New Roman"/>
              <w:color w:val="000000"/>
              <w:sz w:val="24"/>
              <w:szCs w:val="24"/>
            </w:rPr>
            <w:t>Retal</w:t>
          </w:r>
          <w:proofErr w:type="spellEnd"/>
          <w:r w:rsidRPr="00A034C4">
            <w:rPr>
              <w:rFonts w:ascii="Times New Roman" w:eastAsia="Times New Roman" w:hAnsi="Times New Roman" w:cs="Times New Roman"/>
              <w:color w:val="000000"/>
              <w:sz w:val="24"/>
              <w:szCs w:val="24"/>
            </w:rPr>
            <w:t xml:space="preserve"> S, El </w:t>
          </w:r>
          <w:proofErr w:type="spellStart"/>
          <w:r w:rsidRPr="00A034C4">
            <w:rPr>
              <w:rFonts w:ascii="Times New Roman" w:eastAsia="Times New Roman" w:hAnsi="Times New Roman" w:cs="Times New Roman"/>
              <w:color w:val="000000"/>
              <w:sz w:val="24"/>
              <w:szCs w:val="24"/>
            </w:rPr>
            <w:t>Bhiri</w:t>
          </w:r>
          <w:proofErr w:type="spellEnd"/>
          <w:r w:rsidRPr="00A034C4">
            <w:rPr>
              <w:rFonts w:ascii="Times New Roman" w:eastAsia="Times New Roman" w:hAnsi="Times New Roman" w:cs="Times New Roman"/>
              <w:color w:val="000000"/>
              <w:sz w:val="24"/>
              <w:szCs w:val="24"/>
            </w:rPr>
            <w:t xml:space="preserve"> B, </w:t>
          </w:r>
          <w:proofErr w:type="spellStart"/>
          <w:r w:rsidRPr="00A034C4">
            <w:rPr>
              <w:rFonts w:ascii="Times New Roman" w:eastAsia="Times New Roman" w:hAnsi="Times New Roman" w:cs="Times New Roman"/>
              <w:color w:val="000000"/>
              <w:sz w:val="24"/>
              <w:szCs w:val="24"/>
            </w:rPr>
            <w:t>Kharmoum</w:t>
          </w:r>
          <w:proofErr w:type="spellEnd"/>
          <w:r w:rsidRPr="00A034C4">
            <w:rPr>
              <w:rFonts w:ascii="Times New Roman" w:eastAsia="Times New Roman" w:hAnsi="Times New Roman" w:cs="Times New Roman"/>
              <w:color w:val="000000"/>
              <w:sz w:val="24"/>
              <w:szCs w:val="24"/>
            </w:rPr>
            <w:t xml:space="preserve"> N, Ziti S. Towards revolutionizing precision healthcare: A systematic literature review of artificial intelligence methods in precision medicine. Vol. 46, Informatics in Medicine Unlocked. Elsevier Ltd; 2024. </w:t>
          </w:r>
        </w:p>
        <w:p w14:paraId="5FDA16B5" w14:textId="5C2DC388" w:rsidR="00A034C4" w:rsidRPr="00A034C4" w:rsidRDefault="00A034C4" w:rsidP="00A034C4">
          <w:pPr>
            <w:autoSpaceDE w:val="0"/>
            <w:autoSpaceDN w:val="0"/>
            <w:spacing w:line="360" w:lineRule="auto"/>
            <w:ind w:hanging="640"/>
            <w:jc w:val="both"/>
            <w:divId w:val="1910382100"/>
            <w:rPr>
              <w:rFonts w:ascii="Times New Roman" w:eastAsia="Times New Roman" w:hAnsi="Times New Roman" w:cs="Times New Roman"/>
              <w:color w:val="000000"/>
              <w:sz w:val="24"/>
              <w:szCs w:val="24"/>
            </w:rPr>
          </w:pPr>
          <w:r w:rsidRPr="00DF7456">
            <w:rPr>
              <w:rFonts w:ascii="Times New Roman" w:eastAsia="Times New Roman" w:hAnsi="Times New Roman" w:cs="Times New Roman"/>
              <w:color w:val="000000"/>
              <w:sz w:val="24"/>
              <w:szCs w:val="24"/>
              <w:lang w:val="nb-NO"/>
            </w:rPr>
            <w:t>40.</w:t>
          </w:r>
          <w:r w:rsidRPr="00DF7456">
            <w:rPr>
              <w:rFonts w:ascii="Times New Roman" w:eastAsia="Times New Roman" w:hAnsi="Times New Roman" w:cs="Times New Roman"/>
              <w:color w:val="000000"/>
              <w:sz w:val="24"/>
              <w:szCs w:val="24"/>
              <w:lang w:val="nb-NO"/>
            </w:rPr>
            <w:tab/>
          </w:r>
          <w:r w:rsidR="00DF7456" w:rsidRPr="00DF7456">
            <w:rPr>
              <w:rFonts w:ascii="Times New Roman" w:eastAsia="Times New Roman" w:hAnsi="Times New Roman" w:cs="Times New Roman"/>
              <w:color w:val="000000"/>
              <w:sz w:val="24"/>
              <w:szCs w:val="24"/>
              <w:lang w:val="nb-NO"/>
            </w:rPr>
            <w:t xml:space="preserve">Nitave SA, Patil SS, Phade SA, Patil V, et al. </w:t>
          </w:r>
          <w:r w:rsidR="00DF7456" w:rsidRPr="00DF7456">
            <w:rPr>
              <w:rFonts w:ascii="Times New Roman" w:eastAsia="Times New Roman" w:hAnsi="Times New Roman" w:cs="Times New Roman"/>
              <w:color w:val="000000"/>
              <w:sz w:val="24"/>
              <w:szCs w:val="24"/>
            </w:rPr>
            <w:t>Artificial intelligence based portable biopharmaceutical formulation device [patent]. US Patent 6459005, July 2025.</w:t>
          </w:r>
          <w:r w:rsidRPr="00A034C4">
            <w:rPr>
              <w:rFonts w:ascii="Times New Roman" w:eastAsia="Times New Roman" w:hAnsi="Times New Roman" w:cs="Times New Roman"/>
              <w:color w:val="000000"/>
              <w:sz w:val="24"/>
              <w:szCs w:val="24"/>
            </w:rPr>
            <w:t xml:space="preserve"> </w:t>
          </w:r>
        </w:p>
        <w:p w14:paraId="4CA5F917" w14:textId="77777777" w:rsidR="00A034C4" w:rsidRPr="00A034C4" w:rsidRDefault="00A034C4" w:rsidP="00A034C4">
          <w:pPr>
            <w:autoSpaceDE w:val="0"/>
            <w:autoSpaceDN w:val="0"/>
            <w:spacing w:line="360" w:lineRule="auto"/>
            <w:ind w:hanging="640"/>
            <w:jc w:val="both"/>
            <w:divId w:val="97426412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41.</w:t>
          </w:r>
          <w:r w:rsidRPr="00A034C4">
            <w:rPr>
              <w:rFonts w:ascii="Times New Roman" w:eastAsia="Times New Roman" w:hAnsi="Times New Roman" w:cs="Times New Roman"/>
              <w:color w:val="000000"/>
              <w:sz w:val="24"/>
              <w:szCs w:val="24"/>
            </w:rPr>
            <w:tab/>
            <w:t xml:space="preserve">Charles V, </w:t>
          </w:r>
          <w:proofErr w:type="spellStart"/>
          <w:r w:rsidRPr="00A034C4">
            <w:rPr>
              <w:rFonts w:ascii="Times New Roman" w:eastAsia="Times New Roman" w:hAnsi="Times New Roman" w:cs="Times New Roman"/>
              <w:color w:val="000000"/>
              <w:sz w:val="24"/>
              <w:szCs w:val="24"/>
            </w:rPr>
            <w:t>Emrouznejad</w:t>
          </w:r>
          <w:proofErr w:type="spellEnd"/>
          <w:r w:rsidRPr="00A034C4">
            <w:rPr>
              <w:rFonts w:ascii="Times New Roman" w:eastAsia="Times New Roman" w:hAnsi="Times New Roman" w:cs="Times New Roman"/>
              <w:color w:val="000000"/>
              <w:sz w:val="24"/>
              <w:szCs w:val="24"/>
            </w:rPr>
            <w:t xml:space="preserve"> A, Kunz WH. Advancements in Artificial Intelligence-based prescriptive and cognitive analytics for business performance: a special issue editorial. J Bus Res. 2025 Nov 1;200. </w:t>
          </w:r>
        </w:p>
        <w:p w14:paraId="1651D14F" w14:textId="743DC04E" w:rsidR="00A034C4" w:rsidRPr="00A034C4" w:rsidRDefault="00A034C4" w:rsidP="00A034C4">
          <w:pPr>
            <w:autoSpaceDE w:val="0"/>
            <w:autoSpaceDN w:val="0"/>
            <w:spacing w:line="360" w:lineRule="auto"/>
            <w:ind w:hanging="640"/>
            <w:jc w:val="both"/>
            <w:divId w:val="79406128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42.</w:t>
          </w:r>
          <w:r w:rsidRPr="00A034C4">
            <w:rPr>
              <w:rFonts w:ascii="Times New Roman" w:eastAsia="Times New Roman" w:hAnsi="Times New Roman" w:cs="Times New Roman"/>
              <w:color w:val="000000"/>
              <w:sz w:val="24"/>
              <w:szCs w:val="24"/>
            </w:rPr>
            <w:tab/>
          </w:r>
          <w:proofErr w:type="spellStart"/>
          <w:r w:rsidR="00DF7456" w:rsidRPr="00DF7456">
            <w:rPr>
              <w:rFonts w:ascii="Times New Roman" w:eastAsia="Times New Roman" w:hAnsi="Times New Roman" w:cs="Times New Roman"/>
              <w:color w:val="000000"/>
              <w:sz w:val="24"/>
              <w:szCs w:val="24"/>
            </w:rPr>
            <w:t>Akshada</w:t>
          </w:r>
          <w:proofErr w:type="spellEnd"/>
          <w:r w:rsidR="00DF7456" w:rsidRPr="00DF7456">
            <w:rPr>
              <w:rFonts w:ascii="Times New Roman" w:eastAsia="Times New Roman" w:hAnsi="Times New Roman" w:cs="Times New Roman"/>
              <w:color w:val="000000"/>
              <w:sz w:val="24"/>
              <w:szCs w:val="24"/>
            </w:rPr>
            <w:t xml:space="preserve"> </w:t>
          </w:r>
          <w:proofErr w:type="spellStart"/>
          <w:r w:rsidR="00DF7456" w:rsidRPr="00DF7456">
            <w:rPr>
              <w:rFonts w:ascii="Times New Roman" w:eastAsia="Times New Roman" w:hAnsi="Times New Roman" w:cs="Times New Roman"/>
              <w:color w:val="000000"/>
              <w:sz w:val="24"/>
              <w:szCs w:val="24"/>
            </w:rPr>
            <w:t>Khetre</w:t>
          </w:r>
          <w:proofErr w:type="spellEnd"/>
          <w:r w:rsidR="00DF7456" w:rsidRPr="00DF7456">
            <w:rPr>
              <w:rFonts w:ascii="Times New Roman" w:eastAsia="Times New Roman" w:hAnsi="Times New Roman" w:cs="Times New Roman"/>
              <w:color w:val="000000"/>
              <w:sz w:val="24"/>
              <w:szCs w:val="24"/>
            </w:rPr>
            <w:t xml:space="preserve">, </w:t>
          </w:r>
          <w:proofErr w:type="spellStart"/>
          <w:r w:rsidR="00DF7456" w:rsidRPr="00DF7456">
            <w:rPr>
              <w:rFonts w:ascii="Times New Roman" w:eastAsia="Times New Roman" w:hAnsi="Times New Roman" w:cs="Times New Roman"/>
              <w:color w:val="000000"/>
              <w:sz w:val="24"/>
              <w:szCs w:val="24"/>
            </w:rPr>
            <w:t>Falgunee</w:t>
          </w:r>
          <w:proofErr w:type="spellEnd"/>
          <w:r w:rsidR="00DF7456" w:rsidRPr="00DF7456">
            <w:rPr>
              <w:rFonts w:ascii="Times New Roman" w:eastAsia="Times New Roman" w:hAnsi="Times New Roman" w:cs="Times New Roman"/>
              <w:color w:val="000000"/>
              <w:sz w:val="24"/>
              <w:szCs w:val="24"/>
            </w:rPr>
            <w:t xml:space="preserve"> </w:t>
          </w:r>
          <w:proofErr w:type="spellStart"/>
          <w:r w:rsidR="00DF7456" w:rsidRPr="00DF7456">
            <w:rPr>
              <w:rFonts w:ascii="Times New Roman" w:eastAsia="Times New Roman" w:hAnsi="Times New Roman" w:cs="Times New Roman"/>
              <w:color w:val="000000"/>
              <w:sz w:val="24"/>
              <w:szCs w:val="24"/>
            </w:rPr>
            <w:t>Ghadi</w:t>
          </w:r>
          <w:proofErr w:type="spellEnd"/>
          <w:r w:rsidR="00DF7456" w:rsidRPr="00DF7456">
            <w:rPr>
              <w:rFonts w:ascii="Times New Roman" w:eastAsia="Times New Roman" w:hAnsi="Times New Roman" w:cs="Times New Roman"/>
              <w:color w:val="000000"/>
              <w:sz w:val="24"/>
              <w:szCs w:val="24"/>
            </w:rPr>
            <w:t xml:space="preserve">, Sachin Nitave, and Vrushabh Patil. 2025. “Beyond Traditional </w:t>
          </w:r>
          <w:proofErr w:type="spellStart"/>
          <w:r w:rsidR="00DF7456" w:rsidRPr="00DF7456">
            <w:rPr>
              <w:rFonts w:ascii="Times New Roman" w:eastAsia="Times New Roman" w:hAnsi="Times New Roman" w:cs="Times New Roman"/>
              <w:color w:val="000000"/>
              <w:sz w:val="24"/>
              <w:szCs w:val="24"/>
            </w:rPr>
            <w:t>Chemistry</w:t>
          </w:r>
          <w:proofErr w:type="gramStart"/>
          <w:r w:rsidR="00DF7456" w:rsidRPr="00DF7456">
            <w:rPr>
              <w:rFonts w:ascii="Times New Roman" w:eastAsia="Times New Roman" w:hAnsi="Times New Roman" w:cs="Times New Roman"/>
              <w:color w:val="000000"/>
              <w:sz w:val="24"/>
              <w:szCs w:val="24"/>
            </w:rPr>
            <w:t>:Pioneering</w:t>
          </w:r>
          <w:proofErr w:type="spellEnd"/>
          <w:proofErr w:type="gramEnd"/>
          <w:r w:rsidR="00DF7456" w:rsidRPr="00DF7456">
            <w:rPr>
              <w:rFonts w:ascii="Times New Roman" w:eastAsia="Times New Roman" w:hAnsi="Times New Roman" w:cs="Times New Roman"/>
              <w:color w:val="000000"/>
              <w:sz w:val="24"/>
              <w:szCs w:val="24"/>
            </w:rPr>
            <w:t xml:space="preserve"> Green Synthesis in Pharmaceuticals”. Journal of Medicine and Health Research 10 (2):314–330.https://doi.org/10.56557/</w:t>
          </w:r>
          <w:proofErr w:type="spellStart"/>
          <w:r w:rsidR="00DF7456" w:rsidRPr="00DF7456">
            <w:rPr>
              <w:rFonts w:ascii="Times New Roman" w:eastAsia="Times New Roman" w:hAnsi="Times New Roman" w:cs="Times New Roman"/>
              <w:color w:val="000000"/>
              <w:sz w:val="24"/>
              <w:szCs w:val="24"/>
            </w:rPr>
            <w:t>jomahr</w:t>
          </w:r>
          <w:proofErr w:type="spellEnd"/>
          <w:r w:rsidR="00DF7456" w:rsidRPr="00DF7456">
            <w:rPr>
              <w:rFonts w:ascii="Times New Roman" w:eastAsia="Times New Roman" w:hAnsi="Times New Roman" w:cs="Times New Roman"/>
              <w:color w:val="000000"/>
              <w:sz w:val="24"/>
              <w:szCs w:val="24"/>
            </w:rPr>
            <w:t xml:space="preserve">/2025/v10i29743 </w:t>
          </w:r>
        </w:p>
        <w:p w14:paraId="5BD77108" w14:textId="77777777" w:rsidR="00A034C4" w:rsidRPr="00A034C4" w:rsidRDefault="00A034C4" w:rsidP="00A034C4">
          <w:pPr>
            <w:autoSpaceDE w:val="0"/>
            <w:autoSpaceDN w:val="0"/>
            <w:spacing w:line="360" w:lineRule="auto"/>
            <w:ind w:hanging="640"/>
            <w:jc w:val="both"/>
            <w:divId w:val="127227661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43.</w:t>
          </w:r>
          <w:r w:rsidRPr="00A034C4">
            <w:rPr>
              <w:rFonts w:ascii="Times New Roman" w:eastAsia="Times New Roman" w:hAnsi="Times New Roman" w:cs="Times New Roman"/>
              <w:color w:val="000000"/>
              <w:sz w:val="24"/>
              <w:szCs w:val="24"/>
            </w:rPr>
            <w:tab/>
            <w:t xml:space="preserve">Zheng Y, Ma Y, Xiong Q, Zhu K, Weng N, Zhu Q. The role of artificial intelligence in the development of anticancer therapeutics from natural polyphenols: Current advances and future prospects. Vol. 208, Pharmacological Research. Academic Press; 2024. </w:t>
          </w:r>
        </w:p>
        <w:p w14:paraId="7318159F" w14:textId="77777777" w:rsidR="00A034C4" w:rsidRPr="00A034C4" w:rsidRDefault="00A034C4" w:rsidP="00A034C4">
          <w:pPr>
            <w:autoSpaceDE w:val="0"/>
            <w:autoSpaceDN w:val="0"/>
            <w:spacing w:line="360" w:lineRule="auto"/>
            <w:ind w:hanging="640"/>
            <w:jc w:val="both"/>
            <w:divId w:val="2005431091"/>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44.</w:t>
          </w:r>
          <w:r w:rsidRPr="00A034C4">
            <w:rPr>
              <w:rFonts w:ascii="Times New Roman" w:eastAsia="Times New Roman" w:hAnsi="Times New Roman" w:cs="Times New Roman"/>
              <w:color w:val="000000"/>
              <w:sz w:val="24"/>
              <w:szCs w:val="24"/>
            </w:rPr>
            <w:tab/>
            <w:t xml:space="preserve">Han X, Liu Q, Li Y, Zhang M, Liu K, Kwok LY, et al. Synergizing artificial intelligence and probiotics: A comprehensive review of emerging applications in health promotion and industrial innovation. Vol. 159, Trends in Food Science and Technology. Elsevier Ltd; 2025. </w:t>
          </w:r>
        </w:p>
        <w:p w14:paraId="7E026D2B" w14:textId="77777777" w:rsidR="00A034C4" w:rsidRPr="00A034C4" w:rsidRDefault="00A034C4" w:rsidP="00A034C4">
          <w:pPr>
            <w:autoSpaceDE w:val="0"/>
            <w:autoSpaceDN w:val="0"/>
            <w:spacing w:line="360" w:lineRule="auto"/>
            <w:ind w:hanging="640"/>
            <w:jc w:val="both"/>
            <w:divId w:val="19114238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45.</w:t>
          </w:r>
          <w:r w:rsidRPr="00A034C4">
            <w:rPr>
              <w:rFonts w:ascii="Times New Roman" w:eastAsia="Times New Roman" w:hAnsi="Times New Roman" w:cs="Times New Roman"/>
              <w:color w:val="000000"/>
              <w:sz w:val="24"/>
              <w:szCs w:val="24"/>
            </w:rPr>
            <w:tab/>
            <w:t xml:space="preserve">Yapa P, Rajapaksha S, Munaweera I. The integration of nanotechnology, nanomedicine, and artificial intelligence for advancements in healthcare: A conceptual review based on PRISMA method and future research directions. Next Research. 2025 Jun;2(2):100330. </w:t>
          </w:r>
        </w:p>
        <w:p w14:paraId="3E2306ED" w14:textId="77777777" w:rsidR="00A034C4" w:rsidRPr="00A034C4" w:rsidRDefault="00A034C4" w:rsidP="00A034C4">
          <w:pPr>
            <w:autoSpaceDE w:val="0"/>
            <w:autoSpaceDN w:val="0"/>
            <w:spacing w:line="360" w:lineRule="auto"/>
            <w:ind w:hanging="640"/>
            <w:jc w:val="both"/>
            <w:divId w:val="415981607"/>
            <w:rPr>
              <w:rFonts w:ascii="Times New Roman" w:eastAsia="Times New Roman" w:hAnsi="Times New Roman" w:cs="Times New Roman"/>
              <w:color w:val="000000"/>
              <w:sz w:val="24"/>
              <w:szCs w:val="24"/>
            </w:rPr>
          </w:pPr>
          <w:r w:rsidRPr="00CE5DAC">
            <w:rPr>
              <w:rFonts w:ascii="Times New Roman" w:eastAsia="Times New Roman" w:hAnsi="Times New Roman" w:cs="Times New Roman"/>
              <w:color w:val="000000"/>
              <w:sz w:val="24"/>
              <w:szCs w:val="24"/>
              <w:lang w:val="es-US"/>
            </w:rPr>
            <w:t>46.</w:t>
          </w:r>
          <w:r w:rsidRPr="00CE5DAC">
            <w:rPr>
              <w:rFonts w:ascii="Times New Roman" w:eastAsia="Times New Roman" w:hAnsi="Times New Roman" w:cs="Times New Roman"/>
              <w:color w:val="000000"/>
              <w:sz w:val="24"/>
              <w:szCs w:val="24"/>
              <w:lang w:val="es-US"/>
            </w:rPr>
            <w:tab/>
            <w:t xml:space="preserve">Nunes AL, Lisboa T, da Rosa BN, Blatt CR. </w:t>
          </w:r>
          <w:r w:rsidRPr="00A034C4">
            <w:rPr>
              <w:rFonts w:ascii="Times New Roman" w:eastAsia="Times New Roman" w:hAnsi="Times New Roman" w:cs="Times New Roman"/>
              <w:color w:val="000000"/>
              <w:sz w:val="24"/>
              <w:szCs w:val="24"/>
            </w:rPr>
            <w:t>Impact of artificial intelligence on hospital admission prediction and flow optimization in health services: a systematic review. Int J Med Inform [Internet]. 2025 Dec</w:t>
          </w:r>
          <w:proofErr w:type="gramStart"/>
          <w:r w:rsidRPr="00A034C4">
            <w:rPr>
              <w:rFonts w:ascii="Times New Roman" w:eastAsia="Times New Roman" w:hAnsi="Times New Roman" w:cs="Times New Roman"/>
              <w:color w:val="000000"/>
              <w:sz w:val="24"/>
              <w:szCs w:val="24"/>
            </w:rPr>
            <w:t>;204:106057</w:t>
          </w:r>
          <w:proofErr w:type="gramEnd"/>
          <w:r w:rsidRPr="00A034C4">
            <w:rPr>
              <w:rFonts w:ascii="Times New Roman" w:eastAsia="Times New Roman" w:hAnsi="Times New Roman" w:cs="Times New Roman"/>
              <w:color w:val="000000"/>
              <w:sz w:val="24"/>
              <w:szCs w:val="24"/>
            </w:rPr>
            <w:t>. Available from: https://linkinghub.elsevier.com/retrieve/pii/S1386505625002746</w:t>
          </w:r>
        </w:p>
        <w:p w14:paraId="60CD991F" w14:textId="77777777" w:rsidR="00A034C4" w:rsidRPr="00A034C4" w:rsidRDefault="00A034C4" w:rsidP="00A034C4">
          <w:pPr>
            <w:autoSpaceDE w:val="0"/>
            <w:autoSpaceDN w:val="0"/>
            <w:spacing w:line="360" w:lineRule="auto"/>
            <w:ind w:hanging="640"/>
            <w:jc w:val="both"/>
            <w:divId w:val="2089645521"/>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47.</w:t>
          </w:r>
          <w:r w:rsidRPr="00A034C4">
            <w:rPr>
              <w:rFonts w:ascii="Times New Roman" w:eastAsia="Times New Roman" w:hAnsi="Times New Roman" w:cs="Times New Roman"/>
              <w:color w:val="000000"/>
              <w:sz w:val="24"/>
              <w:szCs w:val="24"/>
            </w:rPr>
            <w:tab/>
            <w:t xml:space="preserve">INDIAN REGULATORY REQUIREMENTS. </w:t>
          </w:r>
        </w:p>
        <w:p w14:paraId="4A783119" w14:textId="77777777" w:rsidR="00A034C4" w:rsidRPr="00A034C4" w:rsidRDefault="00A034C4" w:rsidP="00A034C4">
          <w:pPr>
            <w:autoSpaceDE w:val="0"/>
            <w:autoSpaceDN w:val="0"/>
            <w:spacing w:line="360" w:lineRule="auto"/>
            <w:ind w:hanging="640"/>
            <w:jc w:val="both"/>
            <w:divId w:val="20260166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48.</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Crasta</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Painginkar</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Amatha</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Pawar</w:t>
          </w:r>
          <w:proofErr w:type="spellEnd"/>
          <w:r w:rsidRPr="00A034C4">
            <w:rPr>
              <w:rFonts w:ascii="Times New Roman" w:eastAsia="Times New Roman" w:hAnsi="Times New Roman" w:cs="Times New Roman"/>
              <w:color w:val="000000"/>
              <w:sz w:val="24"/>
              <w:szCs w:val="24"/>
            </w:rPr>
            <w:t xml:space="preserve"> SD, </w:t>
          </w:r>
          <w:proofErr w:type="spellStart"/>
          <w:r w:rsidRPr="00A034C4">
            <w:rPr>
              <w:rFonts w:ascii="Times New Roman" w:eastAsia="Times New Roman" w:hAnsi="Times New Roman" w:cs="Times New Roman"/>
              <w:color w:val="000000"/>
              <w:sz w:val="24"/>
              <w:szCs w:val="24"/>
            </w:rPr>
            <w:t>Muddukrishna</w:t>
          </w:r>
          <w:proofErr w:type="spellEnd"/>
          <w:r w:rsidRPr="00A034C4">
            <w:rPr>
              <w:rFonts w:ascii="Times New Roman" w:eastAsia="Times New Roman" w:hAnsi="Times New Roman" w:cs="Times New Roman"/>
              <w:color w:val="000000"/>
              <w:sz w:val="24"/>
              <w:szCs w:val="24"/>
            </w:rPr>
            <w:t xml:space="preserve"> BS, </w:t>
          </w:r>
          <w:proofErr w:type="spellStart"/>
          <w:r w:rsidRPr="00A034C4">
            <w:rPr>
              <w:rFonts w:ascii="Times New Roman" w:eastAsia="Times New Roman" w:hAnsi="Times New Roman" w:cs="Times New Roman"/>
              <w:color w:val="000000"/>
              <w:sz w:val="24"/>
              <w:szCs w:val="24"/>
            </w:rPr>
            <w:t>Vasantharaju</w:t>
          </w:r>
          <w:proofErr w:type="spellEnd"/>
          <w:r w:rsidRPr="00A034C4">
            <w:rPr>
              <w:rFonts w:ascii="Times New Roman" w:eastAsia="Times New Roman" w:hAnsi="Times New Roman" w:cs="Times New Roman"/>
              <w:color w:val="000000"/>
              <w:sz w:val="24"/>
              <w:szCs w:val="24"/>
            </w:rPr>
            <w:t xml:space="preserve"> SG, et al. Transdermal Drug Delivery System: A Comprehensive Review of Innovative Strategies, Applications, and Regulatory Perspectives. </w:t>
          </w:r>
          <w:proofErr w:type="spellStart"/>
          <w:r w:rsidRPr="00A034C4">
            <w:rPr>
              <w:rFonts w:ascii="Times New Roman" w:eastAsia="Times New Roman" w:hAnsi="Times New Roman" w:cs="Times New Roman"/>
              <w:color w:val="000000"/>
              <w:sz w:val="24"/>
              <w:szCs w:val="24"/>
            </w:rPr>
            <w:t>OpenNano</w:t>
          </w:r>
          <w:proofErr w:type="spellEnd"/>
          <w:r w:rsidRPr="00A034C4">
            <w:rPr>
              <w:rFonts w:ascii="Times New Roman" w:eastAsia="Times New Roman" w:hAnsi="Times New Roman" w:cs="Times New Roman"/>
              <w:color w:val="000000"/>
              <w:sz w:val="24"/>
              <w:szCs w:val="24"/>
            </w:rPr>
            <w:t xml:space="preserve"> [Internet]. 2025;100245. Available from: https://www.sciencedirect.com/science/article/pii/S2352952025000143</w:t>
          </w:r>
        </w:p>
        <w:p w14:paraId="00006913" w14:textId="77777777" w:rsidR="00A034C4" w:rsidRPr="00A034C4" w:rsidRDefault="00A034C4" w:rsidP="00A034C4">
          <w:pPr>
            <w:autoSpaceDE w:val="0"/>
            <w:autoSpaceDN w:val="0"/>
            <w:spacing w:line="360" w:lineRule="auto"/>
            <w:ind w:hanging="640"/>
            <w:jc w:val="both"/>
            <w:divId w:val="142561181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49.</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Crasta</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Painginkar</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Amatha</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Pawar</w:t>
          </w:r>
          <w:proofErr w:type="spellEnd"/>
          <w:r w:rsidRPr="00A034C4">
            <w:rPr>
              <w:rFonts w:ascii="Times New Roman" w:eastAsia="Times New Roman" w:hAnsi="Times New Roman" w:cs="Times New Roman"/>
              <w:color w:val="000000"/>
              <w:sz w:val="24"/>
              <w:szCs w:val="24"/>
            </w:rPr>
            <w:t xml:space="preserve"> SD, </w:t>
          </w:r>
          <w:proofErr w:type="spellStart"/>
          <w:r w:rsidRPr="00A034C4">
            <w:rPr>
              <w:rFonts w:ascii="Times New Roman" w:eastAsia="Times New Roman" w:hAnsi="Times New Roman" w:cs="Times New Roman"/>
              <w:color w:val="000000"/>
              <w:sz w:val="24"/>
              <w:szCs w:val="24"/>
            </w:rPr>
            <w:t>Muddukrishna</w:t>
          </w:r>
          <w:proofErr w:type="spellEnd"/>
          <w:r w:rsidRPr="00A034C4">
            <w:rPr>
              <w:rFonts w:ascii="Times New Roman" w:eastAsia="Times New Roman" w:hAnsi="Times New Roman" w:cs="Times New Roman"/>
              <w:color w:val="000000"/>
              <w:sz w:val="24"/>
              <w:szCs w:val="24"/>
            </w:rPr>
            <w:t xml:space="preserve"> BS, </w:t>
          </w:r>
          <w:proofErr w:type="spellStart"/>
          <w:r w:rsidRPr="00A034C4">
            <w:rPr>
              <w:rFonts w:ascii="Times New Roman" w:eastAsia="Times New Roman" w:hAnsi="Times New Roman" w:cs="Times New Roman"/>
              <w:color w:val="000000"/>
              <w:sz w:val="24"/>
              <w:szCs w:val="24"/>
            </w:rPr>
            <w:t>Vasantharaju</w:t>
          </w:r>
          <w:proofErr w:type="spellEnd"/>
          <w:r w:rsidRPr="00A034C4">
            <w:rPr>
              <w:rFonts w:ascii="Times New Roman" w:eastAsia="Times New Roman" w:hAnsi="Times New Roman" w:cs="Times New Roman"/>
              <w:color w:val="000000"/>
              <w:sz w:val="24"/>
              <w:szCs w:val="24"/>
            </w:rPr>
            <w:t xml:space="preserve"> SG, et al. Transdermal Drug Delivery System: A Comprehensive Review of Innovative Strategies, Applications, and Regulatory Perspectives. </w:t>
          </w:r>
          <w:proofErr w:type="spellStart"/>
          <w:r w:rsidRPr="00A034C4">
            <w:rPr>
              <w:rFonts w:ascii="Times New Roman" w:eastAsia="Times New Roman" w:hAnsi="Times New Roman" w:cs="Times New Roman"/>
              <w:color w:val="000000"/>
              <w:sz w:val="24"/>
              <w:szCs w:val="24"/>
            </w:rPr>
            <w:t>OpenNano</w:t>
          </w:r>
          <w:proofErr w:type="spellEnd"/>
          <w:r w:rsidRPr="00A034C4">
            <w:rPr>
              <w:rFonts w:ascii="Times New Roman" w:eastAsia="Times New Roman" w:hAnsi="Times New Roman" w:cs="Times New Roman"/>
              <w:color w:val="000000"/>
              <w:sz w:val="24"/>
              <w:szCs w:val="24"/>
            </w:rPr>
            <w:t xml:space="preserve"> [Internet]. 2025 Apr;100245. Available from: https://linkinghub.elsevier.com/retrieve/pii/S2352952025000143</w:t>
          </w:r>
        </w:p>
        <w:p w14:paraId="2ACB9AFA" w14:textId="42120B60" w:rsidR="00A034C4" w:rsidRPr="00A034C4" w:rsidRDefault="00A034C4" w:rsidP="00A034C4">
          <w:pPr>
            <w:autoSpaceDE w:val="0"/>
            <w:autoSpaceDN w:val="0"/>
            <w:spacing w:line="360" w:lineRule="auto"/>
            <w:ind w:hanging="640"/>
            <w:jc w:val="both"/>
            <w:divId w:val="214003254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50.</w:t>
          </w:r>
          <w:r w:rsidRPr="00A034C4">
            <w:rPr>
              <w:rFonts w:ascii="Times New Roman" w:eastAsia="Times New Roman" w:hAnsi="Times New Roman" w:cs="Times New Roman"/>
              <w:color w:val="000000"/>
              <w:sz w:val="24"/>
              <w:szCs w:val="24"/>
            </w:rPr>
            <w:tab/>
            <w:t>Deehan EC, Al Antwan S, Witwer RS, Guerra P, John T, Monheit L. Revisiting the Concepts of Prebiotic and Prebiotic Effect in Light of Scientific and Regulatory Progress</w:t>
          </w:r>
          <w:r w:rsidR="00BC05E9">
            <w:rPr>
              <w:rFonts w:ascii="Times New Roman" w:eastAsia="Times New Roman" w:hAnsi="Times New Roman" w:cs="Times New Roman"/>
              <w:color w:val="000000"/>
              <w:sz w:val="24"/>
              <w:szCs w:val="24"/>
            </w:rPr>
            <w:t xml:space="preserve"> </w:t>
          </w:r>
          <w:r w:rsidRPr="00A034C4">
            <w:rPr>
              <w:rFonts w:ascii="Times New Roman" w:eastAsia="Times New Roman" w:hAnsi="Times New Roman" w:cs="Times New Roman"/>
              <w:color w:val="000000"/>
              <w:sz w:val="24"/>
              <w:szCs w:val="24"/>
            </w:rPr>
            <w:t>A Consensus Paper From the Global Prebiotic Association. Advances in Nutrition [Internet]. 2024 Oct;100329. Available from: https://linkinghub.elsevier.com/retrieve/pii/S2161831324001637</w:t>
          </w:r>
        </w:p>
        <w:p w14:paraId="60052E94" w14:textId="77777777" w:rsidR="00A034C4" w:rsidRPr="00A034C4" w:rsidRDefault="00A034C4" w:rsidP="00A034C4">
          <w:pPr>
            <w:autoSpaceDE w:val="0"/>
            <w:autoSpaceDN w:val="0"/>
            <w:spacing w:line="360" w:lineRule="auto"/>
            <w:ind w:hanging="640"/>
            <w:jc w:val="both"/>
            <w:divId w:val="5975635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51.</w:t>
          </w:r>
          <w:r w:rsidRPr="00A034C4">
            <w:rPr>
              <w:rFonts w:ascii="Times New Roman" w:eastAsia="Times New Roman" w:hAnsi="Times New Roman" w:cs="Times New Roman"/>
              <w:color w:val="000000"/>
              <w:sz w:val="24"/>
              <w:szCs w:val="24"/>
            </w:rPr>
            <w:tab/>
            <w:t xml:space="preserve">Macharia JM, Mwangi RW, </w:t>
          </w:r>
          <w:proofErr w:type="spellStart"/>
          <w:r w:rsidRPr="00A034C4">
            <w:rPr>
              <w:rFonts w:ascii="Times New Roman" w:eastAsia="Times New Roman" w:hAnsi="Times New Roman" w:cs="Times New Roman"/>
              <w:color w:val="000000"/>
              <w:sz w:val="24"/>
              <w:szCs w:val="24"/>
            </w:rPr>
            <w:t>Szabó</w:t>
          </w:r>
          <w:proofErr w:type="spellEnd"/>
          <w:r w:rsidRPr="00A034C4">
            <w:rPr>
              <w:rFonts w:ascii="Times New Roman" w:eastAsia="Times New Roman" w:hAnsi="Times New Roman" w:cs="Times New Roman"/>
              <w:color w:val="000000"/>
              <w:sz w:val="24"/>
              <w:szCs w:val="24"/>
            </w:rPr>
            <w:t xml:space="preserve"> I, </w:t>
          </w:r>
          <w:proofErr w:type="spellStart"/>
          <w:r w:rsidRPr="00A034C4">
            <w:rPr>
              <w:rFonts w:ascii="Times New Roman" w:eastAsia="Times New Roman" w:hAnsi="Times New Roman" w:cs="Times New Roman"/>
              <w:color w:val="000000"/>
              <w:sz w:val="24"/>
              <w:szCs w:val="24"/>
            </w:rPr>
            <w:t>Zand</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Kaposztas</w:t>
          </w:r>
          <w:proofErr w:type="spellEnd"/>
          <w:r w:rsidRPr="00A034C4">
            <w:rPr>
              <w:rFonts w:ascii="Times New Roman" w:eastAsia="Times New Roman" w:hAnsi="Times New Roman" w:cs="Times New Roman"/>
              <w:color w:val="000000"/>
              <w:sz w:val="24"/>
              <w:szCs w:val="24"/>
            </w:rPr>
            <w:t xml:space="preserve"> Z, </w:t>
          </w:r>
          <w:proofErr w:type="spellStart"/>
          <w:r w:rsidRPr="00A034C4">
            <w:rPr>
              <w:rFonts w:ascii="Times New Roman" w:eastAsia="Times New Roman" w:hAnsi="Times New Roman" w:cs="Times New Roman"/>
              <w:color w:val="000000"/>
              <w:sz w:val="24"/>
              <w:szCs w:val="24"/>
            </w:rPr>
            <w:t>Varjas</w:t>
          </w:r>
          <w:proofErr w:type="spellEnd"/>
          <w:r w:rsidRPr="00A034C4">
            <w:rPr>
              <w:rFonts w:ascii="Times New Roman" w:eastAsia="Times New Roman" w:hAnsi="Times New Roman" w:cs="Times New Roman"/>
              <w:color w:val="000000"/>
              <w:sz w:val="24"/>
              <w:szCs w:val="24"/>
            </w:rPr>
            <w:t xml:space="preserve"> T, et al. Regulatory activities of </w:t>
          </w:r>
          <w:proofErr w:type="spellStart"/>
          <w:r w:rsidRPr="00A034C4">
            <w:rPr>
              <w:rFonts w:ascii="Times New Roman" w:eastAsia="Times New Roman" w:hAnsi="Times New Roman" w:cs="Times New Roman"/>
              <w:color w:val="000000"/>
              <w:sz w:val="24"/>
              <w:szCs w:val="24"/>
            </w:rPr>
            <w:t>Warbugia</w:t>
          </w:r>
          <w:proofErr w:type="spellEnd"/>
          <w:r w:rsidRPr="00A034C4">
            <w:rPr>
              <w:rFonts w:ascii="Times New Roman" w:eastAsia="Times New Roman" w:hAnsi="Times New Roman" w:cs="Times New Roman"/>
              <w:color w:val="000000"/>
              <w:sz w:val="24"/>
              <w:szCs w:val="24"/>
            </w:rPr>
            <w:t xml:space="preserve"> </w:t>
          </w:r>
          <w:proofErr w:type="spellStart"/>
          <w:r w:rsidRPr="00A034C4">
            <w:rPr>
              <w:rFonts w:ascii="Times New Roman" w:eastAsia="Times New Roman" w:hAnsi="Times New Roman" w:cs="Times New Roman"/>
              <w:color w:val="000000"/>
              <w:sz w:val="24"/>
              <w:szCs w:val="24"/>
            </w:rPr>
            <w:t>ugandensis</w:t>
          </w:r>
          <w:proofErr w:type="spellEnd"/>
          <w:r w:rsidRPr="00A034C4">
            <w:rPr>
              <w:rFonts w:ascii="Times New Roman" w:eastAsia="Times New Roman" w:hAnsi="Times New Roman" w:cs="Times New Roman"/>
              <w:color w:val="000000"/>
              <w:sz w:val="24"/>
              <w:szCs w:val="24"/>
            </w:rPr>
            <w:t xml:space="preserve"> </w:t>
          </w:r>
          <w:proofErr w:type="spellStart"/>
          <w:r w:rsidRPr="00A034C4">
            <w:rPr>
              <w:rFonts w:ascii="Times New Roman" w:eastAsia="Times New Roman" w:hAnsi="Times New Roman" w:cs="Times New Roman"/>
              <w:color w:val="000000"/>
              <w:sz w:val="24"/>
              <w:szCs w:val="24"/>
            </w:rPr>
            <w:t>ethanolic</w:t>
          </w:r>
          <w:proofErr w:type="spellEnd"/>
          <w:r w:rsidRPr="00A034C4">
            <w:rPr>
              <w:rFonts w:ascii="Times New Roman" w:eastAsia="Times New Roman" w:hAnsi="Times New Roman" w:cs="Times New Roman"/>
              <w:color w:val="000000"/>
              <w:sz w:val="24"/>
              <w:szCs w:val="24"/>
            </w:rPr>
            <w:t xml:space="preserve"> extracts on colorectal cancer-specific genome expression dose-dependently. Biomedicine and Pharmacotherapy. 2023 Oct 1;166. </w:t>
          </w:r>
        </w:p>
        <w:p w14:paraId="41D8CF83" w14:textId="77777777" w:rsidR="00A034C4" w:rsidRPr="00A034C4" w:rsidRDefault="00A034C4" w:rsidP="00A034C4">
          <w:pPr>
            <w:autoSpaceDE w:val="0"/>
            <w:autoSpaceDN w:val="0"/>
            <w:spacing w:line="360" w:lineRule="auto"/>
            <w:ind w:hanging="640"/>
            <w:jc w:val="both"/>
            <w:divId w:val="1776216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52.</w:t>
          </w:r>
          <w:r w:rsidRPr="00A034C4">
            <w:rPr>
              <w:rFonts w:ascii="Times New Roman" w:eastAsia="Times New Roman" w:hAnsi="Times New Roman" w:cs="Times New Roman"/>
              <w:color w:val="000000"/>
              <w:sz w:val="24"/>
              <w:szCs w:val="24"/>
            </w:rPr>
            <w:tab/>
            <w:t xml:space="preserve">Roe AL, Boyte ME, Elkins CA, Goldman VS, Heimbach J, Madden E, et al. Considerations for determining safety of probiotics: A USP perspective. Vol. 136, Regulatory Toxicology and Pharmacology. Academic Press Inc.; 2022. </w:t>
          </w:r>
        </w:p>
        <w:p w14:paraId="359DB613" w14:textId="77777777" w:rsidR="00A034C4" w:rsidRPr="00A034C4" w:rsidRDefault="00A034C4" w:rsidP="00A034C4">
          <w:pPr>
            <w:autoSpaceDE w:val="0"/>
            <w:autoSpaceDN w:val="0"/>
            <w:spacing w:line="360" w:lineRule="auto"/>
            <w:ind w:hanging="640"/>
            <w:jc w:val="both"/>
            <w:divId w:val="107717205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Rozera</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Pasolli</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Segata</w:t>
          </w:r>
          <w:proofErr w:type="spellEnd"/>
          <w:r w:rsidRPr="00A034C4">
            <w:rPr>
              <w:rFonts w:ascii="Times New Roman" w:eastAsia="Times New Roman" w:hAnsi="Times New Roman" w:cs="Times New Roman"/>
              <w:color w:val="000000"/>
              <w:sz w:val="24"/>
              <w:szCs w:val="24"/>
            </w:rPr>
            <w:t xml:space="preserve"> N, </w:t>
          </w:r>
          <w:proofErr w:type="spellStart"/>
          <w:r w:rsidRPr="00A034C4">
            <w:rPr>
              <w:rFonts w:ascii="Times New Roman" w:eastAsia="Times New Roman" w:hAnsi="Times New Roman" w:cs="Times New Roman"/>
              <w:color w:val="000000"/>
              <w:sz w:val="24"/>
              <w:szCs w:val="24"/>
            </w:rPr>
            <w:t>Ianiro</w:t>
          </w:r>
          <w:proofErr w:type="spellEnd"/>
          <w:r w:rsidRPr="00A034C4">
            <w:rPr>
              <w:rFonts w:ascii="Times New Roman" w:eastAsia="Times New Roman" w:hAnsi="Times New Roman" w:cs="Times New Roman"/>
              <w:color w:val="000000"/>
              <w:sz w:val="24"/>
              <w:szCs w:val="24"/>
            </w:rPr>
            <w:t xml:space="preserve"> G. Machine Learning and Artificial Intelligence in the Multi-Omics Approach to Gut Microbiota. Gastroenterology. 2025 Aug 1;169(3):487–501. </w:t>
          </w:r>
        </w:p>
        <w:p w14:paraId="7E5EB670" w14:textId="77777777" w:rsidR="00A034C4" w:rsidRPr="00A034C4" w:rsidRDefault="00A034C4" w:rsidP="00A034C4">
          <w:pPr>
            <w:autoSpaceDE w:val="0"/>
            <w:autoSpaceDN w:val="0"/>
            <w:spacing w:line="360" w:lineRule="auto"/>
            <w:ind w:hanging="640"/>
            <w:jc w:val="both"/>
            <w:divId w:val="39840787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54.</w:t>
          </w:r>
          <w:r w:rsidRPr="00A034C4">
            <w:rPr>
              <w:rFonts w:ascii="Times New Roman" w:eastAsia="Times New Roman" w:hAnsi="Times New Roman" w:cs="Times New Roman"/>
              <w:color w:val="000000"/>
              <w:sz w:val="24"/>
              <w:szCs w:val="24"/>
            </w:rPr>
            <w:tab/>
            <w:t xml:space="preserve">Caporale GM, You K, Chen L. Global and regional stock market integration in Asia: A panel convergence approach. International Review of Financial Analysis. 2019 Oct 1;65. </w:t>
          </w:r>
        </w:p>
        <w:p w14:paraId="48E2A879" w14:textId="1289E817" w:rsidR="008D3809" w:rsidRPr="008D3809" w:rsidRDefault="00A034C4" w:rsidP="00A034C4">
          <w:pPr>
            <w:pStyle w:val="Style1"/>
            <w:spacing w:after="0" w:line="360" w:lineRule="auto"/>
            <w:rPr>
              <w:rFonts w:cs="Times New Roman"/>
              <w:szCs w:val="24"/>
            </w:rPr>
          </w:pPr>
          <w:r w:rsidRPr="00A034C4">
            <w:rPr>
              <w:rFonts w:eastAsia="Times New Roman" w:cs="Times New Roman"/>
              <w:color w:val="000000"/>
              <w:szCs w:val="24"/>
            </w:rPr>
            <w:t> </w:t>
          </w:r>
        </w:p>
      </w:sdtContent>
    </w:sdt>
    <w:sectPr w:rsidR="008D3809" w:rsidRPr="008D380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D1BAE" w14:textId="77777777" w:rsidR="00C27437" w:rsidRDefault="00C27437" w:rsidP="00631BAA">
      <w:pPr>
        <w:spacing w:after="0" w:line="240" w:lineRule="auto"/>
      </w:pPr>
      <w:r>
        <w:separator/>
      </w:r>
    </w:p>
  </w:endnote>
  <w:endnote w:type="continuationSeparator" w:id="0">
    <w:p w14:paraId="6B794DD8" w14:textId="77777777" w:rsidR="00C27437" w:rsidRDefault="00C27437" w:rsidP="00631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591AD" w14:textId="77777777" w:rsidR="00631BAA" w:rsidRDefault="00631B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4039" w14:textId="77777777" w:rsidR="00631BAA" w:rsidRDefault="00631B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05926" w14:textId="77777777" w:rsidR="00631BAA" w:rsidRDefault="00631B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C9B10" w14:textId="77777777" w:rsidR="00C27437" w:rsidRDefault="00C27437" w:rsidP="00631BAA">
      <w:pPr>
        <w:spacing w:after="0" w:line="240" w:lineRule="auto"/>
      </w:pPr>
      <w:r>
        <w:separator/>
      </w:r>
    </w:p>
  </w:footnote>
  <w:footnote w:type="continuationSeparator" w:id="0">
    <w:p w14:paraId="7657038C" w14:textId="77777777" w:rsidR="00C27437" w:rsidRDefault="00C27437" w:rsidP="00631B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771D5" w14:textId="494C3637" w:rsidR="00631BAA" w:rsidRDefault="00C27437">
    <w:pPr>
      <w:pStyle w:val="Header"/>
    </w:pPr>
    <w:r>
      <w:rPr>
        <w:noProof/>
      </w:rPr>
      <w:pict w14:anchorId="03AE1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DD4DA" w14:textId="3FF05479" w:rsidR="00631BAA" w:rsidRDefault="00C27437">
    <w:pPr>
      <w:pStyle w:val="Header"/>
    </w:pPr>
    <w:r>
      <w:rPr>
        <w:noProof/>
      </w:rPr>
      <w:pict w14:anchorId="64E85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39673" w14:textId="4F531737" w:rsidR="00631BAA" w:rsidRDefault="00C27437">
    <w:pPr>
      <w:pStyle w:val="Header"/>
    </w:pPr>
    <w:r>
      <w:rPr>
        <w:noProof/>
      </w:rPr>
      <w:pict w14:anchorId="035AD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05C4"/>
    <w:multiLevelType w:val="multilevel"/>
    <w:tmpl w:val="C940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11628"/>
    <w:multiLevelType w:val="multilevel"/>
    <w:tmpl w:val="3F90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C7753B"/>
    <w:multiLevelType w:val="multilevel"/>
    <w:tmpl w:val="5F4EC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0C4696"/>
    <w:multiLevelType w:val="multilevel"/>
    <w:tmpl w:val="62D4F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3912FF"/>
    <w:multiLevelType w:val="multilevel"/>
    <w:tmpl w:val="D24C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82415D"/>
    <w:multiLevelType w:val="multilevel"/>
    <w:tmpl w:val="B3B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1E670D"/>
    <w:multiLevelType w:val="multilevel"/>
    <w:tmpl w:val="79E0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2E73F4"/>
    <w:multiLevelType w:val="multilevel"/>
    <w:tmpl w:val="59F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216340"/>
    <w:multiLevelType w:val="multilevel"/>
    <w:tmpl w:val="CD86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384CFA"/>
    <w:multiLevelType w:val="multilevel"/>
    <w:tmpl w:val="8FC6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C762B4"/>
    <w:multiLevelType w:val="multilevel"/>
    <w:tmpl w:val="C518A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BA1B8B"/>
    <w:multiLevelType w:val="multilevel"/>
    <w:tmpl w:val="BD98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E03601"/>
    <w:multiLevelType w:val="multilevel"/>
    <w:tmpl w:val="F766A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780862"/>
    <w:multiLevelType w:val="multilevel"/>
    <w:tmpl w:val="923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AA38AC"/>
    <w:multiLevelType w:val="multilevel"/>
    <w:tmpl w:val="A0DA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FC6125"/>
    <w:multiLevelType w:val="multilevel"/>
    <w:tmpl w:val="2EA6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3D699A"/>
    <w:multiLevelType w:val="multilevel"/>
    <w:tmpl w:val="18CE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
  </w:num>
  <w:num w:numId="4">
    <w:abstractNumId w:val="15"/>
  </w:num>
  <w:num w:numId="5">
    <w:abstractNumId w:val="1"/>
  </w:num>
  <w:num w:numId="6">
    <w:abstractNumId w:val="13"/>
  </w:num>
  <w:num w:numId="7">
    <w:abstractNumId w:val="16"/>
  </w:num>
  <w:num w:numId="8">
    <w:abstractNumId w:val="14"/>
  </w:num>
  <w:num w:numId="9">
    <w:abstractNumId w:val="3"/>
  </w:num>
  <w:num w:numId="10">
    <w:abstractNumId w:val="8"/>
  </w:num>
  <w:num w:numId="11">
    <w:abstractNumId w:val="5"/>
  </w:num>
  <w:num w:numId="12">
    <w:abstractNumId w:val="0"/>
  </w:num>
  <w:num w:numId="13">
    <w:abstractNumId w:val="6"/>
  </w:num>
  <w:num w:numId="14">
    <w:abstractNumId w:val="11"/>
  </w:num>
  <w:num w:numId="15">
    <w:abstractNumId w:val="12"/>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sDA0NDYyNDY0NrU0MjNR0lEKTi0uzszPAykwrAUADfvXXSwAAAA="/>
  </w:docVars>
  <w:rsids>
    <w:rsidRoot w:val="000463D4"/>
    <w:rsid w:val="000463D4"/>
    <w:rsid w:val="000B42CC"/>
    <w:rsid w:val="0036208E"/>
    <w:rsid w:val="00376EDC"/>
    <w:rsid w:val="00396CD6"/>
    <w:rsid w:val="003D7B34"/>
    <w:rsid w:val="00631BAA"/>
    <w:rsid w:val="007110FD"/>
    <w:rsid w:val="0078012C"/>
    <w:rsid w:val="0078553F"/>
    <w:rsid w:val="008C39AA"/>
    <w:rsid w:val="008D3809"/>
    <w:rsid w:val="009B75A2"/>
    <w:rsid w:val="009C1C0A"/>
    <w:rsid w:val="00A034C4"/>
    <w:rsid w:val="00A2437E"/>
    <w:rsid w:val="00A946B6"/>
    <w:rsid w:val="00AB4CA0"/>
    <w:rsid w:val="00B35C66"/>
    <w:rsid w:val="00B56E99"/>
    <w:rsid w:val="00BC05E9"/>
    <w:rsid w:val="00C27437"/>
    <w:rsid w:val="00C321C2"/>
    <w:rsid w:val="00C37EA7"/>
    <w:rsid w:val="00C404E4"/>
    <w:rsid w:val="00C72284"/>
    <w:rsid w:val="00CE5DAC"/>
    <w:rsid w:val="00D871D3"/>
    <w:rsid w:val="00DB7EA7"/>
    <w:rsid w:val="00DE58B1"/>
    <w:rsid w:val="00DF7456"/>
    <w:rsid w:val="00EB27B2"/>
    <w:rsid w:val="00ED4046"/>
    <w:rsid w:val="00F7183F"/>
    <w:rsid w:val="00F801CE"/>
    <w:rsid w:val="00FA7FFB"/>
    <w:rsid w:val="00FF59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3DF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63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3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3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3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3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3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3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3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3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3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3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3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3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3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3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3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3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3D4"/>
    <w:rPr>
      <w:rFonts w:eastAsiaTheme="majorEastAsia" w:cstheme="majorBidi"/>
      <w:color w:val="272727" w:themeColor="text1" w:themeTint="D8"/>
    </w:rPr>
  </w:style>
  <w:style w:type="paragraph" w:styleId="Title">
    <w:name w:val="Title"/>
    <w:basedOn w:val="Normal"/>
    <w:next w:val="Normal"/>
    <w:link w:val="TitleChar"/>
    <w:uiPriority w:val="10"/>
    <w:qFormat/>
    <w:rsid w:val="000463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3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3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3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3D4"/>
    <w:pPr>
      <w:spacing w:before="160"/>
      <w:jc w:val="center"/>
    </w:pPr>
    <w:rPr>
      <w:i/>
      <w:iCs/>
      <w:color w:val="404040" w:themeColor="text1" w:themeTint="BF"/>
    </w:rPr>
  </w:style>
  <w:style w:type="character" w:customStyle="1" w:styleId="QuoteChar">
    <w:name w:val="Quote Char"/>
    <w:basedOn w:val="DefaultParagraphFont"/>
    <w:link w:val="Quote"/>
    <w:uiPriority w:val="29"/>
    <w:rsid w:val="000463D4"/>
    <w:rPr>
      <w:i/>
      <w:iCs/>
      <w:color w:val="404040" w:themeColor="text1" w:themeTint="BF"/>
    </w:rPr>
  </w:style>
  <w:style w:type="paragraph" w:styleId="ListParagraph">
    <w:name w:val="List Paragraph"/>
    <w:basedOn w:val="Normal"/>
    <w:uiPriority w:val="34"/>
    <w:qFormat/>
    <w:rsid w:val="000463D4"/>
    <w:pPr>
      <w:ind w:left="720"/>
      <w:contextualSpacing/>
    </w:pPr>
  </w:style>
  <w:style w:type="character" w:styleId="IntenseEmphasis">
    <w:name w:val="Intense Emphasis"/>
    <w:basedOn w:val="DefaultParagraphFont"/>
    <w:uiPriority w:val="21"/>
    <w:qFormat/>
    <w:rsid w:val="000463D4"/>
    <w:rPr>
      <w:i/>
      <w:iCs/>
      <w:color w:val="0F4761" w:themeColor="accent1" w:themeShade="BF"/>
    </w:rPr>
  </w:style>
  <w:style w:type="paragraph" w:styleId="IntenseQuote">
    <w:name w:val="Intense Quote"/>
    <w:basedOn w:val="Normal"/>
    <w:next w:val="Normal"/>
    <w:link w:val="IntenseQuoteChar"/>
    <w:uiPriority w:val="30"/>
    <w:qFormat/>
    <w:rsid w:val="000463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3D4"/>
    <w:rPr>
      <w:i/>
      <w:iCs/>
      <w:color w:val="0F4761" w:themeColor="accent1" w:themeShade="BF"/>
    </w:rPr>
  </w:style>
  <w:style w:type="character" w:styleId="IntenseReference">
    <w:name w:val="Intense Reference"/>
    <w:basedOn w:val="DefaultParagraphFont"/>
    <w:uiPriority w:val="32"/>
    <w:qFormat/>
    <w:rsid w:val="000463D4"/>
    <w:rPr>
      <w:b/>
      <w:bCs/>
      <w:smallCaps/>
      <w:color w:val="0F4761" w:themeColor="accent1" w:themeShade="BF"/>
      <w:spacing w:val="5"/>
    </w:rPr>
  </w:style>
  <w:style w:type="paragraph" w:customStyle="1" w:styleId="Style1">
    <w:name w:val="Style1"/>
    <w:basedOn w:val="Normal"/>
    <w:link w:val="Style1Char"/>
    <w:qFormat/>
    <w:rsid w:val="00C404E4"/>
    <w:pPr>
      <w:jc w:val="both"/>
    </w:pPr>
    <w:rPr>
      <w:rFonts w:ascii="Times New Roman" w:hAnsi="Times New Roman"/>
      <w:bCs/>
      <w:sz w:val="24"/>
    </w:rPr>
  </w:style>
  <w:style w:type="character" w:customStyle="1" w:styleId="Style1Char">
    <w:name w:val="Style1 Char"/>
    <w:basedOn w:val="DefaultParagraphFont"/>
    <w:link w:val="Style1"/>
    <w:rsid w:val="00C404E4"/>
    <w:rPr>
      <w:rFonts w:ascii="Times New Roman" w:hAnsi="Times New Roman"/>
      <w:bCs/>
      <w:sz w:val="24"/>
    </w:rPr>
  </w:style>
  <w:style w:type="table" w:styleId="TableGrid">
    <w:name w:val="Table Grid"/>
    <w:basedOn w:val="TableNormal"/>
    <w:uiPriority w:val="39"/>
    <w:rsid w:val="000B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34C4"/>
    <w:rPr>
      <w:color w:val="666666"/>
    </w:rPr>
  </w:style>
  <w:style w:type="character" w:styleId="Hyperlink">
    <w:name w:val="Hyperlink"/>
    <w:basedOn w:val="DefaultParagraphFont"/>
    <w:uiPriority w:val="99"/>
    <w:unhideWhenUsed/>
    <w:rsid w:val="008C39AA"/>
    <w:rPr>
      <w:color w:val="467886" w:themeColor="hyperlink"/>
      <w:u w:val="single"/>
    </w:rPr>
  </w:style>
  <w:style w:type="character" w:customStyle="1" w:styleId="UnresolvedMention">
    <w:name w:val="Unresolved Mention"/>
    <w:basedOn w:val="DefaultParagraphFont"/>
    <w:uiPriority w:val="99"/>
    <w:semiHidden/>
    <w:unhideWhenUsed/>
    <w:rsid w:val="008C39AA"/>
    <w:rPr>
      <w:color w:val="605E5C"/>
      <w:shd w:val="clear" w:color="auto" w:fill="E1DFDD"/>
    </w:rPr>
  </w:style>
  <w:style w:type="paragraph" w:styleId="Header">
    <w:name w:val="header"/>
    <w:basedOn w:val="Normal"/>
    <w:link w:val="HeaderChar"/>
    <w:uiPriority w:val="99"/>
    <w:unhideWhenUsed/>
    <w:rsid w:val="00631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BAA"/>
  </w:style>
  <w:style w:type="paragraph" w:styleId="Footer">
    <w:name w:val="footer"/>
    <w:basedOn w:val="Normal"/>
    <w:link w:val="FooterChar"/>
    <w:uiPriority w:val="99"/>
    <w:unhideWhenUsed/>
    <w:rsid w:val="00631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BAA"/>
  </w:style>
  <w:style w:type="paragraph" w:styleId="BalloonText">
    <w:name w:val="Balloon Text"/>
    <w:basedOn w:val="Normal"/>
    <w:link w:val="BalloonTextChar"/>
    <w:uiPriority w:val="99"/>
    <w:semiHidden/>
    <w:unhideWhenUsed/>
    <w:rsid w:val="00DB7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E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63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3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3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3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3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3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3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3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3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3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3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3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3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3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3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3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3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3D4"/>
    <w:rPr>
      <w:rFonts w:eastAsiaTheme="majorEastAsia" w:cstheme="majorBidi"/>
      <w:color w:val="272727" w:themeColor="text1" w:themeTint="D8"/>
    </w:rPr>
  </w:style>
  <w:style w:type="paragraph" w:styleId="Title">
    <w:name w:val="Title"/>
    <w:basedOn w:val="Normal"/>
    <w:next w:val="Normal"/>
    <w:link w:val="TitleChar"/>
    <w:uiPriority w:val="10"/>
    <w:qFormat/>
    <w:rsid w:val="000463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3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3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3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3D4"/>
    <w:pPr>
      <w:spacing w:before="160"/>
      <w:jc w:val="center"/>
    </w:pPr>
    <w:rPr>
      <w:i/>
      <w:iCs/>
      <w:color w:val="404040" w:themeColor="text1" w:themeTint="BF"/>
    </w:rPr>
  </w:style>
  <w:style w:type="character" w:customStyle="1" w:styleId="QuoteChar">
    <w:name w:val="Quote Char"/>
    <w:basedOn w:val="DefaultParagraphFont"/>
    <w:link w:val="Quote"/>
    <w:uiPriority w:val="29"/>
    <w:rsid w:val="000463D4"/>
    <w:rPr>
      <w:i/>
      <w:iCs/>
      <w:color w:val="404040" w:themeColor="text1" w:themeTint="BF"/>
    </w:rPr>
  </w:style>
  <w:style w:type="paragraph" w:styleId="ListParagraph">
    <w:name w:val="List Paragraph"/>
    <w:basedOn w:val="Normal"/>
    <w:uiPriority w:val="34"/>
    <w:qFormat/>
    <w:rsid w:val="000463D4"/>
    <w:pPr>
      <w:ind w:left="720"/>
      <w:contextualSpacing/>
    </w:pPr>
  </w:style>
  <w:style w:type="character" w:styleId="IntenseEmphasis">
    <w:name w:val="Intense Emphasis"/>
    <w:basedOn w:val="DefaultParagraphFont"/>
    <w:uiPriority w:val="21"/>
    <w:qFormat/>
    <w:rsid w:val="000463D4"/>
    <w:rPr>
      <w:i/>
      <w:iCs/>
      <w:color w:val="0F4761" w:themeColor="accent1" w:themeShade="BF"/>
    </w:rPr>
  </w:style>
  <w:style w:type="paragraph" w:styleId="IntenseQuote">
    <w:name w:val="Intense Quote"/>
    <w:basedOn w:val="Normal"/>
    <w:next w:val="Normal"/>
    <w:link w:val="IntenseQuoteChar"/>
    <w:uiPriority w:val="30"/>
    <w:qFormat/>
    <w:rsid w:val="000463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3D4"/>
    <w:rPr>
      <w:i/>
      <w:iCs/>
      <w:color w:val="0F4761" w:themeColor="accent1" w:themeShade="BF"/>
    </w:rPr>
  </w:style>
  <w:style w:type="character" w:styleId="IntenseReference">
    <w:name w:val="Intense Reference"/>
    <w:basedOn w:val="DefaultParagraphFont"/>
    <w:uiPriority w:val="32"/>
    <w:qFormat/>
    <w:rsid w:val="000463D4"/>
    <w:rPr>
      <w:b/>
      <w:bCs/>
      <w:smallCaps/>
      <w:color w:val="0F4761" w:themeColor="accent1" w:themeShade="BF"/>
      <w:spacing w:val="5"/>
    </w:rPr>
  </w:style>
  <w:style w:type="paragraph" w:customStyle="1" w:styleId="Style1">
    <w:name w:val="Style1"/>
    <w:basedOn w:val="Normal"/>
    <w:link w:val="Style1Char"/>
    <w:qFormat/>
    <w:rsid w:val="00C404E4"/>
    <w:pPr>
      <w:jc w:val="both"/>
    </w:pPr>
    <w:rPr>
      <w:rFonts w:ascii="Times New Roman" w:hAnsi="Times New Roman"/>
      <w:bCs/>
      <w:sz w:val="24"/>
    </w:rPr>
  </w:style>
  <w:style w:type="character" w:customStyle="1" w:styleId="Style1Char">
    <w:name w:val="Style1 Char"/>
    <w:basedOn w:val="DefaultParagraphFont"/>
    <w:link w:val="Style1"/>
    <w:rsid w:val="00C404E4"/>
    <w:rPr>
      <w:rFonts w:ascii="Times New Roman" w:hAnsi="Times New Roman"/>
      <w:bCs/>
      <w:sz w:val="24"/>
    </w:rPr>
  </w:style>
  <w:style w:type="table" w:styleId="TableGrid">
    <w:name w:val="Table Grid"/>
    <w:basedOn w:val="TableNormal"/>
    <w:uiPriority w:val="39"/>
    <w:rsid w:val="000B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34C4"/>
    <w:rPr>
      <w:color w:val="666666"/>
    </w:rPr>
  </w:style>
  <w:style w:type="character" w:styleId="Hyperlink">
    <w:name w:val="Hyperlink"/>
    <w:basedOn w:val="DefaultParagraphFont"/>
    <w:uiPriority w:val="99"/>
    <w:unhideWhenUsed/>
    <w:rsid w:val="008C39AA"/>
    <w:rPr>
      <w:color w:val="467886" w:themeColor="hyperlink"/>
      <w:u w:val="single"/>
    </w:rPr>
  </w:style>
  <w:style w:type="character" w:customStyle="1" w:styleId="UnresolvedMention">
    <w:name w:val="Unresolved Mention"/>
    <w:basedOn w:val="DefaultParagraphFont"/>
    <w:uiPriority w:val="99"/>
    <w:semiHidden/>
    <w:unhideWhenUsed/>
    <w:rsid w:val="008C39AA"/>
    <w:rPr>
      <w:color w:val="605E5C"/>
      <w:shd w:val="clear" w:color="auto" w:fill="E1DFDD"/>
    </w:rPr>
  </w:style>
  <w:style w:type="paragraph" w:styleId="Header">
    <w:name w:val="header"/>
    <w:basedOn w:val="Normal"/>
    <w:link w:val="HeaderChar"/>
    <w:uiPriority w:val="99"/>
    <w:unhideWhenUsed/>
    <w:rsid w:val="00631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BAA"/>
  </w:style>
  <w:style w:type="paragraph" w:styleId="Footer">
    <w:name w:val="footer"/>
    <w:basedOn w:val="Normal"/>
    <w:link w:val="FooterChar"/>
    <w:uiPriority w:val="99"/>
    <w:unhideWhenUsed/>
    <w:rsid w:val="00631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BAA"/>
  </w:style>
  <w:style w:type="paragraph" w:styleId="BalloonText">
    <w:name w:val="Balloon Text"/>
    <w:basedOn w:val="Normal"/>
    <w:link w:val="BalloonTextChar"/>
    <w:uiPriority w:val="99"/>
    <w:semiHidden/>
    <w:unhideWhenUsed/>
    <w:rsid w:val="00DB7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E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814">
      <w:marLeft w:val="640"/>
      <w:marRight w:val="0"/>
      <w:marTop w:val="0"/>
      <w:marBottom w:val="0"/>
      <w:divBdr>
        <w:top w:val="none" w:sz="0" w:space="0" w:color="auto"/>
        <w:left w:val="none" w:sz="0" w:space="0" w:color="auto"/>
        <w:bottom w:val="none" w:sz="0" w:space="0" w:color="auto"/>
        <w:right w:val="none" w:sz="0" w:space="0" w:color="auto"/>
      </w:divBdr>
    </w:div>
    <w:div w:id="117070106">
      <w:marLeft w:val="640"/>
      <w:marRight w:val="0"/>
      <w:marTop w:val="0"/>
      <w:marBottom w:val="0"/>
      <w:divBdr>
        <w:top w:val="none" w:sz="0" w:space="0" w:color="auto"/>
        <w:left w:val="none" w:sz="0" w:space="0" w:color="auto"/>
        <w:bottom w:val="none" w:sz="0" w:space="0" w:color="auto"/>
        <w:right w:val="none" w:sz="0" w:space="0" w:color="auto"/>
      </w:divBdr>
    </w:div>
    <w:div w:id="177621683">
      <w:marLeft w:val="640"/>
      <w:marRight w:val="0"/>
      <w:marTop w:val="0"/>
      <w:marBottom w:val="0"/>
      <w:divBdr>
        <w:top w:val="none" w:sz="0" w:space="0" w:color="auto"/>
        <w:left w:val="none" w:sz="0" w:space="0" w:color="auto"/>
        <w:bottom w:val="none" w:sz="0" w:space="0" w:color="auto"/>
        <w:right w:val="none" w:sz="0" w:space="0" w:color="auto"/>
      </w:divBdr>
    </w:div>
    <w:div w:id="202601660">
      <w:marLeft w:val="640"/>
      <w:marRight w:val="0"/>
      <w:marTop w:val="0"/>
      <w:marBottom w:val="0"/>
      <w:divBdr>
        <w:top w:val="none" w:sz="0" w:space="0" w:color="auto"/>
        <w:left w:val="none" w:sz="0" w:space="0" w:color="auto"/>
        <w:bottom w:val="none" w:sz="0" w:space="0" w:color="auto"/>
        <w:right w:val="none" w:sz="0" w:space="0" w:color="auto"/>
      </w:divBdr>
    </w:div>
    <w:div w:id="228083032">
      <w:marLeft w:val="640"/>
      <w:marRight w:val="0"/>
      <w:marTop w:val="0"/>
      <w:marBottom w:val="0"/>
      <w:divBdr>
        <w:top w:val="none" w:sz="0" w:space="0" w:color="auto"/>
        <w:left w:val="none" w:sz="0" w:space="0" w:color="auto"/>
        <w:bottom w:val="none" w:sz="0" w:space="0" w:color="auto"/>
        <w:right w:val="none" w:sz="0" w:space="0" w:color="auto"/>
      </w:divBdr>
    </w:div>
    <w:div w:id="260602158">
      <w:marLeft w:val="640"/>
      <w:marRight w:val="0"/>
      <w:marTop w:val="0"/>
      <w:marBottom w:val="0"/>
      <w:divBdr>
        <w:top w:val="none" w:sz="0" w:space="0" w:color="auto"/>
        <w:left w:val="none" w:sz="0" w:space="0" w:color="auto"/>
        <w:bottom w:val="none" w:sz="0" w:space="0" w:color="auto"/>
        <w:right w:val="none" w:sz="0" w:space="0" w:color="auto"/>
      </w:divBdr>
    </w:div>
    <w:div w:id="324674334">
      <w:marLeft w:val="640"/>
      <w:marRight w:val="0"/>
      <w:marTop w:val="0"/>
      <w:marBottom w:val="0"/>
      <w:divBdr>
        <w:top w:val="none" w:sz="0" w:space="0" w:color="auto"/>
        <w:left w:val="none" w:sz="0" w:space="0" w:color="auto"/>
        <w:bottom w:val="none" w:sz="0" w:space="0" w:color="auto"/>
        <w:right w:val="none" w:sz="0" w:space="0" w:color="auto"/>
      </w:divBdr>
    </w:div>
    <w:div w:id="368578809">
      <w:marLeft w:val="640"/>
      <w:marRight w:val="0"/>
      <w:marTop w:val="0"/>
      <w:marBottom w:val="0"/>
      <w:divBdr>
        <w:top w:val="none" w:sz="0" w:space="0" w:color="auto"/>
        <w:left w:val="none" w:sz="0" w:space="0" w:color="auto"/>
        <w:bottom w:val="none" w:sz="0" w:space="0" w:color="auto"/>
        <w:right w:val="none" w:sz="0" w:space="0" w:color="auto"/>
      </w:divBdr>
    </w:div>
    <w:div w:id="398407877">
      <w:marLeft w:val="640"/>
      <w:marRight w:val="0"/>
      <w:marTop w:val="0"/>
      <w:marBottom w:val="0"/>
      <w:divBdr>
        <w:top w:val="none" w:sz="0" w:space="0" w:color="auto"/>
        <w:left w:val="none" w:sz="0" w:space="0" w:color="auto"/>
        <w:bottom w:val="none" w:sz="0" w:space="0" w:color="auto"/>
        <w:right w:val="none" w:sz="0" w:space="0" w:color="auto"/>
      </w:divBdr>
    </w:div>
    <w:div w:id="398555505">
      <w:marLeft w:val="640"/>
      <w:marRight w:val="0"/>
      <w:marTop w:val="0"/>
      <w:marBottom w:val="0"/>
      <w:divBdr>
        <w:top w:val="none" w:sz="0" w:space="0" w:color="auto"/>
        <w:left w:val="none" w:sz="0" w:space="0" w:color="auto"/>
        <w:bottom w:val="none" w:sz="0" w:space="0" w:color="auto"/>
        <w:right w:val="none" w:sz="0" w:space="0" w:color="auto"/>
      </w:divBdr>
    </w:div>
    <w:div w:id="415981607">
      <w:marLeft w:val="640"/>
      <w:marRight w:val="0"/>
      <w:marTop w:val="0"/>
      <w:marBottom w:val="0"/>
      <w:divBdr>
        <w:top w:val="none" w:sz="0" w:space="0" w:color="auto"/>
        <w:left w:val="none" w:sz="0" w:space="0" w:color="auto"/>
        <w:bottom w:val="none" w:sz="0" w:space="0" w:color="auto"/>
        <w:right w:val="none" w:sz="0" w:space="0" w:color="auto"/>
      </w:divBdr>
    </w:div>
    <w:div w:id="443772678">
      <w:marLeft w:val="640"/>
      <w:marRight w:val="0"/>
      <w:marTop w:val="0"/>
      <w:marBottom w:val="0"/>
      <w:divBdr>
        <w:top w:val="none" w:sz="0" w:space="0" w:color="auto"/>
        <w:left w:val="none" w:sz="0" w:space="0" w:color="auto"/>
        <w:bottom w:val="none" w:sz="0" w:space="0" w:color="auto"/>
        <w:right w:val="none" w:sz="0" w:space="0" w:color="auto"/>
      </w:divBdr>
    </w:div>
    <w:div w:id="549192724">
      <w:marLeft w:val="640"/>
      <w:marRight w:val="0"/>
      <w:marTop w:val="0"/>
      <w:marBottom w:val="0"/>
      <w:divBdr>
        <w:top w:val="none" w:sz="0" w:space="0" w:color="auto"/>
        <w:left w:val="none" w:sz="0" w:space="0" w:color="auto"/>
        <w:bottom w:val="none" w:sz="0" w:space="0" w:color="auto"/>
        <w:right w:val="none" w:sz="0" w:space="0" w:color="auto"/>
      </w:divBdr>
    </w:div>
    <w:div w:id="570577262">
      <w:marLeft w:val="640"/>
      <w:marRight w:val="0"/>
      <w:marTop w:val="0"/>
      <w:marBottom w:val="0"/>
      <w:divBdr>
        <w:top w:val="none" w:sz="0" w:space="0" w:color="auto"/>
        <w:left w:val="none" w:sz="0" w:space="0" w:color="auto"/>
        <w:bottom w:val="none" w:sz="0" w:space="0" w:color="auto"/>
        <w:right w:val="none" w:sz="0" w:space="0" w:color="auto"/>
      </w:divBdr>
    </w:div>
    <w:div w:id="575171444">
      <w:marLeft w:val="640"/>
      <w:marRight w:val="0"/>
      <w:marTop w:val="0"/>
      <w:marBottom w:val="0"/>
      <w:divBdr>
        <w:top w:val="none" w:sz="0" w:space="0" w:color="auto"/>
        <w:left w:val="none" w:sz="0" w:space="0" w:color="auto"/>
        <w:bottom w:val="none" w:sz="0" w:space="0" w:color="auto"/>
        <w:right w:val="none" w:sz="0" w:space="0" w:color="auto"/>
      </w:divBdr>
    </w:div>
    <w:div w:id="579801265">
      <w:marLeft w:val="640"/>
      <w:marRight w:val="0"/>
      <w:marTop w:val="0"/>
      <w:marBottom w:val="0"/>
      <w:divBdr>
        <w:top w:val="none" w:sz="0" w:space="0" w:color="auto"/>
        <w:left w:val="none" w:sz="0" w:space="0" w:color="auto"/>
        <w:bottom w:val="none" w:sz="0" w:space="0" w:color="auto"/>
        <w:right w:val="none" w:sz="0" w:space="0" w:color="auto"/>
      </w:divBdr>
    </w:div>
    <w:div w:id="597563580">
      <w:marLeft w:val="640"/>
      <w:marRight w:val="0"/>
      <w:marTop w:val="0"/>
      <w:marBottom w:val="0"/>
      <w:divBdr>
        <w:top w:val="none" w:sz="0" w:space="0" w:color="auto"/>
        <w:left w:val="none" w:sz="0" w:space="0" w:color="auto"/>
        <w:bottom w:val="none" w:sz="0" w:space="0" w:color="auto"/>
        <w:right w:val="none" w:sz="0" w:space="0" w:color="auto"/>
      </w:divBdr>
    </w:div>
    <w:div w:id="695011429">
      <w:marLeft w:val="640"/>
      <w:marRight w:val="0"/>
      <w:marTop w:val="0"/>
      <w:marBottom w:val="0"/>
      <w:divBdr>
        <w:top w:val="none" w:sz="0" w:space="0" w:color="auto"/>
        <w:left w:val="none" w:sz="0" w:space="0" w:color="auto"/>
        <w:bottom w:val="none" w:sz="0" w:space="0" w:color="auto"/>
        <w:right w:val="none" w:sz="0" w:space="0" w:color="auto"/>
      </w:divBdr>
    </w:div>
    <w:div w:id="701318910">
      <w:marLeft w:val="640"/>
      <w:marRight w:val="0"/>
      <w:marTop w:val="0"/>
      <w:marBottom w:val="0"/>
      <w:divBdr>
        <w:top w:val="none" w:sz="0" w:space="0" w:color="auto"/>
        <w:left w:val="none" w:sz="0" w:space="0" w:color="auto"/>
        <w:bottom w:val="none" w:sz="0" w:space="0" w:color="auto"/>
        <w:right w:val="none" w:sz="0" w:space="0" w:color="auto"/>
      </w:divBdr>
    </w:div>
    <w:div w:id="729230338">
      <w:marLeft w:val="640"/>
      <w:marRight w:val="0"/>
      <w:marTop w:val="0"/>
      <w:marBottom w:val="0"/>
      <w:divBdr>
        <w:top w:val="none" w:sz="0" w:space="0" w:color="auto"/>
        <w:left w:val="none" w:sz="0" w:space="0" w:color="auto"/>
        <w:bottom w:val="none" w:sz="0" w:space="0" w:color="auto"/>
        <w:right w:val="none" w:sz="0" w:space="0" w:color="auto"/>
      </w:divBdr>
    </w:div>
    <w:div w:id="734742372">
      <w:marLeft w:val="640"/>
      <w:marRight w:val="0"/>
      <w:marTop w:val="0"/>
      <w:marBottom w:val="0"/>
      <w:divBdr>
        <w:top w:val="none" w:sz="0" w:space="0" w:color="auto"/>
        <w:left w:val="none" w:sz="0" w:space="0" w:color="auto"/>
        <w:bottom w:val="none" w:sz="0" w:space="0" w:color="auto"/>
        <w:right w:val="none" w:sz="0" w:space="0" w:color="auto"/>
      </w:divBdr>
    </w:div>
    <w:div w:id="761803328">
      <w:marLeft w:val="640"/>
      <w:marRight w:val="0"/>
      <w:marTop w:val="0"/>
      <w:marBottom w:val="0"/>
      <w:divBdr>
        <w:top w:val="none" w:sz="0" w:space="0" w:color="auto"/>
        <w:left w:val="none" w:sz="0" w:space="0" w:color="auto"/>
        <w:bottom w:val="none" w:sz="0" w:space="0" w:color="auto"/>
        <w:right w:val="none" w:sz="0" w:space="0" w:color="auto"/>
      </w:divBdr>
    </w:div>
    <w:div w:id="783771056">
      <w:marLeft w:val="640"/>
      <w:marRight w:val="0"/>
      <w:marTop w:val="0"/>
      <w:marBottom w:val="0"/>
      <w:divBdr>
        <w:top w:val="none" w:sz="0" w:space="0" w:color="auto"/>
        <w:left w:val="none" w:sz="0" w:space="0" w:color="auto"/>
        <w:bottom w:val="none" w:sz="0" w:space="0" w:color="auto"/>
        <w:right w:val="none" w:sz="0" w:space="0" w:color="auto"/>
      </w:divBdr>
    </w:div>
    <w:div w:id="794061282">
      <w:marLeft w:val="640"/>
      <w:marRight w:val="0"/>
      <w:marTop w:val="0"/>
      <w:marBottom w:val="0"/>
      <w:divBdr>
        <w:top w:val="none" w:sz="0" w:space="0" w:color="auto"/>
        <w:left w:val="none" w:sz="0" w:space="0" w:color="auto"/>
        <w:bottom w:val="none" w:sz="0" w:space="0" w:color="auto"/>
        <w:right w:val="none" w:sz="0" w:space="0" w:color="auto"/>
      </w:divBdr>
    </w:div>
    <w:div w:id="871385336">
      <w:marLeft w:val="640"/>
      <w:marRight w:val="0"/>
      <w:marTop w:val="0"/>
      <w:marBottom w:val="0"/>
      <w:divBdr>
        <w:top w:val="none" w:sz="0" w:space="0" w:color="auto"/>
        <w:left w:val="none" w:sz="0" w:space="0" w:color="auto"/>
        <w:bottom w:val="none" w:sz="0" w:space="0" w:color="auto"/>
        <w:right w:val="none" w:sz="0" w:space="0" w:color="auto"/>
      </w:divBdr>
    </w:div>
    <w:div w:id="940064259">
      <w:marLeft w:val="640"/>
      <w:marRight w:val="0"/>
      <w:marTop w:val="0"/>
      <w:marBottom w:val="0"/>
      <w:divBdr>
        <w:top w:val="none" w:sz="0" w:space="0" w:color="auto"/>
        <w:left w:val="none" w:sz="0" w:space="0" w:color="auto"/>
        <w:bottom w:val="none" w:sz="0" w:space="0" w:color="auto"/>
        <w:right w:val="none" w:sz="0" w:space="0" w:color="auto"/>
      </w:divBdr>
    </w:div>
    <w:div w:id="974264127">
      <w:marLeft w:val="640"/>
      <w:marRight w:val="0"/>
      <w:marTop w:val="0"/>
      <w:marBottom w:val="0"/>
      <w:divBdr>
        <w:top w:val="none" w:sz="0" w:space="0" w:color="auto"/>
        <w:left w:val="none" w:sz="0" w:space="0" w:color="auto"/>
        <w:bottom w:val="none" w:sz="0" w:space="0" w:color="auto"/>
        <w:right w:val="none" w:sz="0" w:space="0" w:color="auto"/>
      </w:divBdr>
    </w:div>
    <w:div w:id="1077172050">
      <w:marLeft w:val="640"/>
      <w:marRight w:val="0"/>
      <w:marTop w:val="0"/>
      <w:marBottom w:val="0"/>
      <w:divBdr>
        <w:top w:val="none" w:sz="0" w:space="0" w:color="auto"/>
        <w:left w:val="none" w:sz="0" w:space="0" w:color="auto"/>
        <w:bottom w:val="none" w:sz="0" w:space="0" w:color="auto"/>
        <w:right w:val="none" w:sz="0" w:space="0" w:color="auto"/>
      </w:divBdr>
    </w:div>
    <w:div w:id="1095126100">
      <w:marLeft w:val="640"/>
      <w:marRight w:val="0"/>
      <w:marTop w:val="0"/>
      <w:marBottom w:val="0"/>
      <w:divBdr>
        <w:top w:val="none" w:sz="0" w:space="0" w:color="auto"/>
        <w:left w:val="none" w:sz="0" w:space="0" w:color="auto"/>
        <w:bottom w:val="none" w:sz="0" w:space="0" w:color="auto"/>
        <w:right w:val="none" w:sz="0" w:space="0" w:color="auto"/>
      </w:divBdr>
    </w:div>
    <w:div w:id="1213612013">
      <w:marLeft w:val="640"/>
      <w:marRight w:val="0"/>
      <w:marTop w:val="0"/>
      <w:marBottom w:val="0"/>
      <w:divBdr>
        <w:top w:val="none" w:sz="0" w:space="0" w:color="auto"/>
        <w:left w:val="none" w:sz="0" w:space="0" w:color="auto"/>
        <w:bottom w:val="none" w:sz="0" w:space="0" w:color="auto"/>
        <w:right w:val="none" w:sz="0" w:space="0" w:color="auto"/>
      </w:divBdr>
    </w:div>
    <w:div w:id="1264996706">
      <w:marLeft w:val="640"/>
      <w:marRight w:val="0"/>
      <w:marTop w:val="0"/>
      <w:marBottom w:val="0"/>
      <w:divBdr>
        <w:top w:val="none" w:sz="0" w:space="0" w:color="auto"/>
        <w:left w:val="none" w:sz="0" w:space="0" w:color="auto"/>
        <w:bottom w:val="none" w:sz="0" w:space="0" w:color="auto"/>
        <w:right w:val="none" w:sz="0" w:space="0" w:color="auto"/>
      </w:divBdr>
    </w:div>
    <w:div w:id="1272276612">
      <w:marLeft w:val="640"/>
      <w:marRight w:val="0"/>
      <w:marTop w:val="0"/>
      <w:marBottom w:val="0"/>
      <w:divBdr>
        <w:top w:val="none" w:sz="0" w:space="0" w:color="auto"/>
        <w:left w:val="none" w:sz="0" w:space="0" w:color="auto"/>
        <w:bottom w:val="none" w:sz="0" w:space="0" w:color="auto"/>
        <w:right w:val="none" w:sz="0" w:space="0" w:color="auto"/>
      </w:divBdr>
    </w:div>
    <w:div w:id="1296641460">
      <w:marLeft w:val="640"/>
      <w:marRight w:val="0"/>
      <w:marTop w:val="0"/>
      <w:marBottom w:val="0"/>
      <w:divBdr>
        <w:top w:val="none" w:sz="0" w:space="0" w:color="auto"/>
        <w:left w:val="none" w:sz="0" w:space="0" w:color="auto"/>
        <w:bottom w:val="none" w:sz="0" w:space="0" w:color="auto"/>
        <w:right w:val="none" w:sz="0" w:space="0" w:color="auto"/>
      </w:divBdr>
    </w:div>
    <w:div w:id="1323239500">
      <w:marLeft w:val="640"/>
      <w:marRight w:val="0"/>
      <w:marTop w:val="0"/>
      <w:marBottom w:val="0"/>
      <w:divBdr>
        <w:top w:val="none" w:sz="0" w:space="0" w:color="auto"/>
        <w:left w:val="none" w:sz="0" w:space="0" w:color="auto"/>
        <w:bottom w:val="none" w:sz="0" w:space="0" w:color="auto"/>
        <w:right w:val="none" w:sz="0" w:space="0" w:color="auto"/>
      </w:divBdr>
    </w:div>
    <w:div w:id="1425611813">
      <w:marLeft w:val="640"/>
      <w:marRight w:val="0"/>
      <w:marTop w:val="0"/>
      <w:marBottom w:val="0"/>
      <w:divBdr>
        <w:top w:val="none" w:sz="0" w:space="0" w:color="auto"/>
        <w:left w:val="none" w:sz="0" w:space="0" w:color="auto"/>
        <w:bottom w:val="none" w:sz="0" w:space="0" w:color="auto"/>
        <w:right w:val="none" w:sz="0" w:space="0" w:color="auto"/>
      </w:divBdr>
    </w:div>
    <w:div w:id="1438940548">
      <w:marLeft w:val="640"/>
      <w:marRight w:val="0"/>
      <w:marTop w:val="0"/>
      <w:marBottom w:val="0"/>
      <w:divBdr>
        <w:top w:val="none" w:sz="0" w:space="0" w:color="auto"/>
        <w:left w:val="none" w:sz="0" w:space="0" w:color="auto"/>
        <w:bottom w:val="none" w:sz="0" w:space="0" w:color="auto"/>
        <w:right w:val="none" w:sz="0" w:space="0" w:color="auto"/>
      </w:divBdr>
    </w:div>
    <w:div w:id="1451514319">
      <w:marLeft w:val="640"/>
      <w:marRight w:val="0"/>
      <w:marTop w:val="0"/>
      <w:marBottom w:val="0"/>
      <w:divBdr>
        <w:top w:val="none" w:sz="0" w:space="0" w:color="auto"/>
        <w:left w:val="none" w:sz="0" w:space="0" w:color="auto"/>
        <w:bottom w:val="none" w:sz="0" w:space="0" w:color="auto"/>
        <w:right w:val="none" w:sz="0" w:space="0" w:color="auto"/>
      </w:divBdr>
    </w:div>
    <w:div w:id="1461074907">
      <w:marLeft w:val="640"/>
      <w:marRight w:val="0"/>
      <w:marTop w:val="0"/>
      <w:marBottom w:val="0"/>
      <w:divBdr>
        <w:top w:val="none" w:sz="0" w:space="0" w:color="auto"/>
        <w:left w:val="none" w:sz="0" w:space="0" w:color="auto"/>
        <w:bottom w:val="none" w:sz="0" w:space="0" w:color="auto"/>
        <w:right w:val="none" w:sz="0" w:space="0" w:color="auto"/>
      </w:divBdr>
    </w:div>
    <w:div w:id="1502620783">
      <w:marLeft w:val="640"/>
      <w:marRight w:val="0"/>
      <w:marTop w:val="0"/>
      <w:marBottom w:val="0"/>
      <w:divBdr>
        <w:top w:val="none" w:sz="0" w:space="0" w:color="auto"/>
        <w:left w:val="none" w:sz="0" w:space="0" w:color="auto"/>
        <w:bottom w:val="none" w:sz="0" w:space="0" w:color="auto"/>
        <w:right w:val="none" w:sz="0" w:space="0" w:color="auto"/>
      </w:divBdr>
    </w:div>
    <w:div w:id="1506895434">
      <w:marLeft w:val="640"/>
      <w:marRight w:val="0"/>
      <w:marTop w:val="0"/>
      <w:marBottom w:val="0"/>
      <w:divBdr>
        <w:top w:val="none" w:sz="0" w:space="0" w:color="auto"/>
        <w:left w:val="none" w:sz="0" w:space="0" w:color="auto"/>
        <w:bottom w:val="none" w:sz="0" w:space="0" w:color="auto"/>
        <w:right w:val="none" w:sz="0" w:space="0" w:color="auto"/>
      </w:divBdr>
    </w:div>
    <w:div w:id="1724861780">
      <w:marLeft w:val="640"/>
      <w:marRight w:val="0"/>
      <w:marTop w:val="0"/>
      <w:marBottom w:val="0"/>
      <w:divBdr>
        <w:top w:val="none" w:sz="0" w:space="0" w:color="auto"/>
        <w:left w:val="none" w:sz="0" w:space="0" w:color="auto"/>
        <w:bottom w:val="none" w:sz="0" w:space="0" w:color="auto"/>
        <w:right w:val="none" w:sz="0" w:space="0" w:color="auto"/>
      </w:divBdr>
    </w:div>
    <w:div w:id="1729719118">
      <w:marLeft w:val="640"/>
      <w:marRight w:val="0"/>
      <w:marTop w:val="0"/>
      <w:marBottom w:val="0"/>
      <w:divBdr>
        <w:top w:val="none" w:sz="0" w:space="0" w:color="auto"/>
        <w:left w:val="none" w:sz="0" w:space="0" w:color="auto"/>
        <w:bottom w:val="none" w:sz="0" w:space="0" w:color="auto"/>
        <w:right w:val="none" w:sz="0" w:space="0" w:color="auto"/>
      </w:divBdr>
    </w:div>
    <w:div w:id="1797945780">
      <w:marLeft w:val="640"/>
      <w:marRight w:val="0"/>
      <w:marTop w:val="0"/>
      <w:marBottom w:val="0"/>
      <w:divBdr>
        <w:top w:val="none" w:sz="0" w:space="0" w:color="auto"/>
        <w:left w:val="none" w:sz="0" w:space="0" w:color="auto"/>
        <w:bottom w:val="none" w:sz="0" w:space="0" w:color="auto"/>
        <w:right w:val="none" w:sz="0" w:space="0" w:color="auto"/>
      </w:divBdr>
    </w:div>
    <w:div w:id="1827739988">
      <w:marLeft w:val="640"/>
      <w:marRight w:val="0"/>
      <w:marTop w:val="0"/>
      <w:marBottom w:val="0"/>
      <w:divBdr>
        <w:top w:val="none" w:sz="0" w:space="0" w:color="auto"/>
        <w:left w:val="none" w:sz="0" w:space="0" w:color="auto"/>
        <w:bottom w:val="none" w:sz="0" w:space="0" w:color="auto"/>
        <w:right w:val="none" w:sz="0" w:space="0" w:color="auto"/>
      </w:divBdr>
    </w:div>
    <w:div w:id="1875070942">
      <w:marLeft w:val="640"/>
      <w:marRight w:val="0"/>
      <w:marTop w:val="0"/>
      <w:marBottom w:val="0"/>
      <w:divBdr>
        <w:top w:val="none" w:sz="0" w:space="0" w:color="auto"/>
        <w:left w:val="none" w:sz="0" w:space="0" w:color="auto"/>
        <w:bottom w:val="none" w:sz="0" w:space="0" w:color="auto"/>
        <w:right w:val="none" w:sz="0" w:space="0" w:color="auto"/>
      </w:divBdr>
    </w:div>
    <w:div w:id="1910382100">
      <w:marLeft w:val="640"/>
      <w:marRight w:val="0"/>
      <w:marTop w:val="0"/>
      <w:marBottom w:val="0"/>
      <w:divBdr>
        <w:top w:val="none" w:sz="0" w:space="0" w:color="auto"/>
        <w:left w:val="none" w:sz="0" w:space="0" w:color="auto"/>
        <w:bottom w:val="none" w:sz="0" w:space="0" w:color="auto"/>
        <w:right w:val="none" w:sz="0" w:space="0" w:color="auto"/>
      </w:divBdr>
    </w:div>
    <w:div w:id="1911423883">
      <w:marLeft w:val="640"/>
      <w:marRight w:val="0"/>
      <w:marTop w:val="0"/>
      <w:marBottom w:val="0"/>
      <w:divBdr>
        <w:top w:val="none" w:sz="0" w:space="0" w:color="auto"/>
        <w:left w:val="none" w:sz="0" w:space="0" w:color="auto"/>
        <w:bottom w:val="none" w:sz="0" w:space="0" w:color="auto"/>
        <w:right w:val="none" w:sz="0" w:space="0" w:color="auto"/>
      </w:divBdr>
    </w:div>
    <w:div w:id="1922519303">
      <w:marLeft w:val="640"/>
      <w:marRight w:val="0"/>
      <w:marTop w:val="0"/>
      <w:marBottom w:val="0"/>
      <w:divBdr>
        <w:top w:val="none" w:sz="0" w:space="0" w:color="auto"/>
        <w:left w:val="none" w:sz="0" w:space="0" w:color="auto"/>
        <w:bottom w:val="none" w:sz="0" w:space="0" w:color="auto"/>
        <w:right w:val="none" w:sz="0" w:space="0" w:color="auto"/>
      </w:divBdr>
    </w:div>
    <w:div w:id="1932661758">
      <w:marLeft w:val="640"/>
      <w:marRight w:val="0"/>
      <w:marTop w:val="0"/>
      <w:marBottom w:val="0"/>
      <w:divBdr>
        <w:top w:val="none" w:sz="0" w:space="0" w:color="auto"/>
        <w:left w:val="none" w:sz="0" w:space="0" w:color="auto"/>
        <w:bottom w:val="none" w:sz="0" w:space="0" w:color="auto"/>
        <w:right w:val="none" w:sz="0" w:space="0" w:color="auto"/>
      </w:divBdr>
    </w:div>
    <w:div w:id="2005431091">
      <w:marLeft w:val="640"/>
      <w:marRight w:val="0"/>
      <w:marTop w:val="0"/>
      <w:marBottom w:val="0"/>
      <w:divBdr>
        <w:top w:val="none" w:sz="0" w:space="0" w:color="auto"/>
        <w:left w:val="none" w:sz="0" w:space="0" w:color="auto"/>
        <w:bottom w:val="none" w:sz="0" w:space="0" w:color="auto"/>
        <w:right w:val="none" w:sz="0" w:space="0" w:color="auto"/>
      </w:divBdr>
    </w:div>
    <w:div w:id="2089645521">
      <w:marLeft w:val="640"/>
      <w:marRight w:val="0"/>
      <w:marTop w:val="0"/>
      <w:marBottom w:val="0"/>
      <w:divBdr>
        <w:top w:val="none" w:sz="0" w:space="0" w:color="auto"/>
        <w:left w:val="none" w:sz="0" w:space="0" w:color="auto"/>
        <w:bottom w:val="none" w:sz="0" w:space="0" w:color="auto"/>
        <w:right w:val="none" w:sz="0" w:space="0" w:color="auto"/>
      </w:divBdr>
    </w:div>
    <w:div w:id="2096199757">
      <w:marLeft w:val="640"/>
      <w:marRight w:val="0"/>
      <w:marTop w:val="0"/>
      <w:marBottom w:val="0"/>
      <w:divBdr>
        <w:top w:val="none" w:sz="0" w:space="0" w:color="auto"/>
        <w:left w:val="none" w:sz="0" w:space="0" w:color="auto"/>
        <w:bottom w:val="none" w:sz="0" w:space="0" w:color="auto"/>
        <w:right w:val="none" w:sz="0" w:space="0" w:color="auto"/>
      </w:divBdr>
    </w:div>
    <w:div w:id="2110538794">
      <w:marLeft w:val="640"/>
      <w:marRight w:val="0"/>
      <w:marTop w:val="0"/>
      <w:marBottom w:val="0"/>
      <w:divBdr>
        <w:top w:val="none" w:sz="0" w:space="0" w:color="auto"/>
        <w:left w:val="none" w:sz="0" w:space="0" w:color="auto"/>
        <w:bottom w:val="none" w:sz="0" w:space="0" w:color="auto"/>
        <w:right w:val="none" w:sz="0" w:space="0" w:color="auto"/>
      </w:divBdr>
    </w:div>
    <w:div w:id="2140032540">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DA43DFB1-397E-40CD-B74F-C3A03C22203A}"/>
      </w:docPartPr>
      <w:docPartBody>
        <w:p w:rsidR="000967AA" w:rsidRDefault="00CC6EFB">
          <w:r w:rsidRPr="00D175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EFB"/>
    <w:rsid w:val="000967AA"/>
    <w:rsid w:val="000B0CCE"/>
    <w:rsid w:val="001D55FE"/>
    <w:rsid w:val="00351CDC"/>
    <w:rsid w:val="00430ED4"/>
    <w:rsid w:val="00647EF5"/>
    <w:rsid w:val="006C17C1"/>
    <w:rsid w:val="007149BF"/>
    <w:rsid w:val="007C0028"/>
    <w:rsid w:val="009B75A2"/>
    <w:rsid w:val="009C1C0A"/>
    <w:rsid w:val="00A950AB"/>
    <w:rsid w:val="00AC1961"/>
    <w:rsid w:val="00C37EA7"/>
    <w:rsid w:val="00CA5222"/>
    <w:rsid w:val="00CC6EFB"/>
    <w:rsid w:val="00DE58B1"/>
    <w:rsid w:val="00EB27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EF5"/>
    <w:rPr>
      <w:color w:val="666666"/>
    </w:rPr>
  </w:style>
  <w:style w:type="paragraph" w:customStyle="1" w:styleId="C4BE099E85C5425B97D6CA6BBD19AA90">
    <w:name w:val="C4BE099E85C5425B97D6CA6BBD19AA90"/>
    <w:rsid w:val="00647EF5"/>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EF5"/>
    <w:rPr>
      <w:color w:val="666666"/>
    </w:rPr>
  </w:style>
  <w:style w:type="paragraph" w:customStyle="1" w:styleId="C4BE099E85C5425B97D6CA6BBD19AA90">
    <w:name w:val="C4BE099E85C5425B97D6CA6BBD19AA90"/>
    <w:rsid w:val="00647EF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FA0683-6C9F-4DF8-869A-90F8928DFD22}">
  <we:reference id="WA104382081" version="1.55.1.0" store="Omex" storeType="OMEX"/>
  <we:alternateReferences>
    <we:reference id="WA104382081" version="1.55.1.0" store="WA104382081" storeType="OMEX"/>
  </we:alternateReferences>
  <we:properties>
    <we:property name="MENDELEY_CITATIONS" value="[{&quot;citationID&quot;:&quot;MENDELEY_CITATION_515d9916-566e-4f6e-831b-c71169c2d7a7&quot;,&quot;properties&quot;:{&quot;noteIndex&quot;:0},&quot;isEdited&quot;:false,&quot;manualOverride&quot;:{&quot;isManuallyOverridden&quot;:false,&quot;citeprocText&quot;:&quot;(1)&quot;,&quot;manualOverrideText&quot;:&quot;&quot;},&quot;citationTag&quot;:&quot;MENDELEY_CITATION_v3_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&quot;,&quot;citationItems&quot;:[{&quot;id&quot;:&quot;609ffde6-aefa-3960-aa39-aa7de64a716b&quot;,&quot;itemData&quot;:{&quot;type&quot;:&quot;article-journal&quot;,&quot;id&quot;:&quot;609ffde6-aefa-3960-aa39-aa7de64a716b&quot;,&quot;title&quot;:&quot;Drug Discovery, Diagnostic, and therapeutic trends on Mpox: A patent landscape&quot;,&quot;author&quot;:[{&quot;family&quot;:&quot;Sharma&quot;,&quot;given&quot;:&quot;Rohit&quot;,&quot;parse-names&quot;:false,&quot;dropping-particle&quot;:&quot;&quot;,&quot;non-dropping-particle&quot;:&quot;&quot;},{&quot;family&quot;:&quot;Sharma&quot;,&quot;given&quot;:&quot;Ruchi&quot;,&quot;parse-names&quot;:false,&quot;dropping-particle&quot;:&quot;&quot;,&quot;non-dropping-particle&quot;:&quot;&quot;},{&quot;family&quot;:&quot;Singla&quot;,&quot;given&quot;:&quot;Rajeev K.&quot;,&quot;parse-names&quot;:false,&quot;dropping-particle&quot;:&quot;&quot;,&quot;non-dropping-particle&quot;:&quot;&quot;}],&quot;container-title&quot;:&quot;Current Research in Biotechnology&quot;,&quot;container-title-short&quot;:&quot;Curr Res Biotechnol&quot;,&quot;DOI&quot;:&quot;10.1016/j.crbiot.2023.100173&quot;,&quot;ISSN&quot;:&quot;25902628&quot;,&quot;issued&quot;:{&quot;date-parts&quot;:[[2024,1,1]]},&quot;abstract&quot;:&quot;As of early 2022, Mpox has resurged and expanded globally, posing a new threat to global health. In close to 110 countries, 87,000 confirmed cases and 112 deaths have been reported as on April 18, 2023. Considering the current pandemic crisis and future developments, it is imperative to understand and characterize the global patent scenario of Mpox. In biological sciences, patents are often promising indicators of technological knowledge production. This patent landscape analysis is the first to provide a solid intellectual foundation for the ongoing development of diagnostic measures, therapeutic drug agents, and vaccines for Mpox. Our search encompassed several patent databases to identify patents related to Mpox, including PatSeer, Google patents, lens.org, Espacenet, and Patentscope. Patenting trends are discussed, and a Whitespace analysis is carried out in this paper, suggesting the knowledge gaps and promising areas for future research on Mpox. This study could serve as an epicentre for provoking ideas and mitigation strategies.&quot;,&quot;publisher&quot;:&quot;Elsevier B.V.&quot;,&quot;volume&quot;:&quot;7&quot;},&quot;isTemporary&quot;:false}]},{&quot;citationID&quot;:&quot;MENDELEY_CITATION_bd7f980f-f17f-478e-b689-3e0019c17991&quot;,&quot;properties&quot;:{&quot;noteIndex&quot;:0},&quot;isEdited&quot;:false,&quot;manualOverride&quot;:{&quot;isManuallyOverridden&quot;:false,&quot;citeprocText&quot;:&quot;(2)&quot;,&quot;manualOverrideText&quot;:&quot;&quot;},&quot;citationTag&quot;:&quot;MENDELEY_CITATION_v3_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&quot;,&quot;citationItems&quot;:[{&quot;id&quot;:&quot;b2733d83-0379-3de4-a1c4-ed85144909eb&quot;,&quot;itemData&quot;:{&quot;type&quot;:&quot;article&quot;,&quot;id&quot;:&quot;b2733d83-0379-3de4-a1c4-ed85144909eb&quot;,&quot;title&quot;:&quot;Future directions for the discovery of natural product-derived immunomodulating drugs: an IUPHAR positional review&quot;,&quot;author&quot;:[{&quot;family&quot;:&quot;Wainwright&quot;,&quot;given&quot;:&quot;Cherry L.&quot;,&quot;parse-names&quot;:false,&quot;dropping-particle&quot;:&quot;&quot;,&quot;non-dropping-particle&quot;:&quot;&quot;},{&quot;family&quot;:&quot;Teixeira&quot;,&quot;given&quot;:&quot;Mauro M.&quot;,&quot;parse-names&quot;:false,&quot;dropping-particle&quot;:&quot;&quot;,&quot;non-dropping-particle&quot;:&quot;&quot;},{&quot;family&quot;:&quot;Adelson&quot;,&quot;given&quot;:&quot;David L.&quot;,&quot;parse-names&quot;:false,&quot;dropping-particle&quot;:&quot;&quot;,&quot;non-dropping-particle&quot;:&quot;&quot;},{&quot;family&quot;:&quot;Buenz&quot;,&quot;given&quot;:&quot;Eric J.&quot;,&quot;parse-names&quot;:false,&quot;dropping-particle&quot;:&quot;&quot;,&quot;non-dropping-particle&quot;:&quot;&quot;},{&quot;family&quot;:&quot;David&quot;,&quot;given&quot;:&quot;Bruno&quot;,&quot;parse-names&quot;:false,&quot;dropping-particle&quot;:&quot;&quot;,&quot;non-dropping-particle&quot;:&quot;&quot;},{&quot;family&quot;:&quot;Glaser&quot;,&quot;given&quot;:&quot;Keith B.&quot;,&quot;parse-names&quot;:false,&quot;dropping-particle&quot;:&quot;&quot;,&quot;non-dropping-particle&quot;:&quot;&quot;},{&quot;family&quot;:&quot;Harata-Lee&quot;,&quot;given&quot;:&quot;Yuka&quot;,&quot;parse-names&quot;:false,&quot;dropping-particle&quot;:&quot;&quot;,&quot;non-dropping-particle&quot;:&quot;&quot;},{&quot;family&quot;:&quot;Howes&quot;,&quot;given&quot;:&quot;Melanie Jayne R.&quot;,&quot;parse-names&quot;:false,&quot;dropping-particle&quot;:&quot;&quot;,&quot;non-dropping-particle&quot;:&quot;&quot;},{&quot;family&quot;:&quot;Izzo&quot;,&quot;given&quot;:&quot;Angelo A.&quot;,&quot;parse-names&quot;:false,&quot;dropping-particle&quot;:&quot;&quot;,&quot;non-dropping-particle&quot;:&quot;&quot;},{&quot;family&quot;:&quot;Maffia&quot;,&quot;given&quot;:&quot;Pasquale&quot;,&quot;parse-names&quot;:false,&quot;dropping-particle&quot;:&quot;&quot;,&quot;non-dropping-particle&quot;:&quot;&quot;},{&quot;family&quot;:&quot;Mayer&quot;,&quot;given&quot;:&quot;Alejandro MS&quot;,&quot;parse-names&quot;:false,&quot;dropping-particle&quot;:&quot;&quot;,&quot;non-dropping-particle&quot;:&quot;&quot;},{&quot;family&quot;:&quot;Mazars&quot;,&quot;given&quot;:&quot;Claire&quot;,&quot;parse-names&quot;:false,&quot;dropping-particle&quot;:&quot;&quot;,&quot;non-dropping-particle&quot;:&quot;&quot;},{&quot;family&quot;:&quot;Newman&quot;,&quot;given&quot;:&quot;David J.&quot;,&quot;parse-names&quot;:false,&quot;dropping-particle&quot;:&quot;&quot;,&quot;non-dropping-particle&quot;:&quot;&quot;},{&quot;family&quot;:&quot;Nic Lughadha&quot;,&quot;given&quot;:&quot;Eimear&quot;,&quot;parse-names&quot;:false,&quot;dropping-particle&quot;:&quot;&quot;,&quot;non-dropping-particle&quot;:&quot;&quot;},{&quot;family&quot;:&quot;Pimenta&quot;,&quot;given&quot;:&quot;Adriano MC&quot;,&quot;parse-names&quot;:false,&quot;dropping-particle&quot;:&quot;&quot;,&quot;non-dropping-particle&quot;:&quot;&quot;},{&quot;family&quot;:&quot;Parra&quot;,&quot;given&quot;:&quot;John AA&quot;,&quot;parse-names&quot;:false,&quot;dropping-particle&quot;:&quot;&quot;,&quot;non-dropping-particle&quot;:&quot;&quot;},{&quot;family&quot;:&quot;Qu&quot;,&quot;given&quot;:&quot;Zhipeng&quot;,&quot;parse-names&quot;:false,&quot;dropping-particle&quot;:&quot;&quot;,&quot;non-dropping-particle&quot;:&quot;&quot;},{&quot;family&quot;:&quot;Shen&quot;,&quot;given&quot;:&quot;Hanyuan&quot;,&quot;parse-names&quot;:false,&quot;dropping-particle&quot;:&quot;&quot;,&quot;non-dropping-particle&quot;:&quot;&quot;},{&quot;family&quot;:&quot;Spedding&quot;,&quot;given&quot;:&quot;Michael&quot;,&quot;parse-names&quot;:false,&quot;dropping-particle&quot;:&quot;&quot;,&quot;non-dropping-particle&quot;:&quot;&quot;},{&quot;family&quot;:&quot;Wolfender&quot;,&quot;given&quot;:&quot;Jean Luc&quot;,&quot;parse-names&quot;:false,&quot;dropping-particle&quot;:&quot;&quot;,&quot;non-dropping-particle&quot;:&quot;&quot;}],&quot;container-title&quot;:&quot;Pharmacological Research&quot;,&quot;container-title-short&quot;:&quot;Pharmacol Res&quot;,&quot;DOI&quot;:&quot;10.1016/j.phrs.2022.106076&quot;,&quot;ISSN&quot;:&quot;10961186&quot;,&quot;PMID&quot;:&quot;35074524&quot;,&quot;issued&quot;:{&quot;date-parts&quot;:[[2022,3,1]]},&quot;abstract&quot;:&quot;Drug discovery from natural sources is going through a renaissance, having spent many decades in the shadow of synthetic molecule drug discovery, despite the fact that natural product-derived compounds occupy a much greater chemical space than those created through synthetic chemistry methods. With this new era comes new possibilities, not least the novel targets that have emerged in recent times and the development of state-of-the-art technologies that can be applied to drug discovery from natural sources. Although progress has been made with some immunomodulating drugs, there remains a pressing need for new agents that can be used to treat the wide variety of conditions that arise from disruption, or over-activation, of the immune system; natural products may therefore be key in filling this gap. Recognising that, at present, there is no authoritative article that details the current state-of-the-art of the immunomodulatory activity of natural products, this in-depth review has arisen from a joint effort between the International Union of Basic and Clinical Pharmacology (IUPHAR) Natural Products and Immunopharmacology Sections, with contributions from a number of world-leading researchers in the field of natural product drug discovery, to provide a “position statement” on what natural products has to offer in the search for new immunomodulatory argents. To this end, we provide a historical look at previous discoveries of naturally occurring immunomodulators, present a picture of the current status of the field and provide insight into the future opportunities and challenges for the discovery of new drugs to treat immune-related diseases.&quot;,&quot;publisher&quot;:&quot;Academic Press&quot;,&quot;volume&quot;:&quot;177&quot;},&quot;isTemporary&quot;:false}]},{&quot;citationID&quot;:&quot;MENDELEY_CITATION_fcb369e0-b18e-4053-ab89-bb551ce965f1&quot;,&quot;properties&quot;:{&quot;noteIndex&quot;:0},&quot;isEdited&quot;:false,&quot;manualOverride&quot;:{&quot;isManuallyOverridden&quot;:false,&quot;citeprocText&quot;:&quot;(3)&quot;,&quot;manualOverrideText&quot;:&quot;&quot;},&quot;citationTag&quot;:&quot;MENDELEY_CITATION_v3_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&quot;,&quot;citationItems&quot;:[{&quot;id&quot;:&quot;f6b1ae5f-0af1-3baa-b1d5-b87b090be15a&quot;,&quot;itemData&quot;:{&quot;type&quot;:&quot;article&quot;,&quot;id&quot;:&quot;f6b1ae5f-0af1-3baa-b1d5-b87b090be15a&quot;,&quot;title&quot;:&quot;Recent advances in the discovery of copper(II) complexes as potential anticancer drugs&quot;,&quot;author&quot;:[{&quot;family&quot;:&quot;Rogalewicz&quot;,&quot;given&quot;:&quot;Bartłomiej&quot;,&quot;parse-names&quot;:false,&quot;dropping-particle&quot;:&quot;&quot;,&quot;non-dropping-particle&quot;:&quot;&quot;},{&quot;family&quot;:&quot;Czylkowska&quot;,&quot;given&quot;:&quot;Agnieszka&quot;,&quot;parse-names&quot;:false,&quot;dropping-particle&quot;:&quot;&quot;,&quot;non-dropping-particle&quot;:&quot;&quot;}],&quot;container-title&quot;:&quot;European Journal of Medicinal Chemistry&quot;,&quot;container-title-short&quot;:&quot;Eur J Med Chem&quot;,&quot;DOI&quot;:&quot;10.1016/j.ejmech.2025.117702&quot;,&quot;ISSN&quot;:&quot;17683254&quot;,&quot;issued&quot;:{&quot;date-parts&quot;:[[2025,8,5]]},&quot;abstract&quot;:&quot;This review article offers a literature search of the most active, new copper (II) anticancer complexes based on nitrogen-containing ligands, reported in the literature over the past 5 years: from the beginning of 2019, until mid-2024. In the modern world, cancer remains one of the deadliest diseases of all. Although years of the ongoing research allowed us to better understand its nature, and thus aim more precisely at specific molecular targets and pathways, many of its aspects remain unclear. Today, chemotherapy still remains at the forefront of cancer treatment. With the ever-growing struggles to overcome chemoresistance and occurrence of serious side effects, the discovery of new, more selective and active drugs is a task of an utmost importance. At the same time, copper (II)-based compounds offer a wide array of biological activities and valuable biochemical properties. This review article provides the update on the recent advances in the discovery of new potential anticancer drugs among copper (II)-based compounds in the recent five years.&quot;,&quot;publisher&quot;:&quot;Elsevier Masson s.r.l.&quot;,&quot;volume&quot;:&quot;292&quot;},&quot;isTemporary&quot;:false}]},{&quot;citationID&quot;:&quot;MENDELEY_CITATION_6c03f960-5980-43a8-8888-9318feb96099&quot;,&quot;properties&quot;:{&quot;noteIndex&quot;:0},&quot;isEdited&quot;:false,&quot;manualOverride&quot;:{&quot;isManuallyOverridden&quot;:false,&quot;citeprocText&quot;:&quot;(3,4)&quot;,&quot;manualOverrideText&quot;:&quot;&quot;},&quot;citationTag&quot;:&quot;MENDELEY_CITATION_v3_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&quot;,&quot;citationItems&quot;:[{&quot;id&quot;:&quot;f6b1ae5f-0af1-3baa-b1d5-b87b090be15a&quot;,&quot;itemData&quot;:{&quot;type&quot;:&quot;article&quot;,&quot;id&quot;:&quot;f6b1ae5f-0af1-3baa-b1d5-b87b090be15a&quot;,&quot;title&quot;:&quot;Recent advances in the discovery of copper(II) complexes as potential anticancer drugs&quot;,&quot;author&quot;:[{&quot;family&quot;:&quot;Rogalewicz&quot;,&quot;given&quot;:&quot;Bartłomiej&quot;,&quot;parse-names&quot;:false,&quot;dropping-particle&quot;:&quot;&quot;,&quot;non-dropping-particle&quot;:&quot;&quot;},{&quot;family&quot;:&quot;Czylkowska&quot;,&quot;given&quot;:&quot;Agnieszka&quot;,&quot;parse-names&quot;:false,&quot;dropping-particle&quot;:&quot;&quot;,&quot;non-dropping-particle&quot;:&quot;&quot;}],&quot;container-title&quot;:&quot;European Journal of Medicinal Chemistry&quot;,&quot;container-title-short&quot;:&quot;Eur J Med Chem&quot;,&quot;DOI&quot;:&quot;10.1016/j.ejmech.2025.117702&quot;,&quot;ISSN&quot;:&quot;17683254&quot;,&quot;issued&quot;:{&quot;date-parts&quot;:[[2025,8,5]]},&quot;abstract&quot;:&quot;This review article offers a literature search of the most active, new copper (II) anticancer complexes based on nitrogen-containing ligands, reported in the literature over the past 5 years: from the beginning of 2019, until mid-2024. In the modern world, cancer remains one of the deadliest diseases of all. Although years of the ongoing research allowed us to better understand its nature, and thus aim more precisely at specific molecular targets and pathways, many of its aspects remain unclear. Today, chemotherapy still remains at the forefront of cancer treatment. With the ever-growing struggles to overcome chemoresistance and occurrence of serious side effects, the discovery of new, more selective and active drugs is a task of an utmost importance. At the same time, copper (II)-based compounds offer a wide array of biological activities and valuable biochemical properties. This review article provides the update on the recent advances in the discovery of new potential anticancer drugs among copper (II)-based compounds in the recent five years.&quot;,&quot;publisher&quot;:&quot;Elsevier Masson s.r.l.&quot;,&quot;volume&quot;:&quot;292&quot;},&quot;isTemporary&quot;:false},{&quot;id&quot;:&quot;97c1d5f9-93a0-304a-a7c5-d826fcd78bf5&quot;,&quot;itemData&quot;:{&quot;type&quot;:&quot;article&quot;,&quot;id&quot;:&quot;97c1d5f9-93a0-304a-a7c5-d826fcd78bf5&quot;,&quot;title&quot;:&quot;Not only in silico drug discovery: Molecular modeling towards in silico drug delivery formulations&quot;,&quot;author&quot;:[{&quot;family&quot;:&quot;Casalini&quot;,&quot;given&quot;:&quot;Tommaso&quot;,&quot;parse-names&quot;:false,&quot;dropping-particle&quot;:&quot;&quot;,&quot;non-dropping-particle&quot;:&quot;&quot;}],&quot;container-title&quot;:&quot;Journal of Controlled Release&quot;,&quot;DOI&quot;:&quot;10.1016/j.jconrel.2021.03.005&quot;,&quot;ISSN&quot;:&quot;18734995&quot;,&quot;PMID&quot;:&quot;33675875&quot;,&quot;issued&quot;:{&quot;date-parts&quot;:[[2021,4,10]]},&quot;page&quot;:&quot;390-417&quot;,&quot;abstract&quot;:&quot;The use of methods at molecular scale for the discovery of new potential active ligands, as well as previously unknown binding sites for target proteins, is now an established reality. Literature offers many successful stories of active compounds developed starting from insights obtained in silico and approved by Food and Drug Administration (FDA). One of the most famous examples is raltegravir, a HIV integrase inhibitor, which was developed after the discovery of a previously unknown transient binding area thanks to molecular dynamics simulations. Molecular simulations have the potential to also improve the design and engineering of drug delivery devices, which are still largely based on fundamental conservation equations. Although they can highlight the dominant release mechanism and quantitatively link the release rate to design parameters (size, drug loading, et cetera), their spatial resolution does not allow to fully capture how phenomena at molecular scale influence system behavior. In this scenario, the “computational microscope” offered by simulations at atomic scale can shed light on the impact of molecular interactions on crucial parameters such as release rate and the response of the drug delivery device to external stimuli, providing insights that are difficult or impossible to obtain experimentally. Moreover, the new paradigm brought by nanomedicine further underlined the importance of such computational microscope to study the interactions between nanoparticles and biological components with an unprecedented level of detail. Such knowledge is a fundamental pillar to perform device engineering and to achieve efficient and safe formulations. After a brief theoretical background, this review aims at discussing the potential of molecular simulations for the rational design of drug delivery systems.&quot;,&quot;publisher&quot;:&quot;Elsevier B.V.&quot;,&quot;volume&quot;:&quot;332&quot;,&quot;container-title-short&quot;:&quot;&quot;},&quot;isTemporary&quot;:false}]},{&quot;citationID&quot;:&quot;MENDELEY_CITATION_0a94849a-4596-45cd-ba35-e36ff727b9f4&quot;,&quot;properties&quot;:{&quot;noteIndex&quot;:0},&quot;isEdited&quot;:false,&quot;manualOverride&quot;:{&quot;isManuallyOverridden&quot;:false,&quot;citeprocText&quot;:&quot;(5,6)&quot;,&quot;manualOverrideText&quot;:&quot;&quot;},&quot;citationTag&quot;:&quot;MENDELEY_CITATION_v3_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&quot;,&quot;citationItems&quot;:[{&quot;id&quot;:&quot;a307c592-098d-3634-8402-ab4c49ecd82c&quot;,&quot;itemData&quot;:{&quot;type&quot;:&quot;article&quot;,&quot;id&quot;:&quot;a307c592-098d-3634-8402-ab4c49ecd82c&quot;,&quot;title&quot;:&quot;From natural laboratory to drug discovery: Chemical structures, bioactivities, and biosynthesis of meroterpenoids from Ganoderma species&quot;,&quot;author&quot;:[{&quot;family&quot;:&quot;Peng&quot;,&quot;given&quot;:&quot;Shuang&quot;,&quot;parse-names&quot;:false,&quot;dropping-particle&quot;:&quot;&quot;,&quot;non-dropping-particle&quot;:&quot;&quot;},{&quot;family&quot;:&quot;Qi&quot;,&quot;given&quot;:&quot;Jianzhao&quot;,&quot;parse-names&quot;:false,&quot;dropping-particle&quot;:&quot;&quot;,&quot;non-dropping-particle&quot;:&quot;&quot;},{&quot;family&quot;:&quot;Lin&quot;,&quot;given&quot;:&quot;Chao&quot;,&quot;parse-names&quot;:false,&quot;dropping-particle&quot;:&quot;&quot;,&quot;non-dropping-particle&quot;:&quot;&quot;},{&quot;family&quot;:&quot;Xu&quot;,&quot;given&quot;:&quot;Zhichao&quot;,&quot;parse-names&quot;:false,&quot;dropping-particle&quot;:&quot;&quot;,&quot;non-dropping-particle&quot;:&quot;&quot;},{&quot;family&quot;:&quot;Li&quot;,&quot;given&quot;:&quot;Zhenhao&quot;,&quot;parse-names&quot;:false,&quot;dropping-particle&quot;:&quot;&quot;,&quot;non-dropping-particle&quot;:&quot;&quot;},{&quot;family&quot;:&quot;Liu&quot;,&quot;given&quot;:&quot;Chengwei&quot;,&quot;parse-names&quot;:false,&quot;dropping-particle&quot;:&quot;&quot;,&quot;non-dropping-particle&quot;:&quot;&quot;}],&quot;container-title&quot;:&quot;Chinese Herbal Medicines&quot;,&quot;container-title-short&quot;:&quot;Chin Herb Med&quot;,&quot;DOI&quot;:&quot;10.1016/j.chmed.2025.03.003&quot;,&quot;ISSN&quot;:&quot;16746384&quot;,&quot;issued&quot;:{&quot;date-parts&quot;:[[2025]]},&quot;abstract&quot;:&quot;Meroterpenoids are secondary metabolites partially derived from the terpenoid biosynthetic pathway, and are widely distributed in plants, animals, and fungi. These natural products possess complex backbone structures and diverse bioactivities. Ganoderma meroterpenoids (GMs) form a distinct group of meroterpenoids were characterized by the presence of 1,2,4-trisubstituted phenyl and polyunsaturated terpene moieties. Various Ganoderma species have been extensively studied, leading to the discovery of several structurally unique meroterpenoids with significant pharmacological activities. After the first isolation and identification of GMs in 2000, over 300 compounds from 14 species have been characterized for their structures and biological activities. The structures and activities of some GMs from different Ganoderma species vary greatly, probably due to significant differences in the genome and transcriptome of different Ganoderma species. We predicted the related enzymes based on the reported Ganoderma genome and proposed the biosynthetic pathway related to GMs. The results presented in this review provide a scientific foundation for the comprehensive exploration and utilization of diverse Ganoderma resources.&quot;,&quot;publisher&quot;:&quot;Elsevier B.V.&quot;},&quot;isTemporary&quot;:false},{&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fe624584-ea9f-4ff8-be5f-895c707e9405&quot;,&quot;properties&quot;:{&quot;noteIndex&quot;:0},&quot;isEdited&quot;:false,&quot;manualOverride&quot;:{&quot;isManuallyOverridden&quot;:false,&quot;citeprocText&quot;:&quot;(7)&quot;,&quot;manualOverrideText&quot;:&quot;&quot;},&quot;citationTag&quot;:&quot;MENDELEY_CITATION_v3_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&quot;,&quot;citationItems&quot;:[{&quot;id&quot;:&quot;9b24586f-726e-3d95-81e5-8a1f07c012bd&quot;,&quot;itemData&quot;:{&quot;type&quot;:&quot;article-journal&quot;,&quot;id&quot;:&quot;9b24586f-726e-3d95-81e5-8a1f07c012bd&quot;,&quot;title&quot;:&quot;\&quot;RNA-BASED THERAPEUTICS: PARADIGMS SHIFT IN DRUG DISCOVERY AND DELIVERY\&quot;&quot;,&quot;author&quot;:[{&quot;family&quot;:&quot;Gadade&quot;,&quot;given&quot;:&quot;Swapnali S&quot;,&quot;parse-names&quot;:false,&quot;dropping-particle&quot;:&quot;&quot;,&quot;non-dropping-particle&quot;:&quot;&quot;},{&quot;family&quot;:&quot;Mali1&quot;,&quot;given&quot;:&quot;Sachin S&quot;,&quot;parse-names&quot;:false,&quot;dropping-particle&quot;:&quot;&quot;,&quot;non-dropping-particle&quot;:&quot;&quot;},{&quot;family&quot;:&quot;Bandi&quot;,&quot;given&quot;:&quot;Manjusha P&quot;,&quot;parse-names&quot;:false,&quot;dropping-particle&quot;:&quot;&quot;,&quot;non-dropping-particle&quot;:&quot;&quot;},{&quot;family&quot;:&quot;Kodag&quot;,&quot;given&quot;:&quot;Pratidnya P&quot;,&quot;parse-names&quot;:false,&quot;dropping-particle&quot;:&quot;&quot;,&quot;non-dropping-particle&quot;:&quot;&quot;}],&quot;ISSN&quot;:&quot;2349-5138&quot;,&quot;URL&quot;:&quot;www.ijrar.org&quot;,&quot;issued&quot;:{&quot;date-parts&quot;:[[2024]]},&quot;abstract&quot;:&quot;RNA-Based gene therapy requires therapeutic RNA that function in target cells without triggering unwanted immune response.RNA can be delivered to cells using nonviral drug delivery system, circumventing the limitation of viral delivery vectors. Described polymer-based, lipid-based and conjugative-based drug delivery system and distinguishes between drug delivery system that passively target specific cell types and drug delivery system that actively target specific cells types to do.The use of EVs as small RNA carriers offers several advantages over traditional delivery Systems. RNAi occurs through intracellular mechanisms present in all Multicellular organisms studied to date. We describe the path from preclinical drug Delivery research to clinical approval and highlight opportunities to improve efficiency In the discovery of new drug delivery systems. The recent emergence of a number of effective messenger RNA-based vaccines. In response to the coronavirus disease (COVID-19) pandemic has reignited Research interest in RNA therapeutics. Some RNA-based drugs have been Approved for clinical use, while others are still in research or preclinical studies. Applications of RNA are not limited to vaccines.Furthermore, it may play an Important role in diagnosis, treatment, and research.Here,we review the growing Class of RNA therapeutics, their molecular mechanisms of action, and design Considerations for their respective delivery platforms.&quot;,&quot;container-title-short&quot;:&quot;&quot;},&quot;isTemporary&quot;:false}]},{&quot;citationID&quot;:&quot;MENDELEY_CITATION_028bd427-43c3-4c2d-8164-19b713558098&quot;,&quot;properties&quot;:{&quot;noteIndex&quot;:0},&quot;isEdited&quot;:false,&quot;manualOverride&quot;:{&quot;isManuallyOverridden&quot;:false,&quot;citeprocText&quot;:&quot;(8)&quot;,&quot;manualOverrideText&quot;:&quot;&quot;},&quot;citationTag&quot;:&quot;MENDELEY_CITATION_v3_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&quot;,&quot;citationItems&quot;:[{&quot;id&quot;:&quot;04bf6db5-3946-3f2f-ad4a-82f407abfee3&quot;,&quot;itemData&quot;:{&quot;type&quot;:&quot;report&quot;,&quot;id&quot;:&quot;04bf6db5-3946-3f2f-ad4a-82f407abfee3&quot;,&quot;title&quot;:&quot;RNA-based therapeutics: Paradigms shift in Drug discovery and delivery&quot;,&quot;URL&quot;:&quot;www.ijrar.org&quot;,&quot;container-title-short&quot;:&quot;&quot;},&quot;isTemporary&quot;:false}]},{&quot;citationID&quot;:&quot;MENDELEY_CITATION_273e7177-acac-443a-a637-34489055a482&quot;,&quot;properties&quot;:{&quot;noteIndex&quot;:0},&quot;isEdited&quot;:false,&quot;manualOverride&quot;:{&quot;isManuallyOverridden&quot;:false,&quot;citeprocText&quot;:&quot;(9,10)&quot;,&quot;manualOverrideText&quot;:&quot;&quot;},&quot;citationTag&quot;:&quot;MENDELEY_CITATION_v3_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quot;,&quot;citationItems&quot;:[{&quot;id&quot;:&quot;e6a573f7-bc74-35ac-b9e3-3b2f1cc0868a&quot;,&quot;itemData&quot;:{&quot;type&quot;:&quot;article-journal&quot;,&quot;id&quot;:&quot;e6a573f7-bc74-35ac-b9e3-3b2f1cc0868a&quot;,&quot;title&quot;:&quot;Review On: High-Throughput Screening Is An Approach To Drug Discovery&quot;,&quot;author&quot;:[{&quot;family&quot;:&quot;Hajare&quot;,&quot;given&quot;:&quot;Ashok A&quot;,&quot;parse-names&quot;:false,&quot;dropping-particle&quot;:&quot;&quot;,&quot;non-dropping-particle&quot;:&quot;&quot;},{&quot;family&quot;:&quot;Salunkhe&quot;,&quot;given&quot;:&quot;Sachin S&quot;,&quot;parse-names&quot;:false,&quot;dropping-particle&quot;:&quot;&quot;,&quot;non-dropping-particle&quot;:&quot;&quot;},{&quot;family&quot;:&quot;Mali&quot;,&quot;given&quot;:&quot;Sachin S&quot;,&quot;parse-names&quot;:false,&quot;dropping-particle&quot;:&quot;&quot;,&quot;non-dropping-particle&quot;:&quot;&quot;},{&quot;family&quot;:&quot;Gorde&quot;,&quot;given&quot;:&quot;Sonali S&quot;,&quot;parse-names&quot;:false,&quot;dropping-particle&quot;:&quot;&quot;,&quot;non-dropping-particle&quot;:&quot;&quot;},{&quot;family&quot;:&quot;Nadaf&quot;,&quot;given&quot;:&quot;Sameer J&quot;,&quot;parse-names&quot;:false,&quot;dropping-particle&quot;:&quot;&quot;,&quot;non-dropping-particle&quot;:&quot;&quot;},{&quot;family&quot;:&quot;Pishawikar&quot;,&quot;given&quot;:&quot;Sachin A&quot;,&quot;parse-names&quot;:false,&quot;dropping-particle&quot;:&quot;&quot;,&quot;non-dropping-particle&quot;:&quot;&quot;}],&quot;container-title&quot;:&quot;American Journal of PharmTech Research&quot;,&quot;ISSN&quot;:&quot;2249-3387&quot;,&quot;URL&quot;:&quot;http://www.ajptr.com/&quot;,&quot;issued&quot;:{&quot;date-parts&quot;:[[2014]]},&quot;abstract&quot;:&quot;High-Throughput Screening (HTS) is an approach to drug discovery that has gained widespread popularity over the last two decades and has become a standard method for drug discovery in the pharmaceutical industry. Progress from traditional one-compound-at-a time approach, low throughput screening to high throughput screening involving fully automated robotic systems, enables testing of large numbers of compounds daily for different activities in miscellaneous areas of biology. HTS reveals screening of more than 100,000 samples per day. Compared to traditional drug screening methods, HTS is characterized by its simplicity, rapidness, low cost, and high efficiency. Identification of good hits using HTS can minimize the time span of drug discovery noticeably. However, synthetic chemistry for lead optimization and the low throughput of secondary assays for defining the crucial pharmacological properties of active compounds, limits the overall rate of identification of candidate molecules for clinical evaluation. Coupling of compound library with wide chemical diversity along with HTS shows massive drug discovery potential, but to be successful screening technique it depends on several factors. These include the number and quality of validated targets, the number and diversity of compounds in the collections, and the ability to screen these in a timely and cost effective manner using robust informative assays. In this review we have discussed the types of HTS assays, assay miniaturization automation and different detection techniques like fluorescence resonance energy transfer (FRET), fluorescence polarization (FP), homogeneous time resolved fluorescence (HTRF) etc.&quot;,&quot;issue&quot;:&quot;1&quot;,&quot;volume&quot;:&quot;4&quot;,&quot;container-title-short&quot;:&quot;&quot;},&quot;isTemporary&quot;:false},{&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ac3eae11-4796-4d68-b7c4-ccd4f3718afa&quot;,&quot;properties&quot;:{&quot;noteIndex&quot;:0},&quot;isEdited&quot;:false,&quot;manualOverride&quot;:{&quot;isManuallyOverridden&quot;:false,&quot;citeprocText&quot;:&quot;(11)&quot;,&quot;manualOverrideText&quot;:&quot;&quot;},&quot;citationTag&quot;:&quot;MENDELEY_CITATION_v3_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&quot;,&quot;citationItems&quot;:[{&quot;id&quot;:&quot;2126c5dd-7b4b-30ef-a064-43e7df05ed22&quot;,&quot;itemData&quot;:{&quot;type&quot;:&quot;article-journal&quot;,&quot;id&quot;:&quot;2126c5dd-7b4b-30ef-a064-43e7df05ed22&quot;,&quot;title&quot;:&quot;Designing greener active pharmaceutical ingredients: Insights from pharmaceutical industry into drug discovery and development&quot;,&quot;author&quot;:[{&quot;family&quot;:&quot;Puhlmann&quot;,&quot;given&quot;:&quot;Neele&quot;,&quot;parse-names&quot;:false,&quot;dropping-particle&quot;:&quot;&quot;,&quot;non-dropping-particle&quot;:&quot;&quot;},{&quot;family&quot;:&quot;Vidaurre&quot;,&quot;given&quot;:&quot;Rodrigo&quot;,&quot;parse-names&quot;:false,&quot;dropping-particle&quot;:&quot;&quot;,&quot;non-dropping-particle&quot;:&quot;&quot;},{&quot;family&quot;:&quot;Kümmerer&quot;,&quot;given&quot;:&quot;Klaus&quot;,&quot;parse-names&quot;:false,&quot;dropping-particle&quot;:&quot;&quot;,&quot;non-dropping-particle&quot;:&quot;&quot;}],&quot;container-title&quot;:&quot;European Journal of Pharmaceutical Sciences&quot;,&quot;DOI&quot;:&quot;10.1016/j.ejps.2023.106614&quot;,&quot;ISSN&quot;:&quot;18790720&quot;,&quot;PMID&quot;:&quot;37858896&quot;,&quot;issued&quot;:{&quot;date-parts&quot;:[[2024,1,1]]},&quot;abstract&quot;:&quot;Active pharmaceutical ingredients (APIs), their metabolites and transformation products (TPs) are found as pollutants in the environment. They can impact human and environmental health. To address this issue, an efficient, long-term prevention strategy could be the design of APIs that have less impact on the natural environment, i.e. the design of greener APIs, by the implementation of environmental parameters into the drug discovery and development process (also abbreviated R&amp;D for ‘research and development’). Our study aimed to evaluate the feasibility of the design of greener APIs based on insights from drug design experts working in large, research-based pharmaceutical companies. The feasibility evaluation also identified needs and incentives for process modification. For this purpose, 30 R&amp;D and environmental experts from seven globally active pharmaceutical companies were interviewed along a structured questionnaire. Main findings are that the interviewed experts saw manifold opportunities to include properties rendering APIs greener in different stages along the R&amp;D process. This implementation would be favoured by the fact that the pharmaceutical R&amp;D process is very flexible and relies on balancing multiple parameters. Furthermore, some API properties that reduce environmental risks were considered compatible with common desirable properties for application. Environmental properties should be considered early during R&amp;D, i.e. when molecules are screened and optimized. It has been found that availability of suitable in silico models and in vitro assays is crucial for this environmental consideration. Their attributes, e.g. throughput and costs, determine at which process stage they can be successfully applied. An intensified exchange between R&amp;D and environmental experts within and outside companies would push the industrial application of the benign by design approach for APIs forward. Collaboration across pharmaceutical companies, authorities, and academia is seen as highly promising in this respect. Financial, social, and regulatory incentives would support future design of greener APIs.&quot;,&quot;publisher&quot;:&quot;Elsevier B.V.&quot;,&quot;volume&quot;:&quot;192&quot;,&quot;container-title-short&quot;:&quot;&quot;},&quot;isTemporary&quot;:false}]},{&quot;citationID&quot;:&quot;MENDELEY_CITATION_0360d535-4bd6-46a2-a55f-a27a29644b8a&quot;,&quot;properties&quot;:{&quot;noteIndex&quot;:0},&quot;isEdited&quot;:false,&quot;manualOverride&quot;:{&quot;isManuallyOverridden&quot;:false,&quot;citeprocText&quot;:&quot;(12)&quot;,&quot;manualOverrideText&quot;:&quot;&quot;},&quot;citationTag&quot;:&quot;MENDELEY_CITATION_v3_eyJjaXRhdGlvbklEIjoiTUVOREVMRVlfQ0lUQVRJT05fMDM2MGQ1MzUtNGJkNi00NmEyLWE1NWYtYTI3YTI5NjQ0YjhhIiwicHJvcGVydGllcyI6eyJub3RlSW5kZXgiOjB9LCJpc0VkaXRlZCI6ZmFsc2UsIm1hbnVhbE92ZXJyaWRlIjp7ImlzTWFudWFsbHlPdmVycmlkZGVuIjpmYWxzZSwiY2l0ZXByb2NUZXh0IjoiKDEyKSIsIm1hbnVhbE92ZXJyaWRlVGV4dCI6IiJ9LCJjaXRhdGlvbkl0ZW1zIjpbeyJpZCI6IjNlMDVmMWEwLWYyMGYtMzhhZi05ZDY5LTExMDdhMGUyMWYyNiIsIml0ZW1EYXRhIjp7InR5cGUiOiJhcnRpY2xlLWpvdXJuYWwiLCJpZCI6IjNlMDVmMWEwLWYyMGYtMzhhZi05ZDY5LTExMDdhMGUyMWYyNi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quot;,&quot;citationItems&quot;:[{&quot;id&quot;:&quot;3e05f1a0-f20f-38af-9d69-1107a0e21f26&quot;,&quot;itemData&quot;:{&quot;type&quot;:&quot;article-journal&quot;,&quot;id&quot;:&quot;3e05f1a0-f20f-38af-9d69-1107a0e21f26&quot;,&quot;title&quot;:&quot;Unveiling promising bioactives for breast cancer: a novel approach for herbal-based drug discovery&quot;,&quot;author&quot;:[{&quot;family&quot;:&quot;Arvindekar&quot;,&quot;given&quot;:&quot;Aditya&quot;,&quot;parse-names&quot;:false,&quot;dropping-particle&quot;:&quot;&quot;,&quot;non-dropping-particle&quot;:&quot;&quot;},{&quot;family&quot;:&quot;Arvindekar&quot;,&quot;given&quot;:&quot;Snehal&quot;,&quot;parse-names&quot;:false,&quot;dropping-particle&quot;:&quot;&quot;,&quot;non-dropping-particle&quot;:&quot;&quot;},{&quot;family&quot;:&quot;Mali&quot;,&quot;given&quot;:&quot;Suraj N.&quot;,&quot;parse-names&quot;:false,&quot;dropping-particle&quot;:&quot;&quot;,&quot;non-dropping-particle&quot;:&quot;&quot;},{&quot;family&quot;:&quot;Mali&quot;,&quot;given&quot;:&quot;Sachin&quot;,&quot;parse-names&quot;:false,&quot;dropping-particle&quot;:&quot;&quot;,&quot;non-dropping-particle&quot;:&quot;&quot;}],&quot;container-title&quot;:&quot;Phytochemistry Reviews&quot;,&quot;DOI&quot;:&quot;10.1007/s11101-024-10024-2&quot;,&quot;ISSN&quot;:&quot;1572980X&quot;,&quot;issued&quot;:{&quot;date-parts&quot;:[[2024]]},&quot;abstract&quot;:&quot;Breast cancer (BC) is a complex disease that manifests with a malignancy of the mammary gland. Globally, the year 2020 witnessed 2.3 million diagnosis cases and 685,000 deaths due to breast cancer. Therefore, there is a dire need for the development of new anticancer drugs for BC. Traditional herbal medicine offers a rich source in the prospect of new drug discovery. In this pursuit, this review covers the discovery of compounds against breast cancer with the possible mechanisms of action, which can assist the development of novel phytomedicines in the drug discovery process. Specifically, the bioactives against breast cancer developed from 1999 to 2023 were categorized based on their chemical class based on a systematic search on PubMed and Embase. Over 70 + natural products belonging to different chemical classes and their mechanisms of action for anticancer activity with commonly used drugs in clinical practice are summarized for a simple understanding of the experimental data. The review draws attention to the vital need to isolate novel bioactive constituents and to develop new drugs based on these isolated bioactives using novel drug delivery systems, so as to increase the target specificity and thereby reduce the adverse effects.Finally, we highlighted the natural bioactives undergoing preclinical and clinical trials to determine their potential for use in the treatment of BC, which could pave the way towards new target-specific drugs against breast cancer.&quot;,&quot;publisher&quot;:&quot;Springer Science and Business Media B.V.&quot;,&quot;container-title-short&quot;:&quot;&quot;},&quot;isTemporary&quot;:false}]},{&quot;citationID&quot;:&quot;MENDELEY_CITATION_1f8be117-0d89-4d17-805e-29208b59f1bf&quot;,&quot;properties&quot;:{&quot;noteIndex&quot;:0},&quot;isEdited&quot;:false,&quot;manualOverride&quot;:{&quot;isManuallyOverridden&quot;:false,&quot;citeprocText&quot;:&quot;(13)&quot;,&quot;manualOverrideText&quot;:&quot;&quot;},&quot;citationTag&quot;:&quot;MENDELEY_CITATION_v3_eyJjaXRhdGlvbklEIjoiTUVOREVMRVlfQ0lUQVRJT05fMWY4YmUxMTctMGQ4OS00ZDE3LTgwNWUtMjkyMDhiNTlmMWJmIiwicHJvcGVydGllcyI6eyJub3RlSW5kZXgiOjB9LCJpc0VkaXRlZCI6ZmFsc2UsIm1hbnVhbE92ZXJyaWRlIjp7ImlzTWFudWFsbHlPdmVycmlkZGVuIjpmYWxzZSwiY2l0ZXByb2NUZXh0IjoiKDEzKSIsIm1hbnVhbE92ZXJyaWRlVGV4dCI6IiJ9LCJjaXRhdGlvbkl0ZW1zIjpbeyJpZCI6ImE2YWRiYjM1LWExYjUtM2YwZi1iOTY3LTdkNDMzNWIwZGZhMCIsIml0ZW1EYXRhIjp7InR5cGUiOiJhcnRpY2xlLWpvdXJuYWwiLCJpZCI6ImE2YWRiYjM1LWExYjUtM2YwZi1iOTY3LTdkNDMzNWIwZGZhMC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quot;,&quot;citationItems&quot;:[{&quot;id&quot;:&quot;a6adbb35-a1b5-3f0f-b967-7d4335b0dfa0&quot;,&quot;itemData&quot;:{&quot;type&quot;:&quot;article-journal&quot;,&quot;id&quot;:&quot;a6adbb35-a1b5-3f0f-b967-7d4335b0dfa0&quot;,&quot;title&quot;:&quot;Unveiling promising bioactives for breast cancer: a novel approach for herbal-based drug discovery&quot;,&quot;author&quot;:[{&quot;family&quot;:&quot;Arvindekar&quot;,&quot;given&quot;:&quot;Aditya&quot;,&quot;parse-names&quot;:false,&quot;dropping-particle&quot;:&quot;&quot;,&quot;non-dropping-particle&quot;:&quot;&quot;},{&quot;family&quot;:&quot;Arvindekar&quot;,&quot;given&quot;:&quot;Snehal&quot;,&quot;parse-names&quot;:false,&quot;dropping-particle&quot;:&quot;&quot;,&quot;non-dropping-particle&quot;:&quot;&quot;},{&quot;family&quot;:&quot;Mali&quot;,&quot;given&quot;:&quot;Suraj N.&quot;,&quot;parse-names&quot;:false,&quot;dropping-particle&quot;:&quot;&quot;,&quot;non-dropping-particle&quot;:&quot;&quot;},{&quot;family&quot;:&quot;Mali&quot;,&quot;given&quot;:&quot;Sachin&quot;,&quot;parse-names&quot;:false,&quot;dropping-particle&quot;:&quot;&quot;,&quot;non-dropping-particle&quot;:&quot;&quot;}],&quot;container-title&quot;:&quot;Phytochemistry Reviews&quot;,&quot;DOI&quot;:&quot;10.1007/s11101-024-10024-2&quot;,&quot;ISSN&quot;:&quot;1572980X&quot;,&quot;issued&quot;:{&quot;date-parts&quot;:[[2024]]},&quot;abstract&quot;:&quot;Breast cancer (BC) is a complex disease that manifests with a malignancy of the mammary gland. Globally, the year 2020 witnessed 2.3 million diagnosis cases and 685,000 deaths due to breast cancer. Therefore, there is a dire need for the development of new anticancer drugs for BC. Traditional herbal medicine offers a rich source in the prospect of new drug discovery. In this pursuit, this review covers the discovery of compounds against breast cancer with the possible mechanisms of action, which can assist the development of novel phytomedicines in the drug discovery process. Specifically, the bioactives against breast cancer developed from 1999 to 2023 were categorized based on their chemical class based on a systematic search on PubMed and Embase. Over 70 + natural products belonging to different chemical classes and their mechanisms of action for anticancer activity with commonly used drugs in clinical practice are summarized for a simple understanding of the experimental data. The review draws attention to the vital need to isolate novel bioactive constituents and to develop new drugs based on these isolated bioactives using novel drug delivery systems, so as to increase the target specificity and thereby reduce the adverse effects.Finally, we highlighted the natural bioactives undergoing preclinical and clinical trials to determine their potential for use in the treatment of BC, which could pave the way towards new target-specific drugs against breast cancer.&quot;,&quot;publisher&quot;:&quot;Springer Science and Business Media B.V.&quot;,&quot;container-title-short&quot;:&quot;&quot;},&quot;isTemporary&quot;:false}]},{&quot;citationID&quot;:&quot;MENDELEY_CITATION_67724422-a12e-495a-ba84-851ac7c51262&quot;,&quot;properties&quot;:{&quot;noteIndex&quot;:0},&quot;isEdited&quot;:false,&quot;manualOverride&quot;:{&quot;isManuallyOverridden&quot;:false,&quot;citeprocText&quot;:&quot;(14)&quot;,&quot;manualOverrideText&quot;:&quot;&quot;},&quot;citationTag&quot;:&quot;MENDELEY_CITATION_v3_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&quot;,&quot;citationItems&quot;:[{&quot;id&quot;:&quot;c8e46d0e-ef1e-38d0-93ff-0313ae21f261&quot;,&quot;itemData&quot;:{&quot;type&quot;:&quot;article-journal&quot;,&quot;id&quot;:&quot;c8e46d0e-ef1e-38d0-93ff-0313ae21f261&quot;,&quot;title&quot;:&quot;Structure-based drug discovery of novel fused-pyrazolone carboxamide derivatives as potent and selective AXL inhibitors&quot;,&quot;author&quot;:[{&quot;family&quot;:&quot;Fang&quot;,&quot;given&quot;:&quot;Feifei&quot;,&quot;parse-names&quot;:false,&quot;dropping-particle&quot;:&quot;&quot;,&quot;non-dropping-particle&quot;:&quot;&quot;},{&quot;family&quot;:&quot;Dai&quot;,&quot;given&quot;:&quot;Yang&quot;,&quot;parse-names&quot;:false,&quot;dropping-particle&quot;:&quot;&quot;,&quot;non-dropping-particle&quot;:&quot;&quot;},{&quot;family&quot;:&quot;Wang&quot;,&quot;given&quot;:&quot;Hao&quot;,&quot;parse-names&quot;:false,&quot;dropping-particle&quot;:&quot;&quot;,&quot;non-dropping-particle&quot;:&quot;&quot;},{&quot;family&quot;:&quot;Ji&quot;,&quot;given&quot;:&quot;Yinchun&quot;,&quot;parse-names&quot;:false,&quot;dropping-particle&quot;:&quot;&quot;,&quot;non-dropping-particle&quot;:&quot;&quot;},{&quot;family&quot;:&quot;Liang&quot;,&quot;given&quot;:&quot;Xuewu&quot;,&quot;parse-names&quot;:false,&quot;dropping-particle&quot;:&quot;&quot;,&quot;non-dropping-particle&quot;:&quot;&quot;},{&quot;family&quot;:&quot;Peng&quot;,&quot;given&quot;:&quot;Xia&quot;,&quot;parse-names&quot;:false,&quot;dropping-particle&quot;:&quot;&quot;,&quot;non-dropping-particle&quot;:&quot;&quot;},{&quot;family&quot;:&quot;Li&quot;,&quot;given&quot;:&quot;Jiyuan&quot;,&quot;parse-names&quot;:false,&quot;dropping-particle&quot;:&quot;&quot;,&quot;non-dropping-particle&quot;:&quot;&quot;},{&quot;family&quot;:&quot;Zhao&quot;,&quot;given&quot;:&quot;Yangrong&quot;,&quot;parse-names&quot;:false,&quot;dropping-particle&quot;:&quot;&quot;,&quot;non-dropping-particle&quot;:&quot;&quot;},{&quot;family&quot;:&quot;Li&quot;,&quot;given&quot;:&quot;Chunpu&quot;,&quot;parse-names&quot;:false,&quot;dropping-particle&quot;:&quot;&quot;,&quot;non-dropping-particle&quot;:&quot;&quot;},{&quot;family&quot;:&quot;Wang&quot;,&quot;given&quot;:&quot;Danyi&quot;,&quot;parse-names&quot;:false,&quot;dropping-particle&quot;:&quot;&quot;,&quot;non-dropping-particle&quot;:&quot;&quot;},{&quot;family&quot;:&quot;Li&quot;,&quot;given&quot;:&quot;Yazhou&quot;,&quot;parse-names&quot;:false,&quot;dropping-particle&quot;:&quot;&quot;,&quot;non-dropping-particle&quot;:&quot;&quot;},{&quot;family&quot;:&quot;Zhang&quot;,&quot;given&quot;:&quot;Dong&quot;,&quot;parse-names&quot;:false,&quot;dropping-particle&quot;:&quot;&quot;,&quot;non-dropping-particle&quot;:&quot;&quot;},{&quot;family&quot;:&quot;Zhang&quot;,&quot;given&quot;:&quot;Dan&quot;,&quot;parse-names&quot;:false,&quot;dropping-particle&quot;:&quot;&quot;,&quot;non-dropping-particle&quot;:&quot;&quot;},{&quot;family&quot;:&quot;Geng&quot;,&quot;given&quot;:&quot;Meiyu&quot;,&quot;parse-names&quot;:false,&quot;dropping-particle&quot;:&quot;&quot;,&quot;non-dropping-particle&quot;:&quot;&quot;},{&quot;family&quot;:&quot;Liu&quot;,&quot;given&quot;:&quot;Hong&quot;,&quot;parse-names&quot;:false,&quot;dropping-particle&quot;:&quot;&quot;,&quot;non-dropping-particle&quot;:&quot;&quot;},{&quot;family&quot;:&quot;Ai&quot;,&quot;given&quot;:&quot;Jing&quot;,&quot;parse-names&quot;:false,&quot;dropping-particle&quot;:&quot;&quot;,&quot;non-dropping-particle&quot;:&quot;&quot;},{&quot;family&quot;:&quot;Zhou&quot;,&quot;given&quot;:&quot;Yu&quot;,&quot;parse-names&quot;:false,&quot;dropping-particle&quot;:&quot;&quot;,&quot;non-dropping-particle&quot;:&quot;&quot;}],&quot;container-title&quot;:&quot;Acta Pharmaceutica Sinica B&quot;,&quot;container-title-short&quot;:&quot;Acta Pharm Sin B&quot;,&quot;DOI&quot;:&quot;10.1016/j.apsb.2023.10.002&quot;,&quot;ISSN&quot;:&quot;22113843&quot;,&quot;issued&quot;:{&quot;date-parts&quot;:[[2023,12,1]]},&quot;page&quot;:&quot;4918-4933&quot;,&quot;abstract&quot;:&quot;As a novel and promising antitumor target, AXL plays an important role in tumor growth, metastasis, immunosuppression and drug resistance of various malignancies, which has attracted extensive research interest in recent years. In this study, by employing the structure-based drug design and bioisosterism strategies, we designed and synthesized in total 54 novel AXL inhibitors featuring a fused-pyrazolone carboxamide scaffold, of which up to 20 compounds exhibited excellent AXL kinase and BaF3/TEL-AXL cell viability inhibitions. Notably, compound 59 showed a desirable AXL kinase inhibitory activity (IC50: 3.5 nmol/L) as well as good kinase selectivity, and it effectively blocked the cellular AXL signaling. In turn, compound 59 could potently inhibit BaF3/TEL-AXL cell viability (IC50: 1.5 nmol/L) and significantly suppress GAS6/AXL-mediated cancer cell invasion, migration and wound healing at the nanomolar level. More importantly, compound 59 oral administration showed good pharmacokinetic profile and in vivo antitumor efficiency, in which we observed significant AXL phosphorylation suppression, and its antitumor efficacy at 20 mg/kg (qd) was comparable to that of BGB324 at 50 mg/kg (bid), the most advanced AXL inhibitor. Taken together, this work provided a valuable lead compound as a potential AXL inhibitor for the further antitumor drug development.&quot;,&quot;publisher&quot;:&quot;Chinese Academy of Medical Sciences&quot;,&quot;issue&quot;:&quot;12&quot;,&quot;volume&quot;:&quot;13&quot;},&quot;isTemporary&quot;:false}]},{&quot;citationID&quot;:&quot;MENDELEY_CITATION_3cefc862-a1f5-43d2-82fb-423c8fd49758&quot;,&quot;properties&quot;:{&quot;noteIndex&quot;:0},&quot;isEdited&quot;:false,&quot;manualOverride&quot;:{&quot;isManuallyOverridden&quot;:false,&quot;citeprocText&quot;:&quot;(15)&quot;,&quot;manualOverrideText&quot;:&quot;&quot;},&quot;citationTag&quot;:&quot;MENDELEY_CITATION_v3_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&quot;,&quot;citationItems&quot;:[{&quot;id&quot;:&quot;5b43370a-e4b0-3e13-9420-844c25ca7097&quot;,&quot;itemData&quot;:{&quot;type&quot;:&quot;article-journal&quot;,&quot;id&quot;:&quot;5b43370a-e4b0-3e13-9420-844c25ca7097&quot;,&quot;title&quot;:&quot;Fragment-based drug discovery and biological evaluation of novel cannabinol-based inhibitors of oxytosis/ferroptosis for neurological disorders&quot;,&quot;author&quot;:[{&quot;family&quot;:&quot;Liang&quot;,&quot;given&quot;:&quot;Zhibin&quot;,&quot;parse-names&quot;:false,&quot;dropping-particle&quot;:&quot;&quot;,&quot;non-dropping-particle&quot;:&quot;&quot;},{&quot;family&quot;:&quot;Candib&quot;,&quot;given&quot;:&quot;Alec&quot;,&quot;parse-names&quot;:false,&quot;dropping-particle&quot;:&quot;&quot;,&quot;non-dropping-particle&quot;:&quot;&quot;},{&quot;family&quot;:&quot;Soriano-Castell&quot;,&quot;given&quot;:&quot;David&quot;,&quot;parse-names&quot;:false,&quot;dropping-particle&quot;:&quot;&quot;,&quot;non-dropping-particle&quot;:&quot;&quot;},{&quot;family&quot;:&quot;Fischer&quot;,&quot;given&quot;:&quot;Wolfgang&quot;,&quot;parse-names&quot;:false,&quot;dropping-particle&quot;:&quot;&quot;,&quot;non-dropping-particle&quot;:&quot;&quot;},{&quot;family&quot;:&quot;Finley&quot;,&quot;given&quot;:&quot;Kim&quot;,&quot;parse-names&quot;:false,&quot;dropping-particle&quot;:&quot;&quot;,&quot;non-dropping-particle&quot;:&quot;&quot;},{&quot;family&quot;:&quot;Maher&quot;,&quot;given&quot;:&quot;Pamela&quot;,&quot;parse-names&quot;:false,&quot;dropping-particle&quot;:&quot;&quot;,&quot;non-dropping-particle&quot;:&quot;&quot;}],&quot;container-title&quot;:&quot;Redox Biology&quot;,&quot;container-title-short&quot;:&quot;Redox Biol&quot;,&quot;DOI&quot;:&quot;10.1016/j.redox.2024.103138&quot;,&quot;ISSN&quot;:&quot;22132317&quot;,&quot;URL&quot;:&quot;https://linkinghub.elsevier.com/retrieve/pii/S2213231724001149&quot;,&quot;issued&quot;:{&quot;date-parts&quot;:[[2024,3]]},&quot;page&quot;:&quot;103138&quot;},&quot;isTemporary&quot;:false}]},{&quot;citationID&quot;:&quot;MENDELEY_CITATION_0681ee74-eaa7-452d-b2d1-da5deaca1046&quot;,&quot;properties&quot;:{&quot;noteIndex&quot;:0},&quot;isEdited&quot;:false,&quot;manualOverride&quot;:{&quot;isManuallyOverridden&quot;:false,&quot;citeprocText&quot;:&quot;(16)&quot;,&quot;manualOverrideText&quot;:&quot;&quot;},&quot;citationTag&quot;:&quot;MENDELEY_CITATION_v3_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&quot;,&quot;citationItems&quot;:[{&quot;id&quot;:&quot;c7dea525-7dbd-3f06-af00-4e782989b53d&quot;,&quot;itemData&quot;:{&quot;type&quot;:&quot;article-journal&quot;,&quot;id&quot;:&quot;c7dea525-7dbd-3f06-af00-4e782989b53d&quot;,&quot;title&quot;:&quot;Benzimidazole: A versatile scaffold for drug discovery and beyond – A comprehensive review of synthetic approaches and recent advancements in medicinal chemistry&quot;,&quot;author&quot;:[{&quot;family&quot;:&quot;Mahurkar&quot;,&quot;given&quot;:&quot;Neha D.&quot;,&quot;parse-names&quot;:false,&quot;dropping-particle&quot;:&quot;&quot;,&quot;non-dropping-particle&quot;:&quot;&quot;},{&quot;family&quot;:&quot;Gawhale&quot;,&quot;given&quot;:&quot;Nandkishor D.&quot;,&quot;parse-names&quot;:false,&quot;dropping-particle&quot;:&quot;&quot;,&quot;non-dropping-particle&quot;:&quot;&quot;},{&quot;family&quot;:&quot;Lokhande&quot;,&quot;given&quot;:&quot;Mahendra N.&quot;,&quot;parse-names&quot;:false,&quot;dropping-particle&quot;:&quot;&quot;,&quot;non-dropping-particle&quot;:&quot;&quot;},{&quot;family&quot;:&quot;Uke&quot;,&quot;given&quot;:&quot;Santosh J.&quot;,&quot;parse-names&quot;:false,&quot;dropping-particle&quot;:&quot;&quot;,&quot;non-dropping-particle&quot;:&quot;&quot;},{&quot;family&quot;:&quot;Kodape&quot;,&quot;given&quot;:&quot;Manisha M.&quot;,&quot;parse-names&quot;:false,&quot;dropping-particle&quot;:&quot;&quot;,&quot;non-dropping-particle&quot;:&quot;&quot;}],&quot;container-title&quot;:&quot;Results in Chemistry&quot;,&quot;container-title-short&quot;:&quot;Results Chem&quot;,&quot;DOI&quot;:&quot;10.1016/j.rechem.2023.101139&quot;,&quot;ISSN&quot;:&quot;22117156&quot;,&quot;issued&quot;:{&quot;date-parts&quot;:[[2023,12,1]]},&quot;abstract&quot;:&quot;Heterocyclic compounds are foundational in drug discovery, constituting the core structure of approximately 80% of pharmaceuticals. Benzimidazole, in particular, emerges as a critical aromatic heterocyclic system present in natural compounds, playing an indispensable role in medicinal chemistry. Beyond its pharmaceutical importance, benzimidazole demonstrates its versatility across diverse domains, including materials science and a wide spectrum of pharmacological applications, encompassing antiviral, antifungal, antioxidant, and anticancer properties. The prominence of benzimidazole in both biological activities and industrial applications underscores its pivotal role as a versatile heterocyclic scaffold. Its outstanding attributes, such as enhanced bioavailability, stability, and biological activity, have drawn significant attention from both researchers and industries. This comprehensive review delves into various synthetic approaches to benzimidazole synthesis, with a focus on practical and eco-friendly pathways utilizing various catalysts, including biocatalysts, nanocatalysts, and photocatalysts. Additionally, this review sheds light on the recent advancements of benzimidazole across multiple sectors, spanning pharmaceuticals, materials science, agriculture, and coordination chemistry. Finally, this work summarized the major challenges and presents potential directions for future research endeavors in benzimidazole applications within pharmaceuticals, agriculture, and industrial sectors.&quot;,&quot;publisher&quot;:&quot;Elsevier B.V.&quot;,&quot;volume&quot;:&quot;6&quot;},&quot;isTemporary&quot;:false}]},{&quot;citationID&quot;:&quot;MENDELEY_CITATION_51765d0e-c234-45f7-b414-4a287bca3c1a&quot;,&quot;properties&quot;:{&quot;noteIndex&quot;:0},&quot;isEdited&quot;:false,&quot;manualOverride&quot;:{&quot;isManuallyOverridden&quot;:false,&quot;citeprocText&quot;:&quot;(17,18)&quot;,&quot;manualOverrideText&quot;:&quot;&quot;},&quot;citationTag&quot;:&quot;MENDELEY_CITATION_v3_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&quot;,&quot;citationItems&quot;:[{&quot;id&quot;:&quot;23c8616c-4b57-3b23-b94b-6662a7cb9ef2&quot;,&quot;itemData&quot;:{&quot;type&quot;:&quot;article&quot;,&quot;id&quot;:&quot;23c8616c-4b57-3b23-b94b-6662a7cb9ef2&quot;,&quot;title&quot;:&quot;Increasing the efficacy of abiraterone - from pharmacokinetics, through therapeutic drug monitoring to overcoming food effects with innovative pharmaceutical products&quot;,&quot;author&quot;:[{&quot;family&quot;:&quot;Danielak&quot;,&quot;given&quot;:&quot;Dorota&quot;,&quot;parse-names&quot;:false,&quot;dropping-particle&quot;:&quot;&quot;,&quot;non-dropping-particle&quot;:&quot;&quot;},{&quot;family&quot;:&quot;Krejčí&quot;,&quot;given&quot;:&quot;Tereza&quot;,&quot;parse-names&quot;:false,&quot;dropping-particle&quot;:&quot;&quot;,&quot;non-dropping-particle&quot;:&quot;&quot;},{&quot;family&quot;:&quot;Beránek&quot;,&quot;given&quot;:&quot;Josef&quot;,&quot;parse-names&quot;:false,&quot;dropping-particle&quot;:&quot;&quot;,&quot;non-dropping-particle&quot;:&quot;&quot;}],&quot;container-title&quot;:&quot;European Journal of Pharmaceutical Sciences&quot;,&quot;DOI&quot;:&quot;10.1016/j.ejps.2022.106254&quot;,&quot;ISSN&quot;:&quot;18790720&quot;,&quot;PMID&quot;:&quot;35793751&quot;,&quot;issued&quot;:{&quot;date-parts&quot;:[[2022,9,1]]},&quot;abstract&quot;:&quot;Current guidelines suggest radiotherapy as a first-line treatment for prostate cancer, along with prostatectomy, and androgen deprivation therapy. Abiraterone is a first-in-class medicinal product recommended in the treatment of metastatic castration resistant prostate cancer (mCRPC) that targets androgen receptors and inhibits systemic synthesis. However, successful therapy with this drug may pose some challenges. It has to be administered as an inactive prodrug - abiraterone acetate. It is also dissolved and absorbed poorly with large interindividual variability and exhibits considerable food effects. Additionally, the recommended daily dose of the drug is high (1000 mg abiraterone acetate), and the cost of the therapy is burdensome. The following review focuses on the strategies to optimize therapy with abiraterone acetate. First, it summarizes current findings on abiraterone pharmacokinetics and accentuates the need for utilizing therapeutic monitoring in clinical practice. Next, it extensively describes the options for improving the low bioavailability of the drug. The two major approaches are the utilization of the positive food effect to increase the exposure and development of supergenerics. The review emphasizes how different formulation approaches lead to increased solubility and impact the outcomes of pre-clinical and clinical trials. The review concludes with a discussion on possible future directions that may lead to the increase of the therapeutic efficacy of abiraterone.&quot;,&quot;publisher&quot;:&quot;Elsevier B.V.&quot;,&quot;volume&quot;:&quot;176&quot;,&quot;container-title-short&quot;:&quot;&quot;},&quot;isTemporary&quot;:false},{&quot;id&quot;:&quot;c66f38f9-3fd3-35e6-be43-49c1370e086b&quot;,&quot;itemData&quot;:{&quot;type&quot;:&quot;article&quot;,&quot;id&quot;:&quot;c66f38f9-3fd3-35e6-be43-49c1370e086b&quot;,&quot;title&quot;:&quot;A systematic and comprehensive review of the properties and synthesis of anticancer heterocyclic natural products&quot;,&quot;author&quot;:[{&quot;family&quot;:&quot;Chauhan&quot;,&quot;given&quot;:&quot;Tirth&quot;,&quot;parse-names&quot;:false,&quot;dropping-particle&quot;:&quot;&quot;,&quot;non-dropping-particle&quot;:&quot;&quot;},{&quot;family&quot;:&quot;Shah&quot;,&quot;given&quot;:&quot;Manan&quot;,&quot;parse-names&quot;:false,&quot;dropping-particle&quot;:&quot;&quot;,&quot;non-dropping-particle&quot;:&quot;&quot;}],&quot;container-title&quot;:&quot;Current Pharmaceutical Analysis&quot;,&quot;container-title-short&quot;:&quot;Curr Pharm Anal&quot;,&quot;DOI&quot;:&quot;10.1016/j.cpan.2025.01.002&quot;,&quot;ISSN&quot;:&quot;1875676X&quot;,&quot;issued&quot;:{&quot;date-parts&quot;:[[2025,3,1]]},&quot;page&quot;:&quot;145-168&quot;,&quot;abstract&quot;:&quot;Heterocyclic natural products are abundant in variety and have useful bioactivities. Cancer, being one of the most widespread sets of potentially lethal diseases, has attracted a great deal of attention to discovering cures for its various forms and severities. This review aims to give a general idea of bioactivities and the recently reported syntheses of a few heterocycle classes: furan/benzofuran derivatives, quinoline/isoquinoline derivatives, and indole/carbazole derivatives. A unique feature of this article is that the cytotoxicity against some cell lines, the mechanism of action, and their synthesis in the past decade have been reviewed in this article, allowing a remarkably holistic assessment of the compounds in question. Scalability and other synthetic traits have also been discussed wherever possible. It was found that muricatetrocin B, jimenezin, pancrastatin, quinocarcin, and aleutianamine have significant potential as chemotherapeutic agents and the synthesis of parent and analog molecules is worth optimizing.&quot;,&quot;publisher&quot;:&quot;Elsevier B.V.&quot;,&quot;issue&quot;:&quot;3&quot;,&quot;volume&quot;:&quot;21&quot;},&quot;isTemporary&quot;:false}]},{&quot;citationID&quot;:&quot;MENDELEY_CITATION_f924e224-a2c9-42b8-bec2-d49908001ddf&quot;,&quot;properties&quot;:{&quot;noteIndex&quot;:0},&quot;isEdited&quot;:false,&quot;manualOverride&quot;:{&quot;isManuallyOverridden&quot;:false,&quot;citeprocText&quot;:&quot;(19,20)&quot;,&quot;manualOverrideText&quot;:&quot;&quot;},&quot;citationTag&quot;:&quot;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&quot;,&quot;citationItems&quot;:[{&quot;id&quot;:&quot;9efdd0d8-93b6-3704-915a-38cd1ee3ac05&quot;,&quot;itemData&quot;:{&quot;type&quot;:&quot;article&quot;,&quot;id&quot;:&quot;9efdd0d8-93b6-3704-915a-38cd1ee3ac05&quot;,&quot;title&quot;:&quot;Advances in pharmaceutical and biomedical applications of plant–based nano-biopolymers with special emphasis on vaginal drug delivery systems: A review&quot;,&quot;author&quot;:[{&quot;family&quot;:&quot;Noor-ul-Ain&quot;,&quot;given&quot;:&quot;Rafia&quot;,&quot;parse-names&quot;:false,&quot;dropping-particle&quot;:&quot;&quot;,&quot;non-dropping-particle&quot;:&quot;&quot;},{&quot;family&quot;:&quot;Ilyas&quot;,&quot;given&quot;:&quot;Noshin&quot;,&quot;parse-names&quot;:false,&quot;dropping-particle&quot;:&quot;&quot;,&quot;non-dropping-particle&quot;:&quot;&quot;},{&quot;family&quot;:&quot;Saeed&quot;,&quot;given&quot;:&quot;Maimona&quot;,&quot;parse-names&quot;:false,&quot;dropping-particle&quot;:&quot;&quot;,&quot;non-dropping-particle&quot;:&quot;&quot;},{&quot;family&quot;:&quot;Subramaniam&quot;,&quot;given&quot;:&quot;Geetha&quot;,&quot;parse-names&quot;:false,&quot;dropping-particle&quot;:&quot;&quot;,&quot;non-dropping-particle&quot;:&quot;&quot;},{&quot;family&quot;:&quot;Mastinu&quot;,&quot;given&quot;:&quot;Andrea&quot;,&quot;parse-names&quot;:false,&quot;dropping-particle&quot;:&quot;&quot;,&quot;non-dropping-particle&quot;:&quot;&quot;}],&quot;container-title&quot;:&quot;Industrial Crops and Products&quot;,&quot;container-title-short&quot;:&quot;Ind Crops Prod&quot;,&quot;DOI&quot;:&quot;10.1016/j.indcrop.2025.120592&quot;,&quot;ISSN&quot;:&quot;09266690&quot;,&quot;issued&quot;:{&quot;date-parts&quot;:[[2025,3,1]]},&quot;abstract&quot;:&quot;Recent advances in drug delivery have revolutionized the effectiveness of the administration of drugs which in turn has improved patient compliance. There has been a great deal of interest in the potential application of plant cellular wall polymeric medicinal delivery systems, notably in the biological and pharmaceutical sciences. Naturally occurring polymers such as cellulose, hemicellulose, and lignin have many advantages over synthetic polymers, including biocompatibility, and biodegradable properties. Nanotechnology which has led to the creation of nanobiopolymers, has a lot to offer in the treatment of diseases since it can deliver drugs to specific sites and treat a variety of ailments. This article will discuss the use of plant-based cell wall nano-polymers for drug delivery methods in pharmaceutical and biomedical applications, evaluating the efficacy of these polymers for vaginal drug administration which could be used to treat sexually-transmitted infections and gynaecological-related diseases. On the other hand, the vaginal mucosa faces obstacles such as fast clearance, enzymatic degradation, and limited permeability which could be overcome by using plant cell wall polymeric compounds, including chitosan, which have showed promise and improved the efficacy of vaginal medication delivery strategies. These polymers can cling to the mucosa of the vagina, extending the drug's bioavailability and improved absorption. Furthermore, these drugs have controlled-release features that aid in ongoing drug administration, which improves patient compliance and therapeutic outcomes for the betterment of human health. Polymeric compounds generated from plant cell walls can improve bioavailability, drug retention time, medicine solubility and stability, making them appropriate for a wide range of drug delivery applications. However fewer limitations are needed to be considered such as production cost, scalability, polymer stabilization etc. More advances in this field are needed to fully realize the enormous potential of plant-based cell wall polymers for polymer modification, repeated clinical trials, improving patient care and effective targeted delivery.&quot;,&quot;publisher&quot;:&quot;Elsevier B.V.&quot;,&quot;volume&quot;:&quot;225&quot;},&quot;isTemporary&quot;:false},{&quot;id&quot;:&quot;4e96ba0e-15aa-3dff-9ffe-59485cd03e9a&quot;,&quot;itemData&quot;:{&quot;type&quot;:&quot;article-journal&quot;,&quot;id&quot;:&quot;4e96ba0e-15aa-3dff-9ffe-59485cd03e9a&quot;,&quot;title&quot;:&quot;Screening the potential of pharmaceutical liquids on enhancing dissolution, intestinal permeation, and stability of Mitragyna speciosa bioactive for peroral delivery systems&quot;,&quot;author&quot;:[{&quot;family&quot;:&quot;Tabboon&quot;,&quot;given&quot;:&quot;Peera&quot;,&quot;parse-names&quot;:false,&quot;dropping-particle&quot;:&quot;&quot;,&quot;non-dropping-particle&quot;:&quot;&quot;},{&quot;family&quot;:&quot;Limpongsa&quot;,&quot;given&quot;:&quot;Ekapol&quot;,&quot;parse-names&quot;:false,&quot;dropping-particle&quot;:&quot;&quot;,&quot;non-dropping-particle&quot;:&quot;&quot;},{&quot;family&quot;:&quot;Tuntiyasawasdikul&quot;,&quot;given&quot;:&quot;Sarunya&quot;,&quot;parse-names&quot;:false,&quot;dropping-particle&quot;:&quot;&quot;,&quot;non-dropping-particle&quot;:&quot;&quot;},{&quot;family&quot;:&quot;Jarungsirawat&quot;,&quot;given&quot;:&quot;Rapee&quot;,&quot;parse-names&quot;:false,&quot;dropping-particle&quot;:&quot;&quot;,&quot;non-dropping-particle&quot;:&quot;&quot;},{&quot;family&quot;:&quot;Pongjanyakul&quot;,&quot;given&quot;:&quot;Thaned&quot;,&quot;parse-names&quot;:false,&quot;dropping-particle&quot;:&quot;&quot;,&quot;non-dropping-particle&quot;:&quot;&quot;},{&quot;family&quot;:&quot;Jaipakdee&quot;,&quot;given&quot;:&quot;Napaphak&quot;,&quot;parse-names&quot;:false,&quot;dropping-particle&quot;:&quot;&quot;,&quot;non-dropping-particle&quot;:&quot;&quot;}],&quot;container-title&quot;:&quot;Industrial Crops and Products&quot;,&quot;container-title-short&quot;:&quot;Ind Crops Prod&quot;,&quot;DOI&quot;:&quot;10.1016/j.indcrop.2025.120525&quot;,&quot;ISSN&quot;:&quot;09266690&quot;,&quot;issued&quot;:{&quot;date-parts&quot;:[[2025,3,1]]},&quot;abstract&quot;:&quot;Mitragyna speciosa (M. speciosa) is a highly promising botanical resource for phytopharmaceuticals with mitragynine (MG) being predominant. MG is a poorly water-soluble compound which restricts its capacity to be absorbed when taken orally. The present investigation aimed to screen for a suitable liquid component for peroral systems of M. speciosa. M. speciosa ethanolic extract (MSE) prepared by maceration containing 9.7 ± 0.1 %w/w MG was used. Different MSE liqui-mass which are the non-flowable admixture of MSE, liquid vehicle, and carrier were fabricated. The ability of various liquid vehicles to enhance the dissolution and intestinal permeation of MG was assessed. Solubility determination of MSE indicated that MG was sparingly soluble (12.2−15.6 mg/g) in ethanol and diethylene glycol monoethyl ether (DG) while slightly soluble (2.3−5.9 mg/g) in the other investigated solvent- and surfactant-type liquids. In vitro test revealed the limited dissolution of MG from MSE with a dissolution efficiency, DE120min, of 34.6 ± 0.4 %. The presence of a liquid vehicle had the potential to enhance the dissolution rate of MG by up to 4.8 folds and boosted DE120min by up to 2.2 folds. Ex vivo intestinal permeation study using isolated rat intestinal sacs demonstrated the improvement in apparent permeability coefficient of MG by 1.2−4.8 folds when the liquid vehicle was introduced. DG demonstrated the highest level of dissolution and intestinal permeation improvement for MG. Storage stability study suggested that MSE formulation is a drug product intended for storage in a refrigerator, i.e., 5 ± 3 °C. Choice of liquid vehicles exhibited no noticeable effect on MG degradation. These preliminary findings provide essential context in the pharmaceutical industry for the development of oral formulations and delivery strategies for MG or MSE.&quot;,&quot;publisher&quot;:&quot;Elsevier B.V.&quot;,&quot;volume&quot;:&quot;225&quot;},&quot;isTemporary&quot;:false}]},{&quot;citationID&quot;:&quot;MENDELEY_CITATION_7df84b9d-1d2c-4241-9126-cc81bad777df&quot;,&quot;properties&quot;:{&quot;noteIndex&quot;:0},&quot;isEdited&quot;:false,&quot;manualOverride&quot;:{&quot;isManuallyOverridden&quot;:false,&quot;citeprocText&quot;:&quot;(21)&quot;,&quot;manualOverrideText&quot;:&quot;&quot;},&quot;citationTag&quot;:&quot;MENDELEY_CITATION_v3_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&quot;,&quot;citationItems&quot;:[{&quot;id&quot;:&quot;83692d7b-0d7a-33fc-9d17-549e82451a95&quot;,&quot;itemData&quot;:{&quot;type&quot;:&quot;article-journal&quot;,&quot;id&quot;:&quot;83692d7b-0d7a-33fc-9d17-549e82451a95&quot;,&quot;title&quot;:&quot;Advances in pharmaceutical and biomedical applications of plant–based nano-biopolymers with special emphasis on vaginal drug delivery systems: A review&quot;,&quot;author&quot;:[{&quot;family&quot;:&quot;Noor-ul-Ain&quot;,&quot;given&quot;:&quot;Rafia&quot;,&quot;parse-names&quot;:false,&quot;dropping-particle&quot;:&quot;&quot;,&quot;non-dropping-particle&quot;:&quot;&quot;},{&quot;family&quot;:&quot;Ilyas&quot;,&quot;given&quot;:&quot;Noshin&quot;,&quot;parse-names&quot;:false,&quot;dropping-particle&quot;:&quot;&quot;,&quot;non-dropping-particle&quot;:&quot;&quot;},{&quot;family&quot;:&quot;Saeed&quot;,&quot;given&quot;:&quot;Maimona&quot;,&quot;parse-names&quot;:false,&quot;dropping-particle&quot;:&quot;&quot;,&quot;non-dropping-particle&quot;:&quot;&quot;},{&quot;family&quot;:&quot;Subramaniam&quot;,&quot;given&quot;:&quot;Geetha&quot;,&quot;parse-names&quot;:false,&quot;dropping-particle&quot;:&quot;&quot;,&quot;non-dropping-particle&quot;:&quot;&quot;},{&quot;family&quot;:&quot;Mastinu&quot;,&quot;given&quot;:&quot;Andrea&quot;,&quot;parse-names&quot;:false,&quot;dropping-particle&quot;:&quot;&quot;,&quot;non-dropping-particle&quot;:&quot;&quot;}],&quot;container-title&quot;:&quot;Industrial Crops and Products&quot;,&quot;container-title-short&quot;:&quot;Ind Crops Prod&quot;,&quot;DOI&quot;:&quot;https://doi.org/10.1016/j.indcrop.2025.120592&quot;,&quot;ISSN&quot;:&quot;0926-6690&quot;,&quot;URL&quot;:&quot;https://www.sciencedirect.com/science/article/pii/S0926669025001384&quot;,&quot;issued&quot;:{&quot;date-parts&quot;:[[2025]]},&quot;page&quot;:&quot;120592&quot;,&quot;abstract&quot;:&quot;Recent advances in drug delivery have revolutionized the effectiveness of the administration of drugs which in turn has improved patient compliance. There has been a great deal of interest in the potential application of plant cellular wall polymeric medicinal delivery systems, notably in the biological and pharmaceutical sciences. Naturally occurring polymers such as cellulose, hemicellulose, and lignin have many advantages over synthetic polymers, including biocompatibility, and biodegradable properties. Nanotechnology which has led to the creation of nanobiopolymers, has a lot to offer in the treatment of diseases since it can deliver drugs to specific sites and treat a variety of ailments. This article will discuss the use of plant-based cell wall nano-polymers for drug delivery methods in pharmaceutical and biomedical applications, evaluating the efficacy of these polymers for vaginal drug administration which could be used to treat sexually-transmitted infections and gynaecological-related diseases. On the other hand, the vaginal mucosa faces obstacles such as fast clearance, enzymatic degradation, and limited permeability which could be overcome by using plant cell wall polymeric compounds, including chitosan, which have showed promise and improved the efficacy of vaginal medication delivery strategies. These polymers can cling to the mucosa of the vagina, extending the drug's bioavailability and improved absorption. Furthermore, these drugs have controlled-release features that aid in ongoing drug administration, which improves patient compliance and therapeutic outcomes for the betterment of human health. Polymeric compounds generated from plant cell walls can improve bioavailability, drug retention time, medicine solubility and stability, making them appropriate for a wide range of drug delivery applications. However fewer limitations are needed to be considered such as production cost, scalability, polymer stabilization etc. More advances in this field are needed to fully realize the enormous potential of plant-based cell wall polymers for polymer modification, repeated clinical trials, improving patient care and effective targeted delivery.&quot;,&quot;volume&quot;:&quot;225&quot;},&quot;isTemporary&quot;:false}]},{&quot;citationID&quot;:&quot;MENDELEY_CITATION_7c61ae38-02a2-4ef0-a9d5-7c0e25089d36&quot;,&quot;properties&quot;:{&quot;noteIndex&quot;:0},&quot;isEdited&quot;:false,&quot;manualOverride&quot;:{&quot;isManuallyOverridden&quot;:false,&quot;citeprocText&quot;:&quot;(22–24)&quot;,&quot;manualOverrideText&quot;:&quot;&quot;},&quot;citationTag&quot;:&quot;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&quot;,&quot;citationItems&quot;:[{&quot;id&quot;:&quot;e781cf1d-6a40-334b-b704-f1ca27b6c065&quot;,&quot;itemData&quot;:{&quot;type&quot;:&quot;article-journal&quot;,&quot;id&quot;:&quot;e781cf1d-6a40-334b-b704-f1ca27b6c065&quot;,&quot;title&quot;:&quot;Drug repurposing for the treatment of COVID-19: Targeting nafamostat to the lungs by a liposomal delivery system&quot;,&quot;author&quot;:[{&quot;family&quot;:&quot;Reus&quot;,&quot;given&quot;:&quot;Philipp&quot;,&quot;parse-names&quot;:false,&quot;dropping-particle&quot;:&quot;&quot;,&quot;non-dropping-particle&quot;:&quot;&quot;},{&quot;family&quot;:&quot;Guthmann&quot;,&quot;given&quot;:&quot;Hadar&quot;,&quot;parse-names&quot;:false,&quot;dropping-particle&quot;:&quot;&quot;,&quot;non-dropping-particle&quot;:&quot;&quot;},{&quot;family&quot;:&quot;Uhlig&quot;,&quot;given&quot;:&quot;Nadja&quot;,&quot;parse-names&quot;:false,&quot;dropping-particle&quot;:&quot;&quot;,&quot;non-dropping-particle&quot;:&quot;&quot;},{&quot;family&quot;:&quot;Agbaria&quot;,&quot;given&quot;:&quot;Majd&quot;,&quot;parse-names&quot;:false,&quot;dropping-particle&quot;:&quot;&quot;,&quot;non-dropping-particle&quot;:&quot;&quot;},{&quot;family&quot;:&quot;Issmail&quot;,&quot;given&quot;:&quot;Leila&quot;,&quot;parse-names&quot;:false,&quot;dropping-particle&quot;:&quot;&quot;,&quot;non-dropping-particle&quot;:&quot;&quot;},{&quot;family&quot;:&quot;Eberlein&quot;,&quot;given&quot;:&quot;Valentina&quot;,&quot;parse-names&quot;:false,&quot;dropping-particle&quot;:&quot;&quot;,&quot;non-dropping-particle&quot;:&quot;&quot;},{&quot;family&quot;:&quot;Nordling-David&quot;,&quot;given&quot;:&quot;Mirjam M.&quot;,&quot;parse-names&quot;:false,&quot;dropping-particle&quot;:&quot;&quot;,&quot;non-dropping-particle&quot;:&quot;&quot;},{&quot;family&quot;:&quot;Jbara-Agbaria&quot;,&quot;given&quot;:&quot;Doaa&quot;,&quot;parse-names&quot;:false,&quot;dropping-particle&quot;:&quot;&quot;,&quot;non-dropping-particle&quot;:&quot;&quot;},{&quot;family&quot;:&quot;Ciesek&quot;,&quot;given&quot;:&quot;Sandra&quot;,&quot;parse-names&quot;:false,&quot;dropping-particle&quot;:&quot;&quot;,&quot;non-dropping-particle&quot;:&quot;&quot;},{&quot;family&quot;:&quot;Bojkova&quot;,&quot;given&quot;:&quot;Denisa&quot;,&quot;parse-names&quot;:false,&quot;dropping-particle&quot;:&quot;&quot;,&quot;non-dropping-particle&quot;:&quot;&quot;},{&quot;family&quot;:&quot;Cinatl&quot;,&quot;given&quot;:&quot;Jindrich&quot;,&quot;parse-names&quot;:false,&quot;dropping-particle&quot;:&quot;&quot;,&quot;non-dropping-particle&quot;:&quot;&quot;},{&quot;family&quot;:&quot;Burger-Kentischer&quot;,&quot;given&quot;:&quot;Anke&quot;,&quot;parse-names&quot;:false,&quot;dropping-particle&quot;:&quot;&quot;,&quot;non-dropping-particle&quot;:&quot;&quot;},{&quot;family&quot;:&quot;Rupp&quot;,&quot;given&quot;:&quot;Steffen&quot;,&quot;parse-names&quot;:false,&quot;dropping-particle&quot;:&quot;&quot;,&quot;non-dropping-particle&quot;:&quot;&quot;},{&quot;family&quot;:&quot;Zaliani&quot;,&quot;given&quot;:&quot;Andrea&quot;,&quot;parse-names&quot;:false,&quot;dropping-particle&quot;:&quot;&quot;,&quot;non-dropping-particle&quot;:&quot;&quot;},{&quot;family&quot;:&quot;Grunwald&quot;,&quot;given&quot;:&quot;Thomas&quot;,&quot;parse-names&quot;:false,&quot;dropping-particle&quot;:&quot;&quot;,&quot;non-dropping-particle&quot;:&quot;&quot;},{&quot;family&quot;:&quot;Gribbon&quot;,&quot;given&quot;:&quot;Philip&quot;,&quot;parse-names&quot;:false,&quot;dropping-particle&quot;:&quot;&quot;,&quot;non-dropping-particle&quot;:&quot;&quot;},{&quot;family&quot;:&quot;Kannt&quot;,&quot;given&quot;:&quot;Aimo&quot;,&quot;parse-names&quot;:false,&quot;dropping-particle&quot;:&quot;&quot;,&quot;non-dropping-particle&quot;:&quot;&quot;},{&quot;family&quot;:&quot;Golomb&quot;,&quot;given&quot;:&quot;Gershon&quot;,&quot;parse-names&quot;:false,&quot;dropping-particle&quot;:&quot;&quot;,&quot;non-dropping-particle&quot;:&quot;&quot;}],&quot;container-title&quot;:&quot;Journal of Controlled Release&quot;,&quot;DOI&quot;:&quot;10.1016/j.jconrel.2023.10.050&quot;,&quot;ISSN&quot;:&quot;01683659&quot;,&quot;PMID&quot;:&quot;37939853&quot;,&quot;issued&quot;:{&quot;date-parts&quot;:[[2023,12]]},&quot;page&quot;:&quot;654-671&quot;,&quot;publisher&quot;:&quot;Elsevier BV&quot;,&quot;volume&quot;:&quot;364&quot;,&quot;container-title-short&quot;:&quot;&quot;},&quot;isTemporary&quot;:false},{&quot;id&quot;:&quot;abac3b43-158f-3584-8803-6fdcbdd39106&quot;,&quot;itemData&quot;:{&quot;type&quot;:&quot;article&quot;,&quot;id&quot;:&quot;abac3b43-158f-3584-8803-6fdcbdd39106&quot;,&quot;title&quot;:&quot;The intestinal microbiota and improving the efficacy of COVID-19 vaccinations&quot;,&quot;author&quot;:[{&quot;family&quot;:&quot;Chen&quot;,&quot;given&quot;:&quot;Jiezhong&quot;,&quot;parse-names&quot;:false,&quot;dropping-particle&quot;:&quot;&quot;,&quot;non-dropping-particle&quot;:&quot;&quot;},{&quot;family&quot;:&quot;Vitetta&quot;,&quot;given&quot;:&quot;Luis&quot;,&quot;parse-names&quot;:false,&quot;dropping-particle&quot;:&quot;&quot;,&quot;non-dropping-particle&quot;:&quot;&quot;},{&quot;family&quot;:&quot;Henson&quot;,&quot;given&quot;:&quot;Jeremy D.&quot;,&quot;parse-names&quot;:false,&quot;dropping-particle&quot;:&quot;&quot;,&quot;non-dropping-particle&quot;:&quot;&quot;},{&quot;family&quot;:&quot;Hall&quot;,&quot;given&quot;:&quot;Sean&quot;,&quot;parse-names&quot;:false,&quot;dropping-particle&quot;:&quot;&quot;,&quot;non-dropping-particle&quot;:&quot;&quot;}],&quot;container-title&quot;:&quot;Journal of Functional Foods&quot;,&quot;container-title-short&quot;:&quot;J Funct Foods&quot;,&quot;DOI&quot;:&quot;10.1016/j.jff.2021.104850&quot;,&quot;ISSN&quot;:&quot;17564646&quot;,&quot;issued&quot;:{&quot;date-parts&quot;:[[2021,12,1]]},&quot;abstract&quot;:&quot;Most COVID-19 cases are mild or asymptomatic and recover well, suggesting that effective immune responses ensue, which successfully eliminate SARS-CoV-2 viruses. However, a small proportion of patients develop severe COVID-19 with pathological immune responses. This indicates that a strong immune system balanced with anti-inflammatory mechanisms is critical for the recovery from SARS-CoV-2 infections. Many vaccines against SARS-CoV-2 have now been developed for eliciting effective immune responses to protect from SARS-CoV-2 infections or reduce the severity of the disease if infected. Although uncommon, serious morbidity and mortality have resulted from both COVID-19 vaccine adverse reactions and lack of efficacy, and further improvement of efficacy and prevention of adverse effects are urgently warranted. Many factors could affect efficacy of these vaccines to achieve optimal immune responses. Dysregulation of the gut microbiota (gut dysbiosis) could be an important risk factor as the gut microbiota is associated with the development and maintenance of an effective immune system response. In this narrative review, we discuss the immune responses to SARS-CoV-2, how COVID-19 vaccines elicit protective immune responses, gut dysbiosis involvement in inefficacy and adverse effects of COVID-19 vaccines and the modulation of the gut microbiota by functional foods to improve COVID-19 vaccine immunisations.&quot;,&quot;publisher&quot;:&quot;Elsevier Ltd&quot;,&quot;volume&quot;:&quot;87&quot;},&quot;isTemporary&quot;:false},{&quot;id&quot;:&quot;66c5f646-33fd-38e4-9b21-4b245325c63f&quot;,&quot;itemData&quot;:{&quot;type&quot;:&quot;article-journal&quot;,&quot;id&quot;:&quot;66c5f646-33fd-38e4-9b21-4b245325c63f&quot;,&quot;title&quot;:&quot;Network based evidence of the financial impact of Covid-19 pandemic&quot;,&quot;author&quot;:[{&quot;family&quot;:&quot;Ahelegbey&quot;,&quot;given&quot;:&quot;Daniel Felix&quot;,&quot;parse-names&quot;:false,&quot;dropping-particle&quot;:&quot;&quot;,&quot;non-dropping-particle&quot;:&quot;&quot;},{&quot;family&quot;:&quot;Cerchiello&quot;,&quot;given&quot;:&quot;Paola&quot;,&quot;parse-names&quot;:false,&quot;dropping-particle&quot;:&quot;&quot;,&quot;non-dropping-particle&quot;:&quot;&quot;},{&quot;family&quot;:&quot;Scaramozzino&quot;,&quot;given&quot;:&quot;Roberta&quot;,&quot;parse-names&quot;:false,&quot;dropping-particle&quot;:&quot;&quot;,&quot;non-dropping-particle&quot;:&quot;&quot;}],&quot;container-title&quot;:&quot;International Review of Financial Analysis&quot;,&quot;DOI&quot;:&quot;10.1016/j.irfa.2022.102101&quot;,&quot;ISSN&quot;:&quot;10575219&quot;,&quot;issued&quot;:{&quot;date-parts&quot;:[[2022,5,1]]},&quot;abstract&quot;:&quot;How much the largest worldwide companies, belonging to different sectors of the economy, are suffering from the pandemic? Are economic relations among them changing? In this paper, we address such issues by analyzing the top 50 S&amp;P companies by means of market and textual data. Our work proposes a network analysis model that combines such two types of information to highlight the connections among companies with the purpose of investigating the relationships before and during the pandemic crisis. In doing so, we leverage a large amount of textual data through the employment of a sentiment score which is coupled with standard market data. Our results show that the COVID-19 pandemic has largely affected the US productive system, however differently sector by sector and with more impact during the second wave compared to the first.&quot;,&quot;publisher&quot;:&quot;Elsevier Inc.&quot;,&quot;volume&quot;:&quot;81&quot;,&quot;container-title-short&quot;:&quot;&quot;},&quot;isTemporary&quot;:false}]},{&quot;citationID&quot;:&quot;MENDELEY_CITATION_2ad2d0af-4329-4a49-b94e-471aefa0e1ec&quot;,&quot;properties&quot;:{&quot;noteIndex&quot;:0},&quot;isEdited&quot;:false,&quot;manualOverride&quot;:{&quot;isManuallyOverridden&quot;:false,&quot;citeprocText&quot;:&quot;(25–27)&quot;,&quot;manualOverrideText&quot;:&quot;&quot;},&quot;citationTag&quot;:&quot;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&quot;,&quot;citationItems&quot;:[{&quot;id&quot;:&quot;ca94593e-8e37-3255-b7d7-85ca06ef9bb0&quot;,&quot;itemData&quot;:{&quot;type&quot;:&quot;article-journal&quot;,&quot;id&quot;:&quot;ca94593e-8e37-3255-b7d7-85ca06ef9bb0&quot;,&quot;title&quot;:&quot;Covid-19, credit risk management modeling, and government support&quot;,&quot;author&quot;:[{&quot;family&quot;:&quot;Telg&quot;,&quot;given&quot;:&quot;Sean&quot;,&quot;parse-names&quot;:false,&quot;dropping-particle&quot;:&quot;&quot;,&quot;non-dropping-particle&quot;:&quot;&quot;},{&quot;family&quot;:&quot;Dubinova&quot;,&quot;given&quot;:&quot;Anna&quot;,&quot;parse-names&quot;:false,&quot;dropping-particle&quot;:&quot;&quot;,&quot;non-dropping-particle&quot;:&quot;&quot;},{&quot;family&quot;:&quot;Lucas&quot;,&quot;given&quot;:&quot;Andre&quot;,&quot;parse-names&quot;:false,&quot;dropping-particle&quot;:&quot;&quot;,&quot;non-dropping-particle&quot;:&quot;&quot;}],&quot;container-title&quot;:&quot;Journal of Banking and Finance&quot;,&quot;container-title-short&quot;:&quot;J Bank Financ&quot;,&quot;DOI&quot;:&quot;10.1016/j.jbankfin.2022.106638&quot;,&quot;ISSN&quot;:&quot;03784266&quot;,&quot;issued&quot;:{&quot;date-parts&quot;:[[2023,2,1]]},&quot;abstract&quot;:&quot;We investigate rating and default risk dynamics over the covid-19 crisis from a credit risk modeling perspective. We find that growth dynamics remain a stable and sufficient predictor of credit risk incidence over the pandemic period, despite its large, short-lived swings due to government intervention and lockdown. Unobserved component models as used in the recent credit risk literature appear mainly helpful for explaining the high-default wave in the early 2000s, but less so for default prediction above and beyond growth dynamics during the 2008 financial crisis or the early 2020 covid default peak. Government support variables do not reduce the impact of either growth proxies or unobserved components. Correlations between government support and credit risk are different, however, during the financial and the covid crisis. Using the empirical models in this paper as credit risk management tools, we show that growth factors also suffice to predict credit risk quantiles out-of-sample during covid times.&quot;,&quot;publisher&quot;:&quot;Elsevier B.V.&quot;,&quot;volume&quot;:&quot;147&quot;},&quot;isTemporary&quot;:false},{&quot;id&quot;:&quot;d4ca2251-608d-3b91-8ee1-756a399199b2&quot;,&quot;itemData&quot;:{&quot;type&quot;:&quot;article-journal&quot;,&quot;id&quot;:&quot;d4ca2251-608d-3b91-8ee1-756a399199b2&quot;,&quot;title&quot;:&quot;External Balance Sheets and the COVID-19 Crisis&quot;,&quot;author&quot;:[{&quot;family&quot;:&quot;Hale&quot;,&quot;given&quot;:&quot;Galina&quot;,&quot;parse-names&quot;:false,&quot;dropping-particle&quot;:&quot;&quot;,&quot;non-dropping-particle&quot;:&quot;&quot;},{&quot;family&quot;:&quot;Juvenal&quot;,&quot;given&quot;:&quot;Luciana&quot;,&quot;parse-names&quot;:false,&quot;dropping-particle&quot;:&quot;&quot;,&quot;non-dropping-particle&quot;:&quot;&quot;}],&quot;container-title&quot;:&quot;Journal of Banking and Finance&quot;,&quot;container-title-short&quot;:&quot;J Bank Financ&quot;,&quot;DOI&quot;:&quot;10.1016/j.jbankfin.2022.106570&quot;,&quot;ISSN&quot;:&quot;03784266&quot;,&quot;issued&quot;:{&quot;date-parts&quot;:[[2023,2,1]]},&quot;abstract&quot;:&quot;At the onset of the COVID-19 economic crisis, as in other crisis episodes, we observed a rapid appreciation of “safe haven” currencies. We quantify currency-induced balance sheet valuation effects for aggregate external positions as well as for broadly defined asset classes for the first quarter and the full year 2020. To do so, we use new data on the currency composition of cross-border assets and liabilities for 46 countries. In contrast with past financial crises, many emerging markets did not experience losses on their aggregate external balance sheets despite facing a domestic currency depreciation. This was partly due to currency-induced valuation gains on equity positions offsetting losses on debt positions, and partly due to reduced currency mismatch on their external debt positions. We conduct the stock-flow reconciliation of net international investment positions to measure overall valuation effects and compute the proportion that is due to changes in currency values. For about half of the countries in our sample, currency-induced valuation effects were substantial, representing over 50 percent of total valuation effects in 2020Q1 and the full year 2020.&quot;,&quot;publisher&quot;:&quot;Elsevier B.V.&quot;,&quot;volume&quot;:&quot;147&quot;},&quot;isTemporary&quot;:false},{&quot;id&quot;:&quot;8a0544d7-697b-320b-a37d-315f147ee359&quot;,&quot;itemData&quot;:{&quot;type&quot;:&quot;article&quot;,&quot;id&quot;:&quot;8a0544d7-697b-320b-a37d-315f147ee359&quot;,&quot;title&quot;:&quot;The effect of microbiome therapy on COVID-19-induced gut dysbiosis: A narrative and systematic review&quot;,&quot;author&quot;:[{&quot;family&quot;:&quot;Yousef&quot;,&quot;given&quot;:&quot;Mahmoud&quot;,&quot;parse-names&quot;:false,&quot;dropping-particle&quot;:&quot;&quot;,&quot;non-dropping-particle&quot;:&quot;&quot;},{&quot;family&quot;:&quot;Rob&quot;,&quot;given&quot;:&quot;Mlaak&quot;,&quot;parse-names&quot;:false,&quot;dropping-particle&quot;:&quot;&quot;,&quot;non-dropping-particle&quot;:&quot;&quot;},{&quot;family&quot;:&quot;Varghese&quot;,&quot;given&quot;:&quot;Sanish&quot;,&quot;parse-names&quot;:false,&quot;dropping-particle&quot;:&quot;&quot;,&quot;non-dropping-particle&quot;:&quot;&quot;},{&quot;family&quot;:&quot;Rao&quot;,&quot;given&quot;:&quot;Shrinidhi&quot;,&quot;parse-names&quot;:false,&quot;dropping-particle&quot;:&quot;&quot;,&quot;non-dropping-particle&quot;:&quot;&quot;},{&quot;family&quot;:&quot;Zamir&quot;,&quot;given&quot;:&quot;Fahad&quot;,&quot;parse-names&quot;:false,&quot;dropping-particle&quot;:&quot;&quot;,&quot;non-dropping-particle&quot;:&quot;&quot;},{&quot;family&quot;:&quot;Paul&quot;,&quot;given&quot;:&quot;Pradipta&quot;,&quot;parse-names&quot;:false,&quot;dropping-particle&quot;:&quot;&quot;,&quot;non-dropping-particle&quot;:&quot;&quot;},{&quot;family&quot;:&quot;Chaari&quot;,&quot;given&quot;:&quot;Ali&quot;,&quot;parse-names&quot;:false,&quot;dropping-particle&quot;:&quot;&quot;,&quot;non-dropping-particle&quot;:&quot;&quot;}],&quot;container-title&quot;:&quot;Life Sciences&quot;,&quot;container-title-short&quot;:&quot;Life Sci&quot;,&quot;DOI&quot;:&quot;10.1016/j.lfs.2024.122535&quot;,&quot;ISSN&quot;:&quot;18790631&quot;,&quot;PMID&quot;:&quot;38408636&quot;,&quot;issued&quot;:{&quot;date-parts&quot;:[[2024,4,1]]},&quot;abstract&quot;:&quot;Aims: Emerging evidence highlights the role of COVID-19 in instigating gut dysbiosis, with repercussions on disease severity and bidirectional gut-organ communication involving the lung, heart, brain, and liver. This study aims to evaluate the efficacy of probiotics, prebiotics, synbiotics, and fecal microbiota transplantation (FMT) in addressing gut dysbiosis associated with COVID-19, as well as their impact on related disease severity and clinical outcomes. Materials and methods: We systematically review 27 studies exploring the efficacy of different microbiome-modulating therapies: probiotics, prebiotics, synbiotics, and fecal microbiota transplantation as potential interventions for COVID-19. Key findings: The probiotics and synbiotics investigated encompassed a spectrum of eight bacterial and fungal genera, namely Lactobacillus, Bifidobacterium, Streptococcus, Enterococcus, Pediococcus, Bacillus, Saccharomyces, and Kluyveromyces. Noteworthy prebiotics employed in these studies included chestnut tannin, galactooligosaccharides, fructooligosaccharides, xylooligosaccharide, and resistant dextrin. The majority of the investigated biotics exhibited positive effects on COVID-19 patients, manifesting in symptom alleviation, inflammation reduction, and notable decreases in mortality rates. Five studies reported death rates, showing an average mortality ranging from 0 % to 11 % in the intervention groups, as compared to 3 % to 30 % in the control groups. Specifically, probiotics, prebiotics, and synbiotics demonstrated efficacy in diminishing the duration and severity of symptoms while significantly accelerating viral and symptomatic remission. FMT emerged as a particularly effective strategy, successfully restoring gut microbiota and ameliorating gastrointestinal disorders. Significance: The insights gleaned from this review significantly contribute to our broader comprehension of the therapeutic potential of biotics in addressing COVID-19-related gut dysbiosis and mitigating secondary multi-organ complications.&quot;,&quot;publisher&quot;:&quot;Elsevier Inc.&quot;,&quot;volume&quot;:&quot;342&quot;},&quot;isTemporary&quot;:false}]},{&quot;citationID&quot;:&quot;MENDELEY_CITATION_be0a8730-54f3-402e-9cce-e0b0cbf7d0cc&quot;,&quot;properties&quot;:{&quot;noteIndex&quot;:0},&quot;isEdited&quot;:false,&quot;manualOverride&quot;:{&quot;isManuallyOverridden&quot;:false,&quot;citeprocText&quot;:&quot;(28,29)&quot;,&quot;manualOverrideText&quot;:&quot;&quot;},&quot;citationTag&quot;:&quot;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&quot;,&quot;citationItems&quot;:[{&quot;id&quot;:&quot;962a7ee2-d6f4-3b96-be67-f6c9e2d98c69&quot;,&quot;itemData&quot;:{&quot;type&quot;:&quot;article-journal&quot;,&quot;id&quot;:&quot;962a7ee2-d6f4-3b96-be67-f6c9e2d98c69&quot;,&quot;title&quot;:&quot;Chitosan mediated smart photodynamic therapy based novel drug delivery systems- a futuristic view&quot;,&quot;author&quot;:[{&quot;family&quot;:&quot;Krishnaswami&quot;,&quot;given&quot;:&quot;Venkateshwaran&quot;,&quot;parse-names&quot;:false,&quot;dropping-particle&quot;:&quot;&quot;,&quot;non-dropping-particle&quot;:&quot;&quot;},{&quot;family&quot;:&quot;Rajan&quot;,&quot;given&quot;:&quot;Eshamugi&quot;,&quot;parse-names&quot;:false,&quot;dropping-particle&quot;:&quot;&quot;,&quot;non-dropping-particle&quot;:&quot;&quot;},{&quot;family&quot;:&quot;Dutta&quot;,&quot;given&quot;:&quot;Gouranga&quot;,&quot;parse-names&quot;:false,&quot;dropping-particle&quot;:&quot;&quot;,&quot;non-dropping-particle&quot;:&quot;&quot;},{&quot;family&quot;:&quot;Muruganantham&quot;,&quot;given&quot;:&quot;Selvakumar&quot;,&quot;parse-names&quot;:false,&quot;dropping-particle&quot;:&quot;&quot;,&quot;non-dropping-particle&quot;:&quot;&quot;},{&quot;family&quot;:&quot;Sugumaran&quot;,&quot;given&quot;:&quot;Abimanyu&quot;,&quot;parse-names&quot;:false,&quot;dropping-particle&quot;:&quot;&quot;,&quot;non-dropping-particle&quot;:&quot;&quot;},{&quot;family&quot;:&quot;SA&quot;,&quot;given&quot;:&quot;Jacob Raja&quot;,&quot;parse-names&quot;:false,&quot;dropping-particle&quot;:&quot;&quot;,&quot;non-dropping-particle&quot;:&quot;&quot;}],&quot;container-title&quot;:&quot;Carbohydrate Polymer Technologies and Applications&quot;,&quot;DOI&quot;:&quot;10.1016/j.carpta.2024.100510&quot;,&quot;ISSN&quot;:&quot;26668939&quot;,&quot;issued&quot;:{&quot;date-parts&quot;:[[2024,6,1]]},&quot;abstract&quot;:&quot;In order to improve the pharmacological and therapeutic properties of drugs, researchers have attempted numerous novel approaches, such as stimuli-responsive systems, and targeted drug delivery systems. These systems can be attempted by nano-based drug delivery systems involving biocompatible polymers. One among which is chitosan, a linear polysaccharide, a promising potential polymer that gained interest in delivering challenging drugs. Chitosan can encapsulate and release the drugs in a controlled/sustained manner. Chitosan can be used to develop a variety of drug delivery carriers, including films, gels, nanoparticles, nanodispersions, nanomicelles, and patches. In this regimen, minimally invasive photodynamic therapy has recently gained much interest in treating vascular diseases, including cancer, ocular diseases, microbial infections, skin disorders, etc. Photodynamic therapy utilizes light excited at a specific wavelength, eliciting singlet oxygen production. Self-lighting photodynamic therapy and combination-based photodynamic therapy also offer synergistic effects. Photodynamic therapy is more selective and specific, which may offer treatment for deep-seated diseased tissues compared to conventional therapeutic modalities. Light-activated novel drug delivery formulations have been reported using various biocompatible polymers, including chitosan. Chitosan offers its effectiveness as mucoadhesiveness, tissue penetrability, antioxidant, antimicrobial properties, supports in singlet oxygen generation, and shown its benefits in photodynamic therapy. Therefore, this review presents numerous applications of chitosan-based light-activated drug delivery systems with particular emphasis on their patents and clinical trials. The literature has been collected and compiled using various search resources such as Science Direct, J-Gate, Google Scholar, PubMed, and research data.&quot;,&quot;publisher&quot;:&quot;Elsevier Ltd&quot;,&quot;volume&quot;:&quot;7&quot;,&quot;container-title-short&quot;:&quot;&quot;},&quot;isTemporary&quot;:false},{&quot;id&quot;:&quot;3fcc5e9d-009e-3d0d-9e08-d4400edfd49b&quot;,&quot;itemData&quot;:{&quot;type&quot;:&quot;article&quot;,&quot;id&quot;:&quot;3fcc5e9d-009e-3d0d-9e08-d4400edfd49b&quot;,&quot;title&quot;:&quot;Recent insights into therapeutic potential and nanostructured carrier systems of Centella asiatica: An evidence-based review&quot;,&quot;author&quot;:[{&quot;family&quot;:&quot;Bansal&quot;,&quot;given&quot;:&quot;Keshav&quot;,&quot;parse-names&quot;:false,&quot;dropping-particle&quot;:&quot;&quot;,&quot;non-dropping-particle&quot;:&quot;&quot;},{&quot;family&quot;:&quot;Bhati&quot;,&quot;given&quot;:&quot;Hemant&quot;,&quot;parse-names&quot;:false,&quot;dropping-particle&quot;:&quot;&quot;,&quot;non-dropping-particle&quot;:&quot;&quot;},{&quot;family&quot;:&quot;Vanshita&quot;,&quot;given&quot;:&quot;&quot;,&quot;parse-names&quot;:false,&quot;dropping-particle&quot;:&quot;&quot;,&quot;non-dropping-particle&quot;:&quot;&quot;},{&quot;family&quot;:&quot;Bajpai&quot;,&quot;given&quot;:&quot;Meenakshi&quot;,&quot;parse-names&quot;:false,&quot;dropping-particle&quot;:&quot;&quot;,&quot;non-dropping-particle&quot;:&quot;&quot;}],&quot;container-title&quot;:&quot;Pharmacological Research - Modern Chinese Medicine&quot;,&quot;DOI&quot;:&quot;10.1016/j.prmcm.2024.100403&quot;,&quot;ISSN&quot;:&quot;26671425&quot;,&quot;issued&quot;:{&quot;date-parts&quot;:[[2024,3,1]]},&quot;abstract&quot;:&quot;Introduction: Centella asiatica (L.) Urb. is an authentic herbal medicine that is frequently used in Southeast Asian regions and scientific investigations have demonstrated the benefits of Centella asiatica and its constituents in various health issues. The active constituents of Centella asiatica are pentacyclic triterpenoid (asiatic acid, adecassic acid, madecassoside, and asiaticoside) and saponins. Methods: The study includes a thorough review of prior research findings of an assortment of sources is used to gather data on its therapeutic potential and novel delivery approaches of C. asiatica. This review outlines evidence-based recent updates on the potential therapeutic actions and various nanocarrier types that are employed to deliver the actives of Centella asiatica to address the issues of poor stability, limited bioavailability, and higher metabolism, providing a new way to utilize these bioactive as a first-line treatment for various disorders. Results: The findings revealed that C. asiatica possesses a broad array of therapeutic effects including anti-ulcer, anti-cancer, anti-diabetic, anti-osteoporotic, neuroprotective, antioxidant, cardioprotective, and anti-inflammatory activities. Further, various approaches have been examined to overcome these constraints with the development of novel carrier systems including nanoparticles, polymeric nanocarriers, transferosomes, nanoemulsions, nanosuspensions, liposomes, hydrogels, microneedles, and micelles. Discussion: The study involves the importance of C. asiatica as a potential natural resource with a wide range of traditional uses. Its medicinal properties, which include the ability to treat chronic illnesses like cancer as well as fight infections, emphasize the importance of this plant in modern medicine. Future studies should prioritize in vivo and in vitro clinical trials to broaden the understanding of the mechanism involved as well as the development of more advanced delivery approaches in order to improve its utilization in healthcare.&quot;,&quot;publisher&quot;:&quot;Elsevier B.V.&quot;,&quot;volume&quot;:&quot;10&quot;,&quot;container-title-short&quot;:&quot;&quot;},&quot;isTemporary&quot;:false}]},{&quot;citationID&quot;:&quot;MENDELEY_CITATION_545373c6-6dc8-4578-aead-b5a6bdf08db5&quot;,&quot;properties&quot;:{&quot;noteIndex&quot;:0},&quot;isEdited&quot;:false,&quot;manualOverride&quot;:{&quot;isManuallyOverridden&quot;:false,&quot;citeprocText&quot;:&quot;(30–32)&quot;,&quot;manualOverrideText&quot;:&quot;&quot;},&quot;citationTag&quot;:&quot;MENDELEY_CITATION_v3_eyJjaXRhdGlvbklEIjoiTUVOREVMRVlfQ0lUQVRJT05fNTQ1MzczYzYtNmRjOC00NTc4LWFlYWQtYjVhNmJkZjA4ZGI1IiwicHJvcGVydGllcyI6eyJub3RlSW5kZXgiOjB9LCJpc0VkaXRlZCI6ZmFsc2UsIm1hbnVhbE92ZXJyaWRlIjp7ImlzTWFudWFsbHlPdmVycmlkZGVuIjpmYWxzZSwiY2l0ZXByb2NUZXh0IjoiKDMw4oCTMzIpIiwibWFudWFsT3ZlcnJpZGVUZXh0IjoiIn0sImNpdGF0aW9uSXRlbXMiOlt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&quot;,&quot;citationItems&quot;:[{&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id&quot;:&quot;2e5e7748-a061-3829-b932-ff043e83f4a5&quot;,&quot;itemData&quot;:{&quot;type&quot;:&quot;article-journal&quot;,&quot;id&quot;:&quot;2e5e7748-a061-3829-b932-ff043e83f4a5&quot;,&quot;title&quot;:&quot;Artificial intelligence and infectious diseases: Scope and perspectives&quot;,&quot;author&quot;:[{&quot;family&quot;:&quot;Abbara&quot;,&quot;given&quot;:&quot;S.&quot;,&quot;parse-names&quot;:false,&quot;dropping-particle&quot;:&quot;&quot;,&quot;non-dropping-particle&quot;:&quot;&quot;},{&quot;family&quot;:&quot;Crabol&quot;,&quot;given&quot;:&quot;Y.&quot;,&quot;parse-names&quot;:false,&quot;dropping-particle&quot;:&quot;&quot;,&quot;non-dropping-particle&quot;:&quot;&quot;},{&quot;family&quot;:&quot;Bouillé&quot;,&quot;given&quot;:&quot;J. Goupil&quot;,&quot;parse-names&quot;:false,&quot;dropping-particle&quot;:&quot;&quot;,&quot;non-dropping-particle&quot;:&quot;de&quot;},{&quot;family&quot;:&quot;Dinh&quot;,&quot;given&quot;:&quot;A.&quot;,&quot;parse-names&quot;:false,&quot;dropping-particle&quot;:&quot;&quot;,&quot;non-dropping-particle&quot;:&quot;&quot;},{&quot;family&quot;:&quot;Morquin&quot;,&quot;given&quot;:&quot;D.&quot;,&quot;parse-names&quot;:false,&quot;dropping-particle&quot;:&quot;&quot;,&quot;non-dropping-particle&quot;:&quot;&quot;}],&quot;container-title&quot;:&quot;Infectious Diseases Now&quot;,&quot;container-title-short&quot;:&quot;Infect Dis Now&quot;,&quot;DOI&quot;:&quot;10.1016/j.idnow.2025.105131&quot;,&quot;ISSN&quot;:&quot;26669919&quot;,&quot;URL&quot;:&quot;https://linkinghub.elsevier.com/retrieve/pii/S2666991925001101&quot;,&quot;issued&quot;:{&quot;date-parts&quot;:[[2025,11]]},&quot;page&quot;:&quot;105131&quot;,&quot;issue&quot;:&quot;7&quot;,&quot;volume&quot;:&quot;55&quot;},&quot;isTemporary&quot;:false},{&quot;id&quot;:&quot;3bdc5a8e-d21c-39ce-accd-80dee19b9612&quot;,&quot;itemData&quot;:{&quot;type&quot;:&quot;article&quot;,&quot;id&quot;:&quot;3bdc5a8e-d21c-39ce-accd-80dee19b9612&quot;,&quot;title&quot;:&quot;Artificial Intelligence in Regional Anesthesia and Pain Management&quot;,&quot;author&quot;:[{&quot;family&quot;:&quot;Medeiros&quot;,&quot;given&quot;:&quot;Heitor J.S.&quot;,&quot;parse-names&quot;:false,&quot;dropping-particle&quot;:&quot;&quot;,&quot;non-dropping-particle&quot;:&quot;&quot;},{&quot;family&quot;:&quot;Dabbagh&quot;,&quot;given&quot;:&quot;Ali&quot;,&quot;parse-names&quot;:false,&quot;dropping-particle&quot;:&quot;&quot;,&quot;non-dropping-particle&quot;:&quot;&quot;},{&quot;family&quot;:&quot;Vlassakov&quot;,&quot;given&quot;:&quot;Kamen&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5.004&quot;,&quot;ISSN&quot;:&quot;22103538&quot;,&quot;issued&quot;:{&quot;date-parts&quot;:[[2025,9,1]]},&quot;page&quot;:&quot;491-505&quot;,&quot;publisher&quot;:&quot;W.B. Saunders&quot;,&quot;issue&quot;:&quot;3&quot;,&quot;volume&quot;:&quot;43&quot;},&quot;isTemporary&quot;:false}]},{&quot;citationID&quot;:&quot;MENDELEY_CITATION_8e2a69c4-3f3a-45a3-a505-2285a941496f&quot;,&quot;properties&quot;:{&quot;noteIndex&quot;:0},&quot;isEdited&quot;:false,&quot;manualOverride&quot;:{&quot;isManuallyOverridden&quot;:false,&quot;citeprocText&quot;:&quot;(33)&quot;,&quot;manualOverrideText&quot;:&quot;&quot;},&quot;citationTag&quot;:&quot;MENDELEY_CITATION_v3_eyJjaXRhdGlvbklEIjoiTUVOREVMRVlfQ0lUQVRJT05fOGUyYTY5YzQtM2YzYS00NWEzLWE1MDUtMjI4NWE5NDE0OTZm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quot;,&quot;citationItems&quot;:[{&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85df9a1c-a9ed-4779-b055-1c035ef25136&quot;,&quot;properties&quot;:{&quot;noteIndex&quot;:0},&quot;isEdited&quot;:false,&quot;manualOverride&quot;:{&quot;isManuallyOverridden&quot;:false,&quot;citeprocText&quot;:&quot;(10,34)&quot;,&quot;manualOverrideText&quot;:&quot;&quot;},&quot;citationTag&quot;:&quot;MENDELEY_CITATION_v3_eyJjaXRhdGlvbklEIjoiTUVOREVMRVlfQ0lUQVRJT05fODVkZjlhMWMtYTllZC00Nzc5LWIwNTUtMWMwMzVlZjI1MTM2IiwicHJvcGVydGllcyI6eyJub3RlSW5kZXgiOjB9LCJpc0VkaXRlZCI6ZmFsc2UsIm1hbnVhbE92ZXJyaWRlIjp7ImlzTWFudWFsbHlPdmVycmlkZGVuIjpmYWxzZSwiY2l0ZXByb2NUZXh0IjoiKDEw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3d3a9322-413e-4b0f-af3c-01585d12a903&quot;,&quot;properties&quot;:{&quot;noteIndex&quot;:0},&quot;isEdited&quot;:false,&quot;manualOverride&quot;:{&quot;isManuallyOverridden&quot;:false,&quot;citeprocText&quot;:&quot;(6)&quot;,&quot;manualOverrideText&quot;:&quot;&quot;},&quot;citationTag&quot;:&quot;MENDELEY_CITATION_v3_eyJjaXRhdGlvbklEIjoiTUVOREVMRVlfQ0lUQVRJT05fM2QzYTkzMjItNDEzZS00YjBmLWFmM2MtMDE1ODVkMTJhOTAz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16ba4f5f-ec78-4243-a47c-ee3ac0eb6d3e&quot;,&quot;properties&quot;:{&quot;noteIndex&quot;:0},&quot;isEdited&quot;:false,&quot;manualOverride&quot;:{&quot;isManuallyOverridden&quot;:false,&quot;citeprocText&quot;:&quot;(35,36)&quot;,&quot;manualOverrideText&quot;:&quot;&quot;},&quot;citationTag&quot;:&quot;MENDELEY_CITATION_v3_eyJjaXRhdGlvbklEIjoiTUVOREVMRVlfQ0lUQVRJT05fMTZiYTRmNWYtZWM3OC00MjQzLWE0N2MtZWUzYWMwZWI2ZDNlIiwicHJvcGVydGllcyI6eyJub3RlSW5kZXgiOjB9LCJpc0VkaXRlZCI6ZmFsc2UsIm1hbnVhbE92ZXJyaWRlIjp7ImlzTWFudWFsbHlPdmVycmlkZGVuIjpmYWxzZSwiY2l0ZXByb2NUZXh0IjoiKDM1LDM2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&quot;,&quot;citationItems&quot;:[{&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id&quot;:&quot;314f2744-7e97-320d-8342-c9f8eba51400&quot;,&quot;itemData&quot;:{&quot;type&quot;:&quot;article-journal&quot;,&quot;id&quot;:&quot;314f2744-7e97-320d-8342-c9f8eba51400&quot;,&quot;title&quot;:&quot;The art of medical synthesis: Where Chinese medical wisdom intersects with artificial intelligence&quot;,&quot;author&quot;:[{&quot;family&quot;:&quot;Lim&quot;,&quot;given&quot;:&quot;Enoch Chi Ngai&quot;,&quot;parse-names&quot;:false,&quot;dropping-particle&quot;:&quot;&quot;,&quot;non-dropping-particle&quot;:&quot;&quot;},{&quot;family&quot;:&quot;Cheng&quot;,&quot;given&quot;:&quot;Nga Chong Lisa&quot;,&quot;parse-names&quot;:false,&quot;dropping-particle&quot;:&quot;&quot;,&quot;non-dropping-particle&quot;:&quot;&quot;},{&quot;family&quot;:&quot;Lim&quot;,&quot;given&quot;:&quot;Chi Eung Danforn&quot;,&quot;parse-names&quot;:false,&quot;dropping-particle&quot;:&quot;&quot;,&quot;non-dropping-particle&quot;:&quot;&quot;}],&quot;container-title&quot;:&quot;Journal of Traditional Chinese Medical Sciences&quot;,&quot;DOI&quot;:&quot;10.1016/j.jtcms.2025.08.001&quot;,&quot;ISSN&quot;:&quot;20957548&quot;,&quot;URL&quot;:&quot;https://linkinghub.elsevier.com/retrieve/pii/S209575482500078X&quot;,&quot;issued&quot;:{&quot;date-parts&quot;:[[2025,8]]},&quot;container-title-short&quot;:&quot;&quot;},&quot;isTemporary&quot;:false}]},{&quot;citationID&quot;:&quot;MENDELEY_CITATION_fad78bc3-e3e9-4be2-b044-146a32fbfcfb&quot;,&quot;properties&quot;:{&quot;noteIndex&quot;:0},&quot;isEdited&quot;:false,&quot;manualOverride&quot;:{&quot;isManuallyOverridden&quot;:false,&quot;citeprocText&quot;:&quot;(37,38)&quot;,&quot;manualOverrideText&quot;:&quot;&quot;},&quot;citationTag&quot;:&quot;MENDELEY_CITATION_v3_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&quot;,&quot;citationItems&quot;:[{&quot;id&quot;:&quot;2dcd855d-d6d0-3f49-b727-d2a9eb05e220&quot;,&quot;itemData&quot;:{&quot;type&quot;:&quot;article-journal&quot;,&quot;id&quot;:&quot;2dcd855d-d6d0-3f49-b727-d2a9eb05e220&quot;,&quot;title&quot;:&quot;Data acquisition of exercise and fitness pressure measurement based on artificial intelligence technology&quot;,&quot;author&quot;:[{&quot;family&quot;:&quot;Liu&quot;,&quot;given&quot;:&quot;Ru&quot;,&quot;parse-names&quot;:false,&quot;dropping-particle&quot;:&quot;&quot;,&quot;non-dropping-particle&quot;:&quot;&quot;},{&quot;family&quot;:&quot;Shen&quot;,&quot;given&quot;:&quot;Wenxi&quot;,&quot;parse-names&quot;:false,&quot;dropping-particle&quot;:&quot;&quot;,&quot;non-dropping-particle&quot;:&quot;&quot;}],&quot;container-title&quot;:&quot;SLAS Technology&quot;,&quot;container-title-short&quot;:&quot;SLAS Technol&quot;,&quot;DOI&quot;:&quot;10.1016/j.slast.2025.100328&quot;,&quot;ISSN&quot;:&quot;24726311&quot;,&quot;PMID&quot;:&quot;40619065&quot;,&quot;issued&quot;:{&quot;date-parts&quot;:[[2025,8,1]]},&quot;abstract&quot;:&quot;This project aims to improve the accuracy of fitness and physical pressure ratings, focusing on basketball, by integrating artificial intelligence (AI) into data collection and training. Athletes and fitness fanatics can benefit greatly from the data collected using complex AI algorithms to determine stress levels. This study employs the Intelligent Physiological Monitoring Framework for Exercise and Fitness Pressure Measurement (IPM-EFPM) to perform automated stress tests that employ AI to enhance the precision of exercise and fitness pressure measurements. Basketball training programs can benefit from this framework's utilization of state-of-the-art technology, meticulous monitoring of exercise-induced stress, and continuous validation and improvement. The IPM-EFPM system gathers data from wearable sensors, uses real-time location systems, and employs artificial intelligence's Long Short-Term Memory (LSTM) and machine learning algorithms to uncover new insights in healthcare and sports. To accurately record fitness strain, physical activity, exercise-induced stress, and sports like basketball, this system employs cutting-edge artificial intelligence technologies, such as wearable sensors and current gathering data methods. Placement of sensors, real-time data collecting, data preprocessing and integrating, evaluation of stress by artificial intelligence algorithms, discovery and application of new information, validation and improvement are all parts of an iterative method that has been fine-tuned for use in sports and fitness settings by the IPM-EFPM. Examining the intricate relationship between AI, physical activity, and psychological stress is the main objective of this research. This could have real-world uses tailored to the sports world, particularly for basketball players.&quot;,&quot;publisher&quot;:&quot;Elsevier B.V.&quot;,&quot;volume&quot;:&quot;33&quot;},&quot;isTemporary&quot;:false},{&quot;id&quot;:&quot;0f014b49-6c0b-313f-9d35-21670afa8894&quot;,&quot;itemData&quot;:{&quot;type&quot;:&quot;article-journal&quot;,&quot;id&quot;:&quot;0f014b49-6c0b-313f-9d35-21670afa8894&quot;,&quot;title&quot;:&quot;Harnessing artificial intelligence for transforming dementia care: Innovations in early detection and treatment&quot;,&quot;author&quot;:[{&quot;family&quot;:&quot;Habbal&quot;,&quot;given&quot;:&quot;Saadeddine&quot;,&quot;parse-names&quot;:false,&quot;dropping-particle&quot;:&quot;&quot;,&quot;non-dropping-particle&quot;:&quot;&quot;},{&quot;family&quot;:&quot;Mian&quot;,&quot;given&quot;:&quot;Maamoon&quot;,&quot;parse-names&quot;:false,&quot;dropping-particle&quot;:&quot;&quot;,&quot;non-dropping-particle&quot;:&quot;&quot;},{&quot;family&quot;:&quot;Imam&quot;,&quot;given&quot;:&quot;Musa&quot;,&quot;parse-names&quot;:false,&quot;dropping-particle&quot;:&quot;&quot;,&quot;non-dropping-particle&quot;:&quot;&quot;},{&quot;family&quot;:&quot;Tahiri&quot;,&quot;given&quot;:&quot;Jihane&quot;,&quot;parse-names&quot;:false,&quot;dropping-particle&quot;:&quot;&quot;,&quot;non-dropping-particle&quot;:&quot;&quot;},{&quot;family&quot;:&quot;Amor&quot;,&quot;given&quot;:&quot;Adam&quot;,&quot;parse-names&quot;:false,&quot;dropping-particle&quot;:&quot;&quot;,&quot;non-dropping-particle&quot;:&quot;&quot;},{&quot;family&quot;:&quot;Reddy&quot;,&quot;given&quot;:&quot;P. Hemachandra&quot;,&quot;parse-names&quot;:false,&quot;dropping-particle&quot;:&quot;&quot;,&quot;non-dropping-particle&quot;:&quot;&quot;}],&quot;container-title&quot;:&quot;Brain Organoid and Systems Neuroscience Journal&quot;,&quot;DOI&quot;:&quot;10.1016/j.bosn.2025.05.001&quot;,&quot;ISSN&quot;:&quot;29499216&quot;,&quot;issued&quot;:{&quot;date-parts&quot;:[[2025,12]]},&quot;page&quot;:&quot;122-133&quot;,&quot;abstract&quot;:&quot;… outcomes and mitigating the associated healthcare burden. Artificial intelligence (AI) has emerged … literature on AI methodologies, including machine learning, deep learning, and neural …&quot;,&quot;publisher&quot;:&quot;Elsevier BV&quot;,&quot;volume&quot;:&quot;3&quot;,&quot;container-title-short&quot;:&quot;&quot;},&quot;isTemporary&quot;:false}]},{&quot;citationID&quot;:&quot;MENDELEY_CITATION_60139645-2f29-41cf-8f56-541c2e6b0ab1&quot;,&quot;properties&quot;:{&quot;noteIndex&quot;:0},&quot;isEdited&quot;:false,&quot;manualOverride&quot;:{&quot;isManuallyOverridden&quot;:false,&quot;citeprocText&quot;:&quot;(39,40)&quot;,&quot;manualOverrideText&quot;:&quot;&quot;},&quot;citationTag&quot;:&quot;MENDELEY_CITATION_v3_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0LjAwMiIsIklTU04iOiIyMjEwMzUzOCIsImlzc3VlZCI6eyJkYXRlLXBhcnRzIjpbWzIwMjUsOSwxXV19LCJwYWdlIjoiMzg5LTQwMyIsInB1Ymxpc2hlciI6IlcuQi4gU2F1bmRlcnMiLCJpc3N1ZSI6IjMiLCJ2b2x1bWUiOiI0MyJ9LCJpc1RlbXBvcmFyeSI6ZmFsc2V9XX0=&quot;,&quot;citationItems&quot;:[{&quot;id&quot;:&quot;4fa4e341-136e-3244-a7fa-15c8621e0716&quot;,&quot;itemData&quot;:{&quot;type&quot;:&quot;article&quot;,&quot;id&quot;:&quot;4fa4e341-136e-3244-a7fa-15c8621e0716&quot;,&quot;title&quot;:&quot;Towards revolutionizing precision healthcare: A systematic literature review of artificial intelligence methods in precision medicine&quot;,&quot;author&quot;:[{&quot;family&quot;:&quot;Abbaoui&quot;,&quot;given&quot;:&quot;Wafae&quot;,&quot;parse-names&quot;:false,&quot;dropping-particle&quot;:&quot;&quot;,&quot;non-dropping-particle&quot;:&quot;&quot;},{&quot;family&quot;:&quot;Retal&quot;,&quot;given&quot;:&quot;Sara&quot;,&quot;parse-names&quot;:false,&quot;dropping-particle&quot;:&quot;&quot;,&quot;non-dropping-particle&quot;:&quot;&quot;},{&quot;family&quot;:&quot;Bhiri&quot;,&quot;given&quot;:&quot;Brahim&quot;,&quot;parse-names&quot;:false,&quot;dropping-particle&quot;:&quot;&quot;,&quot;non-dropping-particle&quot;:&quot;El&quot;},{&quot;family&quot;:&quot;Kharmoum&quot;,&quot;given&quot;:&quot;Nassim&quot;,&quot;parse-names&quot;:false,&quot;dropping-particle&quot;:&quot;&quot;,&quot;non-dropping-particle&quot;:&quot;&quot;},{&quot;family&quot;:&quot;Ziti&quot;,&quot;given&quot;:&quot;Soumia&quot;,&quot;parse-names&quot;:false,&quot;dropping-particle&quot;:&quot;&quot;,&quot;non-dropping-particle&quot;:&quot;&quot;}],&quot;container-title&quot;:&quot;Informatics in Medicine Unlocked&quot;,&quot;container-title-short&quot;:&quot;Inform Med Unlocked&quot;,&quot;DOI&quot;:&quot;10.1016/j.imu.2024.101475&quot;,&quot;ISSN&quot;:&quot;23529148&quot;,&quot;issued&quot;:{&quot;date-parts&quot;:[[2024,1,1]]},&quot;abstract&quot;:&quot;In the realm of medicine, artificial intelligence (AI) has emerged as a transformative force, harnessing the power to convert raw data into meaningful insights. Rather than supplanting the discernment of physicians, AI serves as an unprecedented enabler, equipping them with unimaginable tools. Its far-reaching applications encompass drug discovery, disease diagnosis, prognosis, treatment optimization, and outcome prediction. This technological revolution owes much to the prowess of machine learning algorithms, which adeptly process multifaceted data. Consequently, AI is poised to become an integral pillar of digital health systems, shaping and bolstering the realm of personalized medicine. The current landscape is abuzz with AI's exponential growth, fueling a surge of research ventures aimed at enhancing medical practices. By delving into the realm of precision medicine, this paper endeavors to scrutinize and evaluate recent advancements in healthcare pertaining to the utilization of machine learning (ML) and deep learning (DL) algorithms. This systematic review comprehensively encompasses previously published works, dissecting key concepts, innovations, significant contributions, and pivotal enabling techniques. Aspiring to equip readers with a profound understanding and invaluable insights, this paper proves indispensable to those dedicated to exploring the state-of-the-art and contributing to future literature in this domain.&quot;,&quot;publisher&quot;:&quot;Elsevier Ltd&quot;,&quot;volume&quot;:&quot;46&quot;},&quot;isTemporary&quot;:false},{&quot;id&quot;:&quot;6208578a-8f17-378b-b9e9-4d5c6d2666a2&quot;,&quot;itemData&quot;:{&quot;type&quot;:&quot;article&quot;,&quot;id&quot;:&quot;6208578a-8f17-378b-b9e9-4d5c6d2666a2&quot;,&quot;title&quot;:&quot;The Role of Artificial Intelligence in Medicine with a Special Focus on Anesthesiology and Perioperative Care&quot;,&quot;author&quot;:[{&quot;family&quot;:&quot;Dabbagh&quot;,&quot;given&quot;:&quot;Ali&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4.002&quot;,&quot;ISSN&quot;:&quot;22103538&quot;,&quot;issued&quot;:{&quot;date-parts&quot;:[[2025,9,1]]},&quot;page&quot;:&quot;389-403&quot;,&quot;publisher&quot;:&quot;W.B. Saunders&quot;,&quot;issue&quot;:&quot;3&quot;,&quot;volume&quot;:&quot;43&quot;},&quot;isTemporary&quot;:false}]},{&quot;citationID&quot;:&quot;MENDELEY_CITATION_e28d7295-5b04-4894-9aaf-05da5c0760ed&quot;,&quot;properties&quot;:{&quot;noteIndex&quot;:0},&quot;isEdited&quot;:false,&quot;manualOverride&quot;:{&quot;isManuallyOverridden&quot;:false,&quot;citeprocText&quot;:&quot;(41,42)&quot;,&quot;manualOverrideText&quot;:&quot;&quot;},&quot;citationTag&quot;:&quot;MENDELEY_CITATION_v3_eyJjaXRhdGlvbklEIjoiTUVOREVMRVlfQ0lUQVRJT05fZTI4ZDcyOTUtNWIwNC00ODk0LTlhYWYtMDVkYTVjMDc2MGVkIiwicHJvcGVydGllcyI6eyJub3RlSW5kZXgiOjB9LCJpc0VkaXRlZCI6ZmFsc2UsIm1hbnVhbE92ZXJyaWRlIjp7ImlzTWFudWFsbHlPdmVycmlkZGVuIjpmYWxzZSwiY2l0ZXByb2NUZXh0IjoiKDQxLDQy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&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059ef76f-b9a5-3b7c-bbfb-f52880c87336&quot;,&quot;itemData&quot;:{&quot;type&quot;:&quot;article&quot;,&quot;id&quot;:&quot;059ef76f-b9a5-3b7c-bbfb-f52880c87336&quot;,&quot;title&quot;:&quot;Integrating artificial intelligence and Internet of Things (IoT) for enhanced crop monitoring and management in precision agriculture&quot;,&quot;author&quot;:[{&quot;family&quot;:&quot;Sharma&quot;,&quot;given&quot;:&quot;Kushagra&quot;,&quot;parse-names&quot;:false,&quot;dropping-particle&quot;:&quot;&quot;,&quot;non-dropping-particle&quot;:&quot;&quot;},{&quot;family&quot;:&quot;Shivandu&quot;,&quot;given&quot;:&quot;Shiv Kumar&quot;,&quot;parse-names&quot;:false,&quot;dropping-particle&quot;:&quot;&quot;,&quot;non-dropping-particle&quot;:&quot;&quot;}],&quot;container-title&quot;:&quot;Sensors International&quot;,&quot;DOI&quot;:&quot;10.1016/j.sintl.2024.100292&quot;,&quot;ISSN&quot;:&quot;26663511&quot;,&quot;issued&quot;:{&quot;date-parts&quot;:[[2024,1,1]]},&quot;abstract&quot;:&quot;The integration of Artificial Intelligence (AI) and Internet of Things (IoT) technologies is transforming precision agriculture by enhancing crop monitoring and management. This review explores cutting-edge methodologies and innovations in modern agriculture, including high-throughput phenotyping, remote sensing, and automated agricultural robots (AgroBots). These technologies automate tasks such as harvesting, sorting, and weed detection, significantly reducing labor costs and environmental impacts. High-throughput phenotyping leverages remote sensing, spectral imaging, and robotics to collect data on plant traits, enabling informed decisions on fertilization, irrigation, and pest management. DGPS and remote sensing offer precise, real-time data essential for soil condition assessment and crop health monitoring. Advanced image segmentation techniques ensure accurate detection of plants and fruits, overcoming challenges posed by varying lighting conditions and complex backgrounds. Case studies like the PACMAN SCRI project for apple crop load management and Project PANTHEON's SCADA system for hazelnut orchard management demonstrate the transformative potential of AI and IoT in optimizing agricultural practices. The upcoming integration of 5G and future 6G mobile networks promises to address connectivity challenges, promoting the widespread adoption of smart agricultural practices. However, several research gaps remain. Integrating diverse datasets, ensuring scalability for small and medium-sized farms, and enhancing real-time decision-making need further investigation. Developing robust AI models and IoT devices for varied agricultural conditions, creating user-friendly interfaces for farmers, and addressing privacy and security concerns are essential. Addressing these gaps can enhance the effectiveness and adoption of AI and IoT in precision agriculture, leading to more sustainable and productive farming practices.&quot;,&quot;publisher&quot;:&quot;KeAi Communications Co.&quot;,&quot;volume&quot;:&quot;5&quot;,&quot;container-title-short&quot;:&quot;&quot;},&quot;isTemporary&quot;:false}]},{&quot;citationID&quot;:&quot;MENDELEY_CITATION_bbbaacb8-3a40-4fd9-b79e-ee3b8284231c&quot;,&quot;properties&quot;:{&quot;noteIndex&quot;:0},&quot;isEdited&quot;:false,&quot;manualOverride&quot;:{&quot;isManuallyOverridden&quot;:false,&quot;citeprocText&quot;:&quot;(41)&quot;,&quot;manualOverrideText&quot;:&quot;&quot;},&quot;citationTag&quot;:&quot;MENDELEY_CITATION_v3_eyJjaXRhdGlvbklEIjoiTUVOREVMRVlfQ0lUQVRJT05fYmJiYWFjYjgtM2E0MC00ZmQ5LWI3OWUtZWUzYjgyODQyMzFjIiwicHJvcGVydGllcyI6eyJub3RlSW5kZXgiOjB9LCJpc0VkaXRlZCI6ZmFsc2UsIm1hbnVhbE92ZXJyaWRlIjp7ImlzTWFudWFsbHlPdmVycmlkZGVuIjpmYWxzZSwiY2l0ZXByb2NUZXh0IjoiK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V19&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citationID&quot;:&quot;MENDELEY_CITATION_87d8b264-3fe9-4be9-9318-602bb3c90569&quot;,&quot;properties&quot;:{&quot;noteIndex&quot;:0},&quot;isEdited&quot;:false,&quot;manualOverride&quot;:{&quot;isManuallyOverridden&quot;:false,&quot;citeprocText&quot;:&quot;(43,44)&quot;,&quot;manualOverrideText&quot;:&quot;&quot;},&quot;citationTag&quot;:&quot;MENDELEY_CITATION_v3_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&quot;,&quot;citationItems&quot;:[{&quot;id&quot;:&quot;366988e5-9a2f-38d5-8a70-c86b3db50096&quot;,&quot;itemData&quot;:{&quot;type&quot;:&quot;article&quot;,&quot;id&quot;:&quot;366988e5-9a2f-38d5-8a70-c86b3db50096&quot;,&quot;title&quot;:&quot;The role of artificial intelligence in the development of anticancer therapeutics from natural polyphenols: Current advances and future prospects&quot;,&quot;author&quot;:[{&quot;family&quot;:&quot;Zheng&quot;,&quot;given&quot;:&quot;Ying&quot;,&quot;parse-names&quot;:false,&quot;dropping-particle&quot;:&quot;&quot;,&quot;non-dropping-particle&quot;:&quot;&quot;},{&quot;family&quot;:&quot;Ma&quot;,&quot;given&quot;:&quot;Yifei&quot;,&quot;parse-names&quot;:false,&quot;dropping-particle&quot;:&quot;&quot;,&quot;non-dropping-particle&quot;:&quot;&quot;},{&quot;family&quot;:&quot;Xiong&quot;,&quot;given&quot;:&quot;Qunli&quot;,&quot;parse-names&quot;:false,&quot;dropping-particle&quot;:&quot;&quot;,&quot;non-dropping-particle&quot;:&quot;&quot;},{&quot;family&quot;:&quot;Zhu&quot;,&quot;given&quot;:&quot;Kai&quot;,&quot;parse-names&quot;:false,&quot;dropping-particle&quot;:&quot;&quot;,&quot;non-dropping-particle&quot;:&quot;&quot;},{&quot;family&quot;:&quot;Weng&quot;,&quot;given&quot;:&quot;Ningna&quot;,&quot;parse-names&quot;:false,&quot;dropping-particle&quot;:&quot;&quot;,&quot;non-dropping-particle&quot;:&quot;&quot;},{&quot;family&quot;:&quot;Zhu&quot;,&quot;given&quot;:&quot;Qing&quot;,&quot;parse-names&quot;:false,&quot;dropping-particle&quot;:&quot;&quot;,&quot;non-dropping-particle&quot;:&quot;&quot;}],&quot;container-title&quot;:&quot;Pharmacological Research&quot;,&quot;container-title-short&quot;:&quot;Pharmacol Res&quot;,&quot;DOI&quot;:&quot;10.1016/j.phrs.2024.107381&quot;,&quot;ISSN&quot;:&quot;10961186&quot;,&quot;issued&quot;:{&quot;date-parts&quot;:[[2024,10,1]]},&quot;abstract&quot;:&quot;Natural polyphenols, abundant in the human diet, are derived from a wide variety of sources. Numerous preclinical studies have demonstrated their significant anticancer properties against various malignancies, making them valuable resources for drug development. However, traditional experimental methods for developing anticancer therapies from natural polyphenols are time-consuming and labor-intensive. Recently, artificial intelligence has shown promising advancements in drug discovery. Integrating AI technologies into the development process for natural polyphenols can substantially reduce development time and enhance efficiency. In this study, we review the crucial roles of natural polyphenols in anticancer treatment and explore the potential of AI technologies to aid in drug development. Specifically, we discuss the application of AI in key stages such as drug structure prediction, virtual drug screening, prediction of biological activity, and drug-target protein interaction, highlighting the potential to revolutionize the development of natural polyphenol-based anticancer therapies.&quot;,&quot;publisher&quot;:&quot;Academic Press&quot;,&quot;volume&quot;:&quot;208&quot;},&quot;isTemporary&quot;:false},{&quot;id&quot;:&quot;cb0b23e0-4d39-3bd4-88fa-2f16ed182304&quot;,&quot;itemData&quot;:{&quot;type&quot;:&quot;article&quot;,&quot;id&quot;:&quot;cb0b23e0-4d39-3bd4-88fa-2f16ed182304&quot;,&quot;title&quot;:&quot;Synergizing artificial intelligence and probiotics: A comprehensive review of emerging applications in health promotion and industrial innovation&quot;,&quot;author&quot;:[{&quot;family&quot;:&quot;Han&quot;,&quot;given&quot;:&quot;Xin&quot;,&quot;parse-names&quot;:false,&quot;dropping-particle&quot;:&quot;&quot;,&quot;non-dropping-particle&quot;:&quot;&quot;},{&quot;family&quot;:&quot;Liu&quot;,&quot;given&quot;:&quot;Qingqiu&quot;,&quot;parse-names&quot;:false,&quot;dropping-particle&quot;:&quot;&quot;,&quot;non-dropping-particle&quot;:&quot;&quot;},{&quot;family&quot;:&quot;Li&quot;,&quot;given&quot;:&quot;Yun&quot;,&quot;parse-names&quot;:false,&quot;dropping-particle&quot;:&quot;&quot;,&quot;non-dropping-particle&quot;:&quot;&quot;},{&quot;family&quot;:&quot;Zhang&quot;,&quot;given&quot;:&quot;Meng&quot;,&quot;parse-names&quot;:false,&quot;dropping-particle&quot;:&quot;&quot;,&quot;non-dropping-particle&quot;:&quot;&quot;},{&quot;family&quot;:&quot;Liu&quot;,&quot;given&quot;:&quot;Kaiyang&quot;,&quot;parse-names&quot;:false,&quot;dropping-particle&quot;:&quot;&quot;,&quot;non-dropping-particle&quot;:&quot;&quot;},{&quot;family&quot;:&quot;Kwok&quot;,&quot;given&quot;:&quot;Lai Yu&quot;,&quot;parse-names&quot;:false,&quot;dropping-particle&quot;:&quot;&quot;,&quot;non-dropping-particle&quot;:&quot;&quot;},{&quot;family&quot;:&quot;Zhang&quot;,&quot;given&quot;:&quot;Heping&quot;,&quot;parse-names&quot;:false,&quot;dropping-particle&quot;:&quot;&quot;,&quot;non-dropping-particle&quot;:&quot;&quot;},{&quot;family&quot;:&quot;Zhang&quot;,&quot;given&quot;:&quot;Wenyi&quot;,&quot;parse-names&quot;:false,&quot;dropping-particle&quot;:&quot;&quot;,&quot;non-dropping-particle&quot;:&quot;&quot;}],&quot;container-title&quot;:&quot;Trends in Food Science and Technology&quot;,&quot;container-title-short&quot;:&quot;Trends Food Sci Technol&quot;,&quot;DOI&quot;:&quot;10.1016/j.tifs.2025.104938&quot;,&quot;ISSN&quot;:&quot;09242244&quot;,&quot;issued&quot;:{&quot;date-parts&quot;:[[2025,5,1]]},&quot;abstract&quot;:&quot;Background: Probiotics play a vital role in human health, garnering significant scientific and public interest. The integration of artificial intelligence (AI) into probiotic research and applications promises to revolutionize strain discovery, health outcomes, and food industry innovations. Scope and approach: This review explores the intersection of AI and probiotics, focusing on AI-powered machine learning models that revolutionize strain screening, biomarker prediction, and metabolite analysis. Artificial intelligence enables early diagnosis and personalized nutrition by predicting biomarkers for conditions like inflammatory bowel disease and irritable bowel syndrome. It also identifies key probiotic metabolites, such as antimicrobial peptides, exopolysaccharides, and phenolic compounds, advancing fermentation technology and probiotic efficacy. Challenges, including data quality, computational demands, and experimental validation, are also discussed. Key findings and conclusions: Artificial intelligence outperforms conventional methods, offering rapid, high-precision screening, scalable data analysis, and automated strain optimization. Case studies demonstrate AI models achieving over 97% accuracy in bacterial identification and accelerated metabolite discovery. However, challenges like data quality, computational costs, and model interpretability remain. Overcoming these will strengthen the role of AI in precision nutrition, functional food development, and personalized medicine. This review concludes with future perspectives, emphasizing the potential of AI to revolutionize gut microbiome research and probiotic-based therapeutics.&quot;,&quot;publisher&quot;:&quot;Elsevier Ltd&quot;,&quot;volume&quot;:&quot;159&quot;},&quot;isTemporary&quot;:false}]},{&quot;citationID&quot;:&quot;MENDELEY_CITATION_dcd70d26-bee6-48f7-b525-425464044fb1&quot;,&quot;properties&quot;:{&quot;noteIndex&quot;:0},&quot;isEdited&quot;:false,&quot;manualOverride&quot;:{&quot;isManuallyOverridden&quot;:false,&quot;citeprocText&quot;:&quot;(45)&quot;,&quot;manualOverrideText&quot;:&quot;&quot;},&quot;citationTag&quot;:&quot;MENDELEY_CITATION_v3_eyJjaXRhdGlvbklEIjoiTUVOREVMRVlfQ0lUQVRJT05fZGNkNzBkMjYtYmVlNi00OGY3LWI1MjUtNDI1NDY0MDQ0ZmIx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e5eeaf30-1957-4f6a-9bc4-de90bcb06f7c&quot;,&quot;properties&quot;:{&quot;noteIndex&quot;:0},&quot;isEdited&quot;:false,&quot;manualOverride&quot;:{&quot;isManuallyOverridden&quot;:false,&quot;citeprocText&quot;:&quot;(45)&quot;,&quot;manualOverrideText&quot;:&quot;&quot;},&quot;citationTag&quot;:&quot;MENDELEY_CITATION_v3_eyJjaXRhdGlvbklEIjoiTUVOREVMRVlfQ0lUQVRJT05fZTVlZWFmMzAtMTk1Ny00ZjZhLTliYzQtZGU5MGJjYjA2Zjdj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1540741d-0644-46c4-ac5a-cefb6bd869a0&quot;,&quot;properties&quot;:{&quot;noteIndex&quot;:0},&quot;isEdited&quot;:false,&quot;manualOverride&quot;:{&quot;isManuallyOverridden&quot;:false,&quot;citeprocText&quot;:&quot;(46)&quot;,&quot;manualOverrideText&quot;:&quot;&quot;},&quot;citationTag&quot;:&quot;MENDELEY_CITATION_v3_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&quot;,&quot;citationItems&quot;:[{&quot;id&quot;:&quot;c2cabc36-b988-350c-aeb7-e2da26f88110&quot;,&quot;itemData&quot;:{&quot;type&quot;:&quot;article-journal&quot;,&quot;id&quot;:&quot;c2cabc36-b988-350c-aeb7-e2da26f88110&quot;,&quot;title&quot;:&quot;Impact of artificial intelligence on hospital admission prediction and flow optimization in health services: a systematic review&quot;,&quot;author&quot;:[{&quot;family&quot;:&quot;Nunes&quot;,&quot;given&quot;:&quot;Aline Lucas&quot;,&quot;parse-names&quot;:false,&quot;dropping-particle&quot;:&quot;&quot;,&quot;non-dropping-particle&quot;:&quot;&quot;},{&quot;family&quot;:&quot;Lisboa&quot;,&quot;given&quot;:&quot;Thiago&quot;,&quot;parse-names&quot;:false,&quot;dropping-particle&quot;:&quot;&quot;,&quot;non-dropping-particle&quot;:&quot;&quot;},{&quot;family&quot;:&quot;Rosa&quot;,&quot;given&quot;:&quot;Bruna Nichele&quot;,&quot;parse-names&quot;:false,&quot;dropping-particle&quot;:&quot;&quot;,&quot;non-dropping-particle&quot;:&quot;da&quot;},{&quot;family&quot;:&quot;Blatt&quot;,&quot;given&quot;:&quot;Carine Raquel&quot;,&quot;parse-names&quot;:false,&quot;dropping-particle&quot;:&quot;&quot;,&quot;non-dropping-particle&quot;:&quot;&quot;}],&quot;container-title&quot;:&quot;International Journal of Medical Informatics&quot;,&quot;container-title-short&quot;:&quot;Int J Med Inform&quot;,&quot;DOI&quot;:&quot;10.1016/j.ijmedinf.2025.106057&quot;,&quot;ISSN&quot;:&quot;13865056&quot;,&quot;URL&quot;:&quot;https://linkinghub.elsevier.com/retrieve/pii/S1386505625002746&quot;,&quot;issued&quot;:{&quot;date-parts&quot;:[[2025,12]]},&quot;page&quot;:&quot;106057&quot;,&quot;volume&quot;:&quot;204&quot;},&quot;isTemporary&quot;:false}]},{&quot;citationID&quot;:&quot;MENDELEY_CITATION_d770f4bc-3ccc-43b4-a539-f950a6e2ba79&quot;,&quot;properties&quot;:{&quot;noteIndex&quot;:0},&quot;isEdited&quot;:false,&quot;manualOverride&quot;:{&quot;isManuallyOverridden&quot;:false,&quot;citeprocText&quot;:&quot;(45)&quot;,&quot;manualOverrideText&quot;:&quot;&quot;},&quot;citationTag&quot;:&quot;MENDELEY_CITATION_v3_eyJjaXRhdGlvbklEIjoiTUVOREVMRVlfQ0lUQVRJT05fZDc3MGY0YmMtM2NjYy00M2I0LWE1MzktZjk1MGE2ZTJiYTc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128fb035-3804-441d-ad52-03cb8b943307&quot;,&quot;properties&quot;:{&quot;noteIndex&quot;:0},&quot;isEdited&quot;:false,&quot;manualOverride&quot;:{&quot;isManuallyOverridden&quot;:false,&quot;citeprocText&quot;:&quot;(47–49)&quot;,&quot;manualOverrideText&quot;:&quot;&quot;},&quot;citationTag&quot;:&quot;MENDELEY_CITATION_v3_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MTAuMTAxNi9qLm9uYW5vLjIwMjUuMTAwMjQ1IiwiSVNTTiI6IjIzNTI5NTIwIiwiVVJMIjoiaHR0cHM6Ly9saW5raW5naHViLmVsc2V2aWVyLmNvbS9yZXRyaWV2ZS9waWkvUzIzNTI5NTIwMjUwMDAxNDMiLCJpc3N1ZWQiOnsiZGF0ZS1wYXJ0cyI6W1syMDI1LDRdXX0sInBhZ2UiOiIxMDAyNDUiLCJjb250YWluZXItdGl0bGUtc2hvcnQiOiIifSwiaXNUZW1wb3JhcnkiOmZhbHNlfV19&quot;,&quot;citationItems&quot;:[{&quot;id&quot;:&quot;70818bdc-7433-3914-afb3-29a83c2328af&quot;,&quot;itemData&quot;:{&quot;type&quot;:&quot;report&quot;,&quot;id&quot;:&quot;70818bdc-7433-3914-afb3-29a83c2328af&quot;,&quot;title&quot;:&quot;INDIAN REGULATORY REQUIREMENTS&quot;,&quot;container-title-short&quot;:&quot;&quot;},&quot;isTemporary&quot;:false},{&quot;id&quot;:&quot;3b890def-ea58-35f4-b7bd-333c1a61d635&quot;,&quot;itemData&quot;:{&quot;type&quot;:&quot;article-journal&quot;,&quot;id&quot;:&quot;3b890def-ea58-35f4-b7bd-333c1a61d635&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 S&quot;,&quot;parse-names&quot;:false,&quot;dropping-particle&quot;:&quot;&quot;,&quot;non-dropping-particle&quot;:&quot;&quot;},{&quot;family&quot;:&quot;Vasantharaju&quot;,&quot;given&quot;:&quot;S 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https://doi.org/10.1016/j.onano.2025.100245&quot;,&quot;ISSN&quot;:&quot;2352-9520&quot;,&quot;URL&quot;:&quot;https://www.sciencedirect.com/science/article/pii/S2352952025000143&quot;,&quot;issued&quot;:{&quot;date-parts&quot;:[[2025]]},&quot;page&quot;:&quot;100245&quot;,&quot;abstract&quot;:&quot;The transdermal drug delivery system (TDDS) is a very successful and suitable approach for drug delivery because of its advantages over other drug delivery systems. The main advantages of this technique include sustained release, bypassing first-pass metabolism, and enhancing patient compliance. However, the skin is composed of several layers through which the drug must pass through to enter the systemic circulation for therapeutic activity and its limitations include poor skin permeability. Effective TDDS must consider drug properties (molecular weight, solubility, and lipophilicity), vehicle composition, and skin characteristics (hydration, temperature, and regional permeability) to overcome these limitations. Chemical permeation enhancers interfere with the lipid matrix of the stratum corneum, and natural permeation enhancers, including essential oils and terpenes, provide other alternatives. Recently, multiple reservoir patches have been developed for the delivery of multiple active ingredients and electronic TDDS patches for automatic drug release. Despite such advancements, challenges persist in the form of skin irritation, the need for special equipment, and the delivery of large molecules requiring additional study. Future research must aim for the development of hypoallergenic adhesives, the optimization of microneedle safety, and the investigation of new nanocarriers to increase the efficacy of TDDSs and patient outcomes. This review explores the various strategies to enhance drug permeation by TDDS and aims to describe their regulatory requirements according to USFDA guidelines and EMA guidelines as well as their comparison, and highlighted various applications of transdermal drug delivery systems in medicine, patents and clinical trials.&quot;,&quot;container-title-short&quot;:&quot;&quot;},&quot;isTemporary&quot;:false},{&quot;id&quot;:&quot;ca6edb80-ac19-39a3-b02e-6bd1cee2406b&quot;,&quot;itemData&quot;:{&quot;type&quot;:&quot;article-journal&quot;,&quot;id&quot;:&quot;ca6edb80-ac19-39a3-b02e-6bd1cee2406b&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S.&quot;,&quot;parse-names&quot;:false,&quot;dropping-particle&quot;:&quot;&quot;,&quot;non-dropping-particle&quot;:&quot;&quot;},{&quot;family&quot;:&quot;Vasantharaju&quot;,&quot;given&quot;:&quot;S.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10.1016/j.onano.2025.100245&quot;,&quot;ISSN&quot;:&quot;23529520&quot;,&quot;URL&quot;:&quot;https://linkinghub.elsevier.com/retrieve/pii/S2352952025000143&quot;,&quot;issued&quot;:{&quot;date-parts&quot;:[[2025,4]]},&quot;page&quot;:&quot;100245&quot;,&quot;container-title-short&quot;:&quot;&quot;},&quot;isTemporary&quot;:false}]},{&quot;citationID&quot;:&quot;MENDELEY_CITATION_7008f20d-c5f3-4edf-86ea-15da80b979ac&quot;,&quot;properties&quot;:{&quot;noteIndex&quot;:0},&quot;isEdited&quot;:false,&quot;manualOverride&quot;:{&quot;isManuallyOverridden&quot;:false,&quot;citeprocText&quot;:&quot;(50,51)&quot;,&quot;manualOverrideText&quot;:&quot;&quot;},&quot;citationTag&quot;:&quot;MENDELEY_CITATION_v3_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&quot;,&quot;citationItems&quot;:[{&quot;id&quot;:&quot;72a1b44c-b956-3ccc-b46e-35b5d451f50a&quot;,&quot;itemData&quot;:{&quot;type&quot;:&quot;article-journal&quot;,&quot;id&quot;:&quot;72a1b44c-b956-3ccc-b46e-35b5d451f50a&quot;,&quot;title&quot;:&quot;Revisiting the Concepts of Prebiotic and Prebiotic Effect in Light of Scientific and Regulatory Progress—A Consensus Paper From the Global Prebiotic Association&quot;,&quot;author&quot;:[{&quot;family&quot;:&quot;Deehan&quot;,&quot;given&quot;:&quot;Edward C&quot;,&quot;parse-names&quot;:false,&quot;dropping-particle&quot;:&quot;&quot;,&quot;non-dropping-particle&quot;:&quot;&quot;},{&quot;family&quot;:&quot;Antwan&quot;,&quot;given&quot;:&quot;Santa&quot;,&quot;parse-names&quot;:false,&quot;dropping-particle&quot;:&quot;&quot;,&quot;non-dropping-particle&quot;:&quot;Al&quot;},{&quot;family&quot;:&quot;Witwer&quot;,&quot;given&quot;:&quot;Rhonda S&quot;,&quot;parse-names&quot;:false,&quot;dropping-particle&quot;:&quot;&quot;,&quot;non-dropping-particle&quot;:&quot;&quot;},{&quot;family&quot;:&quot;Guerra&quot;,&quot;given&quot;:&quot;Paula&quot;,&quot;parse-names&quot;:false,&quot;dropping-particle&quot;:&quot;&quot;,&quot;non-dropping-particle&quot;:&quot;&quot;},{&quot;family&quot;:&quot;John&quot;,&quot;given&quot;:&quot;Tania&quot;,&quot;parse-names&quot;:false,&quot;dropping-particle&quot;:&quot;&quot;,&quot;non-dropping-particle&quot;:&quot;&quot;},{&quot;family&quot;:&quot;Monheit&quot;,&quot;given&quot;:&quot;Len&quot;,&quot;parse-names&quot;:false,&quot;dropping-particle&quot;:&quot;&quot;,&quot;non-dropping-particle&quot;:&quot;&quot;}],&quot;container-title&quot;:&quot;Advances in Nutrition&quot;,&quot;DOI&quot;:&quot;10.1016/j.advnut.2024.100329&quot;,&quot;ISSN&quot;:&quot;21618313&quot;,&quot;URL&quot;:&quot;https://linkinghub.elsevier.com/retrieve/pii/S2161831324001637&quot;,&quot;issued&quot;:{&quot;date-parts&quot;:[[2024,10]]},&quot;page&quot;:&quot;100329&quot;,&quot;container-title-short&quot;:&quot;&quot;},&quot;isTemporary&quot;:false},{&quot;id&quot;:&quot;4b175248-e67f-3fc5-81fa-6433d5782d1e&quot;,&quot;itemData&quot;:{&quot;type&quot;:&quot;article-journal&quot;,&quot;id&quot;:&quot;4b175248-e67f-3fc5-81fa-6433d5782d1e&quot;,&quot;title&quot;:&quot;Regulatory activities of Warbugia ugandensis ethanolic extracts on colorectal cancer-specific genome expression dose-dependently&quot;,&quot;author&quot;:[{&quot;family&quot;:&quot;Macharia&quot;,&quot;given&quot;:&quot;John M.&quot;,&quot;parse-names&quot;:false,&quot;dropping-particle&quot;:&quot;&quot;,&quot;non-dropping-particle&quot;:&quot;&quot;},{&quot;family&quot;:&quot;Mwangi&quot;,&quot;given&quot;:&quot;Ruth W.&quot;,&quot;parse-names&quot;:false,&quot;dropping-particle&quot;:&quot;&quot;,&quot;non-dropping-particle&quot;:&quot;&quot;},{&quot;family&quot;:&quot;Szabó&quot;,&quot;given&quot;:&quot;István&quot;,&quot;parse-names&quot;:false,&quot;dropping-particle&quot;:&quot;&quot;,&quot;non-dropping-particle&quot;:&quot;&quot;},{&quot;family&quot;:&quot;Zand&quot;,&quot;given&quot;:&quot;Afshin&quot;,&quot;parse-names&quot;:false,&quot;dropping-particle&quot;:&quot;&quot;,&quot;non-dropping-particle&quot;:&quot;&quot;},{&quot;family&quot;:&quot;Kaposztas&quot;,&quot;given&quot;:&quot;Zsolt&quot;,&quot;parse-names&quot;:false,&quot;dropping-particle&quot;:&quot;&quot;,&quot;non-dropping-particle&quot;:&quot;&quot;},{&quot;family&quot;:&quot;Varjas&quot;,&quot;given&quot;:&quot;Tímea&quot;,&quot;parse-names&quot;:false,&quot;dropping-particle&quot;:&quot;&quot;,&quot;non-dropping-particle&quot;:&quot;&quot;},{&quot;family&quot;:&quot;Rozmann&quot;,&quot;given&quot;:&quot;Nóra&quot;,&quot;parse-names&quot;:false,&quot;dropping-particle&quot;:&quot;&quot;,&quot;non-dropping-particle&quot;:&quot;&quot;},{&quot;family&quot;:&quot;Raposa&quot;,&quot;given&quot;:&quot;Bence L.&quot;,&quot;parse-names&quot;:false,&quot;dropping-particle&quot;:&quot;&quot;,&quot;non-dropping-particle&quot;:&quot;&quot;}],&quot;container-title&quot;:&quot;Biomedicine and Pharmacotherapy&quot;,&quot;DOI&quot;:&quot;10.1016/j.biopha.2023.115325&quot;,&quot;ISSN&quot;:&quot;19506007&quot;,&quot;PMID&quot;:&quot;37586118&quot;,&quot;issued&quot;:{&quot;date-parts&quot;:[[2023,10,1]]},&quot;abstract&quot;:&quot;The evaluation of natural biomass sources is a promising strategy in accelerating the development of novel anti-cancer medications. Our study aimed to evaluate the activity of W. ugandensis ethanolic roots and stems extracts on the expression of five targeted genes (COX-2, CASPS-9, Bcl-xL, Bcl2 and 5-LOX) in colorectal cancer (CRC) cell lines (Caco-2). Plant extracts were obtained using serial exhaustive extraction and dissolved in Dimethyl sulfoxide appropriately for bioassay. Caco-2 cell lines were passaged, treated with plant extracts at varying concentrations and their RNA's isolated for evaluation. Our unique study reports on W. ugandensis as efficient natural inhibitors of CRC growth, by directly linking its phytoconstituents to; downregulation of COX-2, 5-LOX, Bcl-xL, Bcl2 and upregulation of CASPS9 genes dose-dependently. We present W. ugandensis ethanolic roots and stems extracts as promising natural inhibitors for CRC carcinogenesis and recommend in vivo and subsequent clinical trials, with substantial clinical effects postulated. We further suggest studies on identification and characterization of the specific metabolites in W. ugandensis involved in the modulatory mechanisms, resulting to inhibition of CRC growth and possible metastases.&quot;,&quot;publisher&quot;:&quot;Elsevier Masson s.r.l.&quot;,&quot;volume&quot;:&quot;166&quot;,&quot;container-title-short&quot;:&quot;&quot;},&quot;isTemporary&quot;:false}]},{&quot;citationID&quot;:&quot;MENDELEY_CITATION_88e288b4-5f84-46a4-8810-ab6aed1694dc&quot;,&quot;properties&quot;:{&quot;noteIndex&quot;:0},&quot;isEdited&quot;:false,&quot;manualOverride&quot;:{&quot;isManuallyOverridden&quot;:false,&quot;citeprocText&quot;:&quot;(52)&quot;,&quot;manualOverrideText&quot;:&quot;&quot;},&quot;citationTag&quot;:&quot;MENDELEY_CITATION_v3_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&quot;,&quot;citationItems&quot;:[{&quot;id&quot;:&quot;1621d4bb-f627-36f6-9902-1c2ebc8d3625&quot;,&quot;itemData&quot;:{&quot;type&quot;:&quot;article&quot;,&quot;id&quot;:&quot;1621d4bb-f627-36f6-9902-1c2ebc8d3625&quot;,&quot;title&quot;:&quot;Considerations for determining safety of probiotics: A USP perspective&quot;,&quot;author&quot;:[{&quot;family&quot;:&quot;Roe&quot;,&quot;given&quot;:&quot;Amy L.&quot;,&quot;parse-names&quot;:false,&quot;dropping-particle&quot;:&quot;&quot;,&quot;non-dropping-particle&quot;:&quot;&quot;},{&quot;family&quot;:&quot;Boyte&quot;,&quot;given&quot;:&quot;Marie Eve&quot;,&quot;parse-names&quot;:false,&quot;dropping-particle&quot;:&quot;&quot;,&quot;non-dropping-particle&quot;:&quot;&quot;},{&quot;family&quot;:&quot;Elkins&quot;,&quot;given&quot;:&quot;Chris A.&quot;,&quot;parse-names&quot;:false,&quot;dropping-particle&quot;:&quot;&quot;,&quot;non-dropping-particle&quot;:&quot;&quot;},{&quot;family&quot;:&quot;Goldman&quot;,&quot;given&quot;:&quot;Virginia S.&quot;,&quot;parse-names&quot;:false,&quot;dropping-particle&quot;:&quot;&quot;,&quot;non-dropping-particle&quot;:&quot;&quot;},{&quot;family&quot;:&quot;Heimbach&quot;,&quot;given&quot;:&quot;James&quot;,&quot;parse-names&quot;:false,&quot;dropping-particle&quot;:&quot;&quot;,&quot;non-dropping-particle&quot;:&quot;&quot;},{&quot;family&quot;:&quot;Madden&quot;,&quot;given&quot;:&quot;Emily&quot;,&quot;parse-names&quot;:false,&quot;dropping-particle&quot;:&quot;&quot;,&quot;non-dropping-particle&quot;:&quot;&quot;},{&quot;family&quot;:&quot;Oketch-Rabah&quot;,&quot;given&quot;:&quot;Hellen&quot;,&quot;parse-names&quot;:false,&quot;dropping-particle&quot;:&quot;&quot;,&quot;non-dropping-particle&quot;:&quot;&quot;},{&quot;family&quot;:&quot;Sanders&quot;,&quot;given&quot;:&quot;Mary Ellen&quot;,&quot;parse-names&quot;:false,&quot;dropping-particle&quot;:&quot;&quot;,&quot;non-dropping-particle&quot;:&quot;&quot;},{&quot;family&quot;:&quot;Sirois&quot;,&quot;given&quot;:&quot;Jay&quot;,&quot;parse-names&quot;:false,&quot;dropping-particle&quot;:&quot;&quot;,&quot;non-dropping-particle&quot;:&quot;&quot;},{&quot;family&quot;:&quot;Smith&quot;,&quot;given&quot;:&quot;Amy&quot;,&quot;parse-names&quot;:false,&quot;dropping-particle&quot;:&quot;&quot;,&quot;non-dropping-particle&quot;:&quot;&quot;}],&quot;container-title&quot;:&quot;Regulatory Toxicology and Pharmacology&quot;,&quot;DOI&quot;:&quot;10.1016/j.yrtph.2022.105266&quot;,&quot;ISSN&quot;:&quot;10960295&quot;,&quot;PMID&quot;:&quot;36206977&quot;,&quot;issued&quot;:{&quot;date-parts&quot;:[[2022,12,1]]},&quot;abstract&quot;:&quot;A history of safe use is a backbone of safety assessments for many current probiotic species, however, there is no global harmonization regarding requirements for establishing probiotic safety for use in foods and supplements. As probiotic manufacturers are increasingly seeking to use new strains, novel species, and next-generation probiotics, justification based on a significant history of use may be challenged. There are efforts underway by a variety of stakeholders, including the United States Pharmacopeia (USP), to develop best practices guidelines for assessing the quality and safety of probiotics. A current initiative of the USP seeks to provide expert advice specific to safety considerations for probiotics. Toward this goal, this review provides a helpful summary guide to global regulatory guidelines. We question the suitability of traditional animal toxicology studies designed for testing chemicals for relevance in assessing probiotic safety. This includes discussion of the use of excessive dose levels, the length of repeated dose toxicity studies needed, and the most suitable animal species used in toxicology studies. In addition, the importance of proper manufacturing practices with regard to final product safety are also included. Thus, an outline of essential parameters of a comprehensive safety assessment for a probiotic are provided.&quot;,&quot;publisher&quot;:&quot;Academic Press Inc.&quot;,&quot;volume&quot;:&quot;136&quot;,&quot;container-title-short&quot;:&quot;&quot;},&quot;isTemporary&quot;:false}]},{&quot;citationID&quot;:&quot;MENDELEY_CITATION_f234732d-4204-4920-ae29-82535a0b329a&quot;,&quot;properties&quot;:{&quot;noteIndex&quot;:0},&quot;isEdited&quot;:false,&quot;manualOverride&quot;:{&quot;isManuallyOverridden&quot;:false,&quot;citeprocText&quot;:&quot;(48)&quot;,&quot;manualOverrideText&quot;:&quot;&quot;},&quot;citationTag&quot;:&quot;MENDELEY_CITATION_v3_eyJjaXRhdGlvbklEIjoiTUVOREVMRVlfQ0lUQVRJT05fZjIzNDczMmQtNDIwNC00OTIwLWFlMjktODI1MzVhMGIzMjlhIiwicHJvcGVydGllcyI6eyJub3RlSW5kZXgiOjB9LCJpc0VkaXRlZCI6ZmFsc2UsIm1hbnVhbE92ZXJyaWRlIjp7ImlzTWFudWFsbHlPdmVycmlkZGVuIjpmYWxzZSwiY2l0ZXByb2NUZXh0IjoiKDQ4KSIsIm1hbnVhbE92ZXJyaWRlVGV4dCI6IiJ9LCJjaXRhdGlvbkl0ZW1zIjpbeyJpZCI6IjNiODkwZGVmLWVhNTgtMzVmNC1iN2JkLTMzM2MxYTYxZDYzNSIsIml0ZW1EYXRhIjp7InR5cGUiOiJhcnRpY2xlLWpvdXJuYWwiLCJpZCI6IjNiODkwZGVmLWVhNTgtMzVmNC1iN2JkLTMzM2MxYTYxZDYzNS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&quot;,&quot;citationItems&quot;:[{&quot;id&quot;:&quot;3b890def-ea58-35f4-b7bd-333c1a61d635&quot;,&quot;itemData&quot;:{&quot;type&quot;:&quot;article-journal&quot;,&quot;id&quot;:&quot;3b890def-ea58-35f4-b7bd-333c1a61d635&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 S&quot;,&quot;parse-names&quot;:false,&quot;dropping-particle&quot;:&quot;&quot;,&quot;non-dropping-particle&quot;:&quot;&quot;},{&quot;family&quot;:&quot;Vasantharaju&quot;,&quot;given&quot;:&quot;S 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https://doi.org/10.1016/j.onano.2025.100245&quot;,&quot;ISSN&quot;:&quot;2352-9520&quot;,&quot;URL&quot;:&quot;https://www.sciencedirect.com/science/article/pii/S2352952025000143&quot;,&quot;issued&quot;:{&quot;date-parts&quot;:[[2025]]},&quot;page&quot;:&quot;100245&quot;,&quot;abstract&quot;:&quot;The transdermal drug delivery system (TDDS) is a very successful and suitable approach for drug delivery because of its advantages over other drug delivery systems. The main advantages of this technique include sustained release, bypassing first-pass metabolism, and enhancing patient compliance. However, the skin is composed of several layers through which the drug must pass through to enter the systemic circulation for therapeutic activity and its limitations include poor skin permeability. Effective TDDS must consider drug properties (molecular weight, solubility, and lipophilicity), vehicle composition, and skin characteristics (hydration, temperature, and regional permeability) to overcome these limitations. Chemical permeation enhancers interfere with the lipid matrix of the stratum corneum, and natural permeation enhancers, including essential oils and terpenes, provide other alternatives. Recently, multiple reservoir patches have been developed for the delivery of multiple active ingredients and electronic TDDS patches for automatic drug release. Despite such advancements, challenges persist in the form of skin irritation, the need for special equipment, and the delivery of large molecules requiring additional study. Future research must aim for the development of hypoallergenic adhesives, the optimization of microneedle safety, and the investigation of new nanocarriers to increase the efficacy of TDDSs and patient outcomes. This review explores the various strategies to enhance drug permeation by TDDS and aims to describe their regulatory requirements according to USFDA guidelines and EMA guidelines as well as their comparison, and highlighted various applications of transdermal drug delivery systems in medicine, patents and clinical trials.&quot;,&quot;container-title-short&quot;:&quot;&quot;},&quot;isTemporary&quot;:false}]},{&quot;citationID&quot;:&quot;MENDELEY_CITATION_b7c26f09-7342-4c7f-ad90-3be5a6765325&quot;,&quot;properties&quot;:{&quot;noteIndex&quot;:0},&quot;isEdited&quot;:false,&quot;manualOverride&quot;:{&quot;isManuallyOverridden&quot;:false,&quot;citeprocText&quot;:&quot;(30,41)&quot;,&quot;manualOverrideText&quot;:&quot;&quot;},&quot;citationTag&quot;:&quot;MENDELEY_CITATION_v3_eyJjaXRhdGlvbklEIjoiTUVOREVMRVlfQ0lUQVRJT05fYjdjMjZmMDktNzM0Mi00YzdmLWFkOTAtM2JlNWE2NzY1MzI1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citationID&quot;:&quot;MENDELEY_CITATION_9728d7b6-d222-4998-af19-f02b4d199abe&quot;,&quot;properties&quot;:{&quot;noteIndex&quot;:0},&quot;isEdited&quot;:false,&quot;manualOverride&quot;:{&quot;isManuallyOverridden&quot;:false,&quot;citeprocText&quot;:&quot;(33,34)&quot;,&quot;manualOverrideText&quot;:&quot;&quot;},&quot;citationTag&quot;:&quot;MENDELEY_CITATION_v3_eyJjaXRhdGlvbklEIjoiTUVOREVMRVlfQ0lUQVRJT05fOTcyOGQ3YjYtZDIyMi00OTk4LWFmMTktZjAyYjRkMTk5YWJlIiwicHJvcGVydGllcyI6eyJub3RlSW5kZXgiOjB9LCJpc0VkaXRlZCI6ZmFsc2UsIm1hbnVhbE92ZXJyaWRlIjp7ImlzTWFudWFsbHlPdmVycmlkZGVuIjpmYWxzZSwiY2l0ZXByb2NUZXh0IjoiKDMz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&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5ecee7bf-c772-42b4-b654-e64ce388ce25&quot;,&quot;properties&quot;:{&quot;noteIndex&quot;:0},&quot;isEdited&quot;:false,&quot;manualOverride&quot;:{&quot;isManuallyOverridden&quot;:false,&quot;citeprocText&quot;:&quot;(6,35)&quot;,&quot;manualOverrideText&quot;:&quot;&quot;},&quot;citationTag&quot;:&quot;MENDELEY_CITATION_v3_eyJjaXRhdGlvbklEIjoiTUVOREVMRVlfQ0lUQVRJT05fNWVjZWU3YmYtYzc3Mi00MmI0LWI2NTQtZTY0Y2UzODhjZTI1IiwicHJvcGVydGllcyI6eyJub3RlSW5kZXgiOjB9LCJpc0VkaXRlZCI6ZmFsc2UsIm1hbnVhbE92ZXJyaWRlIjp7ImlzTWFudWFsbHlPdmVycmlkZGVuIjpmYWxzZSwiY2l0ZXByb2NUZXh0IjoiKDYsMzU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0s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XX0=&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a5c17110-db83-4aa6-9677-7753198c5876&quot;,&quot;properties&quot;:{&quot;noteIndex&quot;:0},&quot;isEdited&quot;:false,&quot;manualOverride&quot;:{&quot;isManuallyOverridden&quot;:false,&quot;citeprocText&quot;:&quot;(37,53)&quot;,&quot;manualOverrideText&quot;:&quot;&quot;},&quot;citationTag&quot;:&quot;MENDELEY_CITATION_v3_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&quot;,&quot;citationItems&quot;:[{&quot;id&quot;:&quot;cd06c498-e096-3013-be6d-7354721bcfa5&quot;,&quot;itemData&quot;:{&quot;type&quot;:&quot;article-journal&quot;,&quot;id&quot;:&quot;cd06c498-e096-3013-be6d-7354721bcfa5&quot;,&quot;title&quot;:&quot;Machine Learning and Artificial Intelligence in the Multi-Omics Approach to Gut Microbiota&quot;,&quot;author&quot;:[{&quot;family&quot;:&quot;Rozera&quot;,&quot;given&quot;:&quot;Tommaso&quot;,&quot;parse-names&quot;:false,&quot;dropping-particle&quot;:&quot;&quot;,&quot;non-dropping-particle&quot;:&quot;&quot;},{&quot;family&quot;:&quot;Pasolli&quot;,&quot;given&quot;:&quot;Edoardo&quot;,&quot;parse-names&quot;:false,&quot;dropping-particle&quot;:&quot;&quot;,&quot;non-dropping-particle&quot;:&quot;&quot;},{&quot;family&quot;:&quot;Segata&quot;,&quot;given&quot;:&quot;Nicola&quot;,&quot;parse-names&quot;:false,&quot;dropping-particle&quot;:&quot;&quot;,&quot;non-dropping-particle&quot;:&quot;&quot;},{&quot;family&quot;:&quot;Ianiro&quot;,&quot;given&quot;:&quot;Gianluca&quot;,&quot;parse-names&quot;:false,&quot;dropping-particle&quot;:&quot;&quot;,&quot;non-dropping-particle&quot;:&quot;&quot;}],&quot;container-title&quot;:&quot;Gastroenterology&quot;,&quot;container-title-short&quot;:&quot;Gastroenterology&quot;,&quot;DOI&quot;:&quot;10.1053/j.gastro.2025.02.035&quot;,&quot;ISSN&quot;:&quot;15280012&quot;,&quot;PMID&quot;:&quot;40118220&quot;,&quot;issued&quot;:{&quot;date-parts&quot;:[[2025,8,1]]},&quot;page&quot;:&quot;487-501&quot;,&quot;abstract&quot;:&quot;The gut microbiome is involved in human health and disease, and its comprehensive understanding is necessary to exploit it as a diagnostic or therapeutic tool. Multi-omics approaches, including metagenomics, metatranscriptomics, metabolomics, and metaproteomics, enable depiction of the gut microbial ecosystem's complexity. However, these tools generate a large data stream in which integration is needed to produce clinically useful readouts, but, in turn, might be difficult to carry out with conventional statistical methods. Artificial intelligence and machine learning have been increasingly applied to multi-omics datasets in several conditions associated with microbiome disruption, from chronic disorders to cancer. Such tools have potential for clinical implementation, including discovery of microbial biomarkers for disease classification or prediction, prediction of response to specific treatments, and fine-tuning of microbiome-modulating therapies. The state of the art, potential, and limits, of artificial intelligence and machine learning in the multi-omics approach to gut microbiome are discussed.&quot;,&quot;publisher&quot;:&quot;W.B. Saunders&quot;,&quot;issue&quot;:&quot;3&quot;,&quot;volume&quot;:&quot;169&quot;},&quot;isTemporary&quot;:false},{&quot;id&quot;:&quot;2dcd855d-d6d0-3f49-b727-d2a9eb05e220&quot;,&quot;itemData&quot;:{&quot;type&quot;:&quot;article-journal&quot;,&quot;id&quot;:&quot;2dcd855d-d6d0-3f49-b727-d2a9eb05e220&quot;,&quot;title&quot;:&quot;Data acquisition of exercise and fitness pressure measurement based on artificial intelligence technology&quot;,&quot;author&quot;:[{&quot;family&quot;:&quot;Liu&quot;,&quot;given&quot;:&quot;Ru&quot;,&quot;parse-names&quot;:false,&quot;dropping-particle&quot;:&quot;&quot;,&quot;non-dropping-particle&quot;:&quot;&quot;},{&quot;family&quot;:&quot;Shen&quot;,&quot;given&quot;:&quot;Wenxi&quot;,&quot;parse-names&quot;:false,&quot;dropping-particle&quot;:&quot;&quot;,&quot;non-dropping-particle&quot;:&quot;&quot;}],&quot;container-title&quot;:&quot;SLAS Technology&quot;,&quot;container-title-short&quot;:&quot;SLAS Technol&quot;,&quot;DOI&quot;:&quot;10.1016/j.slast.2025.100328&quot;,&quot;ISSN&quot;:&quot;24726311&quot;,&quot;PMID&quot;:&quot;40619065&quot;,&quot;issued&quot;:{&quot;date-parts&quot;:[[2025,8,1]]},&quot;abstract&quot;:&quot;This project aims to improve the accuracy of fitness and physical pressure ratings, focusing on basketball, by integrating artificial intelligence (AI) into data collection and training. Athletes and fitness fanatics can benefit greatly from the data collected using complex AI algorithms to determine stress levels. This study employs the Intelligent Physiological Monitoring Framework for Exercise and Fitness Pressure Measurement (IPM-EFPM) to perform automated stress tests that employ AI to enhance the precision of exercise and fitness pressure measurements. Basketball training programs can benefit from this framework's utilization of state-of-the-art technology, meticulous monitoring of exercise-induced stress, and continuous validation and improvement. The IPM-EFPM system gathers data from wearable sensors, uses real-time location systems, and employs artificial intelligence's Long Short-Term Memory (LSTM) and machine learning algorithms to uncover new insights in healthcare and sports. To accurately record fitness strain, physical activity, exercise-induced stress, and sports like basketball, this system employs cutting-edge artificial intelligence technologies, such as wearable sensors and current gathering data methods. Placement of sensors, real-time data collecting, data preprocessing and integrating, evaluation of stress by artificial intelligence algorithms, discovery and application of new information, validation and improvement are all parts of an iterative method that has been fine-tuned for use in sports and fitness settings by the IPM-EFPM. Examining the intricate relationship between AI, physical activity, and psychological stress is the main objective of this research. This could have real-world uses tailored to the sports world, particularly for basketball players.&quot;,&quot;publisher&quot;:&quot;Elsevier B.V.&quot;,&quot;volume&quot;:&quot;33&quot;},&quot;isTemporary&quot;:false}]},{&quot;citationID&quot;:&quot;MENDELEY_CITATION_62d46bf3-e358-4d71-ac6d-ae4819efe60d&quot;,&quot;properties&quot;:{&quot;noteIndex&quot;:0},&quot;isEdited&quot;:false,&quot;manualOverride&quot;:{&quot;isManuallyOverridden&quot;:false,&quot;citeprocText&quot;:&quot;(6)&quot;,&quot;manualOverrideText&quot;:&quot;&quot;},&quot;citationTag&quot;:&quot;MENDELEY_CITATION_v3_eyJjaXRhdGlvbklEIjoiTUVOREVMRVlfQ0lUQVRJT05fNjJkNDZiZjMtZTM1OC00ZDcxLWFjNmQtYWU0ODE5ZWZlNjBk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c1a583a4-fe1c-41a4-94bc-42f4a9946416&quot;,&quot;properties&quot;:{&quot;noteIndex&quot;:0},&quot;isEdited&quot;:false,&quot;manualOverride&quot;:{&quot;isManuallyOverridden&quot;:false,&quot;citeprocText&quot;:&quot;(30,41)&quot;,&quot;manualOverrideText&quot;:&quot;&quot;},&quot;citationTag&quot;:&quot;MENDELEY_CITATION_v3_eyJjaXRhdGlvbklEIjoiTUVOREVMRVlfQ0lUQVRJT05fYzFhNTgzYTQtZmUxYy00MWE0LTk0YmMtNDJmNGE5OTQ2NDE2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citationID&quot;:&quot;MENDELEY_CITATION_be9e3e5c-b817-4655-98d1-e483b7ea1b87&quot;,&quot;properties&quot;:{&quot;noteIndex&quot;:0},&quot;isEdited&quot;:false,&quot;manualOverride&quot;:{&quot;isManuallyOverridden&quot;:false,&quot;citeprocText&quot;:&quot;(32)&quot;,&quot;manualOverrideText&quot;:&quot;&quot;},&quot;citationTag&quot;:&quot;MENDELEY_CITATION_v3_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1LjAwNCIsIklTU04iOiIyMjEwMzUzOCIsImlzc3VlZCI6eyJkYXRlLXBhcnRzIjpbWzIwMjUsOSwxXV19LCJwYWdlIjoiNDkxLTUwNSIsInB1Ymxpc2hlciI6IlcuQi4gU2F1bmRlcnMiLCJpc3N1ZSI6IjMiLCJ2b2x1bWUiOiI0MyJ9LCJpc1RlbXBvcmFyeSI6ZmFsc2V9XX0=&quot;,&quot;citationItems&quot;:[{&quot;id&quot;:&quot;3bdc5a8e-d21c-39ce-accd-80dee19b9612&quot;,&quot;itemData&quot;:{&quot;type&quot;:&quot;article&quot;,&quot;id&quot;:&quot;3bdc5a8e-d21c-39ce-accd-80dee19b9612&quot;,&quot;title&quot;:&quot;Artificial Intelligence in Regional Anesthesia and Pain Management&quot;,&quot;author&quot;:[{&quot;family&quot;:&quot;Medeiros&quot;,&quot;given&quot;:&quot;Heitor J.S.&quot;,&quot;parse-names&quot;:false,&quot;dropping-particle&quot;:&quot;&quot;,&quot;non-dropping-particle&quot;:&quot;&quot;},{&quot;family&quot;:&quot;Dabbagh&quot;,&quot;given&quot;:&quot;Ali&quot;,&quot;parse-names&quot;:false,&quot;dropping-particle&quot;:&quot;&quot;,&quot;non-dropping-particle&quot;:&quot;&quot;},{&quot;family&quot;:&quot;Vlassakov&quot;,&quot;given&quot;:&quot;Kamen&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5.004&quot;,&quot;ISSN&quot;:&quot;22103538&quot;,&quot;issued&quot;:{&quot;date-parts&quot;:[[2025,9,1]]},&quot;page&quot;:&quot;491-505&quot;,&quot;publisher&quot;:&quot;W.B. Saunders&quot;,&quot;issue&quot;:&quot;3&quot;,&quot;volume&quot;:&quot;43&quot;},&quot;isTemporary&quot;:false}]},{&quot;citationID&quot;:&quot;MENDELEY_CITATION_e94a4011-7113-4513-a5b9-6a566e98c8cd&quot;,&quot;properties&quot;:{&quot;noteIndex&quot;:0},&quot;isEdited&quot;:false,&quot;manualOverride&quot;:{&quot;isManuallyOverridden&quot;:false,&quot;citeprocText&quot;:&quot;(33)&quot;,&quot;manualOverrideText&quot;:&quot;&quot;},&quot;citationTag&quot;:&quot;MENDELEY_CITATION_v3_eyJjaXRhdGlvbklEIjoiTUVOREVMRVlfQ0lUQVRJT05fZTk0YTQwMTEtNzExMy00NTEzLWE1YjktNmE1NjZlOThjOGNk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quot;,&quot;citationItems&quot;:[{&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7574aefb-ae3c-49d7-9bee-e6b06bfd3836&quot;,&quot;properties&quot;:{&quot;noteIndex&quot;:0},&quot;isEdited&quot;:false,&quot;manualOverride&quot;:{&quot;isManuallyOverridden&quot;:false,&quot;citeprocText&quot;:&quot;(10)&quot;,&quot;manualOverrideText&quot;:&quot;&quot;},&quot;citationTag&quot;:&quot;MENDELEY_CITATION_v3_eyJjaXRhdGlvbklEIjoiTUVOREVMRVlfQ0lUQVRJT05fNzU3NGFlZmItYWUzYy00OWQ3LTliZWUtZTZiMDZiZmQzODM2IiwicHJvcGVydGllcyI6eyJub3RlSW5kZXgiOjB9LCJpc0VkaXRlZCI6ZmFsc2UsIm1hbnVhbE92ZXJyaWRlIjp7ImlzTWFudWFsbHlPdmVycmlkZGVuIjpmYWxzZSwiY2l0ZXByb2NUZXh0IjoiKDEw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XX0=&quot;,&quot;citationItems&quot;:[{&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f5f13822-08f5-40d8-af33-b325b266a33a&quot;,&quot;properties&quot;:{&quot;noteIndex&quot;:0},&quot;isEdited&quot;:false,&quot;manualOverride&quot;:{&quot;isManuallyOverridden&quot;:false,&quot;citeprocText&quot;:&quot;(34)&quot;,&quot;manualOverrideText&quot;:&quot;&quot;},&quot;citationTag&quot;:&quot;MENDELEY_CITATION_v3_eyJjaXRhdGlvbklEIjoiTUVOREVMRVlfQ0lUQVRJT05fZjVmMTM4MjItMDhmNS00MGQ4LWFmMzMtYjMyNWIyNjZhMzNh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citationID&quot;:&quot;MENDELEY_CITATION_c18c3c9b-1fcc-4a92-bdfc-01919517d2d8&quot;,&quot;properties&quot;:{&quot;noteIndex&quot;:0},&quot;isEdited&quot;:false,&quot;manualOverride&quot;:{&quot;isManuallyOverridden&quot;:false,&quot;citeprocText&quot;:&quot;(34)&quot;,&quot;manualOverrideText&quot;:&quot;&quot;},&quot;citationTag&quot;:&quot;MENDELEY_CITATION_v3_eyJjaXRhdGlvbklEIjoiTUVOREVMRVlfQ0lUQVRJT05fYzE4YzNjOWItMWZjYy00YTkyLWJkZmMtMDE5MTk1MTdkMmQ4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citationID&quot;:&quot;MENDELEY_CITATION_158adb2a-d26a-416a-b70b-b6d9a883e148&quot;,&quot;properties&quot;:{&quot;noteIndex&quot;:0},&quot;isEdited&quot;:false,&quot;manualOverride&quot;:{&quot;isManuallyOverridden&quot;:false,&quot;citeprocText&quot;:&quot;(10,35,54)&quot;,&quot;manualOverrideText&quot;:&quot;&quot;},&quot;citationTag&quot;:&quot;MENDELEY_CITATION_v3_eyJjaXRhdGlvbklEIjoiTUVOREVMRVlfQ0lUQVRJT05fMTU4YWRiMmEtZDI2YS00MTZhLWI3MGItYjZkOWE4ODNlMTQ4IiwicHJvcGVydGllcyI6eyJub3RlSW5kZXgiOjB9LCJpc0VkaXRlZCI6ZmFsc2UsIm1hbnVhbE92ZXJyaWRlIjp7ImlzTWFudWFsbHlPdmVycmlkZGVuIjpmYWxzZSwiY2l0ZXByb2NUZXh0IjoiKDEwLDM1LDU0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quot;,&quot;citationItems&quot;:[{&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id&quot;:&quot;2e236d2a-63da-3c8a-9584-0aa441dcb34f&quot;,&quot;itemData&quot;:{&quot;type&quot;:&quot;article-journal&quot;,&quot;id&quot;:&quot;2e236d2a-63da-3c8a-9584-0aa441dcb34f&quot;,&quot;title&quot;:&quot;Global and regional stock market integration in Asia: A panel convergence approach&quot;,&quot;author&quot;:[{&quot;family&quot;:&quot;Caporale&quot;,&quot;given&quot;:&quot;Guglielmo Maria&quot;,&quot;parse-names&quot;:false,&quot;dropping-particle&quot;:&quot;&quot;,&quot;non-dropping-particle&quot;:&quot;&quot;},{&quot;family&quot;:&quot;You&quot;,&quot;given&quot;:&quot;Kefei&quot;,&quot;parse-names&quot;:false,&quot;dropping-particle&quot;:&quot;&quot;,&quot;non-dropping-particle&quot;:&quot;&quot;},{&quot;family&quot;:&quot;Chen&quot;,&quot;given&quot;:&quot;Lei&quot;,&quot;parse-names&quot;:false,&quot;dropping-particle&quot;:&quot;&quot;,&quot;non-dropping-particle&quot;:&quot;&quot;}],&quot;container-title&quot;:&quot;International Review of Financial Analysis&quot;,&quot;DOI&quot;:&quot;10.1016/j.irfa.2019.101381&quot;,&quot;ISSN&quot;:&quot;10575219&quot;,&quot;issued&quot;:{&quot;date-parts&quot;:[[2019,10,1]]},&quot;abstract&quot;:&quot;This paper examines global and regional stock market integration in Asia at both the aggregate and disaggregate (industry) levels by applying the Phillips-Sul (2007) tests for panel and club convergence. Over both the whole sample (1998m12–2018m3) and the two sub-sample periods (i.e., pre- and post-2008 global financial crisis periods), the Asian stock markets appear to be integrated both globally (vis-à-vis the US) and regionally (vis-à-vis Asia) at the aggregate level, although the speed of convergence has decreased after the crisis. The industry level convergence tests reveals that, notwithstanding the aggregate convergence, there are 3 (i.e., Gas &amp; Oil, Healthcare and Technology) out of 10 industries not exhibiting panel convergence in any sample period; further, no convergence is found for Basic Materials and Consumer Services in the pre-crisis period and Telecommunications and Utilities in the post-crisis period. The club convergence tests show this was due to the existence of convergence clubs, clubs in the turn-around phase, and divergent economies in these industries. Global and regional integration exhibited similar patterns in most cases, although the former appears to be stronger than the latter in the post-crisis period. We also find that trade linkages and stock market development promote Asia's regional stock market integration but not its global integration; real interest rate differentials and the recent financial crisis have slowed down both regional and global integration, while exchange rate risk and openness only affect the former.&quot;,&quot;publisher&quot;:&quot;Elsevier Inc.&quot;,&quot;volume&quot;:&quot;65&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c8326315-a36d-4766-93b6-ca698c168654&quot;,&quot;properties&quot;:{&quot;noteIndex&quot;:0},&quot;isEdited&quot;:false,&quot;manualOverride&quot;:{&quot;isManuallyOverridden&quot;:false,&quot;citeprocText&quot;:&quot;(35,45)&quot;,&quot;manualOverrideText&quot;:&quot;&quot;},&quot;citationTag&quot;:&quot;MENDELEY_CITATION_v3_eyJjaXRhdGlvbklEIjoiTUVOREVMRVlfQ0lUQVRJT05fYzgzMjYzMTUtYTM2ZC00NzY2LTkzYjYtY2E2OThjMTY4NjU0IiwicHJvcGVydGllcyI6eyJub3RlSW5kZXgiOjB9LCJpc0VkaXRlZCI6ZmFsc2UsIm1hbnVhbE92ZXJyaWRlIjp7ImlzTWFudWFsbHlPdmVycmlkZGVuIjpmYWxzZSwiY2l0ZXByb2NUZXh0IjoiKDM1L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ae5c2336-414c-43f2-837f-df2b2a077e89&quot;,&quot;properties&quot;:{&quot;noteIndex&quot;:0},&quot;isEdited&quot;:false,&quot;manualOverride&quot;:{&quot;isManuallyOverridden&quot;:false,&quot;citeprocText&quot;:&quot;(45)&quot;,&quot;manualOverrideText&quot;:&quot;&quot;},&quot;citationTag&quot;:&quot;MENDELEY_CITATION_v3_eyJjaXRhdGlvbklEIjoiTUVOREVMRVlfQ0lUQVRJT05fYWU1YzIzMzYtNDE0Yy00M2YyLTgzN2YtZGYyYjJhMDc3ZTg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929834e1-801e-4161-a8d2-b9b2b64a08df&quot;,&quot;properties&quot;:{&quot;noteIndex&quot;:0},&quot;isEdited&quot;:false,&quot;manualOverride&quot;:{&quot;isManuallyOverridden&quot;:false,&quot;citeprocText&quot;:&quot;(35,45)&quot;,&quot;manualOverrideText&quot;:&quot;&quot;},&quot;citationTag&quot;:&quot;MENDELEY_CITATION_v3_eyJjaXRhdGlvbklEIjoiTUVOREVMRVlfQ0lUQVRJT05fOTI5ODM0ZTEtODAxZS00MTYxLWE4ZDItYjliMmI2NGEwOGRmIiwicHJvcGVydGllcyI6eyJub3RlSW5kZXgiOjB9LCJpc0VkaXRlZCI6ZmFsc2UsIm1hbnVhbE92ZXJyaWRlIjp7ImlzTWFudWFsbHlPdmVycmlkZGVuIjpmYWxzZSwiY2l0ZXByb2NUZXh0IjoiKDM1LDQ1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&quot;,&quot;citationItems&quot;:[{&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y name="MENDELEY_BIBLIOGRAPHY_IS_DIRTY" value="false"/>
    <we:property name="MENDELEY_BIBLIOGRAPHY_LAST_MODIFIED" value="175969048659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8059F-8F1C-483B-B51F-3E117B559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43</Pages>
  <Words>15338</Words>
  <Characters>87432</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MKCL</Company>
  <LinksUpToDate>false</LinksUpToDate>
  <CharactersWithSpaces>102565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Msoffice503</dc:creator>
  <cp:keywords/>
  <dc:description/>
  <cp:lastModifiedBy>SDI 1055</cp:lastModifiedBy>
  <cp:revision>21</cp:revision>
  <dcterms:created xsi:type="dcterms:W3CDTF">2025-10-05T18:24:00Z</dcterms:created>
  <dcterms:modified xsi:type="dcterms:W3CDTF">2025-12-09T10:30:00Z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23c8065f-e8c7-4b87-a846-9f1a666ca707</vt:lpwstr>
  </property>
</Properties>
</file>