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274A" w14:textId="77777777" w:rsidR="006438A5" w:rsidRDefault="006438A5">
      <w:pPr>
        <w:pStyle w:val="ab"/>
        <w:spacing w:after="0"/>
        <w:jc w:val="both"/>
        <w:rPr>
          <w:rFonts w:ascii="Arial" w:hAnsi="Arial" w:cs="Arial"/>
        </w:rPr>
      </w:pPr>
    </w:p>
    <w:p w14:paraId="75CCED90" w14:textId="77777777" w:rsidR="006438A5" w:rsidRDefault="00000000">
      <w:pPr>
        <w:pStyle w:val="Author"/>
        <w:spacing w:line="240" w:lineRule="auto"/>
        <w:rPr>
          <w:rFonts w:ascii="Arial" w:hAnsi="Arial" w:cs="Arial"/>
          <w:bCs/>
          <w:iCs/>
          <w:kern w:val="28"/>
          <w:sz w:val="36"/>
        </w:rPr>
      </w:pPr>
      <w:r>
        <w:rPr>
          <w:rFonts w:ascii="Arial" w:hAnsi="Arial" w:cs="Arial"/>
          <w:bCs/>
          <w:iCs/>
          <w:kern w:val="28"/>
          <w:sz w:val="36"/>
        </w:rPr>
        <w:t>Original Research Article</w:t>
      </w:r>
    </w:p>
    <w:p w14:paraId="51C2A98B" w14:textId="77777777" w:rsidR="006438A5" w:rsidRDefault="006438A5">
      <w:pPr>
        <w:pStyle w:val="Author"/>
        <w:spacing w:line="240" w:lineRule="auto"/>
        <w:rPr>
          <w:rFonts w:ascii="Arial" w:hAnsi="Arial" w:cs="Arial"/>
          <w:bCs/>
          <w:iCs/>
          <w:kern w:val="28"/>
          <w:sz w:val="36"/>
        </w:rPr>
      </w:pPr>
    </w:p>
    <w:p w14:paraId="33EF2505" w14:textId="77777777" w:rsidR="006438A5" w:rsidRDefault="00000000">
      <w:pPr>
        <w:pStyle w:val="Author"/>
        <w:spacing w:line="240" w:lineRule="auto"/>
        <w:rPr>
          <w:rFonts w:ascii="Arial" w:hAnsi="Arial" w:cs="Arial"/>
          <w:bCs/>
          <w:iCs/>
          <w:kern w:val="28"/>
          <w:sz w:val="36"/>
        </w:rPr>
      </w:pPr>
      <w:r>
        <w:rPr>
          <w:rFonts w:ascii="Arial" w:hAnsi="Arial" w:cs="Arial" w:hint="eastAsia"/>
          <w:bCs/>
          <w:iCs/>
          <w:kern w:val="28"/>
          <w:sz w:val="36"/>
        </w:rPr>
        <w:t>Observing Technical Communication Learning-in-Action: Classroom Evidence for Validating a TCM in Chinese Vocational Education</w:t>
      </w:r>
      <w:r>
        <w:rPr>
          <w:rFonts w:ascii="Arial" w:hAnsi="Arial" w:cs="Arial"/>
          <w:bCs/>
          <w:iCs/>
          <w:kern w:val="28"/>
          <w:sz w:val="36"/>
        </w:rPr>
        <w:t xml:space="preserve"> </w:t>
      </w:r>
    </w:p>
    <w:p w14:paraId="786BFD64" w14:textId="77777777" w:rsidR="006438A5" w:rsidRDefault="006438A5">
      <w:pPr>
        <w:pStyle w:val="Affiliation"/>
        <w:spacing w:after="0" w:line="240" w:lineRule="auto"/>
        <w:jc w:val="both"/>
        <w:rPr>
          <w:rFonts w:ascii="Arial" w:hAnsi="Arial" w:cs="Arial"/>
        </w:rPr>
      </w:pPr>
    </w:p>
    <w:p w14:paraId="61E4D798" w14:textId="77777777" w:rsidR="006438A5" w:rsidRDefault="006438A5">
      <w:pPr>
        <w:pStyle w:val="Copyright"/>
        <w:spacing w:after="0" w:line="240" w:lineRule="auto"/>
        <w:jc w:val="both"/>
        <w:rPr>
          <w:rFonts w:ascii="Arial" w:hAnsi="Arial" w:cs="Arial"/>
        </w:rPr>
      </w:pPr>
    </w:p>
    <w:p w14:paraId="232FBC36" w14:textId="77777777" w:rsidR="006438A5" w:rsidRDefault="00000000">
      <w:pPr>
        <w:pStyle w:val="Copyright"/>
        <w:spacing w:after="0" w:line="240" w:lineRule="auto"/>
        <w:jc w:val="both"/>
        <w:rPr>
          <w:rFonts w:ascii="Arial" w:hAnsi="Arial" w:cs="Arial"/>
        </w:rPr>
        <w:sectPr w:rsidR="006438A5">
          <w:headerReference w:type="even" r:id="rId9"/>
          <w:headerReference w:type="default" r:id="rId10"/>
          <w:headerReference w:type="first" r:id="rId11"/>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794AB7E7" wp14:editId="427E1E4A">
                <wp:extent cx="5303520" cy="0"/>
                <wp:effectExtent l="0" t="9525" r="5080" b="1587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自选图形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EhB3zwAAAAIBAAAPAAAAAAAAAAEAIAAAACIAAABkcnMvZG93bnJldi54bWxQSwECFAAUAAAACACH&#10;TuJAzfz8jPQBAADkAwAADgAAAAAAAAABACAAAAAeAQAAZHJzL2Uyb0RvYy54bWxQSwUGAAAAAAYA&#10;BgBZAQAAhAUAAAAA&#10;">
                <v:fill on="f" focussize="0,0"/>
                <v:stroke weight="1.5pt" color="#000000" joinstyle="round"/>
                <v:imagedata o:title=""/>
                <o:lock v:ext="edit" aspectratio="f"/>
                <w10:wrap type="none"/>
                <w10:anchorlock/>
              </v:shape>
            </w:pict>
          </mc:Fallback>
        </mc:AlternateContent>
      </w:r>
      <w:r>
        <w:rPr>
          <w:rFonts w:ascii="Arial" w:hAnsi="Arial" w:cs="Arial"/>
        </w:rPr>
        <w:t>.</w:t>
      </w:r>
    </w:p>
    <w:p w14:paraId="79541CDC" w14:textId="77777777" w:rsidR="006438A5" w:rsidRDefault="00000000">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6438A5" w14:paraId="0113C05D" w14:textId="77777777">
        <w:tc>
          <w:tcPr>
            <w:tcW w:w="9576" w:type="dxa"/>
            <w:shd w:val="clear" w:color="auto" w:fill="F2F2F2"/>
          </w:tcPr>
          <w:p w14:paraId="2AE41B6F" w14:textId="77777777" w:rsidR="006438A5" w:rsidRDefault="00000000">
            <w:pPr>
              <w:pStyle w:val="Body"/>
              <w:spacing w:after="0"/>
              <w:rPr>
                <w:rFonts w:ascii="Arial" w:eastAsia="Calibri" w:hAnsi="Arial" w:cs="Arial"/>
                <w:szCs w:val="22"/>
              </w:rPr>
            </w:pPr>
            <w:r>
              <w:rPr>
                <w:rFonts w:ascii="Arial" w:eastAsia="Calibri" w:hAnsi="Arial" w:cs="Arial" w:hint="eastAsia"/>
                <w:b/>
                <w:bCs/>
                <w:szCs w:val="22"/>
              </w:rPr>
              <w:t>Aims:</w:t>
            </w:r>
            <w:r>
              <w:rPr>
                <w:rFonts w:ascii="Arial" w:eastAsia="Calibri" w:hAnsi="Arial" w:cs="Arial" w:hint="eastAsia"/>
                <w:szCs w:val="22"/>
              </w:rPr>
              <w:t xml:space="preserve"> Technical communication (TC) is increasingly central to vocational employability in digitally mediated workplaces. This study validated a Technical Communication Module (TCM) for Chinese vocational students by documenting TC learning-in-action through structured classroom observation and identifying enactment strengths and constraints that inform targeted module refinement.</w:t>
            </w:r>
          </w:p>
          <w:p w14:paraId="0BFD4061" w14:textId="77777777" w:rsidR="006438A5" w:rsidRDefault="00000000">
            <w:pPr>
              <w:pStyle w:val="Body"/>
              <w:spacing w:after="0"/>
              <w:rPr>
                <w:rFonts w:ascii="Arial" w:eastAsia="Calibri" w:hAnsi="Arial" w:cs="Arial"/>
                <w:szCs w:val="22"/>
              </w:rPr>
            </w:pPr>
            <w:r>
              <w:rPr>
                <w:rFonts w:ascii="Arial" w:eastAsia="Calibri" w:hAnsi="Arial" w:cs="Arial" w:hint="eastAsia"/>
                <w:b/>
                <w:bCs/>
                <w:szCs w:val="22"/>
              </w:rPr>
              <w:t>Study design:</w:t>
            </w:r>
            <w:r>
              <w:rPr>
                <w:rFonts w:ascii="Arial" w:eastAsia="Calibri" w:hAnsi="Arial" w:cs="Arial" w:hint="eastAsia"/>
                <w:szCs w:val="22"/>
              </w:rPr>
              <w:t xml:space="preserve"> A quasi-experimental design embedded in a Design and Development Research framework.</w:t>
            </w:r>
          </w:p>
          <w:p w14:paraId="0D9B6E8E" w14:textId="77777777" w:rsidR="006438A5" w:rsidRDefault="00000000">
            <w:pPr>
              <w:pStyle w:val="Body"/>
              <w:spacing w:after="0"/>
              <w:rPr>
                <w:rFonts w:ascii="Arial" w:eastAsia="Calibri" w:hAnsi="Arial" w:cs="Arial"/>
                <w:szCs w:val="22"/>
              </w:rPr>
            </w:pPr>
            <w:r>
              <w:rPr>
                <w:rFonts w:ascii="Arial" w:eastAsia="Calibri" w:hAnsi="Arial" w:cs="Arial" w:hint="eastAsia"/>
                <w:b/>
                <w:bCs/>
                <w:szCs w:val="22"/>
              </w:rPr>
              <w:t>Place and Duration of Study:</w:t>
            </w:r>
            <w:r>
              <w:rPr>
                <w:rFonts w:ascii="Arial" w:eastAsia="Calibri" w:hAnsi="Arial" w:cs="Arial" w:hint="eastAsia"/>
                <w:szCs w:val="22"/>
              </w:rPr>
              <w:t xml:space="preserve"> A vocational college in Guangdong Province, China, during a six-week implementation period from mid-November to late December 2024.</w:t>
            </w:r>
          </w:p>
          <w:p w14:paraId="1EED0299" w14:textId="7D0904E3" w:rsidR="006438A5" w:rsidRDefault="00000000">
            <w:pPr>
              <w:pStyle w:val="Body"/>
              <w:spacing w:after="0"/>
              <w:rPr>
                <w:rFonts w:ascii="Arial" w:eastAsia="Calibri" w:hAnsi="Arial" w:cs="Arial"/>
                <w:szCs w:val="22"/>
              </w:rPr>
            </w:pPr>
            <w:r>
              <w:rPr>
                <w:rFonts w:ascii="Arial" w:eastAsia="Calibri" w:hAnsi="Arial" w:cs="Arial" w:hint="eastAsia"/>
                <w:b/>
                <w:bCs/>
                <w:szCs w:val="22"/>
              </w:rPr>
              <w:t xml:space="preserve">Methodology: </w:t>
            </w:r>
            <w:r>
              <w:rPr>
                <w:rFonts w:ascii="Arial" w:eastAsia="Calibri" w:hAnsi="Arial" w:cs="Arial" w:hint="eastAsia"/>
                <w:szCs w:val="22"/>
              </w:rPr>
              <w:t>Two intact first-year cohorts participated (TCM group: n=52; comparison group: n=54). Both cohorts completed parallel pre-/post-test performance tasks to benchmark changes in TC performance. Classroom enactment evidence was collected during TCM sessions using a structured observation checklist</w:t>
            </w:r>
            <w:r w:rsidR="00C02682">
              <w:rPr>
                <w:rFonts w:ascii="Arial" w:eastAsiaTheme="minorEastAsia" w:hAnsi="Arial" w:cs="Arial" w:hint="eastAsia"/>
                <w:szCs w:val="22"/>
                <w:lang w:eastAsia="zh-CN"/>
              </w:rPr>
              <w:t xml:space="preserve"> </w:t>
            </w:r>
            <w:r>
              <w:rPr>
                <w:rFonts w:ascii="Arial" w:eastAsia="Calibri" w:hAnsi="Arial" w:cs="Arial" w:hint="eastAsia"/>
                <w:szCs w:val="22"/>
              </w:rPr>
              <w:t>comprising 16 indicators across engagement, motivation, collaboration, task completion, and reflective practices. Three trained observers independently rated behaviors on a five-point frequency scale and recorded field notes</w:t>
            </w:r>
            <w:r w:rsidR="00601647">
              <w:rPr>
                <w:rFonts w:ascii="Arial" w:eastAsiaTheme="minorEastAsia" w:hAnsi="Arial" w:cs="Arial" w:hint="eastAsia"/>
                <w:szCs w:val="22"/>
                <w:lang w:eastAsia="zh-CN"/>
              </w:rPr>
              <w:t>.</w:t>
            </w:r>
            <w:r>
              <w:rPr>
                <w:rFonts w:ascii="Arial" w:eastAsia="Calibri" w:hAnsi="Arial" w:cs="Arial" w:hint="eastAsia"/>
                <w:szCs w:val="22"/>
              </w:rPr>
              <w:t xml:space="preserve"> </w:t>
            </w:r>
            <w:r w:rsidR="00601647">
              <w:rPr>
                <w:rFonts w:ascii="Arial" w:eastAsiaTheme="minorEastAsia" w:hAnsi="Arial" w:cs="Arial" w:hint="eastAsia"/>
                <w:szCs w:val="22"/>
                <w:lang w:eastAsia="zh-CN"/>
              </w:rPr>
              <w:t>I</w:t>
            </w:r>
            <w:r w:rsidR="00601647">
              <w:rPr>
                <w:rFonts w:ascii="Arial" w:eastAsia="Calibri" w:hAnsi="Arial" w:cs="Arial"/>
                <w:szCs w:val="22"/>
              </w:rPr>
              <w:t>tems</w:t>
            </w:r>
            <w:r>
              <w:rPr>
                <w:rFonts w:ascii="Arial" w:eastAsia="Calibri" w:hAnsi="Arial" w:cs="Arial" w:hint="eastAsia"/>
                <w:szCs w:val="22"/>
              </w:rPr>
              <w:t xml:space="preserve"> were summarized using scale-anchored descriptive labels and interpreted alongside qualitative notes.</w:t>
            </w:r>
          </w:p>
          <w:p w14:paraId="0589663A" w14:textId="77777777" w:rsidR="006438A5" w:rsidRDefault="00000000">
            <w:pPr>
              <w:pStyle w:val="Body"/>
              <w:spacing w:after="0"/>
              <w:rPr>
                <w:rFonts w:ascii="Arial" w:eastAsia="Calibri" w:hAnsi="Arial" w:cs="Arial"/>
                <w:szCs w:val="22"/>
              </w:rPr>
            </w:pPr>
            <w:r>
              <w:rPr>
                <w:rFonts w:ascii="Arial" w:eastAsia="Calibri" w:hAnsi="Arial" w:cs="Arial" w:hint="eastAsia"/>
                <w:b/>
                <w:bCs/>
                <w:szCs w:val="22"/>
              </w:rPr>
              <w:t>Results:</w:t>
            </w:r>
            <w:r>
              <w:rPr>
                <w:rFonts w:ascii="Arial" w:eastAsia="Calibri" w:hAnsi="Arial" w:cs="Arial" w:hint="eastAsia"/>
                <w:szCs w:val="22"/>
              </w:rPr>
              <w:t xml:space="preserve"> Most indicators showed strong enactment, including active participation, feedback seeking, collaboration, output accuracy, and on-time task completion (means 4.67</w:t>
            </w:r>
            <w:r>
              <w:rPr>
                <w:rFonts w:ascii="Arial" w:eastAsia="Calibri" w:hAnsi="Arial" w:cs="Arial" w:hint="eastAsia"/>
                <w:szCs w:val="22"/>
              </w:rPr>
              <w:t>–</w:t>
            </w:r>
            <w:r>
              <w:rPr>
                <w:rFonts w:ascii="Arial" w:eastAsia="Calibri" w:hAnsi="Arial" w:cs="Arial" w:hint="eastAsia"/>
                <w:szCs w:val="22"/>
              </w:rPr>
              <w:t>5.00). Two areas were consistently weaker: effective use of advanced digital tools (mean 2.67) and reflective writing (mean 3.00), despite strong identification of improvement areas (mean 4.67).</w:t>
            </w:r>
          </w:p>
          <w:p w14:paraId="03236CDB" w14:textId="77777777" w:rsidR="006438A5" w:rsidRDefault="00000000">
            <w:pPr>
              <w:pStyle w:val="Body"/>
              <w:spacing w:after="0"/>
              <w:rPr>
                <w:rFonts w:ascii="Arial" w:eastAsia="Calibri" w:hAnsi="Arial" w:cs="Arial"/>
                <w:szCs w:val="22"/>
              </w:rPr>
            </w:pPr>
            <w:r>
              <w:rPr>
                <w:rFonts w:ascii="Arial" w:eastAsia="Calibri" w:hAnsi="Arial" w:cs="Arial" w:hint="eastAsia"/>
                <w:b/>
                <w:bCs/>
                <w:szCs w:val="22"/>
              </w:rPr>
              <w:t>Conclusion:</w:t>
            </w:r>
            <w:r>
              <w:rPr>
                <w:rFonts w:ascii="Arial" w:eastAsia="Calibri" w:hAnsi="Arial" w:cs="Arial" w:hint="eastAsia"/>
                <w:szCs w:val="22"/>
              </w:rPr>
              <w:t xml:space="preserve"> The findings support TCM as a process-oriented approach to vocational TC instruction and point to practical refinements</w:t>
            </w:r>
            <w:r>
              <w:rPr>
                <w:rFonts w:ascii="Arial" w:eastAsia="宋体" w:hAnsi="Arial" w:cs="Arial" w:hint="eastAsia"/>
                <w:szCs w:val="22"/>
                <w:lang w:eastAsia="zh-CN"/>
              </w:rPr>
              <w:t xml:space="preserve">, </w:t>
            </w:r>
            <w:r>
              <w:rPr>
                <w:rFonts w:ascii="Arial" w:eastAsia="Calibri" w:hAnsi="Arial" w:cs="Arial" w:hint="eastAsia"/>
                <w:szCs w:val="22"/>
              </w:rPr>
              <w:t>stronger scaffolding for advanced digital-tool use, more structured analytic reflection, and lightweight workflow supports</w:t>
            </w:r>
            <w:r>
              <w:rPr>
                <w:rFonts w:ascii="Arial" w:eastAsia="宋体" w:hAnsi="Arial" w:cs="Arial" w:hint="eastAsia"/>
                <w:szCs w:val="22"/>
                <w:lang w:eastAsia="zh-CN"/>
              </w:rPr>
              <w:t xml:space="preserve"> </w:t>
            </w:r>
            <w:r>
              <w:rPr>
                <w:rFonts w:ascii="Arial" w:eastAsia="Calibri" w:hAnsi="Arial" w:cs="Arial" w:hint="eastAsia"/>
                <w:szCs w:val="22"/>
              </w:rPr>
              <w:t>to enhance workplace-aligned transfer.</w:t>
            </w:r>
          </w:p>
        </w:tc>
      </w:tr>
    </w:tbl>
    <w:p w14:paraId="6DC7691B" w14:textId="77777777" w:rsidR="006438A5" w:rsidRDefault="006438A5">
      <w:pPr>
        <w:pStyle w:val="Body"/>
        <w:spacing w:after="0"/>
        <w:rPr>
          <w:rFonts w:ascii="Arial" w:hAnsi="Arial" w:cs="Arial"/>
          <w:i/>
        </w:rPr>
      </w:pPr>
    </w:p>
    <w:p w14:paraId="16181FED" w14:textId="77777777" w:rsidR="006438A5" w:rsidRDefault="00000000">
      <w:pPr>
        <w:pStyle w:val="Body"/>
        <w:spacing w:after="0"/>
        <w:rPr>
          <w:rFonts w:ascii="Arial" w:hAnsi="Arial" w:cs="Arial"/>
          <w:i/>
        </w:rPr>
      </w:pPr>
      <w:r>
        <w:rPr>
          <w:rFonts w:ascii="Arial" w:hAnsi="Arial" w:cs="Arial" w:hint="eastAsia"/>
          <w:i/>
        </w:rPr>
        <w:t>Keywords: Vocational education</w:t>
      </w:r>
      <w:r>
        <w:rPr>
          <w:rFonts w:ascii="Arial" w:hAnsi="Arial" w:cs="Arial" w:hint="eastAsia"/>
          <w:i/>
          <w:lang w:eastAsia="zh-CN"/>
        </w:rPr>
        <w:t>,</w:t>
      </w:r>
      <w:r>
        <w:rPr>
          <w:rFonts w:ascii="Arial" w:hAnsi="Arial" w:cs="Arial" w:hint="eastAsia"/>
          <w:i/>
        </w:rPr>
        <w:t xml:space="preserve"> technical communication</w:t>
      </w:r>
      <w:r>
        <w:rPr>
          <w:rFonts w:ascii="Arial" w:hAnsi="Arial" w:cs="Arial" w:hint="eastAsia"/>
          <w:i/>
          <w:lang w:eastAsia="zh-CN"/>
        </w:rPr>
        <w:t>,</w:t>
      </w:r>
      <w:r>
        <w:rPr>
          <w:rFonts w:ascii="Arial" w:hAnsi="Arial" w:cs="Arial" w:hint="eastAsia"/>
          <w:i/>
        </w:rPr>
        <w:t xml:space="preserve"> classroom observation</w:t>
      </w:r>
      <w:r>
        <w:rPr>
          <w:rFonts w:ascii="Arial" w:hAnsi="Arial" w:cs="Arial" w:hint="eastAsia"/>
          <w:i/>
          <w:lang w:eastAsia="zh-CN"/>
        </w:rPr>
        <w:t>,</w:t>
      </w:r>
      <w:r>
        <w:rPr>
          <w:rFonts w:ascii="Arial" w:hAnsi="Arial" w:cs="Arial" w:hint="eastAsia"/>
          <w:i/>
        </w:rPr>
        <w:t xml:space="preserve"> module validation</w:t>
      </w:r>
      <w:r>
        <w:rPr>
          <w:rFonts w:ascii="Arial" w:hAnsi="Arial" w:cs="Arial" w:hint="eastAsia"/>
          <w:i/>
          <w:lang w:eastAsia="zh-CN"/>
        </w:rPr>
        <w:t>,</w:t>
      </w:r>
      <w:r>
        <w:rPr>
          <w:rFonts w:ascii="Arial" w:hAnsi="Arial" w:cs="Arial" w:hint="eastAsia"/>
          <w:i/>
        </w:rPr>
        <w:t xml:space="preserve"> process-oriented pedagogy</w:t>
      </w:r>
    </w:p>
    <w:p w14:paraId="368D75C7" w14:textId="77777777" w:rsidR="006438A5" w:rsidRDefault="006438A5">
      <w:pPr>
        <w:pStyle w:val="Body"/>
        <w:spacing w:after="0"/>
        <w:rPr>
          <w:rFonts w:ascii="Arial" w:hAnsi="Arial" w:cs="Arial"/>
          <w:i/>
        </w:rPr>
      </w:pPr>
    </w:p>
    <w:p w14:paraId="6BEC3359" w14:textId="77777777" w:rsidR="006438A5" w:rsidRDefault="00000000">
      <w:pPr>
        <w:pStyle w:val="AbstHead"/>
        <w:numPr>
          <w:ilvl w:val="0"/>
          <w:numId w:val="2"/>
        </w:numPr>
        <w:spacing w:after="0"/>
        <w:jc w:val="both"/>
        <w:rPr>
          <w:rFonts w:ascii="Arial" w:hAnsi="Arial" w:cs="Arial"/>
        </w:rPr>
      </w:pPr>
      <w:r>
        <w:rPr>
          <w:rFonts w:ascii="Arial" w:hAnsi="Arial" w:cs="Arial"/>
        </w:rPr>
        <w:t xml:space="preserve">INTRODUCTION </w:t>
      </w:r>
    </w:p>
    <w:p w14:paraId="5F7AD84A" w14:textId="77777777" w:rsidR="006438A5" w:rsidRDefault="006438A5">
      <w:pPr>
        <w:pStyle w:val="Body"/>
        <w:spacing w:after="0"/>
        <w:rPr>
          <w:rFonts w:ascii="Arial" w:hAnsi="Arial" w:cs="Arial"/>
          <w:lang w:eastAsia="zh-CN"/>
        </w:rPr>
      </w:pPr>
    </w:p>
    <w:p w14:paraId="06C86B93" w14:textId="5C76ADCD" w:rsidR="006438A5" w:rsidRDefault="00000000">
      <w:pPr>
        <w:pStyle w:val="Body"/>
        <w:spacing w:after="0"/>
        <w:rPr>
          <w:rFonts w:ascii="Arial" w:hAnsi="Arial" w:cs="Arial"/>
        </w:rPr>
      </w:pPr>
      <w:r>
        <w:rPr>
          <w:rFonts w:ascii="Arial" w:hAnsi="Arial" w:cs="Arial"/>
          <w:lang w:eastAsia="zh-CN"/>
        </w:rPr>
        <w:t xml:space="preserve">Technical communication (TC) has become a central competence through which employability, knowledge work, and global participation are negotiated </w:t>
      </w:r>
      <w:r>
        <w:rPr>
          <w:rFonts w:ascii="Arial" w:hAnsi="Arial" w:cs="Arial"/>
          <w:lang w:eastAsia="zh-CN"/>
        </w:rPr>
        <w:fldChar w:fldCharType="begin"/>
      </w:r>
      <w:r>
        <w:rPr>
          <w:rFonts w:ascii="Arial" w:hAnsi="Arial" w:cs="Arial"/>
          <w:lang w:eastAsia="zh-CN"/>
        </w:rPr>
        <w:instrText xml:space="preserve"> ADDIN EN.CITE &lt;EndNote&gt;&lt;Cite&gt;&lt;Author&gt;Liu&lt;/Author&gt;&lt;Year&gt;2024&lt;/Year&gt;&lt;RecNum&gt;1259&lt;/RecNum&gt;&lt;DisplayText&gt;(Liu et al., 2024)&lt;/DisplayText&gt;&lt;record&gt;&lt;rec-number&gt;1259&lt;/rec-number&gt;&lt;foreign-keys&gt;&lt;key app="EN" db-id="axateaap22str3eaaa1xar2n95zaewv2sx5a" timestamp="1749006619"&gt;1259&lt;/key&gt;&lt;/foreign-keys&gt;&lt;ref-type name="Journal Article"&gt;17&lt;/ref-type&gt;&lt;contributors&gt;&lt;authors&gt;&lt;author&gt;Liu, Weiqi&lt;/author&gt;&lt;author&gt;Jamaludin, Khairul Azhar&lt;/author&gt;&lt;author&gt;Song, Ziyun&lt;/author&gt;&lt;/authors&gt;&lt;/contributors&gt;&lt;titles&gt;&lt;title&gt;Implementation of Technical Communication Pedagogy in Higher Education Institutions: A Systematic Literature Review&lt;/title&gt;&lt;secondary-title&gt;International Journal of Learning, Teaching and Educational Research&lt;/secondary-title&gt;&lt;/titles&gt;&lt;periodical&gt;&lt;full-title&gt;International Journal of Learning, Teaching and Educational Research&lt;/full-title&gt;&lt;/periodical&gt;&lt;pages&gt;307-324&lt;/pages&gt;&lt;volume&gt;23&lt;/volume&gt;&lt;number&gt;9&lt;/number&gt;&lt;dates&gt;&lt;year&gt;2024&lt;/year&gt;&lt;/dates&gt;&lt;isbn&gt;1694-2116&lt;/isbn&gt;&lt;urls&gt;&lt;/urls&gt;&lt;electronic-resource-num&gt;10.26803/ijlter.23.9.16&lt;/electronic-resource-num&gt;&lt;/record&gt;&lt;/Cite&gt;&lt;/EndNote&gt;</w:instrText>
      </w:r>
      <w:r>
        <w:rPr>
          <w:rFonts w:ascii="Arial" w:hAnsi="Arial" w:cs="Arial"/>
          <w:lang w:eastAsia="zh-CN"/>
        </w:rPr>
        <w:fldChar w:fldCharType="separate"/>
      </w:r>
      <w:r>
        <w:rPr>
          <w:rFonts w:ascii="Arial" w:hAnsi="Arial" w:cs="Arial"/>
          <w:lang w:eastAsia="zh-CN"/>
        </w:rPr>
        <w:t>(Liu et al., 2024)</w:t>
      </w:r>
      <w:r>
        <w:rPr>
          <w:rFonts w:ascii="Arial" w:hAnsi="Arial" w:cs="Arial"/>
          <w:lang w:eastAsia="zh-CN"/>
        </w:rPr>
        <w:fldChar w:fldCharType="end"/>
      </w:r>
      <w:r>
        <w:rPr>
          <w:rFonts w:ascii="Arial" w:hAnsi="Arial" w:cs="Arial"/>
          <w:lang w:eastAsia="zh-CN"/>
        </w:rPr>
        <w:t xml:space="preserve">. In digitally mediated industries such as manufacturing, logistics, information technology services, and cross border commerce, graduates are increasingly evaluated not only by technical knowledge, but also by their ability to transform technical information into usable documents, persuasive explanations, and coordinated decisions </w:t>
      </w:r>
      <w:r>
        <w:rPr>
          <w:rFonts w:ascii="Arial" w:hAnsi="Arial" w:cs="Arial"/>
          <w:lang w:eastAsia="zh-CN"/>
        </w:rPr>
        <w:fldChar w:fldCharType="begin"/>
      </w:r>
      <w:r>
        <w:rPr>
          <w:rFonts w:ascii="Arial" w:hAnsi="Arial" w:cs="Arial"/>
          <w:lang w:eastAsia="zh-CN"/>
        </w:rPr>
        <w:instrText xml:space="preserve"> ADDIN EN.CITE &lt;EndNote&gt;&lt;Cite&gt;&lt;Author&gt;Luo&lt;/Author&gt;&lt;Year&gt;2024&lt;/Year&gt;&lt;RecNum&gt;91&lt;/RecNum&gt;&lt;DisplayText&gt;(Luo et al., 2024)&lt;/DisplayText&gt;&lt;record&gt;&lt;rec-number&gt;91&lt;/rec-number&gt;&lt;foreign-keys&gt;&lt;key app="EN" db-id="axateaap22str3eaaa1xar2n95zaewv2sx5a" timestamp="1731595001"&gt;91&lt;/key&gt;&lt;/foreign-keys&gt;&lt;ref-type name="Journal Article"&gt;17&lt;/ref-type&gt;&lt;contributors&gt;&lt;authors&gt;&lt;author&gt;Luo, Mingdan&lt;/author&gt;&lt;author&gt;DeWitt, Dorothy&lt;/author&gt;&lt;author&gt;Alias, Norlidah&lt;/author&gt;&lt;/authors&gt;&lt;/contributors&gt;&lt;titles&gt;&lt;title&gt;The Effectiveness of a Technical Communication Module for Automobile Manufacturing Students at Vocational Colleges&lt;/title&gt;&lt;secondary-title&gt;Journal of Business and Technical Communication&lt;/secondary-title&gt;&lt;/titles&gt;&lt;pages&gt;137-166&lt;/pages&gt;&lt;volume&gt;38&lt;/volume&gt;&lt;number&gt;3&lt;/number&gt;&lt;dates&gt;&lt;year&gt;2024&lt;/year&gt;&lt;/dates&gt;&lt;isbn&gt;1050-6519&amp;#xD;1552-4574&lt;/isbn&gt;&lt;urls&gt;&lt;/urls&gt;&lt;electronic-resource-num&gt;10.1177/10506519231217998&lt;/electronic-resource-num&gt;&lt;/record&gt;&lt;/Cite&gt;&lt;/EndNote&gt;</w:instrText>
      </w:r>
      <w:r>
        <w:rPr>
          <w:rFonts w:ascii="Arial" w:hAnsi="Arial" w:cs="Arial"/>
          <w:lang w:eastAsia="zh-CN"/>
        </w:rPr>
        <w:fldChar w:fldCharType="separate"/>
      </w:r>
      <w:r>
        <w:rPr>
          <w:rFonts w:ascii="Arial" w:hAnsi="Arial" w:cs="Arial"/>
          <w:lang w:eastAsia="zh-CN"/>
        </w:rPr>
        <w:t>(Luo et al., 2024)</w:t>
      </w:r>
      <w:r>
        <w:rPr>
          <w:rFonts w:ascii="Arial" w:hAnsi="Arial" w:cs="Arial"/>
          <w:lang w:eastAsia="zh-CN"/>
        </w:rPr>
        <w:fldChar w:fldCharType="end"/>
      </w:r>
      <w:r>
        <w:rPr>
          <w:rFonts w:ascii="Arial" w:hAnsi="Arial" w:cs="Arial"/>
          <w:lang w:eastAsia="zh-CN"/>
        </w:rPr>
        <w:t xml:space="preserve">. This expectation reflects a broader transformation of technical and professional communication, in which workplace value is tied to documentation quality, audience adaptation, usability-oriented thinking, and collaboration. Pedagogically, this implies that TC curricula must develop genre competence and, equally importantly, process competence, including collaborative writing, feedback seeking, iterative revision, reflective learning, and tool mediated coordination. Contemporary scholarship has therefore emphasized course designs aligned with professional expectations </w:t>
      </w:r>
      <w:r>
        <w:rPr>
          <w:rFonts w:ascii="Arial" w:hAnsi="Arial" w:cs="Arial"/>
          <w:lang w:eastAsia="zh-CN"/>
        </w:rPr>
        <w:fldChar w:fldCharType="begin"/>
      </w:r>
      <w:r>
        <w:rPr>
          <w:rFonts w:ascii="Arial" w:hAnsi="Arial" w:cs="Arial"/>
          <w:lang w:eastAsia="zh-CN"/>
        </w:rPr>
        <w:instrText xml:space="preserve"> ADDIN EN.CITE &lt;EndNote&gt;&lt;Cite&gt;&lt;Author&gt;Andrews&lt;/Author&gt;&lt;Year&gt;2022&lt;/Year&gt;&lt;RecNum&gt;57&lt;/RecNum&gt;&lt;DisplayText&gt;(Andrews, 2022)&lt;/DisplayText&gt;&lt;record&gt;&lt;rec-number&gt;57&lt;/rec-number&gt;&lt;foreign-keys&gt;&lt;key app="EN" db-id="axateaap22str3eaaa1xar2n95zaewv2sx5a" timestamp="1731595001"&gt;57&lt;/key&gt;&lt;/foreign-keys&gt;&lt;ref-type name="Journal Article"&gt;17&lt;/ref-type&gt;&lt;contributors&gt;&lt;authors&gt;&lt;author&gt;Andrews, D. C.&lt;/author&gt;&lt;/authors&gt;&lt;/contributors&gt;&lt;auth-address&gt;University of Delaware, United States&lt;/auth-address&gt;&lt;titles&gt;&lt;title&gt;Designing a Course in Business Communication&lt;/title&gt;&lt;secondary-title&gt;Business and Professional Communication Quarterly&lt;/secondary-title&gt;&lt;alt-title&gt;Bus. Prof. Commun. Q.&lt;/alt-title&gt;&lt;/titles&gt;&lt;periodical&gt;&lt;full-title&gt;Business and Professional Communication Quarterly&lt;/full-title&gt;&lt;abbr-1&gt;Bus. Prof. Commun. Q.&lt;/abbr-1&gt;&lt;/periodical&gt;&lt;alt-periodical&gt;&lt;full-title&gt;Business and Professional Communication Quarterly&lt;/full-title&gt;&lt;abbr-1&gt;Bus. Prof. Commun. Q.&lt;/abbr-1&gt;&lt;/alt-periodical&gt;&lt;pages&gt;349-369&lt;/pages&gt;&lt;volume&gt;85&lt;/volume&gt;&lt;number&gt;3&lt;/number&gt;&lt;keywords&gt;&lt;keyword&gt;collaboration&lt;/keyword&gt;&lt;keyword&gt;design thinking&lt;/keyword&gt;&lt;keyword&gt;learning space design&lt;/keyword&gt;&lt;keyword&gt;makerspaces&lt;/keyword&gt;&lt;keyword&gt;problem-based learning&lt;/keyword&gt;&lt;keyword&gt;rhetoric&lt;/keyword&gt;&lt;/keywords&gt;&lt;dates&gt;&lt;year&gt;2022&lt;/year&gt;&lt;/dates&gt;&lt;publisher&gt;SAGE Publications Inc.&lt;/publisher&gt;&lt;isbn&gt;23294906 (ISSN)&lt;/isbn&gt;&lt;work-type&gt;Article&lt;/work-type&gt;&lt;urls&gt;&lt;related-urls&gt;&lt;url&gt;https://www.scopus.com/inward/record.uri?eid=2-s2.0-85138363141&amp;amp;doi=10.1177%2f23294906221105286&amp;amp;partnerID=40&amp;amp;md5=dd15ce2ad73d3498277bfeab604901f4&lt;/url&gt;&lt;/related-urls&gt;&lt;/urls&gt;&lt;electronic-resource-num&gt;10.1177/23294906221105286&lt;/electronic-resource-num&gt;&lt;remote-database-name&gt;Scopus&lt;/remote-database-name&gt;&lt;language&gt;English&lt;/language&gt;&lt;/record&gt;&lt;/Cite&gt;&lt;/EndNote&gt;</w:instrText>
      </w:r>
      <w:r>
        <w:rPr>
          <w:rFonts w:ascii="Arial" w:hAnsi="Arial" w:cs="Arial"/>
          <w:lang w:eastAsia="zh-CN"/>
        </w:rPr>
        <w:fldChar w:fldCharType="separate"/>
      </w:r>
      <w:r>
        <w:rPr>
          <w:rFonts w:ascii="Arial" w:hAnsi="Arial" w:cs="Arial"/>
          <w:lang w:eastAsia="zh-CN"/>
        </w:rPr>
        <w:t>(Andrews, 2022)</w:t>
      </w:r>
      <w:r>
        <w:rPr>
          <w:rFonts w:ascii="Arial" w:hAnsi="Arial" w:cs="Arial"/>
          <w:lang w:eastAsia="zh-CN"/>
        </w:rPr>
        <w:fldChar w:fldCharType="end"/>
      </w:r>
      <w:r>
        <w:rPr>
          <w:rFonts w:ascii="Arial" w:hAnsi="Arial" w:cs="Arial"/>
          <w:lang w:eastAsia="zh-CN"/>
        </w:rPr>
        <w:t>, classroom integration of usability and user centered approaches</w:t>
      </w:r>
      <w:r w:rsidR="00601647">
        <w:rPr>
          <w:rFonts w:ascii="Arial" w:eastAsiaTheme="minorEastAsia" w:hAnsi="Arial" w:cs="Arial" w:hint="eastAsia"/>
          <w:lang w:eastAsia="zh-CN"/>
        </w:rPr>
        <w:t xml:space="preserve"> </w:t>
      </w:r>
      <w:r w:rsidR="00601647">
        <w:rPr>
          <w:rFonts w:ascii="Arial" w:eastAsiaTheme="minorEastAsia" w:hAnsi="Arial" w:cs="Arial"/>
          <w:lang w:eastAsia="zh-CN"/>
        </w:rPr>
        <w:fldChar w:fldCharType="begin"/>
      </w:r>
      <w:r w:rsidR="00601647">
        <w:rPr>
          <w:rFonts w:ascii="Arial" w:eastAsiaTheme="minorEastAsia" w:hAnsi="Arial" w:cs="Arial"/>
          <w:lang w:eastAsia="zh-CN"/>
        </w:rPr>
        <w:instrText xml:space="preserve"> ADDIN EN.CITE &lt;EndNote&gt;&lt;Cite&gt;&lt;Author&gt;Wright&lt;/Author&gt;&lt;Year&gt;2024&lt;/Year&gt;&lt;RecNum&gt;122&lt;/RecNum&gt;&lt;DisplayText&gt;(Wright, 2024)&lt;/DisplayText&gt;&lt;record&gt;&lt;rec-number&gt;122&lt;/rec-number&gt;&lt;foreign-keys&gt;&lt;key app="EN" db-id="axateaap22str3eaaa1xar2n95zaewv2sx5a" timestamp="1731595001"&gt;122&lt;/key&gt;&lt;/foreign-keys&gt;&lt;ref-type name="Journal Article"&gt;17&lt;/ref-type&gt;&lt;contributors&gt;&lt;authors&gt;&lt;author&gt;Wright, D.&lt;/author&gt;&lt;/authors&gt;&lt;/contributors&gt;&lt;auth-address&gt;[Wright, David] Missouri Univ Sci &amp;amp; Technol, Rolla, MO 65409 USA. Technology&amp;#xD;Wright, D (corresponding author), Missouri Univ Sci &amp;amp; Technol, Rolla, MO 65409 USA.&amp;#xD;wrightmd@mst.edu&lt;/auth-address&gt;&lt;titles&gt;&lt;title&gt;Perspectives on Usability Testing with IoT Devices in Technical Communication Courses&lt;/title&gt;&lt;secondary-title&gt;Technical Communication Quarterly&lt;/secondary-title&gt;&lt;alt-title&gt;Tech. Commun. Q.&lt;/alt-title&gt;&lt;/titles&gt;&lt;alt-periodical&gt;&lt;full-title&gt;Technical Communication Quarterly&lt;/full-title&gt;&lt;abbr-1&gt;Tech. Commun. Q.&lt;/abbr-1&gt;&lt;/alt-periodical&gt;&lt;pages&gt;38-53&lt;/pages&gt;&lt;volume&gt;33&lt;/volume&gt;&lt;number&gt;1&lt;/number&gt;&lt;keywords&gt;&lt;keyword&gt;Usability testing&lt;/keyword&gt;&lt;keyword&gt;UX design&lt;/keyword&gt;&lt;keyword&gt;pedagogy&lt;/keyword&gt;&lt;keyword&gt;internet of things&lt;/keyword&gt;&lt;keyword&gt;smart home&lt;/keyword&gt;&lt;keyword&gt;technology&lt;/keyword&gt;&lt;keyword&gt;smart&lt;/keyword&gt;&lt;keyword&gt;technology&lt;/keyword&gt;&lt;keyword&gt;pedagogy&lt;/keyword&gt;&lt;keyword&gt;internet&lt;/keyword&gt;&lt;keyword&gt;lessons&lt;/keyword&gt;&lt;keyword&gt;things&lt;/keyword&gt;&lt;keyword&gt;Communication&lt;/keyword&gt;&lt;/keywords&gt;&lt;dates&gt;&lt;year&gt;2024&lt;/year&gt;&lt;pub-dates&gt;&lt;date&gt;2024 Jan&lt;/date&gt;&lt;/pub-dates&gt;&lt;/dates&gt;&lt;isbn&gt;1057-2252&lt;/isbn&gt;&lt;accession-num&gt;WOS:000951615600001&lt;/accession-num&gt;&lt;work-type&gt;Article; Early Access&lt;/work-type&gt;&lt;urls&gt;&lt;related-urls&gt;&lt;url&gt;&amp;lt;Go to ISI&amp;gt;://WOS:000951615600001&lt;/url&gt;&lt;/related-urls&gt;&lt;/urls&gt;&lt;electronic-resource-num&gt;10.1080/10572252.2023.2194345&lt;/electronic-resource-num&gt;&lt;language&gt;English&lt;/language&gt;&lt;/record&gt;&lt;/Cite&gt;&lt;/EndNote&gt;</w:instrText>
      </w:r>
      <w:r w:rsidR="00601647">
        <w:rPr>
          <w:rFonts w:ascii="Arial" w:eastAsiaTheme="minorEastAsia" w:hAnsi="Arial" w:cs="Arial"/>
          <w:lang w:eastAsia="zh-CN"/>
        </w:rPr>
        <w:fldChar w:fldCharType="separate"/>
      </w:r>
      <w:r w:rsidR="00601647">
        <w:rPr>
          <w:rFonts w:ascii="Arial" w:eastAsiaTheme="minorEastAsia" w:hAnsi="Arial" w:cs="Arial"/>
          <w:noProof/>
          <w:lang w:eastAsia="zh-CN"/>
        </w:rPr>
        <w:t>(Wright, 2024)</w:t>
      </w:r>
      <w:r w:rsidR="00601647">
        <w:rPr>
          <w:rFonts w:ascii="Arial" w:eastAsiaTheme="minorEastAsia" w:hAnsi="Arial" w:cs="Arial"/>
          <w:lang w:eastAsia="zh-CN"/>
        </w:rPr>
        <w:fldChar w:fldCharType="end"/>
      </w:r>
      <w:r>
        <w:rPr>
          <w:rFonts w:ascii="Arial" w:hAnsi="Arial" w:cs="Arial"/>
          <w:lang w:eastAsia="zh-CN"/>
        </w:rPr>
        <w:t xml:space="preserve">, and program level outcome </w:t>
      </w:r>
      <w:r>
        <w:rPr>
          <w:rFonts w:ascii="Arial" w:hAnsi="Arial" w:cs="Arial"/>
          <w:lang w:eastAsia="zh-CN"/>
        </w:rPr>
        <w:lastRenderedPageBreak/>
        <w:t>coherence that supports competence integration across tasks</w:t>
      </w:r>
      <w:r w:rsidR="00601647">
        <w:rPr>
          <w:rFonts w:ascii="Arial" w:eastAsiaTheme="minorEastAsia" w:hAnsi="Arial" w:cs="Arial" w:hint="eastAsia"/>
          <w:lang w:eastAsia="zh-CN"/>
        </w:rPr>
        <w:t xml:space="preserve"> </w:t>
      </w:r>
      <w:r w:rsidR="00940238">
        <w:rPr>
          <w:rFonts w:ascii="Arial" w:eastAsiaTheme="minorEastAsia" w:hAnsi="Arial" w:cs="Arial"/>
          <w:lang w:eastAsia="zh-CN"/>
        </w:rPr>
        <w:fldChar w:fldCharType="begin">
          <w:fldData xml:space="preserve">PEVuZE5vdGU+PENpdGU+PEF1dGhvcj5DbGVnZzwvQXV0aG9yPjxZZWFyPjIwMjE8L1llYXI+PFJl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</w:fldData>
        </w:fldChar>
      </w:r>
      <w:r w:rsidR="00940238">
        <w:rPr>
          <w:rFonts w:ascii="Arial" w:eastAsiaTheme="minorEastAsia" w:hAnsi="Arial" w:cs="Arial"/>
          <w:lang w:eastAsia="zh-CN"/>
        </w:rPr>
        <w:instrText xml:space="preserve"> ADDIN EN.CITE </w:instrText>
      </w:r>
      <w:r w:rsidR="00940238">
        <w:rPr>
          <w:rFonts w:ascii="Arial" w:eastAsiaTheme="minorEastAsia" w:hAnsi="Arial" w:cs="Arial"/>
          <w:lang w:eastAsia="zh-CN"/>
        </w:rPr>
        <w:fldChar w:fldCharType="begin">
          <w:fldData xml:space="preserve">PEVuZE5vdGU+PENpdGU+PEF1dGhvcj5DbGVnZzwvQXV0aG9yPjxZZWFyPjIwMjE8L1llYXI+PFJl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</w:fldData>
        </w:fldChar>
      </w:r>
      <w:r w:rsidR="00940238">
        <w:rPr>
          <w:rFonts w:ascii="Arial" w:eastAsiaTheme="minorEastAsia" w:hAnsi="Arial" w:cs="Arial"/>
          <w:lang w:eastAsia="zh-CN"/>
        </w:rPr>
        <w:instrText xml:space="preserve"> ADDIN EN.CITE.DATA </w:instrText>
      </w:r>
      <w:r w:rsidR="00940238">
        <w:rPr>
          <w:rFonts w:ascii="Arial" w:eastAsiaTheme="minorEastAsia" w:hAnsi="Arial" w:cs="Arial"/>
          <w:lang w:eastAsia="zh-CN"/>
        </w:rPr>
      </w:r>
      <w:r w:rsidR="00940238">
        <w:rPr>
          <w:rFonts w:ascii="Arial" w:eastAsiaTheme="minorEastAsia" w:hAnsi="Arial" w:cs="Arial"/>
          <w:lang w:eastAsia="zh-CN"/>
        </w:rPr>
        <w:fldChar w:fldCharType="end"/>
      </w:r>
      <w:r w:rsidR="00940238">
        <w:rPr>
          <w:rFonts w:ascii="Arial" w:eastAsiaTheme="minorEastAsia" w:hAnsi="Arial" w:cs="Arial"/>
          <w:lang w:eastAsia="zh-CN"/>
        </w:rPr>
      </w:r>
      <w:r w:rsidR="00940238">
        <w:rPr>
          <w:rFonts w:ascii="Arial" w:eastAsiaTheme="minorEastAsia" w:hAnsi="Arial" w:cs="Arial"/>
          <w:lang w:eastAsia="zh-CN"/>
        </w:rPr>
        <w:fldChar w:fldCharType="separate"/>
      </w:r>
      <w:r w:rsidR="00940238">
        <w:rPr>
          <w:rFonts w:ascii="Arial" w:eastAsiaTheme="minorEastAsia" w:hAnsi="Arial" w:cs="Arial"/>
          <w:noProof/>
          <w:lang w:eastAsia="zh-CN"/>
        </w:rPr>
        <w:t>(Clegg et al., 2021)</w:t>
      </w:r>
      <w:r w:rsidR="00940238">
        <w:rPr>
          <w:rFonts w:ascii="Arial" w:eastAsiaTheme="minorEastAsia" w:hAnsi="Arial" w:cs="Arial"/>
          <w:lang w:eastAsia="zh-CN"/>
        </w:rPr>
        <w:fldChar w:fldCharType="end"/>
      </w:r>
      <w:r>
        <w:rPr>
          <w:rFonts w:ascii="Arial" w:hAnsi="Arial" w:cs="Arial"/>
          <w:lang w:eastAsia="zh-CN"/>
        </w:rPr>
        <w:t xml:space="preserve">. These developments also reflect the field’s expansion toward UX and digitally shaped communication work </w:t>
      </w:r>
      <w:r>
        <w:rPr>
          <w:rFonts w:ascii="Arial" w:hAnsi="Arial" w:cs="Arial"/>
          <w:lang w:eastAsia="zh-CN"/>
        </w:rPr>
        <w:fldChar w:fldCharType="begin"/>
      </w:r>
      <w:r w:rsidR="00601647">
        <w:rPr>
          <w:rFonts w:ascii="Arial" w:hAnsi="Arial" w:cs="Arial"/>
          <w:lang w:eastAsia="zh-CN"/>
        </w:rPr>
        <w:instrText xml:space="preserve"> ADDIN EN.CITE &lt;EndNote&gt;&lt;Cite&gt;&lt;Author&gt;Getto&lt;/Author&gt;&lt;Year&gt;2023&lt;/Year&gt;&lt;RecNum&gt;50&lt;/RecNum&gt;&lt;DisplayText&gt;(Getto et al., 2023)&lt;/DisplayText&gt;&lt;record&gt;&lt;rec-number&gt;50&lt;/rec-number&gt;&lt;foreign-keys&gt;&lt;key app="EN" db-id="axateaap22str3eaaa1xar2n95zaewv2sx5a" timestamp="1731584893"&gt;50&lt;/key&gt;&lt;/foreign-keys&gt;&lt;ref-type name="Journal Article"&gt;17&lt;/ref-type&gt;&lt;contributors&gt;&lt;authors&gt;&lt;author&gt;Getto, Guiseppe&lt;/author&gt;&lt;author&gt;Labriola, Jack T&lt;/author&gt;&lt;author&gt;Lancaster, Amber&lt;/author&gt;&lt;/authors&gt;&lt;/contributors&gt;&lt;titles&gt;&lt;title&gt;The State of UX in Technical and Professional Communication: Courses, Programs, and Jobs&lt;/title&gt;&lt;secondary-title&gt;IEEE Transactions on Professional Communication&lt;/secondary-title&gt;&lt;/titles&gt;&lt;periodical&gt;&lt;full-title&gt;IEEE Transactions on Professional Communication&lt;/full-title&gt;&lt;/periodical&gt;&lt;pages&gt;317-321&lt;/pages&gt;&lt;volume&gt;66&lt;/volume&gt;&lt;number&gt;4&lt;/number&gt;&lt;dates&gt;&lt;year&gt;2023&lt;/year&gt;&lt;/dates&gt;&lt;isbn&gt;0361-1434&lt;/isbn&gt;&lt;urls&gt;&lt;/urls&gt;&lt;electronic-resource-num&gt;10.1109/TPC.2023.3314255&lt;/electronic-resource-num&gt;&lt;/record&gt;&lt;/Cite&gt;&lt;/EndNote&gt;</w:instrText>
      </w:r>
      <w:r>
        <w:rPr>
          <w:rFonts w:ascii="Arial" w:hAnsi="Arial" w:cs="Arial"/>
          <w:lang w:eastAsia="zh-CN"/>
        </w:rPr>
        <w:fldChar w:fldCharType="separate"/>
      </w:r>
      <w:r w:rsidR="00601647">
        <w:rPr>
          <w:rFonts w:ascii="Arial" w:hAnsi="Arial" w:cs="Arial"/>
          <w:noProof/>
          <w:lang w:eastAsia="zh-CN"/>
        </w:rPr>
        <w:t>(Getto et al., 2023)</w:t>
      </w:r>
      <w:r>
        <w:rPr>
          <w:rFonts w:ascii="Arial" w:hAnsi="Arial" w:cs="Arial"/>
          <w:lang w:eastAsia="zh-CN"/>
        </w:rPr>
        <w:fldChar w:fldCharType="end"/>
      </w:r>
      <w:r>
        <w:rPr>
          <w:rFonts w:ascii="Arial" w:hAnsi="Arial" w:cs="Arial"/>
          <w:lang w:eastAsia="zh-CN"/>
        </w:rPr>
        <w:t>.</w:t>
      </w:r>
    </w:p>
    <w:p w14:paraId="51D38DF7" w14:textId="7D10B027" w:rsidR="006438A5" w:rsidRDefault="00000000">
      <w:pPr>
        <w:pStyle w:val="Body"/>
        <w:spacing w:after="0"/>
        <w:rPr>
          <w:rFonts w:ascii="Arial" w:hAnsi="Arial" w:cs="Arial"/>
        </w:rPr>
      </w:pPr>
      <w:r>
        <w:rPr>
          <w:rFonts w:ascii="Arial" w:hAnsi="Arial" w:cs="Arial"/>
          <w:lang w:eastAsia="zh-CN"/>
        </w:rPr>
        <w:t xml:space="preserve">In Chinese vocational education, the need to build these competencies is particularly urgent. Vocational colleges are expected to prepare practice-oriented talent for rapidly evolving regional economies. Yet workplace communication increasingly requires multimodal documentation, distributed teamwork, cross cultural coordination </w:t>
      </w:r>
      <w:r>
        <w:rPr>
          <w:rFonts w:ascii="Arial" w:hAnsi="Arial" w:cs="Arial"/>
          <w:lang w:eastAsia="zh-CN"/>
        </w:rPr>
        <w:fldChar w:fldCharType="begin"/>
      </w:r>
      <w:r w:rsidR="00601647">
        <w:rPr>
          <w:rFonts w:ascii="Arial" w:hAnsi="Arial" w:cs="Arial"/>
          <w:lang w:eastAsia="zh-CN"/>
        </w:rPr>
        <w:instrText xml:space="preserve"> ADDIN EN.CITE &lt;EndNote&gt;&lt;Cite&gt;&lt;Author&gt;Liu&lt;/Author&gt;&lt;Year&gt;2025&lt;/Year&gt;&lt;RecNum&gt;1258&lt;/RecNum&gt;&lt;DisplayText&gt;(Liu et al., 2025)&lt;/DisplayText&gt;&lt;record&gt;&lt;rec-number&gt;1258&lt;/rec-number&gt;&lt;foreign-keys&gt;&lt;key app="EN" db-id="axateaap22str3eaaa1xar2n95zaewv2sx5a" timestamp="1749006619"&gt;1258&lt;/key&gt;&lt;/foreign-keys&gt;&lt;ref-type name="Journal Article"&gt;17&lt;/ref-type&gt;&lt;contributors&gt;&lt;authors&gt;&lt;author&gt;Liu, Weiqi&lt;/author&gt;&lt;author&gt;Jamaludin, Khairul Azhar&lt;/author&gt;&lt;author&gt;Hamzah, Mohd Isa&lt;/author&gt;&lt;/authors&gt;&lt;/contributors&gt;&lt;titles&gt;&lt;title&gt;Systematic review of culturally responsive teaching and implications for technical communication education&lt;/title&gt;&lt;secondary-title&gt;Multidisciplinary Reviews&lt;/secondary-title&gt;&lt;/titles&gt;&lt;periodical&gt;&lt;full-title&gt;Multidisciplinary Reviews&lt;/full-title&gt;&lt;/periodical&gt;&lt;pages&gt;2025117&lt;/pages&gt;&lt;volume&gt;8&lt;/volume&gt;&lt;number&gt;4&lt;/number&gt;&lt;dates&gt;&lt;year&gt;2025&lt;/year&gt;&lt;/dates&gt;&lt;isbn&gt;2595-3982&lt;/isbn&gt;&lt;urls&gt;&lt;/urls&gt;&lt;electronic-resource-num&gt;10.31893/multirev.2025117&lt;/electronic-resource-num&gt;&lt;/record&gt;&lt;/Cite&gt;&lt;/EndNote&gt;</w:instrText>
      </w:r>
      <w:r>
        <w:rPr>
          <w:rFonts w:ascii="Arial" w:hAnsi="Arial" w:cs="Arial"/>
          <w:lang w:eastAsia="zh-CN"/>
        </w:rPr>
        <w:fldChar w:fldCharType="separate"/>
      </w:r>
      <w:r w:rsidR="00601647">
        <w:rPr>
          <w:rFonts w:ascii="Arial" w:hAnsi="Arial" w:cs="Arial"/>
          <w:noProof/>
          <w:lang w:eastAsia="zh-CN"/>
        </w:rPr>
        <w:t>(Liu et al., 2025)</w:t>
      </w:r>
      <w:r>
        <w:rPr>
          <w:rFonts w:ascii="Arial" w:hAnsi="Arial" w:cs="Arial"/>
          <w:lang w:eastAsia="zh-CN"/>
        </w:rPr>
        <w:fldChar w:fldCharType="end"/>
      </w:r>
      <w:r>
        <w:rPr>
          <w:rFonts w:ascii="Arial" w:hAnsi="Arial" w:cs="Arial"/>
          <w:lang w:eastAsia="zh-CN"/>
        </w:rPr>
        <w:t xml:space="preserve">, and time sensitive reporting </w:t>
      </w:r>
      <w:r>
        <w:rPr>
          <w:rFonts w:ascii="Arial" w:hAnsi="Arial" w:cs="Arial"/>
          <w:lang w:eastAsia="zh-CN"/>
        </w:rPr>
        <w:fldChar w:fldCharType="begin"/>
      </w:r>
      <w:r w:rsidR="00601647">
        <w:rPr>
          <w:rFonts w:ascii="Arial" w:hAnsi="Arial" w:cs="Arial"/>
          <w:lang w:eastAsia="zh-CN"/>
        </w:rPr>
        <w:instrText xml:space="preserve"> ADDIN EN.CITE &lt;EndNote&gt;&lt;Cite&gt;&lt;Author&gt;Wan&lt;/Author&gt;&lt;Year&gt;2022&lt;/Year&gt;&lt;RecNum&gt;117&lt;/RecNum&gt;&lt;DisplayText&gt;(Wan, 2022)&lt;/DisplayText&gt;&lt;record&gt;&lt;rec-number&gt;117&lt;/rec-number&gt;&lt;foreign-keys&gt;&lt;key app="EN" db-id="axateaap22str3eaaa1xar2n95zaewv2sx5a" timestamp="1731595001"&gt;117&lt;/key&gt;&lt;/foreign-keys&gt;&lt;ref-type name="Conference Proceedings"&gt;10&lt;/ref-type&gt;&lt;contributors&gt;&lt;authors&gt;&lt;author&gt;Wan, Xinyue&lt;/author&gt;&lt;/authors&gt;&lt;/contributors&gt;&lt;titles&gt;&lt;title&gt;Development of Technical Communication in China: Program Building and Industrial Trends&lt;/title&gt;&lt;secondary-title&gt;2022 IEEE International Professional Communication Conference (ProComm)&lt;/secondary-title&gt;&lt;/titles&gt;&lt;pages&gt;128-132&lt;/pages&gt;&lt;dates&gt;&lt;year&gt;2022&lt;/year&gt;&lt;/dates&gt;&lt;publisher&gt;IEEE&lt;/publisher&gt;&lt;isbn&gt;1665495170&lt;/isbn&gt;&lt;urls&gt;&lt;/urls&gt;&lt;electronic-resource-num&gt;10.1109/ProComm53155.2022.00027&lt;/electronic-resource-num&gt;&lt;/record&gt;&lt;/Cite&gt;&lt;/EndNote&gt;</w:instrText>
      </w:r>
      <w:r>
        <w:rPr>
          <w:rFonts w:ascii="Arial" w:hAnsi="Arial" w:cs="Arial"/>
          <w:lang w:eastAsia="zh-CN"/>
        </w:rPr>
        <w:fldChar w:fldCharType="separate"/>
      </w:r>
      <w:r w:rsidR="00601647">
        <w:rPr>
          <w:rFonts w:ascii="Arial" w:hAnsi="Arial" w:cs="Arial"/>
          <w:noProof/>
          <w:lang w:eastAsia="zh-CN"/>
        </w:rPr>
        <w:t>(Wan, 2022)</w:t>
      </w:r>
      <w:r>
        <w:rPr>
          <w:rFonts w:ascii="Arial" w:hAnsi="Arial" w:cs="Arial"/>
          <w:lang w:eastAsia="zh-CN"/>
        </w:rPr>
        <w:fldChar w:fldCharType="end"/>
      </w:r>
      <w:r>
        <w:rPr>
          <w:rFonts w:ascii="Arial" w:hAnsi="Arial" w:cs="Arial"/>
          <w:lang w:eastAsia="zh-CN"/>
        </w:rPr>
        <w:t>. In Guangdong Province, where export-oriented industries and global supply chains are concentrated, this tension is amplified. Workplace readiness depends partly on whether students can enact TC as situated practice rather than treat it as isolated language knowledge. The thesis that underpins the present study identifies this as a structural problem for vocational preparation. It argues that vocational education in Guangdong has not consistently provided adequate TC training and that curricula are often fragmented in ways that weaken transfer to workplace tasks.</w:t>
      </w:r>
    </w:p>
    <w:p w14:paraId="3BFA12F9" w14:textId="0B770968" w:rsidR="006438A5" w:rsidRDefault="00000000">
      <w:pPr>
        <w:pStyle w:val="Body"/>
        <w:spacing w:after="0"/>
        <w:rPr>
          <w:rFonts w:ascii="Arial" w:hAnsi="Arial" w:cs="Arial"/>
        </w:rPr>
      </w:pPr>
      <w:r>
        <w:rPr>
          <w:rFonts w:ascii="Arial" w:hAnsi="Arial" w:cs="Arial"/>
          <w:lang w:eastAsia="zh-CN"/>
        </w:rPr>
        <w:t>Research on TC education in China has documented progress in program building and field convergence, while also noting unresolved issues of curricular positioning and institutional uptake</w:t>
      </w:r>
      <w:r w:rsidR="00940238">
        <w:rPr>
          <w:rFonts w:ascii="Arial" w:eastAsiaTheme="minorEastAsia" w:hAnsi="Arial" w:cs="Arial" w:hint="eastAsia"/>
          <w:lang w:eastAsia="zh-CN"/>
        </w:rPr>
        <w:t xml:space="preserve"> </w:t>
      </w:r>
      <w:r w:rsidR="00940238">
        <w:rPr>
          <w:rFonts w:ascii="Arial" w:eastAsiaTheme="minorEastAsia" w:hAnsi="Arial" w:cs="Arial"/>
          <w:lang w:eastAsia="zh-CN"/>
        </w:rPr>
        <w:fldChar w:fldCharType="begin">
          <w:fldData xml:space="preserve">PEVuZE5vdGU+PENpdGU+PEF1dGhvcj5EaW5nPC9BdXRob3I+PFllYXI+MjAxOTwvWWVhcj48UmVj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</w:fldData>
        </w:fldChar>
      </w:r>
      <w:r w:rsidR="00940238">
        <w:rPr>
          <w:rFonts w:ascii="Arial" w:eastAsiaTheme="minorEastAsia" w:hAnsi="Arial" w:cs="Arial"/>
          <w:lang w:eastAsia="zh-CN"/>
        </w:rPr>
        <w:instrText xml:space="preserve"> ADDIN EN.CITE </w:instrText>
      </w:r>
      <w:r w:rsidR="00940238">
        <w:rPr>
          <w:rFonts w:ascii="Arial" w:eastAsiaTheme="minorEastAsia" w:hAnsi="Arial" w:cs="Arial"/>
          <w:lang w:eastAsia="zh-CN"/>
        </w:rPr>
        <w:fldChar w:fldCharType="begin">
          <w:fldData xml:space="preserve">PEVuZE5vdGU+PENpdGU+PEF1dGhvcj5EaW5nPC9BdXRob3I+PFllYXI+MjAxOTwvWWVhcj48UmVj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</w:fldData>
        </w:fldChar>
      </w:r>
      <w:r w:rsidR="00940238">
        <w:rPr>
          <w:rFonts w:ascii="Arial" w:eastAsiaTheme="minorEastAsia" w:hAnsi="Arial" w:cs="Arial"/>
          <w:lang w:eastAsia="zh-CN"/>
        </w:rPr>
        <w:instrText xml:space="preserve"> ADDIN EN.CITE.DATA </w:instrText>
      </w:r>
      <w:r w:rsidR="00940238">
        <w:rPr>
          <w:rFonts w:ascii="Arial" w:eastAsiaTheme="minorEastAsia" w:hAnsi="Arial" w:cs="Arial"/>
          <w:lang w:eastAsia="zh-CN"/>
        </w:rPr>
      </w:r>
      <w:r w:rsidR="00940238">
        <w:rPr>
          <w:rFonts w:ascii="Arial" w:eastAsiaTheme="minorEastAsia" w:hAnsi="Arial" w:cs="Arial"/>
          <w:lang w:eastAsia="zh-CN"/>
        </w:rPr>
        <w:fldChar w:fldCharType="end"/>
      </w:r>
      <w:r w:rsidR="00940238">
        <w:rPr>
          <w:rFonts w:ascii="Arial" w:eastAsiaTheme="minorEastAsia" w:hAnsi="Arial" w:cs="Arial"/>
          <w:lang w:eastAsia="zh-CN"/>
        </w:rPr>
      </w:r>
      <w:r w:rsidR="00940238">
        <w:rPr>
          <w:rFonts w:ascii="Arial" w:eastAsiaTheme="minorEastAsia" w:hAnsi="Arial" w:cs="Arial"/>
          <w:lang w:eastAsia="zh-CN"/>
        </w:rPr>
        <w:fldChar w:fldCharType="separate"/>
      </w:r>
      <w:r w:rsidR="00940238">
        <w:rPr>
          <w:rFonts w:ascii="Arial" w:eastAsiaTheme="minorEastAsia" w:hAnsi="Arial" w:cs="Arial"/>
          <w:noProof/>
          <w:lang w:eastAsia="zh-CN"/>
        </w:rPr>
        <w:t>(Ding, 2019; Wan, 2022)</w:t>
      </w:r>
      <w:r w:rsidR="00940238">
        <w:rPr>
          <w:rFonts w:ascii="Arial" w:eastAsiaTheme="minorEastAsia" w:hAnsi="Arial" w:cs="Arial"/>
          <w:lang w:eastAsia="zh-CN"/>
        </w:rPr>
        <w:fldChar w:fldCharType="end"/>
      </w:r>
      <w:r>
        <w:rPr>
          <w:rFonts w:ascii="Arial" w:hAnsi="Arial" w:cs="Arial"/>
          <w:lang w:eastAsia="zh-CN"/>
        </w:rPr>
        <w:t xml:space="preserve">. Related work further suggests that curriculum development must reflect digitalization and global communication realities. Competence framework-oriented curriculum development has been proposed as a response to the changing communicative demands of professional work </w:t>
      </w:r>
      <w:r>
        <w:rPr>
          <w:rFonts w:ascii="Arial" w:hAnsi="Arial" w:cs="Arial"/>
          <w:lang w:eastAsia="zh-CN"/>
        </w:rPr>
        <w:fldChar w:fldCharType="begin"/>
      </w:r>
      <w:r w:rsidR="00601647">
        <w:rPr>
          <w:rFonts w:ascii="Arial" w:hAnsi="Arial" w:cs="Arial"/>
          <w:lang w:eastAsia="zh-CN"/>
        </w:rPr>
        <w:instrText xml:space="preserve"> ADDIN EN.CITE &lt;EndNote&gt;&lt;Cite&gt;&lt;Author&gt;Cleary&lt;/Author&gt;&lt;Year&gt;2019&lt;/Year&gt;&lt;RecNum&gt;24&lt;/RecNum&gt;&lt;DisplayText&gt;(Cleary et al., 2019)&lt;/DisplayText&gt;&lt;record&gt;&lt;rec-number&gt;24&lt;/rec-number&gt;&lt;foreign-keys&gt;&lt;key app="EN" db-id="axateaap22str3eaaa1xar2n95zaewv2sx5a" timestamp="1731571153"&gt;24&lt;/key&gt;&lt;/foreign-keys&gt;&lt;ref-type name="Conference Proceedings"&gt;10&lt;/ref-type&gt;&lt;contributors&gt;&lt;authors&gt;&lt;author&gt;Cleary, Yvonne&lt;/author&gt;&lt;author&gt;Karreman, Joyce&lt;/author&gt;&lt;author&gt;Meex, Birgitta&lt;/author&gt;&lt;author&gt;Closs, Sissi&lt;/author&gt;&lt;/authors&gt;&lt;/contributors&gt;&lt;titles&gt;&lt;title&gt;Workshop: Curriculum development for technical communication in a digitalized world based on the TecCOMFrame competence framework&lt;/title&gt;&lt;secondary-title&gt;2019 IEEE International Professional Communication Conference (ProComm)&lt;/secondary-title&gt;&lt;/titles&gt;&lt;pages&gt;259-261&lt;/pages&gt;&lt;dates&gt;&lt;year&gt;2019&lt;/year&gt;&lt;/dates&gt;&lt;publisher&gt;IEEE&lt;/publisher&gt;&lt;isbn&gt;1728125669&lt;/isbn&gt;&lt;urls&gt;&lt;/urls&gt;&lt;electronic-resource-num&gt;10.1109/ProComm.2019.00056&lt;/electronic-resource-num&gt;&lt;/record&gt;&lt;/Cite&gt;&lt;/EndNote&gt;</w:instrText>
      </w:r>
      <w:r>
        <w:rPr>
          <w:rFonts w:ascii="Arial" w:hAnsi="Arial" w:cs="Arial"/>
          <w:lang w:eastAsia="zh-CN"/>
        </w:rPr>
        <w:fldChar w:fldCharType="separate"/>
      </w:r>
      <w:r w:rsidR="00601647">
        <w:rPr>
          <w:rFonts w:ascii="Arial" w:hAnsi="Arial" w:cs="Arial"/>
          <w:noProof/>
          <w:lang w:eastAsia="zh-CN"/>
        </w:rPr>
        <w:t>(Cleary et al., 2019)</w:t>
      </w:r>
      <w:r>
        <w:rPr>
          <w:rFonts w:ascii="Arial" w:hAnsi="Arial" w:cs="Arial"/>
          <w:lang w:eastAsia="zh-CN"/>
        </w:rPr>
        <w:fldChar w:fldCharType="end"/>
      </w:r>
      <w:r>
        <w:rPr>
          <w:rFonts w:ascii="Arial" w:hAnsi="Arial" w:cs="Arial"/>
          <w:lang w:eastAsia="zh-CN"/>
        </w:rPr>
        <w:t xml:space="preserve">, while scholarship at the intersection of TC and translation highlights the growing need for localization awareness, multilingual, and globally oriented communication practices </w:t>
      </w:r>
      <w:r>
        <w:rPr>
          <w:rFonts w:ascii="Arial" w:hAnsi="Arial" w:cs="Arial"/>
          <w:lang w:eastAsia="zh-CN"/>
        </w:rPr>
        <w:fldChar w:fldCharType="begin"/>
      </w:r>
      <w:r w:rsidR="00601647">
        <w:rPr>
          <w:rFonts w:ascii="Arial" w:hAnsi="Arial" w:cs="Arial"/>
          <w:lang w:eastAsia="zh-CN"/>
        </w:rPr>
        <w:instrText xml:space="preserve"> ADDIN EN.CITE &lt;EndNote&gt;&lt;Cite&gt;&lt;Author&gt;Palumbo&lt;/Author&gt;&lt;Year&gt;2024&lt;/Year&gt;&lt;RecNum&gt;44&lt;/RecNum&gt;&lt;DisplayText&gt;(Palumbo &amp;amp; Duin, 2024; Petts et al., 2024)&lt;/DisplayText&gt;&lt;record&gt;&lt;rec-number&gt;44&lt;/rec-number&gt;&lt;foreign-keys&gt;&lt;key app="EN" db-id="axateaap22str3eaaa1xar2n95zaewv2sx5a" timestamp="1731584035"&gt;44&lt;/key&gt;&lt;/foreign-keys&gt;&lt;ref-type name="Journal Article"&gt;17&lt;/ref-type&gt;&lt;contributors&gt;&lt;authors&gt;&lt;author&gt;Palumbo, Giuseppe&lt;/author&gt;&lt;author&gt;Duin, Ann Hill&lt;/author&gt;&lt;/authors&gt;&lt;/contributors&gt;&lt;titles&gt;&lt;title&gt;The Evolutionary Convergence of Technical Communication and Translation: An Integrative Literature Review of Scholarship From 2000 to 2022&lt;/title&gt;&lt;secondary-title&gt;IEEE Transactions on Professional Communication&lt;/secondary-title&gt;&lt;/titles&gt;&lt;periodical&gt;&lt;full-title&gt;IEEE Transactions on Professional Communication&lt;/full-title&gt;&lt;/periodical&gt;&lt;pages&gt;266 - 284&lt;/pages&gt;&lt;volume&gt;67&lt;/volume&gt;&lt;number&gt;3&lt;/number&gt;&lt;dates&gt;&lt;year&gt;2024&lt;/year&gt;&lt;/dates&gt;&lt;isbn&gt;0361-1434&lt;/isbn&gt;&lt;urls&gt;&lt;/urls&gt;&lt;electronic-resource-num&gt;10.1109/TPC.2024.3411888&lt;/electronic-resource-num&gt;&lt;/record&gt;&lt;/Cite&gt;&lt;Cite&gt;&lt;Author&gt;Petts&lt;/Author&gt;&lt;Year&gt;2024&lt;/Year&gt;&lt;RecNum&gt;49&lt;/RecNum&gt;&lt;record&gt;&lt;rec-number&gt;49&lt;/rec-number&gt;&lt;foreign-keys&gt;&lt;key app="EN" db-id="axateaap22str3eaaa1xar2n95zaewv2sx5a" timestamp="1731584826"&gt;49&lt;/key&gt;&lt;/foreign-keys&gt;&lt;ref-type name="Journal Article"&gt;17&lt;/ref-type&gt;&lt;contributors&gt;&lt;authors&gt;&lt;author&gt;Petts, Ashleigh&lt;/author&gt;&lt;author&gt;Veeramoothoo, Saveena Chakrika&lt;/author&gt;&lt;author&gt;Verzella, Massimo&lt;/author&gt;&lt;/authors&gt;&lt;/contributors&gt;&lt;titles&gt;&lt;title&gt;Setting Foundations: An Integrative Literature Review at the Intersections of Technical and Professional Communication and Translation Studies&lt;/title&gt;&lt;secondary-title&gt;IEEE Transactions on Professional Communication&lt;/secondary-title&gt;&lt;/titles&gt;&lt;periodical&gt;&lt;full-title&gt;IEEE Transactions on Professional Communication&lt;/full-title&gt;&lt;/periodical&gt;&lt;pages&gt;285 - 300&lt;/pages&gt;&lt;volume&gt;67&lt;/volume&gt;&lt;number&gt;3&lt;/number&gt;&lt;dates&gt;&lt;year&gt;2024&lt;/year&gt;&lt;/dates&gt;&lt;isbn&gt;0361-1434&lt;/isbn&gt;&lt;urls&gt;&lt;/urls&gt;&lt;electronic-resource-num&gt;10.1109/TPC.2024.3418168&lt;/electronic-resource-num&gt;&lt;/record&gt;&lt;/Cite&gt;&lt;/EndNote&gt;</w:instrText>
      </w:r>
      <w:r>
        <w:rPr>
          <w:rFonts w:ascii="Arial" w:hAnsi="Arial" w:cs="Arial"/>
          <w:lang w:eastAsia="zh-CN"/>
        </w:rPr>
        <w:fldChar w:fldCharType="separate"/>
      </w:r>
      <w:r w:rsidR="00601647">
        <w:rPr>
          <w:rFonts w:ascii="Arial" w:hAnsi="Arial" w:cs="Arial"/>
          <w:noProof/>
          <w:lang w:eastAsia="zh-CN"/>
        </w:rPr>
        <w:t>(Palumbo &amp; Duin, 2024; Petts et al., 2024)</w:t>
      </w:r>
      <w:r>
        <w:rPr>
          <w:rFonts w:ascii="Arial" w:hAnsi="Arial" w:cs="Arial"/>
          <w:lang w:eastAsia="zh-CN"/>
        </w:rPr>
        <w:fldChar w:fldCharType="end"/>
      </w:r>
      <w:r>
        <w:rPr>
          <w:rFonts w:ascii="Arial" w:hAnsi="Arial" w:cs="Arial"/>
          <w:lang w:eastAsia="zh-CN"/>
        </w:rPr>
        <w:t>. These insights sharpen the vocational challenge. Students are expected to communicate across languages, platforms, and organizational roles, yet vocational curricula may still privilege lecture dominant coverage and discrete language skills over task-based communication performance.</w:t>
      </w:r>
    </w:p>
    <w:p w14:paraId="03B6B6EC" w14:textId="28EDBD45" w:rsidR="006438A5" w:rsidRDefault="00000000">
      <w:pPr>
        <w:pStyle w:val="Body"/>
        <w:spacing w:after="0"/>
        <w:rPr>
          <w:rFonts w:ascii="Arial" w:hAnsi="Arial" w:cs="Arial"/>
        </w:rPr>
      </w:pPr>
      <w:r>
        <w:rPr>
          <w:rFonts w:ascii="Arial" w:hAnsi="Arial" w:cs="Arial"/>
          <w:lang w:eastAsia="zh-CN"/>
        </w:rPr>
        <w:t>Evidence from vocational contexts reinforces this misalignment. Needs analysis studies in Chinese TVET settings have identified clear gaps between workplace expectations and students</w:t>
      </w:r>
      <w:r>
        <w:rPr>
          <w:rFonts w:ascii="Arial" w:hAnsi="Arial" w:cs="Arial" w:hint="eastAsia"/>
          <w:lang w:eastAsia="zh-CN"/>
        </w:rPr>
        <w:t>’</w:t>
      </w:r>
      <w:r>
        <w:rPr>
          <w:rFonts w:ascii="Arial" w:hAnsi="Arial" w:cs="Arial"/>
          <w:lang w:eastAsia="zh-CN"/>
        </w:rPr>
        <w:t xml:space="preserve"> preparation for TC</w:t>
      </w:r>
      <w:r w:rsidR="00940238">
        <w:rPr>
          <w:rFonts w:ascii="Arial" w:eastAsiaTheme="minorEastAsia" w:hAnsi="Arial" w:cs="Arial" w:hint="eastAsia"/>
          <w:lang w:eastAsia="zh-CN"/>
        </w:rPr>
        <w:t xml:space="preserve"> </w:t>
      </w:r>
      <w:r w:rsidR="00940238">
        <w:rPr>
          <w:rFonts w:ascii="Arial" w:eastAsiaTheme="minorEastAsia" w:hAnsi="Arial" w:cs="Arial"/>
          <w:lang w:eastAsia="zh-CN"/>
        </w:rPr>
        <w:fldChar w:fldCharType="begin">
          <w:fldData xml:space="preserve">PEVuZE5vdGU+PENpdGU+PEF1dGhvcj5MdW88L0F1dGhvcj48WWVhcj4yMDIyPC9ZZWFyPjxSZWNO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</w:fldData>
        </w:fldChar>
      </w:r>
      <w:r w:rsidR="00940238">
        <w:rPr>
          <w:rFonts w:ascii="Arial" w:eastAsiaTheme="minorEastAsia" w:hAnsi="Arial" w:cs="Arial"/>
          <w:lang w:eastAsia="zh-CN"/>
        </w:rPr>
        <w:instrText xml:space="preserve"> ADDIN EN.CITE </w:instrText>
      </w:r>
      <w:r w:rsidR="00940238">
        <w:rPr>
          <w:rFonts w:ascii="Arial" w:eastAsiaTheme="minorEastAsia" w:hAnsi="Arial" w:cs="Arial"/>
          <w:lang w:eastAsia="zh-CN"/>
        </w:rPr>
        <w:fldChar w:fldCharType="begin">
          <w:fldData xml:space="preserve">PEVuZE5vdGU+PENpdGU+PEF1dGhvcj5MdW88L0F1dGhvcj48WWVhcj4yMDIyPC9ZZWFyPjxSZWNO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</w:fldData>
        </w:fldChar>
      </w:r>
      <w:r w:rsidR="00940238">
        <w:rPr>
          <w:rFonts w:ascii="Arial" w:eastAsiaTheme="minorEastAsia" w:hAnsi="Arial" w:cs="Arial"/>
          <w:lang w:eastAsia="zh-CN"/>
        </w:rPr>
        <w:instrText xml:space="preserve"> ADDIN EN.CITE.DATA </w:instrText>
      </w:r>
      <w:r w:rsidR="00940238">
        <w:rPr>
          <w:rFonts w:ascii="Arial" w:eastAsiaTheme="minorEastAsia" w:hAnsi="Arial" w:cs="Arial"/>
          <w:lang w:eastAsia="zh-CN"/>
        </w:rPr>
      </w:r>
      <w:r w:rsidR="00940238">
        <w:rPr>
          <w:rFonts w:ascii="Arial" w:eastAsiaTheme="minorEastAsia" w:hAnsi="Arial" w:cs="Arial"/>
          <w:lang w:eastAsia="zh-CN"/>
        </w:rPr>
        <w:fldChar w:fldCharType="end"/>
      </w:r>
      <w:r w:rsidR="00940238">
        <w:rPr>
          <w:rFonts w:ascii="Arial" w:eastAsiaTheme="minorEastAsia" w:hAnsi="Arial" w:cs="Arial"/>
          <w:lang w:eastAsia="zh-CN"/>
        </w:rPr>
      </w:r>
      <w:r w:rsidR="00940238">
        <w:rPr>
          <w:rFonts w:ascii="Arial" w:eastAsiaTheme="minorEastAsia" w:hAnsi="Arial" w:cs="Arial"/>
          <w:lang w:eastAsia="zh-CN"/>
        </w:rPr>
        <w:fldChar w:fldCharType="separate"/>
      </w:r>
      <w:r w:rsidR="00940238">
        <w:rPr>
          <w:rFonts w:ascii="Arial" w:eastAsiaTheme="minorEastAsia" w:hAnsi="Arial" w:cs="Arial"/>
          <w:noProof/>
          <w:lang w:eastAsia="zh-CN"/>
        </w:rPr>
        <w:t>(Luo et al., 2022)</w:t>
      </w:r>
      <w:r w:rsidR="00940238">
        <w:rPr>
          <w:rFonts w:ascii="Arial" w:eastAsiaTheme="minorEastAsia" w:hAnsi="Arial" w:cs="Arial"/>
          <w:lang w:eastAsia="zh-CN"/>
        </w:rPr>
        <w:fldChar w:fldCharType="end"/>
      </w:r>
      <w:r>
        <w:rPr>
          <w:rFonts w:ascii="Arial" w:hAnsi="Arial" w:cs="Arial"/>
          <w:lang w:eastAsia="zh-CN"/>
        </w:rPr>
        <w:t xml:space="preserve">. In parallel, vocational oriented models and expert consensus studies have shown how theoretically grounded design can specify relevant TC content for vocational learners </w:t>
      </w:r>
      <w:r>
        <w:rPr>
          <w:rFonts w:ascii="Arial" w:hAnsi="Arial" w:cs="Arial"/>
          <w:lang w:eastAsia="zh-CN"/>
        </w:rPr>
        <w:fldChar w:fldCharType="begin"/>
      </w:r>
      <w:r w:rsidR="00601647">
        <w:rPr>
          <w:rFonts w:ascii="Arial" w:hAnsi="Arial" w:cs="Arial"/>
          <w:lang w:eastAsia="zh-CN"/>
        </w:rPr>
        <w:instrText xml:space="preserve"> ADDIN EN.CITE &lt;EndNote&gt;&lt;Cite&gt;&lt;Author&gt;Jamaludin&lt;/Author&gt;&lt;Year&gt;2019&lt;/Year&gt;&lt;RecNum&gt;665&lt;/RecNum&gt;&lt;DisplayText&gt;(Jamaludin et al., 2019)&lt;/DisplayText&gt;&lt;record&gt;&lt;rec-number&gt;665&lt;/rec-number&gt;&lt;foreign-keys&gt;&lt;key app="EN" db-id="axateaap22str3eaaa1xar2n95zaewv2sx5a" timestamp="1736662909"&gt;665&lt;/key&gt;&lt;/foreign-keys&gt;&lt;ref-type name="Journal Article"&gt;17&lt;/ref-type&gt;&lt;contributors&gt;&lt;authors&gt;&lt;author&gt;Jamaludin, K. A.&lt;/author&gt;&lt;author&gt;Alias, N.&lt;/author&gt;&lt;author&gt;Dewitt, D.&lt;/author&gt;&lt;author&gt;Razzaq, A. R. A.&lt;/author&gt;&lt;/authors&gt;&lt;/contributors&gt;&lt;auth-address&gt;Faculty of Education, University of Malaya, Kuala Lumpur, Malaysia&amp;#xD;Faculty of Technical and Vocational Education, University Tun Hussein Onn Malaysia, Batu Pahat, Malaysia&lt;/auth-address&gt;&lt;titles&gt;&lt;title&gt;Framework for technical communication skills content development for students in malaysian vocational colleges: A fuzzy delphi study&lt;/title&gt;&lt;secondary-title&gt;Journal of Technical Education and Training&lt;/secondary-title&gt;&lt;alt-title&gt;J. Tech. Educ. Train.&lt;/alt-title&gt;&lt;/titles&gt;&lt;periodical&gt;&lt;full-title&gt;Journal of Technical Education and Training&lt;/full-title&gt;&lt;abbr-1&gt;J. Tech. Educ. Train.&lt;/abbr-1&gt;&lt;/periodical&gt;&lt;alt-periodical&gt;&lt;full-title&gt;Journal of Technical Education and Training&lt;/full-title&gt;&lt;abbr-1&gt;J. Tech. Educ. Train.&lt;/abbr-1&gt;&lt;/alt-periodical&gt;&lt;pages&gt;36-44&lt;/pages&gt;&lt;volume&gt;11&lt;/volume&gt;&lt;number&gt;4&lt;/number&gt;&lt;keywords&gt;&lt;keyword&gt;Fuzzy Delphi Method (FDM)&lt;/keyword&gt;&lt;keyword&gt;Technical communication&lt;/keyword&gt;&lt;keyword&gt;TVET&lt;/keyword&gt;&lt;/keywords&gt;&lt;dates&gt;&lt;year&gt;2019&lt;/year&gt;&lt;/dates&gt;&lt;publisher&gt;Penerbit UTHM&lt;/publisher&gt;&lt;isbn&gt;22298932 (ISSN)&lt;/isbn&gt;&lt;work-type&gt;Article&lt;/work-type&gt;&lt;urls&gt;&lt;related-urls&gt;&lt;url&gt;https://www.scopus.com/inward/record.uri?eid=2-s2.0-85077340337&amp;amp;doi=10.30880%2fjtet.2019.11.04.005&amp;amp;partnerID=40&amp;amp;md5=fab876b5d34bd6d793f7965b7152f77e&lt;/url&gt;&lt;/related-urls&gt;&lt;/urls&gt;&lt;electronic-resource-num&gt;10.30880/jtet.2019.11.04.005&lt;/electronic-resource-num&gt;&lt;remote-database-name&gt;Scopus&lt;/remote-database-name&gt;&lt;language&gt;English&lt;/language&gt;&lt;/record&gt;&lt;/Cite&gt;&lt;/EndNote&gt;</w:instrText>
      </w:r>
      <w:r>
        <w:rPr>
          <w:rFonts w:ascii="Arial" w:hAnsi="Arial" w:cs="Arial"/>
          <w:lang w:eastAsia="zh-CN"/>
        </w:rPr>
        <w:fldChar w:fldCharType="separate"/>
      </w:r>
      <w:r w:rsidR="00601647">
        <w:rPr>
          <w:rFonts w:ascii="Arial" w:hAnsi="Arial" w:cs="Arial"/>
          <w:noProof/>
          <w:lang w:eastAsia="zh-CN"/>
        </w:rPr>
        <w:t>(Jamaludin et al., 2019)</w:t>
      </w:r>
      <w:r>
        <w:rPr>
          <w:rFonts w:ascii="Arial" w:hAnsi="Arial" w:cs="Arial"/>
          <w:lang w:eastAsia="zh-CN"/>
        </w:rPr>
        <w:fldChar w:fldCharType="end"/>
      </w:r>
      <w:r>
        <w:rPr>
          <w:rFonts w:ascii="Arial" w:hAnsi="Arial" w:cs="Arial"/>
          <w:lang w:eastAsia="zh-CN"/>
        </w:rPr>
        <w:t xml:space="preserve">. More recent work has demonstrated that structured modules can improve vocational learners’ TC competence when they are aligned with task authenticity and professional genres </w:t>
      </w:r>
      <w:r>
        <w:rPr>
          <w:rFonts w:ascii="Arial" w:hAnsi="Arial" w:cs="Arial"/>
          <w:lang w:eastAsia="zh-CN"/>
        </w:rPr>
        <w:fldChar w:fldCharType="begin"/>
      </w:r>
      <w:r w:rsidR="00601647">
        <w:rPr>
          <w:rFonts w:ascii="Arial" w:hAnsi="Arial" w:cs="Arial"/>
          <w:lang w:eastAsia="zh-CN"/>
        </w:rPr>
        <w:instrText xml:space="preserve"> ADDIN EN.CITE &lt;EndNote&gt;&lt;Cite&gt;&lt;Author&gt;Luo&lt;/Author&gt;&lt;Year&gt;2024&lt;/Year&gt;&lt;RecNum&gt;91&lt;/RecNum&gt;&lt;DisplayText&gt;(Luo et al., 2024)&lt;/DisplayText&gt;&lt;record&gt;&lt;rec-number&gt;91&lt;/rec-number&gt;&lt;foreign-keys&gt;&lt;key app="EN" db-id="axateaap22str3eaaa1xar2n95zaewv2sx5a" timestamp="1731595001"&gt;91&lt;/key&gt;&lt;/foreign-keys&gt;&lt;ref-type name="Journal Article"&gt;17&lt;/ref-type&gt;&lt;contributors&gt;&lt;authors&gt;&lt;author&gt;Luo, Mingdan&lt;/author&gt;&lt;author&gt;DeWitt, Dorothy&lt;/author&gt;&lt;author&gt;Alias, Norlidah&lt;/author&gt;&lt;/authors&gt;&lt;/contributors&gt;&lt;titles&gt;&lt;title&gt;The Effectiveness of a Technical Communication Module for Automobile Manufacturing Students at Vocational Colleges&lt;/title&gt;&lt;secondary-title&gt;Journal of Business and Technical Communication&lt;/secondary-title&gt;&lt;/titles&gt;&lt;pages&gt;137-166&lt;/pages&gt;&lt;volume&gt;38&lt;/volume&gt;&lt;number&gt;3&lt;/number&gt;&lt;dates&gt;&lt;year&gt;2024&lt;/year&gt;&lt;/dates&gt;&lt;isbn&gt;1050-6519&amp;#xD;1552-4574&lt;/isbn&gt;&lt;urls&gt;&lt;/urls&gt;&lt;electronic-resource-num&gt;10.1177/10506519231217998&lt;/electronic-resource-num&gt;&lt;/record&gt;&lt;/Cite&gt;&lt;/EndNote&gt;</w:instrText>
      </w:r>
      <w:r>
        <w:rPr>
          <w:rFonts w:ascii="Arial" w:hAnsi="Arial" w:cs="Arial"/>
          <w:lang w:eastAsia="zh-CN"/>
        </w:rPr>
        <w:fldChar w:fldCharType="separate"/>
      </w:r>
      <w:r w:rsidR="00601647">
        <w:rPr>
          <w:rFonts w:ascii="Arial" w:hAnsi="Arial" w:cs="Arial"/>
          <w:noProof/>
          <w:lang w:eastAsia="zh-CN"/>
        </w:rPr>
        <w:t>(Luo et al., 2024)</w:t>
      </w:r>
      <w:r>
        <w:rPr>
          <w:rFonts w:ascii="Arial" w:hAnsi="Arial" w:cs="Arial"/>
          <w:lang w:eastAsia="zh-CN"/>
        </w:rPr>
        <w:fldChar w:fldCharType="end"/>
      </w:r>
      <w:r>
        <w:rPr>
          <w:rFonts w:ascii="Arial" w:hAnsi="Arial" w:cs="Arial"/>
          <w:lang w:eastAsia="zh-CN"/>
        </w:rPr>
        <w:t>. The thesis evidence in the present study similarly indicates a persistent gap. Based on a questionnaire survey with 396 students and expert interviews, it reports that students show only moderate competence in foundational skills and struggle with advanced competencies such as leadership in team communication, giving clear instructions, confident oral presentations, professional correspondence, and comprehension of technical materials. Experts attribute these weaknesses to outdated curricula, fragmented instruction, and limited resources that restrict opportunities to practice workplace relevant documentation and collaboration.</w:t>
      </w:r>
    </w:p>
    <w:p w14:paraId="139434C2" w14:textId="4922747A" w:rsidR="006438A5" w:rsidRDefault="00000000">
      <w:pPr>
        <w:pStyle w:val="Body"/>
        <w:spacing w:after="0"/>
        <w:rPr>
          <w:rFonts w:ascii="Arial" w:hAnsi="Arial" w:cs="Arial"/>
        </w:rPr>
      </w:pPr>
      <w:r>
        <w:rPr>
          <w:rFonts w:ascii="Arial" w:hAnsi="Arial" w:cs="Arial"/>
          <w:lang w:eastAsia="zh-CN"/>
        </w:rPr>
        <w:t>A further challenge concerns how TC modules are validated. Classroom studies often rely primarily on end products and score-based indicators, which can underrepresent the mechanisms through which competence develops and transfers. Research on feedback and collaborative writing suggests that improvement depends on students’ capacity to seek, interpret, and implement feedback within social interaction</w:t>
      </w:r>
      <w:r w:rsidR="00601647">
        <w:rPr>
          <w:rFonts w:ascii="Arial" w:eastAsiaTheme="minorEastAsia" w:hAnsi="Arial" w:cs="Arial" w:hint="eastAsia"/>
          <w:lang w:eastAsia="zh-CN"/>
        </w:rPr>
        <w:t xml:space="preserve"> </w:t>
      </w:r>
      <w:r w:rsidR="00601647">
        <w:rPr>
          <w:rFonts w:ascii="Arial" w:eastAsiaTheme="minorEastAsia" w:hAnsi="Arial" w:cs="Arial"/>
          <w:lang w:eastAsia="zh-CN"/>
        </w:rPr>
        <w:fldChar w:fldCharType="begin">
          <w:fldData xml:space="preserve">PEVuZE5vdGU+PENpdGU+PEF1dGhvcj5GZXVlcjwvQXV0aG9yPjxZZWFyPjIwMjA8L1llYXI+PFJl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</w:fldData>
        </w:fldChar>
      </w:r>
      <w:r w:rsidR="00940238">
        <w:rPr>
          <w:rFonts w:ascii="Arial" w:eastAsiaTheme="minorEastAsia" w:hAnsi="Arial" w:cs="Arial"/>
          <w:lang w:eastAsia="zh-CN"/>
        </w:rPr>
        <w:instrText xml:space="preserve"> ADDIN EN.CITE </w:instrText>
      </w:r>
      <w:r w:rsidR="00940238">
        <w:rPr>
          <w:rFonts w:ascii="Arial" w:eastAsiaTheme="minorEastAsia" w:hAnsi="Arial" w:cs="Arial"/>
          <w:lang w:eastAsia="zh-CN"/>
        </w:rPr>
        <w:fldChar w:fldCharType="begin">
          <w:fldData xml:space="preserve">PEVuZE5vdGU+PENpdGU+PEF1dGhvcj5GZXVlcjwvQXV0aG9yPjxZZWFyPjIwMjA8L1llYXI+PFJl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</w:fldData>
        </w:fldChar>
      </w:r>
      <w:r w:rsidR="00940238">
        <w:rPr>
          <w:rFonts w:ascii="Arial" w:eastAsiaTheme="minorEastAsia" w:hAnsi="Arial" w:cs="Arial"/>
          <w:lang w:eastAsia="zh-CN"/>
        </w:rPr>
        <w:instrText xml:space="preserve"> ADDIN EN.CITE.DATA </w:instrText>
      </w:r>
      <w:r w:rsidR="00940238">
        <w:rPr>
          <w:rFonts w:ascii="Arial" w:eastAsiaTheme="minorEastAsia" w:hAnsi="Arial" w:cs="Arial"/>
          <w:lang w:eastAsia="zh-CN"/>
        </w:rPr>
      </w:r>
      <w:r w:rsidR="00940238">
        <w:rPr>
          <w:rFonts w:ascii="Arial" w:eastAsiaTheme="minorEastAsia" w:hAnsi="Arial" w:cs="Arial"/>
          <w:lang w:eastAsia="zh-CN"/>
        </w:rPr>
        <w:fldChar w:fldCharType="end"/>
      </w:r>
      <w:r w:rsidR="00601647">
        <w:rPr>
          <w:rFonts w:ascii="Arial" w:eastAsiaTheme="minorEastAsia" w:hAnsi="Arial" w:cs="Arial"/>
          <w:lang w:eastAsia="zh-CN"/>
        </w:rPr>
      </w:r>
      <w:r w:rsidR="00601647">
        <w:rPr>
          <w:rFonts w:ascii="Arial" w:eastAsiaTheme="minorEastAsia" w:hAnsi="Arial" w:cs="Arial"/>
          <w:lang w:eastAsia="zh-CN"/>
        </w:rPr>
        <w:fldChar w:fldCharType="separate"/>
      </w:r>
      <w:r w:rsidR="00601647">
        <w:rPr>
          <w:rFonts w:ascii="Arial" w:eastAsiaTheme="minorEastAsia" w:hAnsi="Arial" w:cs="Arial"/>
          <w:noProof/>
          <w:lang w:eastAsia="zh-CN"/>
        </w:rPr>
        <w:t>(Feuer, 2020)</w:t>
      </w:r>
      <w:r w:rsidR="00601647">
        <w:rPr>
          <w:rFonts w:ascii="Arial" w:eastAsiaTheme="minorEastAsia" w:hAnsi="Arial" w:cs="Arial"/>
          <w:lang w:eastAsia="zh-CN"/>
        </w:rPr>
        <w:fldChar w:fldCharType="end"/>
      </w:r>
      <w:r>
        <w:rPr>
          <w:rFonts w:ascii="Arial" w:hAnsi="Arial" w:cs="Arial"/>
          <w:lang w:eastAsia="zh-CN"/>
        </w:rPr>
        <w:t xml:space="preserve">. Process oriented assessment has therefore advocated making drafting and revision central rather than peripheral </w:t>
      </w:r>
      <w:r>
        <w:rPr>
          <w:rFonts w:ascii="Arial" w:hAnsi="Arial" w:cs="Arial"/>
          <w:lang w:eastAsia="zh-CN"/>
        </w:rPr>
        <w:fldChar w:fldCharType="begin"/>
      </w:r>
      <w:r w:rsidR="00601647">
        <w:rPr>
          <w:rFonts w:ascii="Arial" w:hAnsi="Arial" w:cs="Arial"/>
          <w:lang w:eastAsia="zh-CN"/>
        </w:rPr>
        <w:instrText xml:space="preserve"> ADDIN EN.CITE &lt;EndNote&gt;&lt;Cite&gt;&lt;Author&gt;Johnson&lt;/Author&gt;&lt;Year&gt;2022&lt;/Year&gt;&lt;RecNum&gt;25&lt;/RecNum&gt;&lt;DisplayText&gt;(Johnson, 2022)&lt;/DisplayText&gt;&lt;record&gt;&lt;rec-number&gt;25&lt;/rec-number&gt;&lt;foreign-keys&gt;&lt;key app="EN" db-id="axateaap22str3eaaa1xar2n95zaewv2sx5a" timestamp="1731571249"&gt;25&lt;/key&gt;&lt;/foreign-keys&gt;&lt;ref-type name="Conference Proceedings"&gt;10&lt;/ref-type&gt;&lt;contributors&gt;&lt;authors&gt;&lt;author&gt;Johnson, Maren&lt;/author&gt;&lt;/authors&gt;&lt;/contributors&gt;&lt;titles&gt;&lt;title&gt;Grading for Process: Using the Portfolio to Emphasize Process in Technical Communication&lt;/title&gt;&lt;secondary-title&gt;2022 IEEE International Professional Communication Conference (ProComm)&lt;/secondary-title&gt;&lt;/titles&gt;&lt;pages&gt;251-256&lt;/pages&gt;&lt;dates&gt;&lt;year&gt;2022&lt;/year&gt;&lt;/dates&gt;&lt;publisher&gt;IEEE&lt;/publisher&gt;&lt;isbn&gt;1665495170&lt;/isbn&gt;&lt;urls&gt;&lt;/urls&gt;&lt;electronic-resource-num&gt;10.1109/ProComm53155.2022.00052&lt;/electronic-resource-num&gt;&lt;/record&gt;&lt;/Cite&gt;&lt;/EndNote&gt;</w:instrText>
      </w:r>
      <w:r>
        <w:rPr>
          <w:rFonts w:ascii="Arial" w:hAnsi="Arial" w:cs="Arial"/>
          <w:lang w:eastAsia="zh-CN"/>
        </w:rPr>
        <w:fldChar w:fldCharType="separate"/>
      </w:r>
      <w:r w:rsidR="00601647">
        <w:rPr>
          <w:rFonts w:ascii="Arial" w:hAnsi="Arial" w:cs="Arial"/>
          <w:noProof/>
          <w:lang w:eastAsia="zh-CN"/>
        </w:rPr>
        <w:t>(Johnson, 2022)</w:t>
      </w:r>
      <w:r>
        <w:rPr>
          <w:rFonts w:ascii="Arial" w:hAnsi="Arial" w:cs="Arial"/>
          <w:lang w:eastAsia="zh-CN"/>
        </w:rPr>
        <w:fldChar w:fldCharType="end"/>
      </w:r>
      <w:r>
        <w:rPr>
          <w:rFonts w:ascii="Arial" w:hAnsi="Arial" w:cs="Arial"/>
          <w:lang w:eastAsia="zh-CN"/>
        </w:rPr>
        <w:t xml:space="preserve">. Studies on teamwork structures similarly show that classroom workflow designs shape accountability and coordination in ways that matter for professional communication practice. Recent evidence also indicates that students can misjudge drafting time and revision effort, implying that workflow discipline and planning require explicit scaffolding rather than assumption </w:t>
      </w:r>
      <w:r>
        <w:rPr>
          <w:rFonts w:ascii="Arial" w:hAnsi="Arial" w:cs="Arial"/>
          <w:lang w:eastAsia="zh-CN"/>
        </w:rPr>
        <w:fldChar w:fldCharType="begin"/>
      </w:r>
      <w:r w:rsidR="00601647">
        <w:rPr>
          <w:rFonts w:ascii="Arial" w:hAnsi="Arial" w:cs="Arial"/>
          <w:lang w:eastAsia="zh-CN"/>
        </w:rPr>
        <w:instrText xml:space="preserve"> ADDIN EN.CITE &lt;EndNote&gt;&lt;Cite&gt;&lt;Author&gt;Menagarishvili&lt;/Author&gt;&lt;Year&gt;2024&lt;/Year&gt;&lt;RecNum&gt;32&lt;/RecNum&gt;&lt;DisplayText&gt;(Menagarishvili et al., 2024)&lt;/DisplayText&gt;&lt;record&gt;&lt;rec-number&gt;32&lt;/rec-number&gt;&lt;foreign-keys&gt;&lt;key app="EN" db-id="axateaap22str3eaaa1xar2n95zaewv2sx5a" timestamp="1731582552"&gt;32&lt;/key&gt;&lt;/foreign-keys&gt;&lt;ref-type name="Journal Article"&gt;17&lt;/ref-type&gt;&lt;contributors&gt;&lt;authors&gt;&lt;author&gt;Menagarishvili, Olga&lt;/author&gt;&lt;author&gt;Burnett, Rebecca E&lt;/author&gt;&lt;author&gt;Frazee, Andy&lt;/author&gt;&lt;/authors&gt;&lt;/contributors&gt;&lt;titles&gt;&lt;title&gt;Getting it Wrong: Student Estimations of Time and the Number of Drafts in Linked Computer Science and Technical Communication Courses&lt;/title&gt;&lt;secondary-title&gt;IEEE Transactions on Professional Communication&lt;/secondary-title&gt;&lt;/titles&gt;&lt;periodical&gt;&lt;full-title&gt;IEEE Transactions on Professional Communication&lt;/full-title&gt;&lt;/periodical&gt;&lt;dates&gt;&lt;year&gt;2024&lt;/year&gt;&lt;/dates&gt;&lt;isbn&gt;0361-1434&lt;/isbn&gt;&lt;urls&gt;&lt;/urls&gt;&lt;electronic-resource-num&gt;10.1109/TPC.2024.3477012&lt;/electronic-resource-num&gt;&lt;/record&gt;&lt;/Cite&gt;&lt;/EndNote&gt;</w:instrText>
      </w:r>
      <w:r>
        <w:rPr>
          <w:rFonts w:ascii="Arial" w:hAnsi="Arial" w:cs="Arial"/>
          <w:lang w:eastAsia="zh-CN"/>
        </w:rPr>
        <w:fldChar w:fldCharType="separate"/>
      </w:r>
      <w:r w:rsidR="00601647">
        <w:rPr>
          <w:rFonts w:ascii="Arial" w:hAnsi="Arial" w:cs="Arial"/>
          <w:noProof/>
          <w:lang w:eastAsia="zh-CN"/>
        </w:rPr>
        <w:t>(Menagarishvili et al., 2024)</w:t>
      </w:r>
      <w:r>
        <w:rPr>
          <w:rFonts w:ascii="Arial" w:hAnsi="Arial" w:cs="Arial"/>
          <w:lang w:eastAsia="zh-CN"/>
        </w:rPr>
        <w:fldChar w:fldCharType="end"/>
      </w:r>
      <w:r>
        <w:rPr>
          <w:rFonts w:ascii="Arial" w:hAnsi="Arial" w:cs="Arial"/>
          <w:lang w:eastAsia="zh-CN"/>
        </w:rPr>
        <w:t>. Together, these findings suggest that robust validation should examine learning in action, including observable engagement, collaboration, feedback use, task management, and reflective practice during implementation.</w:t>
      </w:r>
    </w:p>
    <w:p w14:paraId="37B8B2B8" w14:textId="77777777" w:rsidR="006438A5" w:rsidRDefault="00000000">
      <w:pPr>
        <w:pStyle w:val="Body"/>
        <w:spacing w:after="0"/>
        <w:rPr>
          <w:rFonts w:ascii="Arial" w:hAnsi="Arial" w:cs="Arial"/>
        </w:rPr>
      </w:pPr>
      <w:r>
        <w:rPr>
          <w:rFonts w:ascii="Arial" w:hAnsi="Arial" w:cs="Arial" w:hint="eastAsia"/>
          <w:lang w:eastAsia="zh-CN"/>
        </w:rPr>
        <w:t>The present study responds to this gap by foregrounding classroom enactment evidence as a central resource for validating a Technical Communication Module (TCM), generating triangulated evidence that supports interpreting the module’s instructional value and identifying concrete refinement needs in context.</w:t>
      </w:r>
      <w:r>
        <w:rPr>
          <w:rFonts w:ascii="Arial" w:hAnsi="Arial" w:cs="Arial"/>
          <w:lang w:eastAsia="zh-CN"/>
        </w:rPr>
        <w:t xml:space="preserve"> Based on this rationale, the study addresses the following research questions.</w:t>
      </w:r>
    </w:p>
    <w:p w14:paraId="43AD182E" w14:textId="77777777" w:rsidR="006438A5" w:rsidRDefault="00000000">
      <w:pPr>
        <w:pStyle w:val="Body"/>
        <w:spacing w:after="0"/>
        <w:rPr>
          <w:rFonts w:ascii="Arial" w:hAnsi="Arial" w:cs="Arial"/>
        </w:rPr>
      </w:pPr>
      <w:r>
        <w:rPr>
          <w:rFonts w:ascii="Arial" w:hAnsi="Arial" w:cs="Arial"/>
          <w:lang w:eastAsia="zh-CN"/>
        </w:rPr>
        <w:t>1. How does classroom observation evidence characterize vocational students’ learning in action during implementation of a TCM, with attention to engagement, motivation, collaboration, task completion, and reflective practices</w:t>
      </w:r>
      <w:r>
        <w:rPr>
          <w:rFonts w:ascii="Arial" w:hAnsi="Arial" w:cs="Arial" w:hint="eastAsia"/>
          <w:lang w:eastAsia="zh-CN"/>
        </w:rPr>
        <w:t>?</w:t>
      </w:r>
    </w:p>
    <w:p w14:paraId="628586A8" w14:textId="77777777" w:rsidR="006438A5" w:rsidRDefault="00000000">
      <w:pPr>
        <w:pStyle w:val="Body"/>
        <w:spacing w:after="0"/>
        <w:rPr>
          <w:rFonts w:ascii="Arial" w:hAnsi="Arial" w:cs="Arial"/>
        </w:rPr>
      </w:pPr>
      <w:r>
        <w:rPr>
          <w:rFonts w:ascii="Arial" w:hAnsi="Arial" w:cs="Arial"/>
          <w:lang w:eastAsia="zh-CN"/>
        </w:rPr>
        <w:t>2. What strengths and constraints emerge from observation ratings and observers’ field notes, and how do these findings support a validity-oriented interpretation of module enactment</w:t>
      </w:r>
      <w:r>
        <w:rPr>
          <w:rFonts w:ascii="Arial" w:hAnsi="Arial" w:cs="Arial" w:hint="eastAsia"/>
          <w:lang w:eastAsia="zh-CN"/>
        </w:rPr>
        <w:t>?</w:t>
      </w:r>
    </w:p>
    <w:p w14:paraId="378BD517" w14:textId="77777777" w:rsidR="006438A5" w:rsidRDefault="00000000">
      <w:pPr>
        <w:pStyle w:val="Body"/>
        <w:spacing w:after="0"/>
        <w:rPr>
          <w:rFonts w:ascii="Arial" w:hAnsi="Arial" w:cs="Arial"/>
          <w:lang w:eastAsia="zh-CN"/>
        </w:rPr>
      </w:pPr>
      <w:r>
        <w:rPr>
          <w:rFonts w:ascii="Arial" w:hAnsi="Arial" w:cs="Arial" w:hint="eastAsia"/>
          <w:lang w:eastAsia="zh-CN"/>
        </w:rPr>
        <w:t xml:space="preserve">3. </w:t>
      </w:r>
      <w:r>
        <w:rPr>
          <w:rFonts w:ascii="Arial" w:hAnsi="Arial" w:cs="Arial"/>
          <w:lang w:eastAsia="zh-CN"/>
        </w:rPr>
        <w:t>What design refinements are implied by the observation evidence to strengthen tool mediated communication practices, deeper reflective writing, and workflow discipline in vocational TC instruction</w:t>
      </w:r>
      <w:r>
        <w:rPr>
          <w:rFonts w:ascii="Arial" w:hAnsi="Arial" w:cs="Arial" w:hint="eastAsia"/>
          <w:lang w:eastAsia="zh-CN"/>
        </w:rPr>
        <w:t>?</w:t>
      </w:r>
    </w:p>
    <w:p w14:paraId="0A7AA914" w14:textId="77777777" w:rsidR="006438A5" w:rsidRDefault="006438A5">
      <w:pPr>
        <w:pStyle w:val="Body"/>
        <w:spacing w:after="0"/>
        <w:rPr>
          <w:rFonts w:ascii="Arial" w:hAnsi="Arial" w:cs="Arial"/>
          <w:lang w:eastAsia="zh-CN"/>
        </w:rPr>
      </w:pPr>
    </w:p>
    <w:p w14:paraId="1EB50FF4" w14:textId="77777777" w:rsidR="006438A5" w:rsidRDefault="00000000">
      <w:pPr>
        <w:pStyle w:val="AbstHead"/>
        <w:numPr>
          <w:ilvl w:val="0"/>
          <w:numId w:val="2"/>
        </w:numPr>
        <w:spacing w:after="0"/>
        <w:jc w:val="both"/>
        <w:rPr>
          <w:rFonts w:ascii="Arial" w:hAnsi="Arial" w:cs="Arial"/>
        </w:rPr>
      </w:pPr>
      <w:r>
        <w:rPr>
          <w:rFonts w:ascii="Arial" w:hAnsi="Arial" w:cs="Arial" w:hint="eastAsia"/>
        </w:rPr>
        <w:t>Literature review</w:t>
      </w:r>
      <w:r>
        <w:rPr>
          <w:rFonts w:ascii="Arial" w:hAnsi="Arial" w:cs="Arial"/>
        </w:rPr>
        <w:t xml:space="preserve"> </w:t>
      </w:r>
    </w:p>
    <w:p w14:paraId="2331B326" w14:textId="77777777" w:rsidR="006438A5" w:rsidRDefault="006438A5">
      <w:pPr>
        <w:widowControl w:val="0"/>
        <w:jc w:val="both"/>
        <w:rPr>
          <w:rFonts w:ascii="Calibri" w:eastAsia="宋体" w:hAnsi="Calibri"/>
          <w:kern w:val="2"/>
          <w:sz w:val="21"/>
          <w:szCs w:val="24"/>
          <w:lang w:eastAsia="zh-CN" w:bidi="ar"/>
        </w:rPr>
      </w:pPr>
    </w:p>
    <w:p w14:paraId="44B2726D" w14:textId="77777777" w:rsidR="006438A5" w:rsidRDefault="00000000">
      <w:pPr>
        <w:pStyle w:val="Body"/>
        <w:spacing w:after="0"/>
        <w:rPr>
          <w:rFonts w:ascii="Arial" w:hAnsi="Arial" w:cs="Arial"/>
          <w:b/>
          <w:sz w:val="22"/>
        </w:rPr>
      </w:pPr>
      <w:r>
        <w:rPr>
          <w:rFonts w:ascii="Arial" w:hAnsi="Arial" w:cs="Arial"/>
          <w:b/>
          <w:caps/>
          <w:sz w:val="22"/>
        </w:rPr>
        <w:t xml:space="preserve">2.1 </w:t>
      </w:r>
      <w:r>
        <w:rPr>
          <w:rFonts w:ascii="Arial" w:hAnsi="Arial" w:cs="Arial" w:hint="eastAsia"/>
          <w:b/>
          <w:sz w:val="22"/>
        </w:rPr>
        <w:t>TC competence and shifting workplace demands</w:t>
      </w:r>
    </w:p>
    <w:p w14:paraId="0CDC8D3A" w14:textId="77777777" w:rsidR="006438A5" w:rsidRDefault="006438A5">
      <w:pPr>
        <w:widowControl w:val="0"/>
        <w:jc w:val="both"/>
        <w:rPr>
          <w:rFonts w:ascii="Calibri" w:eastAsia="宋体" w:hAnsi="Calibri"/>
          <w:kern w:val="2"/>
          <w:sz w:val="21"/>
          <w:szCs w:val="24"/>
          <w:lang w:eastAsia="zh-CN" w:bidi="ar"/>
        </w:rPr>
      </w:pPr>
    </w:p>
    <w:p w14:paraId="0422A472" w14:textId="6C216D4E" w:rsidR="006438A5" w:rsidRDefault="00000000">
      <w:pPr>
        <w:pStyle w:val="Body"/>
        <w:spacing w:after="0"/>
        <w:rPr>
          <w:rFonts w:ascii="Arial" w:hAnsi="Arial" w:cs="Arial"/>
          <w:lang w:eastAsia="zh-CN"/>
        </w:rPr>
      </w:pPr>
      <w:r>
        <w:rPr>
          <w:rFonts w:ascii="Arial" w:hAnsi="Arial" w:cs="Arial"/>
          <w:lang w:eastAsia="zh-CN"/>
        </w:rPr>
        <w:t xml:space="preserve">TC research consistently frames communication competence as a core condition for effective participation in contemporary work, not as an optional supplement to technical expertise. As organizational work becomes increasingly digital and distributed, workplace value is tied to documentation quality, audience adaptation, usability-oriented reasoning, and coordination across roles and tools. Pedagogical discussions therefore emphasize that TC education must develop both genre knowledge and process competence. Genre knowledge includes the ability to produce reports, instructions, and </w:t>
      </w:r>
      <w:r>
        <w:rPr>
          <w:rFonts w:ascii="Arial" w:hAnsi="Arial" w:cs="Arial"/>
          <w:lang w:eastAsia="zh-CN"/>
        </w:rPr>
        <w:lastRenderedPageBreak/>
        <w:t xml:space="preserve">presentation materials that meet professional expectations. Process competence includes collaboration, feedback seeking, iterative revision, and tool mediated coordination, which are increasingly visible in workplace workflows. Recent course design scholarship has advocated alignment between instructional outcomes and professional expectations, arguing that TC courses should make workplace genres and decision making explicit rather than treating writing as a general skill </w:t>
      </w:r>
      <w:r>
        <w:rPr>
          <w:rFonts w:ascii="Arial" w:hAnsi="Arial" w:cs="Arial"/>
          <w:lang w:eastAsia="zh-CN"/>
        </w:rPr>
        <w:fldChar w:fldCharType="begin"/>
      </w:r>
      <w:r w:rsidR="00601647">
        <w:rPr>
          <w:rFonts w:ascii="Arial" w:hAnsi="Arial" w:cs="Arial"/>
          <w:lang w:eastAsia="zh-CN"/>
        </w:rPr>
        <w:instrText xml:space="preserve"> ADDIN EN.CITE &lt;EndNote&gt;&lt;Cite&gt;&lt;Author&gt;Andrews&lt;/Author&gt;&lt;Year&gt;2022&lt;/Year&gt;&lt;RecNum&gt;57&lt;/RecNum&gt;&lt;DisplayText&gt;(Andrews, 2022)&lt;/DisplayText&gt;&lt;record&gt;&lt;rec-number&gt;57&lt;/rec-number&gt;&lt;foreign-keys&gt;&lt;key app="EN" db-id="axateaap22str3eaaa1xar2n95zaewv2sx5a" timestamp="1731595001"&gt;57&lt;/key&gt;&lt;/foreign-keys&gt;&lt;ref-type name="Journal Article"&gt;17&lt;/ref-type&gt;&lt;contributors&gt;&lt;authors&gt;&lt;author&gt;Andrews, D. C.&lt;/author&gt;&lt;/authors&gt;&lt;/contributors&gt;&lt;auth-address&gt;University of Delaware, United States&lt;/auth-address&gt;&lt;titles&gt;&lt;title&gt;Designing a Course in Business Communication&lt;/title&gt;&lt;secondary-title&gt;Business and Professional Communication Quarterly&lt;/secondary-title&gt;&lt;alt-title&gt;Bus. Prof. Commun. Q.&lt;/alt-title&gt;&lt;/titles&gt;&lt;periodical&gt;&lt;full-title&gt;Business and Professional Communication Quarterly&lt;/full-title&gt;&lt;abbr-1&gt;Bus. Prof. Commun. Q.&lt;/abbr-1&gt;&lt;/periodical&gt;&lt;alt-periodical&gt;&lt;full-title&gt;Business and Professional Communication Quarterly&lt;/full-title&gt;&lt;abbr-1&gt;Bus. Prof. Commun. Q.&lt;/abbr-1&gt;&lt;/alt-periodical&gt;&lt;pages&gt;349-369&lt;/pages&gt;&lt;volume&gt;85&lt;/volume&gt;&lt;number&gt;3&lt;/number&gt;&lt;keywords&gt;&lt;keyword&gt;collaboration&lt;/keyword&gt;&lt;keyword&gt;design thinking&lt;/keyword&gt;&lt;keyword&gt;learning space design&lt;/keyword&gt;&lt;keyword&gt;makerspaces&lt;/keyword&gt;&lt;keyword&gt;problem-based learning&lt;/keyword&gt;&lt;keyword&gt;rhetoric&lt;/keyword&gt;&lt;/keywords&gt;&lt;dates&gt;&lt;year&gt;2022&lt;/year&gt;&lt;/dates&gt;&lt;publisher&gt;SAGE Publications Inc.&lt;/publisher&gt;&lt;isbn&gt;23294906 (ISSN)&lt;/isbn&gt;&lt;work-type&gt;Article&lt;/work-type&gt;&lt;urls&gt;&lt;related-urls&gt;&lt;url&gt;https://www.scopus.com/inward/record.uri?eid=2-s2.0-85138363141&amp;amp;doi=10.1177%2f23294906221105286&amp;amp;partnerID=40&amp;amp;md5=dd15ce2ad73d3498277bfeab604901f4&lt;/url&gt;&lt;/related-urls&gt;&lt;/urls&gt;&lt;electronic-resource-num&gt;10.1177/23294906221105286&lt;/electronic-resource-num&gt;&lt;remote-database-name&gt;Scopus&lt;/remote-database-name&gt;&lt;language&gt;English&lt;/language&gt;&lt;/record&gt;&lt;/Cite&gt;&lt;/EndNote&gt;</w:instrText>
      </w:r>
      <w:r>
        <w:rPr>
          <w:rFonts w:ascii="Arial" w:hAnsi="Arial" w:cs="Arial"/>
          <w:lang w:eastAsia="zh-CN"/>
        </w:rPr>
        <w:fldChar w:fldCharType="separate"/>
      </w:r>
      <w:r w:rsidR="00601647">
        <w:rPr>
          <w:rFonts w:ascii="Arial" w:hAnsi="Arial" w:cs="Arial"/>
          <w:noProof/>
          <w:lang w:eastAsia="zh-CN"/>
        </w:rPr>
        <w:t>(Andrews, 2022)</w:t>
      </w:r>
      <w:r>
        <w:rPr>
          <w:rFonts w:ascii="Arial" w:hAnsi="Arial" w:cs="Arial"/>
          <w:lang w:eastAsia="zh-CN"/>
        </w:rPr>
        <w:fldChar w:fldCharType="end"/>
      </w:r>
      <w:r>
        <w:rPr>
          <w:rFonts w:ascii="Arial" w:hAnsi="Arial" w:cs="Arial"/>
          <w:lang w:eastAsia="zh-CN"/>
        </w:rPr>
        <w:t xml:space="preserve">. In parallel, usability oriented and user centered approaches have been used to reposition students as designers of communicative experiences, which broadens TC beyond textual correctness toward user needs and context sensitive problem solving </w:t>
      </w:r>
      <w:r>
        <w:rPr>
          <w:rFonts w:ascii="Arial" w:hAnsi="Arial" w:cs="Arial"/>
          <w:lang w:eastAsia="zh-CN"/>
        </w:rPr>
        <w:fldChar w:fldCharType="begin"/>
      </w:r>
      <w:r w:rsidR="00601647">
        <w:rPr>
          <w:rFonts w:ascii="Arial" w:hAnsi="Arial" w:cs="Arial"/>
          <w:lang w:eastAsia="zh-CN"/>
        </w:rPr>
        <w:instrText xml:space="preserve"> ADDIN EN.CITE &lt;EndNote&gt;&lt;Cite&gt;&lt;Author&gt;Wright&lt;/Author&gt;&lt;Year&gt;2024&lt;/Year&gt;&lt;RecNum&gt;122&lt;/RecNum&gt;&lt;DisplayText&gt;(Wright, 2024)&lt;/DisplayText&gt;&lt;record&gt;&lt;rec-number&gt;122&lt;/rec-number&gt;&lt;foreign-keys&gt;&lt;key app="EN" db-id="axateaap22str3eaaa1xar2n95zaewv2sx5a" timestamp="1731595001"&gt;122&lt;/key&gt;&lt;/foreign-keys&gt;&lt;ref-type name="Journal Article"&gt;17&lt;/ref-type&gt;&lt;contributors&gt;&lt;authors&gt;&lt;author&gt;Wright, D.&lt;/author&gt;&lt;/authors&gt;&lt;/contributors&gt;&lt;auth-address&gt;[Wright, David] Missouri Univ Sci &amp;amp; Technol, Rolla, MO 65409 USA. Technology&amp;#xD;Wright, D (corresponding author), Missouri Univ Sci &amp;amp; Technol, Rolla, MO 65409 USA.&amp;#xD;wrightmd@mst.edu&lt;/auth-address&gt;&lt;titles&gt;&lt;title&gt;Perspectives on Usability Testing with IoT Devices in Technical Communication Courses&lt;/title&gt;&lt;secondary-title&gt;Technical Communication Quarterly&lt;/secondary-title&gt;&lt;alt-title&gt;Tech. Commun. Q.&lt;/alt-title&gt;&lt;/titles&gt;&lt;alt-periodical&gt;&lt;full-title&gt;Technical Communication Quarterly&lt;/full-title&gt;&lt;abbr-1&gt;Tech. Commun. Q.&lt;/abbr-1&gt;&lt;/alt-periodical&gt;&lt;pages&gt;38-53&lt;/pages&gt;&lt;volume&gt;33&lt;/volume&gt;&lt;number&gt;1&lt;/number&gt;&lt;keywords&gt;&lt;keyword&gt;Usability testing&lt;/keyword&gt;&lt;keyword&gt;UX design&lt;/keyword&gt;&lt;keyword&gt;pedagogy&lt;/keyword&gt;&lt;keyword&gt;internet of things&lt;/keyword&gt;&lt;keyword&gt;smart home&lt;/keyword&gt;&lt;keyword&gt;technology&lt;/keyword&gt;&lt;keyword&gt;smart&lt;/keyword&gt;&lt;keyword&gt;technology&lt;/keyword&gt;&lt;keyword&gt;pedagogy&lt;/keyword&gt;&lt;keyword&gt;internet&lt;/keyword&gt;&lt;keyword&gt;lessons&lt;/keyword&gt;&lt;keyword&gt;things&lt;/keyword&gt;&lt;keyword&gt;Communication&lt;/keyword&gt;&lt;/keywords&gt;&lt;dates&gt;&lt;year&gt;2024&lt;/year&gt;&lt;pub-dates&gt;&lt;date&gt;2024 Jan&lt;/date&gt;&lt;/pub-dates&gt;&lt;/dates&gt;&lt;isbn&gt;1057-2252&lt;/isbn&gt;&lt;accession-num&gt;WOS:000951615600001&lt;/accession-num&gt;&lt;work-type&gt;Article; Early Access&lt;/work-type&gt;&lt;urls&gt;&lt;related-urls&gt;&lt;url&gt;&amp;lt;Go to ISI&amp;gt;://WOS:000951615600001&lt;/url&gt;&lt;/related-urls&gt;&lt;/urls&gt;&lt;electronic-resource-num&gt;10.1080/10572252.2023.2194345&lt;/electronic-resource-num&gt;&lt;language&gt;English&lt;/language&gt;&lt;/record&gt;&lt;/Cite&gt;&lt;/EndNote&gt;</w:instrText>
      </w:r>
      <w:r>
        <w:rPr>
          <w:rFonts w:ascii="Arial" w:hAnsi="Arial" w:cs="Arial"/>
          <w:lang w:eastAsia="zh-CN"/>
        </w:rPr>
        <w:fldChar w:fldCharType="separate"/>
      </w:r>
      <w:r w:rsidR="00601647">
        <w:rPr>
          <w:rFonts w:ascii="Arial" w:hAnsi="Arial" w:cs="Arial"/>
          <w:noProof/>
          <w:lang w:eastAsia="zh-CN"/>
        </w:rPr>
        <w:t>(Wright, 2024)</w:t>
      </w:r>
      <w:r>
        <w:rPr>
          <w:rFonts w:ascii="Arial" w:hAnsi="Arial" w:cs="Arial"/>
          <w:lang w:eastAsia="zh-CN"/>
        </w:rPr>
        <w:fldChar w:fldCharType="end"/>
      </w:r>
      <w:r>
        <w:rPr>
          <w:rFonts w:ascii="Arial" w:hAnsi="Arial" w:cs="Arial"/>
          <w:lang w:eastAsia="zh-CN"/>
        </w:rPr>
        <w:t>. At the program level, the push for coherent learning outcomes reflects recognition that TC competence is cumulative and integrative. It develops through repeated opportunities to apply concepts across contexts rather than through isolated tasks</w:t>
      </w:r>
      <w:r w:rsidR="00601647">
        <w:rPr>
          <w:rFonts w:ascii="Arial" w:hAnsi="Arial" w:cs="Arial"/>
          <w:lang w:eastAsia="zh-CN"/>
        </w:rPr>
        <w:t xml:space="preserve"> </w:t>
      </w:r>
      <w:r w:rsidR="00601647">
        <w:rPr>
          <w:rFonts w:ascii="Arial" w:hAnsi="Arial" w:cs="Arial"/>
          <w:lang w:eastAsia="zh-CN"/>
        </w:rPr>
        <w:fldChar w:fldCharType="begin">
          <w:fldData xml:space="preserve">PEVuZE5vdGU+PENpdGU+PEF1dGhvcj5DbGVnZzwvQXV0aG9yPjxZZWFyPjIwMjE8L1llYXI+PFJl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</w:fldData>
        </w:fldChar>
      </w:r>
      <w:r w:rsidR="00601647">
        <w:rPr>
          <w:rFonts w:ascii="Arial" w:hAnsi="Arial" w:cs="Arial"/>
          <w:lang w:eastAsia="zh-CN"/>
        </w:rPr>
        <w:instrText xml:space="preserve"> ADDIN EN.CITE </w:instrText>
      </w:r>
      <w:r w:rsidR="00601647">
        <w:rPr>
          <w:rFonts w:ascii="Arial" w:hAnsi="Arial" w:cs="Arial"/>
          <w:lang w:eastAsia="zh-CN"/>
        </w:rPr>
        <w:fldChar w:fldCharType="begin">
          <w:fldData xml:space="preserve">PEVuZE5vdGU+PENpdGU+PEF1dGhvcj5DbGVnZzwvQXV0aG9yPjxZZWFyPjIwMjE8L1llYXI+PFJl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</w:fldData>
        </w:fldChar>
      </w:r>
      <w:r w:rsidR="00601647">
        <w:rPr>
          <w:rFonts w:ascii="Arial" w:hAnsi="Arial" w:cs="Arial"/>
          <w:lang w:eastAsia="zh-CN"/>
        </w:rPr>
        <w:instrText xml:space="preserve"> ADDIN EN.CITE.DATA </w:instrText>
      </w:r>
      <w:r w:rsidR="00601647">
        <w:rPr>
          <w:rFonts w:ascii="Arial" w:hAnsi="Arial" w:cs="Arial"/>
          <w:lang w:eastAsia="zh-CN"/>
        </w:rPr>
      </w:r>
      <w:r w:rsidR="00601647">
        <w:rPr>
          <w:rFonts w:ascii="Arial" w:hAnsi="Arial" w:cs="Arial"/>
          <w:lang w:eastAsia="zh-CN"/>
        </w:rPr>
        <w:fldChar w:fldCharType="end"/>
      </w:r>
      <w:r w:rsidR="00601647">
        <w:rPr>
          <w:rFonts w:ascii="Arial" w:hAnsi="Arial" w:cs="Arial"/>
          <w:lang w:eastAsia="zh-CN"/>
        </w:rPr>
      </w:r>
      <w:r w:rsidR="00601647">
        <w:rPr>
          <w:rFonts w:ascii="Arial" w:hAnsi="Arial" w:cs="Arial"/>
          <w:lang w:eastAsia="zh-CN"/>
        </w:rPr>
        <w:fldChar w:fldCharType="separate"/>
      </w:r>
      <w:r w:rsidR="00601647">
        <w:rPr>
          <w:rFonts w:ascii="Arial" w:hAnsi="Arial" w:cs="Arial"/>
          <w:noProof/>
          <w:lang w:eastAsia="zh-CN"/>
        </w:rPr>
        <w:t>(Clegg et al., 2021)</w:t>
      </w:r>
      <w:r w:rsidR="00601647">
        <w:rPr>
          <w:rFonts w:ascii="Arial" w:hAnsi="Arial" w:cs="Arial"/>
          <w:lang w:eastAsia="zh-CN"/>
        </w:rPr>
        <w:fldChar w:fldCharType="end"/>
      </w:r>
      <w:r>
        <w:rPr>
          <w:rFonts w:ascii="Arial" w:hAnsi="Arial" w:cs="Arial"/>
          <w:lang w:eastAsia="zh-CN"/>
        </w:rPr>
        <w:t xml:space="preserve">. This shift is also consistent with accounts of an evolving TC field shaped by new roles and adjacent domains such as UX work and digital communication practices </w:t>
      </w:r>
      <w:r>
        <w:rPr>
          <w:rFonts w:ascii="Arial" w:hAnsi="Arial" w:cs="Arial"/>
          <w:lang w:eastAsia="zh-CN"/>
        </w:rPr>
        <w:fldChar w:fldCharType="begin"/>
      </w:r>
      <w:r w:rsidR="00601647">
        <w:rPr>
          <w:rFonts w:ascii="Arial" w:hAnsi="Arial" w:cs="Arial"/>
          <w:lang w:eastAsia="zh-CN"/>
        </w:rPr>
        <w:instrText xml:space="preserve"> ADDIN EN.CITE &lt;EndNote&gt;&lt;Cite&gt;&lt;Author&gt;Getto&lt;/Author&gt;&lt;Year&gt;2023&lt;/Year&gt;&lt;RecNum&gt;50&lt;/RecNum&gt;&lt;DisplayText&gt;(Getto et al., 2023)&lt;/DisplayText&gt;&lt;record&gt;&lt;rec-number&gt;50&lt;/rec-number&gt;&lt;foreign-keys&gt;&lt;key app="EN" db-id="axateaap22str3eaaa1xar2n95zaewv2sx5a" timestamp="1731584893"&gt;50&lt;/key&gt;&lt;/foreign-keys&gt;&lt;ref-type name="Journal Article"&gt;17&lt;/ref-type&gt;&lt;contributors&gt;&lt;authors&gt;&lt;author&gt;Getto, Guiseppe&lt;/author&gt;&lt;author&gt;Labriola, Jack T&lt;/author&gt;&lt;author&gt;Lancaster, Amber&lt;/author&gt;&lt;/authors&gt;&lt;/contributors&gt;&lt;titles&gt;&lt;title&gt;The State of UX in Technical and Professional Communication: Courses, Programs, and Jobs&lt;/title&gt;&lt;secondary-title&gt;IEEE Transactions on Professional Communication&lt;/secondary-title&gt;&lt;/titles&gt;&lt;periodical&gt;&lt;full-title&gt;IEEE Transactions on Professional Communication&lt;/full-title&gt;&lt;/periodical&gt;&lt;pages&gt;317-321&lt;/pages&gt;&lt;volume&gt;66&lt;/volume&gt;&lt;number&gt;4&lt;/number&gt;&lt;dates&gt;&lt;year&gt;2023&lt;/year&gt;&lt;/dates&gt;&lt;isbn&gt;0361-1434&lt;/isbn&gt;&lt;urls&gt;&lt;/urls&gt;&lt;electronic-resource-num&gt;10.1109/TPC.2023.3314255&lt;/electronic-resource-num&gt;&lt;/record&gt;&lt;/Cite&gt;&lt;/EndNote&gt;</w:instrText>
      </w:r>
      <w:r>
        <w:rPr>
          <w:rFonts w:ascii="Arial" w:hAnsi="Arial" w:cs="Arial"/>
          <w:lang w:eastAsia="zh-CN"/>
        </w:rPr>
        <w:fldChar w:fldCharType="separate"/>
      </w:r>
      <w:r w:rsidR="00601647">
        <w:rPr>
          <w:rFonts w:ascii="Arial" w:hAnsi="Arial" w:cs="Arial"/>
          <w:noProof/>
          <w:lang w:eastAsia="zh-CN"/>
        </w:rPr>
        <w:t>(Getto et al., 2023)</w:t>
      </w:r>
      <w:r>
        <w:rPr>
          <w:rFonts w:ascii="Arial" w:hAnsi="Arial" w:cs="Arial"/>
          <w:lang w:eastAsia="zh-CN"/>
        </w:rPr>
        <w:fldChar w:fldCharType="end"/>
      </w:r>
      <w:r>
        <w:rPr>
          <w:rFonts w:ascii="Arial" w:hAnsi="Arial" w:cs="Arial"/>
          <w:lang w:eastAsia="zh-CN"/>
        </w:rPr>
        <w:t>.</w:t>
      </w:r>
    </w:p>
    <w:p w14:paraId="400B49A2" w14:textId="77777777" w:rsidR="006438A5" w:rsidRDefault="006438A5">
      <w:pPr>
        <w:widowControl w:val="0"/>
        <w:jc w:val="both"/>
        <w:rPr>
          <w:rFonts w:ascii="Calibri" w:eastAsia="宋体" w:hAnsi="Calibri"/>
          <w:kern w:val="2"/>
          <w:sz w:val="21"/>
          <w:szCs w:val="24"/>
          <w:lang w:eastAsia="zh-CN" w:bidi="ar"/>
        </w:rPr>
      </w:pPr>
    </w:p>
    <w:p w14:paraId="0C14A9BD" w14:textId="77777777" w:rsidR="006438A5" w:rsidRDefault="00000000">
      <w:pPr>
        <w:pStyle w:val="Body"/>
        <w:spacing w:after="0"/>
        <w:rPr>
          <w:rFonts w:ascii="Arial" w:hAnsi="Arial" w:cs="Arial"/>
          <w:b/>
          <w:sz w:val="22"/>
        </w:rPr>
      </w:pPr>
      <w:r>
        <w:rPr>
          <w:rFonts w:ascii="Arial" w:hAnsi="Arial" w:cs="Arial"/>
          <w:b/>
          <w:caps/>
          <w:sz w:val="22"/>
        </w:rPr>
        <w:t>2.</w:t>
      </w:r>
      <w:r>
        <w:rPr>
          <w:rFonts w:ascii="Arial" w:eastAsia="宋体" w:hAnsi="Arial" w:cs="Arial" w:hint="eastAsia"/>
          <w:b/>
          <w:caps/>
          <w:sz w:val="22"/>
          <w:lang w:eastAsia="zh-CN"/>
        </w:rPr>
        <w:t>2</w:t>
      </w:r>
      <w:r>
        <w:rPr>
          <w:rFonts w:ascii="Arial" w:hAnsi="Arial" w:cs="Arial"/>
          <w:b/>
          <w:caps/>
          <w:sz w:val="22"/>
        </w:rPr>
        <w:t xml:space="preserve"> </w:t>
      </w:r>
      <w:r>
        <w:rPr>
          <w:rFonts w:ascii="Arial" w:hAnsi="Arial" w:cs="Arial" w:hint="eastAsia"/>
          <w:b/>
          <w:sz w:val="22"/>
        </w:rPr>
        <w:t>TC education in China and vocational contexts</w:t>
      </w:r>
    </w:p>
    <w:p w14:paraId="0FC081FE" w14:textId="77777777" w:rsidR="006438A5" w:rsidRDefault="006438A5">
      <w:pPr>
        <w:widowControl w:val="0"/>
        <w:jc w:val="both"/>
        <w:rPr>
          <w:rFonts w:ascii="Calibri" w:eastAsia="宋体" w:hAnsi="Calibri"/>
          <w:kern w:val="2"/>
          <w:sz w:val="21"/>
          <w:szCs w:val="24"/>
          <w:lang w:eastAsia="zh-CN" w:bidi="ar"/>
        </w:rPr>
      </w:pPr>
    </w:p>
    <w:p w14:paraId="6747A7F1" w14:textId="3199EF44" w:rsidR="006438A5" w:rsidRDefault="00000000">
      <w:pPr>
        <w:pStyle w:val="Body"/>
        <w:spacing w:after="0"/>
        <w:rPr>
          <w:rFonts w:ascii="Arial" w:hAnsi="Arial" w:cs="Arial"/>
          <w:lang w:eastAsia="zh-CN"/>
        </w:rPr>
      </w:pPr>
      <w:r>
        <w:rPr>
          <w:rFonts w:ascii="Arial" w:hAnsi="Arial" w:cs="Arial"/>
          <w:lang w:eastAsia="zh-CN"/>
        </w:rPr>
        <w:t>Within China, scholarship has documented the development of TC through program building and field convergence, while also noting challenges concerning curricular positioning and institutional uptake</w:t>
      </w:r>
      <w:r w:rsidR="00601647">
        <w:rPr>
          <w:rFonts w:ascii="Arial" w:eastAsiaTheme="minorEastAsia" w:hAnsi="Arial" w:cs="Arial" w:hint="eastAsia"/>
          <w:lang w:eastAsia="zh-CN"/>
        </w:rPr>
        <w:t xml:space="preserve"> </w:t>
      </w:r>
      <w:r w:rsidR="00601647">
        <w:rPr>
          <w:rFonts w:ascii="Arial" w:eastAsiaTheme="minorEastAsia" w:hAnsi="Arial" w:cs="Arial"/>
          <w:lang w:eastAsia="zh-CN"/>
        </w:rPr>
        <w:fldChar w:fldCharType="begin">
          <w:fldData xml:space="preserve">PEVuZE5vdGU+PENpdGU+PEF1dGhvcj5EaW5nPC9BdXRob3I+PFllYXI+MjAxOTwvWWVhcj48UmVj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</w:fldData>
        </w:fldChar>
      </w:r>
      <w:r w:rsidR="00601647">
        <w:rPr>
          <w:rFonts w:ascii="Arial" w:eastAsiaTheme="minorEastAsia" w:hAnsi="Arial" w:cs="Arial"/>
          <w:lang w:eastAsia="zh-CN"/>
        </w:rPr>
        <w:instrText xml:space="preserve"> ADDIN EN.CITE </w:instrText>
      </w:r>
      <w:r w:rsidR="00601647">
        <w:rPr>
          <w:rFonts w:ascii="Arial" w:eastAsiaTheme="minorEastAsia" w:hAnsi="Arial" w:cs="Arial"/>
          <w:lang w:eastAsia="zh-CN"/>
        </w:rPr>
        <w:fldChar w:fldCharType="begin">
          <w:fldData xml:space="preserve">PEVuZE5vdGU+PENpdGU+PEF1dGhvcj5EaW5nPC9BdXRob3I+PFllYXI+MjAxOTwvWWVhcj48UmVj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</w:fldData>
        </w:fldChar>
      </w:r>
      <w:r w:rsidR="00601647">
        <w:rPr>
          <w:rFonts w:ascii="Arial" w:eastAsiaTheme="minorEastAsia" w:hAnsi="Arial" w:cs="Arial"/>
          <w:lang w:eastAsia="zh-CN"/>
        </w:rPr>
        <w:instrText xml:space="preserve"> ADDIN EN.CITE.DATA </w:instrText>
      </w:r>
      <w:r w:rsidR="00601647">
        <w:rPr>
          <w:rFonts w:ascii="Arial" w:eastAsiaTheme="minorEastAsia" w:hAnsi="Arial" w:cs="Arial"/>
          <w:lang w:eastAsia="zh-CN"/>
        </w:rPr>
      </w:r>
      <w:r w:rsidR="00601647">
        <w:rPr>
          <w:rFonts w:ascii="Arial" w:eastAsiaTheme="minorEastAsia" w:hAnsi="Arial" w:cs="Arial"/>
          <w:lang w:eastAsia="zh-CN"/>
        </w:rPr>
        <w:fldChar w:fldCharType="end"/>
      </w:r>
      <w:r w:rsidR="00601647">
        <w:rPr>
          <w:rFonts w:ascii="Arial" w:eastAsiaTheme="minorEastAsia" w:hAnsi="Arial" w:cs="Arial"/>
          <w:lang w:eastAsia="zh-CN"/>
        </w:rPr>
      </w:r>
      <w:r w:rsidR="00601647">
        <w:rPr>
          <w:rFonts w:ascii="Arial" w:eastAsiaTheme="minorEastAsia" w:hAnsi="Arial" w:cs="Arial"/>
          <w:lang w:eastAsia="zh-CN"/>
        </w:rPr>
        <w:fldChar w:fldCharType="separate"/>
      </w:r>
      <w:r w:rsidR="00601647">
        <w:rPr>
          <w:rFonts w:ascii="Arial" w:eastAsiaTheme="minorEastAsia" w:hAnsi="Arial" w:cs="Arial"/>
          <w:noProof/>
          <w:lang w:eastAsia="zh-CN"/>
        </w:rPr>
        <w:t>(Ding, 2019; Wan, 2022)</w:t>
      </w:r>
      <w:r w:rsidR="00601647">
        <w:rPr>
          <w:rFonts w:ascii="Arial" w:eastAsiaTheme="minorEastAsia" w:hAnsi="Arial" w:cs="Arial"/>
          <w:lang w:eastAsia="zh-CN"/>
        </w:rPr>
        <w:fldChar w:fldCharType="end"/>
      </w:r>
      <w:r>
        <w:rPr>
          <w:rFonts w:ascii="Arial" w:hAnsi="Arial" w:cs="Arial"/>
          <w:lang w:eastAsia="zh-CN"/>
        </w:rPr>
        <w:t>. These challenges are intensified in vocational education, where curricula are expected to be practice oriented yet must also respond to fast-changing industry demands. The thesis that underpins this article identifies fragmentation as a structural barrier, arguing that vocational language curricula often separate listening, speaking, reading, and writing in ways that weaken preparation for integrated workplace communication.  Expert interview evidence in the thesis further reports that lecture dominant and compartmentalized methods limit relevance and engagement, and that students often practice surface formats without learning to adapt communication to technical contexts.  These findings align with needs studies in TVET settings that report clear gaps between workplace expectations and students’ preparation for TC, particularly when tasks demand cross disciplinary coordination and professional genre performance</w:t>
      </w:r>
      <w:r w:rsidR="00601647">
        <w:rPr>
          <w:rFonts w:ascii="Arial" w:eastAsiaTheme="minorEastAsia" w:hAnsi="Arial" w:cs="Arial" w:hint="eastAsia"/>
          <w:lang w:eastAsia="zh-CN"/>
        </w:rPr>
        <w:t xml:space="preserve"> </w:t>
      </w:r>
      <w:r w:rsidR="00601647">
        <w:rPr>
          <w:rFonts w:ascii="Arial" w:eastAsiaTheme="minorEastAsia" w:hAnsi="Arial" w:cs="Arial"/>
          <w:lang w:eastAsia="zh-CN"/>
        </w:rPr>
        <w:fldChar w:fldCharType="begin">
          <w:fldData xml:space="preserve">PEVuZE5vdGU+PENpdGU+PEF1dGhvcj5MdW88L0F1dGhvcj48WWVhcj4yMDIyPC9ZZWFyPjxSZWNO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</w:fldData>
        </w:fldChar>
      </w:r>
      <w:r w:rsidR="00601647">
        <w:rPr>
          <w:rFonts w:ascii="Arial" w:eastAsiaTheme="minorEastAsia" w:hAnsi="Arial" w:cs="Arial"/>
          <w:lang w:eastAsia="zh-CN"/>
        </w:rPr>
        <w:instrText xml:space="preserve"> ADDIN EN.CITE </w:instrText>
      </w:r>
      <w:r w:rsidR="00601647">
        <w:rPr>
          <w:rFonts w:ascii="Arial" w:eastAsiaTheme="minorEastAsia" w:hAnsi="Arial" w:cs="Arial"/>
          <w:lang w:eastAsia="zh-CN"/>
        </w:rPr>
        <w:fldChar w:fldCharType="begin">
          <w:fldData xml:space="preserve">PEVuZE5vdGU+PENpdGU+PEF1dGhvcj5MdW88L0F1dGhvcj48WWVhcj4yMDIyPC9ZZWFyPjxSZWNO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</w:fldData>
        </w:fldChar>
      </w:r>
      <w:r w:rsidR="00601647">
        <w:rPr>
          <w:rFonts w:ascii="Arial" w:eastAsiaTheme="minorEastAsia" w:hAnsi="Arial" w:cs="Arial"/>
          <w:lang w:eastAsia="zh-CN"/>
        </w:rPr>
        <w:instrText xml:space="preserve"> ADDIN EN.CITE.DATA </w:instrText>
      </w:r>
      <w:r w:rsidR="00601647">
        <w:rPr>
          <w:rFonts w:ascii="Arial" w:eastAsiaTheme="minorEastAsia" w:hAnsi="Arial" w:cs="Arial"/>
          <w:lang w:eastAsia="zh-CN"/>
        </w:rPr>
      </w:r>
      <w:r w:rsidR="00601647">
        <w:rPr>
          <w:rFonts w:ascii="Arial" w:eastAsiaTheme="minorEastAsia" w:hAnsi="Arial" w:cs="Arial"/>
          <w:lang w:eastAsia="zh-CN"/>
        </w:rPr>
        <w:fldChar w:fldCharType="end"/>
      </w:r>
      <w:r w:rsidR="00601647">
        <w:rPr>
          <w:rFonts w:ascii="Arial" w:eastAsiaTheme="minorEastAsia" w:hAnsi="Arial" w:cs="Arial"/>
          <w:lang w:eastAsia="zh-CN"/>
        </w:rPr>
      </w:r>
      <w:r w:rsidR="00601647">
        <w:rPr>
          <w:rFonts w:ascii="Arial" w:eastAsiaTheme="minorEastAsia" w:hAnsi="Arial" w:cs="Arial"/>
          <w:lang w:eastAsia="zh-CN"/>
        </w:rPr>
        <w:fldChar w:fldCharType="separate"/>
      </w:r>
      <w:r w:rsidR="00601647">
        <w:rPr>
          <w:rFonts w:ascii="Arial" w:eastAsiaTheme="minorEastAsia" w:hAnsi="Arial" w:cs="Arial"/>
          <w:noProof/>
          <w:lang w:eastAsia="zh-CN"/>
        </w:rPr>
        <w:t>(Luo et al., 2022)</w:t>
      </w:r>
      <w:r w:rsidR="00601647">
        <w:rPr>
          <w:rFonts w:ascii="Arial" w:eastAsiaTheme="minorEastAsia" w:hAnsi="Arial" w:cs="Arial"/>
          <w:lang w:eastAsia="zh-CN"/>
        </w:rPr>
        <w:fldChar w:fldCharType="end"/>
      </w:r>
      <w:r>
        <w:rPr>
          <w:rFonts w:ascii="Arial" w:hAnsi="Arial" w:cs="Arial"/>
          <w:lang w:eastAsia="zh-CN"/>
        </w:rPr>
        <w:t>.</w:t>
      </w:r>
    </w:p>
    <w:p w14:paraId="4302AB02" w14:textId="3A9458C4" w:rsidR="006438A5" w:rsidRDefault="00000000">
      <w:pPr>
        <w:pStyle w:val="Body"/>
        <w:spacing w:after="0"/>
        <w:rPr>
          <w:rFonts w:ascii="Arial" w:hAnsi="Arial" w:cs="Arial"/>
          <w:lang w:eastAsia="zh-CN"/>
        </w:rPr>
      </w:pPr>
      <w:r>
        <w:rPr>
          <w:rFonts w:ascii="Arial" w:hAnsi="Arial" w:cs="Arial"/>
          <w:lang w:eastAsia="zh-CN"/>
        </w:rPr>
        <w:t xml:space="preserve">At the same time, vocational oriented models show that TC can be specified and taught through structured, context sensitive design. Jamaludin and colleagues propose a Technical Communication Pedagogical Model developed for vocational colleges that integrates objectives, content, delivery, and assessment, and highlights learning experiences such as collaborative activities, contextualized tasks, and multiple assessment methods including oral presentations, writing assignments, and observation-based evaluation.  Such work is complemented by evidence that structured modules, when aligned with authentic tasks and professional genres, can improve vocational learners’ TC competence </w:t>
      </w:r>
      <w:r>
        <w:rPr>
          <w:rFonts w:ascii="Arial" w:hAnsi="Arial" w:cs="Arial"/>
          <w:lang w:eastAsia="zh-CN"/>
        </w:rPr>
        <w:fldChar w:fldCharType="begin"/>
      </w:r>
      <w:r w:rsidR="00601647">
        <w:rPr>
          <w:rFonts w:ascii="Arial" w:hAnsi="Arial" w:cs="Arial"/>
          <w:lang w:eastAsia="zh-CN"/>
        </w:rPr>
        <w:instrText xml:space="preserve"> ADDIN EN.CITE &lt;EndNote&gt;&lt;Cite&gt;&lt;Author&gt;Liu&lt;/Author&gt;&lt;Year&gt;2024&lt;/Year&gt;&lt;RecNum&gt;125&lt;/RecNum&gt;&lt;DisplayText&gt;(Liu et al., 2024)&lt;/DisplayText&gt;&lt;record&gt;&lt;rec-number&gt;125&lt;/rec-number&gt;&lt;foreign-keys&gt;&lt;key app="EN" db-id="axateaap22str3eaaa1xar2n95zaewv2sx5a" timestamp="1731724989"&gt;125&lt;/key&gt;&lt;/foreign-keys&gt;&lt;ref-type name="Journal Article"&gt;17&lt;/ref-type&gt;&lt;contributors&gt;&lt;authors&gt;&lt;author&gt;Liu, Weiqi&lt;/author&gt;&lt;author&gt;Jamaludin, Khairul Azhar&lt;/author&gt;&lt;author&gt;Song, Ziyun&lt;/author&gt;&lt;/authors&gt;&lt;/contributors&gt;&lt;titles&gt;&lt;title&gt;Implementation of Technical Communication Pedagogy in Higher Education Institutions: A Systematic Literature Review&lt;/title&gt;&lt;secondary-title&gt;International Journal of Learning, Teaching and Educational Research&lt;/secondary-title&gt;&lt;/titles&gt;&lt;periodical&gt;&lt;full-title&gt;International Journal of Learning, Teaching and Educational Research&lt;/full-title&gt;&lt;/periodical&gt;&lt;pages&gt;307-324&lt;/pages&gt;&lt;volume&gt;23&lt;/volume&gt;&lt;number&gt;9&lt;/number&gt;&lt;dates&gt;&lt;year&gt;2024&lt;/year&gt;&lt;/dates&gt;&lt;isbn&gt;1694-2116&lt;/isbn&gt;&lt;urls&gt;&lt;/urls&gt;&lt;electronic-resource-num&gt;10.26803/ijlter.23.9.16&lt;/electronic-resource-num&gt;&lt;/record&gt;&lt;/Cite&gt;&lt;/EndNote&gt;</w:instrText>
      </w:r>
      <w:r>
        <w:rPr>
          <w:rFonts w:ascii="Arial" w:hAnsi="Arial" w:cs="Arial"/>
          <w:lang w:eastAsia="zh-CN"/>
        </w:rPr>
        <w:fldChar w:fldCharType="separate"/>
      </w:r>
      <w:r w:rsidR="00601647">
        <w:rPr>
          <w:rFonts w:ascii="Arial" w:hAnsi="Arial" w:cs="Arial"/>
          <w:noProof/>
          <w:lang w:eastAsia="zh-CN"/>
        </w:rPr>
        <w:t>(Liu et al., 2024)</w:t>
      </w:r>
      <w:r>
        <w:rPr>
          <w:rFonts w:ascii="Arial" w:hAnsi="Arial" w:cs="Arial"/>
          <w:lang w:eastAsia="zh-CN"/>
        </w:rPr>
        <w:fldChar w:fldCharType="end"/>
      </w:r>
      <w:r>
        <w:rPr>
          <w:rFonts w:ascii="Arial" w:hAnsi="Arial" w:cs="Arial"/>
          <w:lang w:eastAsia="zh-CN"/>
        </w:rPr>
        <w:t>. Together, these studies suggest that the central challenge is not whether TC matters in vocational settings, but how to design and validate instruction that is both theoretically grounded and workplace aligned under realistic constraints.</w:t>
      </w:r>
    </w:p>
    <w:p w14:paraId="58673920" w14:textId="77777777" w:rsidR="006438A5" w:rsidRDefault="006438A5">
      <w:pPr>
        <w:widowControl w:val="0"/>
        <w:jc w:val="both"/>
        <w:rPr>
          <w:rFonts w:ascii="Calibri" w:eastAsia="宋体" w:hAnsi="Calibri"/>
          <w:kern w:val="2"/>
          <w:sz w:val="21"/>
          <w:szCs w:val="24"/>
          <w:lang w:eastAsia="zh-CN" w:bidi="ar"/>
        </w:rPr>
      </w:pPr>
    </w:p>
    <w:p w14:paraId="0B0772D2" w14:textId="77777777" w:rsidR="006438A5" w:rsidRDefault="00000000">
      <w:pPr>
        <w:pStyle w:val="Body"/>
        <w:spacing w:after="0"/>
        <w:rPr>
          <w:rFonts w:ascii="Arial" w:hAnsi="Arial" w:cs="Arial"/>
          <w:b/>
          <w:sz w:val="22"/>
        </w:rPr>
      </w:pPr>
      <w:r>
        <w:rPr>
          <w:rFonts w:ascii="Arial" w:hAnsi="Arial" w:cs="Arial"/>
          <w:b/>
          <w:caps/>
          <w:sz w:val="22"/>
        </w:rPr>
        <w:t>2.</w:t>
      </w:r>
      <w:r>
        <w:rPr>
          <w:rFonts w:ascii="Arial" w:eastAsia="宋体" w:hAnsi="Arial" w:cs="Arial" w:hint="eastAsia"/>
          <w:b/>
          <w:caps/>
          <w:sz w:val="22"/>
          <w:lang w:eastAsia="zh-CN"/>
        </w:rPr>
        <w:t>3</w:t>
      </w:r>
      <w:r>
        <w:rPr>
          <w:rFonts w:ascii="Arial" w:hAnsi="Arial" w:cs="Arial"/>
          <w:b/>
          <w:caps/>
          <w:sz w:val="22"/>
        </w:rPr>
        <w:t xml:space="preserve"> </w:t>
      </w:r>
      <w:r>
        <w:rPr>
          <w:rFonts w:ascii="Arial" w:hAnsi="Arial" w:cs="Arial" w:hint="eastAsia"/>
          <w:b/>
          <w:sz w:val="22"/>
        </w:rPr>
        <w:t>Theoretical foundations for designing vocational TC instruction</w:t>
      </w:r>
    </w:p>
    <w:p w14:paraId="37CC8EDF" w14:textId="77777777" w:rsidR="006438A5" w:rsidRDefault="006438A5">
      <w:pPr>
        <w:widowControl w:val="0"/>
        <w:jc w:val="both"/>
        <w:rPr>
          <w:rFonts w:ascii="Calibri" w:eastAsia="宋体" w:hAnsi="Calibri"/>
          <w:kern w:val="2"/>
          <w:sz w:val="21"/>
          <w:szCs w:val="24"/>
          <w:lang w:eastAsia="zh-CN" w:bidi="ar"/>
        </w:rPr>
      </w:pPr>
    </w:p>
    <w:p w14:paraId="3D91DDC6" w14:textId="184EFE76" w:rsidR="006438A5" w:rsidRDefault="00000000">
      <w:pPr>
        <w:pStyle w:val="Body"/>
        <w:spacing w:after="0"/>
        <w:rPr>
          <w:rFonts w:ascii="Arial" w:hAnsi="Arial" w:cs="Arial"/>
          <w:lang w:eastAsia="zh-CN"/>
        </w:rPr>
      </w:pPr>
      <w:r>
        <w:rPr>
          <w:rFonts w:ascii="Arial" w:hAnsi="Arial" w:cs="Arial"/>
          <w:lang w:eastAsia="zh-CN"/>
        </w:rPr>
        <w:t>Three strands of theory are especially relevant for module design and for interpreting classroom enactment in vocational TC education. First, social constructivist perspectives conceptualize learning as mediated participation through interaction, feedback, and shared problem solving. This positions collaboration and peer response as central mechanisms rather than optional activities. Second, cognitive apprenticeship provides design logic for bridging classroom learning and professional practice by making expert thinking visible, contextualizing tasks, and scaffolding learners toward independent performance. The thesis describes cognitive apprenticeship as an instructional model that emphasizes learning in context and deliberates surfacing of otherwise implicit processes, enabling learners to generalize skills and transfer them to novel situations.</w:t>
      </w:r>
      <w:r>
        <w:rPr>
          <w:rFonts w:ascii="Arial" w:hAnsi="Arial" w:cs="Arial" w:hint="eastAsia"/>
          <w:lang w:eastAsia="zh-CN"/>
        </w:rPr>
        <w:t xml:space="preserve"> </w:t>
      </w:r>
      <w:r>
        <w:rPr>
          <w:rFonts w:ascii="Arial" w:hAnsi="Arial" w:cs="Arial"/>
          <w:lang w:eastAsia="zh-CN"/>
        </w:rPr>
        <w:t xml:space="preserve">Third, competence-oriented curriculum development supports systematic selection and sequencing of learning outcomes, content, and assessment in response to digitalized communication work </w:t>
      </w:r>
      <w:r>
        <w:rPr>
          <w:rFonts w:ascii="Arial" w:hAnsi="Arial" w:cs="Arial"/>
          <w:lang w:eastAsia="zh-CN"/>
        </w:rPr>
        <w:fldChar w:fldCharType="begin"/>
      </w:r>
      <w:r w:rsidR="00601647">
        <w:rPr>
          <w:rFonts w:ascii="Arial" w:hAnsi="Arial" w:cs="Arial"/>
          <w:lang w:eastAsia="zh-CN"/>
        </w:rPr>
        <w:instrText xml:space="preserve"> ADDIN EN.CITE &lt;EndNote&gt;&lt;Cite&gt;&lt;Author&gt;Cleary&lt;/Author&gt;&lt;Year&gt;2019&lt;/Year&gt;&lt;RecNum&gt;24&lt;/RecNum&gt;&lt;DisplayText&gt;(Cleary et al., 2019)&lt;/DisplayText&gt;&lt;record&gt;&lt;rec-number&gt;24&lt;/rec-number&gt;&lt;foreign-keys&gt;&lt;key app="EN" db-id="axateaap22str3eaaa1xar2n95zaewv2sx5a" timestamp="1731571153"&gt;24&lt;/key&gt;&lt;/foreign-keys&gt;&lt;ref-type name="Conference Proceedings"&gt;10&lt;/ref-type&gt;&lt;contributors&gt;&lt;authors&gt;&lt;author&gt;Cleary, Yvonne&lt;/author&gt;&lt;author&gt;Karreman, Joyce&lt;/author&gt;&lt;author&gt;Meex, Birgitta&lt;/author&gt;&lt;author&gt;Closs, Sissi&lt;/author&gt;&lt;/authors&gt;&lt;/contributors&gt;&lt;titles&gt;&lt;title&gt;Workshop: Curriculum development for technical communication in a digitalized world based on the TecCOMFrame competence framework&lt;/title&gt;&lt;secondary-title&gt;2019 IEEE International Professional Communication Conference (ProComm)&lt;/secondary-title&gt;&lt;/titles&gt;&lt;pages&gt;259-261&lt;/pages&gt;&lt;dates&gt;&lt;year&gt;2019&lt;/year&gt;&lt;/dates&gt;&lt;publisher&gt;IEEE&lt;/publisher&gt;&lt;isbn&gt;1728125669&lt;/isbn&gt;&lt;urls&gt;&lt;/urls&gt;&lt;electronic-resource-num&gt;10.1109/ProComm.2019.00056&lt;/electronic-resource-num&gt;&lt;/record&gt;&lt;/Cite&gt;&lt;/EndNote&gt;</w:instrText>
      </w:r>
      <w:r>
        <w:rPr>
          <w:rFonts w:ascii="Arial" w:hAnsi="Arial" w:cs="Arial"/>
          <w:lang w:eastAsia="zh-CN"/>
        </w:rPr>
        <w:fldChar w:fldCharType="separate"/>
      </w:r>
      <w:r w:rsidR="00601647">
        <w:rPr>
          <w:rFonts w:ascii="Arial" w:hAnsi="Arial" w:cs="Arial"/>
          <w:noProof/>
          <w:lang w:eastAsia="zh-CN"/>
        </w:rPr>
        <w:t>(Cleary et al., 2019)</w:t>
      </w:r>
      <w:r>
        <w:rPr>
          <w:rFonts w:ascii="Arial" w:hAnsi="Arial" w:cs="Arial"/>
          <w:lang w:eastAsia="zh-CN"/>
        </w:rPr>
        <w:fldChar w:fldCharType="end"/>
      </w:r>
      <w:r>
        <w:rPr>
          <w:rFonts w:ascii="Arial" w:hAnsi="Arial" w:cs="Arial"/>
          <w:lang w:eastAsia="zh-CN"/>
        </w:rPr>
        <w:t>. These theories converge on a shared implication. If vocational TC instruction aims to cultivate workplace readiness, it must provide repeated opportunities for learners to enact communication practices in authentic conditions, including collaboration, revision cycles, and tool mediated coordination.</w:t>
      </w:r>
    </w:p>
    <w:p w14:paraId="1FF5C9D3" w14:textId="77777777" w:rsidR="006438A5" w:rsidRDefault="006438A5">
      <w:pPr>
        <w:pStyle w:val="Body"/>
        <w:spacing w:after="0"/>
        <w:rPr>
          <w:rFonts w:ascii="Arial" w:hAnsi="Arial" w:cs="Arial"/>
          <w:lang w:eastAsia="zh-CN"/>
        </w:rPr>
      </w:pPr>
    </w:p>
    <w:p w14:paraId="334C75C6" w14:textId="77777777" w:rsidR="006438A5" w:rsidRDefault="00000000">
      <w:pPr>
        <w:pStyle w:val="Body"/>
        <w:spacing w:after="0"/>
        <w:rPr>
          <w:rFonts w:ascii="Arial" w:hAnsi="Arial" w:cs="Arial"/>
          <w:b/>
          <w:sz w:val="22"/>
        </w:rPr>
      </w:pPr>
      <w:r>
        <w:rPr>
          <w:rFonts w:ascii="Arial" w:hAnsi="Arial" w:cs="Arial"/>
          <w:b/>
          <w:caps/>
          <w:sz w:val="22"/>
        </w:rPr>
        <w:t>2.</w:t>
      </w:r>
      <w:r>
        <w:rPr>
          <w:rFonts w:ascii="Arial" w:eastAsia="宋体" w:hAnsi="Arial" w:cs="Arial" w:hint="eastAsia"/>
          <w:b/>
          <w:caps/>
          <w:sz w:val="22"/>
          <w:lang w:eastAsia="zh-CN"/>
        </w:rPr>
        <w:t>4</w:t>
      </w:r>
      <w:r>
        <w:rPr>
          <w:rFonts w:ascii="Arial" w:hAnsi="Arial" w:cs="Arial"/>
          <w:b/>
          <w:caps/>
          <w:sz w:val="22"/>
        </w:rPr>
        <w:t xml:space="preserve"> </w:t>
      </w:r>
      <w:r>
        <w:rPr>
          <w:rFonts w:ascii="Arial" w:hAnsi="Arial" w:cs="Arial" w:hint="eastAsia"/>
          <w:b/>
          <w:sz w:val="22"/>
        </w:rPr>
        <w:t>Evidence and validation in TC pedagogy</w:t>
      </w:r>
    </w:p>
    <w:p w14:paraId="174F09C5" w14:textId="77777777" w:rsidR="006438A5" w:rsidRDefault="006438A5">
      <w:pPr>
        <w:pStyle w:val="Body"/>
        <w:spacing w:after="0"/>
        <w:rPr>
          <w:rFonts w:ascii="Arial" w:hAnsi="Arial" w:cs="Arial"/>
          <w:lang w:eastAsia="zh-CN"/>
        </w:rPr>
      </w:pPr>
    </w:p>
    <w:p w14:paraId="4E368011" w14:textId="76F4D1C1" w:rsidR="006438A5" w:rsidRDefault="00000000">
      <w:pPr>
        <w:pStyle w:val="Body"/>
        <w:spacing w:after="0"/>
        <w:rPr>
          <w:rFonts w:ascii="Arial" w:hAnsi="Arial" w:cs="Arial"/>
          <w:lang w:eastAsia="zh-CN"/>
        </w:rPr>
      </w:pPr>
      <w:r>
        <w:rPr>
          <w:rFonts w:ascii="Arial" w:hAnsi="Arial" w:cs="Arial"/>
          <w:lang w:eastAsia="zh-CN"/>
        </w:rPr>
        <w:t>A persistent methodological issue concerns how TC modules are evaluated. Many studies rely heavily on end products and score-based indicators. Such measures are important, yet they can under</w:t>
      </w:r>
      <w:r>
        <w:rPr>
          <w:rFonts w:ascii="Arial" w:hAnsi="Arial" w:cs="Arial" w:hint="eastAsia"/>
          <w:lang w:eastAsia="zh-CN"/>
        </w:rPr>
        <w:t>mine</w:t>
      </w:r>
      <w:r>
        <w:rPr>
          <w:rFonts w:ascii="Arial" w:hAnsi="Arial" w:cs="Arial"/>
          <w:lang w:eastAsia="zh-CN"/>
        </w:rPr>
        <w:t xml:space="preserve"> the mechanisms through which competence develops and transfers. Research on feedback highlights that improvement depends on learners’ capacity to seek, interpret, and implement feedback within social interaction </w:t>
      </w:r>
      <w:r w:rsidR="00601647">
        <w:rPr>
          <w:rFonts w:ascii="Arial" w:hAnsi="Arial" w:cs="Arial"/>
          <w:lang w:eastAsia="zh-CN"/>
        </w:rPr>
        <w:fldChar w:fldCharType="begin">
          <w:fldData xml:space="preserve">PEVuZE5vdGU+PENpdGU+PEF1dGhvcj5GZXVlcjwvQXV0aG9yPjxZZWFyPjIwMjA8L1llYXI+PFJl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</w:fldData>
        </w:fldChar>
      </w:r>
      <w:r w:rsidR="00940238">
        <w:rPr>
          <w:rFonts w:ascii="Arial" w:hAnsi="Arial" w:cs="Arial"/>
          <w:lang w:eastAsia="zh-CN"/>
        </w:rPr>
        <w:instrText xml:space="preserve"> ADDIN EN.CITE </w:instrText>
      </w:r>
      <w:r w:rsidR="00940238">
        <w:rPr>
          <w:rFonts w:ascii="Arial" w:hAnsi="Arial" w:cs="Arial"/>
          <w:lang w:eastAsia="zh-CN"/>
        </w:rPr>
        <w:fldChar w:fldCharType="begin">
          <w:fldData xml:space="preserve">PEVuZE5vdGU+PENpdGU+PEF1dGhvcj5GZXVlcjwvQXV0aG9yPjxZZWFyPjIwMjA8L1llYXI+PFJl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</w:fldData>
        </w:fldChar>
      </w:r>
      <w:r w:rsidR="00940238">
        <w:rPr>
          <w:rFonts w:ascii="Arial" w:hAnsi="Arial" w:cs="Arial"/>
          <w:lang w:eastAsia="zh-CN"/>
        </w:rPr>
        <w:instrText xml:space="preserve"> ADDIN EN.CITE.DATA </w:instrText>
      </w:r>
      <w:r w:rsidR="00940238">
        <w:rPr>
          <w:rFonts w:ascii="Arial" w:hAnsi="Arial" w:cs="Arial"/>
          <w:lang w:eastAsia="zh-CN"/>
        </w:rPr>
      </w:r>
      <w:r w:rsidR="00940238">
        <w:rPr>
          <w:rFonts w:ascii="Arial" w:hAnsi="Arial" w:cs="Arial"/>
          <w:lang w:eastAsia="zh-CN"/>
        </w:rPr>
        <w:fldChar w:fldCharType="end"/>
      </w:r>
      <w:r w:rsidR="00601647">
        <w:rPr>
          <w:rFonts w:ascii="Arial" w:hAnsi="Arial" w:cs="Arial"/>
          <w:lang w:eastAsia="zh-CN"/>
        </w:rPr>
      </w:r>
      <w:r w:rsidR="00601647">
        <w:rPr>
          <w:rFonts w:ascii="Arial" w:hAnsi="Arial" w:cs="Arial"/>
          <w:lang w:eastAsia="zh-CN"/>
        </w:rPr>
        <w:fldChar w:fldCharType="separate"/>
      </w:r>
      <w:r w:rsidR="00601647">
        <w:rPr>
          <w:rFonts w:ascii="Arial" w:hAnsi="Arial" w:cs="Arial"/>
          <w:noProof/>
          <w:lang w:eastAsia="zh-CN"/>
        </w:rPr>
        <w:t>(Feuer, 2020)</w:t>
      </w:r>
      <w:r w:rsidR="00601647">
        <w:rPr>
          <w:rFonts w:ascii="Arial" w:hAnsi="Arial" w:cs="Arial"/>
          <w:lang w:eastAsia="zh-CN"/>
        </w:rPr>
        <w:fldChar w:fldCharType="end"/>
      </w:r>
      <w:r w:rsidR="00601647">
        <w:rPr>
          <w:rFonts w:ascii="Arial" w:eastAsiaTheme="minorEastAsia" w:hAnsi="Arial" w:cs="Arial" w:hint="eastAsia"/>
          <w:lang w:eastAsia="zh-CN"/>
        </w:rPr>
        <w:t>.</w:t>
      </w:r>
      <w:r>
        <w:rPr>
          <w:rFonts w:ascii="Arial" w:hAnsi="Arial" w:cs="Arial"/>
          <w:lang w:eastAsia="zh-CN"/>
        </w:rPr>
        <w:t xml:space="preserve"> Process oriented assessment has therefore argued that drafting and revision should be central evidence of learning rather than peripheral work </w:t>
      </w:r>
      <w:r>
        <w:rPr>
          <w:rFonts w:ascii="Arial" w:hAnsi="Arial" w:cs="Arial"/>
          <w:lang w:eastAsia="zh-CN"/>
        </w:rPr>
        <w:fldChar w:fldCharType="begin"/>
      </w:r>
      <w:r w:rsidR="00601647">
        <w:rPr>
          <w:rFonts w:ascii="Arial" w:hAnsi="Arial" w:cs="Arial"/>
          <w:lang w:eastAsia="zh-CN"/>
        </w:rPr>
        <w:instrText xml:space="preserve"> ADDIN EN.CITE &lt;EndNote&gt;&lt;Cite&gt;&lt;Author&gt;Johnson&lt;/Author&gt;&lt;Year&gt;2022&lt;/Year&gt;&lt;RecNum&gt;25&lt;/RecNum&gt;&lt;DisplayText&gt;(Johnson, 2022)&lt;/DisplayText&gt;&lt;record&gt;&lt;rec-number&gt;25&lt;/rec-number&gt;&lt;foreign-keys&gt;&lt;key app="EN" db-id="axateaap22str3eaaa1xar2n95zaewv2sx5a" timestamp="1731571249"&gt;25&lt;/key&gt;&lt;/foreign-keys&gt;&lt;ref-type name="Conference Proceedings"&gt;10&lt;/ref-type&gt;&lt;contributors&gt;&lt;authors&gt;&lt;author&gt;Johnson, Maren&lt;/author&gt;&lt;/authors&gt;&lt;/contributors&gt;&lt;titles&gt;&lt;title&gt;Grading for Process: Using the Portfolio to Emphasize Process in Technical Communication&lt;/title&gt;&lt;secondary-title&gt;2022 IEEE International Professional Communication Conference (ProComm)&lt;/secondary-title&gt;&lt;/titles&gt;&lt;pages&gt;251-256&lt;/pages&gt;&lt;dates&gt;&lt;year&gt;2022&lt;/year&gt;&lt;/dates&gt;&lt;publisher&gt;IEEE&lt;/publisher&gt;&lt;isbn&gt;1665495170&lt;/isbn&gt;&lt;urls&gt;&lt;/urls&gt;&lt;electronic-resource-num&gt;10.1109/ProComm53155.2022.00052&lt;/electronic-resource-num&gt;&lt;/record&gt;&lt;/Cite&gt;&lt;/EndNote&gt;</w:instrText>
      </w:r>
      <w:r>
        <w:rPr>
          <w:rFonts w:ascii="Arial" w:hAnsi="Arial" w:cs="Arial"/>
          <w:lang w:eastAsia="zh-CN"/>
        </w:rPr>
        <w:fldChar w:fldCharType="separate"/>
      </w:r>
      <w:r w:rsidR="00601647">
        <w:rPr>
          <w:rFonts w:ascii="Arial" w:hAnsi="Arial" w:cs="Arial"/>
          <w:noProof/>
          <w:lang w:eastAsia="zh-CN"/>
        </w:rPr>
        <w:t>(Johnson, 2022)</w:t>
      </w:r>
      <w:r>
        <w:rPr>
          <w:rFonts w:ascii="Arial" w:hAnsi="Arial" w:cs="Arial"/>
          <w:lang w:eastAsia="zh-CN"/>
        </w:rPr>
        <w:fldChar w:fldCharType="end"/>
      </w:r>
      <w:r>
        <w:rPr>
          <w:rFonts w:ascii="Arial" w:hAnsi="Arial" w:cs="Arial"/>
          <w:lang w:eastAsia="zh-CN"/>
        </w:rPr>
        <w:t xml:space="preserve">. Studies of classroom collaboration further show that workflow structures shape accountability, coordination, and participation patterns that resemble professional practices </w:t>
      </w:r>
      <w:r>
        <w:rPr>
          <w:rFonts w:ascii="Arial" w:hAnsi="Arial" w:cs="Arial"/>
          <w:lang w:eastAsia="zh-CN"/>
        </w:rPr>
        <w:fldChar w:fldCharType="begin"/>
      </w:r>
      <w:r w:rsidR="00601647">
        <w:rPr>
          <w:rFonts w:ascii="Arial" w:hAnsi="Arial" w:cs="Arial"/>
          <w:lang w:eastAsia="zh-CN"/>
        </w:rPr>
        <w:instrText xml:space="preserve"> ADDIN EN.CITE &lt;EndNote&gt;&lt;Cite&gt;&lt;Author&gt;Moeggenberg&lt;/Author&gt;&lt;Year&gt;2024&lt;/Year&gt;&lt;RecNum&gt;17&lt;/RecNum&gt;&lt;DisplayText&gt;(Moeggenberg &amp;amp; Maier, 2024)&lt;/DisplayText&gt;&lt;record&gt;&lt;rec-number&gt;17&lt;/rec-number&gt;&lt;foreign-keys&gt;&lt;key app="EN" db-id="axateaap22str3eaaa1xar2n95zaewv2sx5a" timestamp="1731569913"&gt;17&lt;/key&gt;&lt;/foreign-keys&gt;&lt;ref-type name="Conference Proceedings"&gt;10&lt;/ref-type&gt;&lt;contributors&gt;&lt;authors&gt;&lt;author&gt;Moeggenberg, Zarah C&lt;/author&gt;&lt;author&gt;Maier, Melissa A&lt;/author&gt;&lt;/authors&gt;&lt;/contributors&gt;&lt;titles&gt;&lt;title&gt;Teaching Collaborative Problem-Solving in Technical and Professional Communication&lt;/title&gt;&lt;secondary-title&gt;2024 IEEE International Professional Communication Conference (ProComm)&lt;/secondary-title&gt;&lt;/titles&gt;&lt;pages&gt;282-287&lt;/pages&gt;&lt;dates&gt;&lt;year&gt;2024&lt;/year&gt;&lt;/dates&gt;&lt;publisher&gt;IEEE&lt;/publisher&gt;&lt;isbn&gt;9798350384451&lt;/isbn&gt;&lt;urls&gt;&lt;/urls&gt;&lt;electronic-resource-num&gt;10.1109/ProComm61427.2024.00062&lt;/electronic-resource-num&gt;&lt;/record&gt;&lt;/Cite&gt;&lt;/EndNote&gt;</w:instrText>
      </w:r>
      <w:r>
        <w:rPr>
          <w:rFonts w:ascii="Arial" w:hAnsi="Arial" w:cs="Arial"/>
          <w:lang w:eastAsia="zh-CN"/>
        </w:rPr>
        <w:fldChar w:fldCharType="separate"/>
      </w:r>
      <w:r w:rsidR="00601647">
        <w:rPr>
          <w:rFonts w:ascii="Arial" w:hAnsi="Arial" w:cs="Arial"/>
          <w:noProof/>
          <w:lang w:eastAsia="zh-CN"/>
        </w:rPr>
        <w:t>(Moeggenberg &amp; Maier, 2024)</w:t>
      </w:r>
      <w:r>
        <w:rPr>
          <w:rFonts w:ascii="Arial" w:hAnsi="Arial" w:cs="Arial"/>
          <w:lang w:eastAsia="zh-CN"/>
        </w:rPr>
        <w:fldChar w:fldCharType="end"/>
      </w:r>
      <w:r>
        <w:rPr>
          <w:rFonts w:ascii="Arial" w:hAnsi="Arial" w:cs="Arial"/>
          <w:lang w:eastAsia="zh-CN"/>
        </w:rPr>
        <w:t xml:space="preserve">. Recent evidence also indicates that students may misjudge drafting time and revision effort, suggesting that workflow discipline and planning require explicit scaffolding </w:t>
      </w:r>
      <w:r>
        <w:rPr>
          <w:rFonts w:ascii="Arial" w:hAnsi="Arial" w:cs="Arial"/>
          <w:lang w:eastAsia="zh-CN"/>
        </w:rPr>
        <w:fldChar w:fldCharType="begin"/>
      </w:r>
      <w:r w:rsidR="00601647">
        <w:rPr>
          <w:rFonts w:ascii="Arial" w:hAnsi="Arial" w:cs="Arial"/>
          <w:lang w:eastAsia="zh-CN"/>
        </w:rPr>
        <w:instrText xml:space="preserve"> ADDIN EN.CITE &lt;EndNote&gt;&lt;Cite&gt;&lt;Author&gt;Menagarishvili&lt;/Author&gt;&lt;Year&gt;2024&lt;/Year&gt;&lt;RecNum&gt;32&lt;/RecNum&gt;&lt;DisplayText&gt;(Menagarishvili et al., 2024)&lt;/DisplayText&gt;&lt;record&gt;&lt;rec-number&gt;32&lt;/rec-number&gt;&lt;foreign-keys&gt;&lt;key app="EN" db-id="axateaap22str3eaaa1xar2n95zaewv2sx5a" timestamp="1731582552"&gt;32&lt;/key&gt;&lt;/foreign-keys&gt;&lt;ref-type name="Journal Article"&gt;17&lt;/ref-type&gt;&lt;contributors&gt;&lt;authors&gt;&lt;author&gt;Menagarishvili, Olga&lt;/author&gt;&lt;author&gt;Burnett, Rebecca E&lt;/author&gt;&lt;author&gt;Frazee, Andy&lt;/author&gt;&lt;/authors&gt;&lt;/contributors&gt;&lt;titles&gt;&lt;title&gt;Getting it Wrong: Student Estimations of Time and the Number of Drafts in Linked Computer Science and Technical Communication Courses&lt;/title&gt;&lt;secondary-title&gt;IEEE Transactions on Professional Communication&lt;/secondary-title&gt;&lt;/titles&gt;&lt;periodical&gt;&lt;full-title&gt;IEEE Transactions on Professional Communication&lt;/full-title&gt;&lt;/periodical&gt;&lt;dates&gt;&lt;year&gt;2024&lt;/year&gt;&lt;/dates&gt;&lt;isbn&gt;0361-1434&lt;/isbn&gt;&lt;urls&gt;&lt;/urls&gt;&lt;electronic-resource-num&gt;10.1109/TPC.2024.3477012&lt;/electronic-resource-num&gt;&lt;/record&gt;&lt;/Cite&gt;&lt;/EndNote&gt;</w:instrText>
      </w:r>
      <w:r>
        <w:rPr>
          <w:rFonts w:ascii="Arial" w:hAnsi="Arial" w:cs="Arial"/>
          <w:lang w:eastAsia="zh-CN"/>
        </w:rPr>
        <w:fldChar w:fldCharType="separate"/>
      </w:r>
      <w:r w:rsidR="00601647">
        <w:rPr>
          <w:rFonts w:ascii="Arial" w:hAnsi="Arial" w:cs="Arial"/>
          <w:noProof/>
          <w:lang w:eastAsia="zh-CN"/>
        </w:rPr>
        <w:t>(Menagarishvili et al., 2024)</w:t>
      </w:r>
      <w:r>
        <w:rPr>
          <w:rFonts w:ascii="Arial" w:hAnsi="Arial" w:cs="Arial"/>
          <w:lang w:eastAsia="zh-CN"/>
        </w:rPr>
        <w:fldChar w:fldCharType="end"/>
      </w:r>
      <w:r>
        <w:rPr>
          <w:rFonts w:ascii="Arial" w:hAnsi="Arial" w:cs="Arial"/>
          <w:lang w:eastAsia="zh-CN"/>
        </w:rPr>
        <w:t xml:space="preserve">. Methodological guidance for classroom-based TC research therefore calls for designs that </w:t>
      </w:r>
      <w:r>
        <w:rPr>
          <w:rFonts w:ascii="Arial" w:hAnsi="Arial" w:cs="Arial"/>
          <w:lang w:eastAsia="zh-CN"/>
        </w:rPr>
        <w:lastRenderedPageBreak/>
        <w:t xml:space="preserve">connect outcomes to process evidence and to instructional mechanisms, including quasi experimental logic where appropriate </w:t>
      </w:r>
      <w:r>
        <w:rPr>
          <w:rFonts w:ascii="Arial" w:hAnsi="Arial" w:cs="Arial"/>
          <w:lang w:eastAsia="zh-CN"/>
        </w:rPr>
        <w:fldChar w:fldCharType="begin"/>
      </w:r>
      <w:r w:rsidR="00601647">
        <w:rPr>
          <w:rFonts w:ascii="Arial" w:hAnsi="Arial" w:cs="Arial"/>
          <w:lang w:eastAsia="zh-CN"/>
        </w:rPr>
        <w:instrText xml:space="preserve"> ADDIN EN.CITE &lt;EndNote&gt;&lt;Cite&gt;&lt;Author&gt;Lam&lt;/Author&gt;&lt;Year&gt;2023&lt;/Year&gt;&lt;RecNum&gt;87&lt;/RecNum&gt;&lt;DisplayText&gt;(Lam &amp;amp; Wolfe, 2023)&lt;/DisplayText&gt;&lt;record&gt;&lt;rec-number&gt;87&lt;/rec-number&gt;&lt;foreign-keys&gt;&lt;key app="EN" db-id="axateaap22str3eaaa1xar2n95zaewv2sx5a" timestamp="1731595001"&gt;87&lt;/key&gt;&lt;/foreign-keys&gt;&lt;ref-type name="Journal Article"&gt;17&lt;/ref-type&gt;&lt;contributors&gt;&lt;authors&gt;&lt;author&gt;Lam, C.&lt;/author&gt;&lt;author&gt;Wolfe, J.&lt;/author&gt;&lt;/authors&gt;&lt;/contributors&gt;&lt;auth-address&gt;[Lam, Chris] Univ North Texas, Dept Tech Commun, Denton, TX USA. [Wolfe, Joanna] Carnegie Mellon Univ, Dept English, Pittsburgh, PA USA. [Lam, Chris] Univ North Texas, Dept Tech Commun, 1155 Union Circle 305298, Denton, TX 76203 USA. Carnegie Mellon University; University of North Texas System; University of North Texas Denton&amp;#xD;Lam, C (corresponding author), Univ North Texas, Dept Tech Commun, 1155 Union Circle 305298, Denton, TX 76203 USA.&amp;#xD;Christopher.lam@unt.edu&lt;/auth-address&gt;&lt;titles&gt;&lt;title&gt;An Introduction to Quasi-Experimental Research for Technical and Professional Communication Instructors&lt;/title&gt;&lt;secondary-title&gt;Journal of Business and Technical Communication&lt;/secondary-title&gt;&lt;alt-title&gt;J. Bus. Tech. Commun.&lt;/alt-title&gt;&lt;/titles&gt;&lt;alt-periodical&gt;&lt;full-title&gt;Journal of Business and Technical Communication&lt;/full-title&gt;&lt;abbr-1&gt;J. Bus. Tech. Commun.&lt;/abbr-1&gt;&lt;/alt-periodical&gt;&lt;pages&gt;174-193&lt;/pages&gt;&lt;volume&gt;37&lt;/volume&gt;&lt;number&gt;2&lt;/number&gt;&lt;keywords&gt;&lt;keyword&gt;teamwork&lt;/keyword&gt;&lt;keyword&gt;research methods&lt;/keyword&gt;&lt;keyword&gt;quasi-experimental research&lt;/keyword&gt;&lt;keyword&gt;pedagogy&lt;/keyword&gt;&lt;keyword&gt;Business &amp;amp; Economics&lt;/keyword&gt;&lt;keyword&gt;Communication&lt;/keyword&gt;&lt;/keywords&gt;&lt;dates&gt;&lt;year&gt;2023&lt;/year&gt;&lt;pub-dates&gt;&lt;date&gt;2023&lt;/date&gt;&lt;/pub-dates&gt;&lt;/dates&gt;&lt;isbn&gt;1050-6519&lt;/isbn&gt;&lt;accession-num&gt;WOS:000897921000001&lt;/accession-num&gt;&lt;urls&gt;&lt;related-urls&gt;&lt;url&gt;&lt;style face="underline" font="default" size="100%"&gt;&amp;lt;Go to ISI&amp;gt;://WOS:000897921000001&lt;/style&gt;&lt;/url&gt;&lt;/related-urls&gt;&lt;/urls&gt;&lt;electronic-resource-num&gt;10.1177/10506519221143111&lt;/electronic-resource-num&gt;&lt;language&gt;English&lt;/language&gt;&lt;/record&gt;&lt;/Cite&gt;&lt;/EndNote&gt;</w:instrText>
      </w:r>
      <w:r>
        <w:rPr>
          <w:rFonts w:ascii="Arial" w:hAnsi="Arial" w:cs="Arial"/>
          <w:lang w:eastAsia="zh-CN"/>
        </w:rPr>
        <w:fldChar w:fldCharType="separate"/>
      </w:r>
      <w:r w:rsidR="00601647">
        <w:rPr>
          <w:rFonts w:ascii="Arial" w:hAnsi="Arial" w:cs="Arial"/>
          <w:noProof/>
          <w:lang w:eastAsia="zh-CN"/>
        </w:rPr>
        <w:t>(Lam &amp; Wolfe, 2023)</w:t>
      </w:r>
      <w:r>
        <w:rPr>
          <w:rFonts w:ascii="Arial" w:hAnsi="Arial" w:cs="Arial"/>
          <w:lang w:eastAsia="zh-CN"/>
        </w:rPr>
        <w:fldChar w:fldCharType="end"/>
      </w:r>
      <w:r>
        <w:rPr>
          <w:rFonts w:ascii="Arial" w:hAnsi="Arial" w:cs="Arial"/>
          <w:lang w:eastAsia="zh-CN"/>
        </w:rPr>
        <w:t>.</w:t>
      </w:r>
    </w:p>
    <w:p w14:paraId="1BDBDA2E" w14:textId="4E48C6C2" w:rsidR="006438A5" w:rsidRDefault="00000000">
      <w:pPr>
        <w:pStyle w:val="Body"/>
        <w:spacing w:after="0"/>
        <w:rPr>
          <w:rFonts w:ascii="Arial" w:hAnsi="Arial" w:cs="Arial"/>
          <w:lang w:eastAsia="zh-CN"/>
        </w:rPr>
      </w:pPr>
      <w:r>
        <w:rPr>
          <w:rFonts w:ascii="Arial" w:hAnsi="Arial" w:cs="Arial"/>
          <w:lang w:eastAsia="zh-CN"/>
        </w:rPr>
        <w:t xml:space="preserve">Classroom observation provides a particularly valuable form of mechanism sensitive evidence because it documents learning as enacted activity </w:t>
      </w:r>
      <w:r>
        <w:rPr>
          <w:rFonts w:ascii="Arial" w:hAnsi="Arial" w:cs="Arial"/>
          <w:lang w:eastAsia="zh-CN"/>
        </w:rPr>
        <w:fldChar w:fldCharType="begin"/>
      </w:r>
      <w:r w:rsidR="00601647">
        <w:rPr>
          <w:rFonts w:ascii="Arial" w:hAnsi="Arial" w:cs="Arial"/>
          <w:lang w:eastAsia="zh-CN"/>
        </w:rPr>
        <w:instrText xml:space="preserve"> ADDIN EN.CITE &lt;EndNote&gt;&lt;Cite&gt;&lt;Author&gt;Alshehri&lt;/Author&gt;&lt;Year&gt;2019&lt;/Year&gt;&lt;RecNum&gt;150&lt;/RecNum&gt;&lt;DisplayText&gt;(Alshehri, 2019)&lt;/DisplayText&gt;&lt;record&gt;&lt;rec-number&gt;150&lt;/rec-number&gt;&lt;foreign-keys&gt;&lt;key app="EN" db-id="axateaap22str3eaaa1xar2n95zaewv2sx5a" timestamp="1735631982"&gt;150&lt;/key&gt;&lt;/foreign-keys&gt;&lt;ref-type name="Journal Article"&gt;17&lt;/ref-type&gt;&lt;contributors&gt;&lt;authors&gt;&lt;author&gt;Alshehri, Eman&lt;/author&gt;&lt;/authors&gt;&lt;/contributors&gt;&lt;titles&gt;&lt;title&gt;Classroom observation for professional development: Views of EFL teachers and observers&lt;/title&gt;&lt;secondary-title&gt;Arab World English Journal: Special Issue: Application of Global ELT Practices in Saudi Arabia September&lt;/secondary-title&gt;&lt;/titles&gt;&lt;periodical&gt;&lt;full-title&gt;Arab World English Journal: Special Issue: Application of Global ELT Practices in Saudi Arabia September&lt;/full-title&gt;&lt;/periodical&gt;&lt;dates&gt;&lt;year&gt;2019&lt;/year&gt;&lt;/dates&gt;&lt;urls&gt;&lt;/urls&gt;&lt;electronic-resource-num&gt;10.2139/ssrn.3472192&lt;/electronic-resource-num&gt;&lt;/record&gt;&lt;/Cite&gt;&lt;/EndNote&gt;</w:instrText>
      </w:r>
      <w:r>
        <w:rPr>
          <w:rFonts w:ascii="Arial" w:hAnsi="Arial" w:cs="Arial"/>
          <w:lang w:eastAsia="zh-CN"/>
        </w:rPr>
        <w:fldChar w:fldCharType="separate"/>
      </w:r>
      <w:r w:rsidR="00601647">
        <w:rPr>
          <w:rFonts w:ascii="Arial" w:hAnsi="Arial" w:cs="Arial"/>
          <w:noProof/>
          <w:lang w:eastAsia="zh-CN"/>
        </w:rPr>
        <w:t>(Alshehri, 2019)</w:t>
      </w:r>
      <w:r>
        <w:rPr>
          <w:rFonts w:ascii="Arial" w:hAnsi="Arial" w:cs="Arial"/>
          <w:lang w:eastAsia="zh-CN"/>
        </w:rPr>
        <w:fldChar w:fldCharType="end"/>
      </w:r>
      <w:r>
        <w:rPr>
          <w:rFonts w:ascii="Arial" w:hAnsi="Arial" w:cs="Arial"/>
          <w:lang w:eastAsia="zh-CN"/>
        </w:rPr>
        <w:t>. In the thesis, the classroom observation instrument operationalizes students’ learning experience through five dimensions, namely engagement, motivation, collaboration, task completion, and reflective practices. The instrument is theory-anchored, integrating student engagement perspectives, self-determination theory, and social constructivism, and uses a five-point rating scale with space for qualitative notes. This approach responds directly to the evaluation gap in vocational TC research. It enables researchers to explain why a module appears to work by linking observed participation, feedback behavior, and coordination practices to learning mechanisms, while also identifying constraints such as limited tool proficiency or shallow reflection that may not be captured by test scores alone.</w:t>
      </w:r>
    </w:p>
    <w:p w14:paraId="5C4DCD8F" w14:textId="77777777" w:rsidR="006438A5" w:rsidRDefault="00000000">
      <w:pPr>
        <w:pStyle w:val="Body"/>
        <w:spacing w:after="0"/>
        <w:rPr>
          <w:rFonts w:ascii="Arial" w:hAnsi="Arial" w:cs="Arial"/>
          <w:lang w:eastAsia="zh-CN"/>
        </w:rPr>
      </w:pPr>
      <w:r>
        <w:rPr>
          <w:rFonts w:ascii="Arial" w:hAnsi="Arial" w:cs="Arial"/>
          <w:lang w:eastAsia="zh-CN"/>
        </w:rPr>
        <w:t>The literature points to a clear convergence. Workplace communication demands require vocational learners to develop both professional genres and the processes that sustain them, including collaboration, feedback use, revision, and tool mediated coordination. China focused TC scholarship and TVET needs evidence highlight persistent misalignment between these demands and common vocational curricula. Yet validation practices have not always captured learning in action in ways that explain both success and constraint. The present study addresses this gap by using structured classroom observation as a central validity resource for examining how learners enact TC during module implementation, and by using observation evidence to inform design refinements that strengthen workplace aligned TC practices.</w:t>
      </w:r>
    </w:p>
    <w:p w14:paraId="2FD3BF4A" w14:textId="77777777" w:rsidR="006438A5" w:rsidRDefault="006438A5">
      <w:pPr>
        <w:pStyle w:val="Body"/>
        <w:spacing w:after="0"/>
        <w:rPr>
          <w:rFonts w:ascii="Arial" w:hAnsi="Arial" w:cs="Arial"/>
          <w:lang w:eastAsia="zh-CN"/>
        </w:rPr>
      </w:pPr>
    </w:p>
    <w:p w14:paraId="695E59A4" w14:textId="77777777" w:rsidR="006438A5" w:rsidRDefault="00000000">
      <w:pPr>
        <w:pStyle w:val="AbstHead"/>
        <w:numPr>
          <w:ilvl w:val="0"/>
          <w:numId w:val="2"/>
        </w:numPr>
        <w:spacing w:after="0"/>
        <w:jc w:val="both"/>
        <w:rPr>
          <w:rFonts w:ascii="Arial" w:hAnsi="Arial" w:cs="Arial"/>
        </w:rPr>
      </w:pPr>
      <w:r>
        <w:rPr>
          <w:rFonts w:ascii="Arial" w:hAnsi="Arial" w:cs="Arial" w:hint="eastAsia"/>
        </w:rPr>
        <w:t>Methodology</w:t>
      </w:r>
    </w:p>
    <w:p w14:paraId="63A1C7A9" w14:textId="77777777" w:rsidR="006438A5" w:rsidRDefault="00000000">
      <w:pPr>
        <w:pStyle w:val="AbstHead"/>
        <w:spacing w:after="0"/>
        <w:jc w:val="both"/>
        <w:rPr>
          <w:rFonts w:ascii="Arial" w:hAnsi="Arial" w:cs="Arial"/>
        </w:rPr>
      </w:pPr>
      <w:r>
        <w:rPr>
          <w:rFonts w:ascii="Arial" w:hAnsi="Arial" w:cs="Arial"/>
        </w:rPr>
        <w:t xml:space="preserve"> </w:t>
      </w:r>
    </w:p>
    <w:p w14:paraId="50758B7D"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Research design</w:t>
      </w:r>
    </w:p>
    <w:p w14:paraId="4875263B" w14:textId="77777777" w:rsidR="006438A5" w:rsidRDefault="006438A5">
      <w:pPr>
        <w:pStyle w:val="Body"/>
        <w:spacing w:after="0"/>
        <w:rPr>
          <w:kern w:val="2"/>
          <w:sz w:val="21"/>
          <w:szCs w:val="24"/>
        </w:rPr>
      </w:pPr>
    </w:p>
    <w:p w14:paraId="51488DE2" w14:textId="1699F79E" w:rsidR="006438A5" w:rsidRDefault="00000000">
      <w:pPr>
        <w:pStyle w:val="Body"/>
        <w:spacing w:after="0"/>
        <w:rPr>
          <w:rFonts w:ascii="Arial" w:hAnsi="Arial" w:cs="Arial"/>
          <w:lang w:eastAsia="zh-CN"/>
        </w:rPr>
      </w:pPr>
      <w:r>
        <w:rPr>
          <w:rFonts w:ascii="Arial" w:hAnsi="Arial" w:cs="Arial"/>
          <w:lang w:eastAsia="zh-CN"/>
        </w:rPr>
        <w:t>This study examined TC learning in action during implementation of a TCM in a Chinese vocational college. The broader project adopted a Design and Development Research approach that supports iterative design, expert validation, and classroom testing of instructional products</w:t>
      </w:r>
      <w:r w:rsidR="00C02682">
        <w:rPr>
          <w:rFonts w:ascii="Arial" w:eastAsiaTheme="minorEastAsia" w:hAnsi="Arial" w:cs="Arial" w:hint="eastAsia"/>
          <w:lang w:eastAsia="zh-CN"/>
        </w:rPr>
        <w:t xml:space="preserve"> </w:t>
      </w:r>
      <w:r w:rsidR="00C02682">
        <w:rPr>
          <w:rFonts w:ascii="Arial" w:eastAsiaTheme="minorEastAsia" w:hAnsi="Arial" w:cs="Arial"/>
          <w:lang w:eastAsia="zh-CN"/>
        </w:rPr>
        <w:fldChar w:fldCharType="begin"/>
      </w:r>
      <w:r w:rsidR="00C02682">
        <w:rPr>
          <w:rFonts w:ascii="Arial" w:eastAsiaTheme="minorEastAsia" w:hAnsi="Arial" w:cs="Arial"/>
          <w:lang w:eastAsia="zh-CN"/>
        </w:rPr>
        <w:instrText xml:space="preserve"> ADDIN EN.CITE &lt;EndNote&gt;&lt;Cite&gt;&lt;Author&gt;Richey&lt;/Author&gt;&lt;Year&gt;2005&lt;/Year&gt;&lt;RecNum&gt;1447&lt;/RecNum&gt;&lt;DisplayText&gt;(Richey &amp;amp; Klein, 2005)&lt;/DisplayText&gt;&lt;record&gt;&lt;rec-number&gt;1447&lt;/rec-number&gt;&lt;foreign-keys&gt;&lt;key app="EN" db-id="axateaap22str3eaaa1xar2n95zaewv2sx5a" timestamp="1766196593"&gt;1447&lt;/key&gt;&lt;/foreign-keys&gt;&lt;ref-type name="Journal Article"&gt;17&lt;/ref-type&gt;&lt;contributors&gt;&lt;authors&gt;&lt;author&gt;Richey, Rita C&lt;/author&gt;&lt;author&gt;Klein, James D&lt;/author&gt;&lt;/authors&gt;&lt;/contributors&gt;&lt;titles&gt;&lt;title&gt;Developmental research methods: Creating knowledge from instructional design and development practice&lt;/title&gt;&lt;secondary-title&gt;Journal of Computing in higher Education&lt;/secondary-title&gt;&lt;/titles&gt;&lt;periodical&gt;&lt;full-title&gt;Journal of Computing in higher Education&lt;/full-title&gt;&lt;/periodical&gt;&lt;pages&gt;23-38&lt;/pages&gt;&lt;volume&gt;16&lt;/volume&gt;&lt;number&gt;2&lt;/number&gt;&lt;dates&gt;&lt;year&gt;2005&lt;/year&gt;&lt;/dates&gt;&lt;isbn&gt;1042-1726&lt;/isbn&gt;&lt;urls&gt;&lt;/urls&gt;&lt;electronic-resource-num&gt;10.1007/bf02961473&lt;/electronic-resource-num&gt;&lt;/record&gt;&lt;/Cite&gt;&lt;/EndNote&gt;</w:instrText>
      </w:r>
      <w:r w:rsidR="00C02682">
        <w:rPr>
          <w:rFonts w:ascii="Arial" w:eastAsiaTheme="minorEastAsia" w:hAnsi="Arial" w:cs="Arial"/>
          <w:lang w:eastAsia="zh-CN"/>
        </w:rPr>
        <w:fldChar w:fldCharType="separate"/>
      </w:r>
      <w:r w:rsidR="00C02682">
        <w:rPr>
          <w:rFonts w:ascii="Arial" w:eastAsiaTheme="minorEastAsia" w:hAnsi="Arial" w:cs="Arial"/>
          <w:noProof/>
          <w:lang w:eastAsia="zh-CN"/>
        </w:rPr>
        <w:t>(Richey &amp; Klein, 2005)</w:t>
      </w:r>
      <w:r w:rsidR="00C02682">
        <w:rPr>
          <w:rFonts w:ascii="Arial" w:eastAsiaTheme="minorEastAsia" w:hAnsi="Arial" w:cs="Arial"/>
          <w:lang w:eastAsia="zh-CN"/>
        </w:rPr>
        <w:fldChar w:fldCharType="end"/>
      </w:r>
      <w:r>
        <w:rPr>
          <w:rFonts w:ascii="Arial" w:hAnsi="Arial" w:cs="Arial"/>
          <w:lang w:eastAsia="zh-CN"/>
        </w:rPr>
        <w:t>. In the present article, classroom observation is treated as validity-oriented evidence because it captures how students enact TC processes during instruction, including engagement, collaboration, feedback use, and reflective practice. Observation evidence was complemented by pre-test and post-test measures to document change in TC performance.</w:t>
      </w:r>
      <w:r>
        <w:rPr>
          <w:rFonts w:ascii="Arial" w:hAnsi="Arial" w:cs="Arial" w:hint="eastAsia"/>
          <w:lang w:eastAsia="zh-CN"/>
        </w:rPr>
        <w:t xml:space="preserve"> Both cohorts completed the same pre-test and post-test performance tasks, allowing between-group </w:t>
      </w:r>
      <w:r w:rsidR="00601647">
        <w:rPr>
          <w:rFonts w:ascii="Arial" w:hAnsi="Arial" w:cs="Arial"/>
          <w:lang w:eastAsia="zh-CN"/>
        </w:rPr>
        <w:t>benchmarking</w:t>
      </w:r>
      <w:r>
        <w:rPr>
          <w:rFonts w:ascii="Arial" w:hAnsi="Arial" w:cs="Arial" w:hint="eastAsia"/>
          <w:lang w:eastAsia="zh-CN"/>
        </w:rPr>
        <w:t xml:space="preserve"> of performance change across the implementation period. Classroom observation and field notes were collected during the TCM sessions to document enactment mechanisms and to explain why particular strengths and constraints emerged.</w:t>
      </w:r>
    </w:p>
    <w:p w14:paraId="6777F8E2" w14:textId="435175F9" w:rsidR="006438A5" w:rsidRDefault="00000000">
      <w:pPr>
        <w:pStyle w:val="Body"/>
        <w:spacing w:after="0"/>
        <w:rPr>
          <w:rFonts w:ascii="Arial" w:hAnsi="Arial" w:cs="Arial"/>
          <w:lang w:eastAsia="zh-CN"/>
        </w:rPr>
      </w:pPr>
      <w:r>
        <w:rPr>
          <w:rFonts w:ascii="Arial" w:hAnsi="Arial" w:cs="Arial"/>
          <w:lang w:eastAsia="zh-CN"/>
        </w:rPr>
        <w:t xml:space="preserve">Implementation followed a quasi-experimental design using two intact cohorts. This design is widely recommended in TC classroom research when random assignment is impractical, provided that the study describes procedures transparently and interprets results in relation to instructional mechanisms and context </w:t>
      </w:r>
      <w:r>
        <w:rPr>
          <w:rFonts w:ascii="Arial" w:hAnsi="Arial" w:cs="Arial"/>
          <w:lang w:eastAsia="zh-CN"/>
        </w:rPr>
        <w:fldChar w:fldCharType="begin"/>
      </w:r>
      <w:r w:rsidR="00601647">
        <w:rPr>
          <w:rFonts w:ascii="Arial" w:hAnsi="Arial" w:cs="Arial"/>
          <w:lang w:eastAsia="zh-CN"/>
        </w:rPr>
        <w:instrText xml:space="preserve"> ADDIN EN.CITE &lt;EndNote&gt;&lt;Cite&gt;&lt;Author&gt;Lam&lt;/Author&gt;&lt;Year&gt;2023&lt;/Year&gt;&lt;RecNum&gt;87&lt;/RecNum&gt;&lt;DisplayText&gt;(Lam &amp;amp; Wolfe, 2023)&lt;/DisplayText&gt;&lt;record&gt;&lt;rec-number&gt;87&lt;/rec-number&gt;&lt;foreign-keys&gt;&lt;key app="EN" db-id="axateaap22str3eaaa1xar2n95zaewv2sx5a" timestamp="1731595001"&gt;87&lt;/key&gt;&lt;/foreign-keys&gt;&lt;ref-type name="Journal Article"&gt;17&lt;/ref-type&gt;&lt;contributors&gt;&lt;authors&gt;&lt;author&gt;Lam, C.&lt;/author&gt;&lt;author&gt;Wolfe, J.&lt;/author&gt;&lt;/authors&gt;&lt;/contributors&gt;&lt;auth-address&gt;[Lam, Chris] Univ North Texas, Dept Tech Commun, Denton, TX USA. [Wolfe, Joanna] Carnegie Mellon Univ, Dept English, Pittsburgh, PA USA. [Lam, Chris] Univ North Texas, Dept Tech Commun, 1155 Union Circle 305298, Denton, TX 76203 USA. Carnegie Mellon University; University of North Texas System; University of North Texas Denton&amp;#xD;Lam, C (corresponding author), Univ North Texas, Dept Tech Commun, 1155 Union Circle 305298, Denton, TX 76203 USA.&amp;#xD;Christopher.lam@unt.edu&lt;/auth-address&gt;&lt;titles&gt;&lt;title&gt;An Introduction to Quasi-Experimental Research for Technical and Professional Communication Instructors&lt;/title&gt;&lt;secondary-title&gt;Journal of Business and Technical Communication&lt;/secondary-title&gt;&lt;alt-title&gt;J. Bus. Tech. Commun.&lt;/alt-title&gt;&lt;/titles&gt;&lt;alt-periodical&gt;&lt;full-title&gt;Journal of Business and Technical Communication&lt;/full-title&gt;&lt;abbr-1&gt;J. Bus. Tech. Commun.&lt;/abbr-1&gt;&lt;/alt-periodical&gt;&lt;pages&gt;174-193&lt;/pages&gt;&lt;volume&gt;37&lt;/volume&gt;&lt;number&gt;2&lt;/number&gt;&lt;keywords&gt;&lt;keyword&gt;teamwork&lt;/keyword&gt;&lt;keyword&gt;research methods&lt;/keyword&gt;&lt;keyword&gt;quasi-experimental research&lt;/keyword&gt;&lt;keyword&gt;pedagogy&lt;/keyword&gt;&lt;keyword&gt;Business &amp;amp; Economics&lt;/keyword&gt;&lt;keyword&gt;Communication&lt;/keyword&gt;&lt;/keywords&gt;&lt;dates&gt;&lt;year&gt;2023&lt;/year&gt;&lt;pub-dates&gt;&lt;date&gt;2023&lt;/date&gt;&lt;/pub-dates&gt;&lt;/dates&gt;&lt;isbn&gt;1050-6519&lt;/isbn&gt;&lt;accession-num&gt;WOS:000897921000001&lt;/accession-num&gt;&lt;urls&gt;&lt;related-urls&gt;&lt;url&gt;&lt;style face="underline" font="default" size="100%"&gt;&amp;lt;Go to ISI&amp;gt;://WOS:000897921000001&lt;/style&gt;&lt;/url&gt;&lt;/related-urls&gt;&lt;/urls&gt;&lt;electronic-resource-num&gt;10.1177/10506519221143111&lt;/electronic-resource-num&gt;&lt;language&gt;English&lt;/language&gt;&lt;/record&gt;&lt;/Cite&gt;&lt;/EndNote&gt;</w:instrText>
      </w:r>
      <w:r>
        <w:rPr>
          <w:rFonts w:ascii="Arial" w:hAnsi="Arial" w:cs="Arial"/>
          <w:lang w:eastAsia="zh-CN"/>
        </w:rPr>
        <w:fldChar w:fldCharType="separate"/>
      </w:r>
      <w:r w:rsidR="00601647">
        <w:rPr>
          <w:rFonts w:ascii="Arial" w:hAnsi="Arial" w:cs="Arial"/>
          <w:noProof/>
          <w:lang w:eastAsia="zh-CN"/>
        </w:rPr>
        <w:t>(Lam &amp; Wolfe, 2023)</w:t>
      </w:r>
      <w:r>
        <w:rPr>
          <w:rFonts w:ascii="Arial" w:hAnsi="Arial" w:cs="Arial"/>
          <w:lang w:eastAsia="zh-CN"/>
        </w:rPr>
        <w:fldChar w:fldCharType="end"/>
      </w:r>
      <w:r>
        <w:rPr>
          <w:rFonts w:ascii="Arial" w:hAnsi="Arial" w:cs="Arial"/>
          <w:lang w:eastAsia="zh-CN"/>
        </w:rPr>
        <w:t>.</w:t>
      </w:r>
    </w:p>
    <w:p w14:paraId="0093D185" w14:textId="77777777" w:rsidR="006438A5" w:rsidRDefault="006438A5">
      <w:pPr>
        <w:pStyle w:val="Body"/>
        <w:spacing w:after="0"/>
        <w:rPr>
          <w:rFonts w:ascii="Arial" w:hAnsi="Arial" w:cs="Arial"/>
          <w:lang w:eastAsia="zh-CN"/>
        </w:rPr>
      </w:pPr>
    </w:p>
    <w:p w14:paraId="41D97F82"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Setting and participants</w:t>
      </w:r>
    </w:p>
    <w:p w14:paraId="4FFD6DCD" w14:textId="77777777" w:rsidR="006438A5" w:rsidRDefault="006438A5">
      <w:pPr>
        <w:pStyle w:val="Body"/>
        <w:spacing w:after="0"/>
        <w:rPr>
          <w:rFonts w:ascii="Arial" w:hAnsi="Arial" w:cs="Arial"/>
          <w:b/>
          <w:sz w:val="22"/>
        </w:rPr>
      </w:pPr>
    </w:p>
    <w:p w14:paraId="486A3307" w14:textId="12176D5E" w:rsidR="006438A5" w:rsidRDefault="00000000">
      <w:pPr>
        <w:pStyle w:val="Body"/>
        <w:spacing w:after="0"/>
        <w:rPr>
          <w:rFonts w:ascii="Arial" w:hAnsi="Arial" w:cs="Arial"/>
          <w:lang w:eastAsia="zh-CN"/>
        </w:rPr>
      </w:pPr>
      <w:r>
        <w:rPr>
          <w:rFonts w:ascii="Arial" w:hAnsi="Arial" w:cs="Arial"/>
          <w:lang w:eastAsia="zh-CN"/>
        </w:rPr>
        <w:t xml:space="preserve">The study was conducted in Guangdong Province, China, within a vocational college context where English mediated workplace communication is linked to employability in export-oriented sectors. Two intact first year cohorts participated. The experimental group included 52 students who received </w:t>
      </w:r>
      <w:r w:rsidR="00601647">
        <w:rPr>
          <w:rFonts w:ascii="Arial" w:hAnsi="Arial" w:cs="Arial"/>
          <w:lang w:eastAsia="zh-CN"/>
        </w:rPr>
        <w:t>TCM,</w:t>
      </w:r>
      <w:r>
        <w:rPr>
          <w:rFonts w:ascii="Arial" w:hAnsi="Arial" w:cs="Arial"/>
          <w:lang w:eastAsia="zh-CN"/>
        </w:rPr>
        <w:t xml:space="preserve"> and the control group included 54 students who followed the regular course sequence, yielding 106 participants in total. The intervention lasted six weeks from mid-November to late December 2024. Participation in the experimental condition followed an orientation and informed consent procedures.</w:t>
      </w:r>
    </w:p>
    <w:p w14:paraId="2D34806A" w14:textId="77777777" w:rsidR="006438A5" w:rsidRDefault="006438A5">
      <w:pPr>
        <w:pStyle w:val="Body"/>
        <w:spacing w:after="0"/>
        <w:rPr>
          <w:rFonts w:ascii="Arial" w:hAnsi="Arial" w:cs="Arial"/>
          <w:lang w:eastAsia="zh-CN"/>
        </w:rPr>
      </w:pPr>
    </w:p>
    <w:p w14:paraId="522F396D"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Intervention overview</w:t>
      </w:r>
    </w:p>
    <w:p w14:paraId="78BAD90B" w14:textId="77777777" w:rsidR="006438A5" w:rsidRDefault="006438A5">
      <w:pPr>
        <w:pStyle w:val="Body"/>
        <w:spacing w:after="0"/>
        <w:rPr>
          <w:rFonts w:ascii="Arial" w:hAnsi="Arial" w:cs="Arial"/>
          <w:b/>
          <w:sz w:val="22"/>
        </w:rPr>
      </w:pPr>
    </w:p>
    <w:p w14:paraId="33258205" w14:textId="3199E811" w:rsidR="006438A5" w:rsidRDefault="00000000">
      <w:pPr>
        <w:pStyle w:val="Body"/>
        <w:spacing w:after="0"/>
        <w:rPr>
          <w:rFonts w:ascii="Arial" w:hAnsi="Arial" w:cs="Arial"/>
          <w:lang w:eastAsia="zh-CN"/>
        </w:rPr>
      </w:pPr>
      <w:r>
        <w:rPr>
          <w:rFonts w:ascii="Arial" w:hAnsi="Arial" w:cs="Arial"/>
          <w:lang w:eastAsia="zh-CN"/>
        </w:rPr>
        <w:t>TCM was developed to strengthen workplace aligned TC performance through scenario-based tasks that required students to produce and revise professional outputs, coordinate roles, and respond to feedback. Module development incorporated expert consultation and consensus building. Specifically, a Fuzzy Delphi logic was used to define and validate key module variables, which aligns with prior vocational TC module development studies that use expert consensus to identify content priorities and instructional focus</w:t>
      </w:r>
      <w:r w:rsidR="00601647">
        <w:rPr>
          <w:rFonts w:ascii="Arial" w:eastAsiaTheme="minorEastAsia" w:hAnsi="Arial" w:cs="Arial" w:hint="eastAsia"/>
          <w:lang w:eastAsia="zh-CN"/>
        </w:rPr>
        <w:t xml:space="preserve"> </w:t>
      </w:r>
      <w:r w:rsidR="00601647">
        <w:rPr>
          <w:rFonts w:ascii="Arial" w:eastAsiaTheme="minorEastAsia" w:hAnsi="Arial" w:cs="Arial"/>
          <w:lang w:eastAsia="zh-CN"/>
        </w:rPr>
        <w:fldChar w:fldCharType="begin">
          <w:fldData xml:space="preserve">PEVuZE5vdGU+PENpdGU+PEF1dGhvcj5KYW1hbHVkaW48L0F1dGhvcj48WWVhcj4yMDE5PC9ZZWFy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</w:fldData>
        </w:fldChar>
      </w:r>
      <w:r w:rsidR="00601647">
        <w:rPr>
          <w:rFonts w:ascii="Arial" w:eastAsiaTheme="minorEastAsia" w:hAnsi="Arial" w:cs="Arial"/>
          <w:lang w:eastAsia="zh-CN"/>
        </w:rPr>
        <w:instrText xml:space="preserve"> ADDIN EN.CITE </w:instrText>
      </w:r>
      <w:r w:rsidR="00601647">
        <w:rPr>
          <w:rFonts w:ascii="Arial" w:eastAsiaTheme="minorEastAsia" w:hAnsi="Arial" w:cs="Arial"/>
          <w:lang w:eastAsia="zh-CN"/>
        </w:rPr>
        <w:fldChar w:fldCharType="begin">
          <w:fldData xml:space="preserve">PEVuZE5vdGU+PENpdGU+PEF1dGhvcj5KYW1hbHVkaW48L0F1dGhvcj48WWVhcj4yMDE5PC9ZZWFy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</w:fldData>
        </w:fldChar>
      </w:r>
      <w:r w:rsidR="00601647">
        <w:rPr>
          <w:rFonts w:ascii="Arial" w:eastAsiaTheme="minorEastAsia" w:hAnsi="Arial" w:cs="Arial"/>
          <w:lang w:eastAsia="zh-CN"/>
        </w:rPr>
        <w:instrText xml:space="preserve"> ADDIN EN.CITE.DATA </w:instrText>
      </w:r>
      <w:r w:rsidR="00601647">
        <w:rPr>
          <w:rFonts w:ascii="Arial" w:eastAsiaTheme="minorEastAsia" w:hAnsi="Arial" w:cs="Arial"/>
          <w:lang w:eastAsia="zh-CN"/>
        </w:rPr>
      </w:r>
      <w:r w:rsidR="00601647">
        <w:rPr>
          <w:rFonts w:ascii="Arial" w:eastAsiaTheme="minorEastAsia" w:hAnsi="Arial" w:cs="Arial"/>
          <w:lang w:eastAsia="zh-CN"/>
        </w:rPr>
        <w:fldChar w:fldCharType="end"/>
      </w:r>
      <w:r w:rsidR="00601647">
        <w:rPr>
          <w:rFonts w:ascii="Arial" w:eastAsiaTheme="minorEastAsia" w:hAnsi="Arial" w:cs="Arial"/>
          <w:lang w:eastAsia="zh-CN"/>
        </w:rPr>
      </w:r>
      <w:r w:rsidR="00601647">
        <w:rPr>
          <w:rFonts w:ascii="Arial" w:eastAsiaTheme="minorEastAsia" w:hAnsi="Arial" w:cs="Arial"/>
          <w:lang w:eastAsia="zh-CN"/>
        </w:rPr>
        <w:fldChar w:fldCharType="separate"/>
      </w:r>
      <w:r w:rsidR="00601647">
        <w:rPr>
          <w:rFonts w:ascii="Arial" w:eastAsiaTheme="minorEastAsia" w:hAnsi="Arial" w:cs="Arial"/>
          <w:noProof/>
          <w:lang w:eastAsia="zh-CN"/>
        </w:rPr>
        <w:t>(Jamaludin et al., 2019; Luo et al., 2024)</w:t>
      </w:r>
      <w:r w:rsidR="00601647">
        <w:rPr>
          <w:rFonts w:ascii="Arial" w:eastAsiaTheme="minorEastAsia" w:hAnsi="Arial" w:cs="Arial"/>
          <w:lang w:eastAsia="zh-CN"/>
        </w:rPr>
        <w:fldChar w:fldCharType="end"/>
      </w:r>
      <w:r>
        <w:rPr>
          <w:rFonts w:ascii="Arial" w:hAnsi="Arial" w:cs="Arial"/>
          <w:lang w:eastAsia="zh-CN"/>
        </w:rPr>
        <w:t>. During implementation, learning activities emphasized iterative drafting, peer and instructor feedback, and task completion under realistic time constraints to reflect workplace TC expectations.</w:t>
      </w:r>
    </w:p>
    <w:p w14:paraId="40F9B995" w14:textId="77777777" w:rsidR="006438A5" w:rsidRDefault="006438A5">
      <w:pPr>
        <w:pStyle w:val="Body"/>
        <w:spacing w:after="0"/>
        <w:rPr>
          <w:rFonts w:ascii="Arial" w:hAnsi="Arial" w:cs="Arial"/>
          <w:lang w:eastAsia="zh-CN"/>
        </w:rPr>
      </w:pPr>
    </w:p>
    <w:p w14:paraId="475152B5"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Instruments and data collection</w:t>
      </w:r>
    </w:p>
    <w:p w14:paraId="15DED1D5" w14:textId="77777777" w:rsidR="006438A5" w:rsidRDefault="00000000">
      <w:pPr>
        <w:pStyle w:val="4"/>
        <w:widowControl/>
        <w:jc w:val="both"/>
        <w:rPr>
          <w:rFonts w:ascii="Calibri" w:hAnsi="Calibri" w:hint="default"/>
          <w:b w:val="0"/>
          <w:bCs w:val="0"/>
          <w:kern w:val="2"/>
          <w:sz w:val="21"/>
        </w:rPr>
      </w:pPr>
      <w:r>
        <w:rPr>
          <w:rFonts w:ascii="Arial" w:hAnsi="Arial" w:cs="Arial"/>
          <w:sz w:val="20"/>
          <w:szCs w:val="20"/>
        </w:rPr>
        <w:t>3.4.1 Classroom observation checklist</w:t>
      </w:r>
    </w:p>
    <w:p w14:paraId="20249752" w14:textId="54E9D39C" w:rsidR="006438A5" w:rsidRDefault="00000000">
      <w:pPr>
        <w:pStyle w:val="Body"/>
        <w:spacing w:after="0"/>
        <w:rPr>
          <w:rFonts w:ascii="Arial" w:hAnsi="Arial" w:cs="Arial"/>
          <w:lang w:eastAsia="zh-CN"/>
        </w:rPr>
      </w:pPr>
      <w:r>
        <w:rPr>
          <w:rFonts w:ascii="Arial" w:hAnsi="Arial" w:cs="Arial"/>
          <w:lang w:eastAsia="zh-CN"/>
        </w:rPr>
        <w:t>Classroom enactment was measured using a structured observation checklist adapted from</w:t>
      </w:r>
      <w:r w:rsidR="00C02682">
        <w:rPr>
          <w:rFonts w:ascii="Arial" w:eastAsiaTheme="minorEastAsia" w:hAnsi="Arial" w:cs="Arial" w:hint="eastAsia"/>
          <w:lang w:eastAsia="zh-CN"/>
        </w:rPr>
        <w:t xml:space="preserve"> </w:t>
      </w:r>
      <w:r w:rsidR="00C02682">
        <w:rPr>
          <w:rFonts w:ascii="Arial" w:eastAsiaTheme="minorEastAsia" w:hAnsi="Arial" w:cs="Arial"/>
          <w:lang w:eastAsia="zh-CN"/>
        </w:rPr>
        <w:fldChar w:fldCharType="begin"/>
      </w:r>
      <w:r w:rsidR="00C02682">
        <w:rPr>
          <w:rFonts w:ascii="Arial" w:eastAsiaTheme="minorEastAsia" w:hAnsi="Arial" w:cs="Arial"/>
          <w:lang w:eastAsia="zh-CN"/>
        </w:rPr>
        <w:instrText xml:space="preserve"> ADDIN EN.CITE &lt;EndNote&gt;&lt;Cite AuthorYear="1"&gt;&lt;Author&gt;Manzoor&lt;/Author&gt;&lt;Year&gt;2020&lt;/Year&gt;&lt;RecNum&gt;1448&lt;/RecNum&gt;&lt;DisplayText&gt;Manzoor et al. (2020)&lt;/DisplayText&gt;&lt;record&gt;&lt;rec-number&gt;1448&lt;/rec-number&gt;&lt;foreign-keys&gt;&lt;key app="EN" db-id="axateaap22str3eaaa1xar2n95zaewv2sx5a" timestamp="1766196740"&gt;1448&lt;/key&gt;&lt;/foreign-keys&gt;&lt;ref-type name="Journal Article"&gt;17&lt;/ref-type&gt;&lt;contributors&gt;&lt;authors&gt;&lt;author&gt;Manzoor, Hina&lt;/author&gt;&lt;author&gt;Azhar, Sahar&lt;/author&gt;&lt;author&gt;Malik, Fouzia&lt;/author&gt;&lt;/authors&gt;&lt;/contributors&gt;&lt;titles&gt;&lt;title&gt;Observing the effectiveness of task based approach in teaching narrative essay at a private university&lt;/title&gt;&lt;secondary-title&gt;International Journal of English Linguistics&lt;/secondary-title&gt;&lt;/titles&gt;&lt;periodical&gt;&lt;full-title&gt;International Journal of English Linguistics&lt;/full-title&gt;&lt;/periodical&gt;&lt;pages&gt;128&lt;/pages&gt;&lt;volume&gt;10&lt;/volume&gt;&lt;number&gt;2&lt;/number&gt;&lt;dates&gt;&lt;year&gt;2020&lt;/year&gt;&lt;/dates&gt;&lt;isbn&gt;1923-869X&lt;/isbn&gt;&lt;urls&gt;&lt;/urls&gt;&lt;electronic-resource-num&gt;10.5539/ijel.v10n2p128 &lt;/electronic-resource-num&gt;&lt;/record&gt;&lt;/Cite&gt;&lt;/EndNote&gt;</w:instrText>
      </w:r>
      <w:r w:rsidR="00C02682">
        <w:rPr>
          <w:rFonts w:ascii="Arial" w:eastAsiaTheme="minorEastAsia" w:hAnsi="Arial" w:cs="Arial"/>
          <w:lang w:eastAsia="zh-CN"/>
        </w:rPr>
        <w:fldChar w:fldCharType="separate"/>
      </w:r>
      <w:r w:rsidR="00C02682">
        <w:rPr>
          <w:rFonts w:ascii="Arial" w:eastAsiaTheme="minorEastAsia" w:hAnsi="Arial" w:cs="Arial"/>
          <w:noProof/>
          <w:lang w:eastAsia="zh-CN"/>
        </w:rPr>
        <w:t>Manzoor et al. (2020)</w:t>
      </w:r>
      <w:r w:rsidR="00C02682">
        <w:rPr>
          <w:rFonts w:ascii="Arial" w:eastAsiaTheme="minorEastAsia" w:hAnsi="Arial" w:cs="Arial"/>
          <w:lang w:eastAsia="zh-CN"/>
        </w:rPr>
        <w:fldChar w:fldCharType="end"/>
      </w:r>
      <w:r>
        <w:rPr>
          <w:rFonts w:ascii="Arial" w:hAnsi="Arial" w:cs="Arial"/>
          <w:lang w:eastAsia="zh-CN"/>
        </w:rPr>
        <w:t xml:space="preserve">. The checklist operationalized five dimensions of students’ learning experience that are central to TC performance in instructional </w:t>
      </w:r>
      <w:r>
        <w:rPr>
          <w:rFonts w:ascii="Arial" w:hAnsi="Arial" w:cs="Arial"/>
          <w:lang w:eastAsia="zh-CN"/>
        </w:rPr>
        <w:lastRenderedPageBreak/>
        <w:t>settings: engagement, motivation, collaboration, task completion, and reflective practices. The instrument contained 16 observable items rated on a five-point scale from 1 (never observed) to 5 (consistently observed) and included space for field notes to capture contextual evidence.</w:t>
      </w:r>
    </w:p>
    <w:p w14:paraId="36CDEE72" w14:textId="13F8F85C" w:rsidR="006438A5" w:rsidRDefault="00000000">
      <w:pPr>
        <w:pStyle w:val="Body"/>
        <w:spacing w:after="0"/>
        <w:rPr>
          <w:rFonts w:ascii="Arial" w:hAnsi="Arial" w:cs="Arial"/>
          <w:lang w:eastAsia="zh-CN"/>
        </w:rPr>
      </w:pPr>
      <w:r>
        <w:rPr>
          <w:rFonts w:ascii="Arial" w:hAnsi="Arial" w:cs="Arial"/>
          <w:lang w:eastAsia="zh-CN"/>
        </w:rPr>
        <w:t xml:space="preserve">Item development was theory anchored to strengthen construct alignment. Engagement indicators were informed by the Student Engagement Framework, which differentiates behavioral and cognitive engagement </w:t>
      </w:r>
      <w:r>
        <w:rPr>
          <w:rFonts w:ascii="Arial" w:hAnsi="Arial" w:cs="Arial"/>
          <w:lang w:eastAsia="zh-CN"/>
        </w:rPr>
        <w:fldChar w:fldCharType="begin"/>
      </w:r>
      <w:r w:rsidR="00940238">
        <w:rPr>
          <w:rFonts w:ascii="Arial" w:hAnsi="Arial" w:cs="Arial"/>
          <w:lang w:eastAsia="zh-CN"/>
        </w:rPr>
        <w:instrText xml:space="preserve"> ADDIN EN.CITE &lt;EndNote&gt;&lt;Cite&gt;&lt;Author&gt;Fredricks&lt;/Author&gt;&lt;Year&gt;2004&lt;/Year&gt;&lt;RecNum&gt;160&lt;/RecNum&gt;&lt;DisplayText&gt;(Fredricks et al., 2004)&lt;/DisplayText&gt;&lt;record&gt;&lt;rec-number&gt;160&lt;/rec-number&gt;&lt;foreign-keys&gt;&lt;key app="EN" db-id="axateaap22str3eaaa1xar2n95zaewv2sx5a" timestamp="1736238830"&gt;160&lt;/key&gt;&lt;/foreign-keys&gt;&lt;ref-type name="Journal Article"&gt;17&lt;/ref-type&gt;&lt;contributors&gt;&lt;authors&gt;&lt;author&gt;Fredricks, Jennifer A&lt;/author&gt;&lt;author&gt;Blumenfeld, Phyllis C&lt;/author&gt;&lt;author&gt;Paris, Alison H&lt;/author&gt;&lt;/authors&gt;&lt;/contributors&gt;&lt;titles&gt;&lt;title&gt;School engagement: Potential of the concept, state of the evidence&lt;/title&gt;&lt;secondary-title&gt;Review of educational research&lt;/secondary-title&gt;&lt;/titles&gt;&lt;periodical&gt;&lt;full-title&gt;Review of educational research&lt;/full-title&gt;&lt;/periodical&gt;&lt;pages&gt;59-109&lt;/pages&gt;&lt;volume&gt;74&lt;/volume&gt;&lt;number&gt;1&lt;/number&gt;&lt;dates&gt;&lt;year&gt;2004&lt;/year&gt;&lt;/dates&gt;&lt;isbn&gt;0034-6543&lt;/isbn&gt;&lt;urls&gt;&lt;/urls&gt;&lt;electronic-resource-num&gt;10.3102/00346543074001059&lt;/electronic-resource-num&gt;&lt;/record&gt;&lt;/Cite&gt;&lt;/EndNote&gt;</w:instrText>
      </w:r>
      <w:r>
        <w:rPr>
          <w:rFonts w:ascii="Arial" w:hAnsi="Arial" w:cs="Arial"/>
          <w:lang w:eastAsia="zh-CN"/>
        </w:rPr>
        <w:fldChar w:fldCharType="separate"/>
      </w:r>
      <w:r w:rsidR="00601647">
        <w:rPr>
          <w:rFonts w:ascii="Arial" w:hAnsi="Arial" w:cs="Arial"/>
          <w:noProof/>
          <w:lang w:eastAsia="zh-CN"/>
        </w:rPr>
        <w:t>(Fredricks et al., 2004)</w:t>
      </w:r>
      <w:r>
        <w:rPr>
          <w:rFonts w:ascii="Arial" w:hAnsi="Arial" w:cs="Arial"/>
          <w:lang w:eastAsia="zh-CN"/>
        </w:rPr>
        <w:fldChar w:fldCharType="end"/>
      </w:r>
      <w:r>
        <w:rPr>
          <w:rFonts w:ascii="Arial" w:hAnsi="Arial" w:cs="Arial"/>
          <w:lang w:eastAsia="zh-CN"/>
        </w:rPr>
        <w:t xml:space="preserve">. Motivation indicators were informed by Self Determination Theory, emphasizing autonomy, competence, and intrinsic motivation as drivers of sustained participation </w:t>
      </w:r>
      <w:r>
        <w:rPr>
          <w:rFonts w:ascii="Arial" w:hAnsi="Arial" w:cs="Arial"/>
          <w:lang w:eastAsia="zh-CN"/>
        </w:rPr>
        <w:fldChar w:fldCharType="begin"/>
      </w:r>
      <w:r w:rsidR="00601647">
        <w:rPr>
          <w:rFonts w:ascii="Arial" w:hAnsi="Arial" w:cs="Arial"/>
          <w:lang w:eastAsia="zh-CN"/>
        </w:rPr>
        <w:instrText xml:space="preserve"> ADDIN EN.CITE &lt;EndNote&gt;&lt;Cite&gt;&lt;Author&gt;Deci&lt;/Author&gt;&lt;Year&gt;2012&lt;/Year&gt;&lt;RecNum&gt;161&lt;/RecNum&gt;&lt;DisplayText&gt;(Deci &amp;amp; Ryan, 2012)&lt;/DisplayText&gt;&lt;record&gt;&lt;rec-number&gt;161&lt;/rec-number&gt;&lt;foreign-keys&gt;&lt;key app="EN" db-id="axateaap22str3eaaa1xar2n95zaewv2sx5a" timestamp="1736238877"&gt;161&lt;/key&gt;&lt;/foreign-keys&gt;&lt;ref-type name="Journal Article"&gt;17&lt;/ref-type&gt;&lt;contributors&gt;&lt;authors&gt;&lt;author&gt;Deci, Edward L&lt;/author&gt;&lt;author&gt;Ryan, Richard M&lt;/author&gt;&lt;/authors&gt;&lt;/contributors&gt;&lt;titles&gt;&lt;title&gt;Self-determination theory&lt;/title&gt;&lt;secondary-title&gt;Handbook of theories of social psychology&lt;/secondary-title&gt;&lt;/titles&gt;&lt;periodical&gt;&lt;full-title&gt;Handbook of theories of social psychology&lt;/full-title&gt;&lt;/periodical&gt;&lt;pages&gt;416-436&lt;/pages&gt;&lt;volume&gt;1&lt;/volume&gt;&lt;number&gt;20&lt;/number&gt;&lt;dates&gt;&lt;year&gt;2012&lt;/year&gt;&lt;/dates&gt;&lt;urls&gt;&lt;/urls&gt;&lt;/record&gt;&lt;/Cite&gt;&lt;/EndNote&gt;</w:instrText>
      </w:r>
      <w:r>
        <w:rPr>
          <w:rFonts w:ascii="Arial" w:hAnsi="Arial" w:cs="Arial"/>
          <w:lang w:eastAsia="zh-CN"/>
        </w:rPr>
        <w:fldChar w:fldCharType="separate"/>
      </w:r>
      <w:r w:rsidR="00601647">
        <w:rPr>
          <w:rFonts w:ascii="Arial" w:hAnsi="Arial" w:cs="Arial"/>
          <w:noProof/>
          <w:lang w:eastAsia="zh-CN"/>
        </w:rPr>
        <w:t>(Deci &amp; Ryan, 2012)</w:t>
      </w:r>
      <w:r>
        <w:rPr>
          <w:rFonts w:ascii="Arial" w:hAnsi="Arial" w:cs="Arial"/>
          <w:lang w:eastAsia="zh-CN"/>
        </w:rPr>
        <w:fldChar w:fldCharType="end"/>
      </w:r>
      <w:r>
        <w:rPr>
          <w:rFonts w:ascii="Arial" w:hAnsi="Arial" w:cs="Arial"/>
          <w:lang w:eastAsia="zh-CN"/>
        </w:rPr>
        <w:t>. Collaboration and reflective learning indicators were aligned with social constructivist perspectives that treat learning as mediated participation through interaction, feedback, and shared meaning making</w:t>
      </w:r>
      <w:r w:rsidR="00897E7A">
        <w:rPr>
          <w:rFonts w:ascii="Arial" w:eastAsiaTheme="minorEastAsia" w:hAnsi="Arial" w:cs="Arial" w:hint="eastAsia"/>
          <w:lang w:eastAsia="zh-CN"/>
        </w:rPr>
        <w:t xml:space="preserve"> </w:t>
      </w:r>
      <w:r w:rsidR="00897E7A">
        <w:rPr>
          <w:rFonts w:ascii="Arial" w:eastAsiaTheme="minorEastAsia" w:hAnsi="Arial" w:cs="Arial"/>
          <w:lang w:eastAsia="zh-CN"/>
        </w:rPr>
        <w:fldChar w:fldCharType="begin"/>
      </w:r>
      <w:r w:rsidR="00897E7A">
        <w:rPr>
          <w:rFonts w:ascii="Arial" w:eastAsiaTheme="minorEastAsia" w:hAnsi="Arial" w:cs="Arial"/>
          <w:lang w:eastAsia="zh-CN"/>
        </w:rPr>
        <w:instrText xml:space="preserve"> ADDIN EN.CITE &lt;EndNote&gt;&lt;Cite&gt;&lt;Author&gt;Saleem&lt;/Author&gt;&lt;Year&gt;2021&lt;/Year&gt;&lt;RecNum&gt;1444&lt;/RecNum&gt;&lt;DisplayText&gt;(Saleem et al., 2021)&lt;/DisplayText&gt;&lt;record&gt;&lt;rec-number&gt;1444&lt;/rec-number&gt;&lt;foreign-keys&gt;&lt;key app="EN" db-id="axateaap22str3eaaa1xar2n95zaewv2sx5a" timestamp="1766162443"&gt;1444&lt;/key&gt;&lt;/foreign-keys&gt;&lt;ref-type name="Journal Article"&gt;17&lt;/ref-type&gt;&lt;contributors&gt;&lt;authors&gt;&lt;author&gt;Saleem, Amna&lt;/author&gt;&lt;author&gt;Kausar, Huma&lt;/author&gt;&lt;author&gt;Deeba, Farah&lt;/author&gt;&lt;/authors&gt;&lt;/contributors&gt;&lt;titles&gt;&lt;title&gt;Social constructivism: A new paradigm in teaching and learning environment&lt;/title&gt;&lt;secondary-title&gt;Perennial journal of history&lt;/secondary-title&gt;&lt;/titles&gt;&lt;periodical&gt;&lt;full-title&gt;Perennial journal of history&lt;/full-title&gt;&lt;/periodical&gt;&lt;pages&gt;403-421&lt;/pages&gt;&lt;volume&gt;2&lt;/volume&gt;&lt;number&gt;2&lt;/number&gt;&lt;dates&gt;&lt;year&gt;2021&lt;/year&gt;&lt;/dates&gt;&lt;isbn&gt;2788-693X&lt;/isbn&gt;&lt;urls&gt;&lt;/urls&gt;&lt;electronic-resource-num&gt;10.52700/pjh.v2i2.86&lt;/electronic-resource-num&gt;&lt;/record&gt;&lt;/Cite&gt;&lt;/EndNote&gt;</w:instrText>
      </w:r>
      <w:r w:rsidR="00897E7A">
        <w:rPr>
          <w:rFonts w:ascii="Arial" w:eastAsiaTheme="minorEastAsia" w:hAnsi="Arial" w:cs="Arial"/>
          <w:lang w:eastAsia="zh-CN"/>
        </w:rPr>
        <w:fldChar w:fldCharType="separate"/>
      </w:r>
      <w:r w:rsidR="00897E7A">
        <w:rPr>
          <w:rFonts w:ascii="Arial" w:eastAsiaTheme="minorEastAsia" w:hAnsi="Arial" w:cs="Arial"/>
          <w:noProof/>
          <w:lang w:eastAsia="zh-CN"/>
        </w:rPr>
        <w:t>(Saleem et al., 2021)</w:t>
      </w:r>
      <w:r w:rsidR="00897E7A">
        <w:rPr>
          <w:rFonts w:ascii="Arial" w:eastAsiaTheme="minorEastAsia" w:hAnsi="Arial" w:cs="Arial"/>
          <w:lang w:eastAsia="zh-CN"/>
        </w:rPr>
        <w:fldChar w:fldCharType="end"/>
      </w:r>
      <w:r>
        <w:rPr>
          <w:rFonts w:ascii="Arial" w:hAnsi="Arial" w:cs="Arial"/>
          <w:lang w:eastAsia="zh-CN"/>
        </w:rPr>
        <w:t>. This theoretical grounding supports an interpretation of observation ratings as evidence of TC learning processes rather than as general classroom behavior alone.</w:t>
      </w:r>
    </w:p>
    <w:p w14:paraId="15415419" w14:textId="77777777" w:rsidR="006438A5" w:rsidRDefault="00000000">
      <w:pPr>
        <w:pStyle w:val="4"/>
        <w:widowControl/>
        <w:jc w:val="both"/>
        <w:rPr>
          <w:rFonts w:ascii="Calibri" w:hAnsi="Calibri" w:hint="default"/>
          <w:b w:val="0"/>
          <w:bCs w:val="0"/>
          <w:kern w:val="2"/>
          <w:sz w:val="21"/>
        </w:rPr>
      </w:pPr>
      <w:r>
        <w:rPr>
          <w:rFonts w:ascii="Arial" w:hAnsi="Arial" w:cs="Arial"/>
          <w:sz w:val="20"/>
          <w:szCs w:val="20"/>
        </w:rPr>
        <w:t>3.4.2 Pre-test and post-test assessment of TC skills</w:t>
      </w:r>
    </w:p>
    <w:p w14:paraId="0643FDE8" w14:textId="4D70BB27" w:rsidR="006438A5" w:rsidRDefault="00000000">
      <w:pPr>
        <w:pStyle w:val="Body"/>
        <w:spacing w:after="0"/>
        <w:rPr>
          <w:rFonts w:ascii="Arial" w:hAnsi="Arial" w:cs="Arial"/>
          <w:lang w:eastAsia="zh-CN"/>
        </w:rPr>
      </w:pPr>
      <w:r>
        <w:rPr>
          <w:rFonts w:ascii="Arial" w:hAnsi="Arial" w:cs="Arial"/>
          <w:lang w:eastAsia="zh-CN"/>
        </w:rPr>
        <w:t xml:space="preserve">To triangulate observation evidence with performance outcomes, the implementation included pre-test and post-test tasks aligned with workplace scenarios. Tasks were designed to reflect authentic communication demands and to elicit observable performance across TC competencies. Assessment followed a rubric adapted from </w:t>
      </w:r>
      <w:r w:rsidR="00940238">
        <w:rPr>
          <w:rFonts w:ascii="Arial" w:hAnsi="Arial" w:cs="Arial"/>
          <w:lang w:eastAsia="zh-CN"/>
        </w:rPr>
        <w:fldChar w:fldCharType="begin">
          <w:fldData xml:space="preserve">PEVuZE5vdGU+PENpdGUgQXV0aG9yWWVhcj0iMSI+PEF1dGhvcj5Qb3VybWFuZC48L0F1dGhvcj48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</w:fldData>
        </w:fldChar>
      </w:r>
      <w:r w:rsidR="00940238">
        <w:rPr>
          <w:rFonts w:ascii="Arial" w:hAnsi="Arial" w:cs="Arial"/>
          <w:lang w:eastAsia="zh-CN"/>
        </w:rPr>
        <w:instrText xml:space="preserve"> ADDIN EN.CITE </w:instrText>
      </w:r>
      <w:r w:rsidR="00940238">
        <w:rPr>
          <w:rFonts w:ascii="Arial" w:hAnsi="Arial" w:cs="Arial"/>
          <w:lang w:eastAsia="zh-CN"/>
        </w:rPr>
        <w:fldChar w:fldCharType="begin">
          <w:fldData xml:space="preserve">PEVuZE5vdGU+PENpdGUgQXV0aG9yWWVhcj0iMSI+PEF1dGhvcj5Qb3VybWFuZC48L0F1dGhvcj48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</w:fldData>
        </w:fldChar>
      </w:r>
      <w:r w:rsidR="00940238">
        <w:rPr>
          <w:rFonts w:ascii="Arial" w:hAnsi="Arial" w:cs="Arial"/>
          <w:lang w:eastAsia="zh-CN"/>
        </w:rPr>
        <w:instrText xml:space="preserve"> ADDIN EN.CITE.DATA </w:instrText>
      </w:r>
      <w:r w:rsidR="00940238">
        <w:rPr>
          <w:rFonts w:ascii="Arial" w:hAnsi="Arial" w:cs="Arial"/>
          <w:lang w:eastAsia="zh-CN"/>
        </w:rPr>
      </w:r>
      <w:r w:rsidR="00940238">
        <w:rPr>
          <w:rFonts w:ascii="Arial" w:hAnsi="Arial" w:cs="Arial"/>
          <w:lang w:eastAsia="zh-CN"/>
        </w:rPr>
        <w:fldChar w:fldCharType="end"/>
      </w:r>
      <w:r w:rsidR="00940238">
        <w:rPr>
          <w:rFonts w:ascii="Arial" w:hAnsi="Arial" w:cs="Arial"/>
          <w:lang w:eastAsia="zh-CN"/>
        </w:rPr>
      </w:r>
      <w:r w:rsidR="00940238">
        <w:rPr>
          <w:rFonts w:ascii="Arial" w:hAnsi="Arial" w:cs="Arial"/>
          <w:lang w:eastAsia="zh-CN"/>
        </w:rPr>
        <w:fldChar w:fldCharType="separate"/>
      </w:r>
      <w:r w:rsidR="00940238">
        <w:rPr>
          <w:rFonts w:ascii="Arial" w:hAnsi="Arial" w:cs="Arial"/>
          <w:noProof/>
          <w:lang w:eastAsia="zh-CN"/>
        </w:rPr>
        <w:t>Pourmand. et al. (2021)</w:t>
      </w:r>
      <w:r w:rsidR="00940238">
        <w:rPr>
          <w:rFonts w:ascii="Arial" w:hAnsi="Arial" w:cs="Arial"/>
          <w:lang w:eastAsia="zh-CN"/>
        </w:rPr>
        <w:fldChar w:fldCharType="end"/>
      </w:r>
      <w:r>
        <w:rPr>
          <w:rFonts w:ascii="Arial" w:hAnsi="Arial" w:cs="Arial"/>
          <w:lang w:eastAsia="zh-CN"/>
        </w:rPr>
        <w:t xml:space="preserve"> to capture TC competence across oral, written, and research related dimensions relevant to the module objectives. This combination of observation and performance assessment strengthens interpretability because classroom enactment patterns can be examined alongside measurable changes in TC outputs.</w:t>
      </w:r>
    </w:p>
    <w:p w14:paraId="797050F2" w14:textId="77777777" w:rsidR="006438A5" w:rsidRDefault="00000000">
      <w:pPr>
        <w:pStyle w:val="4"/>
        <w:widowControl/>
        <w:jc w:val="both"/>
        <w:rPr>
          <w:rFonts w:ascii="Calibri" w:hAnsi="Calibri" w:hint="default"/>
          <w:b w:val="0"/>
          <w:bCs w:val="0"/>
          <w:kern w:val="2"/>
          <w:sz w:val="21"/>
        </w:rPr>
      </w:pPr>
      <w:r>
        <w:rPr>
          <w:rFonts w:ascii="Arial" w:hAnsi="Arial" w:cs="Arial"/>
          <w:sz w:val="20"/>
          <w:szCs w:val="20"/>
        </w:rPr>
        <w:t>3.4.3 Observers and observation procedure</w:t>
      </w:r>
    </w:p>
    <w:p w14:paraId="64DE3F6F" w14:textId="01F89F60" w:rsidR="006438A5" w:rsidRDefault="00000000">
      <w:pPr>
        <w:pStyle w:val="Body"/>
        <w:spacing w:after="0"/>
        <w:rPr>
          <w:rFonts w:ascii="Arial" w:hAnsi="Arial" w:cs="Arial"/>
          <w:lang w:eastAsia="zh-CN"/>
        </w:rPr>
      </w:pPr>
      <w:r>
        <w:rPr>
          <w:rFonts w:ascii="Arial" w:hAnsi="Arial" w:cs="Arial"/>
          <w:lang w:eastAsia="zh-CN"/>
        </w:rPr>
        <w:t xml:space="preserve">Three observers were recruited through purposive sampling to reduce dependence on a single rater and to strengthen interpretive credibility. Multi observer designs are recommended in classroom observation because they improve dependability while remaining feasible in applied educational settings </w:t>
      </w:r>
      <w:r>
        <w:rPr>
          <w:rFonts w:ascii="Arial" w:hAnsi="Arial" w:cs="Arial"/>
          <w:lang w:eastAsia="zh-CN"/>
        </w:rPr>
        <w:fldChar w:fldCharType="begin"/>
      </w:r>
      <w:r w:rsidR="00940238">
        <w:rPr>
          <w:rFonts w:ascii="Arial" w:hAnsi="Arial" w:cs="Arial"/>
          <w:lang w:eastAsia="zh-CN"/>
        </w:rPr>
        <w:instrText xml:space="preserve"> ADDIN EN.CITE &lt;EndNote&gt;&lt;Cite&gt;&lt;Author&gt;Burgess&lt;/Author&gt;&lt;Year&gt;2021&lt;/Year&gt;&lt;RecNum&gt;151&lt;/RecNum&gt;&lt;DisplayText&gt;(Burgess et al., 2021)&lt;/DisplayText&gt;&lt;record&gt;&lt;rec-number&gt;151&lt;/rec-number&gt;&lt;foreign-keys&gt;&lt;key app="EN" db-id="axateaap22str3eaaa1xar2n95zaewv2sx5a" timestamp="1735716715"&gt;151&lt;/key&gt;&lt;/foreign-keys&gt;&lt;ref-type name="Journal Article"&gt;17&lt;/ref-type&gt;&lt;contributors&gt;&lt;authors&gt;&lt;author&gt;Burgess, Simon&lt;/author&gt;&lt;author&gt;Rawal, Shenila&lt;/author&gt;&lt;author&gt;Taylor, Eric S&lt;/author&gt;&lt;/authors&gt;&lt;/contributors&gt;&lt;titles&gt;&lt;title&gt;Teacher peer observation and student test scores: Evidence from a field experiment in English secondary schools&lt;/title&gt;&lt;secondary-title&gt;Journal of Labor Economics&lt;/secondary-title&gt;&lt;/titles&gt;&lt;periodical&gt;&lt;full-title&gt;Journal of Labor Economics&lt;/full-title&gt;&lt;/periodical&gt;&lt;pages&gt;1155-1186&lt;/pages&gt;&lt;volume&gt;39&lt;/volume&gt;&lt;number&gt;4&lt;/number&gt;&lt;dates&gt;&lt;year&gt;2021&lt;/year&gt;&lt;/dates&gt;&lt;isbn&gt;0734-306X&lt;/isbn&gt;&lt;urls&gt;&lt;/urls&gt;&lt;electronic-resource-num&gt;10.1086/712997&lt;/electronic-resource-num&gt;&lt;/record&gt;&lt;/Cite&gt;&lt;/EndNote&gt;</w:instrText>
      </w:r>
      <w:r>
        <w:rPr>
          <w:rFonts w:ascii="Arial" w:hAnsi="Arial" w:cs="Arial"/>
          <w:lang w:eastAsia="zh-CN"/>
        </w:rPr>
        <w:fldChar w:fldCharType="separate"/>
      </w:r>
      <w:r w:rsidR="00601647">
        <w:rPr>
          <w:rFonts w:ascii="Arial" w:hAnsi="Arial" w:cs="Arial"/>
          <w:noProof/>
          <w:lang w:eastAsia="zh-CN"/>
        </w:rPr>
        <w:t>(Burgess et al., 2021)</w:t>
      </w:r>
      <w:r>
        <w:rPr>
          <w:rFonts w:ascii="Arial" w:hAnsi="Arial" w:cs="Arial"/>
          <w:lang w:eastAsia="zh-CN"/>
        </w:rPr>
        <w:fldChar w:fldCharType="end"/>
      </w:r>
      <w:r>
        <w:rPr>
          <w:rFonts w:ascii="Arial" w:hAnsi="Arial" w:cs="Arial"/>
          <w:lang w:eastAsia="zh-CN"/>
        </w:rPr>
        <w:t>. Observers were experienced instructors and were familiar with the student cohort through other courses, which supported context sensitive judgment of engagement, collaboration, and task behavior.</w:t>
      </w:r>
    </w:p>
    <w:p w14:paraId="3D347857" w14:textId="77777777" w:rsidR="006438A5" w:rsidRDefault="006438A5">
      <w:pPr>
        <w:pStyle w:val="Body"/>
        <w:spacing w:after="0"/>
        <w:rPr>
          <w:rFonts w:ascii="Arial" w:hAnsi="Arial" w:cs="Arial"/>
          <w:lang w:eastAsia="zh-CN"/>
        </w:rPr>
      </w:pPr>
    </w:p>
    <w:p w14:paraId="20F9747A" w14:textId="77777777" w:rsidR="006438A5" w:rsidRDefault="00000000">
      <w:pPr>
        <w:tabs>
          <w:tab w:val="left" w:pos="1080"/>
        </w:tabs>
        <w:jc w:val="both"/>
        <w:rPr>
          <w:rFonts w:ascii="Arial" w:hAnsi="Arial"/>
          <w:b/>
        </w:rPr>
      </w:pPr>
      <w:bookmarkStart w:id="0" w:name="_Toc204261123"/>
      <w:bookmarkEnd w:id="0"/>
      <w:r>
        <w:rPr>
          <w:rFonts w:ascii="Arial" w:hAnsi="Arial"/>
          <w:b/>
        </w:rPr>
        <w:t>Table 1.</w:t>
      </w:r>
      <w:r>
        <w:rPr>
          <w:rFonts w:ascii="Arial" w:hAnsi="Arial"/>
          <w:b/>
        </w:rPr>
        <w:tab/>
      </w:r>
      <w:r>
        <w:rPr>
          <w:rFonts w:ascii="Arial" w:hAnsi="Arial" w:hint="eastAsia"/>
          <w:b/>
        </w:rPr>
        <w:t>Summary of experts' profile in classroom observation</w:t>
      </w:r>
    </w:p>
    <w:p w14:paraId="1CF6421E" w14:textId="77777777" w:rsidR="006438A5" w:rsidRDefault="006438A5">
      <w:pPr>
        <w:tabs>
          <w:tab w:val="left" w:pos="1080"/>
        </w:tabs>
        <w:jc w:val="both"/>
        <w:rPr>
          <w:rFonts w:ascii="Arial" w:hAnsi="Arial"/>
          <w:b/>
        </w:rPr>
      </w:pPr>
    </w:p>
    <w:tbl>
      <w:tblPr>
        <w:tblW w:w="0" w:type="auto"/>
        <w:jc w:val="center"/>
        <w:tblBorders>
          <w:top w:val="single" w:sz="12" w:space="0" w:color="auto"/>
          <w:left w:val="none" w:sz="6" w:space="0" w:color="auto"/>
          <w:bottom w:val="single" w:sz="12" w:space="0" w:color="auto"/>
          <w:right w:val="none" w:sz="6" w:space="0" w:color="auto"/>
          <w:insideH w:val="outset" w:sz="6" w:space="0" w:color="auto"/>
          <w:insideV w:val="outset" w:sz="6" w:space="0" w:color="auto"/>
        </w:tblBorders>
        <w:tblLook w:val="04A0" w:firstRow="1" w:lastRow="0" w:firstColumn="1" w:lastColumn="0" w:noHBand="0" w:noVBand="1"/>
      </w:tblPr>
      <w:tblGrid>
        <w:gridCol w:w="1095"/>
        <w:gridCol w:w="3007"/>
        <w:gridCol w:w="2017"/>
        <w:gridCol w:w="1851"/>
      </w:tblGrid>
      <w:tr w:rsidR="006438A5" w14:paraId="5C2CE803" w14:textId="77777777">
        <w:trPr>
          <w:trHeight w:val="191"/>
          <w:jc w:val="center"/>
        </w:trPr>
        <w:tc>
          <w:tcPr>
            <w:tcW w:w="0" w:type="auto"/>
            <w:tcBorders>
              <w:top w:val="single" w:sz="4" w:space="0" w:color="auto"/>
              <w:left w:val="nil"/>
              <w:bottom w:val="single" w:sz="6" w:space="0" w:color="auto"/>
              <w:right w:val="nil"/>
            </w:tcBorders>
            <w:vAlign w:val="center"/>
          </w:tcPr>
          <w:p w14:paraId="2E532B8D" w14:textId="77777777" w:rsidR="006438A5" w:rsidRDefault="00000000">
            <w:pPr>
              <w:jc w:val="both"/>
              <w:rPr>
                <w:rFonts w:ascii="Arial" w:hAnsi="Arial"/>
                <w:b/>
              </w:rPr>
            </w:pPr>
            <w:r>
              <w:rPr>
                <w:rFonts w:ascii="Arial" w:hAnsi="Arial"/>
                <w:b/>
              </w:rPr>
              <w:t>Observer</w:t>
            </w:r>
          </w:p>
        </w:tc>
        <w:tc>
          <w:tcPr>
            <w:tcW w:w="0" w:type="auto"/>
            <w:tcBorders>
              <w:top w:val="single" w:sz="4" w:space="0" w:color="auto"/>
              <w:left w:val="nil"/>
              <w:bottom w:val="single" w:sz="6" w:space="0" w:color="auto"/>
              <w:right w:val="nil"/>
            </w:tcBorders>
            <w:vAlign w:val="center"/>
          </w:tcPr>
          <w:p w14:paraId="47BA91F8" w14:textId="77777777" w:rsidR="006438A5" w:rsidRDefault="00000000">
            <w:pPr>
              <w:jc w:val="both"/>
              <w:rPr>
                <w:rFonts w:ascii="Arial" w:hAnsi="Arial"/>
                <w:b/>
              </w:rPr>
            </w:pPr>
            <w:r>
              <w:rPr>
                <w:rFonts w:ascii="Arial" w:hAnsi="Arial"/>
                <w:b/>
              </w:rPr>
              <w:t>Qualification</w:t>
            </w:r>
          </w:p>
        </w:tc>
        <w:tc>
          <w:tcPr>
            <w:tcW w:w="0" w:type="auto"/>
            <w:tcBorders>
              <w:top w:val="single" w:sz="4" w:space="0" w:color="auto"/>
              <w:left w:val="nil"/>
              <w:bottom w:val="single" w:sz="6" w:space="0" w:color="auto"/>
              <w:right w:val="nil"/>
            </w:tcBorders>
            <w:vAlign w:val="center"/>
          </w:tcPr>
          <w:p w14:paraId="5B7EB773" w14:textId="77777777" w:rsidR="006438A5" w:rsidRDefault="00000000">
            <w:pPr>
              <w:jc w:val="both"/>
              <w:rPr>
                <w:rFonts w:ascii="Arial" w:hAnsi="Arial"/>
                <w:b/>
              </w:rPr>
            </w:pPr>
            <w:r>
              <w:rPr>
                <w:rFonts w:ascii="Arial" w:hAnsi="Arial"/>
                <w:b/>
              </w:rPr>
              <w:t>Experience (Years)</w:t>
            </w:r>
          </w:p>
        </w:tc>
        <w:tc>
          <w:tcPr>
            <w:tcW w:w="0" w:type="auto"/>
            <w:tcBorders>
              <w:top w:val="single" w:sz="4" w:space="0" w:color="auto"/>
              <w:left w:val="nil"/>
              <w:bottom w:val="single" w:sz="6" w:space="0" w:color="auto"/>
              <w:right w:val="nil"/>
            </w:tcBorders>
            <w:vAlign w:val="center"/>
          </w:tcPr>
          <w:p w14:paraId="2750A73F" w14:textId="77777777" w:rsidR="006438A5" w:rsidRDefault="00000000">
            <w:pPr>
              <w:jc w:val="both"/>
              <w:rPr>
                <w:rFonts w:ascii="Arial" w:hAnsi="Arial"/>
                <w:b/>
              </w:rPr>
            </w:pPr>
            <w:r>
              <w:rPr>
                <w:rFonts w:ascii="Arial" w:hAnsi="Arial"/>
                <w:b/>
              </w:rPr>
              <w:t>Specialization</w:t>
            </w:r>
          </w:p>
        </w:tc>
      </w:tr>
      <w:tr w:rsidR="006438A5" w14:paraId="34C23653" w14:textId="77777777">
        <w:trPr>
          <w:trHeight w:val="200"/>
          <w:jc w:val="center"/>
        </w:trPr>
        <w:tc>
          <w:tcPr>
            <w:tcW w:w="0" w:type="auto"/>
            <w:tcBorders>
              <w:top w:val="single" w:sz="6" w:space="0" w:color="auto"/>
              <w:left w:val="nil"/>
              <w:bottom w:val="nil"/>
              <w:right w:val="nil"/>
            </w:tcBorders>
            <w:vAlign w:val="center"/>
          </w:tcPr>
          <w:p w14:paraId="41CDA9E9" w14:textId="77777777" w:rsidR="006438A5" w:rsidRDefault="00000000">
            <w:pPr>
              <w:jc w:val="both"/>
              <w:rPr>
                <w:rFonts w:ascii="Arial" w:hAnsi="Arial"/>
              </w:rPr>
            </w:pPr>
            <w:r>
              <w:rPr>
                <w:rFonts w:ascii="Arial" w:hAnsi="Arial"/>
              </w:rPr>
              <w:t>E1</w:t>
            </w:r>
          </w:p>
        </w:tc>
        <w:tc>
          <w:tcPr>
            <w:tcW w:w="0" w:type="auto"/>
            <w:tcBorders>
              <w:top w:val="single" w:sz="6" w:space="0" w:color="auto"/>
              <w:left w:val="nil"/>
              <w:bottom w:val="nil"/>
              <w:right w:val="nil"/>
            </w:tcBorders>
            <w:vAlign w:val="center"/>
          </w:tcPr>
          <w:p w14:paraId="09FC1BED" w14:textId="77777777" w:rsidR="006438A5" w:rsidRDefault="00000000">
            <w:pPr>
              <w:jc w:val="both"/>
              <w:rPr>
                <w:rFonts w:ascii="Arial" w:hAnsi="Arial"/>
              </w:rPr>
            </w:pPr>
            <w:r>
              <w:rPr>
                <w:rFonts w:ascii="Arial" w:hAnsi="Arial"/>
              </w:rPr>
              <w:t>Doctor and professor</w:t>
            </w:r>
          </w:p>
        </w:tc>
        <w:tc>
          <w:tcPr>
            <w:tcW w:w="0" w:type="auto"/>
            <w:tcBorders>
              <w:top w:val="single" w:sz="6" w:space="0" w:color="auto"/>
              <w:left w:val="nil"/>
              <w:bottom w:val="nil"/>
              <w:right w:val="nil"/>
            </w:tcBorders>
            <w:vAlign w:val="center"/>
          </w:tcPr>
          <w:p w14:paraId="27C80321" w14:textId="77777777" w:rsidR="006438A5" w:rsidRDefault="00000000">
            <w:pPr>
              <w:jc w:val="both"/>
              <w:rPr>
                <w:rFonts w:ascii="Arial" w:hAnsi="Arial"/>
              </w:rPr>
            </w:pPr>
            <w:r>
              <w:rPr>
                <w:rFonts w:ascii="Arial" w:hAnsi="Arial"/>
              </w:rPr>
              <w:t>12</w:t>
            </w:r>
          </w:p>
        </w:tc>
        <w:tc>
          <w:tcPr>
            <w:tcW w:w="0" w:type="auto"/>
            <w:tcBorders>
              <w:top w:val="single" w:sz="6" w:space="0" w:color="auto"/>
              <w:left w:val="nil"/>
              <w:bottom w:val="nil"/>
              <w:right w:val="nil"/>
            </w:tcBorders>
            <w:vAlign w:val="center"/>
          </w:tcPr>
          <w:p w14:paraId="3F2CCD06" w14:textId="77777777" w:rsidR="006438A5" w:rsidRDefault="00000000">
            <w:pPr>
              <w:jc w:val="both"/>
              <w:rPr>
                <w:rFonts w:ascii="Arial" w:hAnsi="Arial"/>
              </w:rPr>
            </w:pPr>
            <w:r>
              <w:rPr>
                <w:rFonts w:ascii="Arial" w:hAnsi="Arial"/>
              </w:rPr>
              <w:t>TESOL</w:t>
            </w:r>
          </w:p>
        </w:tc>
      </w:tr>
      <w:tr w:rsidR="006438A5" w14:paraId="2F0F0201" w14:textId="77777777">
        <w:trPr>
          <w:trHeight w:val="222"/>
          <w:jc w:val="center"/>
        </w:trPr>
        <w:tc>
          <w:tcPr>
            <w:tcW w:w="0" w:type="auto"/>
            <w:tcBorders>
              <w:top w:val="nil"/>
              <w:left w:val="nil"/>
              <w:bottom w:val="nil"/>
              <w:right w:val="nil"/>
            </w:tcBorders>
            <w:vAlign w:val="center"/>
          </w:tcPr>
          <w:p w14:paraId="19AACB26" w14:textId="77777777" w:rsidR="006438A5" w:rsidRDefault="00000000">
            <w:pPr>
              <w:jc w:val="both"/>
              <w:rPr>
                <w:rFonts w:ascii="Arial" w:hAnsi="Arial"/>
              </w:rPr>
            </w:pPr>
            <w:r>
              <w:rPr>
                <w:rFonts w:ascii="Arial" w:hAnsi="Arial"/>
              </w:rPr>
              <w:t>E2</w:t>
            </w:r>
          </w:p>
        </w:tc>
        <w:tc>
          <w:tcPr>
            <w:tcW w:w="0" w:type="auto"/>
            <w:tcBorders>
              <w:top w:val="nil"/>
              <w:left w:val="nil"/>
              <w:bottom w:val="nil"/>
              <w:right w:val="nil"/>
            </w:tcBorders>
            <w:vAlign w:val="center"/>
          </w:tcPr>
          <w:p w14:paraId="48401EBC" w14:textId="77777777" w:rsidR="006438A5" w:rsidRDefault="00000000">
            <w:pPr>
              <w:jc w:val="both"/>
              <w:rPr>
                <w:rFonts w:ascii="Arial" w:hAnsi="Arial"/>
              </w:rPr>
            </w:pPr>
            <w:r>
              <w:rPr>
                <w:rFonts w:ascii="Arial" w:hAnsi="Arial"/>
              </w:rPr>
              <w:t>Master and associate professor</w:t>
            </w:r>
          </w:p>
        </w:tc>
        <w:tc>
          <w:tcPr>
            <w:tcW w:w="0" w:type="auto"/>
            <w:tcBorders>
              <w:top w:val="nil"/>
              <w:left w:val="nil"/>
              <w:bottom w:val="nil"/>
              <w:right w:val="nil"/>
            </w:tcBorders>
            <w:vAlign w:val="center"/>
          </w:tcPr>
          <w:p w14:paraId="5EE7F966" w14:textId="77777777" w:rsidR="006438A5" w:rsidRDefault="00000000">
            <w:pPr>
              <w:jc w:val="both"/>
              <w:rPr>
                <w:rFonts w:ascii="Arial" w:hAnsi="Arial"/>
              </w:rPr>
            </w:pPr>
            <w:r>
              <w:rPr>
                <w:rFonts w:ascii="Arial" w:hAnsi="Arial"/>
              </w:rPr>
              <w:t>15</w:t>
            </w:r>
          </w:p>
        </w:tc>
        <w:tc>
          <w:tcPr>
            <w:tcW w:w="0" w:type="auto"/>
            <w:tcBorders>
              <w:top w:val="nil"/>
              <w:left w:val="nil"/>
              <w:bottom w:val="nil"/>
              <w:right w:val="nil"/>
            </w:tcBorders>
            <w:vAlign w:val="center"/>
          </w:tcPr>
          <w:p w14:paraId="04579580" w14:textId="77777777" w:rsidR="006438A5" w:rsidRDefault="00000000">
            <w:pPr>
              <w:jc w:val="both"/>
              <w:rPr>
                <w:rFonts w:ascii="Arial" w:hAnsi="Arial"/>
              </w:rPr>
            </w:pPr>
            <w:r>
              <w:rPr>
                <w:rFonts w:ascii="Arial" w:hAnsi="Arial"/>
              </w:rPr>
              <w:t>English translation</w:t>
            </w:r>
          </w:p>
        </w:tc>
      </w:tr>
      <w:tr w:rsidR="006438A5" w14:paraId="472BE8D1" w14:textId="77777777">
        <w:trPr>
          <w:trHeight w:val="222"/>
          <w:jc w:val="center"/>
        </w:trPr>
        <w:tc>
          <w:tcPr>
            <w:tcW w:w="0" w:type="auto"/>
            <w:tcBorders>
              <w:top w:val="nil"/>
              <w:left w:val="nil"/>
              <w:bottom w:val="single" w:sz="4" w:space="0" w:color="auto"/>
              <w:right w:val="nil"/>
            </w:tcBorders>
            <w:vAlign w:val="center"/>
          </w:tcPr>
          <w:p w14:paraId="6DCCA42C" w14:textId="77777777" w:rsidR="006438A5" w:rsidRDefault="00000000">
            <w:pPr>
              <w:jc w:val="both"/>
              <w:rPr>
                <w:rFonts w:ascii="Arial" w:hAnsi="Arial"/>
              </w:rPr>
            </w:pPr>
            <w:r>
              <w:rPr>
                <w:rFonts w:ascii="Arial" w:hAnsi="Arial"/>
              </w:rPr>
              <w:t>E3</w:t>
            </w:r>
          </w:p>
        </w:tc>
        <w:tc>
          <w:tcPr>
            <w:tcW w:w="0" w:type="auto"/>
            <w:tcBorders>
              <w:top w:val="nil"/>
              <w:left w:val="nil"/>
              <w:bottom w:val="single" w:sz="4" w:space="0" w:color="auto"/>
              <w:right w:val="nil"/>
            </w:tcBorders>
            <w:vAlign w:val="center"/>
          </w:tcPr>
          <w:p w14:paraId="5EC31495" w14:textId="77777777" w:rsidR="006438A5" w:rsidRDefault="00000000">
            <w:pPr>
              <w:jc w:val="both"/>
              <w:rPr>
                <w:rFonts w:ascii="Arial" w:hAnsi="Arial"/>
              </w:rPr>
            </w:pPr>
            <w:r>
              <w:rPr>
                <w:rFonts w:ascii="Arial" w:hAnsi="Arial"/>
              </w:rPr>
              <w:t>Master and associate professor</w:t>
            </w:r>
          </w:p>
        </w:tc>
        <w:tc>
          <w:tcPr>
            <w:tcW w:w="0" w:type="auto"/>
            <w:tcBorders>
              <w:top w:val="nil"/>
              <w:left w:val="nil"/>
              <w:bottom w:val="single" w:sz="4" w:space="0" w:color="auto"/>
              <w:right w:val="nil"/>
            </w:tcBorders>
            <w:vAlign w:val="center"/>
          </w:tcPr>
          <w:p w14:paraId="7CF987D8" w14:textId="77777777" w:rsidR="006438A5" w:rsidRDefault="00000000">
            <w:pPr>
              <w:jc w:val="both"/>
              <w:rPr>
                <w:rFonts w:ascii="Arial" w:hAnsi="Arial"/>
              </w:rPr>
            </w:pPr>
            <w:r>
              <w:rPr>
                <w:rFonts w:ascii="Arial" w:hAnsi="Arial"/>
              </w:rPr>
              <w:t>17</w:t>
            </w:r>
          </w:p>
        </w:tc>
        <w:tc>
          <w:tcPr>
            <w:tcW w:w="0" w:type="auto"/>
            <w:tcBorders>
              <w:top w:val="nil"/>
              <w:left w:val="nil"/>
              <w:bottom w:val="single" w:sz="4" w:space="0" w:color="auto"/>
              <w:right w:val="nil"/>
            </w:tcBorders>
            <w:vAlign w:val="center"/>
          </w:tcPr>
          <w:p w14:paraId="0BDD6302" w14:textId="77777777" w:rsidR="006438A5" w:rsidRDefault="00000000">
            <w:pPr>
              <w:jc w:val="both"/>
              <w:rPr>
                <w:rFonts w:ascii="Arial" w:hAnsi="Arial"/>
              </w:rPr>
            </w:pPr>
            <w:r>
              <w:rPr>
                <w:rFonts w:ascii="Arial" w:hAnsi="Arial"/>
              </w:rPr>
              <w:t>Technical writing</w:t>
            </w:r>
          </w:p>
        </w:tc>
      </w:tr>
    </w:tbl>
    <w:p w14:paraId="7A8F7064" w14:textId="77777777" w:rsidR="006438A5" w:rsidRDefault="006438A5">
      <w:pPr>
        <w:pStyle w:val="Body"/>
        <w:spacing w:after="0"/>
        <w:rPr>
          <w:rFonts w:ascii="Arial" w:hAnsi="Arial" w:cs="Arial"/>
          <w:lang w:eastAsia="zh-CN"/>
        </w:rPr>
      </w:pPr>
    </w:p>
    <w:p w14:paraId="6BD79DB1" w14:textId="77777777" w:rsidR="006438A5" w:rsidRDefault="00000000">
      <w:pPr>
        <w:pStyle w:val="Body"/>
        <w:spacing w:after="0"/>
        <w:rPr>
          <w:rFonts w:ascii="Arial" w:hAnsi="Arial" w:cs="Arial"/>
          <w:lang w:eastAsia="zh-CN"/>
        </w:rPr>
      </w:pPr>
      <w:r>
        <w:rPr>
          <w:rFonts w:ascii="Arial" w:hAnsi="Arial" w:cs="Arial"/>
          <w:lang w:eastAsia="zh-CN"/>
        </w:rPr>
        <w:t>During TCM sessions, observers independently rated student behaviors using the checklist and recorded field notes that captured interactional patterns during group work, individual task execution, feedback exchange, and reflective activities. Prior to classroom use, observers were briefed on rating criteria and reviewed exemplar behaviors for each dimension to support consistent interpretation of scale points.</w:t>
      </w:r>
    </w:p>
    <w:p w14:paraId="49C988C2" w14:textId="77777777" w:rsidR="006438A5" w:rsidRDefault="006438A5">
      <w:pPr>
        <w:pStyle w:val="Body"/>
        <w:spacing w:after="0"/>
        <w:rPr>
          <w:rFonts w:ascii="Arial" w:hAnsi="Arial" w:cs="Arial"/>
          <w:lang w:eastAsia="zh-CN"/>
        </w:rPr>
      </w:pPr>
    </w:p>
    <w:p w14:paraId="53906540"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Data analysis</w:t>
      </w:r>
    </w:p>
    <w:p w14:paraId="65891BDE" w14:textId="77777777" w:rsidR="006438A5" w:rsidRDefault="006438A5">
      <w:pPr>
        <w:pStyle w:val="Body"/>
        <w:spacing w:after="0"/>
        <w:rPr>
          <w:rFonts w:ascii="Arial" w:hAnsi="Arial" w:cs="Arial"/>
          <w:b/>
          <w:sz w:val="22"/>
        </w:rPr>
      </w:pPr>
    </w:p>
    <w:p w14:paraId="5605C9D4" w14:textId="41838A14" w:rsidR="00BD596C" w:rsidRPr="00BD596C" w:rsidRDefault="00BD596C">
      <w:pPr>
        <w:pStyle w:val="Body"/>
        <w:spacing w:after="0"/>
        <w:rPr>
          <w:rFonts w:ascii="Arial" w:eastAsiaTheme="minorEastAsia" w:hAnsi="Arial" w:cs="Arial"/>
          <w:lang w:eastAsia="zh-CN"/>
        </w:rPr>
      </w:pPr>
      <w:r w:rsidRPr="00BD596C">
        <w:rPr>
          <w:rFonts w:ascii="Arial" w:eastAsiaTheme="minorEastAsia" w:hAnsi="Arial" w:cs="Arial"/>
          <w:lang w:eastAsia="zh-CN"/>
        </w:rPr>
        <w:t>Quantitative and qualitative evidence were integrated to support an explanatory interpretation of classroom enactment. First, checklist ratings from the three observers were aggregated and mean scores were calculated for each item. Mean scores were interpreted using the checklist’s anchored frequency descriptors (1 = never observed to 5 = consistently observed) to summarize how often each behavior was observed during TCM sessions. For reporting clarity, item means were additionally grouped into five frequency bands (Table 2). Second, observers’ field notes were analy</w:t>
      </w:r>
      <w:r>
        <w:rPr>
          <w:rFonts w:ascii="Arial" w:eastAsiaTheme="minorEastAsia" w:hAnsi="Arial" w:cs="Arial" w:hint="eastAsia"/>
          <w:lang w:eastAsia="zh-CN"/>
        </w:rPr>
        <w:t>z</w:t>
      </w:r>
      <w:r w:rsidRPr="00BD596C">
        <w:rPr>
          <w:rFonts w:ascii="Arial" w:eastAsiaTheme="minorEastAsia" w:hAnsi="Arial" w:cs="Arial"/>
          <w:lang w:eastAsia="zh-CN"/>
        </w:rPr>
        <w:t>ed thematically to explain why particular ratings emerged.</w:t>
      </w:r>
    </w:p>
    <w:p w14:paraId="6DFFF701" w14:textId="77777777" w:rsidR="006438A5" w:rsidRDefault="006438A5">
      <w:pPr>
        <w:pStyle w:val="Body"/>
        <w:spacing w:after="0"/>
        <w:rPr>
          <w:rFonts w:ascii="Arial" w:hAnsi="Arial" w:cs="Arial"/>
          <w:lang w:eastAsia="zh-CN"/>
        </w:rPr>
      </w:pPr>
    </w:p>
    <w:p w14:paraId="0FB3DD39" w14:textId="77777777" w:rsidR="006438A5" w:rsidRDefault="00000000">
      <w:pPr>
        <w:tabs>
          <w:tab w:val="left" w:pos="1080"/>
        </w:tabs>
        <w:jc w:val="both"/>
        <w:rPr>
          <w:rFonts w:ascii="Arial" w:hAnsi="Arial"/>
          <w:b/>
        </w:rPr>
      </w:pPr>
      <w:bookmarkStart w:id="1" w:name="_Toc204261124"/>
      <w:bookmarkStart w:id="2" w:name="OLE_LINK1"/>
      <w:bookmarkEnd w:id="1"/>
      <w:r>
        <w:rPr>
          <w:rFonts w:ascii="Arial" w:hAnsi="Arial"/>
          <w:b/>
        </w:rPr>
        <w:t xml:space="preserve">Table </w:t>
      </w:r>
      <w:r>
        <w:rPr>
          <w:rFonts w:ascii="Arial" w:eastAsia="宋体" w:hAnsi="Arial" w:hint="eastAsia"/>
          <w:b/>
          <w:lang w:eastAsia="zh-CN"/>
        </w:rPr>
        <w:t>2</w:t>
      </w:r>
      <w:r>
        <w:rPr>
          <w:rFonts w:ascii="Arial" w:hAnsi="Arial"/>
          <w:b/>
        </w:rPr>
        <w:t>.</w:t>
      </w:r>
      <w:r>
        <w:rPr>
          <w:rFonts w:ascii="Arial" w:hAnsi="Arial"/>
          <w:b/>
        </w:rPr>
        <w:tab/>
      </w:r>
      <w:r>
        <w:rPr>
          <w:rFonts w:ascii="Arial" w:hAnsi="Arial" w:hint="eastAsia"/>
          <w:b/>
        </w:rPr>
        <w:t>Mean interpretation table for classroom observation</w:t>
      </w:r>
    </w:p>
    <w:p w14:paraId="023A90ED" w14:textId="77777777" w:rsidR="006438A5" w:rsidRDefault="006438A5">
      <w:pPr>
        <w:tabs>
          <w:tab w:val="left" w:pos="1080"/>
        </w:tabs>
        <w:jc w:val="both"/>
        <w:rPr>
          <w:rFonts w:ascii="Arial" w:hAnsi="Arial"/>
          <w:b/>
        </w:rPr>
      </w:pPr>
    </w:p>
    <w:tbl>
      <w:tblPr>
        <w:tblW w:w="0" w:type="auto"/>
        <w:jc w:val="center"/>
        <w:tblBorders>
          <w:top w:val="single" w:sz="12" w:space="0" w:color="auto"/>
          <w:left w:val="none" w:sz="6" w:space="0" w:color="auto"/>
          <w:bottom w:val="single" w:sz="12" w:space="0" w:color="auto"/>
          <w:right w:val="none" w:sz="6" w:space="0" w:color="auto"/>
          <w:insideH w:val="outset" w:sz="6" w:space="0" w:color="auto"/>
          <w:insideV w:val="outset" w:sz="6" w:space="0" w:color="auto"/>
        </w:tblBorders>
        <w:tblLook w:val="04A0" w:firstRow="1" w:lastRow="0" w:firstColumn="1" w:lastColumn="0" w:noHBand="0" w:noVBand="1"/>
      </w:tblPr>
      <w:tblGrid>
        <w:gridCol w:w="1395"/>
        <w:gridCol w:w="2940"/>
        <w:gridCol w:w="6342"/>
      </w:tblGrid>
      <w:tr w:rsidR="006438A5" w14:paraId="45006B56" w14:textId="77777777">
        <w:trPr>
          <w:trHeight w:val="341"/>
          <w:jc w:val="center"/>
        </w:trPr>
        <w:tc>
          <w:tcPr>
            <w:tcW w:w="0" w:type="auto"/>
            <w:tcBorders>
              <w:top w:val="single" w:sz="4" w:space="0" w:color="auto"/>
              <w:left w:val="nil"/>
              <w:bottom w:val="single" w:sz="6" w:space="0" w:color="auto"/>
              <w:right w:val="nil"/>
            </w:tcBorders>
            <w:vAlign w:val="center"/>
          </w:tcPr>
          <w:p w14:paraId="1BD696F0" w14:textId="77777777" w:rsidR="006438A5" w:rsidRDefault="00000000">
            <w:pPr>
              <w:jc w:val="both"/>
              <w:rPr>
                <w:rFonts w:ascii="Arial" w:hAnsi="Arial"/>
                <w:b/>
              </w:rPr>
            </w:pPr>
            <w:r>
              <w:rPr>
                <w:rFonts w:ascii="Arial" w:hAnsi="Arial"/>
                <w:b/>
              </w:rPr>
              <w:t>Mean Range</w:t>
            </w:r>
          </w:p>
        </w:tc>
        <w:tc>
          <w:tcPr>
            <w:tcW w:w="0" w:type="auto"/>
            <w:tcBorders>
              <w:top w:val="single" w:sz="4" w:space="0" w:color="auto"/>
              <w:left w:val="nil"/>
              <w:bottom w:val="single" w:sz="6" w:space="0" w:color="auto"/>
              <w:right w:val="nil"/>
            </w:tcBorders>
            <w:vAlign w:val="center"/>
          </w:tcPr>
          <w:p w14:paraId="12692991" w14:textId="662556E5" w:rsidR="006438A5" w:rsidRPr="00BD596C" w:rsidRDefault="00000000">
            <w:pPr>
              <w:jc w:val="both"/>
              <w:rPr>
                <w:rFonts w:ascii="Arial" w:eastAsiaTheme="minorEastAsia" w:hAnsi="Arial"/>
                <w:b/>
                <w:lang w:eastAsia="zh-CN"/>
              </w:rPr>
            </w:pPr>
            <w:r>
              <w:rPr>
                <w:rFonts w:ascii="Arial" w:hAnsi="Arial"/>
                <w:b/>
              </w:rPr>
              <w:t xml:space="preserve">Descriptive </w:t>
            </w:r>
            <w:r w:rsidR="00BD596C">
              <w:rPr>
                <w:rFonts w:ascii="Arial" w:eastAsiaTheme="minorEastAsia" w:hAnsi="Arial" w:hint="eastAsia"/>
                <w:b/>
                <w:lang w:eastAsia="zh-CN"/>
              </w:rPr>
              <w:t>Band</w:t>
            </w:r>
          </w:p>
        </w:tc>
        <w:tc>
          <w:tcPr>
            <w:tcW w:w="0" w:type="auto"/>
            <w:tcBorders>
              <w:top w:val="single" w:sz="4" w:space="0" w:color="auto"/>
              <w:left w:val="nil"/>
              <w:bottom w:val="single" w:sz="6" w:space="0" w:color="auto"/>
              <w:right w:val="nil"/>
            </w:tcBorders>
            <w:vAlign w:val="center"/>
          </w:tcPr>
          <w:p w14:paraId="676C68E1" w14:textId="77777777" w:rsidR="006438A5" w:rsidRDefault="00000000">
            <w:pPr>
              <w:jc w:val="both"/>
              <w:rPr>
                <w:rFonts w:ascii="Arial" w:hAnsi="Arial"/>
                <w:b/>
              </w:rPr>
            </w:pPr>
            <w:r>
              <w:rPr>
                <w:rFonts w:ascii="Arial" w:hAnsi="Arial"/>
                <w:b/>
              </w:rPr>
              <w:t>Interpretation</w:t>
            </w:r>
          </w:p>
        </w:tc>
      </w:tr>
      <w:tr w:rsidR="00BD596C" w14:paraId="190F5EFB" w14:textId="77777777">
        <w:trPr>
          <w:trHeight w:val="239"/>
          <w:jc w:val="center"/>
        </w:trPr>
        <w:tc>
          <w:tcPr>
            <w:tcW w:w="0" w:type="auto"/>
            <w:tcBorders>
              <w:top w:val="single" w:sz="6" w:space="0" w:color="auto"/>
              <w:left w:val="nil"/>
              <w:bottom w:val="nil"/>
              <w:right w:val="nil"/>
            </w:tcBorders>
            <w:vAlign w:val="center"/>
          </w:tcPr>
          <w:p w14:paraId="3C2295CA" w14:textId="30D0465B" w:rsidR="00BD596C" w:rsidRDefault="00BD596C" w:rsidP="00BD596C">
            <w:pPr>
              <w:jc w:val="both"/>
              <w:rPr>
                <w:rFonts w:ascii="Arial" w:hAnsi="Arial"/>
              </w:rPr>
            </w:pPr>
            <w:r w:rsidRPr="00BD596C">
              <w:rPr>
                <w:rFonts w:ascii="Arial" w:eastAsiaTheme="minorEastAsia" w:hAnsi="Arial" w:cs="Arial"/>
                <w:lang w:eastAsia="zh-CN"/>
              </w:rPr>
              <w:t>4.5–5.0</w:t>
            </w:r>
          </w:p>
        </w:tc>
        <w:tc>
          <w:tcPr>
            <w:tcW w:w="0" w:type="auto"/>
            <w:tcBorders>
              <w:top w:val="single" w:sz="6" w:space="0" w:color="auto"/>
              <w:left w:val="nil"/>
              <w:bottom w:val="nil"/>
              <w:right w:val="nil"/>
            </w:tcBorders>
            <w:vAlign w:val="center"/>
          </w:tcPr>
          <w:p w14:paraId="15D92E2B" w14:textId="300A1228" w:rsidR="00BD596C" w:rsidRDefault="00BD596C" w:rsidP="00BD596C">
            <w:pPr>
              <w:jc w:val="both"/>
              <w:rPr>
                <w:rFonts w:ascii="Arial" w:hAnsi="Arial"/>
              </w:rPr>
            </w:pPr>
            <w:r w:rsidRPr="00BD596C">
              <w:rPr>
                <w:rFonts w:ascii="Arial" w:eastAsiaTheme="minorEastAsia" w:hAnsi="Arial" w:cs="Arial"/>
                <w:lang w:eastAsia="zh-CN"/>
              </w:rPr>
              <w:t>Consistently observed</w:t>
            </w:r>
          </w:p>
        </w:tc>
        <w:tc>
          <w:tcPr>
            <w:tcW w:w="0" w:type="auto"/>
            <w:tcBorders>
              <w:top w:val="single" w:sz="6" w:space="0" w:color="auto"/>
              <w:left w:val="nil"/>
              <w:bottom w:val="nil"/>
              <w:right w:val="nil"/>
            </w:tcBorders>
            <w:vAlign w:val="center"/>
          </w:tcPr>
          <w:p w14:paraId="47CCDB8C" w14:textId="4E50350F" w:rsidR="00BD596C" w:rsidRDefault="00BD596C" w:rsidP="00BD596C">
            <w:pPr>
              <w:jc w:val="both"/>
              <w:rPr>
                <w:rFonts w:ascii="Arial" w:hAnsi="Arial"/>
              </w:rPr>
            </w:pPr>
            <w:r w:rsidRPr="00BD596C">
              <w:rPr>
                <w:rFonts w:ascii="Arial" w:eastAsiaTheme="minorEastAsia" w:hAnsi="Arial" w:cs="Arial"/>
                <w:lang w:eastAsia="zh-CN"/>
              </w:rPr>
              <w:t>Behavior was observed consistently across sessions</w:t>
            </w:r>
          </w:p>
        </w:tc>
      </w:tr>
      <w:tr w:rsidR="00BD596C" w14:paraId="3D527854" w14:textId="77777777">
        <w:trPr>
          <w:trHeight w:val="132"/>
          <w:jc w:val="center"/>
        </w:trPr>
        <w:tc>
          <w:tcPr>
            <w:tcW w:w="0" w:type="auto"/>
            <w:tcBorders>
              <w:top w:val="nil"/>
              <w:left w:val="nil"/>
              <w:bottom w:val="nil"/>
              <w:right w:val="nil"/>
            </w:tcBorders>
            <w:vAlign w:val="center"/>
          </w:tcPr>
          <w:p w14:paraId="7DBB83D8" w14:textId="6DE8A918" w:rsidR="00BD596C" w:rsidRDefault="00BD596C" w:rsidP="00BD596C">
            <w:pPr>
              <w:jc w:val="both"/>
              <w:rPr>
                <w:rFonts w:ascii="Arial" w:hAnsi="Arial"/>
              </w:rPr>
            </w:pPr>
            <w:r w:rsidRPr="00BD596C">
              <w:rPr>
                <w:rFonts w:ascii="Arial" w:eastAsiaTheme="minorEastAsia" w:hAnsi="Arial" w:cs="Arial"/>
                <w:lang w:eastAsia="zh-CN"/>
              </w:rPr>
              <w:t>3.5–4.4</w:t>
            </w:r>
          </w:p>
        </w:tc>
        <w:tc>
          <w:tcPr>
            <w:tcW w:w="0" w:type="auto"/>
            <w:tcBorders>
              <w:top w:val="nil"/>
              <w:left w:val="nil"/>
              <w:bottom w:val="nil"/>
              <w:right w:val="nil"/>
            </w:tcBorders>
            <w:vAlign w:val="center"/>
          </w:tcPr>
          <w:p w14:paraId="1DBDEC4F" w14:textId="0B47FA5E" w:rsidR="00BD596C" w:rsidRDefault="00BD596C" w:rsidP="00BD596C">
            <w:pPr>
              <w:jc w:val="both"/>
              <w:rPr>
                <w:rFonts w:ascii="Arial" w:hAnsi="Arial"/>
              </w:rPr>
            </w:pPr>
            <w:r w:rsidRPr="00BD596C">
              <w:rPr>
                <w:rFonts w:ascii="Arial" w:eastAsiaTheme="minorEastAsia" w:hAnsi="Arial" w:cs="Arial"/>
                <w:lang w:eastAsia="zh-CN"/>
              </w:rPr>
              <w:t>Frequently observed</w:t>
            </w:r>
          </w:p>
        </w:tc>
        <w:tc>
          <w:tcPr>
            <w:tcW w:w="0" w:type="auto"/>
            <w:tcBorders>
              <w:top w:val="nil"/>
              <w:left w:val="nil"/>
              <w:bottom w:val="nil"/>
              <w:right w:val="nil"/>
            </w:tcBorders>
            <w:vAlign w:val="center"/>
          </w:tcPr>
          <w:p w14:paraId="1A1F4979" w14:textId="7499E5F9" w:rsidR="00BD596C" w:rsidRDefault="00BD596C" w:rsidP="00BD596C">
            <w:pPr>
              <w:jc w:val="both"/>
              <w:rPr>
                <w:rFonts w:ascii="Arial" w:hAnsi="Arial"/>
              </w:rPr>
            </w:pPr>
            <w:r w:rsidRPr="00BD596C">
              <w:rPr>
                <w:rFonts w:ascii="Arial" w:eastAsiaTheme="minorEastAsia" w:hAnsi="Arial" w:cs="Arial"/>
                <w:lang w:eastAsia="zh-CN"/>
              </w:rPr>
              <w:t>Behavior was observed often, with minor session-to-session variation</w:t>
            </w:r>
          </w:p>
        </w:tc>
      </w:tr>
      <w:tr w:rsidR="00BD596C" w14:paraId="1502788D" w14:textId="77777777">
        <w:trPr>
          <w:trHeight w:val="112"/>
          <w:jc w:val="center"/>
        </w:trPr>
        <w:tc>
          <w:tcPr>
            <w:tcW w:w="0" w:type="auto"/>
            <w:tcBorders>
              <w:top w:val="nil"/>
              <w:left w:val="nil"/>
              <w:bottom w:val="nil"/>
              <w:right w:val="nil"/>
            </w:tcBorders>
            <w:vAlign w:val="center"/>
          </w:tcPr>
          <w:p w14:paraId="1FDF1266" w14:textId="786FB684" w:rsidR="00BD596C" w:rsidRDefault="00BD596C" w:rsidP="00BD596C">
            <w:pPr>
              <w:jc w:val="both"/>
              <w:rPr>
                <w:rFonts w:ascii="Arial" w:hAnsi="Arial"/>
              </w:rPr>
            </w:pPr>
            <w:r w:rsidRPr="00BD596C">
              <w:rPr>
                <w:rFonts w:ascii="Arial" w:eastAsiaTheme="minorEastAsia" w:hAnsi="Arial" w:cs="Arial"/>
                <w:lang w:eastAsia="zh-CN"/>
              </w:rPr>
              <w:t>2.5–3.4</w:t>
            </w:r>
          </w:p>
        </w:tc>
        <w:tc>
          <w:tcPr>
            <w:tcW w:w="0" w:type="auto"/>
            <w:tcBorders>
              <w:top w:val="nil"/>
              <w:left w:val="nil"/>
              <w:bottom w:val="nil"/>
              <w:right w:val="nil"/>
            </w:tcBorders>
            <w:vAlign w:val="center"/>
          </w:tcPr>
          <w:p w14:paraId="4BD18B66" w14:textId="27FE7000" w:rsidR="00BD596C" w:rsidRDefault="00BD596C" w:rsidP="00BD596C">
            <w:pPr>
              <w:jc w:val="both"/>
              <w:rPr>
                <w:rFonts w:ascii="Arial" w:hAnsi="Arial"/>
              </w:rPr>
            </w:pPr>
            <w:bookmarkStart w:id="3" w:name="OLE_LINK2"/>
            <w:r w:rsidRPr="00BD596C">
              <w:rPr>
                <w:rFonts w:ascii="Arial" w:eastAsiaTheme="minorEastAsia" w:hAnsi="Arial" w:cs="Arial"/>
                <w:lang w:eastAsia="zh-CN"/>
              </w:rPr>
              <w:t>Sometimes observed</w:t>
            </w:r>
            <w:bookmarkEnd w:id="3"/>
          </w:p>
        </w:tc>
        <w:tc>
          <w:tcPr>
            <w:tcW w:w="0" w:type="auto"/>
            <w:tcBorders>
              <w:top w:val="nil"/>
              <w:left w:val="nil"/>
              <w:bottom w:val="nil"/>
              <w:right w:val="nil"/>
            </w:tcBorders>
            <w:vAlign w:val="center"/>
          </w:tcPr>
          <w:p w14:paraId="40DDB8AC" w14:textId="233C748B" w:rsidR="00BD596C" w:rsidRDefault="00BD596C" w:rsidP="00BD596C">
            <w:pPr>
              <w:jc w:val="both"/>
              <w:rPr>
                <w:rFonts w:ascii="Arial" w:hAnsi="Arial"/>
              </w:rPr>
            </w:pPr>
            <w:r w:rsidRPr="00BD596C">
              <w:rPr>
                <w:rFonts w:ascii="Arial" w:eastAsiaTheme="minorEastAsia" w:hAnsi="Arial" w:cs="Arial"/>
                <w:lang w:eastAsia="zh-CN"/>
              </w:rPr>
              <w:t>Behavior occurred intermittently; indicates a development need</w:t>
            </w:r>
          </w:p>
        </w:tc>
      </w:tr>
      <w:tr w:rsidR="00BD596C" w14:paraId="55847591" w14:textId="77777777">
        <w:trPr>
          <w:trHeight w:val="192"/>
          <w:jc w:val="center"/>
        </w:trPr>
        <w:tc>
          <w:tcPr>
            <w:tcW w:w="0" w:type="auto"/>
            <w:tcBorders>
              <w:top w:val="nil"/>
              <w:left w:val="nil"/>
              <w:bottom w:val="nil"/>
              <w:right w:val="nil"/>
            </w:tcBorders>
            <w:vAlign w:val="center"/>
          </w:tcPr>
          <w:p w14:paraId="1AD77970" w14:textId="4A906997" w:rsidR="00BD596C" w:rsidRDefault="00BD596C" w:rsidP="00BD596C">
            <w:pPr>
              <w:jc w:val="both"/>
              <w:rPr>
                <w:rFonts w:ascii="Arial" w:hAnsi="Arial"/>
              </w:rPr>
            </w:pPr>
            <w:r w:rsidRPr="00BD596C">
              <w:rPr>
                <w:rFonts w:ascii="Arial" w:eastAsiaTheme="minorEastAsia" w:hAnsi="Arial" w:cs="Arial"/>
                <w:lang w:eastAsia="zh-CN"/>
              </w:rPr>
              <w:t>1.5–2.4</w:t>
            </w:r>
          </w:p>
        </w:tc>
        <w:tc>
          <w:tcPr>
            <w:tcW w:w="0" w:type="auto"/>
            <w:tcBorders>
              <w:top w:val="nil"/>
              <w:left w:val="nil"/>
              <w:bottom w:val="nil"/>
              <w:right w:val="nil"/>
            </w:tcBorders>
            <w:vAlign w:val="center"/>
          </w:tcPr>
          <w:p w14:paraId="575A8AB6" w14:textId="3D92245E" w:rsidR="00BD596C" w:rsidRDefault="00BD596C" w:rsidP="00BD596C">
            <w:pPr>
              <w:jc w:val="both"/>
              <w:rPr>
                <w:rFonts w:ascii="Arial" w:hAnsi="Arial"/>
              </w:rPr>
            </w:pPr>
            <w:r w:rsidRPr="00BD596C">
              <w:rPr>
                <w:rFonts w:ascii="Arial" w:eastAsiaTheme="minorEastAsia" w:hAnsi="Arial" w:cs="Arial"/>
                <w:lang w:eastAsia="zh-CN"/>
              </w:rPr>
              <w:t>Rarely observed</w:t>
            </w:r>
          </w:p>
        </w:tc>
        <w:tc>
          <w:tcPr>
            <w:tcW w:w="0" w:type="auto"/>
            <w:tcBorders>
              <w:top w:val="nil"/>
              <w:left w:val="nil"/>
              <w:bottom w:val="nil"/>
              <w:right w:val="nil"/>
            </w:tcBorders>
            <w:vAlign w:val="center"/>
          </w:tcPr>
          <w:p w14:paraId="47885DD4" w14:textId="0B5A9780" w:rsidR="00BD596C" w:rsidRDefault="00BD596C" w:rsidP="00BD596C">
            <w:pPr>
              <w:jc w:val="both"/>
              <w:rPr>
                <w:rFonts w:ascii="Arial" w:hAnsi="Arial"/>
              </w:rPr>
            </w:pPr>
            <w:r w:rsidRPr="00BD596C">
              <w:rPr>
                <w:rFonts w:ascii="Arial" w:eastAsiaTheme="minorEastAsia" w:hAnsi="Arial" w:cs="Arial"/>
                <w:lang w:eastAsia="zh-CN"/>
              </w:rPr>
              <w:t>Behavior was seldom observed; indicates a clear constraint</w:t>
            </w:r>
          </w:p>
        </w:tc>
      </w:tr>
      <w:tr w:rsidR="00BD596C" w14:paraId="65102A04" w14:textId="77777777">
        <w:trPr>
          <w:trHeight w:val="212"/>
          <w:jc w:val="center"/>
        </w:trPr>
        <w:tc>
          <w:tcPr>
            <w:tcW w:w="0" w:type="auto"/>
            <w:tcBorders>
              <w:top w:val="nil"/>
              <w:left w:val="nil"/>
              <w:bottom w:val="single" w:sz="4" w:space="0" w:color="auto"/>
              <w:right w:val="nil"/>
            </w:tcBorders>
            <w:vAlign w:val="center"/>
          </w:tcPr>
          <w:p w14:paraId="559F1690" w14:textId="26300FD7" w:rsidR="00BD596C" w:rsidRDefault="00BD596C" w:rsidP="00BD596C">
            <w:pPr>
              <w:jc w:val="both"/>
              <w:rPr>
                <w:rFonts w:ascii="Arial" w:hAnsi="Arial"/>
              </w:rPr>
            </w:pPr>
            <w:r w:rsidRPr="00BD596C">
              <w:rPr>
                <w:rFonts w:ascii="Arial" w:eastAsiaTheme="minorEastAsia" w:hAnsi="Arial" w:cs="Arial"/>
                <w:lang w:eastAsia="zh-CN"/>
              </w:rPr>
              <w:t>1.0–1.4</w:t>
            </w:r>
          </w:p>
        </w:tc>
        <w:tc>
          <w:tcPr>
            <w:tcW w:w="0" w:type="auto"/>
            <w:tcBorders>
              <w:top w:val="nil"/>
              <w:left w:val="nil"/>
              <w:bottom w:val="single" w:sz="4" w:space="0" w:color="auto"/>
              <w:right w:val="nil"/>
            </w:tcBorders>
            <w:vAlign w:val="center"/>
          </w:tcPr>
          <w:p w14:paraId="533178D0" w14:textId="4DD783C8" w:rsidR="00BD596C" w:rsidRDefault="00BD596C" w:rsidP="00BD596C">
            <w:pPr>
              <w:jc w:val="both"/>
              <w:rPr>
                <w:rFonts w:ascii="Arial" w:hAnsi="Arial"/>
              </w:rPr>
            </w:pPr>
            <w:r w:rsidRPr="00BD596C">
              <w:rPr>
                <w:rFonts w:ascii="Arial" w:eastAsiaTheme="minorEastAsia" w:hAnsi="Arial" w:cs="Arial"/>
                <w:lang w:eastAsia="zh-CN"/>
              </w:rPr>
              <w:t>Never / almost never observed</w:t>
            </w:r>
          </w:p>
        </w:tc>
        <w:tc>
          <w:tcPr>
            <w:tcW w:w="0" w:type="auto"/>
            <w:tcBorders>
              <w:top w:val="nil"/>
              <w:left w:val="nil"/>
              <w:bottom w:val="single" w:sz="4" w:space="0" w:color="auto"/>
              <w:right w:val="nil"/>
            </w:tcBorders>
            <w:vAlign w:val="center"/>
          </w:tcPr>
          <w:p w14:paraId="2BF4AFFC" w14:textId="4DA9E915" w:rsidR="00BD596C" w:rsidRDefault="00BD596C" w:rsidP="00BD596C">
            <w:pPr>
              <w:jc w:val="both"/>
              <w:rPr>
                <w:rFonts w:ascii="Arial" w:hAnsi="Arial"/>
              </w:rPr>
            </w:pPr>
            <w:r w:rsidRPr="00BD596C">
              <w:rPr>
                <w:rFonts w:ascii="Arial" w:eastAsiaTheme="minorEastAsia" w:hAnsi="Arial" w:cs="Arial"/>
                <w:lang w:eastAsia="zh-CN"/>
              </w:rPr>
              <w:t>Behavior was absent or nearly absent in observed sessions</w:t>
            </w:r>
          </w:p>
        </w:tc>
      </w:tr>
      <w:bookmarkEnd w:id="2"/>
    </w:tbl>
    <w:p w14:paraId="3828C2A1" w14:textId="77777777" w:rsidR="006438A5" w:rsidRDefault="006438A5">
      <w:pPr>
        <w:pStyle w:val="Body"/>
        <w:spacing w:after="0"/>
        <w:rPr>
          <w:rFonts w:ascii="Arial" w:hAnsi="Arial" w:cs="Arial"/>
          <w:lang w:eastAsia="zh-CN"/>
        </w:rPr>
      </w:pPr>
    </w:p>
    <w:p w14:paraId="0EBF78E7" w14:textId="77777777" w:rsidR="006438A5" w:rsidRDefault="00000000">
      <w:pPr>
        <w:pStyle w:val="Body"/>
        <w:spacing w:after="0"/>
        <w:rPr>
          <w:rFonts w:ascii="Arial" w:hAnsi="Arial" w:cs="Arial"/>
          <w:lang w:eastAsia="zh-CN"/>
        </w:rPr>
      </w:pPr>
      <w:r>
        <w:rPr>
          <w:rFonts w:ascii="Arial" w:hAnsi="Arial" w:cs="Arial"/>
          <w:lang w:eastAsia="zh-CN"/>
        </w:rPr>
        <w:lastRenderedPageBreak/>
        <w:t>Second, observers’ field notes were analysed thematically to explain why particular ratings emerged. Analysis focused on recurring mechanisms such as role division, peer feedback routines, revision behaviors, tool use challenges, and the depth of reflective writing. Integration occurred through side-by-side comparison, where qualitative themes were used to contextualize item means and to identify design strengths and constraints that matter for refining TCM.</w:t>
      </w:r>
    </w:p>
    <w:p w14:paraId="628DE44C" w14:textId="77777777" w:rsidR="006438A5" w:rsidRDefault="006438A5">
      <w:pPr>
        <w:pStyle w:val="Body"/>
        <w:spacing w:after="0"/>
        <w:rPr>
          <w:rFonts w:ascii="Arial" w:hAnsi="Arial" w:cs="Arial"/>
          <w:lang w:eastAsia="zh-CN"/>
        </w:rPr>
      </w:pPr>
    </w:p>
    <w:p w14:paraId="787C2227"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Trustworthiness and ethics</w:t>
      </w:r>
    </w:p>
    <w:p w14:paraId="4D373D9C" w14:textId="77777777" w:rsidR="006438A5" w:rsidRDefault="006438A5">
      <w:pPr>
        <w:pStyle w:val="Body"/>
        <w:spacing w:after="0"/>
        <w:rPr>
          <w:rFonts w:ascii="Arial" w:hAnsi="Arial" w:cs="Arial"/>
          <w:b/>
          <w:sz w:val="22"/>
        </w:rPr>
      </w:pPr>
    </w:p>
    <w:p w14:paraId="5B4364DC" w14:textId="080E9654" w:rsidR="006438A5" w:rsidRDefault="00000000">
      <w:pPr>
        <w:pStyle w:val="Body"/>
        <w:spacing w:after="0"/>
        <w:rPr>
          <w:rFonts w:ascii="Arial" w:hAnsi="Arial" w:cs="Arial"/>
          <w:lang w:eastAsia="zh-CN"/>
        </w:rPr>
      </w:pPr>
      <w:r>
        <w:rPr>
          <w:rFonts w:ascii="Arial" w:hAnsi="Arial" w:cs="Arial"/>
          <w:lang w:eastAsia="zh-CN"/>
        </w:rPr>
        <w:t xml:space="preserve">Credibility was strengthened through triangulation across observation ratings, field notes, and performance measures. Dependability was supported through independent rating by multiple observers and standardized briefing procedures </w:t>
      </w:r>
      <w:r>
        <w:rPr>
          <w:rFonts w:ascii="Arial" w:hAnsi="Arial" w:cs="Arial"/>
          <w:lang w:eastAsia="zh-CN"/>
        </w:rPr>
        <w:fldChar w:fldCharType="begin"/>
      </w:r>
      <w:r w:rsidR="00940238">
        <w:rPr>
          <w:rFonts w:ascii="Arial" w:hAnsi="Arial" w:cs="Arial"/>
          <w:lang w:eastAsia="zh-CN"/>
        </w:rPr>
        <w:instrText xml:space="preserve"> ADDIN EN.CITE &lt;EndNote&gt;&lt;Cite&gt;&lt;Author&gt;Burgess&lt;/Author&gt;&lt;Year&gt;2021&lt;/Year&gt;&lt;RecNum&gt;151&lt;/RecNum&gt;&lt;DisplayText&gt;(Burgess et al., 2021)&lt;/DisplayText&gt;&lt;record&gt;&lt;rec-number&gt;151&lt;/rec-number&gt;&lt;foreign-keys&gt;&lt;key app="EN" db-id="axateaap22str3eaaa1xar2n95zaewv2sx5a" timestamp="1735716715"&gt;151&lt;/key&gt;&lt;/foreign-keys&gt;&lt;ref-type name="Journal Article"&gt;17&lt;/ref-type&gt;&lt;contributors&gt;&lt;authors&gt;&lt;author&gt;Burgess, Simon&lt;/author&gt;&lt;author&gt;Rawal, Shenila&lt;/author&gt;&lt;author&gt;Taylor, Eric S&lt;/author&gt;&lt;/authors&gt;&lt;/contributors&gt;&lt;titles&gt;&lt;title&gt;Teacher peer observation and student test scores: Evidence from a field experiment in English secondary schools&lt;/title&gt;&lt;secondary-title&gt;Journal of Labor Economics&lt;/secondary-title&gt;&lt;/titles&gt;&lt;periodical&gt;&lt;full-title&gt;Journal of Labor Economics&lt;/full-title&gt;&lt;/periodical&gt;&lt;pages&gt;1155-1186&lt;/pages&gt;&lt;volume&gt;39&lt;/volume&gt;&lt;number&gt;4&lt;/number&gt;&lt;dates&gt;&lt;year&gt;2021&lt;/year&gt;&lt;/dates&gt;&lt;isbn&gt;0734-306X&lt;/isbn&gt;&lt;urls&gt;&lt;/urls&gt;&lt;electronic-resource-num&gt;10.1086/712997&lt;/electronic-resource-num&gt;&lt;/record&gt;&lt;/Cite&gt;&lt;/EndNote&gt;</w:instrText>
      </w:r>
      <w:r>
        <w:rPr>
          <w:rFonts w:ascii="Arial" w:hAnsi="Arial" w:cs="Arial"/>
          <w:lang w:eastAsia="zh-CN"/>
        </w:rPr>
        <w:fldChar w:fldCharType="separate"/>
      </w:r>
      <w:r>
        <w:rPr>
          <w:rFonts w:ascii="Arial" w:hAnsi="Arial" w:cs="Arial"/>
          <w:noProof/>
          <w:lang w:eastAsia="zh-CN"/>
        </w:rPr>
        <w:t>(Burgess et al., 2021)</w:t>
      </w:r>
      <w:r>
        <w:rPr>
          <w:rFonts w:ascii="Arial" w:hAnsi="Arial" w:cs="Arial"/>
          <w:lang w:eastAsia="zh-CN"/>
        </w:rPr>
        <w:fldChar w:fldCharType="end"/>
      </w:r>
      <w:r>
        <w:rPr>
          <w:rFonts w:ascii="Arial" w:hAnsi="Arial" w:cs="Arial"/>
          <w:lang w:eastAsia="zh-CN"/>
        </w:rPr>
        <w:t>. Construct alignment was strengthened through theory anchored checklist development drawing on engagement, motivation, and social learning perspectives. Ethical procedures included voluntary participation and informed consent for the experimental condition, with data handled to protect participants’ privacy and to minimize disruption to teaching and learning.</w:t>
      </w:r>
    </w:p>
    <w:p w14:paraId="438127EF" w14:textId="77777777" w:rsidR="006438A5" w:rsidRDefault="006438A5">
      <w:pPr>
        <w:widowControl w:val="0"/>
        <w:jc w:val="both"/>
      </w:pPr>
    </w:p>
    <w:p w14:paraId="4CE5D7C3" w14:textId="77777777" w:rsidR="006438A5" w:rsidRDefault="00000000">
      <w:pPr>
        <w:pStyle w:val="AbstHead"/>
        <w:numPr>
          <w:ilvl w:val="0"/>
          <w:numId w:val="2"/>
        </w:numPr>
        <w:spacing w:after="0"/>
        <w:jc w:val="both"/>
        <w:rPr>
          <w:rFonts w:ascii="Arial" w:hAnsi="Arial" w:cs="Arial"/>
        </w:rPr>
      </w:pPr>
      <w:r>
        <w:rPr>
          <w:rFonts w:ascii="Arial" w:hAnsi="Arial" w:cs="Arial" w:hint="eastAsia"/>
        </w:rPr>
        <w:t>Findings</w:t>
      </w:r>
    </w:p>
    <w:p w14:paraId="289328CF" w14:textId="77777777" w:rsidR="006438A5" w:rsidRDefault="006438A5">
      <w:pPr>
        <w:pStyle w:val="AbstHead"/>
        <w:spacing w:after="0"/>
        <w:jc w:val="both"/>
        <w:rPr>
          <w:rFonts w:ascii="Arial" w:hAnsi="Arial" w:cs="Arial"/>
        </w:rPr>
      </w:pPr>
    </w:p>
    <w:p w14:paraId="3091664A" w14:textId="77777777" w:rsidR="006438A5" w:rsidRDefault="00000000">
      <w:pPr>
        <w:pStyle w:val="Body"/>
        <w:spacing w:after="0"/>
        <w:rPr>
          <w:rFonts w:ascii="Arial" w:hAnsi="Arial" w:cs="Arial"/>
          <w:lang w:eastAsia="zh-CN"/>
        </w:rPr>
      </w:pPr>
      <w:r>
        <w:rPr>
          <w:rFonts w:ascii="Arial" w:hAnsi="Arial" w:cs="Arial"/>
          <w:lang w:eastAsia="zh-CN"/>
        </w:rPr>
        <w:t>Classroom observation was used to examine how students enacted TC learning processes during TCM sessions. Three observers independently rated 16 items on a five-point scale and added brief field notes. Quantitative ratings were aggregated as item means, and qualitative notes were used to explain the patterns.</w:t>
      </w:r>
    </w:p>
    <w:p w14:paraId="550DFD99" w14:textId="77777777" w:rsidR="006438A5" w:rsidRDefault="006438A5">
      <w:pPr>
        <w:pStyle w:val="Body"/>
        <w:spacing w:after="0"/>
        <w:rPr>
          <w:rFonts w:ascii="Arial" w:hAnsi="Arial" w:cs="Arial"/>
          <w:lang w:eastAsia="zh-CN"/>
        </w:rPr>
      </w:pPr>
    </w:p>
    <w:p w14:paraId="14C6B2D2" w14:textId="77777777" w:rsidR="006438A5" w:rsidRDefault="00000000">
      <w:pPr>
        <w:tabs>
          <w:tab w:val="left" w:pos="1080"/>
        </w:tabs>
        <w:jc w:val="both"/>
        <w:rPr>
          <w:rFonts w:ascii="Arial" w:hAnsi="Arial"/>
          <w:b/>
        </w:rPr>
      </w:pPr>
      <w:bookmarkStart w:id="4" w:name="_Toc204261125"/>
      <w:bookmarkEnd w:id="4"/>
      <w:r>
        <w:rPr>
          <w:rFonts w:ascii="Arial" w:hAnsi="Arial"/>
          <w:b/>
        </w:rPr>
        <w:t xml:space="preserve">Table </w:t>
      </w:r>
      <w:r>
        <w:rPr>
          <w:rFonts w:ascii="Arial" w:eastAsia="宋体" w:hAnsi="Arial" w:hint="eastAsia"/>
          <w:b/>
          <w:lang w:eastAsia="zh-CN"/>
        </w:rPr>
        <w:t>3</w:t>
      </w:r>
      <w:r>
        <w:rPr>
          <w:rFonts w:ascii="Arial" w:hAnsi="Arial"/>
          <w:b/>
        </w:rPr>
        <w:t>.</w:t>
      </w:r>
      <w:r>
        <w:rPr>
          <w:rFonts w:ascii="Arial" w:hAnsi="Arial"/>
          <w:b/>
        </w:rPr>
        <w:tab/>
      </w:r>
      <w:r>
        <w:rPr>
          <w:rFonts w:ascii="Arial" w:hAnsi="Arial" w:hint="eastAsia"/>
          <w:b/>
        </w:rPr>
        <w:t>Summary of experts' rating in the classroom observation</w:t>
      </w:r>
    </w:p>
    <w:p w14:paraId="25C6ECC5" w14:textId="77777777" w:rsidR="006438A5" w:rsidRDefault="006438A5">
      <w:pPr>
        <w:tabs>
          <w:tab w:val="left" w:pos="1080"/>
        </w:tabs>
        <w:jc w:val="both"/>
        <w:rPr>
          <w:rFonts w:ascii="Arial" w:hAnsi="Arial"/>
          <w:b/>
        </w:rPr>
      </w:pPr>
    </w:p>
    <w:tbl>
      <w:tblPr>
        <w:tblW w:w="0" w:type="auto"/>
        <w:jc w:val="center"/>
        <w:tblBorders>
          <w:top w:val="single" w:sz="12" w:space="0" w:color="auto"/>
          <w:left w:val="none" w:sz="6" w:space="0" w:color="auto"/>
          <w:bottom w:val="single" w:sz="12" w:space="0" w:color="auto"/>
          <w:right w:val="none" w:sz="6" w:space="0" w:color="auto"/>
          <w:insideH w:val="outset" w:sz="6" w:space="0" w:color="auto"/>
          <w:insideV w:val="outset" w:sz="6" w:space="0" w:color="auto"/>
        </w:tblBorders>
        <w:tblLook w:val="04A0" w:firstRow="1" w:lastRow="0" w:firstColumn="1" w:lastColumn="0" w:noHBand="0" w:noVBand="1"/>
      </w:tblPr>
      <w:tblGrid>
        <w:gridCol w:w="3815"/>
        <w:gridCol w:w="1096"/>
        <w:gridCol w:w="1238"/>
        <w:gridCol w:w="1238"/>
        <w:gridCol w:w="1118"/>
        <w:gridCol w:w="2295"/>
      </w:tblGrid>
      <w:tr w:rsidR="006438A5" w14:paraId="190391E1" w14:textId="77777777" w:rsidTr="00DA4594">
        <w:trPr>
          <w:trHeight w:val="486"/>
          <w:jc w:val="center"/>
        </w:trPr>
        <w:tc>
          <w:tcPr>
            <w:tcW w:w="3815" w:type="dxa"/>
            <w:tcBorders>
              <w:top w:val="single" w:sz="4" w:space="0" w:color="auto"/>
              <w:left w:val="nil"/>
              <w:bottom w:val="single" w:sz="6" w:space="0" w:color="auto"/>
              <w:right w:val="nil"/>
            </w:tcBorders>
            <w:vAlign w:val="center"/>
          </w:tcPr>
          <w:p w14:paraId="5B760A2C" w14:textId="77777777" w:rsidR="006438A5" w:rsidRDefault="00000000">
            <w:pPr>
              <w:jc w:val="both"/>
              <w:rPr>
                <w:rFonts w:ascii="Arial" w:hAnsi="Arial"/>
                <w:b/>
              </w:rPr>
            </w:pPr>
            <w:r>
              <w:rPr>
                <w:rFonts w:ascii="Arial" w:hAnsi="Arial"/>
                <w:b/>
                <w:lang w:eastAsia="zh-CN"/>
              </w:rPr>
              <w:t>Checklist item</w:t>
            </w:r>
          </w:p>
        </w:tc>
        <w:tc>
          <w:tcPr>
            <w:tcW w:w="1096" w:type="dxa"/>
            <w:tcBorders>
              <w:top w:val="single" w:sz="4" w:space="0" w:color="auto"/>
              <w:left w:val="nil"/>
              <w:bottom w:val="single" w:sz="6" w:space="0" w:color="auto"/>
              <w:right w:val="nil"/>
            </w:tcBorders>
            <w:vAlign w:val="center"/>
          </w:tcPr>
          <w:p w14:paraId="5A711432" w14:textId="77777777" w:rsidR="006438A5" w:rsidRDefault="00000000">
            <w:pPr>
              <w:jc w:val="both"/>
              <w:rPr>
                <w:rFonts w:ascii="Arial" w:hAnsi="Arial"/>
                <w:b/>
              </w:rPr>
            </w:pPr>
            <w:r>
              <w:rPr>
                <w:rFonts w:ascii="Arial" w:hAnsi="Arial"/>
                <w:b/>
                <w:lang w:eastAsia="zh-CN"/>
              </w:rPr>
              <w:t>Observer 1</w:t>
            </w:r>
          </w:p>
        </w:tc>
        <w:tc>
          <w:tcPr>
            <w:tcW w:w="0" w:type="auto"/>
            <w:tcBorders>
              <w:top w:val="single" w:sz="4" w:space="0" w:color="auto"/>
              <w:left w:val="nil"/>
              <w:bottom w:val="single" w:sz="6" w:space="0" w:color="auto"/>
              <w:right w:val="nil"/>
            </w:tcBorders>
            <w:vAlign w:val="center"/>
          </w:tcPr>
          <w:p w14:paraId="3F20B6AE" w14:textId="77777777" w:rsidR="006438A5" w:rsidRDefault="00000000">
            <w:pPr>
              <w:jc w:val="both"/>
              <w:rPr>
                <w:rFonts w:ascii="Arial" w:hAnsi="Arial"/>
                <w:b/>
              </w:rPr>
            </w:pPr>
            <w:r>
              <w:rPr>
                <w:rFonts w:ascii="Arial" w:hAnsi="Arial"/>
                <w:b/>
                <w:lang w:eastAsia="zh-CN"/>
              </w:rPr>
              <w:t>Observer 2</w:t>
            </w:r>
          </w:p>
        </w:tc>
        <w:tc>
          <w:tcPr>
            <w:tcW w:w="0" w:type="auto"/>
            <w:tcBorders>
              <w:top w:val="single" w:sz="4" w:space="0" w:color="auto"/>
              <w:left w:val="nil"/>
              <w:bottom w:val="single" w:sz="6" w:space="0" w:color="auto"/>
              <w:right w:val="nil"/>
            </w:tcBorders>
            <w:vAlign w:val="center"/>
          </w:tcPr>
          <w:p w14:paraId="650CF5FE" w14:textId="77777777" w:rsidR="006438A5" w:rsidRDefault="00000000">
            <w:pPr>
              <w:jc w:val="both"/>
              <w:rPr>
                <w:rFonts w:ascii="Arial" w:hAnsi="Arial"/>
                <w:b/>
              </w:rPr>
            </w:pPr>
            <w:r>
              <w:rPr>
                <w:rFonts w:ascii="Arial" w:hAnsi="Arial"/>
                <w:b/>
                <w:lang w:eastAsia="zh-CN"/>
              </w:rPr>
              <w:t>Observer 3</w:t>
            </w:r>
          </w:p>
        </w:tc>
        <w:tc>
          <w:tcPr>
            <w:tcW w:w="1118" w:type="dxa"/>
            <w:tcBorders>
              <w:top w:val="single" w:sz="4" w:space="0" w:color="auto"/>
              <w:left w:val="nil"/>
              <w:bottom w:val="single" w:sz="6" w:space="0" w:color="auto"/>
              <w:right w:val="nil"/>
            </w:tcBorders>
            <w:vAlign w:val="center"/>
          </w:tcPr>
          <w:p w14:paraId="3D4607BC" w14:textId="77777777" w:rsidR="006438A5" w:rsidRDefault="00000000">
            <w:pPr>
              <w:jc w:val="both"/>
              <w:rPr>
                <w:rFonts w:ascii="Arial" w:hAnsi="Arial"/>
                <w:b/>
              </w:rPr>
            </w:pPr>
            <w:r>
              <w:rPr>
                <w:rFonts w:ascii="Arial" w:hAnsi="Arial"/>
                <w:b/>
                <w:lang w:eastAsia="zh-CN"/>
              </w:rPr>
              <w:t>Mean Rating</w:t>
            </w:r>
          </w:p>
        </w:tc>
        <w:tc>
          <w:tcPr>
            <w:tcW w:w="2295" w:type="dxa"/>
            <w:tcBorders>
              <w:top w:val="single" w:sz="4" w:space="0" w:color="auto"/>
              <w:left w:val="nil"/>
              <w:bottom w:val="single" w:sz="6" w:space="0" w:color="auto"/>
              <w:right w:val="nil"/>
            </w:tcBorders>
            <w:vAlign w:val="center"/>
          </w:tcPr>
          <w:p w14:paraId="42A397CE" w14:textId="77777777" w:rsidR="006438A5" w:rsidRDefault="00000000">
            <w:pPr>
              <w:jc w:val="both"/>
              <w:rPr>
                <w:rFonts w:ascii="Arial" w:hAnsi="Arial"/>
                <w:b/>
              </w:rPr>
            </w:pPr>
            <w:r>
              <w:rPr>
                <w:rFonts w:ascii="Arial" w:hAnsi="Arial"/>
                <w:b/>
                <w:lang w:eastAsia="zh-CN"/>
              </w:rPr>
              <w:t>Interpretation</w:t>
            </w:r>
          </w:p>
        </w:tc>
      </w:tr>
      <w:tr w:rsidR="006438A5" w14:paraId="03D57772" w14:textId="77777777" w:rsidTr="00DA4594">
        <w:trPr>
          <w:trHeight w:val="299"/>
          <w:jc w:val="center"/>
        </w:trPr>
        <w:tc>
          <w:tcPr>
            <w:tcW w:w="3815" w:type="dxa"/>
            <w:tcBorders>
              <w:top w:val="single" w:sz="6" w:space="0" w:color="auto"/>
              <w:left w:val="nil"/>
              <w:bottom w:val="nil"/>
              <w:right w:val="nil"/>
            </w:tcBorders>
            <w:vAlign w:val="center"/>
          </w:tcPr>
          <w:p w14:paraId="390028A0" w14:textId="77777777" w:rsidR="006438A5" w:rsidRDefault="00000000">
            <w:pPr>
              <w:rPr>
                <w:rFonts w:ascii="Arial" w:hAnsi="Arial"/>
              </w:rPr>
            </w:pPr>
            <w:r>
              <w:rPr>
                <w:rFonts w:ascii="Arial" w:hAnsi="Arial"/>
                <w:lang w:eastAsia="zh-CN"/>
              </w:rPr>
              <w:t>Active participation in discussions</w:t>
            </w:r>
          </w:p>
        </w:tc>
        <w:tc>
          <w:tcPr>
            <w:tcW w:w="1096" w:type="dxa"/>
            <w:tcBorders>
              <w:top w:val="single" w:sz="6" w:space="0" w:color="auto"/>
              <w:left w:val="nil"/>
              <w:bottom w:val="nil"/>
              <w:right w:val="nil"/>
            </w:tcBorders>
            <w:vAlign w:val="center"/>
          </w:tcPr>
          <w:p w14:paraId="56234B54" w14:textId="77777777" w:rsidR="006438A5" w:rsidRDefault="00000000">
            <w:pPr>
              <w:jc w:val="both"/>
              <w:rPr>
                <w:rFonts w:ascii="Arial" w:hAnsi="Arial"/>
              </w:rPr>
            </w:pPr>
            <w:r>
              <w:rPr>
                <w:rFonts w:ascii="Arial" w:hAnsi="Arial"/>
                <w:lang w:eastAsia="zh-CN"/>
              </w:rPr>
              <w:t>5</w:t>
            </w:r>
          </w:p>
        </w:tc>
        <w:tc>
          <w:tcPr>
            <w:tcW w:w="0" w:type="auto"/>
            <w:tcBorders>
              <w:top w:val="single" w:sz="6" w:space="0" w:color="auto"/>
              <w:left w:val="nil"/>
              <w:bottom w:val="nil"/>
              <w:right w:val="nil"/>
            </w:tcBorders>
            <w:vAlign w:val="center"/>
          </w:tcPr>
          <w:p w14:paraId="230DC11D" w14:textId="77777777" w:rsidR="006438A5" w:rsidRDefault="00000000">
            <w:pPr>
              <w:jc w:val="both"/>
              <w:rPr>
                <w:rFonts w:ascii="Arial" w:hAnsi="Arial"/>
              </w:rPr>
            </w:pPr>
            <w:r>
              <w:rPr>
                <w:rFonts w:ascii="Arial" w:hAnsi="Arial"/>
                <w:lang w:eastAsia="zh-CN"/>
              </w:rPr>
              <w:t>5</w:t>
            </w:r>
          </w:p>
        </w:tc>
        <w:tc>
          <w:tcPr>
            <w:tcW w:w="0" w:type="auto"/>
            <w:tcBorders>
              <w:top w:val="single" w:sz="6" w:space="0" w:color="auto"/>
              <w:left w:val="nil"/>
              <w:bottom w:val="nil"/>
              <w:right w:val="nil"/>
            </w:tcBorders>
            <w:vAlign w:val="center"/>
          </w:tcPr>
          <w:p w14:paraId="61B64914" w14:textId="77777777" w:rsidR="006438A5" w:rsidRDefault="00000000">
            <w:pPr>
              <w:jc w:val="both"/>
              <w:rPr>
                <w:rFonts w:ascii="Arial" w:hAnsi="Arial"/>
              </w:rPr>
            </w:pPr>
            <w:r>
              <w:rPr>
                <w:rFonts w:ascii="Arial" w:hAnsi="Arial"/>
                <w:lang w:eastAsia="zh-CN"/>
              </w:rPr>
              <w:t>5</w:t>
            </w:r>
          </w:p>
        </w:tc>
        <w:tc>
          <w:tcPr>
            <w:tcW w:w="1118" w:type="dxa"/>
            <w:tcBorders>
              <w:top w:val="single" w:sz="6" w:space="0" w:color="auto"/>
              <w:left w:val="nil"/>
              <w:bottom w:val="nil"/>
              <w:right w:val="nil"/>
            </w:tcBorders>
            <w:vAlign w:val="center"/>
          </w:tcPr>
          <w:p w14:paraId="291E7269" w14:textId="77777777" w:rsidR="006438A5" w:rsidRDefault="00000000">
            <w:pPr>
              <w:jc w:val="both"/>
              <w:rPr>
                <w:rFonts w:ascii="Arial" w:hAnsi="Arial"/>
              </w:rPr>
            </w:pPr>
            <w:r>
              <w:rPr>
                <w:rFonts w:ascii="Arial" w:hAnsi="Arial"/>
                <w:lang w:eastAsia="zh-CN"/>
              </w:rPr>
              <w:t>5.00</w:t>
            </w:r>
          </w:p>
        </w:tc>
        <w:tc>
          <w:tcPr>
            <w:tcW w:w="2295" w:type="dxa"/>
            <w:tcBorders>
              <w:top w:val="single" w:sz="6" w:space="0" w:color="auto"/>
              <w:left w:val="nil"/>
              <w:bottom w:val="nil"/>
              <w:right w:val="nil"/>
            </w:tcBorders>
            <w:vAlign w:val="center"/>
          </w:tcPr>
          <w:p w14:paraId="10180070" w14:textId="69DD8262" w:rsidR="006438A5" w:rsidRDefault="00DA4594">
            <w:pPr>
              <w:jc w:val="both"/>
              <w:rPr>
                <w:rFonts w:ascii="Arial" w:hAnsi="Arial"/>
              </w:rPr>
            </w:pPr>
            <w:r w:rsidRPr="00BD596C">
              <w:rPr>
                <w:rFonts w:ascii="Arial" w:eastAsiaTheme="minorEastAsia" w:hAnsi="Arial" w:cs="Arial"/>
                <w:lang w:eastAsia="zh-CN"/>
              </w:rPr>
              <w:t>Consistently observed</w:t>
            </w:r>
          </w:p>
        </w:tc>
      </w:tr>
      <w:tr w:rsidR="006438A5" w14:paraId="61E8C4D8" w14:textId="77777777" w:rsidTr="00DA4594">
        <w:trPr>
          <w:trHeight w:val="209"/>
          <w:jc w:val="center"/>
        </w:trPr>
        <w:tc>
          <w:tcPr>
            <w:tcW w:w="3815" w:type="dxa"/>
            <w:tcBorders>
              <w:top w:val="nil"/>
              <w:left w:val="nil"/>
              <w:bottom w:val="nil"/>
              <w:right w:val="nil"/>
            </w:tcBorders>
            <w:vAlign w:val="center"/>
          </w:tcPr>
          <w:p w14:paraId="2F541114" w14:textId="77777777" w:rsidR="006438A5" w:rsidRDefault="00000000">
            <w:pPr>
              <w:rPr>
                <w:rFonts w:ascii="Arial" w:hAnsi="Arial"/>
              </w:rPr>
            </w:pPr>
            <w:r>
              <w:rPr>
                <w:rFonts w:ascii="Arial" w:hAnsi="Arial"/>
                <w:lang w:eastAsia="zh-CN"/>
              </w:rPr>
              <w:t>Attentiveness to instructions</w:t>
            </w:r>
          </w:p>
        </w:tc>
        <w:tc>
          <w:tcPr>
            <w:tcW w:w="1096" w:type="dxa"/>
            <w:tcBorders>
              <w:top w:val="nil"/>
              <w:left w:val="nil"/>
              <w:bottom w:val="nil"/>
              <w:right w:val="nil"/>
            </w:tcBorders>
            <w:vAlign w:val="center"/>
          </w:tcPr>
          <w:p w14:paraId="471FFCBD"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312FBBA6"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0F3E92BE" w14:textId="77777777" w:rsidR="006438A5" w:rsidRDefault="00000000">
            <w:pPr>
              <w:jc w:val="both"/>
              <w:rPr>
                <w:rFonts w:ascii="Arial" w:hAnsi="Arial"/>
              </w:rPr>
            </w:pPr>
            <w:r>
              <w:rPr>
                <w:rFonts w:ascii="Arial" w:hAnsi="Arial"/>
                <w:lang w:eastAsia="zh-CN"/>
              </w:rPr>
              <w:t>5</w:t>
            </w:r>
          </w:p>
        </w:tc>
        <w:tc>
          <w:tcPr>
            <w:tcW w:w="1118" w:type="dxa"/>
            <w:tcBorders>
              <w:top w:val="nil"/>
              <w:left w:val="nil"/>
              <w:bottom w:val="nil"/>
              <w:right w:val="nil"/>
            </w:tcBorders>
            <w:vAlign w:val="center"/>
          </w:tcPr>
          <w:p w14:paraId="6E9048C7" w14:textId="77777777" w:rsidR="006438A5" w:rsidRDefault="00000000">
            <w:pPr>
              <w:jc w:val="both"/>
              <w:rPr>
                <w:rFonts w:ascii="Arial" w:hAnsi="Arial"/>
              </w:rPr>
            </w:pPr>
            <w:r>
              <w:rPr>
                <w:rFonts w:ascii="Arial" w:hAnsi="Arial"/>
                <w:lang w:eastAsia="zh-CN"/>
              </w:rPr>
              <w:t>4.33</w:t>
            </w:r>
          </w:p>
        </w:tc>
        <w:tc>
          <w:tcPr>
            <w:tcW w:w="2295" w:type="dxa"/>
            <w:tcBorders>
              <w:top w:val="nil"/>
              <w:left w:val="nil"/>
              <w:bottom w:val="nil"/>
              <w:right w:val="nil"/>
            </w:tcBorders>
            <w:vAlign w:val="center"/>
          </w:tcPr>
          <w:p w14:paraId="3044FE9E" w14:textId="190F3850" w:rsidR="006438A5" w:rsidRDefault="00DA4594">
            <w:pPr>
              <w:jc w:val="both"/>
              <w:rPr>
                <w:rFonts w:ascii="Arial" w:hAnsi="Arial"/>
              </w:rPr>
            </w:pPr>
            <w:r w:rsidRPr="00BD596C">
              <w:rPr>
                <w:rFonts w:ascii="Arial" w:eastAsiaTheme="minorEastAsia" w:hAnsi="Arial" w:cs="Arial"/>
                <w:lang w:eastAsia="zh-CN"/>
              </w:rPr>
              <w:t>Frequently observed</w:t>
            </w:r>
          </w:p>
        </w:tc>
      </w:tr>
      <w:tr w:rsidR="006438A5" w14:paraId="46032F06" w14:textId="77777777" w:rsidTr="00DA4594">
        <w:trPr>
          <w:trHeight w:val="179"/>
          <w:jc w:val="center"/>
        </w:trPr>
        <w:tc>
          <w:tcPr>
            <w:tcW w:w="3815" w:type="dxa"/>
            <w:tcBorders>
              <w:top w:val="nil"/>
              <w:left w:val="nil"/>
              <w:bottom w:val="nil"/>
              <w:right w:val="nil"/>
            </w:tcBorders>
            <w:vAlign w:val="center"/>
          </w:tcPr>
          <w:p w14:paraId="39D47D51" w14:textId="77777777" w:rsidR="006438A5" w:rsidRDefault="00000000">
            <w:pPr>
              <w:rPr>
                <w:rFonts w:ascii="Arial" w:hAnsi="Arial"/>
              </w:rPr>
            </w:pPr>
            <w:r>
              <w:rPr>
                <w:rFonts w:ascii="Arial" w:hAnsi="Arial"/>
                <w:lang w:eastAsia="zh-CN"/>
              </w:rPr>
              <w:t>Effective use of digital tools</w:t>
            </w:r>
          </w:p>
        </w:tc>
        <w:tc>
          <w:tcPr>
            <w:tcW w:w="1096" w:type="dxa"/>
            <w:tcBorders>
              <w:top w:val="nil"/>
              <w:left w:val="nil"/>
              <w:bottom w:val="nil"/>
              <w:right w:val="nil"/>
            </w:tcBorders>
            <w:vAlign w:val="center"/>
          </w:tcPr>
          <w:p w14:paraId="27D86704" w14:textId="77777777" w:rsidR="006438A5" w:rsidRDefault="00000000">
            <w:pPr>
              <w:jc w:val="both"/>
              <w:rPr>
                <w:rFonts w:ascii="Arial" w:hAnsi="Arial"/>
              </w:rPr>
            </w:pPr>
            <w:r>
              <w:rPr>
                <w:rFonts w:ascii="Arial" w:hAnsi="Arial"/>
                <w:lang w:eastAsia="zh-CN"/>
              </w:rPr>
              <w:t>3</w:t>
            </w:r>
          </w:p>
        </w:tc>
        <w:tc>
          <w:tcPr>
            <w:tcW w:w="0" w:type="auto"/>
            <w:tcBorders>
              <w:top w:val="nil"/>
              <w:left w:val="nil"/>
              <w:bottom w:val="nil"/>
              <w:right w:val="nil"/>
            </w:tcBorders>
            <w:vAlign w:val="center"/>
          </w:tcPr>
          <w:p w14:paraId="33F4CF15" w14:textId="77777777" w:rsidR="006438A5" w:rsidRDefault="00000000">
            <w:pPr>
              <w:jc w:val="both"/>
              <w:rPr>
                <w:rFonts w:ascii="Arial" w:hAnsi="Arial"/>
              </w:rPr>
            </w:pPr>
            <w:r>
              <w:rPr>
                <w:rFonts w:ascii="Arial" w:hAnsi="Arial"/>
                <w:lang w:eastAsia="zh-CN"/>
              </w:rPr>
              <w:t>3</w:t>
            </w:r>
          </w:p>
        </w:tc>
        <w:tc>
          <w:tcPr>
            <w:tcW w:w="0" w:type="auto"/>
            <w:tcBorders>
              <w:top w:val="nil"/>
              <w:left w:val="nil"/>
              <w:bottom w:val="nil"/>
              <w:right w:val="nil"/>
            </w:tcBorders>
            <w:vAlign w:val="center"/>
          </w:tcPr>
          <w:p w14:paraId="51B92F2C" w14:textId="77777777" w:rsidR="006438A5" w:rsidRDefault="00000000">
            <w:pPr>
              <w:jc w:val="both"/>
              <w:rPr>
                <w:rFonts w:ascii="Arial" w:hAnsi="Arial"/>
              </w:rPr>
            </w:pPr>
            <w:r>
              <w:rPr>
                <w:rFonts w:ascii="Arial" w:hAnsi="Arial"/>
                <w:lang w:eastAsia="zh-CN"/>
              </w:rPr>
              <w:t>2</w:t>
            </w:r>
          </w:p>
        </w:tc>
        <w:tc>
          <w:tcPr>
            <w:tcW w:w="1118" w:type="dxa"/>
            <w:tcBorders>
              <w:top w:val="nil"/>
              <w:left w:val="nil"/>
              <w:bottom w:val="nil"/>
              <w:right w:val="nil"/>
            </w:tcBorders>
            <w:vAlign w:val="center"/>
          </w:tcPr>
          <w:p w14:paraId="48537CF5" w14:textId="77777777" w:rsidR="006438A5" w:rsidRDefault="00000000">
            <w:pPr>
              <w:jc w:val="both"/>
              <w:rPr>
                <w:rFonts w:ascii="Arial" w:hAnsi="Arial"/>
              </w:rPr>
            </w:pPr>
            <w:r>
              <w:rPr>
                <w:rFonts w:ascii="Arial" w:hAnsi="Arial"/>
                <w:lang w:eastAsia="zh-CN"/>
              </w:rPr>
              <w:t>2.67</w:t>
            </w:r>
          </w:p>
        </w:tc>
        <w:tc>
          <w:tcPr>
            <w:tcW w:w="2295" w:type="dxa"/>
            <w:tcBorders>
              <w:top w:val="nil"/>
              <w:left w:val="nil"/>
              <w:bottom w:val="nil"/>
              <w:right w:val="nil"/>
            </w:tcBorders>
            <w:vAlign w:val="center"/>
          </w:tcPr>
          <w:p w14:paraId="45ED91E7" w14:textId="6C274BCC" w:rsidR="006438A5" w:rsidRDefault="00DA4594">
            <w:pPr>
              <w:jc w:val="both"/>
              <w:rPr>
                <w:rFonts w:ascii="Arial" w:hAnsi="Arial"/>
              </w:rPr>
            </w:pPr>
            <w:r w:rsidRPr="00BD596C">
              <w:rPr>
                <w:rFonts w:ascii="Arial" w:eastAsiaTheme="minorEastAsia" w:hAnsi="Arial" w:cs="Arial"/>
                <w:lang w:eastAsia="zh-CN"/>
              </w:rPr>
              <w:t>Sometimes observed</w:t>
            </w:r>
          </w:p>
        </w:tc>
      </w:tr>
      <w:tr w:rsidR="006438A5" w14:paraId="2371C81D" w14:textId="77777777" w:rsidTr="00DA4594">
        <w:trPr>
          <w:trHeight w:val="136"/>
          <w:jc w:val="center"/>
        </w:trPr>
        <w:tc>
          <w:tcPr>
            <w:tcW w:w="3815" w:type="dxa"/>
            <w:tcBorders>
              <w:top w:val="nil"/>
              <w:left w:val="nil"/>
              <w:bottom w:val="nil"/>
              <w:right w:val="nil"/>
            </w:tcBorders>
            <w:vAlign w:val="center"/>
          </w:tcPr>
          <w:p w14:paraId="032FC66F" w14:textId="77777777" w:rsidR="006438A5" w:rsidRDefault="00000000">
            <w:pPr>
              <w:rPr>
                <w:rFonts w:ascii="Arial" w:hAnsi="Arial"/>
              </w:rPr>
            </w:pPr>
            <w:r>
              <w:rPr>
                <w:rFonts w:ascii="Arial" w:hAnsi="Arial"/>
                <w:lang w:eastAsia="zh-CN"/>
              </w:rPr>
              <w:t>Demonstrates interest in tasks</w:t>
            </w:r>
          </w:p>
        </w:tc>
        <w:tc>
          <w:tcPr>
            <w:tcW w:w="1096" w:type="dxa"/>
            <w:tcBorders>
              <w:top w:val="nil"/>
              <w:left w:val="nil"/>
              <w:bottom w:val="nil"/>
              <w:right w:val="nil"/>
            </w:tcBorders>
            <w:vAlign w:val="center"/>
          </w:tcPr>
          <w:p w14:paraId="5ADC4E37"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50B16F2B"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4202B7A3" w14:textId="77777777" w:rsidR="006438A5" w:rsidRDefault="00000000">
            <w:pPr>
              <w:jc w:val="both"/>
              <w:rPr>
                <w:rFonts w:ascii="Arial" w:hAnsi="Arial"/>
              </w:rPr>
            </w:pPr>
            <w:r>
              <w:rPr>
                <w:rFonts w:ascii="Arial" w:hAnsi="Arial"/>
                <w:lang w:eastAsia="zh-CN"/>
              </w:rPr>
              <w:t>5</w:t>
            </w:r>
          </w:p>
        </w:tc>
        <w:tc>
          <w:tcPr>
            <w:tcW w:w="1118" w:type="dxa"/>
            <w:tcBorders>
              <w:top w:val="nil"/>
              <w:left w:val="nil"/>
              <w:bottom w:val="nil"/>
              <w:right w:val="nil"/>
            </w:tcBorders>
            <w:vAlign w:val="center"/>
          </w:tcPr>
          <w:p w14:paraId="7D4BBB15" w14:textId="77777777" w:rsidR="006438A5" w:rsidRDefault="00000000">
            <w:pPr>
              <w:jc w:val="both"/>
              <w:rPr>
                <w:rFonts w:ascii="Arial" w:hAnsi="Arial"/>
              </w:rPr>
            </w:pPr>
            <w:r>
              <w:rPr>
                <w:rFonts w:ascii="Arial" w:hAnsi="Arial"/>
                <w:lang w:eastAsia="zh-CN"/>
              </w:rPr>
              <w:t>4.33</w:t>
            </w:r>
          </w:p>
        </w:tc>
        <w:tc>
          <w:tcPr>
            <w:tcW w:w="2295" w:type="dxa"/>
            <w:tcBorders>
              <w:top w:val="nil"/>
              <w:left w:val="nil"/>
              <w:bottom w:val="nil"/>
              <w:right w:val="nil"/>
            </w:tcBorders>
            <w:vAlign w:val="center"/>
          </w:tcPr>
          <w:p w14:paraId="5D5510C9" w14:textId="4FFA16FE" w:rsidR="006438A5" w:rsidRDefault="00DA4594">
            <w:pPr>
              <w:jc w:val="both"/>
              <w:rPr>
                <w:rFonts w:ascii="Arial" w:hAnsi="Arial"/>
              </w:rPr>
            </w:pPr>
            <w:r w:rsidRPr="00BD596C">
              <w:rPr>
                <w:rFonts w:ascii="Arial" w:eastAsiaTheme="minorEastAsia" w:hAnsi="Arial" w:cs="Arial"/>
                <w:lang w:eastAsia="zh-CN"/>
              </w:rPr>
              <w:t>Frequently observed</w:t>
            </w:r>
          </w:p>
        </w:tc>
      </w:tr>
      <w:tr w:rsidR="006438A5" w14:paraId="1AA4CA39" w14:textId="77777777" w:rsidTr="00DA4594">
        <w:trPr>
          <w:trHeight w:val="256"/>
          <w:jc w:val="center"/>
        </w:trPr>
        <w:tc>
          <w:tcPr>
            <w:tcW w:w="3815" w:type="dxa"/>
            <w:tcBorders>
              <w:top w:val="nil"/>
              <w:left w:val="nil"/>
              <w:bottom w:val="nil"/>
              <w:right w:val="nil"/>
            </w:tcBorders>
            <w:vAlign w:val="center"/>
          </w:tcPr>
          <w:p w14:paraId="5F16B2E3" w14:textId="77777777" w:rsidR="006438A5" w:rsidRDefault="00000000">
            <w:pPr>
              <w:rPr>
                <w:rFonts w:ascii="Arial" w:hAnsi="Arial"/>
              </w:rPr>
            </w:pPr>
            <w:r>
              <w:rPr>
                <w:rFonts w:ascii="Arial" w:hAnsi="Arial"/>
                <w:lang w:eastAsia="zh-CN"/>
              </w:rPr>
              <w:t>Voluntarily initiates writing/editing</w:t>
            </w:r>
          </w:p>
        </w:tc>
        <w:tc>
          <w:tcPr>
            <w:tcW w:w="1096" w:type="dxa"/>
            <w:tcBorders>
              <w:top w:val="nil"/>
              <w:left w:val="nil"/>
              <w:bottom w:val="nil"/>
              <w:right w:val="nil"/>
            </w:tcBorders>
            <w:vAlign w:val="center"/>
          </w:tcPr>
          <w:p w14:paraId="04D98AB5" w14:textId="77777777" w:rsidR="006438A5" w:rsidRDefault="00000000">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28AAE5DF"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3F41649E" w14:textId="77777777" w:rsidR="006438A5" w:rsidRDefault="00000000">
            <w:pPr>
              <w:jc w:val="both"/>
              <w:rPr>
                <w:rFonts w:ascii="Arial" w:hAnsi="Arial"/>
              </w:rPr>
            </w:pPr>
            <w:r>
              <w:rPr>
                <w:rFonts w:ascii="Arial" w:hAnsi="Arial"/>
                <w:lang w:eastAsia="zh-CN"/>
              </w:rPr>
              <w:t>4</w:t>
            </w:r>
          </w:p>
        </w:tc>
        <w:tc>
          <w:tcPr>
            <w:tcW w:w="1118" w:type="dxa"/>
            <w:tcBorders>
              <w:top w:val="nil"/>
              <w:left w:val="nil"/>
              <w:bottom w:val="nil"/>
              <w:right w:val="nil"/>
            </w:tcBorders>
            <w:vAlign w:val="center"/>
          </w:tcPr>
          <w:p w14:paraId="4ABDDB9D" w14:textId="77777777" w:rsidR="006438A5" w:rsidRDefault="00000000">
            <w:pPr>
              <w:jc w:val="both"/>
              <w:rPr>
                <w:rFonts w:ascii="Arial" w:hAnsi="Arial"/>
              </w:rPr>
            </w:pPr>
            <w:r>
              <w:rPr>
                <w:rFonts w:ascii="Arial" w:hAnsi="Arial"/>
                <w:lang w:eastAsia="zh-CN"/>
              </w:rPr>
              <w:t>4.33</w:t>
            </w:r>
          </w:p>
        </w:tc>
        <w:tc>
          <w:tcPr>
            <w:tcW w:w="2295" w:type="dxa"/>
            <w:tcBorders>
              <w:top w:val="nil"/>
              <w:left w:val="nil"/>
              <w:bottom w:val="nil"/>
              <w:right w:val="nil"/>
            </w:tcBorders>
            <w:vAlign w:val="center"/>
          </w:tcPr>
          <w:p w14:paraId="709EE42F" w14:textId="6307F0A7" w:rsidR="006438A5" w:rsidRDefault="00DA4594">
            <w:pPr>
              <w:jc w:val="both"/>
              <w:rPr>
                <w:rFonts w:ascii="Arial" w:hAnsi="Arial"/>
              </w:rPr>
            </w:pPr>
            <w:r w:rsidRPr="00BD596C">
              <w:rPr>
                <w:rFonts w:ascii="Arial" w:eastAsiaTheme="minorEastAsia" w:hAnsi="Arial" w:cs="Arial"/>
                <w:lang w:eastAsia="zh-CN"/>
              </w:rPr>
              <w:t>Frequently observed</w:t>
            </w:r>
          </w:p>
        </w:tc>
      </w:tr>
      <w:tr w:rsidR="006438A5" w14:paraId="7ED2184B" w14:textId="77777777" w:rsidTr="00DA4594">
        <w:trPr>
          <w:trHeight w:val="229"/>
          <w:jc w:val="center"/>
        </w:trPr>
        <w:tc>
          <w:tcPr>
            <w:tcW w:w="3815" w:type="dxa"/>
            <w:tcBorders>
              <w:top w:val="nil"/>
              <w:left w:val="nil"/>
              <w:bottom w:val="nil"/>
              <w:right w:val="nil"/>
            </w:tcBorders>
            <w:vAlign w:val="center"/>
          </w:tcPr>
          <w:p w14:paraId="3EEEBCF5" w14:textId="77777777" w:rsidR="006438A5" w:rsidRDefault="00000000">
            <w:pPr>
              <w:rPr>
                <w:rFonts w:ascii="Arial" w:hAnsi="Arial"/>
              </w:rPr>
            </w:pPr>
            <w:r>
              <w:rPr>
                <w:rFonts w:ascii="Arial" w:hAnsi="Arial"/>
                <w:lang w:eastAsia="zh-CN"/>
              </w:rPr>
              <w:t>Seeking feedback from peers/instructors</w:t>
            </w:r>
          </w:p>
        </w:tc>
        <w:tc>
          <w:tcPr>
            <w:tcW w:w="1096" w:type="dxa"/>
            <w:tcBorders>
              <w:top w:val="nil"/>
              <w:left w:val="nil"/>
              <w:bottom w:val="nil"/>
              <w:right w:val="nil"/>
            </w:tcBorders>
            <w:vAlign w:val="center"/>
          </w:tcPr>
          <w:p w14:paraId="67D3CB15" w14:textId="77777777" w:rsidR="006438A5" w:rsidRDefault="00000000">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4322DACA"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2B306262" w14:textId="77777777" w:rsidR="006438A5" w:rsidRDefault="00000000">
            <w:pPr>
              <w:jc w:val="both"/>
              <w:rPr>
                <w:rFonts w:ascii="Arial" w:hAnsi="Arial"/>
              </w:rPr>
            </w:pPr>
            <w:r>
              <w:rPr>
                <w:rFonts w:ascii="Arial" w:hAnsi="Arial"/>
                <w:lang w:eastAsia="zh-CN"/>
              </w:rPr>
              <w:t>5</w:t>
            </w:r>
          </w:p>
        </w:tc>
        <w:tc>
          <w:tcPr>
            <w:tcW w:w="1118" w:type="dxa"/>
            <w:tcBorders>
              <w:top w:val="nil"/>
              <w:left w:val="nil"/>
              <w:bottom w:val="nil"/>
              <w:right w:val="nil"/>
            </w:tcBorders>
            <w:vAlign w:val="center"/>
          </w:tcPr>
          <w:p w14:paraId="7A3B0BC3" w14:textId="77777777" w:rsidR="006438A5" w:rsidRDefault="00000000">
            <w:pPr>
              <w:jc w:val="both"/>
              <w:rPr>
                <w:rFonts w:ascii="Arial" w:hAnsi="Arial"/>
              </w:rPr>
            </w:pPr>
            <w:r>
              <w:rPr>
                <w:rFonts w:ascii="Arial" w:hAnsi="Arial"/>
                <w:lang w:eastAsia="zh-CN"/>
              </w:rPr>
              <w:t>4.67</w:t>
            </w:r>
          </w:p>
        </w:tc>
        <w:tc>
          <w:tcPr>
            <w:tcW w:w="2295" w:type="dxa"/>
            <w:tcBorders>
              <w:top w:val="nil"/>
              <w:left w:val="nil"/>
              <w:bottom w:val="nil"/>
              <w:right w:val="nil"/>
            </w:tcBorders>
            <w:vAlign w:val="center"/>
          </w:tcPr>
          <w:p w14:paraId="463F2097" w14:textId="29F9EC78" w:rsidR="006438A5" w:rsidRDefault="00DA4594">
            <w:pPr>
              <w:jc w:val="both"/>
              <w:rPr>
                <w:rFonts w:ascii="Arial" w:hAnsi="Arial"/>
              </w:rPr>
            </w:pPr>
            <w:r w:rsidRPr="00BD596C">
              <w:rPr>
                <w:rFonts w:ascii="Arial" w:eastAsiaTheme="minorEastAsia" w:hAnsi="Arial" w:cs="Arial"/>
                <w:lang w:eastAsia="zh-CN"/>
              </w:rPr>
              <w:t>Consistently observed</w:t>
            </w:r>
          </w:p>
        </w:tc>
      </w:tr>
      <w:tr w:rsidR="006438A5" w14:paraId="21403448" w14:textId="77777777" w:rsidTr="00DA4594">
        <w:trPr>
          <w:trHeight w:val="306"/>
          <w:jc w:val="center"/>
        </w:trPr>
        <w:tc>
          <w:tcPr>
            <w:tcW w:w="3815" w:type="dxa"/>
            <w:tcBorders>
              <w:top w:val="nil"/>
              <w:left w:val="nil"/>
              <w:bottom w:val="nil"/>
              <w:right w:val="nil"/>
            </w:tcBorders>
            <w:vAlign w:val="center"/>
          </w:tcPr>
          <w:p w14:paraId="5CFAF479" w14:textId="77777777" w:rsidR="006438A5" w:rsidRDefault="00000000">
            <w:pPr>
              <w:rPr>
                <w:rFonts w:ascii="Arial" w:hAnsi="Arial"/>
              </w:rPr>
            </w:pPr>
            <w:r>
              <w:rPr>
                <w:rFonts w:ascii="Arial" w:hAnsi="Arial"/>
                <w:lang w:eastAsia="zh-CN"/>
              </w:rPr>
              <w:t>Collaborates effectively in groups</w:t>
            </w:r>
          </w:p>
        </w:tc>
        <w:tc>
          <w:tcPr>
            <w:tcW w:w="1096" w:type="dxa"/>
            <w:tcBorders>
              <w:top w:val="nil"/>
              <w:left w:val="nil"/>
              <w:bottom w:val="nil"/>
              <w:right w:val="nil"/>
            </w:tcBorders>
            <w:vAlign w:val="center"/>
          </w:tcPr>
          <w:p w14:paraId="2281B048" w14:textId="77777777" w:rsidR="006438A5" w:rsidRDefault="00000000">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64548A54" w14:textId="77777777" w:rsidR="006438A5" w:rsidRDefault="00000000">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1A4B9FFF" w14:textId="77777777" w:rsidR="006438A5" w:rsidRDefault="00000000">
            <w:pPr>
              <w:jc w:val="both"/>
              <w:rPr>
                <w:rFonts w:ascii="Arial" w:hAnsi="Arial"/>
              </w:rPr>
            </w:pPr>
            <w:r>
              <w:rPr>
                <w:rFonts w:ascii="Arial" w:hAnsi="Arial"/>
                <w:lang w:eastAsia="zh-CN"/>
              </w:rPr>
              <w:t>4</w:t>
            </w:r>
          </w:p>
        </w:tc>
        <w:tc>
          <w:tcPr>
            <w:tcW w:w="1118" w:type="dxa"/>
            <w:tcBorders>
              <w:top w:val="nil"/>
              <w:left w:val="nil"/>
              <w:bottom w:val="nil"/>
              <w:right w:val="nil"/>
            </w:tcBorders>
            <w:vAlign w:val="center"/>
          </w:tcPr>
          <w:p w14:paraId="6245A731" w14:textId="77777777" w:rsidR="006438A5" w:rsidRDefault="00000000">
            <w:pPr>
              <w:jc w:val="both"/>
              <w:rPr>
                <w:rFonts w:ascii="Arial" w:hAnsi="Arial"/>
              </w:rPr>
            </w:pPr>
            <w:r>
              <w:rPr>
                <w:rFonts w:ascii="Arial" w:hAnsi="Arial"/>
                <w:lang w:eastAsia="zh-CN"/>
              </w:rPr>
              <w:t>4.67</w:t>
            </w:r>
          </w:p>
        </w:tc>
        <w:tc>
          <w:tcPr>
            <w:tcW w:w="2295" w:type="dxa"/>
            <w:tcBorders>
              <w:top w:val="nil"/>
              <w:left w:val="nil"/>
              <w:bottom w:val="nil"/>
              <w:right w:val="nil"/>
            </w:tcBorders>
            <w:vAlign w:val="center"/>
          </w:tcPr>
          <w:p w14:paraId="252BED6D" w14:textId="59AC4FBE" w:rsidR="006438A5" w:rsidRDefault="00DA4594">
            <w:pPr>
              <w:jc w:val="both"/>
              <w:rPr>
                <w:rFonts w:ascii="Arial" w:hAnsi="Arial"/>
              </w:rPr>
            </w:pPr>
            <w:r w:rsidRPr="00BD596C">
              <w:rPr>
                <w:rFonts w:ascii="Arial" w:eastAsiaTheme="minorEastAsia" w:hAnsi="Arial" w:cs="Arial"/>
                <w:lang w:eastAsia="zh-CN"/>
              </w:rPr>
              <w:t>Consistently observed</w:t>
            </w:r>
          </w:p>
        </w:tc>
      </w:tr>
      <w:tr w:rsidR="006438A5" w14:paraId="331ADA3A" w14:textId="77777777" w:rsidTr="00DA4594">
        <w:trPr>
          <w:trHeight w:val="326"/>
          <w:jc w:val="center"/>
        </w:trPr>
        <w:tc>
          <w:tcPr>
            <w:tcW w:w="3815" w:type="dxa"/>
            <w:tcBorders>
              <w:top w:val="nil"/>
              <w:left w:val="nil"/>
              <w:bottom w:val="nil"/>
              <w:right w:val="nil"/>
            </w:tcBorders>
            <w:vAlign w:val="center"/>
          </w:tcPr>
          <w:p w14:paraId="37228526" w14:textId="77777777" w:rsidR="006438A5" w:rsidRDefault="00000000">
            <w:pPr>
              <w:rPr>
                <w:rFonts w:ascii="Arial" w:hAnsi="Arial"/>
              </w:rPr>
            </w:pPr>
            <w:r>
              <w:rPr>
                <w:rFonts w:ascii="Arial" w:hAnsi="Arial"/>
                <w:lang w:eastAsia="zh-CN"/>
              </w:rPr>
              <w:t>Provides constructive peer feedback</w:t>
            </w:r>
          </w:p>
        </w:tc>
        <w:tc>
          <w:tcPr>
            <w:tcW w:w="1096" w:type="dxa"/>
            <w:tcBorders>
              <w:top w:val="nil"/>
              <w:left w:val="nil"/>
              <w:bottom w:val="nil"/>
              <w:right w:val="nil"/>
            </w:tcBorders>
            <w:vAlign w:val="center"/>
          </w:tcPr>
          <w:p w14:paraId="425AD839"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3225DF3F"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71F233DF" w14:textId="77777777" w:rsidR="006438A5" w:rsidRDefault="00000000">
            <w:pPr>
              <w:jc w:val="both"/>
              <w:rPr>
                <w:rFonts w:ascii="Arial" w:hAnsi="Arial"/>
              </w:rPr>
            </w:pPr>
            <w:r>
              <w:rPr>
                <w:rFonts w:ascii="Arial" w:hAnsi="Arial"/>
                <w:lang w:eastAsia="zh-CN"/>
              </w:rPr>
              <w:t>5</w:t>
            </w:r>
          </w:p>
        </w:tc>
        <w:tc>
          <w:tcPr>
            <w:tcW w:w="1118" w:type="dxa"/>
            <w:tcBorders>
              <w:top w:val="nil"/>
              <w:left w:val="nil"/>
              <w:bottom w:val="nil"/>
              <w:right w:val="nil"/>
            </w:tcBorders>
            <w:vAlign w:val="center"/>
          </w:tcPr>
          <w:p w14:paraId="73BCF6DB" w14:textId="77777777" w:rsidR="006438A5" w:rsidRDefault="00000000">
            <w:pPr>
              <w:jc w:val="both"/>
              <w:rPr>
                <w:rFonts w:ascii="Arial" w:hAnsi="Arial"/>
              </w:rPr>
            </w:pPr>
            <w:r>
              <w:rPr>
                <w:rFonts w:ascii="Arial" w:hAnsi="Arial"/>
                <w:lang w:eastAsia="zh-CN"/>
              </w:rPr>
              <w:t>4.33</w:t>
            </w:r>
          </w:p>
        </w:tc>
        <w:tc>
          <w:tcPr>
            <w:tcW w:w="2295" w:type="dxa"/>
            <w:tcBorders>
              <w:top w:val="nil"/>
              <w:left w:val="nil"/>
              <w:bottom w:val="nil"/>
              <w:right w:val="nil"/>
            </w:tcBorders>
            <w:vAlign w:val="center"/>
          </w:tcPr>
          <w:p w14:paraId="335731B6" w14:textId="48932E99" w:rsidR="006438A5" w:rsidRDefault="00DA4594">
            <w:pPr>
              <w:jc w:val="both"/>
              <w:rPr>
                <w:rFonts w:ascii="Arial" w:hAnsi="Arial"/>
              </w:rPr>
            </w:pPr>
            <w:r w:rsidRPr="00BD596C">
              <w:rPr>
                <w:rFonts w:ascii="Arial" w:eastAsiaTheme="minorEastAsia" w:hAnsi="Arial" w:cs="Arial"/>
                <w:lang w:eastAsia="zh-CN"/>
              </w:rPr>
              <w:t>Frequently observed</w:t>
            </w:r>
          </w:p>
        </w:tc>
      </w:tr>
      <w:tr w:rsidR="006438A5" w14:paraId="32BCC39F" w14:textId="77777777" w:rsidTr="00DA4594">
        <w:trPr>
          <w:trHeight w:val="459"/>
          <w:jc w:val="center"/>
        </w:trPr>
        <w:tc>
          <w:tcPr>
            <w:tcW w:w="3815" w:type="dxa"/>
            <w:tcBorders>
              <w:top w:val="nil"/>
              <w:left w:val="nil"/>
              <w:bottom w:val="nil"/>
              <w:right w:val="nil"/>
            </w:tcBorders>
            <w:vAlign w:val="center"/>
          </w:tcPr>
          <w:p w14:paraId="2832A502" w14:textId="77777777" w:rsidR="006438A5" w:rsidRDefault="00000000">
            <w:pPr>
              <w:rPr>
                <w:rFonts w:ascii="Arial" w:hAnsi="Arial"/>
              </w:rPr>
            </w:pPr>
            <w:r>
              <w:rPr>
                <w:rFonts w:ascii="Arial" w:hAnsi="Arial"/>
                <w:lang w:eastAsia="zh-CN"/>
              </w:rPr>
              <w:t>Incorporates suggestions from discussions</w:t>
            </w:r>
          </w:p>
        </w:tc>
        <w:tc>
          <w:tcPr>
            <w:tcW w:w="1096" w:type="dxa"/>
            <w:tcBorders>
              <w:top w:val="nil"/>
              <w:left w:val="nil"/>
              <w:bottom w:val="nil"/>
              <w:right w:val="nil"/>
            </w:tcBorders>
            <w:vAlign w:val="center"/>
          </w:tcPr>
          <w:p w14:paraId="39F11192" w14:textId="77777777" w:rsidR="006438A5" w:rsidRDefault="00000000">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703BF1B1"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46B40378" w14:textId="77777777" w:rsidR="006438A5" w:rsidRDefault="00000000">
            <w:pPr>
              <w:jc w:val="both"/>
              <w:rPr>
                <w:rFonts w:ascii="Arial" w:hAnsi="Arial"/>
              </w:rPr>
            </w:pPr>
            <w:r>
              <w:rPr>
                <w:rFonts w:ascii="Arial" w:hAnsi="Arial"/>
                <w:lang w:eastAsia="zh-CN"/>
              </w:rPr>
              <w:t>4</w:t>
            </w:r>
          </w:p>
        </w:tc>
        <w:tc>
          <w:tcPr>
            <w:tcW w:w="1118" w:type="dxa"/>
            <w:tcBorders>
              <w:top w:val="nil"/>
              <w:left w:val="nil"/>
              <w:bottom w:val="nil"/>
              <w:right w:val="nil"/>
            </w:tcBorders>
            <w:vAlign w:val="center"/>
          </w:tcPr>
          <w:p w14:paraId="02F5E94A" w14:textId="77777777" w:rsidR="006438A5" w:rsidRDefault="00000000">
            <w:pPr>
              <w:jc w:val="both"/>
              <w:rPr>
                <w:rFonts w:ascii="Arial" w:hAnsi="Arial"/>
              </w:rPr>
            </w:pPr>
            <w:r>
              <w:rPr>
                <w:rFonts w:ascii="Arial" w:hAnsi="Arial"/>
                <w:lang w:eastAsia="zh-CN"/>
              </w:rPr>
              <w:t>4.33</w:t>
            </w:r>
          </w:p>
        </w:tc>
        <w:tc>
          <w:tcPr>
            <w:tcW w:w="2295" w:type="dxa"/>
            <w:tcBorders>
              <w:top w:val="nil"/>
              <w:left w:val="nil"/>
              <w:bottom w:val="nil"/>
              <w:right w:val="nil"/>
            </w:tcBorders>
            <w:vAlign w:val="center"/>
          </w:tcPr>
          <w:p w14:paraId="2F03756E" w14:textId="403946BB" w:rsidR="006438A5" w:rsidRDefault="00DA4594">
            <w:pPr>
              <w:jc w:val="both"/>
              <w:rPr>
                <w:rFonts w:ascii="Arial" w:hAnsi="Arial"/>
              </w:rPr>
            </w:pPr>
            <w:r w:rsidRPr="00BD596C">
              <w:rPr>
                <w:rFonts w:ascii="Arial" w:eastAsiaTheme="minorEastAsia" w:hAnsi="Arial" w:cs="Arial"/>
                <w:lang w:eastAsia="zh-CN"/>
              </w:rPr>
              <w:t>Frequently observed</w:t>
            </w:r>
          </w:p>
        </w:tc>
      </w:tr>
      <w:tr w:rsidR="006438A5" w14:paraId="6BF9661B" w14:textId="77777777" w:rsidTr="00DA4594">
        <w:trPr>
          <w:trHeight w:val="306"/>
          <w:jc w:val="center"/>
        </w:trPr>
        <w:tc>
          <w:tcPr>
            <w:tcW w:w="3815" w:type="dxa"/>
            <w:tcBorders>
              <w:top w:val="nil"/>
              <w:left w:val="nil"/>
              <w:bottom w:val="nil"/>
              <w:right w:val="nil"/>
            </w:tcBorders>
            <w:vAlign w:val="center"/>
          </w:tcPr>
          <w:p w14:paraId="0EA98042" w14:textId="77777777" w:rsidR="006438A5" w:rsidRDefault="00000000">
            <w:pPr>
              <w:rPr>
                <w:rFonts w:ascii="Arial" w:hAnsi="Arial"/>
              </w:rPr>
            </w:pPr>
            <w:r>
              <w:rPr>
                <w:rFonts w:ascii="Arial" w:hAnsi="Arial"/>
                <w:lang w:eastAsia="zh-CN"/>
              </w:rPr>
              <w:t>Produces accurate written outputs</w:t>
            </w:r>
          </w:p>
        </w:tc>
        <w:tc>
          <w:tcPr>
            <w:tcW w:w="1096" w:type="dxa"/>
            <w:tcBorders>
              <w:top w:val="nil"/>
              <w:left w:val="nil"/>
              <w:bottom w:val="nil"/>
              <w:right w:val="nil"/>
            </w:tcBorders>
            <w:vAlign w:val="center"/>
          </w:tcPr>
          <w:p w14:paraId="17AA211F"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74C55E20" w14:textId="77777777" w:rsidR="006438A5" w:rsidRDefault="00000000">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52B8F6D9" w14:textId="77777777" w:rsidR="006438A5" w:rsidRDefault="00000000">
            <w:pPr>
              <w:jc w:val="both"/>
              <w:rPr>
                <w:rFonts w:ascii="Arial" w:hAnsi="Arial"/>
              </w:rPr>
            </w:pPr>
            <w:r>
              <w:rPr>
                <w:rFonts w:ascii="Arial" w:hAnsi="Arial"/>
                <w:lang w:eastAsia="zh-CN"/>
              </w:rPr>
              <w:t>5</w:t>
            </w:r>
          </w:p>
        </w:tc>
        <w:tc>
          <w:tcPr>
            <w:tcW w:w="1118" w:type="dxa"/>
            <w:tcBorders>
              <w:top w:val="nil"/>
              <w:left w:val="nil"/>
              <w:bottom w:val="nil"/>
              <w:right w:val="nil"/>
            </w:tcBorders>
            <w:vAlign w:val="center"/>
          </w:tcPr>
          <w:p w14:paraId="1CE2BB2D" w14:textId="77777777" w:rsidR="006438A5" w:rsidRDefault="00000000">
            <w:pPr>
              <w:jc w:val="both"/>
              <w:rPr>
                <w:rFonts w:ascii="Arial" w:hAnsi="Arial"/>
              </w:rPr>
            </w:pPr>
            <w:r>
              <w:rPr>
                <w:rFonts w:ascii="Arial" w:hAnsi="Arial"/>
                <w:lang w:eastAsia="zh-CN"/>
              </w:rPr>
              <w:t>4.67</w:t>
            </w:r>
          </w:p>
        </w:tc>
        <w:tc>
          <w:tcPr>
            <w:tcW w:w="2295" w:type="dxa"/>
            <w:tcBorders>
              <w:top w:val="nil"/>
              <w:left w:val="nil"/>
              <w:bottom w:val="nil"/>
              <w:right w:val="nil"/>
            </w:tcBorders>
            <w:vAlign w:val="center"/>
          </w:tcPr>
          <w:p w14:paraId="413366BE" w14:textId="5ED63B69" w:rsidR="006438A5" w:rsidRDefault="00DA4594">
            <w:pPr>
              <w:jc w:val="both"/>
              <w:rPr>
                <w:rFonts w:ascii="Arial" w:hAnsi="Arial"/>
              </w:rPr>
            </w:pPr>
            <w:r w:rsidRPr="00BD596C">
              <w:rPr>
                <w:rFonts w:ascii="Arial" w:eastAsiaTheme="minorEastAsia" w:hAnsi="Arial" w:cs="Arial"/>
                <w:lang w:eastAsia="zh-CN"/>
              </w:rPr>
              <w:t>Consistently observed</w:t>
            </w:r>
          </w:p>
        </w:tc>
      </w:tr>
      <w:tr w:rsidR="006438A5" w14:paraId="0AAB3B90" w14:textId="77777777" w:rsidTr="00DA4594">
        <w:trPr>
          <w:trHeight w:val="269"/>
          <w:jc w:val="center"/>
        </w:trPr>
        <w:tc>
          <w:tcPr>
            <w:tcW w:w="3815" w:type="dxa"/>
            <w:tcBorders>
              <w:top w:val="nil"/>
              <w:left w:val="nil"/>
              <w:bottom w:val="nil"/>
              <w:right w:val="nil"/>
            </w:tcBorders>
            <w:vAlign w:val="center"/>
          </w:tcPr>
          <w:p w14:paraId="59CF06E7" w14:textId="77777777" w:rsidR="006438A5" w:rsidRDefault="00000000">
            <w:pPr>
              <w:rPr>
                <w:rFonts w:ascii="Arial" w:hAnsi="Arial"/>
              </w:rPr>
            </w:pPr>
            <w:r>
              <w:rPr>
                <w:rFonts w:ascii="Arial" w:hAnsi="Arial"/>
                <w:lang w:eastAsia="zh-CN"/>
              </w:rPr>
              <w:t>Completes assignments on time</w:t>
            </w:r>
          </w:p>
        </w:tc>
        <w:tc>
          <w:tcPr>
            <w:tcW w:w="1096" w:type="dxa"/>
            <w:tcBorders>
              <w:top w:val="nil"/>
              <w:left w:val="nil"/>
              <w:bottom w:val="nil"/>
              <w:right w:val="nil"/>
            </w:tcBorders>
            <w:vAlign w:val="center"/>
          </w:tcPr>
          <w:p w14:paraId="7648B7BD" w14:textId="77777777" w:rsidR="006438A5" w:rsidRDefault="00000000">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5EBDB61C" w14:textId="77777777" w:rsidR="006438A5" w:rsidRDefault="00000000">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2F00321B" w14:textId="77777777" w:rsidR="006438A5" w:rsidRDefault="00000000">
            <w:pPr>
              <w:jc w:val="both"/>
              <w:rPr>
                <w:rFonts w:ascii="Arial" w:hAnsi="Arial"/>
              </w:rPr>
            </w:pPr>
            <w:r>
              <w:rPr>
                <w:rFonts w:ascii="Arial" w:hAnsi="Arial"/>
                <w:lang w:eastAsia="zh-CN"/>
              </w:rPr>
              <w:t>5</w:t>
            </w:r>
          </w:p>
        </w:tc>
        <w:tc>
          <w:tcPr>
            <w:tcW w:w="1118" w:type="dxa"/>
            <w:tcBorders>
              <w:top w:val="nil"/>
              <w:left w:val="nil"/>
              <w:bottom w:val="nil"/>
              <w:right w:val="nil"/>
            </w:tcBorders>
            <w:vAlign w:val="center"/>
          </w:tcPr>
          <w:p w14:paraId="358EF8CC" w14:textId="77777777" w:rsidR="006438A5" w:rsidRDefault="00000000">
            <w:pPr>
              <w:jc w:val="both"/>
              <w:rPr>
                <w:rFonts w:ascii="Arial" w:hAnsi="Arial"/>
              </w:rPr>
            </w:pPr>
            <w:r>
              <w:rPr>
                <w:rFonts w:ascii="Arial" w:hAnsi="Arial"/>
                <w:lang w:eastAsia="zh-CN"/>
              </w:rPr>
              <w:t>5.00</w:t>
            </w:r>
          </w:p>
        </w:tc>
        <w:tc>
          <w:tcPr>
            <w:tcW w:w="2295" w:type="dxa"/>
            <w:tcBorders>
              <w:top w:val="nil"/>
              <w:left w:val="nil"/>
              <w:bottom w:val="nil"/>
              <w:right w:val="nil"/>
            </w:tcBorders>
            <w:vAlign w:val="center"/>
          </w:tcPr>
          <w:p w14:paraId="48EB6C6C" w14:textId="107E4D55" w:rsidR="006438A5" w:rsidRDefault="00DA4594">
            <w:pPr>
              <w:jc w:val="both"/>
              <w:rPr>
                <w:rFonts w:ascii="Arial" w:hAnsi="Arial"/>
              </w:rPr>
            </w:pPr>
            <w:r w:rsidRPr="00BD596C">
              <w:rPr>
                <w:rFonts w:ascii="Arial" w:eastAsiaTheme="minorEastAsia" w:hAnsi="Arial" w:cs="Arial"/>
                <w:lang w:eastAsia="zh-CN"/>
              </w:rPr>
              <w:t>Consistently observed</w:t>
            </w:r>
          </w:p>
        </w:tc>
      </w:tr>
      <w:tr w:rsidR="006438A5" w14:paraId="6C06EBBA" w14:textId="77777777" w:rsidTr="00DA4594">
        <w:trPr>
          <w:trHeight w:val="356"/>
          <w:jc w:val="center"/>
        </w:trPr>
        <w:tc>
          <w:tcPr>
            <w:tcW w:w="3815" w:type="dxa"/>
            <w:tcBorders>
              <w:top w:val="nil"/>
              <w:left w:val="nil"/>
              <w:bottom w:val="nil"/>
              <w:right w:val="nil"/>
            </w:tcBorders>
            <w:vAlign w:val="center"/>
          </w:tcPr>
          <w:p w14:paraId="6618ABFF" w14:textId="77777777" w:rsidR="006438A5" w:rsidRDefault="00000000">
            <w:pPr>
              <w:rPr>
                <w:rFonts w:ascii="Arial" w:hAnsi="Arial"/>
              </w:rPr>
            </w:pPr>
            <w:r>
              <w:rPr>
                <w:rFonts w:ascii="Arial" w:hAnsi="Arial"/>
                <w:lang w:eastAsia="zh-CN"/>
              </w:rPr>
              <w:t>Adhere to writing guidelines</w:t>
            </w:r>
          </w:p>
        </w:tc>
        <w:tc>
          <w:tcPr>
            <w:tcW w:w="1096" w:type="dxa"/>
            <w:tcBorders>
              <w:top w:val="nil"/>
              <w:left w:val="nil"/>
              <w:bottom w:val="nil"/>
              <w:right w:val="nil"/>
            </w:tcBorders>
            <w:vAlign w:val="center"/>
          </w:tcPr>
          <w:p w14:paraId="5B8B47AD"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0949A339" w14:textId="77777777" w:rsidR="006438A5" w:rsidRDefault="00000000">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69078058" w14:textId="77777777" w:rsidR="006438A5" w:rsidRDefault="00000000">
            <w:pPr>
              <w:jc w:val="both"/>
              <w:rPr>
                <w:rFonts w:ascii="Arial" w:hAnsi="Arial"/>
              </w:rPr>
            </w:pPr>
            <w:r>
              <w:rPr>
                <w:rFonts w:ascii="Arial" w:hAnsi="Arial"/>
                <w:lang w:eastAsia="zh-CN"/>
              </w:rPr>
              <w:t>4</w:t>
            </w:r>
          </w:p>
        </w:tc>
        <w:tc>
          <w:tcPr>
            <w:tcW w:w="1118" w:type="dxa"/>
            <w:tcBorders>
              <w:top w:val="nil"/>
              <w:left w:val="nil"/>
              <w:bottom w:val="nil"/>
              <w:right w:val="nil"/>
            </w:tcBorders>
            <w:vAlign w:val="center"/>
          </w:tcPr>
          <w:p w14:paraId="5FD3AA7A" w14:textId="77777777" w:rsidR="006438A5" w:rsidRDefault="00000000">
            <w:pPr>
              <w:jc w:val="both"/>
              <w:rPr>
                <w:rFonts w:ascii="Arial" w:hAnsi="Arial"/>
              </w:rPr>
            </w:pPr>
            <w:r>
              <w:rPr>
                <w:rFonts w:ascii="Arial" w:hAnsi="Arial"/>
                <w:lang w:eastAsia="zh-CN"/>
              </w:rPr>
              <w:t>4.33</w:t>
            </w:r>
          </w:p>
        </w:tc>
        <w:tc>
          <w:tcPr>
            <w:tcW w:w="2295" w:type="dxa"/>
            <w:tcBorders>
              <w:top w:val="nil"/>
              <w:left w:val="nil"/>
              <w:bottom w:val="nil"/>
              <w:right w:val="nil"/>
            </w:tcBorders>
            <w:vAlign w:val="center"/>
          </w:tcPr>
          <w:p w14:paraId="563FE37C" w14:textId="787045DC" w:rsidR="006438A5" w:rsidRDefault="00DA4594">
            <w:pPr>
              <w:jc w:val="both"/>
              <w:rPr>
                <w:rFonts w:ascii="Arial" w:hAnsi="Arial"/>
              </w:rPr>
            </w:pPr>
            <w:r w:rsidRPr="00BD596C">
              <w:rPr>
                <w:rFonts w:ascii="Arial" w:eastAsiaTheme="minorEastAsia" w:hAnsi="Arial" w:cs="Arial"/>
                <w:lang w:eastAsia="zh-CN"/>
              </w:rPr>
              <w:t>Frequently observed</w:t>
            </w:r>
          </w:p>
        </w:tc>
      </w:tr>
      <w:tr w:rsidR="006438A5" w14:paraId="70FF2FEB" w14:textId="77777777" w:rsidTr="00DA4594">
        <w:trPr>
          <w:trHeight w:val="386"/>
          <w:jc w:val="center"/>
        </w:trPr>
        <w:tc>
          <w:tcPr>
            <w:tcW w:w="3815" w:type="dxa"/>
            <w:tcBorders>
              <w:top w:val="nil"/>
              <w:left w:val="nil"/>
              <w:bottom w:val="nil"/>
              <w:right w:val="nil"/>
            </w:tcBorders>
            <w:vAlign w:val="center"/>
          </w:tcPr>
          <w:p w14:paraId="608E3D0C" w14:textId="77777777" w:rsidR="006438A5" w:rsidRDefault="00000000">
            <w:pPr>
              <w:rPr>
                <w:rFonts w:ascii="Arial" w:hAnsi="Arial"/>
              </w:rPr>
            </w:pPr>
            <w:r>
              <w:rPr>
                <w:rFonts w:ascii="Arial" w:hAnsi="Arial"/>
                <w:lang w:eastAsia="zh-CN"/>
              </w:rPr>
              <w:t>Revises drafts based on feedback</w:t>
            </w:r>
          </w:p>
        </w:tc>
        <w:tc>
          <w:tcPr>
            <w:tcW w:w="1096" w:type="dxa"/>
            <w:tcBorders>
              <w:top w:val="nil"/>
              <w:left w:val="nil"/>
              <w:bottom w:val="nil"/>
              <w:right w:val="nil"/>
            </w:tcBorders>
            <w:vAlign w:val="center"/>
          </w:tcPr>
          <w:p w14:paraId="4BC8E693"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754280D9"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1355F0CF" w14:textId="77777777" w:rsidR="006438A5" w:rsidRDefault="00000000">
            <w:pPr>
              <w:jc w:val="both"/>
              <w:rPr>
                <w:rFonts w:ascii="Arial" w:hAnsi="Arial"/>
              </w:rPr>
            </w:pPr>
            <w:r>
              <w:rPr>
                <w:rFonts w:ascii="Arial" w:hAnsi="Arial"/>
                <w:lang w:eastAsia="zh-CN"/>
              </w:rPr>
              <w:t>5</w:t>
            </w:r>
          </w:p>
        </w:tc>
        <w:tc>
          <w:tcPr>
            <w:tcW w:w="1118" w:type="dxa"/>
            <w:tcBorders>
              <w:top w:val="nil"/>
              <w:left w:val="nil"/>
              <w:bottom w:val="nil"/>
              <w:right w:val="nil"/>
            </w:tcBorders>
            <w:vAlign w:val="center"/>
          </w:tcPr>
          <w:p w14:paraId="6303DEEF" w14:textId="77777777" w:rsidR="006438A5" w:rsidRDefault="00000000">
            <w:pPr>
              <w:jc w:val="both"/>
              <w:rPr>
                <w:rFonts w:ascii="Arial" w:hAnsi="Arial"/>
              </w:rPr>
            </w:pPr>
            <w:r>
              <w:rPr>
                <w:rFonts w:ascii="Arial" w:hAnsi="Arial"/>
                <w:lang w:eastAsia="zh-CN"/>
              </w:rPr>
              <w:t>4.33</w:t>
            </w:r>
          </w:p>
        </w:tc>
        <w:tc>
          <w:tcPr>
            <w:tcW w:w="2295" w:type="dxa"/>
            <w:tcBorders>
              <w:top w:val="nil"/>
              <w:left w:val="nil"/>
              <w:bottom w:val="nil"/>
              <w:right w:val="nil"/>
            </w:tcBorders>
            <w:vAlign w:val="center"/>
          </w:tcPr>
          <w:p w14:paraId="268C5755" w14:textId="39BD789E" w:rsidR="006438A5" w:rsidRDefault="00DA4594">
            <w:pPr>
              <w:jc w:val="both"/>
              <w:rPr>
                <w:rFonts w:ascii="Arial" w:hAnsi="Arial"/>
              </w:rPr>
            </w:pPr>
            <w:r w:rsidRPr="00BD596C">
              <w:rPr>
                <w:rFonts w:ascii="Arial" w:eastAsiaTheme="minorEastAsia" w:hAnsi="Arial" w:cs="Arial"/>
                <w:lang w:eastAsia="zh-CN"/>
              </w:rPr>
              <w:t>Frequently observed</w:t>
            </w:r>
          </w:p>
        </w:tc>
      </w:tr>
      <w:tr w:rsidR="006438A5" w14:paraId="3A8B5929" w14:textId="77777777" w:rsidTr="00DA4594">
        <w:trPr>
          <w:trHeight w:val="259"/>
          <w:jc w:val="center"/>
        </w:trPr>
        <w:tc>
          <w:tcPr>
            <w:tcW w:w="3815" w:type="dxa"/>
            <w:tcBorders>
              <w:top w:val="nil"/>
              <w:left w:val="nil"/>
              <w:bottom w:val="nil"/>
              <w:right w:val="nil"/>
            </w:tcBorders>
            <w:vAlign w:val="center"/>
          </w:tcPr>
          <w:p w14:paraId="08DE34A0" w14:textId="77777777" w:rsidR="006438A5" w:rsidRDefault="00000000">
            <w:pPr>
              <w:rPr>
                <w:rFonts w:ascii="Arial" w:hAnsi="Arial"/>
              </w:rPr>
            </w:pPr>
            <w:r>
              <w:rPr>
                <w:rFonts w:ascii="Arial" w:hAnsi="Arial"/>
                <w:lang w:eastAsia="zh-CN"/>
              </w:rPr>
              <w:t>Engages in reflective writing</w:t>
            </w:r>
          </w:p>
        </w:tc>
        <w:tc>
          <w:tcPr>
            <w:tcW w:w="1096" w:type="dxa"/>
            <w:tcBorders>
              <w:top w:val="nil"/>
              <w:left w:val="nil"/>
              <w:bottom w:val="nil"/>
              <w:right w:val="nil"/>
            </w:tcBorders>
            <w:vAlign w:val="center"/>
          </w:tcPr>
          <w:p w14:paraId="4F95811E"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35872F12" w14:textId="77777777" w:rsidR="006438A5" w:rsidRDefault="00000000">
            <w:pPr>
              <w:jc w:val="both"/>
              <w:rPr>
                <w:rFonts w:ascii="Arial" w:hAnsi="Arial"/>
              </w:rPr>
            </w:pPr>
            <w:r>
              <w:rPr>
                <w:rFonts w:ascii="Arial" w:hAnsi="Arial"/>
                <w:lang w:eastAsia="zh-CN"/>
              </w:rPr>
              <w:t>3</w:t>
            </w:r>
          </w:p>
        </w:tc>
        <w:tc>
          <w:tcPr>
            <w:tcW w:w="0" w:type="auto"/>
            <w:tcBorders>
              <w:top w:val="nil"/>
              <w:left w:val="nil"/>
              <w:bottom w:val="nil"/>
              <w:right w:val="nil"/>
            </w:tcBorders>
            <w:vAlign w:val="center"/>
          </w:tcPr>
          <w:p w14:paraId="1E2590D8" w14:textId="77777777" w:rsidR="006438A5" w:rsidRDefault="00000000">
            <w:pPr>
              <w:jc w:val="both"/>
              <w:rPr>
                <w:rFonts w:ascii="Arial" w:hAnsi="Arial"/>
              </w:rPr>
            </w:pPr>
            <w:r>
              <w:rPr>
                <w:rFonts w:ascii="Arial" w:hAnsi="Arial"/>
                <w:lang w:eastAsia="zh-CN"/>
              </w:rPr>
              <w:t>2</w:t>
            </w:r>
          </w:p>
        </w:tc>
        <w:tc>
          <w:tcPr>
            <w:tcW w:w="1118" w:type="dxa"/>
            <w:tcBorders>
              <w:top w:val="nil"/>
              <w:left w:val="nil"/>
              <w:bottom w:val="nil"/>
              <w:right w:val="nil"/>
            </w:tcBorders>
            <w:vAlign w:val="center"/>
          </w:tcPr>
          <w:p w14:paraId="22327700" w14:textId="77777777" w:rsidR="006438A5" w:rsidRDefault="00000000">
            <w:pPr>
              <w:jc w:val="both"/>
              <w:rPr>
                <w:rFonts w:ascii="Arial" w:hAnsi="Arial"/>
              </w:rPr>
            </w:pPr>
            <w:r>
              <w:rPr>
                <w:rFonts w:ascii="Arial" w:hAnsi="Arial"/>
                <w:lang w:eastAsia="zh-CN"/>
              </w:rPr>
              <w:t>3.00</w:t>
            </w:r>
          </w:p>
        </w:tc>
        <w:tc>
          <w:tcPr>
            <w:tcW w:w="2295" w:type="dxa"/>
            <w:tcBorders>
              <w:top w:val="nil"/>
              <w:left w:val="nil"/>
              <w:bottom w:val="nil"/>
              <w:right w:val="nil"/>
            </w:tcBorders>
            <w:vAlign w:val="center"/>
          </w:tcPr>
          <w:p w14:paraId="050C0E40" w14:textId="52450DA8" w:rsidR="006438A5" w:rsidRDefault="00DA4594">
            <w:pPr>
              <w:jc w:val="both"/>
              <w:rPr>
                <w:rFonts w:ascii="Arial" w:hAnsi="Arial"/>
              </w:rPr>
            </w:pPr>
            <w:r w:rsidRPr="00BD596C">
              <w:rPr>
                <w:rFonts w:ascii="Arial" w:eastAsiaTheme="minorEastAsia" w:hAnsi="Arial" w:cs="Arial"/>
                <w:lang w:eastAsia="zh-CN"/>
              </w:rPr>
              <w:t>Sometimes observed</w:t>
            </w:r>
          </w:p>
        </w:tc>
      </w:tr>
      <w:tr w:rsidR="006438A5" w14:paraId="3AC811EE" w14:textId="77777777" w:rsidTr="00DA4594">
        <w:trPr>
          <w:trHeight w:val="246"/>
          <w:jc w:val="center"/>
        </w:trPr>
        <w:tc>
          <w:tcPr>
            <w:tcW w:w="3815" w:type="dxa"/>
            <w:tcBorders>
              <w:top w:val="nil"/>
              <w:left w:val="nil"/>
              <w:bottom w:val="nil"/>
              <w:right w:val="nil"/>
            </w:tcBorders>
            <w:vAlign w:val="center"/>
          </w:tcPr>
          <w:p w14:paraId="0EE83E4F" w14:textId="77777777" w:rsidR="006438A5" w:rsidRDefault="00000000">
            <w:pPr>
              <w:rPr>
                <w:rFonts w:ascii="Arial" w:hAnsi="Arial"/>
              </w:rPr>
            </w:pPr>
            <w:r>
              <w:rPr>
                <w:rFonts w:ascii="Arial" w:hAnsi="Arial"/>
                <w:lang w:eastAsia="zh-CN"/>
              </w:rPr>
              <w:t>Identifies areas for improvement</w:t>
            </w:r>
          </w:p>
        </w:tc>
        <w:tc>
          <w:tcPr>
            <w:tcW w:w="1096" w:type="dxa"/>
            <w:tcBorders>
              <w:top w:val="nil"/>
              <w:left w:val="nil"/>
              <w:bottom w:val="nil"/>
              <w:right w:val="nil"/>
            </w:tcBorders>
            <w:vAlign w:val="center"/>
          </w:tcPr>
          <w:p w14:paraId="7EAB09F4"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nil"/>
              <w:right w:val="nil"/>
            </w:tcBorders>
            <w:vAlign w:val="center"/>
          </w:tcPr>
          <w:p w14:paraId="02A9CAC2" w14:textId="77777777" w:rsidR="006438A5" w:rsidRDefault="00000000">
            <w:pPr>
              <w:jc w:val="both"/>
              <w:rPr>
                <w:rFonts w:ascii="Arial" w:hAnsi="Arial"/>
              </w:rPr>
            </w:pPr>
            <w:r>
              <w:rPr>
                <w:rFonts w:ascii="Arial" w:hAnsi="Arial"/>
                <w:lang w:eastAsia="zh-CN"/>
              </w:rPr>
              <w:t>5</w:t>
            </w:r>
          </w:p>
        </w:tc>
        <w:tc>
          <w:tcPr>
            <w:tcW w:w="0" w:type="auto"/>
            <w:tcBorders>
              <w:top w:val="nil"/>
              <w:left w:val="nil"/>
              <w:bottom w:val="nil"/>
              <w:right w:val="nil"/>
            </w:tcBorders>
            <w:vAlign w:val="center"/>
          </w:tcPr>
          <w:p w14:paraId="46D4245B" w14:textId="77777777" w:rsidR="006438A5" w:rsidRDefault="00000000">
            <w:pPr>
              <w:jc w:val="both"/>
              <w:rPr>
                <w:rFonts w:ascii="Arial" w:hAnsi="Arial"/>
              </w:rPr>
            </w:pPr>
            <w:r>
              <w:rPr>
                <w:rFonts w:ascii="Arial" w:hAnsi="Arial"/>
                <w:lang w:eastAsia="zh-CN"/>
              </w:rPr>
              <w:t>5</w:t>
            </w:r>
          </w:p>
        </w:tc>
        <w:tc>
          <w:tcPr>
            <w:tcW w:w="1118" w:type="dxa"/>
            <w:tcBorders>
              <w:top w:val="nil"/>
              <w:left w:val="nil"/>
              <w:bottom w:val="nil"/>
              <w:right w:val="nil"/>
            </w:tcBorders>
            <w:vAlign w:val="center"/>
          </w:tcPr>
          <w:p w14:paraId="53839386" w14:textId="77777777" w:rsidR="006438A5" w:rsidRDefault="00000000">
            <w:pPr>
              <w:jc w:val="both"/>
              <w:rPr>
                <w:rFonts w:ascii="Arial" w:hAnsi="Arial"/>
              </w:rPr>
            </w:pPr>
            <w:r>
              <w:rPr>
                <w:rFonts w:ascii="Arial" w:hAnsi="Arial"/>
                <w:lang w:eastAsia="zh-CN"/>
              </w:rPr>
              <w:t>4.67</w:t>
            </w:r>
          </w:p>
        </w:tc>
        <w:tc>
          <w:tcPr>
            <w:tcW w:w="2295" w:type="dxa"/>
            <w:tcBorders>
              <w:top w:val="nil"/>
              <w:left w:val="nil"/>
              <w:bottom w:val="nil"/>
              <w:right w:val="nil"/>
            </w:tcBorders>
            <w:vAlign w:val="center"/>
          </w:tcPr>
          <w:p w14:paraId="79BF4BB3" w14:textId="76A75E69" w:rsidR="006438A5" w:rsidRDefault="00DA4594">
            <w:pPr>
              <w:jc w:val="both"/>
              <w:rPr>
                <w:rFonts w:ascii="Arial" w:hAnsi="Arial"/>
              </w:rPr>
            </w:pPr>
            <w:r w:rsidRPr="00BD596C">
              <w:rPr>
                <w:rFonts w:ascii="Arial" w:eastAsiaTheme="minorEastAsia" w:hAnsi="Arial" w:cs="Arial"/>
                <w:lang w:eastAsia="zh-CN"/>
              </w:rPr>
              <w:t>Consistently observed</w:t>
            </w:r>
          </w:p>
        </w:tc>
      </w:tr>
      <w:tr w:rsidR="006438A5" w14:paraId="4952CDA7" w14:textId="77777777" w:rsidTr="00DA4594">
        <w:trPr>
          <w:trHeight w:val="336"/>
          <w:jc w:val="center"/>
        </w:trPr>
        <w:tc>
          <w:tcPr>
            <w:tcW w:w="3815" w:type="dxa"/>
            <w:tcBorders>
              <w:top w:val="nil"/>
              <w:left w:val="nil"/>
              <w:bottom w:val="single" w:sz="4" w:space="0" w:color="auto"/>
              <w:right w:val="nil"/>
            </w:tcBorders>
            <w:vAlign w:val="center"/>
          </w:tcPr>
          <w:p w14:paraId="2864B3B3" w14:textId="77777777" w:rsidR="006438A5" w:rsidRDefault="00000000">
            <w:pPr>
              <w:rPr>
                <w:rFonts w:ascii="Arial" w:hAnsi="Arial"/>
              </w:rPr>
            </w:pPr>
            <w:r>
              <w:rPr>
                <w:rFonts w:ascii="Arial" w:hAnsi="Arial"/>
                <w:lang w:eastAsia="zh-CN"/>
              </w:rPr>
              <w:t>Demonstrates leadership in group work</w:t>
            </w:r>
          </w:p>
        </w:tc>
        <w:tc>
          <w:tcPr>
            <w:tcW w:w="1096" w:type="dxa"/>
            <w:tcBorders>
              <w:top w:val="nil"/>
              <w:left w:val="nil"/>
              <w:bottom w:val="single" w:sz="4" w:space="0" w:color="auto"/>
              <w:right w:val="nil"/>
            </w:tcBorders>
            <w:vAlign w:val="center"/>
          </w:tcPr>
          <w:p w14:paraId="3A4EA482"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single" w:sz="4" w:space="0" w:color="auto"/>
              <w:right w:val="nil"/>
            </w:tcBorders>
            <w:vAlign w:val="center"/>
          </w:tcPr>
          <w:p w14:paraId="7609D7D4" w14:textId="77777777" w:rsidR="006438A5" w:rsidRDefault="00000000">
            <w:pPr>
              <w:jc w:val="both"/>
              <w:rPr>
                <w:rFonts w:ascii="Arial" w:hAnsi="Arial"/>
              </w:rPr>
            </w:pPr>
            <w:r>
              <w:rPr>
                <w:rFonts w:ascii="Arial" w:hAnsi="Arial"/>
                <w:lang w:eastAsia="zh-CN"/>
              </w:rPr>
              <w:t>4</w:t>
            </w:r>
          </w:p>
        </w:tc>
        <w:tc>
          <w:tcPr>
            <w:tcW w:w="0" w:type="auto"/>
            <w:tcBorders>
              <w:top w:val="nil"/>
              <w:left w:val="nil"/>
              <w:bottom w:val="single" w:sz="4" w:space="0" w:color="auto"/>
              <w:right w:val="nil"/>
            </w:tcBorders>
            <w:vAlign w:val="center"/>
          </w:tcPr>
          <w:p w14:paraId="72A9E097" w14:textId="77777777" w:rsidR="006438A5" w:rsidRDefault="00000000">
            <w:pPr>
              <w:jc w:val="both"/>
              <w:rPr>
                <w:rFonts w:ascii="Arial" w:hAnsi="Arial"/>
              </w:rPr>
            </w:pPr>
            <w:r>
              <w:rPr>
                <w:rFonts w:ascii="Arial" w:hAnsi="Arial"/>
                <w:lang w:eastAsia="zh-CN"/>
              </w:rPr>
              <w:t>5</w:t>
            </w:r>
          </w:p>
        </w:tc>
        <w:tc>
          <w:tcPr>
            <w:tcW w:w="1118" w:type="dxa"/>
            <w:tcBorders>
              <w:top w:val="nil"/>
              <w:left w:val="nil"/>
              <w:bottom w:val="single" w:sz="4" w:space="0" w:color="auto"/>
              <w:right w:val="nil"/>
            </w:tcBorders>
            <w:vAlign w:val="center"/>
          </w:tcPr>
          <w:p w14:paraId="7A19F55E" w14:textId="77777777" w:rsidR="006438A5" w:rsidRDefault="00000000">
            <w:pPr>
              <w:jc w:val="both"/>
              <w:rPr>
                <w:rFonts w:ascii="Arial" w:hAnsi="Arial"/>
              </w:rPr>
            </w:pPr>
            <w:r>
              <w:rPr>
                <w:rFonts w:ascii="Arial" w:hAnsi="Arial"/>
                <w:lang w:eastAsia="zh-CN"/>
              </w:rPr>
              <w:t>4.33</w:t>
            </w:r>
          </w:p>
        </w:tc>
        <w:tc>
          <w:tcPr>
            <w:tcW w:w="2295" w:type="dxa"/>
            <w:tcBorders>
              <w:top w:val="nil"/>
              <w:left w:val="nil"/>
              <w:bottom w:val="single" w:sz="4" w:space="0" w:color="auto"/>
              <w:right w:val="nil"/>
            </w:tcBorders>
            <w:vAlign w:val="center"/>
          </w:tcPr>
          <w:p w14:paraId="50E7025F" w14:textId="20B7F03E" w:rsidR="006438A5" w:rsidRDefault="00DA4594">
            <w:pPr>
              <w:jc w:val="both"/>
              <w:rPr>
                <w:rFonts w:ascii="Arial" w:hAnsi="Arial"/>
              </w:rPr>
            </w:pPr>
            <w:r w:rsidRPr="00BD596C">
              <w:rPr>
                <w:rFonts w:ascii="Arial" w:eastAsiaTheme="minorEastAsia" w:hAnsi="Arial" w:cs="Arial"/>
                <w:lang w:eastAsia="zh-CN"/>
              </w:rPr>
              <w:t>Frequently observed</w:t>
            </w:r>
          </w:p>
        </w:tc>
      </w:tr>
    </w:tbl>
    <w:p w14:paraId="08A86307" w14:textId="77777777" w:rsidR="006438A5" w:rsidRDefault="006438A5">
      <w:pPr>
        <w:widowControl w:val="0"/>
        <w:jc w:val="both"/>
      </w:pPr>
    </w:p>
    <w:p w14:paraId="3EEBB179" w14:textId="77777777" w:rsidR="006438A5" w:rsidRDefault="00000000">
      <w:pPr>
        <w:pStyle w:val="Body"/>
        <w:spacing w:after="0"/>
        <w:rPr>
          <w:rFonts w:ascii="Arial" w:hAnsi="Arial" w:cs="Arial"/>
          <w:lang w:eastAsia="zh-CN"/>
        </w:rPr>
      </w:pPr>
      <w:r>
        <w:rPr>
          <w:rFonts w:ascii="Arial" w:hAnsi="Arial" w:cs="Arial"/>
          <w:lang w:eastAsia="zh-CN"/>
        </w:rPr>
        <w:t>Two findings are immediately visible. First, most items were rated Good or Excellent, which indicates that TCM sessions supported sustained participation, collaboration, and completion of required outputs. Second, two items were comparatively weak. Effective use of digital tools and reflective writing were rated Fair, indicating inconsistent enactment and clear need for refinement.</w:t>
      </w:r>
    </w:p>
    <w:p w14:paraId="7304560E" w14:textId="77777777" w:rsidR="006438A5" w:rsidRDefault="00000000">
      <w:pPr>
        <w:widowControl w:val="0"/>
        <w:jc w:val="both"/>
      </w:pPr>
      <w:r>
        <w:rPr>
          <w:rFonts w:ascii="Calibri" w:eastAsia="宋体" w:hAnsi="Calibri"/>
          <w:kern w:val="2"/>
          <w:sz w:val="21"/>
          <w:szCs w:val="24"/>
          <w:lang w:eastAsia="zh-CN" w:bidi="ar"/>
        </w:rPr>
        <w:t>Dimension level summary</w:t>
      </w:r>
    </w:p>
    <w:p w14:paraId="086654E5" w14:textId="77777777" w:rsidR="006438A5" w:rsidRDefault="00000000">
      <w:pPr>
        <w:pStyle w:val="Body"/>
        <w:spacing w:after="0"/>
        <w:rPr>
          <w:rFonts w:ascii="Arial" w:hAnsi="Arial" w:cs="Arial"/>
          <w:lang w:eastAsia="zh-CN"/>
        </w:rPr>
      </w:pPr>
      <w:r>
        <w:rPr>
          <w:rFonts w:ascii="Arial" w:hAnsi="Arial" w:cs="Arial"/>
          <w:lang w:eastAsia="zh-CN"/>
        </w:rPr>
        <w:t>To clarify broader patterns, item means were averaged within each dimension.</w:t>
      </w:r>
    </w:p>
    <w:p w14:paraId="58D387C4" w14:textId="77777777" w:rsidR="006438A5" w:rsidRDefault="006438A5">
      <w:pPr>
        <w:pStyle w:val="Body"/>
        <w:spacing w:after="0"/>
        <w:rPr>
          <w:rFonts w:ascii="Arial" w:hAnsi="Arial" w:cs="Arial"/>
          <w:lang w:eastAsia="zh-CN"/>
        </w:rPr>
      </w:pPr>
    </w:p>
    <w:p w14:paraId="460C5B58" w14:textId="77777777" w:rsidR="006438A5" w:rsidRDefault="00000000">
      <w:pPr>
        <w:tabs>
          <w:tab w:val="left" w:pos="1080"/>
        </w:tabs>
        <w:jc w:val="both"/>
        <w:rPr>
          <w:rFonts w:ascii="Arial" w:hAnsi="Arial"/>
          <w:b/>
        </w:rPr>
      </w:pPr>
      <w:r>
        <w:rPr>
          <w:rFonts w:ascii="Arial" w:hAnsi="Arial"/>
          <w:b/>
        </w:rPr>
        <w:t>Table 4.</w:t>
      </w:r>
      <w:r>
        <w:rPr>
          <w:rFonts w:ascii="Arial" w:hAnsi="Arial"/>
          <w:b/>
        </w:rPr>
        <w:tab/>
        <w:t>Mean interpretation table for classroom observation</w:t>
      </w:r>
    </w:p>
    <w:p w14:paraId="63192372" w14:textId="77777777" w:rsidR="006438A5" w:rsidRDefault="006438A5">
      <w:pPr>
        <w:tabs>
          <w:tab w:val="left" w:pos="1080"/>
        </w:tabs>
        <w:jc w:val="both"/>
        <w:rPr>
          <w:rFonts w:ascii="Arial" w:hAnsi="Arial"/>
          <w:b/>
        </w:rPr>
      </w:pPr>
    </w:p>
    <w:tbl>
      <w:tblPr>
        <w:tblW w:w="0" w:type="auto"/>
        <w:jc w:val="center"/>
        <w:tblBorders>
          <w:top w:val="single" w:sz="12" w:space="0" w:color="auto"/>
          <w:left w:val="none" w:sz="6" w:space="0" w:color="auto"/>
          <w:bottom w:val="single" w:sz="12" w:space="0" w:color="auto"/>
          <w:right w:val="none" w:sz="6" w:space="0" w:color="auto"/>
          <w:insideH w:val="outset" w:sz="6" w:space="0" w:color="auto"/>
          <w:insideV w:val="outset" w:sz="6" w:space="0" w:color="auto"/>
        </w:tblBorders>
        <w:tblLook w:val="04A0" w:firstRow="1" w:lastRow="0" w:firstColumn="1" w:lastColumn="0" w:noHBand="0" w:noVBand="1"/>
      </w:tblPr>
      <w:tblGrid>
        <w:gridCol w:w="1950"/>
        <w:gridCol w:w="5275"/>
        <w:gridCol w:w="1817"/>
      </w:tblGrid>
      <w:tr w:rsidR="006438A5" w14:paraId="37644F18" w14:textId="77777777">
        <w:trPr>
          <w:trHeight w:val="271"/>
          <w:jc w:val="center"/>
        </w:trPr>
        <w:tc>
          <w:tcPr>
            <w:tcW w:w="0" w:type="auto"/>
            <w:tcBorders>
              <w:top w:val="single" w:sz="4" w:space="0" w:color="auto"/>
              <w:left w:val="nil"/>
              <w:bottom w:val="single" w:sz="6" w:space="0" w:color="auto"/>
              <w:right w:val="nil"/>
            </w:tcBorders>
            <w:vAlign w:val="center"/>
          </w:tcPr>
          <w:p w14:paraId="5671BC81" w14:textId="77777777" w:rsidR="006438A5" w:rsidRDefault="00000000">
            <w:pPr>
              <w:jc w:val="both"/>
              <w:rPr>
                <w:rFonts w:ascii="Arial" w:hAnsi="Arial"/>
                <w:b/>
                <w:lang w:eastAsia="zh-CN"/>
              </w:rPr>
            </w:pPr>
            <w:r>
              <w:rPr>
                <w:rFonts w:ascii="Arial" w:hAnsi="Arial"/>
                <w:b/>
                <w:lang w:eastAsia="zh-CN"/>
              </w:rPr>
              <w:t>Dimension</w:t>
            </w:r>
          </w:p>
        </w:tc>
        <w:tc>
          <w:tcPr>
            <w:tcW w:w="0" w:type="auto"/>
            <w:tcBorders>
              <w:top w:val="single" w:sz="4" w:space="0" w:color="auto"/>
              <w:left w:val="nil"/>
              <w:bottom w:val="single" w:sz="6" w:space="0" w:color="auto"/>
              <w:right w:val="nil"/>
            </w:tcBorders>
            <w:vAlign w:val="center"/>
          </w:tcPr>
          <w:p w14:paraId="645996E0" w14:textId="77777777" w:rsidR="006438A5" w:rsidRDefault="00000000">
            <w:pPr>
              <w:jc w:val="both"/>
              <w:rPr>
                <w:rFonts w:ascii="Arial" w:hAnsi="Arial"/>
                <w:b/>
                <w:lang w:eastAsia="zh-CN"/>
              </w:rPr>
            </w:pPr>
            <w:r>
              <w:rPr>
                <w:rFonts w:ascii="Arial" w:hAnsi="Arial"/>
                <w:b/>
                <w:lang w:eastAsia="zh-CN"/>
              </w:rPr>
              <w:t>Items included</w:t>
            </w:r>
          </w:p>
        </w:tc>
        <w:tc>
          <w:tcPr>
            <w:tcW w:w="0" w:type="auto"/>
            <w:tcBorders>
              <w:top w:val="single" w:sz="4" w:space="0" w:color="auto"/>
              <w:left w:val="nil"/>
              <w:bottom w:val="single" w:sz="6" w:space="0" w:color="auto"/>
              <w:right w:val="nil"/>
            </w:tcBorders>
            <w:vAlign w:val="center"/>
          </w:tcPr>
          <w:p w14:paraId="5BFDEC6F" w14:textId="77777777" w:rsidR="006438A5" w:rsidRDefault="00000000">
            <w:pPr>
              <w:jc w:val="both"/>
              <w:rPr>
                <w:rFonts w:ascii="Arial" w:hAnsi="Arial"/>
                <w:b/>
                <w:lang w:eastAsia="zh-CN"/>
              </w:rPr>
            </w:pPr>
            <w:r>
              <w:rPr>
                <w:rFonts w:ascii="Arial" w:hAnsi="Arial"/>
                <w:b/>
                <w:lang w:eastAsia="zh-CN"/>
              </w:rPr>
              <w:t>Dimension mean</w:t>
            </w:r>
          </w:p>
        </w:tc>
      </w:tr>
      <w:tr w:rsidR="006438A5" w14:paraId="22407DE7" w14:textId="77777777">
        <w:trPr>
          <w:trHeight w:val="300"/>
          <w:jc w:val="center"/>
        </w:trPr>
        <w:tc>
          <w:tcPr>
            <w:tcW w:w="0" w:type="auto"/>
            <w:tcBorders>
              <w:top w:val="single" w:sz="6" w:space="0" w:color="auto"/>
              <w:left w:val="nil"/>
              <w:bottom w:val="nil"/>
              <w:right w:val="nil"/>
            </w:tcBorders>
            <w:vAlign w:val="center"/>
          </w:tcPr>
          <w:p w14:paraId="1E3B0D5C" w14:textId="77777777" w:rsidR="006438A5" w:rsidRDefault="00000000">
            <w:pPr>
              <w:rPr>
                <w:rFonts w:ascii="Arial" w:hAnsi="Arial"/>
                <w:lang w:eastAsia="zh-CN"/>
              </w:rPr>
            </w:pPr>
            <w:r>
              <w:rPr>
                <w:rFonts w:ascii="Arial" w:hAnsi="Arial"/>
                <w:lang w:eastAsia="zh-CN"/>
              </w:rPr>
              <w:t>Engagement</w:t>
            </w:r>
          </w:p>
        </w:tc>
        <w:tc>
          <w:tcPr>
            <w:tcW w:w="0" w:type="auto"/>
            <w:tcBorders>
              <w:top w:val="single" w:sz="6" w:space="0" w:color="auto"/>
              <w:left w:val="nil"/>
              <w:bottom w:val="nil"/>
              <w:right w:val="nil"/>
            </w:tcBorders>
            <w:vAlign w:val="center"/>
          </w:tcPr>
          <w:p w14:paraId="5A7C3A64" w14:textId="77777777" w:rsidR="006438A5" w:rsidRDefault="00000000">
            <w:pPr>
              <w:rPr>
                <w:rFonts w:ascii="Arial" w:hAnsi="Arial"/>
                <w:lang w:eastAsia="zh-CN"/>
              </w:rPr>
            </w:pPr>
            <w:r>
              <w:rPr>
                <w:rFonts w:ascii="Arial" w:hAnsi="Arial"/>
                <w:lang w:eastAsia="zh-CN"/>
              </w:rPr>
              <w:t>Participation, attentiveness, digital tools</w:t>
            </w:r>
          </w:p>
        </w:tc>
        <w:tc>
          <w:tcPr>
            <w:tcW w:w="0" w:type="auto"/>
            <w:tcBorders>
              <w:top w:val="single" w:sz="6" w:space="0" w:color="auto"/>
              <w:left w:val="nil"/>
              <w:bottom w:val="nil"/>
              <w:right w:val="nil"/>
            </w:tcBorders>
            <w:vAlign w:val="center"/>
          </w:tcPr>
          <w:p w14:paraId="6AD90277" w14:textId="77777777" w:rsidR="006438A5" w:rsidRDefault="00000000">
            <w:pPr>
              <w:rPr>
                <w:rFonts w:ascii="Arial" w:hAnsi="Arial"/>
                <w:lang w:eastAsia="zh-CN"/>
              </w:rPr>
            </w:pPr>
            <w:r>
              <w:rPr>
                <w:rFonts w:ascii="Arial" w:hAnsi="Arial"/>
                <w:lang w:eastAsia="zh-CN"/>
              </w:rPr>
              <w:t>4.00</w:t>
            </w:r>
          </w:p>
        </w:tc>
      </w:tr>
      <w:tr w:rsidR="006438A5" w14:paraId="1266852E" w14:textId="77777777">
        <w:trPr>
          <w:trHeight w:val="272"/>
          <w:jc w:val="center"/>
        </w:trPr>
        <w:tc>
          <w:tcPr>
            <w:tcW w:w="0" w:type="auto"/>
            <w:tcBorders>
              <w:top w:val="nil"/>
              <w:left w:val="nil"/>
              <w:bottom w:val="nil"/>
              <w:right w:val="nil"/>
            </w:tcBorders>
            <w:vAlign w:val="center"/>
          </w:tcPr>
          <w:p w14:paraId="1F2AC556" w14:textId="77777777" w:rsidR="006438A5" w:rsidRDefault="00000000">
            <w:pPr>
              <w:rPr>
                <w:rFonts w:ascii="Arial" w:hAnsi="Arial"/>
                <w:lang w:eastAsia="zh-CN"/>
              </w:rPr>
            </w:pPr>
            <w:r>
              <w:rPr>
                <w:rFonts w:ascii="Arial" w:hAnsi="Arial"/>
                <w:lang w:eastAsia="zh-CN"/>
              </w:rPr>
              <w:t>Motivation</w:t>
            </w:r>
          </w:p>
        </w:tc>
        <w:tc>
          <w:tcPr>
            <w:tcW w:w="0" w:type="auto"/>
            <w:tcBorders>
              <w:top w:val="nil"/>
              <w:left w:val="nil"/>
              <w:bottom w:val="nil"/>
              <w:right w:val="nil"/>
            </w:tcBorders>
            <w:vAlign w:val="center"/>
          </w:tcPr>
          <w:p w14:paraId="46E1337B" w14:textId="77777777" w:rsidR="006438A5" w:rsidRDefault="00000000">
            <w:pPr>
              <w:rPr>
                <w:rFonts w:ascii="Arial" w:hAnsi="Arial"/>
                <w:lang w:eastAsia="zh-CN"/>
              </w:rPr>
            </w:pPr>
            <w:r>
              <w:rPr>
                <w:rFonts w:ascii="Arial" w:hAnsi="Arial"/>
                <w:lang w:eastAsia="zh-CN"/>
              </w:rPr>
              <w:t>Interest, initiation, feedback seeking</w:t>
            </w:r>
          </w:p>
        </w:tc>
        <w:tc>
          <w:tcPr>
            <w:tcW w:w="0" w:type="auto"/>
            <w:tcBorders>
              <w:top w:val="nil"/>
              <w:left w:val="nil"/>
              <w:bottom w:val="nil"/>
              <w:right w:val="nil"/>
            </w:tcBorders>
            <w:vAlign w:val="center"/>
          </w:tcPr>
          <w:p w14:paraId="4880DB36" w14:textId="77777777" w:rsidR="006438A5" w:rsidRDefault="00000000">
            <w:pPr>
              <w:rPr>
                <w:rFonts w:ascii="Arial" w:hAnsi="Arial"/>
                <w:lang w:eastAsia="zh-CN"/>
              </w:rPr>
            </w:pPr>
            <w:r>
              <w:rPr>
                <w:rFonts w:ascii="Arial" w:hAnsi="Arial"/>
                <w:lang w:eastAsia="zh-CN"/>
              </w:rPr>
              <w:t>4.44</w:t>
            </w:r>
          </w:p>
        </w:tc>
      </w:tr>
      <w:tr w:rsidR="006438A5" w14:paraId="46675878" w14:textId="77777777">
        <w:trPr>
          <w:trHeight w:val="249"/>
          <w:jc w:val="center"/>
        </w:trPr>
        <w:tc>
          <w:tcPr>
            <w:tcW w:w="0" w:type="auto"/>
            <w:tcBorders>
              <w:top w:val="nil"/>
              <w:left w:val="nil"/>
              <w:bottom w:val="nil"/>
              <w:right w:val="nil"/>
            </w:tcBorders>
            <w:vAlign w:val="center"/>
          </w:tcPr>
          <w:p w14:paraId="020FF208" w14:textId="77777777" w:rsidR="006438A5" w:rsidRDefault="00000000">
            <w:pPr>
              <w:rPr>
                <w:rFonts w:ascii="Arial" w:hAnsi="Arial"/>
                <w:lang w:eastAsia="zh-CN"/>
              </w:rPr>
            </w:pPr>
            <w:r>
              <w:rPr>
                <w:rFonts w:ascii="Arial" w:hAnsi="Arial"/>
                <w:lang w:eastAsia="zh-CN"/>
              </w:rPr>
              <w:t>Collaboration</w:t>
            </w:r>
          </w:p>
        </w:tc>
        <w:tc>
          <w:tcPr>
            <w:tcW w:w="0" w:type="auto"/>
            <w:tcBorders>
              <w:top w:val="nil"/>
              <w:left w:val="nil"/>
              <w:bottom w:val="nil"/>
              <w:right w:val="nil"/>
            </w:tcBorders>
            <w:vAlign w:val="center"/>
          </w:tcPr>
          <w:p w14:paraId="38C4D8DA" w14:textId="77777777" w:rsidR="006438A5" w:rsidRDefault="00000000">
            <w:pPr>
              <w:rPr>
                <w:rFonts w:ascii="Arial" w:hAnsi="Arial"/>
                <w:lang w:eastAsia="zh-CN"/>
              </w:rPr>
            </w:pPr>
            <w:r>
              <w:rPr>
                <w:rFonts w:ascii="Arial" w:hAnsi="Arial"/>
                <w:lang w:eastAsia="zh-CN"/>
              </w:rPr>
              <w:t>Group collaboration, peer feedback, uptake, leadership</w:t>
            </w:r>
          </w:p>
        </w:tc>
        <w:tc>
          <w:tcPr>
            <w:tcW w:w="0" w:type="auto"/>
            <w:tcBorders>
              <w:top w:val="nil"/>
              <w:left w:val="nil"/>
              <w:bottom w:val="nil"/>
              <w:right w:val="nil"/>
            </w:tcBorders>
            <w:vAlign w:val="center"/>
          </w:tcPr>
          <w:p w14:paraId="72BFE2A9" w14:textId="77777777" w:rsidR="006438A5" w:rsidRDefault="00000000">
            <w:pPr>
              <w:rPr>
                <w:rFonts w:ascii="Arial" w:hAnsi="Arial"/>
                <w:lang w:eastAsia="zh-CN"/>
              </w:rPr>
            </w:pPr>
            <w:r>
              <w:rPr>
                <w:rFonts w:ascii="Arial" w:hAnsi="Arial"/>
                <w:lang w:eastAsia="zh-CN"/>
              </w:rPr>
              <w:t>4.42</w:t>
            </w:r>
          </w:p>
        </w:tc>
      </w:tr>
      <w:tr w:rsidR="006438A5" w14:paraId="459C69C1" w14:textId="77777777">
        <w:trPr>
          <w:trHeight w:val="229"/>
          <w:jc w:val="center"/>
        </w:trPr>
        <w:tc>
          <w:tcPr>
            <w:tcW w:w="0" w:type="auto"/>
            <w:tcBorders>
              <w:top w:val="nil"/>
              <w:left w:val="nil"/>
              <w:bottom w:val="nil"/>
              <w:right w:val="nil"/>
            </w:tcBorders>
            <w:vAlign w:val="center"/>
          </w:tcPr>
          <w:p w14:paraId="05B9BCCD" w14:textId="77777777" w:rsidR="006438A5" w:rsidRDefault="00000000">
            <w:pPr>
              <w:rPr>
                <w:rFonts w:ascii="Arial" w:hAnsi="Arial"/>
                <w:lang w:eastAsia="zh-CN"/>
              </w:rPr>
            </w:pPr>
            <w:r>
              <w:rPr>
                <w:rFonts w:ascii="Arial" w:hAnsi="Arial"/>
                <w:lang w:eastAsia="zh-CN"/>
              </w:rPr>
              <w:lastRenderedPageBreak/>
              <w:t>Task completion</w:t>
            </w:r>
          </w:p>
        </w:tc>
        <w:tc>
          <w:tcPr>
            <w:tcW w:w="0" w:type="auto"/>
            <w:tcBorders>
              <w:top w:val="nil"/>
              <w:left w:val="nil"/>
              <w:bottom w:val="nil"/>
              <w:right w:val="nil"/>
            </w:tcBorders>
            <w:vAlign w:val="center"/>
          </w:tcPr>
          <w:p w14:paraId="418CC9B5" w14:textId="77777777" w:rsidR="006438A5" w:rsidRDefault="00000000">
            <w:pPr>
              <w:rPr>
                <w:rFonts w:ascii="Arial" w:hAnsi="Arial"/>
                <w:lang w:eastAsia="zh-CN"/>
              </w:rPr>
            </w:pPr>
            <w:r>
              <w:rPr>
                <w:rFonts w:ascii="Arial" w:hAnsi="Arial"/>
                <w:lang w:eastAsia="zh-CN"/>
              </w:rPr>
              <w:t>Output accuracy, on time completion, guidelines, revision</w:t>
            </w:r>
          </w:p>
        </w:tc>
        <w:tc>
          <w:tcPr>
            <w:tcW w:w="0" w:type="auto"/>
            <w:tcBorders>
              <w:top w:val="nil"/>
              <w:left w:val="nil"/>
              <w:bottom w:val="nil"/>
              <w:right w:val="nil"/>
            </w:tcBorders>
            <w:vAlign w:val="center"/>
          </w:tcPr>
          <w:p w14:paraId="5122F84C" w14:textId="77777777" w:rsidR="006438A5" w:rsidRDefault="00000000">
            <w:pPr>
              <w:rPr>
                <w:rFonts w:ascii="Arial" w:hAnsi="Arial"/>
                <w:lang w:eastAsia="zh-CN"/>
              </w:rPr>
            </w:pPr>
            <w:r>
              <w:rPr>
                <w:rFonts w:ascii="Arial" w:hAnsi="Arial"/>
                <w:lang w:eastAsia="zh-CN"/>
              </w:rPr>
              <w:t>4.58</w:t>
            </w:r>
          </w:p>
        </w:tc>
      </w:tr>
      <w:tr w:rsidR="006438A5" w14:paraId="0F7B5396" w14:textId="77777777">
        <w:trPr>
          <w:trHeight w:val="259"/>
          <w:jc w:val="center"/>
        </w:trPr>
        <w:tc>
          <w:tcPr>
            <w:tcW w:w="0" w:type="auto"/>
            <w:tcBorders>
              <w:top w:val="nil"/>
              <w:left w:val="nil"/>
              <w:bottom w:val="single" w:sz="4" w:space="0" w:color="auto"/>
              <w:right w:val="nil"/>
            </w:tcBorders>
            <w:vAlign w:val="center"/>
          </w:tcPr>
          <w:p w14:paraId="1C91EB68" w14:textId="77777777" w:rsidR="006438A5" w:rsidRDefault="00000000">
            <w:pPr>
              <w:rPr>
                <w:rFonts w:ascii="Arial" w:hAnsi="Arial"/>
                <w:lang w:eastAsia="zh-CN"/>
              </w:rPr>
            </w:pPr>
            <w:r>
              <w:rPr>
                <w:rFonts w:ascii="Arial" w:hAnsi="Arial"/>
                <w:lang w:eastAsia="zh-CN"/>
              </w:rPr>
              <w:t>Reflective practices</w:t>
            </w:r>
          </w:p>
        </w:tc>
        <w:tc>
          <w:tcPr>
            <w:tcW w:w="0" w:type="auto"/>
            <w:tcBorders>
              <w:top w:val="nil"/>
              <w:left w:val="nil"/>
              <w:bottom w:val="single" w:sz="4" w:space="0" w:color="auto"/>
              <w:right w:val="nil"/>
            </w:tcBorders>
            <w:vAlign w:val="center"/>
          </w:tcPr>
          <w:p w14:paraId="2500A38A" w14:textId="77777777" w:rsidR="006438A5" w:rsidRDefault="00000000">
            <w:pPr>
              <w:rPr>
                <w:rFonts w:ascii="Arial" w:hAnsi="Arial"/>
                <w:lang w:eastAsia="zh-CN"/>
              </w:rPr>
            </w:pPr>
            <w:r>
              <w:rPr>
                <w:rFonts w:ascii="Arial" w:hAnsi="Arial"/>
                <w:lang w:eastAsia="zh-CN"/>
              </w:rPr>
              <w:t>Reflective writing, identifying improvement</w:t>
            </w:r>
          </w:p>
        </w:tc>
        <w:tc>
          <w:tcPr>
            <w:tcW w:w="0" w:type="auto"/>
            <w:tcBorders>
              <w:top w:val="nil"/>
              <w:left w:val="nil"/>
              <w:bottom w:val="single" w:sz="4" w:space="0" w:color="auto"/>
              <w:right w:val="nil"/>
            </w:tcBorders>
            <w:vAlign w:val="center"/>
          </w:tcPr>
          <w:p w14:paraId="248EA5CC" w14:textId="77777777" w:rsidR="006438A5" w:rsidRDefault="00000000">
            <w:pPr>
              <w:rPr>
                <w:rFonts w:ascii="Arial" w:hAnsi="Arial"/>
                <w:lang w:eastAsia="zh-CN"/>
              </w:rPr>
            </w:pPr>
            <w:r>
              <w:rPr>
                <w:rFonts w:ascii="Arial" w:hAnsi="Arial"/>
                <w:lang w:eastAsia="zh-CN"/>
              </w:rPr>
              <w:t>3.84</w:t>
            </w:r>
          </w:p>
        </w:tc>
      </w:tr>
    </w:tbl>
    <w:p w14:paraId="0942581E" w14:textId="77777777" w:rsidR="006438A5" w:rsidRDefault="006438A5">
      <w:pPr>
        <w:widowControl w:val="0"/>
        <w:jc w:val="both"/>
      </w:pPr>
    </w:p>
    <w:p w14:paraId="513B3A55" w14:textId="77777777" w:rsidR="006438A5" w:rsidRDefault="00000000">
      <w:pPr>
        <w:pStyle w:val="Body"/>
        <w:spacing w:after="0"/>
        <w:rPr>
          <w:rFonts w:ascii="Arial" w:hAnsi="Arial" w:cs="Arial"/>
          <w:lang w:eastAsia="zh-CN"/>
        </w:rPr>
      </w:pPr>
      <w:r>
        <w:rPr>
          <w:rFonts w:ascii="Arial" w:hAnsi="Arial" w:cs="Arial"/>
          <w:lang w:eastAsia="zh-CN"/>
        </w:rPr>
        <w:t>Task completion was the strongest domain, followed by motivation and collaboration. Engagement was also strong overall, but it was pulled down by weaker digital tool use. Reflective practices were mixed, with a clear gap between students’ ability to identify improvement areas and their ability to produce deeper reflective writing.</w:t>
      </w:r>
    </w:p>
    <w:p w14:paraId="6839BB00" w14:textId="77777777" w:rsidR="006438A5" w:rsidRDefault="006438A5">
      <w:pPr>
        <w:pStyle w:val="Body"/>
        <w:spacing w:after="0"/>
        <w:rPr>
          <w:rFonts w:ascii="Arial" w:hAnsi="Arial" w:cs="Arial"/>
          <w:lang w:eastAsia="zh-CN"/>
        </w:rPr>
      </w:pPr>
    </w:p>
    <w:p w14:paraId="09C7CCF7"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Evidence of TC learning mechanisms in action</w:t>
      </w:r>
    </w:p>
    <w:p w14:paraId="510ECAAA" w14:textId="77777777" w:rsidR="006438A5" w:rsidRDefault="006438A5">
      <w:pPr>
        <w:pStyle w:val="Body"/>
        <w:spacing w:after="0"/>
        <w:rPr>
          <w:rFonts w:ascii="Arial" w:hAnsi="Arial" w:cs="Arial"/>
          <w:lang w:eastAsia="zh-CN"/>
        </w:rPr>
      </w:pPr>
    </w:p>
    <w:p w14:paraId="3F81B8AB" w14:textId="70AFEE72" w:rsidR="006438A5" w:rsidRDefault="00000000">
      <w:pPr>
        <w:pStyle w:val="Body"/>
        <w:spacing w:after="0"/>
        <w:rPr>
          <w:rFonts w:ascii="Arial" w:hAnsi="Arial" w:cs="Arial"/>
          <w:lang w:eastAsia="zh-CN"/>
        </w:rPr>
      </w:pPr>
      <w:r>
        <w:rPr>
          <w:rFonts w:ascii="Arial" w:hAnsi="Arial" w:cs="Arial"/>
          <w:lang w:eastAsia="zh-CN"/>
        </w:rPr>
        <w:t>Engagement and motivation. Students consistently participated in discussions, reaching a ceiling mean of 5.00, and remained attentive to instructions. Motivation indicators were similarly strong, especially feedback seeking, which was rated Excellent. These patterns align with process centered TC pedagogy, where improvement depends not only on completing tasks but also on actively seeking feedback and using it to shape subsequent drafts</w:t>
      </w:r>
      <w:r w:rsidR="00940238">
        <w:rPr>
          <w:rFonts w:ascii="Arial" w:eastAsiaTheme="minorEastAsia" w:hAnsi="Arial" w:cs="Arial" w:hint="eastAsia"/>
          <w:lang w:eastAsia="zh-CN"/>
        </w:rPr>
        <w:t xml:space="preserve"> </w:t>
      </w:r>
      <w:r w:rsidR="00940238">
        <w:rPr>
          <w:rFonts w:ascii="Arial" w:eastAsiaTheme="minorEastAsia" w:hAnsi="Arial" w:cs="Arial"/>
          <w:lang w:eastAsia="zh-CN"/>
        </w:rPr>
        <w:fldChar w:fldCharType="begin">
          <w:fldData xml:space="preserve">PEVuZE5vdGU+PENpdGU+PEF1dGhvcj5GZXVlcjwvQXV0aG9yPjxZZWFyPjIwMjA8L1llYXI+PFJl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</w:fldData>
        </w:fldChar>
      </w:r>
      <w:r w:rsidR="00940238">
        <w:rPr>
          <w:rFonts w:ascii="Arial" w:eastAsiaTheme="minorEastAsia" w:hAnsi="Arial" w:cs="Arial"/>
          <w:lang w:eastAsia="zh-CN"/>
        </w:rPr>
        <w:instrText xml:space="preserve"> ADDIN EN.CITE </w:instrText>
      </w:r>
      <w:r w:rsidR="00940238">
        <w:rPr>
          <w:rFonts w:ascii="Arial" w:eastAsiaTheme="minorEastAsia" w:hAnsi="Arial" w:cs="Arial"/>
          <w:lang w:eastAsia="zh-CN"/>
        </w:rPr>
        <w:fldChar w:fldCharType="begin">
          <w:fldData xml:space="preserve">PEVuZE5vdGU+PENpdGU+PEF1dGhvcj5GZXVlcjwvQXV0aG9yPjxZZWFyPjIwMjA8L1llYXI+PFJl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</w:fldData>
        </w:fldChar>
      </w:r>
      <w:r w:rsidR="00940238">
        <w:rPr>
          <w:rFonts w:ascii="Arial" w:eastAsiaTheme="minorEastAsia" w:hAnsi="Arial" w:cs="Arial"/>
          <w:lang w:eastAsia="zh-CN"/>
        </w:rPr>
        <w:instrText xml:space="preserve"> ADDIN EN.CITE.DATA </w:instrText>
      </w:r>
      <w:r w:rsidR="00940238">
        <w:rPr>
          <w:rFonts w:ascii="Arial" w:eastAsiaTheme="minorEastAsia" w:hAnsi="Arial" w:cs="Arial"/>
          <w:lang w:eastAsia="zh-CN"/>
        </w:rPr>
      </w:r>
      <w:r w:rsidR="00940238">
        <w:rPr>
          <w:rFonts w:ascii="Arial" w:eastAsiaTheme="minorEastAsia" w:hAnsi="Arial" w:cs="Arial"/>
          <w:lang w:eastAsia="zh-CN"/>
        </w:rPr>
        <w:fldChar w:fldCharType="end"/>
      </w:r>
      <w:r w:rsidR="00940238">
        <w:rPr>
          <w:rFonts w:ascii="Arial" w:eastAsiaTheme="minorEastAsia" w:hAnsi="Arial" w:cs="Arial"/>
          <w:lang w:eastAsia="zh-CN"/>
        </w:rPr>
      </w:r>
      <w:r w:rsidR="00940238">
        <w:rPr>
          <w:rFonts w:ascii="Arial" w:eastAsiaTheme="minorEastAsia" w:hAnsi="Arial" w:cs="Arial"/>
          <w:lang w:eastAsia="zh-CN"/>
        </w:rPr>
        <w:fldChar w:fldCharType="separate"/>
      </w:r>
      <w:r w:rsidR="00940238">
        <w:rPr>
          <w:rFonts w:ascii="Arial" w:eastAsiaTheme="minorEastAsia" w:hAnsi="Arial" w:cs="Arial"/>
          <w:noProof/>
          <w:lang w:eastAsia="zh-CN"/>
        </w:rPr>
        <w:t>(Feuer, 2020; Johnson, 2022)</w:t>
      </w:r>
      <w:r w:rsidR="00940238">
        <w:rPr>
          <w:rFonts w:ascii="Arial" w:eastAsiaTheme="minorEastAsia" w:hAnsi="Arial" w:cs="Arial"/>
          <w:lang w:eastAsia="zh-CN"/>
        </w:rPr>
        <w:fldChar w:fldCharType="end"/>
      </w:r>
      <w:r>
        <w:rPr>
          <w:rFonts w:ascii="Arial" w:hAnsi="Arial" w:cs="Arial"/>
          <w:lang w:eastAsia="zh-CN"/>
        </w:rPr>
        <w:t>. In practical terms, observers noted that students were willing to initiate work, ask for clarification, and sustain task focus during sessions.</w:t>
      </w:r>
    </w:p>
    <w:p w14:paraId="6E965AF3" w14:textId="51D7C99B" w:rsidR="006438A5" w:rsidRDefault="00000000">
      <w:pPr>
        <w:pStyle w:val="Body"/>
        <w:spacing w:after="0"/>
        <w:rPr>
          <w:rFonts w:ascii="Arial" w:hAnsi="Arial" w:cs="Arial"/>
          <w:lang w:eastAsia="zh-CN"/>
        </w:rPr>
      </w:pPr>
      <w:r>
        <w:rPr>
          <w:rFonts w:ascii="Arial" w:hAnsi="Arial" w:cs="Arial"/>
          <w:lang w:eastAsia="zh-CN"/>
        </w:rPr>
        <w:t>Collaboration was a sustained strength. Effective group work and feedback exchanges were frequently observed, and students often incorporated suggestions from peers and instructors. This supports the interpretation that TCM tasks were enacted as distributed TC work rather than individual writing exercises. Such enactment is important because collaborative workflow, peer response, and shared responsibility are increasingly treated as central learning outcomes in TC classrooms, not merely a delivery format. Observers’ notes indicated that teams commonly divided responsibilities and resolved small conflicts without major disruption, which is consistent with high collaboration ratings.</w:t>
      </w:r>
    </w:p>
    <w:p w14:paraId="192C0C86" w14:textId="5E5E18FF" w:rsidR="006438A5" w:rsidRDefault="00000000">
      <w:pPr>
        <w:pStyle w:val="Body"/>
        <w:spacing w:after="0"/>
        <w:rPr>
          <w:rFonts w:ascii="Arial" w:hAnsi="Arial" w:cs="Arial"/>
          <w:lang w:eastAsia="zh-CN"/>
        </w:rPr>
      </w:pPr>
      <w:r>
        <w:rPr>
          <w:rFonts w:ascii="Arial" w:hAnsi="Arial" w:cs="Arial"/>
          <w:lang w:eastAsia="zh-CN"/>
        </w:rPr>
        <w:t xml:space="preserve">Students reliably completed assignments on time and produced accurate outputs, while also adhering to writing guidelines and revising drafts based on feedback. This cluster is particularly relevant to module validity because it demonstrates that students engaged in iterative production cycles, which represent a key mechanism through which TC competence develops. The consistent observation of revision also strengthens the argument that TCM supported process competence rather than product only performance </w:t>
      </w:r>
      <w:r>
        <w:rPr>
          <w:rFonts w:ascii="Arial" w:hAnsi="Arial" w:cs="Arial"/>
          <w:lang w:eastAsia="zh-CN"/>
        </w:rPr>
        <w:fldChar w:fldCharType="begin"/>
      </w:r>
      <w:r w:rsidR="00601647">
        <w:rPr>
          <w:rFonts w:ascii="Arial" w:hAnsi="Arial" w:cs="Arial"/>
          <w:lang w:eastAsia="zh-CN"/>
        </w:rPr>
        <w:instrText xml:space="preserve"> ADDIN EN.CITE &lt;EndNote&gt;&lt;Cite&gt;&lt;Author&gt;Johnson&lt;/Author&gt;&lt;Year&gt;2022&lt;/Year&gt;&lt;RecNum&gt;25&lt;/RecNum&gt;&lt;DisplayText&gt;(Johnson, 2022)&lt;/DisplayText&gt;&lt;record&gt;&lt;rec-number&gt;25&lt;/rec-number&gt;&lt;foreign-keys&gt;&lt;key app="EN" db-id="axateaap22str3eaaa1xar2n95zaewv2sx5a" timestamp="1731571249"&gt;25&lt;/key&gt;&lt;/foreign-keys&gt;&lt;ref-type name="Conference Proceedings"&gt;10&lt;/ref-type&gt;&lt;contributors&gt;&lt;authors&gt;&lt;author&gt;Johnson, Maren&lt;/author&gt;&lt;/authors&gt;&lt;/contributors&gt;&lt;titles&gt;&lt;title&gt;Grading for Process: Using the Portfolio to Emphasize Process in Technical Communication&lt;/title&gt;&lt;secondary-title&gt;2022 IEEE International Professional Communication Conference (ProComm)&lt;/secondary-title&gt;&lt;/titles&gt;&lt;pages&gt;251-256&lt;/pages&gt;&lt;dates&gt;&lt;year&gt;2022&lt;/year&gt;&lt;/dates&gt;&lt;publisher&gt;IEEE&lt;/publisher&gt;&lt;isbn&gt;1665495170&lt;/isbn&gt;&lt;urls&gt;&lt;/urls&gt;&lt;electronic-resource-num&gt;10.1109/ProComm53155.2022.00052&lt;/electronic-resource-num&gt;&lt;/record&gt;&lt;/Cite&gt;&lt;/EndNote&gt;</w:instrText>
      </w:r>
      <w:r>
        <w:rPr>
          <w:rFonts w:ascii="Arial" w:hAnsi="Arial" w:cs="Arial"/>
          <w:lang w:eastAsia="zh-CN"/>
        </w:rPr>
        <w:fldChar w:fldCharType="separate"/>
      </w:r>
      <w:r w:rsidR="00601647">
        <w:rPr>
          <w:rFonts w:ascii="Arial" w:hAnsi="Arial" w:cs="Arial"/>
          <w:noProof/>
          <w:lang w:eastAsia="zh-CN"/>
        </w:rPr>
        <w:t>(Johnson, 2022)</w:t>
      </w:r>
      <w:r>
        <w:rPr>
          <w:rFonts w:ascii="Arial" w:hAnsi="Arial" w:cs="Arial"/>
          <w:lang w:eastAsia="zh-CN"/>
        </w:rPr>
        <w:fldChar w:fldCharType="end"/>
      </w:r>
      <w:r>
        <w:rPr>
          <w:rFonts w:ascii="Arial" w:hAnsi="Arial" w:cs="Arial"/>
          <w:lang w:eastAsia="zh-CN"/>
        </w:rPr>
        <w:t>.</w:t>
      </w:r>
    </w:p>
    <w:p w14:paraId="49E9280D" w14:textId="77777777" w:rsidR="006438A5" w:rsidRDefault="006438A5">
      <w:pPr>
        <w:pStyle w:val="Body"/>
        <w:spacing w:after="0"/>
        <w:rPr>
          <w:rFonts w:ascii="Arial" w:hAnsi="Arial" w:cs="Arial"/>
          <w:lang w:eastAsia="zh-CN"/>
        </w:rPr>
      </w:pPr>
    </w:p>
    <w:p w14:paraId="10B25D7B"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Diagnostic constraints for refinement</w:t>
      </w:r>
    </w:p>
    <w:p w14:paraId="25B8FA99" w14:textId="77777777" w:rsidR="006438A5" w:rsidRDefault="006438A5">
      <w:pPr>
        <w:pStyle w:val="Body"/>
        <w:spacing w:after="0"/>
        <w:rPr>
          <w:rFonts w:ascii="Arial" w:hAnsi="Arial" w:cs="Arial"/>
          <w:lang w:eastAsia="zh-CN"/>
        </w:rPr>
      </w:pPr>
    </w:p>
    <w:p w14:paraId="44727AED" w14:textId="0557DBCD" w:rsidR="006438A5" w:rsidRDefault="00000000">
      <w:pPr>
        <w:pStyle w:val="Body"/>
        <w:spacing w:after="0"/>
        <w:rPr>
          <w:rFonts w:ascii="Arial" w:hAnsi="Arial" w:cs="Arial"/>
          <w:lang w:eastAsia="zh-CN"/>
        </w:rPr>
      </w:pPr>
      <w:r>
        <w:rPr>
          <w:rFonts w:ascii="Arial" w:hAnsi="Arial" w:cs="Arial"/>
          <w:lang w:eastAsia="zh-CN"/>
        </w:rPr>
        <w:t>Two constraints emerged as priorities.</w:t>
      </w:r>
      <w:r>
        <w:rPr>
          <w:rFonts w:ascii="Arial" w:hAnsi="Arial" w:cs="Arial" w:hint="eastAsia"/>
          <w:lang w:eastAsia="zh-CN"/>
        </w:rPr>
        <w:t xml:space="preserve"> </w:t>
      </w:r>
      <w:r>
        <w:rPr>
          <w:rFonts w:ascii="Arial" w:hAnsi="Arial" w:cs="Arial"/>
          <w:lang w:eastAsia="zh-CN"/>
        </w:rPr>
        <w:t xml:space="preserve">Digital tool use was rated Fair. Observers reported that students could manage basic operations but struggled with advanced functions that support collaborative editing and efficient production workflows. This matters because TC work is increasingly shaped by digital platforms and coordination tools, especially as the field expands toward UX adjacent and digitally mediated communication practices </w:t>
      </w:r>
      <w:r>
        <w:rPr>
          <w:rFonts w:ascii="Arial" w:hAnsi="Arial" w:cs="Arial"/>
          <w:lang w:eastAsia="zh-CN"/>
        </w:rPr>
        <w:fldChar w:fldCharType="begin"/>
      </w:r>
      <w:r w:rsidR="00601647">
        <w:rPr>
          <w:rFonts w:ascii="Arial" w:hAnsi="Arial" w:cs="Arial"/>
          <w:lang w:eastAsia="zh-CN"/>
        </w:rPr>
        <w:instrText xml:space="preserve"> ADDIN EN.CITE &lt;EndNote&gt;&lt;Cite&gt;&lt;Author&gt;Cleary&lt;/Author&gt;&lt;Year&gt;2019&lt;/Year&gt;&lt;RecNum&gt;24&lt;/RecNum&gt;&lt;DisplayText&gt;(Cleary et al., 2019; Getto et al., 2023)&lt;/DisplayText&gt;&lt;record&gt;&lt;rec-number&gt;24&lt;/rec-number&gt;&lt;foreign-keys&gt;&lt;key app="EN" db-id="axateaap22str3eaaa1xar2n95zaewv2sx5a" timestamp="1731571153"&gt;24&lt;/key&gt;&lt;/foreign-keys&gt;&lt;ref-type name="Conference Proceedings"&gt;10&lt;/ref-type&gt;&lt;contributors&gt;&lt;authors&gt;&lt;author&gt;Cleary, Yvonne&lt;/author&gt;&lt;author&gt;Karreman, Joyce&lt;/author&gt;&lt;author&gt;Meex, Birgitta&lt;/author&gt;&lt;author&gt;Closs, Sissi&lt;/author&gt;&lt;/authors&gt;&lt;/contributors&gt;&lt;titles&gt;&lt;title&gt;Workshop: Curriculum development for technical communication in a digitalized world based on the TecCOMFrame competence framework&lt;/title&gt;&lt;secondary-title&gt;2019 IEEE International Professional Communication Conference (ProComm)&lt;/secondary-title&gt;&lt;/titles&gt;&lt;pages&gt;259-261&lt;/pages&gt;&lt;dates&gt;&lt;year&gt;2019&lt;/year&gt;&lt;/dates&gt;&lt;publisher&gt;IEEE&lt;/publisher&gt;&lt;isbn&gt;1728125669&lt;/isbn&gt;&lt;urls&gt;&lt;/urls&gt;&lt;electronic-resource-num&gt;10.1109/ProComm.2019.00056&lt;/electronic-resource-num&gt;&lt;/record&gt;&lt;/Cite&gt;&lt;Cite&gt;&lt;Author&gt;Getto&lt;/Author&gt;&lt;Year&gt;2023&lt;/Year&gt;&lt;RecNum&gt;50&lt;/RecNum&gt;&lt;record&gt;&lt;rec-number&gt;50&lt;/rec-number&gt;&lt;foreign-keys&gt;&lt;key app="EN" db-id="axateaap22str3eaaa1xar2n95zaewv2sx5a" timestamp="1731584893"&gt;50&lt;/key&gt;&lt;/foreign-keys&gt;&lt;ref-type name="Journal Article"&gt;17&lt;/ref-type&gt;&lt;contributors&gt;&lt;authors&gt;&lt;author&gt;Getto, Guiseppe&lt;/author&gt;&lt;author&gt;Labriola, Jack T&lt;/author&gt;&lt;author&gt;Lancaster, Amber&lt;/author&gt;&lt;/authors&gt;&lt;/contributors&gt;&lt;titles&gt;&lt;title&gt;The State of UX in Technical and Professional Communication: Courses, Programs, and Jobs&lt;/title&gt;&lt;secondary-title&gt;IEEE Transactions on Professional Communication&lt;/secondary-title&gt;&lt;/titles&gt;&lt;periodical&gt;&lt;full-title&gt;IEEE Transactions on Professional Communication&lt;/full-title&gt;&lt;/periodical&gt;&lt;pages&gt;317-321&lt;/pages&gt;&lt;volume&gt;66&lt;/volume&gt;&lt;number&gt;4&lt;/number&gt;&lt;dates&gt;&lt;year&gt;2023&lt;/year&gt;&lt;/dates&gt;&lt;isbn&gt;0361-1434&lt;/isbn&gt;&lt;urls&gt;&lt;/urls&gt;&lt;electronic-resource-num&gt;10.1109/TPC.2023.3314255&lt;/electronic-resource-num&gt;&lt;/record&gt;&lt;/Cite&gt;&lt;/EndNote&gt;</w:instrText>
      </w:r>
      <w:r>
        <w:rPr>
          <w:rFonts w:ascii="Arial" w:hAnsi="Arial" w:cs="Arial"/>
          <w:lang w:eastAsia="zh-CN"/>
        </w:rPr>
        <w:fldChar w:fldCharType="separate"/>
      </w:r>
      <w:r w:rsidR="00601647">
        <w:rPr>
          <w:rFonts w:ascii="Arial" w:hAnsi="Arial" w:cs="Arial"/>
          <w:noProof/>
          <w:lang w:eastAsia="zh-CN"/>
        </w:rPr>
        <w:t>(Cleary et al., 2019; Getto et al., 2023)</w:t>
      </w:r>
      <w:r>
        <w:rPr>
          <w:rFonts w:ascii="Arial" w:hAnsi="Arial" w:cs="Arial"/>
          <w:lang w:eastAsia="zh-CN"/>
        </w:rPr>
        <w:fldChar w:fldCharType="end"/>
      </w:r>
      <w:r>
        <w:rPr>
          <w:rFonts w:ascii="Arial" w:hAnsi="Arial" w:cs="Arial"/>
          <w:lang w:eastAsia="zh-CN"/>
        </w:rPr>
        <w:t xml:space="preserve">. The results also echo recent evidence that learners may overestimate their production readiness in digital workflows, which implies that tool mediated drafting and collaboration require explicit scaffolding rather than assumption </w:t>
      </w:r>
      <w:r>
        <w:rPr>
          <w:rFonts w:ascii="Arial" w:hAnsi="Arial" w:cs="Arial"/>
          <w:lang w:eastAsia="zh-CN"/>
        </w:rPr>
        <w:fldChar w:fldCharType="begin"/>
      </w:r>
      <w:r w:rsidR="00601647">
        <w:rPr>
          <w:rFonts w:ascii="Arial" w:hAnsi="Arial" w:cs="Arial"/>
          <w:lang w:eastAsia="zh-CN"/>
        </w:rPr>
        <w:instrText xml:space="preserve"> ADDIN EN.CITE &lt;EndNote&gt;&lt;Cite&gt;&lt;Author&gt;Menagarishvili&lt;/Author&gt;&lt;Year&gt;2024&lt;/Year&gt;&lt;RecNum&gt;32&lt;/RecNum&gt;&lt;DisplayText&gt;(Menagarishvili et al., 2024)&lt;/DisplayText&gt;&lt;record&gt;&lt;rec-number&gt;32&lt;/rec-number&gt;&lt;foreign-keys&gt;&lt;key app="EN" db-id="axateaap22str3eaaa1xar2n95zaewv2sx5a" timestamp="1731582552"&gt;32&lt;/key&gt;&lt;/foreign-keys&gt;&lt;ref-type name="Journal Article"&gt;17&lt;/ref-type&gt;&lt;contributors&gt;&lt;authors&gt;&lt;author&gt;Menagarishvili, Olga&lt;/author&gt;&lt;author&gt;Burnett, Rebecca E&lt;/author&gt;&lt;author&gt;Frazee, Andy&lt;/author&gt;&lt;/authors&gt;&lt;/contributors&gt;&lt;titles&gt;&lt;title&gt;Getting it Wrong: Student Estimations of Time and the Number of Drafts in Linked Computer Science and Technical Communication Courses&lt;/title&gt;&lt;secondary-title&gt;IEEE Transactions on Professional Communication&lt;/secondary-title&gt;&lt;/titles&gt;&lt;periodical&gt;&lt;full-title&gt;IEEE Transactions on Professional Communication&lt;/full-title&gt;&lt;/periodical&gt;&lt;dates&gt;&lt;year&gt;2024&lt;/year&gt;&lt;/dates&gt;&lt;isbn&gt;0361-1434&lt;/isbn&gt;&lt;urls&gt;&lt;/urls&gt;&lt;electronic-resource-num&gt;10.1109/TPC.2024.3477012&lt;/electronic-resource-num&gt;&lt;/record&gt;&lt;/Cite&gt;&lt;/EndNote&gt;</w:instrText>
      </w:r>
      <w:r>
        <w:rPr>
          <w:rFonts w:ascii="Arial" w:hAnsi="Arial" w:cs="Arial"/>
          <w:lang w:eastAsia="zh-CN"/>
        </w:rPr>
        <w:fldChar w:fldCharType="separate"/>
      </w:r>
      <w:r w:rsidR="00601647">
        <w:rPr>
          <w:rFonts w:ascii="Arial" w:hAnsi="Arial" w:cs="Arial"/>
          <w:noProof/>
          <w:lang w:eastAsia="zh-CN"/>
        </w:rPr>
        <w:t>(Menagarishvili et al., 2024)</w:t>
      </w:r>
      <w:r>
        <w:rPr>
          <w:rFonts w:ascii="Arial" w:hAnsi="Arial" w:cs="Arial"/>
          <w:lang w:eastAsia="zh-CN"/>
        </w:rPr>
        <w:fldChar w:fldCharType="end"/>
      </w:r>
      <w:r>
        <w:rPr>
          <w:rFonts w:ascii="Arial" w:hAnsi="Arial" w:cs="Arial"/>
          <w:lang w:eastAsia="zh-CN"/>
        </w:rPr>
        <w:t>.</w:t>
      </w:r>
    </w:p>
    <w:p w14:paraId="76E2AA8A" w14:textId="77777777" w:rsidR="006438A5" w:rsidRDefault="00000000">
      <w:pPr>
        <w:pStyle w:val="Body"/>
        <w:spacing w:after="0"/>
        <w:rPr>
          <w:rFonts w:ascii="Arial" w:hAnsi="Arial" w:cs="Arial"/>
          <w:lang w:eastAsia="zh-CN"/>
        </w:rPr>
      </w:pPr>
      <w:r>
        <w:rPr>
          <w:rFonts w:ascii="Arial" w:hAnsi="Arial" w:cs="Arial"/>
          <w:lang w:eastAsia="zh-CN"/>
        </w:rPr>
        <w:t>Reflective writing was rated Fair, even though identifying areas for improvement was rated Excellent. This suggests that students could recognize gaps but did not consistently translate that awareness into analytic written reflection. Observers’ notes characterized reflection as comparatively surface level, which implies that reflection tasks likely need clearer prompts, stronger criteria, and closer alignment with specific TC decisions made during drafting and revision.</w:t>
      </w:r>
    </w:p>
    <w:p w14:paraId="70B5652B" w14:textId="77777777" w:rsidR="006438A5" w:rsidRDefault="00000000">
      <w:pPr>
        <w:pStyle w:val="Body"/>
        <w:spacing w:after="0"/>
        <w:rPr>
          <w:rFonts w:ascii="Arial" w:hAnsi="Arial" w:cs="Arial"/>
          <w:lang w:eastAsia="zh-CN"/>
        </w:rPr>
      </w:pPr>
      <w:r>
        <w:rPr>
          <w:rFonts w:ascii="Arial" w:hAnsi="Arial" w:cs="Arial"/>
          <w:lang w:eastAsia="zh-CN"/>
        </w:rPr>
        <w:t>Overall, the observation evidence indicates that TCM supported robust TC learning in action, particularly through high participation, strong collaboration, active feedback seeking, visible revision, and disciplined task completion. At the same time, the findings identify two refinement targets that are central to workplace aligned TC competence, namely advanced digital tool mediated production and deeper reflective writing.</w:t>
      </w:r>
    </w:p>
    <w:p w14:paraId="79F71855" w14:textId="77777777" w:rsidR="006438A5" w:rsidRDefault="006438A5">
      <w:pPr>
        <w:widowControl w:val="0"/>
        <w:jc w:val="both"/>
      </w:pPr>
    </w:p>
    <w:p w14:paraId="176D5C82" w14:textId="77777777" w:rsidR="006438A5" w:rsidRDefault="00000000">
      <w:pPr>
        <w:pStyle w:val="AbstHead"/>
        <w:numPr>
          <w:ilvl w:val="0"/>
          <w:numId w:val="2"/>
        </w:numPr>
        <w:spacing w:after="0"/>
        <w:jc w:val="both"/>
        <w:rPr>
          <w:rFonts w:ascii="Arial" w:hAnsi="Arial" w:cs="Arial"/>
        </w:rPr>
      </w:pPr>
      <w:r>
        <w:rPr>
          <w:rFonts w:ascii="Arial" w:hAnsi="Arial" w:cs="Arial" w:hint="eastAsia"/>
        </w:rPr>
        <w:t>Discussion</w:t>
      </w:r>
    </w:p>
    <w:p w14:paraId="5982A2CB" w14:textId="77777777" w:rsidR="006438A5" w:rsidRDefault="006438A5">
      <w:pPr>
        <w:widowControl w:val="0"/>
        <w:jc w:val="both"/>
      </w:pPr>
    </w:p>
    <w:p w14:paraId="03AC2F19" w14:textId="77777777" w:rsidR="006438A5" w:rsidRDefault="00000000">
      <w:pPr>
        <w:pStyle w:val="Body"/>
        <w:spacing w:after="0"/>
        <w:rPr>
          <w:rFonts w:ascii="Arial" w:hAnsi="Arial" w:cs="Arial"/>
          <w:lang w:eastAsia="zh-CN"/>
        </w:rPr>
      </w:pPr>
      <w:r>
        <w:rPr>
          <w:rFonts w:ascii="Arial" w:hAnsi="Arial" w:cs="Arial"/>
          <w:lang w:eastAsia="zh-CN"/>
        </w:rPr>
        <w:t>This study positioned classroom observation as validity-oriented evidence for evaluating how TCM functions as enacted TC pedagogy. The findings show that students consistently demonstrated high participation, strong collaboration, active feedback seeking, visible revision, and reliable task completion. At the same time, two constraints were persistent and diagnostic, namely limited proficiency in advanced digital tool use and uneven depth of reflective writing. Interpreted together, these patterns suggest that TCM is effective in activating core TC learning mechanisms, while also identifying specific design refinements needed to strengthen workplace aligned competence.</w:t>
      </w:r>
    </w:p>
    <w:p w14:paraId="7F979464" w14:textId="77777777" w:rsidR="006438A5" w:rsidRDefault="006438A5">
      <w:pPr>
        <w:widowControl w:val="0"/>
        <w:jc w:val="both"/>
      </w:pPr>
    </w:p>
    <w:p w14:paraId="7524B703"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TCM as process-oriented TC pedagogy in practice</w:t>
      </w:r>
    </w:p>
    <w:p w14:paraId="1C8DE381" w14:textId="77777777" w:rsidR="006438A5" w:rsidRDefault="006438A5">
      <w:pPr>
        <w:widowControl w:val="0"/>
        <w:jc w:val="both"/>
        <w:rPr>
          <w:rFonts w:ascii="Calibri" w:eastAsia="宋体" w:hAnsi="Calibri"/>
          <w:kern w:val="2"/>
          <w:sz w:val="21"/>
          <w:szCs w:val="24"/>
          <w:lang w:eastAsia="zh-CN" w:bidi="ar"/>
        </w:rPr>
      </w:pPr>
    </w:p>
    <w:p w14:paraId="0A5D979F" w14:textId="2B2790DD" w:rsidR="006438A5" w:rsidRDefault="00000000">
      <w:pPr>
        <w:pStyle w:val="Body"/>
        <w:spacing w:after="0"/>
        <w:rPr>
          <w:rFonts w:ascii="Arial" w:hAnsi="Arial" w:cs="Arial"/>
          <w:lang w:eastAsia="zh-CN"/>
        </w:rPr>
      </w:pPr>
      <w:r>
        <w:rPr>
          <w:rFonts w:ascii="Arial" w:hAnsi="Arial" w:cs="Arial"/>
          <w:lang w:eastAsia="zh-CN"/>
        </w:rPr>
        <w:t>The strongest evidence for TCM validity lies in the coherence among three process indicators. Students sought feedback frequently, revised drafts in response to feedback, and adhered to writing guidelines while producing accurate outputs on time. This cluster aligns with research arguing that competence development in TC depends on making process work visible and accessible, especially drafting, feedback uptake, and revision</w:t>
      </w:r>
      <w:r w:rsidR="00601647">
        <w:rPr>
          <w:rFonts w:ascii="Arial" w:eastAsiaTheme="minorEastAsia" w:hAnsi="Arial" w:cs="Arial" w:hint="eastAsia"/>
          <w:lang w:eastAsia="zh-CN"/>
        </w:rPr>
        <w:t xml:space="preserve"> </w:t>
      </w:r>
      <w:r w:rsidR="00601647">
        <w:rPr>
          <w:rFonts w:ascii="Arial" w:eastAsiaTheme="minorEastAsia" w:hAnsi="Arial" w:cs="Arial"/>
          <w:lang w:eastAsia="zh-CN"/>
        </w:rPr>
        <w:fldChar w:fldCharType="begin">
          <w:fldData xml:space="preserve">PEVuZE5vdGU+PENpdGU+PEF1dGhvcj5GZXVlcjwvQXV0aG9yPjxZZWFyPjIwMjA8L1llYXI+PFJl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</w:fldData>
        </w:fldChar>
      </w:r>
      <w:r w:rsidR="00940238">
        <w:rPr>
          <w:rFonts w:ascii="Arial" w:eastAsiaTheme="minorEastAsia" w:hAnsi="Arial" w:cs="Arial"/>
          <w:lang w:eastAsia="zh-CN"/>
        </w:rPr>
        <w:instrText xml:space="preserve"> ADDIN EN.CITE </w:instrText>
      </w:r>
      <w:r w:rsidR="00940238">
        <w:rPr>
          <w:rFonts w:ascii="Arial" w:eastAsiaTheme="minorEastAsia" w:hAnsi="Arial" w:cs="Arial"/>
          <w:lang w:eastAsia="zh-CN"/>
        </w:rPr>
        <w:fldChar w:fldCharType="begin">
          <w:fldData xml:space="preserve">PEVuZE5vdGU+PENpdGU+PEF1dGhvcj5GZXVlcjwvQXV0aG9yPjxZZWFyPjIwMjA8L1llYXI+PFJl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</w:fldData>
        </w:fldChar>
      </w:r>
      <w:r w:rsidR="00940238">
        <w:rPr>
          <w:rFonts w:ascii="Arial" w:eastAsiaTheme="minorEastAsia" w:hAnsi="Arial" w:cs="Arial"/>
          <w:lang w:eastAsia="zh-CN"/>
        </w:rPr>
        <w:instrText xml:space="preserve"> ADDIN EN.CITE.DATA </w:instrText>
      </w:r>
      <w:r w:rsidR="00940238">
        <w:rPr>
          <w:rFonts w:ascii="Arial" w:eastAsiaTheme="minorEastAsia" w:hAnsi="Arial" w:cs="Arial"/>
          <w:lang w:eastAsia="zh-CN"/>
        </w:rPr>
      </w:r>
      <w:r w:rsidR="00940238">
        <w:rPr>
          <w:rFonts w:ascii="Arial" w:eastAsiaTheme="minorEastAsia" w:hAnsi="Arial" w:cs="Arial"/>
          <w:lang w:eastAsia="zh-CN"/>
        </w:rPr>
        <w:fldChar w:fldCharType="end"/>
      </w:r>
      <w:r w:rsidR="00601647">
        <w:rPr>
          <w:rFonts w:ascii="Arial" w:eastAsiaTheme="minorEastAsia" w:hAnsi="Arial" w:cs="Arial"/>
          <w:lang w:eastAsia="zh-CN"/>
        </w:rPr>
      </w:r>
      <w:r w:rsidR="00601647">
        <w:rPr>
          <w:rFonts w:ascii="Arial" w:eastAsiaTheme="minorEastAsia" w:hAnsi="Arial" w:cs="Arial"/>
          <w:lang w:eastAsia="zh-CN"/>
        </w:rPr>
        <w:fldChar w:fldCharType="separate"/>
      </w:r>
      <w:r w:rsidR="00601647">
        <w:rPr>
          <w:rFonts w:ascii="Arial" w:eastAsiaTheme="minorEastAsia" w:hAnsi="Arial" w:cs="Arial"/>
          <w:noProof/>
          <w:lang w:eastAsia="zh-CN"/>
        </w:rPr>
        <w:t>(Feuer, 2020; Johnson, 2022)</w:t>
      </w:r>
      <w:r w:rsidR="00601647">
        <w:rPr>
          <w:rFonts w:ascii="Arial" w:eastAsiaTheme="minorEastAsia" w:hAnsi="Arial" w:cs="Arial"/>
          <w:lang w:eastAsia="zh-CN"/>
        </w:rPr>
        <w:fldChar w:fldCharType="end"/>
      </w:r>
      <w:r>
        <w:rPr>
          <w:rFonts w:ascii="Arial" w:hAnsi="Arial" w:cs="Arial"/>
          <w:lang w:eastAsia="zh-CN"/>
        </w:rPr>
        <w:t xml:space="preserve">. Rather than treating writing </w:t>
      </w:r>
      <w:r>
        <w:rPr>
          <w:rFonts w:ascii="Arial" w:hAnsi="Arial" w:cs="Arial"/>
          <w:lang w:eastAsia="zh-CN"/>
        </w:rPr>
        <w:lastRenderedPageBreak/>
        <w:t>as a one pass product, TCM appears to support iterative improvement routines that more closely resemble professional documentation cycles. From a pedagogical perspective, these routines matter because they connect genre expectations to action, so students learn how standards are negotiated through peer and instructor interaction rather than memorized as rules.</w:t>
      </w:r>
    </w:p>
    <w:p w14:paraId="438E5460" w14:textId="77777777" w:rsidR="006438A5" w:rsidRDefault="00000000">
      <w:pPr>
        <w:pStyle w:val="Body"/>
        <w:spacing w:after="0"/>
        <w:rPr>
          <w:rFonts w:ascii="Arial" w:hAnsi="Arial" w:cs="Arial"/>
          <w:lang w:eastAsia="zh-CN"/>
        </w:rPr>
      </w:pPr>
      <w:r>
        <w:rPr>
          <w:rFonts w:ascii="Arial" w:hAnsi="Arial" w:cs="Arial"/>
          <w:lang w:eastAsia="zh-CN"/>
        </w:rPr>
        <w:t>The strong engagement and motivation patterns further support this interpretation. Students did not simply comply with tasks but actively participated in discussions and initiated writing or editing. Such patterns are consistent with the assumption that scenario-based tasks can increase involvement by making communication problems concrete and consequential. The observation evidence therefore supports using situated and collaborative tasks as a design principle in vocational TC, particularly when employability outcomes depend on students’ ability to coordinate communication under time constraints rather than to reproduce language knowledge.</w:t>
      </w:r>
    </w:p>
    <w:p w14:paraId="4647C7C2" w14:textId="77777777" w:rsidR="006438A5" w:rsidRDefault="006438A5">
      <w:pPr>
        <w:widowControl w:val="0"/>
        <w:jc w:val="both"/>
      </w:pPr>
    </w:p>
    <w:p w14:paraId="4AC731FF"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Collaboration as workplace aligned competence development</w:t>
      </w:r>
    </w:p>
    <w:p w14:paraId="56D5D947" w14:textId="77777777" w:rsidR="006438A5" w:rsidRDefault="006438A5">
      <w:pPr>
        <w:widowControl w:val="0"/>
        <w:jc w:val="both"/>
      </w:pPr>
    </w:p>
    <w:p w14:paraId="64FD6A3C" w14:textId="0FB1AF50" w:rsidR="006438A5" w:rsidRDefault="00000000">
      <w:pPr>
        <w:pStyle w:val="Body"/>
        <w:spacing w:after="0"/>
        <w:rPr>
          <w:rFonts w:ascii="Arial" w:hAnsi="Arial" w:cs="Arial"/>
          <w:lang w:eastAsia="zh-CN"/>
        </w:rPr>
      </w:pPr>
      <w:r>
        <w:rPr>
          <w:rFonts w:ascii="Arial" w:hAnsi="Arial" w:cs="Arial"/>
          <w:lang w:eastAsia="zh-CN"/>
        </w:rPr>
        <w:t xml:space="preserve">Collaboration was one of the most consistent strengths. Students were rated highly for group coordination, constructive peer feedback, and incorporation of suggestions from discussions. This finding aligns with scholarship that conceptualizes classroom teamwork as a primary site where learners develop workplace relevant soft skills, including negotiation of roles, shared accountability, and conflict management </w:t>
      </w:r>
      <w:r>
        <w:rPr>
          <w:rFonts w:ascii="Arial" w:hAnsi="Arial" w:cs="Arial"/>
          <w:lang w:eastAsia="zh-CN"/>
        </w:rPr>
        <w:fldChar w:fldCharType="begin"/>
      </w:r>
      <w:r w:rsidR="00601647">
        <w:rPr>
          <w:rFonts w:ascii="Arial" w:hAnsi="Arial" w:cs="Arial"/>
          <w:lang w:eastAsia="zh-CN"/>
        </w:rPr>
        <w:instrText xml:space="preserve"> ADDIN EN.CITE &lt;EndNote&gt;&lt;Cite&gt;&lt;Author&gt;Lam&lt;/Author&gt;&lt;Year&gt;2019&lt;/Year&gt;&lt;RecNum&gt;36&lt;/RecNum&gt;&lt;DisplayText&gt;(Lam &amp;amp; Biggerstaff, 2019)&lt;/DisplayText&gt;&lt;record&gt;&lt;rec-number&gt;36&lt;/rec-number&gt;&lt;foreign-keys&gt;&lt;key app="EN" db-id="axateaap22str3eaaa1xar2n95zaewv2sx5a" timestamp="1731582913"&gt;36&lt;/key&gt;&lt;/foreign-keys&gt;&lt;ref-type name="Journal Article"&gt;17&lt;/ref-type&gt;&lt;contributors&gt;&lt;authors&gt;&lt;author&gt;Lam, Chris&lt;/author&gt;&lt;author&gt;Biggerstaff, Ellen&lt;/author&gt;&lt;/authors&gt;&lt;/contributors&gt;&lt;titles&gt;&lt;title&gt;Finding Stories in the Threads: Can Technical Communication Students Leverage User-Generated Content to Gain Subject-Matter Familiarity?&lt;/title&gt;&lt;secondary-title&gt;IEEE Transactions on Professional Communication&lt;/secondary-title&gt;&lt;/titles&gt;&lt;periodical&gt;&lt;full-title&gt;IEEE Transactions on Professional Communication&lt;/full-title&gt;&lt;/periodical&gt;&lt;pages&gt;334-350&lt;/pages&gt;&lt;volume&gt;62&lt;/volume&gt;&lt;number&gt;4&lt;/number&gt;&lt;dates&gt;&lt;year&gt;2019&lt;/year&gt;&lt;/dates&gt;&lt;isbn&gt;0361-1434&lt;/isbn&gt;&lt;urls&gt;&lt;/urls&gt;&lt;electronic-resource-num&gt;10.1109/TPC.2019.2946995&lt;/electronic-resource-num&gt;&lt;/record&gt;&lt;/Cite&gt;&lt;/EndNote&gt;</w:instrText>
      </w:r>
      <w:r>
        <w:rPr>
          <w:rFonts w:ascii="Arial" w:hAnsi="Arial" w:cs="Arial"/>
          <w:lang w:eastAsia="zh-CN"/>
        </w:rPr>
        <w:fldChar w:fldCharType="separate"/>
      </w:r>
      <w:r w:rsidR="00601647">
        <w:rPr>
          <w:rFonts w:ascii="Arial" w:hAnsi="Arial" w:cs="Arial"/>
          <w:noProof/>
          <w:lang w:eastAsia="zh-CN"/>
        </w:rPr>
        <w:t>(Lam &amp; Biggerstaff, 2019)</w:t>
      </w:r>
      <w:r>
        <w:rPr>
          <w:rFonts w:ascii="Arial" w:hAnsi="Arial" w:cs="Arial"/>
          <w:lang w:eastAsia="zh-CN"/>
        </w:rPr>
        <w:fldChar w:fldCharType="end"/>
      </w:r>
      <w:r>
        <w:rPr>
          <w:rFonts w:ascii="Arial" w:hAnsi="Arial" w:cs="Arial"/>
          <w:lang w:eastAsia="zh-CN"/>
        </w:rPr>
        <w:t xml:space="preserve">. It also supports arguments that TC instruction should treat collaborative workflow as a learning outcome, not merely a means of managing classroom tasks. </w:t>
      </w:r>
      <w:r>
        <w:rPr>
          <w:rFonts w:ascii="Arial" w:hAnsi="Arial" w:cs="Arial"/>
          <w:lang w:eastAsia="zh-CN"/>
        </w:rPr>
        <w:fldChar w:fldCharType="begin"/>
      </w:r>
      <w:r w:rsidR="00601647">
        <w:rPr>
          <w:rFonts w:ascii="Arial" w:hAnsi="Arial" w:cs="Arial"/>
          <w:lang w:eastAsia="zh-CN"/>
        </w:rPr>
        <w:instrText xml:space="preserve"> ADDIN EN.CITE &lt;EndNote&gt;&lt;Cite AuthorYear="1"&gt;&lt;Author&gt;Friess&lt;/Author&gt;&lt;Year&gt;2023&lt;/Year&gt;&lt;RecNum&gt;75&lt;/RecNum&gt;&lt;DisplayText&gt;Friess (2023)&lt;/DisplayText&gt;&lt;record&gt;&lt;rec-number&gt;75&lt;/rec-number&gt;&lt;foreign-keys&gt;&lt;key app="EN" db-id="axateaap22str3eaaa1xar2n95zaewv2sx5a" timestamp="1731595001"&gt;75&lt;/key&gt;&lt;/foreign-keys&gt;&lt;ref-type name="Journal Article"&gt;17&lt;/ref-type&gt;&lt;contributors&gt;&lt;authors&gt;&lt;author&gt;Friess, E.&lt;/author&gt;&lt;/authors&gt;&lt;/contributors&gt;&lt;auth-address&gt;Technical Communication, University of North Texas, Denton, TX, United States&lt;/auth-address&gt;&lt;titles&gt;&lt;title&gt;Scrum in Classroom Collaborations: A Quasi-Experimental Study&lt;/title&gt;&lt;secondary-title&gt;Journal of Business and Technical Communication&lt;/secondary-title&gt;&lt;alt-title&gt;J. Bus. Tech. Commun.&lt;/alt-title&gt;&lt;/titles&gt;&lt;alt-periodical&gt;&lt;full-title&gt;Journal of Business and Technical Communication&lt;/full-title&gt;&lt;abbr-1&gt;J. Bus. Tech. Commun.&lt;/abbr-1&gt;&lt;/alt-periodical&gt;&lt;pages&gt;68-94&lt;/pages&gt;&lt;volume&gt;37&lt;/volume&gt;&lt;number&gt;1&lt;/number&gt;&lt;keywords&gt;&lt;keyword&gt;agile&lt;/keyword&gt;&lt;keyword&gt;collaboration&lt;/keyword&gt;&lt;keyword&gt;experimental study&lt;/keyword&gt;&lt;keyword&gt;project management&lt;/keyword&gt;&lt;keyword&gt;Scrum&lt;/keyword&gt;&lt;/keywords&gt;&lt;dates&gt;&lt;year&gt;2023&lt;/year&gt;&lt;/dates&gt;&lt;publisher&gt;SAGE Publications Inc.&lt;/publisher&gt;&lt;isbn&gt;10506519 (ISSN)&lt;/isbn&gt;&lt;work-type&gt;Article&lt;/work-type&gt;&lt;urls&gt;&lt;related-urls&gt;&lt;url&gt;https://www.scopus.com/inward/record.uri?eid=2-s2.0-85139440521&amp;amp;doi=10.1177%2f10506519221121817&amp;amp;partnerID=40&amp;amp;md5=80da1acf2381166cfc48553ed4c63254&lt;/url&gt;&lt;/related-urls&gt;&lt;/urls&gt;&lt;electronic-resource-num&gt;10.1177/10506519221121817&lt;/electronic-resource-num&gt;&lt;remote-database-name&gt;Scopus&lt;/remote-database-name&gt;&lt;language&gt;English&lt;/language&gt;&lt;/record&gt;&lt;/Cite&gt;&lt;/EndNote&gt;</w:instrText>
      </w:r>
      <w:r>
        <w:rPr>
          <w:rFonts w:ascii="Arial" w:hAnsi="Arial" w:cs="Arial"/>
          <w:lang w:eastAsia="zh-CN"/>
        </w:rPr>
        <w:fldChar w:fldCharType="separate"/>
      </w:r>
      <w:r w:rsidR="00601647">
        <w:rPr>
          <w:rFonts w:ascii="Arial" w:hAnsi="Arial" w:cs="Arial"/>
          <w:noProof/>
          <w:lang w:eastAsia="zh-CN"/>
        </w:rPr>
        <w:t>Friess (2023)</w:t>
      </w:r>
      <w:r>
        <w:rPr>
          <w:rFonts w:ascii="Arial" w:hAnsi="Arial" w:cs="Arial"/>
          <w:lang w:eastAsia="zh-CN"/>
        </w:rPr>
        <w:fldChar w:fldCharType="end"/>
      </w:r>
      <w:r>
        <w:rPr>
          <w:rFonts w:ascii="Arial" w:hAnsi="Arial" w:cs="Arial"/>
          <w:lang w:eastAsia="zh-CN"/>
        </w:rPr>
        <w:t xml:space="preserve"> shows that the structure of classroom collaboration shapes accountability and coordination patterns, which helps explain why strong collaboration can be taken as evidence that TCM’s workflow design is functioning as intended. Similarly, research on teaching collaborative problem solving in professional communication contexts emphasizes that coordination practices must be learned through repeated enactment and structured interaction, not assumed as natural group behavior </w:t>
      </w:r>
      <w:r>
        <w:rPr>
          <w:rFonts w:ascii="Arial" w:hAnsi="Arial" w:cs="Arial"/>
          <w:lang w:eastAsia="zh-CN"/>
        </w:rPr>
        <w:fldChar w:fldCharType="begin"/>
      </w:r>
      <w:r w:rsidR="00601647">
        <w:rPr>
          <w:rFonts w:ascii="Arial" w:hAnsi="Arial" w:cs="Arial"/>
          <w:lang w:eastAsia="zh-CN"/>
        </w:rPr>
        <w:instrText xml:space="preserve"> ADDIN EN.CITE &lt;EndNote&gt;&lt;Cite&gt;&lt;Author&gt;Moeggenberg&lt;/Author&gt;&lt;Year&gt;2024&lt;/Year&gt;&lt;RecNum&gt;17&lt;/RecNum&gt;&lt;DisplayText&gt;(Moeggenberg &amp;amp; Maier, 2024)&lt;/DisplayText&gt;&lt;record&gt;&lt;rec-number&gt;17&lt;/rec-number&gt;&lt;foreign-keys&gt;&lt;key app="EN" db-id="axateaap22str3eaaa1xar2n95zaewv2sx5a" timestamp="1731569913"&gt;17&lt;/key&gt;&lt;/foreign-keys&gt;&lt;ref-type name="Conference Proceedings"&gt;10&lt;/ref-type&gt;&lt;contributors&gt;&lt;authors&gt;&lt;author&gt;Moeggenberg, Zarah C&lt;/author&gt;&lt;author&gt;Maier, Melissa A&lt;/author&gt;&lt;/authors&gt;&lt;/contributors&gt;&lt;titles&gt;&lt;title&gt;Teaching Collaborative Problem-Solving in Technical and Professional Communication&lt;/title&gt;&lt;secondary-title&gt;2024 IEEE International Professional Communication Conference (ProComm)&lt;/secondary-title&gt;&lt;/titles&gt;&lt;pages&gt;282-287&lt;/pages&gt;&lt;dates&gt;&lt;year&gt;2024&lt;/year&gt;&lt;/dates&gt;&lt;publisher&gt;IEEE&lt;/publisher&gt;&lt;isbn&gt;9798350384451&lt;/isbn&gt;&lt;urls&gt;&lt;/urls&gt;&lt;electronic-resource-num&gt;10.1109/ProComm61427.2024.00062&lt;/electronic-resource-num&gt;&lt;/record&gt;&lt;/Cite&gt;&lt;/EndNote&gt;</w:instrText>
      </w:r>
      <w:r>
        <w:rPr>
          <w:rFonts w:ascii="Arial" w:hAnsi="Arial" w:cs="Arial"/>
          <w:lang w:eastAsia="zh-CN"/>
        </w:rPr>
        <w:fldChar w:fldCharType="separate"/>
      </w:r>
      <w:r w:rsidR="00601647">
        <w:rPr>
          <w:rFonts w:ascii="Arial" w:hAnsi="Arial" w:cs="Arial"/>
          <w:noProof/>
          <w:lang w:eastAsia="zh-CN"/>
        </w:rPr>
        <w:t>(Moeggenberg &amp; Maier, 2024)</w:t>
      </w:r>
      <w:r>
        <w:rPr>
          <w:rFonts w:ascii="Arial" w:hAnsi="Arial" w:cs="Arial"/>
          <w:lang w:eastAsia="zh-CN"/>
        </w:rPr>
        <w:fldChar w:fldCharType="end"/>
      </w:r>
      <w:r>
        <w:rPr>
          <w:rFonts w:ascii="Arial" w:hAnsi="Arial" w:cs="Arial"/>
          <w:lang w:eastAsia="zh-CN"/>
        </w:rPr>
        <w:t>.</w:t>
      </w:r>
    </w:p>
    <w:p w14:paraId="68E159C9" w14:textId="77777777" w:rsidR="006438A5" w:rsidRDefault="00000000">
      <w:pPr>
        <w:pStyle w:val="Body"/>
        <w:spacing w:after="0"/>
        <w:rPr>
          <w:rFonts w:ascii="Arial" w:hAnsi="Arial" w:cs="Arial"/>
          <w:lang w:eastAsia="zh-CN"/>
        </w:rPr>
      </w:pPr>
      <w:r>
        <w:rPr>
          <w:rFonts w:ascii="Arial" w:hAnsi="Arial" w:cs="Arial"/>
          <w:lang w:eastAsia="zh-CN"/>
        </w:rPr>
        <w:t>For vocational settings, this collaborative strength is particularly important. Employers often evaluate graduates on their ability to align communication within teams and across roles. The observation evidence suggests that TCM provides a learning environment where such coordination is practiced through scenario driven tasks, thereby supporting a stronger alignment between classroom performance and workplace expectations.</w:t>
      </w:r>
    </w:p>
    <w:p w14:paraId="283E53A1" w14:textId="77777777" w:rsidR="006438A5" w:rsidRDefault="006438A5">
      <w:pPr>
        <w:widowControl w:val="0"/>
        <w:jc w:val="both"/>
      </w:pPr>
    </w:p>
    <w:p w14:paraId="7A1B18A2" w14:textId="77777777" w:rsidR="006438A5" w:rsidRDefault="00000000">
      <w:pPr>
        <w:pStyle w:val="Body"/>
        <w:numPr>
          <w:ilvl w:val="1"/>
          <w:numId w:val="2"/>
        </w:numPr>
        <w:spacing w:after="0"/>
        <w:rPr>
          <w:rFonts w:ascii="Arial" w:hAnsi="Arial" w:cs="Arial"/>
          <w:b/>
          <w:sz w:val="22"/>
        </w:rPr>
      </w:pPr>
      <w:r>
        <w:rPr>
          <w:rFonts w:ascii="Arial" w:eastAsia="宋体" w:hAnsi="Arial" w:cs="Arial" w:hint="eastAsia"/>
          <w:b/>
          <w:sz w:val="22"/>
          <w:lang w:eastAsia="zh-CN"/>
        </w:rPr>
        <w:t>D</w:t>
      </w:r>
      <w:r>
        <w:rPr>
          <w:rFonts w:ascii="Arial" w:hAnsi="Arial" w:cs="Arial" w:hint="eastAsia"/>
          <w:b/>
          <w:sz w:val="22"/>
        </w:rPr>
        <w:t>igital tool mediated TC remain fragile</w:t>
      </w:r>
    </w:p>
    <w:p w14:paraId="7C8CF430" w14:textId="77777777" w:rsidR="006438A5" w:rsidRDefault="006438A5">
      <w:pPr>
        <w:widowControl w:val="0"/>
        <w:jc w:val="both"/>
      </w:pPr>
    </w:p>
    <w:p w14:paraId="4680C0A9" w14:textId="6D8B5E80" w:rsidR="006438A5" w:rsidRDefault="00000000">
      <w:pPr>
        <w:pStyle w:val="Body"/>
        <w:spacing w:after="0"/>
        <w:rPr>
          <w:rFonts w:ascii="Arial" w:hAnsi="Arial" w:cs="Arial"/>
          <w:lang w:eastAsia="zh-CN"/>
        </w:rPr>
      </w:pPr>
      <w:r>
        <w:rPr>
          <w:rFonts w:ascii="Arial" w:hAnsi="Arial" w:cs="Arial"/>
          <w:lang w:eastAsia="zh-CN"/>
        </w:rPr>
        <w:t xml:space="preserve">Despite overall positive enactment, effective use of digital tools was rated only fair. This pattern is theoretically and practically significant because contemporary TC work is increasingly platform mediated, and the field is expanding toward UX adjacent communication practices shaped by digital environments </w:t>
      </w:r>
      <w:r>
        <w:rPr>
          <w:rFonts w:ascii="Arial" w:hAnsi="Arial" w:cs="Arial"/>
          <w:lang w:eastAsia="zh-CN"/>
        </w:rPr>
        <w:fldChar w:fldCharType="begin"/>
      </w:r>
      <w:r w:rsidR="00601647">
        <w:rPr>
          <w:rFonts w:ascii="Arial" w:hAnsi="Arial" w:cs="Arial"/>
          <w:lang w:eastAsia="zh-CN"/>
        </w:rPr>
        <w:instrText xml:space="preserve"> ADDIN EN.CITE &lt;EndNote&gt;&lt;Cite&gt;&lt;Author&gt;Getto&lt;/Author&gt;&lt;Year&gt;2023&lt;/Year&gt;&lt;RecNum&gt;50&lt;/RecNum&gt;&lt;DisplayText&gt;(Getto et al., 2023)&lt;/DisplayText&gt;&lt;record&gt;&lt;rec-number&gt;50&lt;/rec-number&gt;&lt;foreign-keys&gt;&lt;key app="EN" db-id="axateaap22str3eaaa1xar2n95zaewv2sx5a" timestamp="1731584893"&gt;50&lt;/key&gt;&lt;/foreign-keys&gt;&lt;ref-type name="Journal Article"&gt;17&lt;/ref-type&gt;&lt;contributors&gt;&lt;authors&gt;&lt;author&gt;Getto, Guiseppe&lt;/author&gt;&lt;author&gt;Labriola, Jack T&lt;/author&gt;&lt;author&gt;Lancaster, Amber&lt;/author&gt;&lt;/authors&gt;&lt;/contributors&gt;&lt;titles&gt;&lt;title&gt;The State of UX in Technical and Professional Communication: Courses, Programs, and Jobs&lt;/title&gt;&lt;secondary-title&gt;IEEE Transactions on Professional Communication&lt;/secondary-title&gt;&lt;/titles&gt;&lt;periodical&gt;&lt;full-title&gt;IEEE Transactions on Professional Communication&lt;/full-title&gt;&lt;/periodical&gt;&lt;pages&gt;317-321&lt;/pages&gt;&lt;volume&gt;66&lt;/volume&gt;&lt;number&gt;4&lt;/number&gt;&lt;dates&gt;&lt;year&gt;2023&lt;/year&gt;&lt;/dates&gt;&lt;isbn&gt;0361-1434&lt;/isbn&gt;&lt;urls&gt;&lt;/urls&gt;&lt;electronic-resource-num&gt;10.1109/TPC.2023.3314255&lt;/electronic-resource-num&gt;&lt;/record&gt;&lt;/Cite&gt;&lt;/EndNote&gt;</w:instrText>
      </w:r>
      <w:r>
        <w:rPr>
          <w:rFonts w:ascii="Arial" w:hAnsi="Arial" w:cs="Arial"/>
          <w:lang w:eastAsia="zh-CN"/>
        </w:rPr>
        <w:fldChar w:fldCharType="separate"/>
      </w:r>
      <w:r w:rsidR="00601647">
        <w:rPr>
          <w:rFonts w:ascii="Arial" w:hAnsi="Arial" w:cs="Arial"/>
          <w:noProof/>
          <w:lang w:eastAsia="zh-CN"/>
        </w:rPr>
        <w:t>(Getto et al., 2023)</w:t>
      </w:r>
      <w:r>
        <w:rPr>
          <w:rFonts w:ascii="Arial" w:hAnsi="Arial" w:cs="Arial"/>
          <w:lang w:eastAsia="zh-CN"/>
        </w:rPr>
        <w:fldChar w:fldCharType="end"/>
      </w:r>
      <w:r>
        <w:rPr>
          <w:rFonts w:ascii="Arial" w:hAnsi="Arial" w:cs="Arial"/>
          <w:lang w:eastAsia="zh-CN"/>
        </w:rPr>
        <w:t>.</w:t>
      </w:r>
      <w:r>
        <w:rPr>
          <w:rFonts w:ascii="Arial" w:hAnsi="Arial" w:cs="Arial" w:hint="eastAsia"/>
          <w:lang w:eastAsia="zh-CN"/>
        </w:rPr>
        <w:t xml:space="preserve"> This need for explicit scaffolding aligns with TC pedagogy emphasizing multimodal composing and digitally mediated instruction, where tool use is treated as a core composing practice rather than a background skill</w:t>
      </w:r>
      <w:r w:rsidR="00965ABA">
        <w:rPr>
          <w:rFonts w:ascii="Arial" w:eastAsiaTheme="minorEastAsia" w:hAnsi="Arial" w:cs="Arial" w:hint="eastAsia"/>
          <w:lang w:eastAsia="zh-CN"/>
        </w:rPr>
        <w:t xml:space="preserve"> </w:t>
      </w:r>
      <w:r w:rsidR="00965ABA">
        <w:rPr>
          <w:rFonts w:ascii="Arial" w:eastAsiaTheme="minorEastAsia" w:hAnsi="Arial" w:cs="Arial"/>
          <w:lang w:eastAsia="zh-CN"/>
        </w:rPr>
        <w:fldChar w:fldCharType="begin"/>
      </w:r>
      <w:r w:rsidR="00965ABA">
        <w:rPr>
          <w:rFonts w:ascii="Arial" w:eastAsiaTheme="minorEastAsia" w:hAnsi="Arial" w:cs="Arial"/>
          <w:lang w:eastAsia="zh-CN"/>
        </w:rPr>
        <w:instrText xml:space="preserve"> ADDIN EN.CITE &lt;EndNote&gt;&lt;Cite&gt;&lt;Author&gt;Bourelle&lt;/Author&gt;&lt;Year&gt;2015&lt;/Year&gt;&lt;RecNum&gt;1441&lt;/RecNum&gt;&lt;DisplayText&gt;(Bourelle et al., 2015; Hewett &amp;amp; Bourelle, 2017)&lt;/DisplayText&gt;&lt;record&gt;&lt;rec-number&gt;1441&lt;/rec-number&gt;&lt;foreign-keys&gt;&lt;key app="EN" db-id="axateaap22str3eaaa1xar2n95zaewv2sx5a" timestamp="1766160270"&gt;1441&lt;/key&gt;&lt;/foreign-keys&gt;&lt;ref-type name="Journal Article"&gt;17&lt;/ref-type&gt;&lt;contributors&gt;&lt;authors&gt;&lt;author&gt;Bourelle, Andrew&lt;/author&gt;&lt;author&gt;Bourelle, Tiffany&lt;/author&gt;&lt;author&gt;Jones, Natasha&lt;/author&gt;&lt;/authors&gt;&lt;/contributors&gt;&lt;titles&gt;&lt;title&gt;Multimodality in the technical communication classroom: Viewing classical rhetoric through a 21st century lens&lt;/title&gt;&lt;secondary-title&gt;Technical Communication Quarterly&lt;/secondary-title&gt;&lt;/titles&gt;&lt;pages&gt;306-327&lt;/pages&gt;&lt;volume&gt;24&lt;/volume&gt;&lt;number&gt;4&lt;/number&gt;&lt;dates&gt;&lt;year&gt;2015&lt;/year&gt;&lt;/dates&gt;&lt;isbn&gt;1057-2252&lt;/isbn&gt;&lt;urls&gt;&lt;/urls&gt;&lt;electronic-resource-num&gt;10.1080/10572252.2015.1078847&lt;/electronic-resource-num&gt;&lt;/record&gt;&lt;/Cite&gt;&lt;Cite&gt;&lt;Author&gt;Hewett&lt;/Author&gt;&lt;Year&gt;2017&lt;/Year&gt;&lt;RecNum&gt;1443&lt;/RecNum&gt;&lt;record&gt;&lt;rec-number&gt;1443&lt;/rec-number&gt;&lt;foreign-keys&gt;&lt;key app="EN" db-id="axateaap22str3eaaa1xar2n95zaewv2sx5a" timestamp="1766160367"&gt;1443&lt;/key&gt;&lt;/foreign-keys&gt;&lt;ref-type name="Journal Article"&gt;17&lt;/ref-type&gt;&lt;contributors&gt;&lt;authors&gt;&lt;author&gt;Hewett, Beth L&lt;/author&gt;&lt;author&gt;Bourelle, Tiffany&lt;/author&gt;&lt;/authors&gt;&lt;/contributors&gt;&lt;titles&gt;&lt;title&gt;Online teaching and learning in technical communication: Continuing the conversation&lt;/title&gt;&lt;/titles&gt;&lt;pages&gt;217-222&lt;/pages&gt;&lt;volume&gt;26&lt;/volume&gt;&lt;number&gt;3&lt;/number&gt;&lt;dates&gt;&lt;year&gt;2017&lt;/year&gt;&lt;/dates&gt;&lt;publisher&gt;Taylor &amp;amp; Francis&lt;/publisher&gt;&lt;isbn&gt;1057-2252&lt;/isbn&gt;&lt;urls&gt;&lt;/urls&gt;&lt;electronic-resource-num&gt;10.1080/10572252.2017.1339531&lt;/electronic-resource-num&gt;&lt;/record&gt;&lt;/Cite&gt;&lt;/EndNote&gt;</w:instrText>
      </w:r>
      <w:r w:rsidR="00965ABA">
        <w:rPr>
          <w:rFonts w:ascii="Arial" w:eastAsiaTheme="minorEastAsia" w:hAnsi="Arial" w:cs="Arial"/>
          <w:lang w:eastAsia="zh-CN"/>
        </w:rPr>
        <w:fldChar w:fldCharType="separate"/>
      </w:r>
      <w:r w:rsidR="00965ABA">
        <w:rPr>
          <w:rFonts w:ascii="Arial" w:eastAsiaTheme="minorEastAsia" w:hAnsi="Arial" w:cs="Arial"/>
          <w:noProof/>
          <w:lang w:eastAsia="zh-CN"/>
        </w:rPr>
        <w:t>(Bourelle et al., 2015; Hewett &amp; Bourelle, 2017)</w:t>
      </w:r>
      <w:r w:rsidR="00965ABA">
        <w:rPr>
          <w:rFonts w:ascii="Arial" w:eastAsiaTheme="minorEastAsia" w:hAnsi="Arial" w:cs="Arial"/>
          <w:lang w:eastAsia="zh-CN"/>
        </w:rPr>
        <w:fldChar w:fldCharType="end"/>
      </w:r>
      <w:r w:rsidRPr="00601647">
        <w:rPr>
          <w:rFonts w:ascii="Arial" w:hAnsi="Arial" w:cs="Arial" w:hint="eastAsia"/>
          <w:lang w:eastAsia="zh-CN"/>
        </w:rPr>
        <w:t>.</w:t>
      </w:r>
      <w:r>
        <w:rPr>
          <w:rFonts w:ascii="Arial" w:hAnsi="Arial" w:cs="Arial"/>
          <w:lang w:eastAsia="zh-CN"/>
        </w:rPr>
        <w:t xml:space="preserve"> The finding also challenges the common assumption that students who are frequent technology users automatically possess transferable proficiency in workplace tools. </w:t>
      </w:r>
      <w:r>
        <w:rPr>
          <w:rFonts w:ascii="Arial" w:hAnsi="Arial" w:cs="Arial"/>
          <w:lang w:eastAsia="zh-CN"/>
        </w:rPr>
        <w:fldChar w:fldCharType="begin"/>
      </w:r>
      <w:r w:rsidR="00601647">
        <w:rPr>
          <w:rFonts w:ascii="Arial" w:hAnsi="Arial" w:cs="Arial"/>
          <w:lang w:eastAsia="zh-CN"/>
        </w:rPr>
        <w:instrText xml:space="preserve"> ADDIN EN.CITE &lt;EndNote&gt;&lt;Cite AuthorYear="1"&gt;&lt;Author&gt;Menagarishvili&lt;/Author&gt;&lt;Year&gt;2024&lt;/Year&gt;&lt;RecNum&gt;32&lt;/RecNum&gt;&lt;DisplayText&gt;Menagarishvili et al. (2024)&lt;/DisplayText&gt;&lt;record&gt;&lt;rec-number&gt;32&lt;/rec-number&gt;&lt;foreign-keys&gt;&lt;key app="EN" db-id="axateaap22str3eaaa1xar2n95zaewv2sx5a" timestamp="1731582552"&gt;32&lt;/key&gt;&lt;/foreign-keys&gt;&lt;ref-type name="Journal Article"&gt;17&lt;/ref-type&gt;&lt;contributors&gt;&lt;authors&gt;&lt;author&gt;Menagarishvili, Olga&lt;/author&gt;&lt;author&gt;Burnett, Rebecca E&lt;/author&gt;&lt;author&gt;Frazee, Andy&lt;/author&gt;&lt;/authors&gt;&lt;/contributors&gt;&lt;titles&gt;&lt;title&gt;Getting it Wrong: Student Estimations of Time and the Number of Drafts in Linked Computer Science and Technical Communication Courses&lt;/title&gt;&lt;secondary-title&gt;IEEE Transactions on Professional Communication&lt;/secondary-title&gt;&lt;/titles&gt;&lt;periodical&gt;&lt;full-title&gt;IEEE Transactions on Professional Communication&lt;/full-title&gt;&lt;/periodical&gt;&lt;dates&gt;&lt;year&gt;2024&lt;/year&gt;&lt;/dates&gt;&lt;isbn&gt;0361-1434&lt;/isbn&gt;&lt;urls&gt;&lt;/urls&gt;&lt;electronic-resource-num&gt;10.1109/TPC.2024.3477012&lt;/electronic-resource-num&gt;&lt;/record&gt;&lt;/Cite&gt;&lt;/EndNote&gt;</w:instrText>
      </w:r>
      <w:r>
        <w:rPr>
          <w:rFonts w:ascii="Arial" w:hAnsi="Arial" w:cs="Arial"/>
          <w:lang w:eastAsia="zh-CN"/>
        </w:rPr>
        <w:fldChar w:fldCharType="separate"/>
      </w:r>
      <w:r w:rsidR="00601647">
        <w:rPr>
          <w:rFonts w:ascii="Arial" w:hAnsi="Arial" w:cs="Arial"/>
          <w:noProof/>
          <w:lang w:eastAsia="zh-CN"/>
        </w:rPr>
        <w:t>Menagarishvili et al. (2024)</w:t>
      </w:r>
      <w:r>
        <w:rPr>
          <w:rFonts w:ascii="Arial" w:hAnsi="Arial" w:cs="Arial"/>
          <w:lang w:eastAsia="zh-CN"/>
        </w:rPr>
        <w:fldChar w:fldCharType="end"/>
      </w:r>
      <w:r>
        <w:rPr>
          <w:rFonts w:ascii="Arial" w:hAnsi="Arial" w:cs="Arial"/>
          <w:lang w:eastAsia="zh-CN"/>
        </w:rPr>
        <w:t xml:space="preserve"> similarly cautions that students often misjudge workflow demands, including time and revision effort, which indicates that tool mediated production requires explicit instruction.</w:t>
      </w:r>
    </w:p>
    <w:p w14:paraId="546BEA89" w14:textId="7D36A94A" w:rsidR="006438A5" w:rsidRDefault="00000000">
      <w:pPr>
        <w:pStyle w:val="Body"/>
        <w:spacing w:after="0"/>
        <w:rPr>
          <w:rFonts w:ascii="Arial" w:hAnsi="Arial" w:cs="Arial"/>
          <w:lang w:eastAsia="zh-CN"/>
        </w:rPr>
      </w:pPr>
      <w:r>
        <w:rPr>
          <w:rFonts w:ascii="Arial" w:hAnsi="Arial" w:cs="Arial"/>
          <w:lang w:eastAsia="zh-CN"/>
        </w:rPr>
        <w:t xml:space="preserve">The implications are design specific. TCM may already require digital engagement, yet the observation suggests that students struggle with higher level functions that support collaborative editing, version control routines, and data visualization. Prior work argues that professionalizing students in digitalized TC contexts requires structured practice across courses and purposeful linking of tool use, usability thinking, and translation or localization aware practices where appropriate </w:t>
      </w:r>
      <w:r>
        <w:rPr>
          <w:rFonts w:ascii="Arial" w:hAnsi="Arial" w:cs="Arial"/>
          <w:lang w:eastAsia="zh-CN"/>
        </w:rPr>
        <w:fldChar w:fldCharType="begin"/>
      </w:r>
      <w:r w:rsidR="00601647">
        <w:rPr>
          <w:rFonts w:ascii="Arial" w:hAnsi="Arial" w:cs="Arial"/>
          <w:lang w:eastAsia="zh-CN"/>
        </w:rPr>
        <w:instrText xml:space="preserve"> ADDIN EN.CITE &lt;EndNote&gt;&lt;Cite&gt;&lt;Author&gt;Cleary&lt;/Author&gt;&lt;Year&gt;2019&lt;/Year&gt;&lt;RecNum&gt;24&lt;/RecNum&gt;&lt;DisplayText&gt;(Cleary et al., 2019)&lt;/DisplayText&gt;&lt;record&gt;&lt;rec-number&gt;24&lt;/rec-number&gt;&lt;foreign-keys&gt;&lt;key app="EN" db-id="axateaap22str3eaaa1xar2n95zaewv2sx5a" timestamp="1731571153"&gt;24&lt;/key&gt;&lt;/foreign-keys&gt;&lt;ref-type name="Conference Proceedings"&gt;10&lt;/ref-type&gt;&lt;contributors&gt;&lt;authors&gt;&lt;author&gt;Cleary, Yvonne&lt;/author&gt;&lt;author&gt;Karreman, Joyce&lt;/author&gt;&lt;author&gt;Meex, Birgitta&lt;/author&gt;&lt;author&gt;Closs, Sissi&lt;/author&gt;&lt;/authors&gt;&lt;/contributors&gt;&lt;titles&gt;&lt;title&gt;Workshop: Curriculum development for technical communication in a digitalized world based on the TecCOMFrame competence framework&lt;/title&gt;&lt;secondary-title&gt;2019 IEEE International Professional Communication Conference (ProComm)&lt;/secondary-title&gt;&lt;/titles&gt;&lt;pages&gt;259-261&lt;/pages&gt;&lt;dates&gt;&lt;year&gt;2019&lt;/year&gt;&lt;/dates&gt;&lt;publisher&gt;IEEE&lt;/publisher&gt;&lt;isbn&gt;1728125669&lt;/isbn&gt;&lt;urls&gt;&lt;/urls&gt;&lt;electronic-resource-num&gt;10.1109/ProComm.2019.00056&lt;/electronic-resource-num&gt;&lt;/record&gt;&lt;/Cite&gt;&lt;/EndNote&gt;</w:instrText>
      </w:r>
      <w:r>
        <w:rPr>
          <w:rFonts w:ascii="Arial" w:hAnsi="Arial" w:cs="Arial"/>
          <w:lang w:eastAsia="zh-CN"/>
        </w:rPr>
        <w:fldChar w:fldCharType="separate"/>
      </w:r>
      <w:r w:rsidR="00601647">
        <w:rPr>
          <w:rFonts w:ascii="Arial" w:hAnsi="Arial" w:cs="Arial"/>
          <w:noProof/>
          <w:lang w:eastAsia="zh-CN"/>
        </w:rPr>
        <w:t>(Cleary et al., 2019)</w:t>
      </w:r>
      <w:r>
        <w:rPr>
          <w:rFonts w:ascii="Arial" w:hAnsi="Arial" w:cs="Arial"/>
          <w:lang w:eastAsia="zh-CN"/>
        </w:rPr>
        <w:fldChar w:fldCharType="end"/>
      </w:r>
      <w:r>
        <w:rPr>
          <w:rFonts w:ascii="Arial" w:hAnsi="Arial" w:cs="Arial"/>
          <w:lang w:eastAsia="zh-CN"/>
        </w:rPr>
        <w:t xml:space="preserve">. </w:t>
      </w:r>
      <w:r>
        <w:rPr>
          <w:rFonts w:ascii="Arial" w:hAnsi="Arial" w:cs="Arial"/>
          <w:lang w:eastAsia="zh-CN"/>
        </w:rPr>
        <w:fldChar w:fldCharType="begin"/>
      </w:r>
      <w:r w:rsidR="00601647">
        <w:rPr>
          <w:rFonts w:ascii="Arial" w:hAnsi="Arial" w:cs="Arial"/>
          <w:lang w:eastAsia="zh-CN"/>
        </w:rPr>
        <w:instrText xml:space="preserve"> ADDIN EN.CITE &lt;EndNote&gt;&lt;Cite AuthorYear="1"&gt;&lt;Author&gt;Nonthaputha&lt;/Author&gt;&lt;Year&gt;2023&lt;/Year&gt;&lt;RecNum&gt;12&lt;/RecNum&gt;&lt;DisplayText&gt;Nonthaputha et al. (2023)&lt;/DisplayText&gt;&lt;record&gt;&lt;rec-number&gt;12&lt;/rec-number&gt;&lt;foreign-keys&gt;&lt;key app="EN" db-id="axateaap22str3eaaa1xar2n95zaewv2sx5a" timestamp="1731569597"&gt;12&lt;/key&gt;&lt;/foreign-keys&gt;&lt;ref-type name="Conference Proceedings"&gt;10&lt;/ref-type&gt;&lt;contributors&gt;&lt;authors&gt;&lt;author&gt;Nonthaputha, Thanat&lt;/author&gt;&lt;author&gt;Kumngern, Montree&lt;/author&gt;&lt;author&gt;Kaewwang, Sompong&lt;/author&gt;&lt;author&gt;Phookwantong, Jirapat&lt;/author&gt;&lt;author&gt;Thepnarin, Nawaphol&lt;/author&gt;&lt;author&gt;Anontree, Kravee&lt;/author&gt;&lt;/authors&gt;&lt;/contributors&gt;&lt;titles&gt;&lt;title&gt;Flipped Classroom Based on Active Learning in Digital Communications Course for Science in Technical Education on New Normal&lt;/title&gt;&lt;secondary-title&gt;2023 21st International Conference on ICT and Knowledge Engineering (ICT&amp;amp;KE)&lt;/secondary-title&gt;&lt;/titles&gt;&lt;pages&gt;1-5&lt;/pages&gt;&lt;dates&gt;&lt;year&gt;2023&lt;/year&gt;&lt;/dates&gt;&lt;publisher&gt;IEEE&lt;/publisher&gt;&lt;isbn&gt;9798350308730&lt;/isbn&gt;&lt;urls&gt;&lt;/urls&gt;&lt;electronic-resource-num&gt;10.1109/ICTKE58576.2023.10401413&lt;/electronic-resource-num&gt;&lt;/record&gt;&lt;/Cite&gt;&lt;/EndNote&gt;</w:instrText>
      </w:r>
      <w:r>
        <w:rPr>
          <w:rFonts w:ascii="Arial" w:hAnsi="Arial" w:cs="Arial"/>
          <w:lang w:eastAsia="zh-CN"/>
        </w:rPr>
        <w:fldChar w:fldCharType="separate"/>
      </w:r>
      <w:r w:rsidR="00601647">
        <w:rPr>
          <w:rFonts w:ascii="Arial" w:hAnsi="Arial" w:cs="Arial"/>
          <w:noProof/>
          <w:lang w:eastAsia="zh-CN"/>
        </w:rPr>
        <w:t>Nonthaputha et al. (2023)</w:t>
      </w:r>
      <w:r>
        <w:rPr>
          <w:rFonts w:ascii="Arial" w:hAnsi="Arial" w:cs="Arial"/>
          <w:lang w:eastAsia="zh-CN"/>
        </w:rPr>
        <w:fldChar w:fldCharType="end"/>
      </w:r>
      <w:r>
        <w:rPr>
          <w:rFonts w:ascii="Arial" w:hAnsi="Arial" w:cs="Arial"/>
          <w:lang w:eastAsia="zh-CN"/>
        </w:rPr>
        <w:t xml:space="preserve"> provides converging evidence that active learning formats in digital communication courses can strengthen competence, but only when tool use is scaffolded and repeatedly rehearsed. Therefore, the observed weakness is best interpreted not as a failure of students’ motivation, but as a signal that TCM should incorporate more explicit tool instruction, guided practice, and performance criteria for tool mediated collaboration.</w:t>
      </w:r>
    </w:p>
    <w:p w14:paraId="4B116D20" w14:textId="77777777" w:rsidR="006438A5" w:rsidRDefault="006438A5">
      <w:pPr>
        <w:widowControl w:val="0"/>
        <w:jc w:val="both"/>
      </w:pPr>
    </w:p>
    <w:p w14:paraId="769438EB"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Reflective practice as the central refinement target</w:t>
      </w:r>
    </w:p>
    <w:p w14:paraId="2F587679" w14:textId="77777777" w:rsidR="006438A5" w:rsidRDefault="006438A5">
      <w:pPr>
        <w:widowControl w:val="0"/>
        <w:jc w:val="both"/>
        <w:rPr>
          <w:rFonts w:ascii="Calibri" w:eastAsia="宋体" w:hAnsi="Calibri"/>
          <w:kern w:val="2"/>
          <w:sz w:val="21"/>
          <w:szCs w:val="24"/>
          <w:lang w:eastAsia="zh-CN" w:bidi="ar"/>
        </w:rPr>
      </w:pPr>
    </w:p>
    <w:p w14:paraId="6FC5D765" w14:textId="09DFA7A2" w:rsidR="006438A5" w:rsidRDefault="00000000">
      <w:pPr>
        <w:pStyle w:val="Body"/>
        <w:spacing w:after="0"/>
        <w:rPr>
          <w:rFonts w:ascii="Arial" w:hAnsi="Arial" w:cs="Arial"/>
          <w:lang w:eastAsia="zh-CN"/>
        </w:rPr>
      </w:pPr>
      <w:r>
        <w:rPr>
          <w:rFonts w:ascii="Arial" w:hAnsi="Arial" w:cs="Arial"/>
          <w:lang w:eastAsia="zh-CN"/>
        </w:rPr>
        <w:t xml:space="preserve">Reflective writing was the second area of constraint. Students could identify areas for improvement at a high level, yet their written reflection was often superficial. This gap suggests that metacognitive awareness exists, but learners require structured support to translate awareness into analytic reflection linked to evidence from their drafting and collaboration process. This interpretation aligns with TC curriculum development scholarship that emphasizes reflective activity as a mechanism for transfer, particularly when learners must apply communication decisions to new contexts </w:t>
      </w:r>
      <w:r>
        <w:rPr>
          <w:rFonts w:ascii="Arial" w:hAnsi="Arial" w:cs="Arial"/>
          <w:lang w:eastAsia="zh-CN"/>
        </w:rPr>
        <w:fldChar w:fldCharType="begin"/>
      </w:r>
      <w:r w:rsidR="00601647">
        <w:rPr>
          <w:rFonts w:ascii="Arial" w:hAnsi="Arial" w:cs="Arial"/>
          <w:lang w:eastAsia="zh-CN"/>
        </w:rPr>
        <w:instrText xml:space="preserve"> ADDIN EN.CITE &lt;EndNote&gt;&lt;Cite&gt;&lt;Author&gt;Cleary&lt;/Author&gt;&lt;Year&gt;2019&lt;/Year&gt;&lt;RecNum&gt;24&lt;/RecNum&gt;&lt;DisplayText&gt;(Cleary et al., 2019)&lt;/DisplayText&gt;&lt;record&gt;&lt;rec-number&gt;24&lt;/rec-number&gt;&lt;foreign-keys&gt;&lt;key app="EN" db-id="axateaap22str3eaaa1xar2n95zaewv2sx5a" timestamp="1731571153"&gt;24&lt;/key&gt;&lt;/foreign-keys&gt;&lt;ref-type name="Conference Proceedings"&gt;10&lt;/ref-type&gt;&lt;contributors&gt;&lt;authors&gt;&lt;author&gt;Cleary, Yvonne&lt;/author&gt;&lt;author&gt;Karreman, Joyce&lt;/author&gt;&lt;author&gt;Meex, Birgitta&lt;/author&gt;&lt;author&gt;Closs, Sissi&lt;/author&gt;&lt;/authors&gt;&lt;/contributors&gt;&lt;titles&gt;&lt;title&gt;Workshop: Curriculum development for technical communication in a digitalized world based on the TecCOMFrame competence framework&lt;/title&gt;&lt;secondary-title&gt;2019 IEEE International Professional Communication Conference (ProComm)&lt;/secondary-title&gt;&lt;/titles&gt;&lt;pages&gt;259-261&lt;/pages&gt;&lt;dates&gt;&lt;year&gt;2019&lt;/year&gt;&lt;/dates&gt;&lt;publisher&gt;IEEE&lt;/publisher&gt;&lt;isbn&gt;1728125669&lt;/isbn&gt;&lt;urls&gt;&lt;/urls&gt;&lt;electronic-resource-num&gt;10.1109/ProComm.2019.00056&lt;/electronic-resource-num&gt;&lt;/record&gt;&lt;/Cite&gt;&lt;/EndNote&gt;</w:instrText>
      </w:r>
      <w:r>
        <w:rPr>
          <w:rFonts w:ascii="Arial" w:hAnsi="Arial" w:cs="Arial"/>
          <w:lang w:eastAsia="zh-CN"/>
        </w:rPr>
        <w:fldChar w:fldCharType="separate"/>
      </w:r>
      <w:r w:rsidR="00601647">
        <w:rPr>
          <w:rFonts w:ascii="Arial" w:hAnsi="Arial" w:cs="Arial"/>
          <w:noProof/>
          <w:lang w:eastAsia="zh-CN"/>
        </w:rPr>
        <w:t>(Cleary et al., 2019)</w:t>
      </w:r>
      <w:r>
        <w:rPr>
          <w:rFonts w:ascii="Arial" w:hAnsi="Arial" w:cs="Arial"/>
          <w:lang w:eastAsia="zh-CN"/>
        </w:rPr>
        <w:fldChar w:fldCharType="end"/>
      </w:r>
      <w:r>
        <w:rPr>
          <w:rFonts w:ascii="Arial" w:hAnsi="Arial" w:cs="Arial"/>
          <w:lang w:eastAsia="zh-CN"/>
        </w:rPr>
        <w:t xml:space="preserve">. It is also consistent with recent work calling for more structured, criteria-based frameworks to foster employability-oriented reflection rather than generic learning journals </w:t>
      </w:r>
      <w:r>
        <w:rPr>
          <w:rFonts w:ascii="Arial" w:hAnsi="Arial" w:cs="Arial"/>
          <w:lang w:eastAsia="zh-CN"/>
        </w:rPr>
        <w:fldChar w:fldCharType="begin"/>
      </w:r>
      <w:r w:rsidR="00601647">
        <w:rPr>
          <w:rFonts w:ascii="Arial" w:hAnsi="Arial" w:cs="Arial"/>
          <w:lang w:eastAsia="zh-CN"/>
        </w:rPr>
        <w:instrText xml:space="preserve"> ADDIN EN.CITE &lt;EndNote&gt;&lt;Cite&gt;&lt;Author&gt;Smith&lt;/Author&gt;&lt;Year&gt;2024&lt;/Year&gt;&lt;RecNum&gt;39&lt;/RecNum&gt;&lt;DisplayText&gt;(Smith, 2024)&lt;/DisplayText&gt;&lt;record&gt;&lt;rec-number&gt;39&lt;/rec-number&gt;&lt;foreign-keys&gt;&lt;key app="EN" db-id="axateaap22str3eaaa1xar2n95zaewv2sx5a" timestamp="1731583422"&gt;39&lt;/key&gt;&lt;/foreign-keys&gt;&lt;ref-type name="Conference Paper"&gt;47&lt;/ref-type&gt;&lt;contributors&gt;&lt;authors&gt;&lt;author&gt;Smith, Allegra W&lt;/author&gt;&lt;/authors&gt;&lt;/contributors&gt;&lt;titles&gt;&lt;title&gt;Bridging the Classroom and Workplace: the High-Impact Practices of a Technical and Professional Communication Studio Course&lt;/title&gt;&lt;secondary-title&gt;2024 IEEE International Professional Communication Conference (ProComm)&lt;/secondary-title&gt;&lt;/titles&gt;&lt;pages&gt;186-193&lt;/pages&gt;&lt;dates&gt;&lt;year&gt;2024&lt;/year&gt;&lt;/dates&gt;&lt;publisher&gt;IEEE&lt;/publisher&gt;&lt;isbn&gt;9798350384451&lt;/isbn&gt;&lt;urls&gt;&lt;/urls&gt;&lt;electronic-resource-num&gt;10.1109/ProComm61427.2024.00042&lt;/electronic-resource-num&gt;&lt;/record&gt;&lt;/Cite&gt;&lt;/EndNote&gt;</w:instrText>
      </w:r>
      <w:r>
        <w:rPr>
          <w:rFonts w:ascii="Arial" w:hAnsi="Arial" w:cs="Arial"/>
          <w:lang w:eastAsia="zh-CN"/>
        </w:rPr>
        <w:fldChar w:fldCharType="separate"/>
      </w:r>
      <w:r w:rsidR="00601647">
        <w:rPr>
          <w:rFonts w:ascii="Arial" w:hAnsi="Arial" w:cs="Arial"/>
          <w:noProof/>
          <w:lang w:eastAsia="zh-CN"/>
        </w:rPr>
        <w:t>(Smith, 2024)</w:t>
      </w:r>
      <w:r>
        <w:rPr>
          <w:rFonts w:ascii="Arial" w:hAnsi="Arial" w:cs="Arial"/>
          <w:lang w:eastAsia="zh-CN"/>
        </w:rPr>
        <w:fldChar w:fldCharType="end"/>
      </w:r>
      <w:r>
        <w:rPr>
          <w:rFonts w:ascii="Arial" w:hAnsi="Arial" w:cs="Arial"/>
          <w:lang w:eastAsia="zh-CN"/>
        </w:rPr>
        <w:t>.</w:t>
      </w:r>
    </w:p>
    <w:p w14:paraId="13E53CEC" w14:textId="77777777" w:rsidR="006438A5" w:rsidRDefault="006438A5">
      <w:pPr>
        <w:pStyle w:val="Body"/>
        <w:spacing w:after="0"/>
        <w:rPr>
          <w:rFonts w:ascii="Arial" w:hAnsi="Arial" w:cs="Arial"/>
          <w:lang w:eastAsia="zh-CN"/>
        </w:rPr>
      </w:pPr>
    </w:p>
    <w:p w14:paraId="5C5EEDB1" w14:textId="77777777" w:rsidR="006438A5" w:rsidRDefault="00000000">
      <w:pPr>
        <w:pStyle w:val="Body"/>
        <w:spacing w:after="0"/>
        <w:rPr>
          <w:rFonts w:ascii="Arial" w:hAnsi="Arial" w:cs="Arial"/>
          <w:lang w:eastAsia="zh-CN"/>
        </w:rPr>
      </w:pPr>
      <w:r>
        <w:rPr>
          <w:rFonts w:ascii="Arial" w:hAnsi="Arial" w:cs="Arial"/>
          <w:lang w:eastAsia="zh-CN"/>
        </w:rPr>
        <w:t xml:space="preserve">For TCM, reflection should not be treated as an add on. Reflection can function as a bridge between classroom enactment and professional reasoning if prompts require students to justify choices in audience analysis, information design, and </w:t>
      </w:r>
      <w:r>
        <w:rPr>
          <w:rFonts w:ascii="Arial" w:hAnsi="Arial" w:cs="Arial"/>
          <w:lang w:eastAsia="zh-CN"/>
        </w:rPr>
        <w:lastRenderedPageBreak/>
        <w:t>revision strategy, and if reflection is evaluated with clear indicators. In addition, reflection can be embedded within collaboration by requiring groups to document decision points, disagreement resolution, and evidence for selecting revisions. Such designs would align reflective writing with the core TC processes already demonstrated as strengths in this study, namely feedback seeking and revision, thereby turning reflection into a mechanism that consolidates process competence.</w:t>
      </w:r>
    </w:p>
    <w:p w14:paraId="40D195D6" w14:textId="77777777" w:rsidR="006438A5" w:rsidRDefault="006438A5">
      <w:pPr>
        <w:widowControl w:val="0"/>
        <w:jc w:val="both"/>
      </w:pPr>
    </w:p>
    <w:p w14:paraId="436E1A38"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Time management and workflow discipline</w:t>
      </w:r>
    </w:p>
    <w:p w14:paraId="71F0AA43" w14:textId="77777777" w:rsidR="006438A5" w:rsidRDefault="006438A5">
      <w:pPr>
        <w:widowControl w:val="0"/>
        <w:jc w:val="both"/>
      </w:pPr>
    </w:p>
    <w:p w14:paraId="38C0B6F7" w14:textId="3FBB7206" w:rsidR="006438A5" w:rsidRDefault="00000000">
      <w:pPr>
        <w:pStyle w:val="Body"/>
        <w:spacing w:after="0"/>
        <w:rPr>
          <w:rFonts w:ascii="Arial" w:hAnsi="Arial" w:cs="Arial"/>
          <w:lang w:eastAsia="zh-CN"/>
        </w:rPr>
      </w:pPr>
      <w:r>
        <w:rPr>
          <w:rFonts w:ascii="Arial" w:hAnsi="Arial" w:cs="Arial"/>
          <w:lang w:eastAsia="zh-CN"/>
        </w:rPr>
        <w:t xml:space="preserve">Although assignments were completed on time, observers noted occasional time management challenges during complex tasks. This pattern is compatible with classic concerns in vocational and professional communication education that workflow discipline is not guaranteed even when deadlines are met. </w:t>
      </w:r>
      <w:r>
        <w:rPr>
          <w:rFonts w:ascii="Arial" w:hAnsi="Arial" w:cs="Arial"/>
          <w:lang w:eastAsia="zh-CN"/>
        </w:rPr>
        <w:fldChar w:fldCharType="begin"/>
      </w:r>
      <w:r w:rsidR="00601647">
        <w:rPr>
          <w:rFonts w:ascii="Arial" w:hAnsi="Arial" w:cs="Arial"/>
          <w:lang w:eastAsia="zh-CN"/>
        </w:rPr>
        <w:instrText xml:space="preserve"> ADDIN EN.CITE &lt;EndNote&gt;&lt;Cite AuthorYear="1"&gt;&lt;Author&gt;Sageev&lt;/Author&gt;&lt;Year&gt;2001&lt;/Year&gt;&lt;RecNum&gt;107&lt;/RecNum&gt;&lt;DisplayText&gt;Sageev and Romanowski (2001)&lt;/DisplayText&gt;&lt;record&gt;&lt;rec-number&gt;107&lt;/rec-number&gt;&lt;foreign-keys&gt;&lt;key app="EN" db-id="axateaap22str3eaaa1xar2n95zaewv2sx5a" timestamp="1731595001"&gt;107&lt;/key&gt;&lt;/foreign-keys&gt;&lt;ref-type name="Journal Article"&gt;17&lt;/ref-type&gt;&lt;contributors&gt;&lt;authors&gt;&lt;author&gt;Sageev, Pneena&lt;/author&gt;&lt;author&gt;Romanowski, Carol J&lt;/author&gt;&lt;/authors&gt;&lt;/contributors&gt;&lt;titles&gt;&lt;title&gt;A message from recent engineering graduates in the workplace: Results of a survey on technical communication skills&lt;/title&gt;&lt;secondary-title&gt;Journal of Engineering Education&lt;/secondary-title&gt;&lt;/titles&gt;&lt;periodical&gt;&lt;full-title&gt;Journal of Engineering Education&lt;/full-title&gt;&lt;/periodical&gt;&lt;pages&gt;685-693&lt;/pages&gt;&lt;volume&gt;90&lt;/volume&gt;&lt;number&gt;4&lt;/number&gt;&lt;dates&gt;&lt;year&gt;2001&lt;/year&gt;&lt;/dates&gt;&lt;isbn&gt;1069-4730&lt;/isbn&gt;&lt;urls&gt;&lt;/urls&gt;&lt;electronic-resource-num&gt;10.1002/j.2168-9830.2001.tb00660.x&lt;/electronic-resource-num&gt;&lt;/record&gt;&lt;/Cite&gt;&lt;/EndNote&gt;</w:instrText>
      </w:r>
      <w:r>
        <w:rPr>
          <w:rFonts w:ascii="Arial" w:hAnsi="Arial" w:cs="Arial"/>
          <w:lang w:eastAsia="zh-CN"/>
        </w:rPr>
        <w:fldChar w:fldCharType="separate"/>
      </w:r>
      <w:r w:rsidR="00601647">
        <w:rPr>
          <w:rFonts w:ascii="Arial" w:hAnsi="Arial" w:cs="Arial"/>
          <w:noProof/>
          <w:lang w:eastAsia="zh-CN"/>
        </w:rPr>
        <w:t>Sageev and Romanowski (2001)</w:t>
      </w:r>
      <w:r>
        <w:rPr>
          <w:rFonts w:ascii="Arial" w:hAnsi="Arial" w:cs="Arial"/>
          <w:lang w:eastAsia="zh-CN"/>
        </w:rPr>
        <w:fldChar w:fldCharType="end"/>
      </w:r>
      <w:r>
        <w:rPr>
          <w:rFonts w:ascii="Arial" w:hAnsi="Arial" w:cs="Arial"/>
          <w:lang w:eastAsia="zh-CN"/>
        </w:rPr>
        <w:t xml:space="preserve"> argue that organizational and prioritization skills must be taught explicitly rather than assumed, especially in professionally oriented language learning contexts. </w:t>
      </w:r>
      <w:r>
        <w:rPr>
          <w:rFonts w:ascii="Arial" w:hAnsi="Arial" w:cs="Arial"/>
          <w:lang w:eastAsia="zh-CN"/>
        </w:rPr>
        <w:fldChar w:fldCharType="begin"/>
      </w:r>
      <w:r w:rsidR="00601647">
        <w:rPr>
          <w:rFonts w:ascii="Arial" w:hAnsi="Arial" w:cs="Arial"/>
          <w:lang w:eastAsia="zh-CN"/>
        </w:rPr>
        <w:instrText xml:space="preserve"> ADDIN EN.CITE &lt;EndNote&gt;&lt;Cite AuthorYear="1"&gt;&lt;Author&gt;Menagarishvili&lt;/Author&gt;&lt;Year&gt;2024&lt;/Year&gt;&lt;RecNum&gt;32&lt;/RecNum&gt;&lt;DisplayText&gt;Menagarishvili et al. (2024)&lt;/DisplayText&gt;&lt;record&gt;&lt;rec-number&gt;32&lt;/rec-number&gt;&lt;foreign-keys&gt;&lt;key app="EN" db-id="axateaap22str3eaaa1xar2n95zaewv2sx5a" timestamp="1731582552"&gt;32&lt;/key&gt;&lt;/foreign-keys&gt;&lt;ref-type name="Journal Article"&gt;17&lt;/ref-type&gt;&lt;contributors&gt;&lt;authors&gt;&lt;author&gt;Menagarishvili, Olga&lt;/author&gt;&lt;author&gt;Burnett, Rebecca E&lt;/author&gt;&lt;author&gt;Frazee, Andy&lt;/author&gt;&lt;/authors&gt;&lt;/contributors&gt;&lt;titles&gt;&lt;title&gt;Getting it Wrong: Student Estimations of Time and the Number of Drafts in Linked Computer Science and Technical Communication Courses&lt;/title&gt;&lt;secondary-title&gt;IEEE Transactions on Professional Communication&lt;/secondary-title&gt;&lt;/titles&gt;&lt;periodical&gt;&lt;full-title&gt;IEEE Transactions on Professional Communication&lt;/full-title&gt;&lt;/periodical&gt;&lt;dates&gt;&lt;year&gt;2024&lt;/year&gt;&lt;/dates&gt;&lt;isbn&gt;0361-1434&lt;/isbn&gt;&lt;urls&gt;&lt;/urls&gt;&lt;electronic-resource-num&gt;10.1109/TPC.2024.3477012&lt;/electronic-resource-num&gt;&lt;/record&gt;&lt;/Cite&gt;&lt;/EndNote&gt;</w:instrText>
      </w:r>
      <w:r>
        <w:rPr>
          <w:rFonts w:ascii="Arial" w:hAnsi="Arial" w:cs="Arial"/>
          <w:lang w:eastAsia="zh-CN"/>
        </w:rPr>
        <w:fldChar w:fldCharType="separate"/>
      </w:r>
      <w:r w:rsidR="00601647">
        <w:rPr>
          <w:rFonts w:ascii="Arial" w:hAnsi="Arial" w:cs="Arial"/>
          <w:noProof/>
          <w:lang w:eastAsia="zh-CN"/>
        </w:rPr>
        <w:t>Menagarishvili et al. (2024)</w:t>
      </w:r>
      <w:r>
        <w:rPr>
          <w:rFonts w:ascii="Arial" w:hAnsi="Arial" w:cs="Arial"/>
          <w:lang w:eastAsia="zh-CN"/>
        </w:rPr>
        <w:fldChar w:fldCharType="end"/>
      </w:r>
      <w:r>
        <w:rPr>
          <w:rFonts w:ascii="Arial" w:hAnsi="Arial" w:cs="Arial"/>
          <w:lang w:eastAsia="zh-CN"/>
        </w:rPr>
        <w:t xml:space="preserve"> similarly indicates that students often misestimate time and drafting effort. Therefore, TCM would benefit from lightweight workflow scaffolds such as task prioritization templates, milestone checklists, and time tracking prompts. </w:t>
      </w:r>
      <w:r>
        <w:rPr>
          <w:rFonts w:ascii="Arial" w:hAnsi="Arial" w:cs="Arial"/>
          <w:lang w:eastAsia="zh-CN"/>
        </w:rPr>
        <w:fldChar w:fldCharType="begin"/>
      </w:r>
      <w:r w:rsidR="00601647">
        <w:rPr>
          <w:rFonts w:ascii="Arial" w:hAnsi="Arial" w:cs="Arial"/>
          <w:lang w:eastAsia="zh-CN"/>
        </w:rPr>
        <w:instrText xml:space="preserve"> ADDIN EN.CITE &lt;EndNote&gt;&lt;Cite AuthorYear="1"&gt;&lt;Author&gt;Patterson&lt;/Author&gt;&lt;Year&gt;2019&lt;/Year&gt;&lt;RecNum&gt;7&lt;/RecNum&gt;&lt;DisplayText&gt;Patterson (2019)&lt;/DisplayText&gt;&lt;record&gt;&lt;rec-number&gt;7&lt;/rec-number&gt;&lt;foreign-keys&gt;&lt;key app="EN" db-id="axateaap22str3eaaa1xar2n95zaewv2sx5a" timestamp="1731568951"&gt;7&lt;/key&gt;&lt;/foreign-keys&gt;&lt;ref-type name="Conference Proceedings"&gt;10&lt;/ref-type&gt;&lt;contributors&gt;&lt;authors&gt;&lt;author&gt;Patterson, Laura&lt;/author&gt;&lt;/authors&gt;&lt;/contributors&gt;&lt;titles&gt;&lt;title&gt;Engineering students’ empathy development through service learning: Quantitative results from a technical communication course&lt;/title&gt;&lt;secondary-title&gt;2019 IEEE International Professional Communication Conference (ProComm)&lt;/secondary-title&gt;&lt;/titles&gt;&lt;pages&gt;194-200&lt;/pages&gt;&lt;dates&gt;&lt;year&gt;2019&lt;/year&gt;&lt;/dates&gt;&lt;publisher&gt;IEEE&lt;/publisher&gt;&lt;isbn&gt;1728125669&lt;/isbn&gt;&lt;urls&gt;&lt;/urls&gt;&lt;electronic-resource-num&gt;10.1109/ProComm.2019.00041&lt;/electronic-resource-num&gt;&lt;/record&gt;&lt;/Cite&gt;&lt;/EndNote&gt;</w:instrText>
      </w:r>
      <w:r>
        <w:rPr>
          <w:rFonts w:ascii="Arial" w:hAnsi="Arial" w:cs="Arial"/>
          <w:lang w:eastAsia="zh-CN"/>
        </w:rPr>
        <w:fldChar w:fldCharType="separate"/>
      </w:r>
      <w:r w:rsidR="00601647">
        <w:rPr>
          <w:rFonts w:ascii="Arial" w:hAnsi="Arial" w:cs="Arial"/>
          <w:noProof/>
          <w:lang w:eastAsia="zh-CN"/>
        </w:rPr>
        <w:t>Patterson (2019)</w:t>
      </w:r>
      <w:r>
        <w:rPr>
          <w:rFonts w:ascii="Arial" w:hAnsi="Arial" w:cs="Arial"/>
          <w:lang w:eastAsia="zh-CN"/>
        </w:rPr>
        <w:fldChar w:fldCharType="end"/>
      </w:r>
      <w:r>
        <w:rPr>
          <w:rFonts w:ascii="Arial" w:hAnsi="Arial" w:cs="Arial"/>
          <w:lang w:eastAsia="zh-CN"/>
        </w:rPr>
        <w:t xml:space="preserve"> also suggests that structured experiential learning can strengthen professional habits, including planning and accountability, when reflection and process documentation are integrated into task completion rather than added after the fact.</w:t>
      </w:r>
    </w:p>
    <w:p w14:paraId="5437E77D" w14:textId="77777777" w:rsidR="006438A5" w:rsidRDefault="006438A5">
      <w:pPr>
        <w:widowControl w:val="0"/>
        <w:jc w:val="both"/>
      </w:pPr>
    </w:p>
    <w:p w14:paraId="7FB8845E" w14:textId="77777777" w:rsidR="006438A5" w:rsidRDefault="00000000">
      <w:pPr>
        <w:pStyle w:val="Body"/>
        <w:numPr>
          <w:ilvl w:val="1"/>
          <w:numId w:val="2"/>
        </w:numPr>
        <w:spacing w:after="0"/>
        <w:rPr>
          <w:rFonts w:ascii="Arial" w:hAnsi="Arial" w:cs="Arial"/>
          <w:b/>
          <w:sz w:val="22"/>
        </w:rPr>
      </w:pPr>
      <w:r>
        <w:rPr>
          <w:rFonts w:ascii="Arial" w:hAnsi="Arial" w:cs="Arial" w:hint="eastAsia"/>
          <w:b/>
          <w:sz w:val="22"/>
        </w:rPr>
        <w:t>Summary and implications</w:t>
      </w:r>
    </w:p>
    <w:p w14:paraId="64BB01CF" w14:textId="77777777" w:rsidR="006438A5" w:rsidRDefault="006438A5">
      <w:pPr>
        <w:widowControl w:val="0"/>
        <w:jc w:val="both"/>
      </w:pPr>
    </w:p>
    <w:p w14:paraId="75413F2F" w14:textId="77777777" w:rsidR="006438A5" w:rsidRDefault="00000000">
      <w:pPr>
        <w:pStyle w:val="Body"/>
        <w:spacing w:after="0"/>
        <w:rPr>
          <w:rFonts w:ascii="Arial" w:hAnsi="Arial" w:cs="Arial"/>
          <w:lang w:eastAsia="zh-CN"/>
        </w:rPr>
      </w:pPr>
      <w:r>
        <w:rPr>
          <w:rFonts w:ascii="Arial" w:hAnsi="Arial" w:cs="Arial"/>
          <w:lang w:eastAsia="zh-CN"/>
        </w:rPr>
        <w:t>Overall, the observation evidence supports a validity-oriented interpretation that TCM effectively activates central TC learning mechanisms in vocational classrooms, especially collaborative work, feedback use, revision practice, and disciplined task completion. The study also identifies targeted refinements that are highly aligned with the literature on digitalized and workplace facing TC education. First, tool mediated TC practices require explicit scaffolding, repeated rehearsal, and criteria that define proficient collaborative tool use. Second, reflective writing requires structured prompts and assessment frameworks that connect reflection directly to observable TC decisions and evidence from drafts. Third, workflow discipline should be strengthened through explicit instruction and simple planning tools that make time and revision effort visible. Addressing these refinement targets would likely increase the transferability of TCM outcomes to digitally mediated workplaces and further strengthen vocational students’ readiness for contemporary TC demands.</w:t>
      </w:r>
    </w:p>
    <w:p w14:paraId="6321D7DF" w14:textId="77777777" w:rsidR="006438A5" w:rsidRDefault="006438A5">
      <w:pPr>
        <w:widowControl w:val="0"/>
        <w:jc w:val="both"/>
        <w:rPr>
          <w:rFonts w:ascii="Calibri" w:eastAsia="宋体" w:hAnsi="Calibri"/>
          <w:kern w:val="2"/>
          <w:sz w:val="21"/>
          <w:szCs w:val="24"/>
          <w:lang w:eastAsia="zh-CN" w:bidi="ar"/>
        </w:rPr>
      </w:pPr>
    </w:p>
    <w:p w14:paraId="24637223" w14:textId="77777777" w:rsidR="006438A5" w:rsidRDefault="00000000">
      <w:pPr>
        <w:pStyle w:val="AbstHead"/>
        <w:numPr>
          <w:ilvl w:val="0"/>
          <w:numId w:val="2"/>
        </w:numPr>
        <w:spacing w:after="0"/>
        <w:jc w:val="both"/>
        <w:rPr>
          <w:rFonts w:ascii="Arial" w:hAnsi="Arial" w:cs="Arial"/>
        </w:rPr>
      </w:pPr>
      <w:r>
        <w:rPr>
          <w:rFonts w:ascii="Arial" w:hAnsi="Arial" w:cs="Arial" w:hint="eastAsia"/>
        </w:rPr>
        <w:t>Conclusion</w:t>
      </w:r>
    </w:p>
    <w:p w14:paraId="161E6051" w14:textId="77777777" w:rsidR="006438A5" w:rsidRDefault="006438A5">
      <w:pPr>
        <w:widowControl w:val="0"/>
        <w:jc w:val="both"/>
      </w:pPr>
    </w:p>
    <w:p w14:paraId="2661AE5D" w14:textId="77777777" w:rsidR="006438A5" w:rsidRDefault="00000000">
      <w:pPr>
        <w:pStyle w:val="Body"/>
        <w:spacing w:after="0"/>
        <w:rPr>
          <w:rFonts w:ascii="Arial" w:hAnsi="Arial" w:cs="Arial"/>
          <w:lang w:eastAsia="zh-CN"/>
        </w:rPr>
      </w:pPr>
      <w:r>
        <w:rPr>
          <w:rFonts w:ascii="Arial" w:hAnsi="Arial" w:cs="Arial"/>
          <w:lang w:eastAsia="zh-CN"/>
        </w:rPr>
        <w:t>This study examined TC learning in action during implementation of a TCM in a Chinese vocational college, using classroom observation as validity-oriented evidence.</w:t>
      </w:r>
      <w:r>
        <w:rPr>
          <w:rFonts w:ascii="Arial" w:hAnsi="Arial" w:cs="Arial" w:hint="eastAsia"/>
          <w:lang w:eastAsia="zh-CN"/>
        </w:rPr>
        <w:t xml:space="preserve"> </w:t>
      </w:r>
      <w:r>
        <w:rPr>
          <w:rFonts w:ascii="Arial" w:hAnsi="Arial" w:cs="Arial"/>
          <w:lang w:eastAsia="zh-CN"/>
        </w:rPr>
        <w:t>The observation results indicate that TCM supported strong enactment of core TC processes. Students demonstrated consistently high engagement in discussion, sustained collaboration, frequent feedback seeking, visible revision, and disciplined task completion. Together, these patterns suggest that the module operationalized TC as situated practice rather than as isolated language knowledge, strengthening the plausibility of claims about its instructional value.</w:t>
      </w:r>
    </w:p>
    <w:p w14:paraId="0C6ADC56" w14:textId="77777777" w:rsidR="006438A5" w:rsidRDefault="00000000">
      <w:pPr>
        <w:pStyle w:val="Body"/>
        <w:spacing w:after="0"/>
        <w:rPr>
          <w:rFonts w:ascii="Arial" w:hAnsi="Arial" w:cs="Arial"/>
          <w:lang w:eastAsia="zh-CN"/>
        </w:rPr>
      </w:pPr>
      <w:r>
        <w:rPr>
          <w:rFonts w:ascii="Arial" w:hAnsi="Arial" w:cs="Arial"/>
          <w:lang w:eastAsia="zh-CN"/>
        </w:rPr>
        <w:t>At the same time, the findings identified two refinement priorities that are central to contemporary TC work. Students’ effective use of digital tools remained inconsistent, indicating the need for explicit scaffolding of platform mediated collaboration and advanced production functions. Reflective writing was comparatively weak despite strong ability to identify improvement areas, suggesting that reflection requires tighter prompts, clearer criteria, and closer linkage to concrete drafting and revision decisions. Addressing these constraints through targeted design revisions would likely increase the robustness of TC transfer to digitally mediated workplaces and enhance the module’s long-term scalability in vocational curricula.</w:t>
      </w:r>
    </w:p>
    <w:p w14:paraId="09638F00" w14:textId="52581270" w:rsidR="006438A5" w:rsidRPr="00BE33DD" w:rsidRDefault="00000000">
      <w:pPr>
        <w:pStyle w:val="Body"/>
        <w:spacing w:after="0"/>
        <w:rPr>
          <w:rFonts w:ascii="Arial" w:eastAsiaTheme="minorEastAsia" w:hAnsi="Arial" w:cs="Arial"/>
          <w:lang w:eastAsia="zh-CN"/>
        </w:rPr>
      </w:pPr>
      <w:r>
        <w:rPr>
          <w:rFonts w:ascii="Arial" w:hAnsi="Arial" w:cs="Arial"/>
          <w:lang w:eastAsia="zh-CN"/>
        </w:rPr>
        <w:t xml:space="preserve">In sum, classroom evidence provides a productive pathway for validating TC interventions because it reveals how competence is enacted through interaction, workflow, and iterative text production. </w:t>
      </w:r>
      <w:r>
        <w:rPr>
          <w:rFonts w:ascii="Arial" w:hAnsi="Arial" w:cs="Arial" w:hint="eastAsia"/>
          <w:lang w:eastAsia="zh-CN"/>
        </w:rPr>
        <w:t xml:space="preserve">Because the evidence comes from one vocational college and a six-week implementation, the findings should be interpreted as context-sensitive enactment evidence and broader generalization requires replication across institutions and cohorts. </w:t>
      </w:r>
      <w:r>
        <w:rPr>
          <w:rFonts w:ascii="Arial" w:hAnsi="Arial" w:cs="Arial"/>
          <w:lang w:eastAsia="zh-CN"/>
        </w:rPr>
        <w:t>Future research can extend this work by tracking longitudinal transfer beyond the module, examining which scaffolds most effectively improve tool mediated collaboration and reflective reasoning, and testing adaptation of TCM across vocational majors and institutional contexts.</w:t>
      </w:r>
    </w:p>
    <w:p w14:paraId="4B71AA5F" w14:textId="77777777" w:rsidR="006438A5" w:rsidRDefault="006438A5">
      <w:pPr>
        <w:pStyle w:val="ReferHead"/>
        <w:spacing w:after="0"/>
        <w:jc w:val="both"/>
        <w:rPr>
          <w:rFonts w:ascii="Arial" w:hAnsi="Arial" w:cs="Arial"/>
          <w:b w:val="0"/>
          <w:caps w:val="0"/>
          <w:sz w:val="20"/>
        </w:rPr>
      </w:pPr>
    </w:p>
    <w:p w14:paraId="62A1E144" w14:textId="77777777" w:rsidR="006438A5" w:rsidRDefault="00000000">
      <w:pPr>
        <w:pStyle w:val="ReferHead"/>
        <w:spacing w:after="0"/>
        <w:jc w:val="both"/>
        <w:rPr>
          <w:rFonts w:ascii="Arial" w:hAnsi="Arial" w:cs="Arial"/>
          <w:bCs/>
        </w:rPr>
      </w:pPr>
      <w:r>
        <w:rPr>
          <w:rFonts w:ascii="Arial" w:hAnsi="Arial" w:cs="Arial"/>
          <w:bCs/>
        </w:rPr>
        <w:t>Consent</w:t>
      </w:r>
    </w:p>
    <w:p w14:paraId="774BD6F9" w14:textId="77777777" w:rsidR="006438A5" w:rsidRDefault="006438A5">
      <w:pPr>
        <w:pStyle w:val="ReferHead"/>
        <w:spacing w:after="0"/>
        <w:jc w:val="both"/>
        <w:rPr>
          <w:rFonts w:ascii="Arial" w:hAnsi="Arial" w:cs="Arial"/>
          <w:bCs/>
        </w:rPr>
      </w:pPr>
    </w:p>
    <w:p w14:paraId="33831687" w14:textId="77777777" w:rsidR="006438A5" w:rsidRDefault="00000000">
      <w:pPr>
        <w:pStyle w:val="ReferHead"/>
        <w:spacing w:after="0"/>
        <w:jc w:val="both"/>
        <w:rPr>
          <w:rFonts w:ascii="Arial" w:hAnsi="Arial" w:cs="Arial"/>
          <w:b w:val="0"/>
          <w:caps w:val="0"/>
          <w:sz w:val="20"/>
        </w:rPr>
      </w:pPr>
      <w:r>
        <w:rPr>
          <w:rFonts w:ascii="Arial" w:hAnsi="Arial" w:cs="Arial" w:hint="eastAsia"/>
          <w:b w:val="0"/>
          <w:caps w:val="0"/>
          <w:sz w:val="20"/>
        </w:rPr>
        <w:t>Written informed consent was obtained from all student participants prior to data collection. Participation was voluntary and students could withdraw at any time without penalty. Data were anonymized and reported in aggregate to protect confidentiality. Institutional approval for conducting the study was obtained in accordance with the host institution’s research ethics requirements.</w:t>
      </w:r>
    </w:p>
    <w:p w14:paraId="47040D7D" w14:textId="77777777" w:rsidR="006438A5" w:rsidRDefault="006438A5">
      <w:pPr>
        <w:rPr>
          <w:rFonts w:ascii="Calibri" w:eastAsia="Calibri" w:hAnsi="Calibri"/>
          <w:kern w:val="2"/>
          <w:highlight w:val="yellow"/>
        </w:rPr>
      </w:pPr>
    </w:p>
    <w:p w14:paraId="01864317" w14:textId="77777777" w:rsidR="006438A5" w:rsidRDefault="00000000">
      <w:pPr>
        <w:pStyle w:val="ReferHead"/>
        <w:spacing w:after="0"/>
        <w:jc w:val="both"/>
        <w:rPr>
          <w:rFonts w:ascii="Arial" w:hAnsi="Arial" w:cs="Arial"/>
          <w:bCs/>
        </w:rPr>
      </w:pPr>
      <w:r>
        <w:rPr>
          <w:rFonts w:ascii="Arial" w:hAnsi="Arial" w:cs="Arial"/>
          <w:bCs/>
        </w:rPr>
        <w:lastRenderedPageBreak/>
        <w:t>Disclaimer (Artificial intelligence)</w:t>
      </w:r>
    </w:p>
    <w:p w14:paraId="16C87232" w14:textId="77777777" w:rsidR="006438A5" w:rsidRDefault="006438A5">
      <w:pPr>
        <w:pStyle w:val="ReferHead"/>
        <w:spacing w:after="0"/>
        <w:jc w:val="both"/>
        <w:rPr>
          <w:rFonts w:ascii="Arial" w:hAnsi="Arial" w:cs="Arial"/>
          <w:bCs/>
        </w:rPr>
      </w:pPr>
    </w:p>
    <w:p w14:paraId="22D19B6B" w14:textId="6C7BBB98" w:rsidR="006438A5" w:rsidRDefault="00000000">
      <w:pPr>
        <w:rPr>
          <w:rFonts w:ascii="Arial" w:hAnsi="Arial" w:cs="Arial"/>
        </w:rPr>
      </w:pPr>
      <w:r>
        <w:rPr>
          <w:rFonts w:ascii="Arial" w:hAnsi="Arial" w:cs="Arial" w:hint="eastAsia"/>
        </w:rPr>
        <w:t xml:space="preserve">Authors hereby declare that NO generative AI technologies such as Large Language Models (ChatGPT, COPILOT, etc.) and text-to-image generators have been used during the writing or editing of this manuscript. </w:t>
      </w:r>
    </w:p>
    <w:p w14:paraId="5E442023" w14:textId="77777777" w:rsidR="006438A5" w:rsidRDefault="006438A5">
      <w:pPr>
        <w:widowControl w:val="0"/>
        <w:jc w:val="both"/>
      </w:pPr>
    </w:p>
    <w:p w14:paraId="7691D31D" w14:textId="77777777" w:rsidR="006438A5" w:rsidRDefault="00000000">
      <w:pPr>
        <w:pStyle w:val="AbstHead"/>
        <w:numPr>
          <w:ilvl w:val="0"/>
          <w:numId w:val="2"/>
        </w:numPr>
        <w:spacing w:after="0"/>
        <w:jc w:val="both"/>
        <w:rPr>
          <w:rFonts w:ascii="Arial" w:hAnsi="Arial" w:cs="Arial"/>
        </w:rPr>
      </w:pPr>
      <w:r>
        <w:rPr>
          <w:rFonts w:ascii="Arial" w:hAnsi="Arial" w:cs="Arial" w:hint="eastAsia"/>
        </w:rPr>
        <w:t>Reference</w:t>
      </w:r>
    </w:p>
    <w:p w14:paraId="6F591F0C" w14:textId="77777777" w:rsidR="00601647" w:rsidRPr="00940238" w:rsidRDefault="00601647">
      <w:pPr>
        <w:pStyle w:val="Body"/>
        <w:spacing w:after="0"/>
        <w:rPr>
          <w:rFonts w:ascii="Arial" w:eastAsiaTheme="minorEastAsia" w:hAnsi="Arial" w:cs="Arial"/>
          <w:lang w:eastAsia="zh-CN"/>
        </w:rPr>
      </w:pPr>
    </w:p>
    <w:p w14:paraId="62E38DD5" w14:textId="53BE7303" w:rsidR="00C02682" w:rsidRPr="00C02682" w:rsidRDefault="00601647" w:rsidP="00C02682">
      <w:pPr>
        <w:pStyle w:val="EndNoteBibliography"/>
        <w:ind w:left="720" w:hanging="720"/>
        <w:rPr>
          <w:noProof/>
        </w:rPr>
      </w:pPr>
      <w:r>
        <w:fldChar w:fldCharType="begin"/>
      </w:r>
      <w:r>
        <w:instrText xml:space="preserve"> ADDIN EN.REFLIST </w:instrText>
      </w:r>
      <w:r>
        <w:fldChar w:fldCharType="separate"/>
      </w:r>
      <w:r w:rsidR="00C02682" w:rsidRPr="00C02682">
        <w:rPr>
          <w:noProof/>
        </w:rPr>
        <w:t xml:space="preserve">Alshehri, E. (2019). Classroom observation for professional development: Views of EFL teachers and observers. </w:t>
      </w:r>
      <w:r w:rsidR="00C02682" w:rsidRPr="00C02682">
        <w:rPr>
          <w:i/>
          <w:noProof/>
        </w:rPr>
        <w:t>Arab World English Journal: Special Issue: Application of Global ELT Practices in Saudi Arabia September</w:t>
      </w:r>
      <w:r w:rsidR="00C02682" w:rsidRPr="00C02682">
        <w:rPr>
          <w:noProof/>
        </w:rPr>
        <w:t xml:space="preserve">. </w:t>
      </w:r>
      <w:hyperlink r:id="rId12" w:history="1">
        <w:r w:rsidR="00C02682" w:rsidRPr="00C02682">
          <w:rPr>
            <w:rStyle w:val="af1"/>
            <w:noProof/>
          </w:rPr>
          <w:t>https://doi.org/10.2139/ssrn.3472192</w:t>
        </w:r>
      </w:hyperlink>
      <w:r w:rsidR="00C02682" w:rsidRPr="00C02682">
        <w:rPr>
          <w:noProof/>
        </w:rPr>
        <w:t xml:space="preserve"> </w:t>
      </w:r>
    </w:p>
    <w:p w14:paraId="3202F448" w14:textId="533F3586" w:rsidR="00C02682" w:rsidRPr="00C02682" w:rsidRDefault="00C02682" w:rsidP="00C02682">
      <w:pPr>
        <w:pStyle w:val="EndNoteBibliography"/>
        <w:ind w:left="720" w:hanging="720"/>
        <w:rPr>
          <w:noProof/>
        </w:rPr>
      </w:pPr>
      <w:r w:rsidRPr="00C02682">
        <w:rPr>
          <w:noProof/>
        </w:rPr>
        <w:t xml:space="preserve">Andrews, D. C. (2022). Designing a Course in Business Communication. </w:t>
      </w:r>
      <w:r w:rsidRPr="00C02682">
        <w:rPr>
          <w:i/>
          <w:noProof/>
        </w:rPr>
        <w:t>Business and Professional Communication Quarterly</w:t>
      </w:r>
      <w:r w:rsidRPr="00C02682">
        <w:rPr>
          <w:noProof/>
        </w:rPr>
        <w:t>,</w:t>
      </w:r>
      <w:r w:rsidRPr="00C02682">
        <w:rPr>
          <w:i/>
          <w:noProof/>
        </w:rPr>
        <w:t xml:space="preserve"> 85</w:t>
      </w:r>
      <w:r w:rsidRPr="00C02682">
        <w:rPr>
          <w:noProof/>
        </w:rPr>
        <w:t xml:space="preserve">(3), 349-369. </w:t>
      </w:r>
      <w:hyperlink r:id="rId13" w:history="1">
        <w:r w:rsidRPr="00C02682">
          <w:rPr>
            <w:rStyle w:val="af1"/>
            <w:noProof/>
          </w:rPr>
          <w:t>https://doi.org/10.1177/23294906221105286</w:t>
        </w:r>
      </w:hyperlink>
      <w:r w:rsidRPr="00C02682">
        <w:rPr>
          <w:noProof/>
        </w:rPr>
        <w:t xml:space="preserve"> </w:t>
      </w:r>
    </w:p>
    <w:p w14:paraId="62AF6523" w14:textId="4FB6D505" w:rsidR="00C02682" w:rsidRPr="00C02682" w:rsidRDefault="00C02682" w:rsidP="00C02682">
      <w:pPr>
        <w:pStyle w:val="EndNoteBibliography"/>
        <w:ind w:left="720" w:hanging="720"/>
        <w:rPr>
          <w:noProof/>
        </w:rPr>
      </w:pPr>
      <w:r w:rsidRPr="00C02682">
        <w:rPr>
          <w:noProof/>
        </w:rPr>
        <w:t xml:space="preserve">Bourelle, A., et al. (2015). Multimodality in the technical communication classroom: Viewing classical rhetoric through a 21st century lens. </w:t>
      </w:r>
      <w:r w:rsidRPr="00C02682">
        <w:rPr>
          <w:i/>
          <w:noProof/>
        </w:rPr>
        <w:t>Technical Communication Quarterly</w:t>
      </w:r>
      <w:r w:rsidRPr="00C02682">
        <w:rPr>
          <w:noProof/>
        </w:rPr>
        <w:t>,</w:t>
      </w:r>
      <w:r w:rsidRPr="00C02682">
        <w:rPr>
          <w:i/>
          <w:noProof/>
        </w:rPr>
        <w:t xml:space="preserve"> 24</w:t>
      </w:r>
      <w:r w:rsidRPr="00C02682">
        <w:rPr>
          <w:noProof/>
        </w:rPr>
        <w:t xml:space="preserve">(4), 306-327. </w:t>
      </w:r>
      <w:hyperlink r:id="rId14" w:history="1">
        <w:r w:rsidRPr="00C02682">
          <w:rPr>
            <w:rStyle w:val="af1"/>
            <w:noProof/>
          </w:rPr>
          <w:t>https://doi.org/10.1080/10572252.2015.1078847</w:t>
        </w:r>
      </w:hyperlink>
      <w:r w:rsidRPr="00C02682">
        <w:rPr>
          <w:noProof/>
        </w:rPr>
        <w:t xml:space="preserve"> </w:t>
      </w:r>
    </w:p>
    <w:p w14:paraId="14CD5688" w14:textId="625E669E" w:rsidR="00C02682" w:rsidRPr="00C02682" w:rsidRDefault="00C02682" w:rsidP="00C02682">
      <w:pPr>
        <w:pStyle w:val="EndNoteBibliography"/>
        <w:ind w:left="720" w:hanging="720"/>
        <w:rPr>
          <w:noProof/>
        </w:rPr>
      </w:pPr>
      <w:r w:rsidRPr="00C02682">
        <w:rPr>
          <w:noProof/>
        </w:rPr>
        <w:t xml:space="preserve">Burgess, S., et al. (2021). Teacher peer observation and student test scores: Evidence from a field experiment in English secondary schools. </w:t>
      </w:r>
      <w:r w:rsidRPr="00C02682">
        <w:rPr>
          <w:i/>
          <w:noProof/>
        </w:rPr>
        <w:t>Journal of Labor Economics</w:t>
      </w:r>
      <w:r w:rsidRPr="00C02682">
        <w:rPr>
          <w:noProof/>
        </w:rPr>
        <w:t>,</w:t>
      </w:r>
      <w:r w:rsidRPr="00C02682">
        <w:rPr>
          <w:i/>
          <w:noProof/>
        </w:rPr>
        <w:t xml:space="preserve"> 39</w:t>
      </w:r>
      <w:r w:rsidRPr="00C02682">
        <w:rPr>
          <w:noProof/>
        </w:rPr>
        <w:t xml:space="preserve">(4), 1155-1186. </w:t>
      </w:r>
      <w:hyperlink r:id="rId15" w:history="1">
        <w:r w:rsidRPr="00C02682">
          <w:rPr>
            <w:rStyle w:val="af1"/>
            <w:noProof/>
          </w:rPr>
          <w:t>https://doi.org/10.1086/712997</w:t>
        </w:r>
      </w:hyperlink>
      <w:r w:rsidRPr="00C02682">
        <w:rPr>
          <w:noProof/>
        </w:rPr>
        <w:t xml:space="preserve"> </w:t>
      </w:r>
    </w:p>
    <w:p w14:paraId="0FA47EF4" w14:textId="2EA3BA3E" w:rsidR="00C02682" w:rsidRPr="00C02682" w:rsidRDefault="00C02682" w:rsidP="00C02682">
      <w:pPr>
        <w:pStyle w:val="EndNoteBibliography"/>
        <w:ind w:left="720" w:hanging="720"/>
        <w:rPr>
          <w:noProof/>
        </w:rPr>
      </w:pPr>
      <w:r w:rsidRPr="00C02682">
        <w:rPr>
          <w:noProof/>
        </w:rPr>
        <w:t xml:space="preserve">Cleary, Y., et al. (2019). Workshop: Curriculum development for technical communication in a digitalized world based on the TecCOMFrame competence framework. 2019 IEEE International Professional Communication Conference (ProComm), 259-261, </w:t>
      </w:r>
      <w:hyperlink r:id="rId16" w:history="1">
        <w:r w:rsidRPr="00C02682">
          <w:rPr>
            <w:rStyle w:val="af1"/>
            <w:noProof/>
          </w:rPr>
          <w:t>https://doi.org/10.1109/ProComm.2019.00056</w:t>
        </w:r>
      </w:hyperlink>
      <w:r w:rsidRPr="00C02682">
        <w:rPr>
          <w:noProof/>
        </w:rPr>
        <w:t xml:space="preserve"> </w:t>
      </w:r>
    </w:p>
    <w:p w14:paraId="3DAD4064" w14:textId="76D88F79" w:rsidR="00C02682" w:rsidRPr="00C02682" w:rsidRDefault="00C02682" w:rsidP="00C02682">
      <w:pPr>
        <w:pStyle w:val="EndNoteBibliography"/>
        <w:ind w:left="720" w:hanging="720"/>
        <w:rPr>
          <w:noProof/>
        </w:rPr>
      </w:pPr>
      <w:r w:rsidRPr="00C02682">
        <w:rPr>
          <w:noProof/>
        </w:rPr>
        <w:t xml:space="preserve">Clegg, G., et al. (2021). Programmatic Outcomes in Undergraduate Technical and Professional Communication Programs. </w:t>
      </w:r>
      <w:r w:rsidRPr="00C02682">
        <w:rPr>
          <w:i/>
          <w:noProof/>
        </w:rPr>
        <w:t>Technical Communication Quarterly</w:t>
      </w:r>
      <w:r w:rsidRPr="00C02682">
        <w:rPr>
          <w:noProof/>
        </w:rPr>
        <w:t>,</w:t>
      </w:r>
      <w:r w:rsidRPr="00C02682">
        <w:rPr>
          <w:i/>
          <w:noProof/>
        </w:rPr>
        <w:t xml:space="preserve"> 30</w:t>
      </w:r>
      <w:r w:rsidRPr="00C02682">
        <w:rPr>
          <w:noProof/>
        </w:rPr>
        <w:t xml:space="preserve">(1), 19-33. </w:t>
      </w:r>
      <w:hyperlink r:id="rId17" w:history="1">
        <w:r w:rsidRPr="00C02682">
          <w:rPr>
            <w:rStyle w:val="af1"/>
            <w:noProof/>
          </w:rPr>
          <w:t>https://doi.org/10.1080/10572252.2020.1774662</w:t>
        </w:r>
      </w:hyperlink>
      <w:r w:rsidRPr="00C02682">
        <w:rPr>
          <w:noProof/>
        </w:rPr>
        <w:t xml:space="preserve"> </w:t>
      </w:r>
    </w:p>
    <w:p w14:paraId="2CCACF51" w14:textId="77777777" w:rsidR="00C02682" w:rsidRPr="00C02682" w:rsidRDefault="00C02682" w:rsidP="00C02682">
      <w:pPr>
        <w:pStyle w:val="EndNoteBibliography"/>
        <w:ind w:left="720" w:hanging="720"/>
        <w:rPr>
          <w:noProof/>
        </w:rPr>
      </w:pPr>
      <w:r w:rsidRPr="00C02682">
        <w:rPr>
          <w:noProof/>
        </w:rPr>
        <w:t xml:space="preserve">Deci, E. L., &amp; Ryan, R. M. (2012). Self-determination theory. </w:t>
      </w:r>
      <w:r w:rsidRPr="00C02682">
        <w:rPr>
          <w:i/>
          <w:noProof/>
        </w:rPr>
        <w:t>Handbook of theories of social psychology</w:t>
      </w:r>
      <w:r w:rsidRPr="00C02682">
        <w:rPr>
          <w:noProof/>
        </w:rPr>
        <w:t>,</w:t>
      </w:r>
      <w:r w:rsidRPr="00C02682">
        <w:rPr>
          <w:i/>
          <w:noProof/>
        </w:rPr>
        <w:t xml:space="preserve"> 1</w:t>
      </w:r>
      <w:r w:rsidRPr="00C02682">
        <w:rPr>
          <w:noProof/>
        </w:rPr>
        <w:t xml:space="preserve">(20), 416-436. </w:t>
      </w:r>
    </w:p>
    <w:p w14:paraId="45D2A52B" w14:textId="3A7A5FE9" w:rsidR="00C02682" w:rsidRPr="00C02682" w:rsidRDefault="00C02682" w:rsidP="00C02682">
      <w:pPr>
        <w:pStyle w:val="EndNoteBibliography"/>
        <w:ind w:left="720" w:hanging="720"/>
        <w:rPr>
          <w:noProof/>
        </w:rPr>
      </w:pPr>
      <w:r w:rsidRPr="00C02682">
        <w:rPr>
          <w:noProof/>
        </w:rPr>
        <w:t xml:space="preserve">Ding. (2019). Development of Technical Communication in China: Program Building and Field Convergence. </w:t>
      </w:r>
      <w:r w:rsidRPr="00C02682">
        <w:rPr>
          <w:i/>
          <w:noProof/>
        </w:rPr>
        <w:t>Technical Communication Quarterly</w:t>
      </w:r>
      <w:r w:rsidRPr="00C02682">
        <w:rPr>
          <w:noProof/>
        </w:rPr>
        <w:t>,</w:t>
      </w:r>
      <w:r w:rsidRPr="00C02682">
        <w:rPr>
          <w:i/>
          <w:noProof/>
        </w:rPr>
        <w:t xml:space="preserve"> 28</w:t>
      </w:r>
      <w:r w:rsidRPr="00C02682">
        <w:rPr>
          <w:noProof/>
        </w:rPr>
        <w:t xml:space="preserve">(3), 223-237. </w:t>
      </w:r>
      <w:hyperlink r:id="rId18" w:history="1">
        <w:r w:rsidRPr="00C02682">
          <w:rPr>
            <w:rStyle w:val="af1"/>
            <w:noProof/>
          </w:rPr>
          <w:t>https://doi.org/10.1080/10572252.2018.1551576</w:t>
        </w:r>
      </w:hyperlink>
      <w:r w:rsidRPr="00C02682">
        <w:rPr>
          <w:noProof/>
        </w:rPr>
        <w:t xml:space="preserve"> </w:t>
      </w:r>
    </w:p>
    <w:p w14:paraId="21BC5F9E" w14:textId="1EFA1FB2" w:rsidR="00C02682" w:rsidRPr="00C02682" w:rsidRDefault="00C02682" w:rsidP="00C02682">
      <w:pPr>
        <w:pStyle w:val="EndNoteBibliography"/>
        <w:ind w:left="720" w:hanging="720"/>
        <w:rPr>
          <w:noProof/>
        </w:rPr>
      </w:pPr>
      <w:r w:rsidRPr="00C02682">
        <w:rPr>
          <w:noProof/>
        </w:rPr>
        <w:t xml:space="preserve">Feuer, M. P. (2020). Scaffolding Feedback Between Cowriters With Different Levels of English-Language Proficiency. </w:t>
      </w:r>
      <w:r w:rsidRPr="00C02682">
        <w:rPr>
          <w:i/>
          <w:noProof/>
        </w:rPr>
        <w:t>Journal of Business and Technical Communication</w:t>
      </w:r>
      <w:r w:rsidRPr="00C02682">
        <w:rPr>
          <w:noProof/>
        </w:rPr>
        <w:t>,</w:t>
      </w:r>
      <w:r w:rsidRPr="00C02682">
        <w:rPr>
          <w:i/>
          <w:noProof/>
        </w:rPr>
        <w:t xml:space="preserve"> 34</w:t>
      </w:r>
      <w:r w:rsidRPr="00C02682">
        <w:rPr>
          <w:noProof/>
        </w:rPr>
        <w:t xml:space="preserve">(2), 188-213. </w:t>
      </w:r>
      <w:hyperlink r:id="rId19" w:history="1">
        <w:r w:rsidRPr="00C02682">
          <w:rPr>
            <w:rStyle w:val="af1"/>
            <w:noProof/>
          </w:rPr>
          <w:t>https://doi.org/10.1177/1050651919892306</w:t>
        </w:r>
      </w:hyperlink>
      <w:r w:rsidRPr="00C02682">
        <w:rPr>
          <w:noProof/>
        </w:rPr>
        <w:t xml:space="preserve"> </w:t>
      </w:r>
    </w:p>
    <w:p w14:paraId="7C42CE53" w14:textId="63852422" w:rsidR="00C02682" w:rsidRPr="00C02682" w:rsidRDefault="00C02682" w:rsidP="00C02682">
      <w:pPr>
        <w:pStyle w:val="EndNoteBibliography"/>
        <w:ind w:left="720" w:hanging="720"/>
        <w:rPr>
          <w:noProof/>
        </w:rPr>
      </w:pPr>
      <w:r w:rsidRPr="00C02682">
        <w:rPr>
          <w:noProof/>
        </w:rPr>
        <w:t xml:space="preserve">Fredricks, J. A., et al. (2004). School engagement: Potential of the concept, state of the evidence. </w:t>
      </w:r>
      <w:r w:rsidRPr="00C02682">
        <w:rPr>
          <w:i/>
          <w:noProof/>
        </w:rPr>
        <w:t>Review of educational research</w:t>
      </w:r>
      <w:r w:rsidRPr="00C02682">
        <w:rPr>
          <w:noProof/>
        </w:rPr>
        <w:t>,</w:t>
      </w:r>
      <w:r w:rsidRPr="00C02682">
        <w:rPr>
          <w:i/>
          <w:noProof/>
        </w:rPr>
        <w:t xml:space="preserve"> 74</w:t>
      </w:r>
      <w:r w:rsidRPr="00C02682">
        <w:rPr>
          <w:noProof/>
        </w:rPr>
        <w:t xml:space="preserve">(1), 59-109. </w:t>
      </w:r>
      <w:hyperlink r:id="rId20" w:history="1">
        <w:r w:rsidRPr="00C02682">
          <w:rPr>
            <w:rStyle w:val="af1"/>
            <w:noProof/>
          </w:rPr>
          <w:t>https://doi.org/10.3102/00346543074001059</w:t>
        </w:r>
      </w:hyperlink>
      <w:r w:rsidRPr="00C02682">
        <w:rPr>
          <w:noProof/>
        </w:rPr>
        <w:t xml:space="preserve"> </w:t>
      </w:r>
    </w:p>
    <w:p w14:paraId="75918D17" w14:textId="530655D4" w:rsidR="00C02682" w:rsidRPr="00C02682" w:rsidRDefault="00C02682" w:rsidP="00C02682">
      <w:pPr>
        <w:pStyle w:val="EndNoteBibliography"/>
        <w:ind w:left="720" w:hanging="720"/>
        <w:rPr>
          <w:noProof/>
        </w:rPr>
      </w:pPr>
      <w:r w:rsidRPr="00C02682">
        <w:rPr>
          <w:noProof/>
        </w:rPr>
        <w:t xml:space="preserve">Friess, E. (2023). Scrum in Classroom Collaborations: A Quasi-Experimental Study. </w:t>
      </w:r>
      <w:r w:rsidRPr="00C02682">
        <w:rPr>
          <w:i/>
          <w:noProof/>
        </w:rPr>
        <w:t>Journal of Business and Technical Communication</w:t>
      </w:r>
      <w:r w:rsidRPr="00C02682">
        <w:rPr>
          <w:noProof/>
        </w:rPr>
        <w:t>,</w:t>
      </w:r>
      <w:r w:rsidRPr="00C02682">
        <w:rPr>
          <w:i/>
          <w:noProof/>
        </w:rPr>
        <w:t xml:space="preserve"> 37</w:t>
      </w:r>
      <w:r w:rsidRPr="00C02682">
        <w:rPr>
          <w:noProof/>
        </w:rPr>
        <w:t xml:space="preserve">(1), 68-94. </w:t>
      </w:r>
      <w:hyperlink r:id="rId21" w:history="1">
        <w:r w:rsidRPr="00C02682">
          <w:rPr>
            <w:rStyle w:val="af1"/>
            <w:noProof/>
          </w:rPr>
          <w:t>https://doi.org/10.1177/10506519221121817</w:t>
        </w:r>
      </w:hyperlink>
      <w:r w:rsidRPr="00C02682">
        <w:rPr>
          <w:noProof/>
        </w:rPr>
        <w:t xml:space="preserve"> </w:t>
      </w:r>
    </w:p>
    <w:p w14:paraId="541E5019" w14:textId="21650DEA" w:rsidR="00C02682" w:rsidRPr="00C02682" w:rsidRDefault="00C02682" w:rsidP="00C02682">
      <w:pPr>
        <w:pStyle w:val="EndNoteBibliography"/>
        <w:ind w:left="720" w:hanging="720"/>
        <w:rPr>
          <w:noProof/>
        </w:rPr>
      </w:pPr>
      <w:r w:rsidRPr="00C02682">
        <w:rPr>
          <w:noProof/>
        </w:rPr>
        <w:t xml:space="preserve">Getto, G., et al. (2023). The State of UX in Technical and Professional Communication: Courses, Programs, and Jobs. </w:t>
      </w:r>
      <w:r w:rsidRPr="00C02682">
        <w:rPr>
          <w:i/>
          <w:noProof/>
        </w:rPr>
        <w:t>IEEE Transactions on Professional Communication</w:t>
      </w:r>
      <w:r w:rsidRPr="00C02682">
        <w:rPr>
          <w:noProof/>
        </w:rPr>
        <w:t>,</w:t>
      </w:r>
      <w:r w:rsidRPr="00C02682">
        <w:rPr>
          <w:i/>
          <w:noProof/>
        </w:rPr>
        <w:t xml:space="preserve"> 66</w:t>
      </w:r>
      <w:r w:rsidRPr="00C02682">
        <w:rPr>
          <w:noProof/>
        </w:rPr>
        <w:t xml:space="preserve">(4), 317-321. </w:t>
      </w:r>
      <w:hyperlink r:id="rId22" w:history="1">
        <w:r w:rsidRPr="00C02682">
          <w:rPr>
            <w:rStyle w:val="af1"/>
            <w:noProof/>
          </w:rPr>
          <w:t>https://doi.org/10.1109/TPC.2023.3314255</w:t>
        </w:r>
      </w:hyperlink>
      <w:r w:rsidRPr="00C02682">
        <w:rPr>
          <w:noProof/>
        </w:rPr>
        <w:t xml:space="preserve"> </w:t>
      </w:r>
    </w:p>
    <w:p w14:paraId="77164294" w14:textId="68538983" w:rsidR="00C02682" w:rsidRPr="00C02682" w:rsidRDefault="00C02682" w:rsidP="00C02682">
      <w:pPr>
        <w:pStyle w:val="EndNoteBibliography"/>
        <w:ind w:left="720" w:hanging="720"/>
        <w:rPr>
          <w:noProof/>
        </w:rPr>
      </w:pPr>
      <w:r w:rsidRPr="00C02682">
        <w:rPr>
          <w:noProof/>
        </w:rPr>
        <w:t>Hewett, B. L., &amp; Bourelle, T. (2017). Online teaching and learning in technical communication: Continuing the conversation.</w:t>
      </w:r>
      <w:r w:rsidRPr="00C02682">
        <w:rPr>
          <w:i/>
          <w:noProof/>
        </w:rPr>
        <w:t xml:space="preserve"> 26</w:t>
      </w:r>
      <w:r w:rsidRPr="00C02682">
        <w:rPr>
          <w:noProof/>
        </w:rPr>
        <w:t xml:space="preserve">(3), 217-222. </w:t>
      </w:r>
      <w:hyperlink r:id="rId23" w:history="1">
        <w:r w:rsidRPr="00C02682">
          <w:rPr>
            <w:rStyle w:val="af1"/>
            <w:noProof/>
          </w:rPr>
          <w:t>https://doi.org/10.1080/10572252.2017.1339531</w:t>
        </w:r>
      </w:hyperlink>
      <w:r w:rsidRPr="00C02682">
        <w:rPr>
          <w:noProof/>
        </w:rPr>
        <w:t xml:space="preserve"> </w:t>
      </w:r>
    </w:p>
    <w:p w14:paraId="5AC21B50" w14:textId="17BFA9A3" w:rsidR="00C02682" w:rsidRPr="00C02682" w:rsidRDefault="00C02682" w:rsidP="00C02682">
      <w:pPr>
        <w:pStyle w:val="EndNoteBibliography"/>
        <w:ind w:left="720" w:hanging="720"/>
        <w:rPr>
          <w:noProof/>
        </w:rPr>
      </w:pPr>
      <w:r w:rsidRPr="00C02682">
        <w:rPr>
          <w:noProof/>
        </w:rPr>
        <w:t xml:space="preserve">Jamaludin, K. A., et al. (2019). Framework for technical communication skills content development for students in malaysian vocational colleges: A fuzzy delphi study. </w:t>
      </w:r>
      <w:r w:rsidRPr="00C02682">
        <w:rPr>
          <w:i/>
          <w:noProof/>
        </w:rPr>
        <w:t>Journal of Technical Education and Training</w:t>
      </w:r>
      <w:r w:rsidRPr="00C02682">
        <w:rPr>
          <w:noProof/>
        </w:rPr>
        <w:t>,</w:t>
      </w:r>
      <w:r w:rsidRPr="00C02682">
        <w:rPr>
          <w:i/>
          <w:noProof/>
        </w:rPr>
        <w:t xml:space="preserve"> 11</w:t>
      </w:r>
      <w:r w:rsidRPr="00C02682">
        <w:rPr>
          <w:noProof/>
        </w:rPr>
        <w:t xml:space="preserve">(4), 36-44. </w:t>
      </w:r>
      <w:hyperlink r:id="rId24" w:history="1">
        <w:r w:rsidRPr="00C02682">
          <w:rPr>
            <w:rStyle w:val="af1"/>
            <w:noProof/>
          </w:rPr>
          <w:t>https://doi.org/10.30880/jtet.2019.11.04.005</w:t>
        </w:r>
      </w:hyperlink>
      <w:r w:rsidRPr="00C02682">
        <w:rPr>
          <w:noProof/>
        </w:rPr>
        <w:t xml:space="preserve"> </w:t>
      </w:r>
    </w:p>
    <w:p w14:paraId="5893F627" w14:textId="45D21701" w:rsidR="00C02682" w:rsidRPr="00C02682" w:rsidRDefault="00C02682" w:rsidP="00C02682">
      <w:pPr>
        <w:pStyle w:val="EndNoteBibliography"/>
        <w:ind w:left="720" w:hanging="720"/>
        <w:rPr>
          <w:noProof/>
        </w:rPr>
      </w:pPr>
      <w:r w:rsidRPr="00C02682">
        <w:rPr>
          <w:noProof/>
        </w:rPr>
        <w:t xml:space="preserve">Johnson, M. (2022). Grading for Process: Using the Portfolio to Emphasize Process in Technical Communication. 2022 IEEE International Professional Communication Conference (ProComm), 251-256, </w:t>
      </w:r>
      <w:hyperlink r:id="rId25" w:history="1">
        <w:r w:rsidRPr="00C02682">
          <w:rPr>
            <w:rStyle w:val="af1"/>
            <w:noProof/>
          </w:rPr>
          <w:t>https://doi.org/10.1109/ProComm53155.2022.00052</w:t>
        </w:r>
      </w:hyperlink>
      <w:r w:rsidRPr="00C02682">
        <w:rPr>
          <w:noProof/>
        </w:rPr>
        <w:t xml:space="preserve"> </w:t>
      </w:r>
    </w:p>
    <w:p w14:paraId="70A286EF" w14:textId="7BFA934F" w:rsidR="00C02682" w:rsidRPr="00C02682" w:rsidRDefault="00C02682" w:rsidP="00C02682">
      <w:pPr>
        <w:pStyle w:val="EndNoteBibliography"/>
        <w:ind w:left="720" w:hanging="720"/>
        <w:rPr>
          <w:noProof/>
        </w:rPr>
      </w:pPr>
      <w:r w:rsidRPr="00C02682">
        <w:rPr>
          <w:noProof/>
        </w:rPr>
        <w:t xml:space="preserve">Lam, C., &amp; Biggerstaff, E. (2019). Finding Stories in the Threads: Can Technical Communication Students Leverage User-Generated Content to Gain Subject-Matter Familiarity? </w:t>
      </w:r>
      <w:r w:rsidRPr="00C02682">
        <w:rPr>
          <w:i/>
          <w:noProof/>
        </w:rPr>
        <w:t>IEEE Transactions on Professional Communication</w:t>
      </w:r>
      <w:r w:rsidRPr="00C02682">
        <w:rPr>
          <w:noProof/>
        </w:rPr>
        <w:t>,</w:t>
      </w:r>
      <w:r w:rsidRPr="00C02682">
        <w:rPr>
          <w:i/>
          <w:noProof/>
        </w:rPr>
        <w:t xml:space="preserve"> 62</w:t>
      </w:r>
      <w:r w:rsidRPr="00C02682">
        <w:rPr>
          <w:noProof/>
        </w:rPr>
        <w:t xml:space="preserve">(4), 334-350. </w:t>
      </w:r>
      <w:hyperlink r:id="rId26" w:history="1">
        <w:r w:rsidRPr="00C02682">
          <w:rPr>
            <w:rStyle w:val="af1"/>
            <w:noProof/>
          </w:rPr>
          <w:t>https://doi.org/10.1109/TPC.2019.2946995</w:t>
        </w:r>
      </w:hyperlink>
      <w:r w:rsidRPr="00C02682">
        <w:rPr>
          <w:noProof/>
        </w:rPr>
        <w:t xml:space="preserve"> </w:t>
      </w:r>
    </w:p>
    <w:p w14:paraId="21F84F9D" w14:textId="2FAB00E0" w:rsidR="00C02682" w:rsidRPr="00C02682" w:rsidRDefault="00C02682" w:rsidP="00C02682">
      <w:pPr>
        <w:pStyle w:val="EndNoteBibliography"/>
        <w:ind w:left="720" w:hanging="720"/>
        <w:rPr>
          <w:noProof/>
        </w:rPr>
      </w:pPr>
      <w:r w:rsidRPr="00C02682">
        <w:rPr>
          <w:noProof/>
        </w:rPr>
        <w:t xml:space="preserve">Lam, C., &amp; Wolfe, J. (2023). An Introduction to Quasi-Experimental Research for Technical and Professional Communication Instructors. </w:t>
      </w:r>
      <w:r w:rsidRPr="00C02682">
        <w:rPr>
          <w:i/>
          <w:noProof/>
        </w:rPr>
        <w:t>Journal of Business and Technical Communication</w:t>
      </w:r>
      <w:r w:rsidRPr="00C02682">
        <w:rPr>
          <w:noProof/>
        </w:rPr>
        <w:t>,</w:t>
      </w:r>
      <w:r w:rsidRPr="00C02682">
        <w:rPr>
          <w:i/>
          <w:noProof/>
        </w:rPr>
        <w:t xml:space="preserve"> 37</w:t>
      </w:r>
      <w:r w:rsidRPr="00C02682">
        <w:rPr>
          <w:noProof/>
        </w:rPr>
        <w:t xml:space="preserve">(2), 174-193. </w:t>
      </w:r>
      <w:hyperlink r:id="rId27" w:history="1">
        <w:r w:rsidRPr="00C02682">
          <w:rPr>
            <w:rStyle w:val="af1"/>
            <w:noProof/>
          </w:rPr>
          <w:t>https://doi.org/10.1177/10506519221143111</w:t>
        </w:r>
      </w:hyperlink>
      <w:r w:rsidRPr="00C02682">
        <w:rPr>
          <w:noProof/>
        </w:rPr>
        <w:t xml:space="preserve"> </w:t>
      </w:r>
    </w:p>
    <w:p w14:paraId="04A55B97" w14:textId="6E933109" w:rsidR="00C02682" w:rsidRPr="00C02682" w:rsidRDefault="00C02682" w:rsidP="00C02682">
      <w:pPr>
        <w:pStyle w:val="EndNoteBibliography"/>
        <w:ind w:left="720" w:hanging="720"/>
        <w:rPr>
          <w:noProof/>
        </w:rPr>
      </w:pPr>
      <w:r w:rsidRPr="00C02682">
        <w:rPr>
          <w:noProof/>
        </w:rPr>
        <w:t xml:space="preserve">Liu, W., et al. (2025). Systematic review of culturally responsive teaching and implications for technical communication education. </w:t>
      </w:r>
      <w:r w:rsidRPr="00C02682">
        <w:rPr>
          <w:i/>
          <w:noProof/>
        </w:rPr>
        <w:t>Multidisciplinary Reviews</w:t>
      </w:r>
      <w:r w:rsidRPr="00C02682">
        <w:rPr>
          <w:noProof/>
        </w:rPr>
        <w:t>,</w:t>
      </w:r>
      <w:r w:rsidRPr="00C02682">
        <w:rPr>
          <w:i/>
          <w:noProof/>
        </w:rPr>
        <w:t xml:space="preserve"> 8</w:t>
      </w:r>
      <w:r w:rsidRPr="00C02682">
        <w:rPr>
          <w:noProof/>
        </w:rPr>
        <w:t xml:space="preserve">(4), 2025117. </w:t>
      </w:r>
      <w:hyperlink r:id="rId28" w:history="1">
        <w:r w:rsidRPr="00C02682">
          <w:rPr>
            <w:rStyle w:val="af1"/>
            <w:noProof/>
          </w:rPr>
          <w:t>https://doi.org/10.31893/multirev.2025117</w:t>
        </w:r>
      </w:hyperlink>
      <w:r w:rsidRPr="00C02682">
        <w:rPr>
          <w:noProof/>
        </w:rPr>
        <w:t xml:space="preserve"> </w:t>
      </w:r>
    </w:p>
    <w:p w14:paraId="62C8E1C6" w14:textId="2BFDFF4A" w:rsidR="00C02682" w:rsidRPr="00C02682" w:rsidRDefault="00C02682" w:rsidP="00C02682">
      <w:pPr>
        <w:pStyle w:val="EndNoteBibliography"/>
        <w:ind w:left="720" w:hanging="720"/>
        <w:rPr>
          <w:noProof/>
        </w:rPr>
      </w:pPr>
      <w:r w:rsidRPr="00C02682">
        <w:rPr>
          <w:noProof/>
        </w:rPr>
        <w:t xml:space="preserve">Liu, W., et al. (2024). Implementation of Technical Communication Pedagogy in Higher Education Institutions: A Systematic Literature Review. </w:t>
      </w:r>
      <w:r w:rsidRPr="00C02682">
        <w:rPr>
          <w:i/>
          <w:noProof/>
        </w:rPr>
        <w:t>International Journal of Learning, Teaching and Educational Research</w:t>
      </w:r>
      <w:r w:rsidRPr="00C02682">
        <w:rPr>
          <w:noProof/>
        </w:rPr>
        <w:t>,</w:t>
      </w:r>
      <w:r w:rsidRPr="00C02682">
        <w:rPr>
          <w:i/>
          <w:noProof/>
        </w:rPr>
        <w:t xml:space="preserve"> 23</w:t>
      </w:r>
      <w:r w:rsidRPr="00C02682">
        <w:rPr>
          <w:noProof/>
        </w:rPr>
        <w:t xml:space="preserve">(9), 307-324. </w:t>
      </w:r>
      <w:hyperlink r:id="rId29" w:history="1">
        <w:r w:rsidRPr="00C02682">
          <w:rPr>
            <w:rStyle w:val="af1"/>
            <w:noProof/>
          </w:rPr>
          <w:t>https://doi.org/10.26803/ijlter.23.9.16</w:t>
        </w:r>
      </w:hyperlink>
      <w:r w:rsidRPr="00C02682">
        <w:rPr>
          <w:noProof/>
        </w:rPr>
        <w:t xml:space="preserve"> </w:t>
      </w:r>
    </w:p>
    <w:p w14:paraId="6A93945F" w14:textId="308B9734" w:rsidR="00C02682" w:rsidRPr="00C02682" w:rsidRDefault="00C02682" w:rsidP="00C02682">
      <w:pPr>
        <w:pStyle w:val="EndNoteBibliography"/>
        <w:ind w:left="720" w:hanging="720"/>
        <w:rPr>
          <w:noProof/>
        </w:rPr>
      </w:pPr>
      <w:r w:rsidRPr="00C02682">
        <w:rPr>
          <w:noProof/>
        </w:rPr>
        <w:t xml:space="preserve">Luo, M., et al. (2022). Investigating the Needs of Technical Communication for TVET Students: A Case Study of Manufacturing Students in the Central Part of China. </w:t>
      </w:r>
      <w:r w:rsidRPr="00C02682">
        <w:rPr>
          <w:i/>
          <w:noProof/>
        </w:rPr>
        <w:t>Journal of Technical Education and Training</w:t>
      </w:r>
      <w:r w:rsidRPr="00C02682">
        <w:rPr>
          <w:noProof/>
        </w:rPr>
        <w:t>,</w:t>
      </w:r>
      <w:r w:rsidRPr="00C02682">
        <w:rPr>
          <w:i/>
          <w:noProof/>
        </w:rPr>
        <w:t xml:space="preserve"> 14</w:t>
      </w:r>
      <w:r w:rsidRPr="00C02682">
        <w:rPr>
          <w:noProof/>
        </w:rPr>
        <w:t xml:space="preserve">(1), 128-137. </w:t>
      </w:r>
      <w:hyperlink r:id="rId30" w:history="1">
        <w:r w:rsidRPr="00C02682">
          <w:rPr>
            <w:rStyle w:val="af1"/>
            <w:noProof/>
          </w:rPr>
          <w:t>https://doi.org/10.30880/jtet.2022.14.01.011</w:t>
        </w:r>
      </w:hyperlink>
      <w:r w:rsidRPr="00C02682">
        <w:rPr>
          <w:noProof/>
        </w:rPr>
        <w:t xml:space="preserve"> </w:t>
      </w:r>
    </w:p>
    <w:p w14:paraId="7E8A938F" w14:textId="6EF7884C" w:rsidR="00C02682" w:rsidRPr="00C02682" w:rsidRDefault="00C02682" w:rsidP="00C02682">
      <w:pPr>
        <w:pStyle w:val="EndNoteBibliography"/>
        <w:ind w:left="720" w:hanging="720"/>
        <w:rPr>
          <w:noProof/>
        </w:rPr>
      </w:pPr>
      <w:r w:rsidRPr="00C02682">
        <w:rPr>
          <w:noProof/>
        </w:rPr>
        <w:t xml:space="preserve">Luo, M., et al. (2024). The Effectiveness of a Technical Communication Module for Automobile Manufacturing Students at Vocational Colleges. </w:t>
      </w:r>
      <w:r w:rsidRPr="00C02682">
        <w:rPr>
          <w:i/>
          <w:noProof/>
        </w:rPr>
        <w:t>Journal of Business and Technical Communication</w:t>
      </w:r>
      <w:r w:rsidRPr="00C02682">
        <w:rPr>
          <w:noProof/>
        </w:rPr>
        <w:t>,</w:t>
      </w:r>
      <w:r w:rsidRPr="00C02682">
        <w:rPr>
          <w:i/>
          <w:noProof/>
        </w:rPr>
        <w:t xml:space="preserve"> 38</w:t>
      </w:r>
      <w:r w:rsidRPr="00C02682">
        <w:rPr>
          <w:noProof/>
        </w:rPr>
        <w:t xml:space="preserve">(3), 137-166. </w:t>
      </w:r>
      <w:hyperlink r:id="rId31" w:history="1">
        <w:r w:rsidRPr="00C02682">
          <w:rPr>
            <w:rStyle w:val="af1"/>
            <w:noProof/>
          </w:rPr>
          <w:t>https://doi.org/10.1177/10506519231217998</w:t>
        </w:r>
      </w:hyperlink>
      <w:r w:rsidRPr="00C02682">
        <w:rPr>
          <w:noProof/>
        </w:rPr>
        <w:t xml:space="preserve"> </w:t>
      </w:r>
    </w:p>
    <w:p w14:paraId="71FC9A63" w14:textId="61219E4B" w:rsidR="00C02682" w:rsidRPr="00C02682" w:rsidRDefault="00C02682" w:rsidP="00C02682">
      <w:pPr>
        <w:pStyle w:val="EndNoteBibliography"/>
        <w:ind w:left="720" w:hanging="720"/>
        <w:rPr>
          <w:noProof/>
        </w:rPr>
      </w:pPr>
      <w:r w:rsidRPr="00C02682">
        <w:rPr>
          <w:noProof/>
        </w:rPr>
        <w:t xml:space="preserve">Manzoor, H., et al. (2020). Observing the effectiveness of task based approach in teaching narrative essay at a private university. </w:t>
      </w:r>
      <w:r w:rsidRPr="00C02682">
        <w:rPr>
          <w:i/>
          <w:noProof/>
        </w:rPr>
        <w:t>International Journal of English Linguistics</w:t>
      </w:r>
      <w:r w:rsidRPr="00C02682">
        <w:rPr>
          <w:noProof/>
        </w:rPr>
        <w:t>,</w:t>
      </w:r>
      <w:r w:rsidRPr="00C02682">
        <w:rPr>
          <w:i/>
          <w:noProof/>
        </w:rPr>
        <w:t xml:space="preserve"> 10</w:t>
      </w:r>
      <w:r w:rsidRPr="00C02682">
        <w:rPr>
          <w:noProof/>
        </w:rPr>
        <w:t xml:space="preserve">(2), 128. </w:t>
      </w:r>
      <w:hyperlink r:id="rId32" w:history="1">
        <w:r w:rsidRPr="00C02682">
          <w:rPr>
            <w:rStyle w:val="af1"/>
            <w:noProof/>
          </w:rPr>
          <w:t>https://doi.org/10.5539/ijel.v10n2p128</w:t>
        </w:r>
      </w:hyperlink>
      <w:r w:rsidRPr="00C02682">
        <w:rPr>
          <w:noProof/>
        </w:rPr>
        <w:t xml:space="preserve"> </w:t>
      </w:r>
    </w:p>
    <w:p w14:paraId="2DBD2BA2" w14:textId="0CFEE1A1" w:rsidR="00C02682" w:rsidRPr="00C02682" w:rsidRDefault="00C02682" w:rsidP="00C02682">
      <w:pPr>
        <w:pStyle w:val="EndNoteBibliography"/>
        <w:ind w:left="720" w:hanging="720"/>
        <w:rPr>
          <w:noProof/>
        </w:rPr>
      </w:pPr>
      <w:r w:rsidRPr="00C02682">
        <w:rPr>
          <w:noProof/>
        </w:rPr>
        <w:t xml:space="preserve">Menagarishvili, O., et al. (2024). Getting it Wrong: Student Estimations of Time and the Number of Drafts in Linked Computer </w:t>
      </w:r>
      <w:r w:rsidRPr="00C02682">
        <w:rPr>
          <w:noProof/>
        </w:rPr>
        <w:lastRenderedPageBreak/>
        <w:t xml:space="preserve">Science and Technical Communication Courses. </w:t>
      </w:r>
      <w:r w:rsidRPr="00C02682">
        <w:rPr>
          <w:i/>
          <w:noProof/>
        </w:rPr>
        <w:t>IEEE Transactions on Professional Communication</w:t>
      </w:r>
      <w:r w:rsidRPr="00C02682">
        <w:rPr>
          <w:noProof/>
        </w:rPr>
        <w:t xml:space="preserve">. </w:t>
      </w:r>
      <w:hyperlink r:id="rId33" w:history="1">
        <w:r w:rsidRPr="00C02682">
          <w:rPr>
            <w:rStyle w:val="af1"/>
            <w:noProof/>
          </w:rPr>
          <w:t>https://doi.org/10.1109/TPC.2024.3477012</w:t>
        </w:r>
      </w:hyperlink>
      <w:r w:rsidRPr="00C02682">
        <w:rPr>
          <w:noProof/>
        </w:rPr>
        <w:t xml:space="preserve"> </w:t>
      </w:r>
    </w:p>
    <w:p w14:paraId="216773BF" w14:textId="5B5645A7" w:rsidR="00C02682" w:rsidRPr="00C02682" w:rsidRDefault="00C02682" w:rsidP="00C02682">
      <w:pPr>
        <w:pStyle w:val="EndNoteBibliography"/>
        <w:ind w:left="720" w:hanging="720"/>
        <w:rPr>
          <w:noProof/>
        </w:rPr>
      </w:pPr>
      <w:r w:rsidRPr="00C02682">
        <w:rPr>
          <w:noProof/>
        </w:rPr>
        <w:t xml:space="preserve">Moeggenberg, Z. C., &amp; Maier, M. A. (2024). Teaching Collaborative Problem-Solving in Technical and Professional Communication. 2024 IEEE International Professional Communication Conference (ProComm), 282-287, </w:t>
      </w:r>
      <w:hyperlink r:id="rId34" w:history="1">
        <w:r w:rsidRPr="00C02682">
          <w:rPr>
            <w:rStyle w:val="af1"/>
            <w:noProof/>
          </w:rPr>
          <w:t>https://doi.org/10.1109/ProComm61427.2024.00062</w:t>
        </w:r>
      </w:hyperlink>
      <w:r w:rsidRPr="00C02682">
        <w:rPr>
          <w:noProof/>
        </w:rPr>
        <w:t xml:space="preserve"> </w:t>
      </w:r>
    </w:p>
    <w:p w14:paraId="74C0D6E5" w14:textId="6DDCC681" w:rsidR="00C02682" w:rsidRPr="00C02682" w:rsidRDefault="00C02682" w:rsidP="00C02682">
      <w:pPr>
        <w:pStyle w:val="EndNoteBibliography"/>
        <w:ind w:left="720" w:hanging="720"/>
        <w:rPr>
          <w:noProof/>
        </w:rPr>
      </w:pPr>
      <w:r w:rsidRPr="00C02682">
        <w:rPr>
          <w:noProof/>
        </w:rPr>
        <w:t xml:space="preserve">Nonthaputha, T., et al. (2023). Flipped Classroom Based on Active Learning in Digital Communications Course for Science in Technical Education on New Normal. 2023 21st International Conference on ICT and Knowledge Engineering (ICT&amp;KE), 1-5, </w:t>
      </w:r>
      <w:hyperlink r:id="rId35" w:history="1">
        <w:r w:rsidRPr="00C02682">
          <w:rPr>
            <w:rStyle w:val="af1"/>
            <w:noProof/>
          </w:rPr>
          <w:t>https://doi.org/10.1109/ICTKE58576.2023.10401413</w:t>
        </w:r>
      </w:hyperlink>
      <w:r w:rsidRPr="00C02682">
        <w:rPr>
          <w:noProof/>
        </w:rPr>
        <w:t xml:space="preserve"> </w:t>
      </w:r>
    </w:p>
    <w:p w14:paraId="0E602B69" w14:textId="755A8349" w:rsidR="00C02682" w:rsidRPr="00C02682" w:rsidRDefault="00C02682" w:rsidP="00C02682">
      <w:pPr>
        <w:pStyle w:val="EndNoteBibliography"/>
        <w:ind w:left="720" w:hanging="720"/>
        <w:rPr>
          <w:noProof/>
        </w:rPr>
      </w:pPr>
      <w:r w:rsidRPr="00C02682">
        <w:rPr>
          <w:noProof/>
        </w:rPr>
        <w:t xml:space="preserve">Palumbo, G., &amp; Duin, A. H. (2024). The Evolutionary Convergence of Technical Communication and Translation: An Integrative Literature Review of Scholarship From 2000 to 2022. </w:t>
      </w:r>
      <w:r w:rsidRPr="00C02682">
        <w:rPr>
          <w:i/>
          <w:noProof/>
        </w:rPr>
        <w:t>IEEE Transactions on Professional Communication</w:t>
      </w:r>
      <w:r w:rsidRPr="00C02682">
        <w:rPr>
          <w:noProof/>
        </w:rPr>
        <w:t>,</w:t>
      </w:r>
      <w:r w:rsidRPr="00C02682">
        <w:rPr>
          <w:i/>
          <w:noProof/>
        </w:rPr>
        <w:t xml:space="preserve"> 67</w:t>
      </w:r>
      <w:r w:rsidRPr="00C02682">
        <w:rPr>
          <w:noProof/>
        </w:rPr>
        <w:t xml:space="preserve">(3), 266 - 284. </w:t>
      </w:r>
      <w:hyperlink r:id="rId36" w:history="1">
        <w:r w:rsidRPr="00C02682">
          <w:rPr>
            <w:rStyle w:val="af1"/>
            <w:noProof/>
          </w:rPr>
          <w:t>https://doi.org/10.1109/TPC.2024.3411888</w:t>
        </w:r>
      </w:hyperlink>
      <w:r w:rsidRPr="00C02682">
        <w:rPr>
          <w:noProof/>
        </w:rPr>
        <w:t xml:space="preserve"> </w:t>
      </w:r>
    </w:p>
    <w:p w14:paraId="391E228F" w14:textId="5741CD4B" w:rsidR="00C02682" w:rsidRPr="00C02682" w:rsidRDefault="00C02682" w:rsidP="00C02682">
      <w:pPr>
        <w:pStyle w:val="EndNoteBibliography"/>
        <w:ind w:left="720" w:hanging="720"/>
        <w:rPr>
          <w:noProof/>
        </w:rPr>
      </w:pPr>
      <w:r w:rsidRPr="00C02682">
        <w:rPr>
          <w:noProof/>
        </w:rPr>
        <w:t xml:space="preserve">Patterson, L. (2019). Engineering students’ empathy development through service learning: Quantitative results from a technical communication course. 2019 IEEE International Professional Communication Conference (ProComm), 194-200, </w:t>
      </w:r>
      <w:hyperlink r:id="rId37" w:history="1">
        <w:r w:rsidRPr="00C02682">
          <w:rPr>
            <w:rStyle w:val="af1"/>
            <w:noProof/>
          </w:rPr>
          <w:t>https://doi.org/10.1109/ProComm.2019.00041</w:t>
        </w:r>
      </w:hyperlink>
      <w:r w:rsidRPr="00C02682">
        <w:rPr>
          <w:noProof/>
        </w:rPr>
        <w:t xml:space="preserve"> </w:t>
      </w:r>
    </w:p>
    <w:p w14:paraId="3E232BA5" w14:textId="1C3E8A84" w:rsidR="00C02682" w:rsidRPr="00C02682" w:rsidRDefault="00C02682" w:rsidP="00C02682">
      <w:pPr>
        <w:pStyle w:val="EndNoteBibliography"/>
        <w:ind w:left="720" w:hanging="720"/>
        <w:rPr>
          <w:noProof/>
        </w:rPr>
      </w:pPr>
      <w:r w:rsidRPr="00C02682">
        <w:rPr>
          <w:noProof/>
        </w:rPr>
        <w:t xml:space="preserve">Petts, A., et al. (2024). Setting Foundations: An Integrative Literature Review at the Intersections of Technical and Professional Communication and Translation Studies. </w:t>
      </w:r>
      <w:r w:rsidRPr="00C02682">
        <w:rPr>
          <w:i/>
          <w:noProof/>
        </w:rPr>
        <w:t>IEEE Transactions on Professional Communication</w:t>
      </w:r>
      <w:r w:rsidRPr="00C02682">
        <w:rPr>
          <w:noProof/>
        </w:rPr>
        <w:t>,</w:t>
      </w:r>
      <w:r w:rsidRPr="00C02682">
        <w:rPr>
          <w:i/>
          <w:noProof/>
        </w:rPr>
        <w:t xml:space="preserve"> 67</w:t>
      </w:r>
      <w:r w:rsidRPr="00C02682">
        <w:rPr>
          <w:noProof/>
        </w:rPr>
        <w:t xml:space="preserve">(3), 285 - 300. </w:t>
      </w:r>
      <w:hyperlink r:id="rId38" w:history="1">
        <w:r w:rsidRPr="00C02682">
          <w:rPr>
            <w:rStyle w:val="af1"/>
            <w:noProof/>
          </w:rPr>
          <w:t>https://doi.org/10.1109/TPC.2024.3418168</w:t>
        </w:r>
      </w:hyperlink>
      <w:r w:rsidRPr="00C02682">
        <w:rPr>
          <w:noProof/>
        </w:rPr>
        <w:t xml:space="preserve"> </w:t>
      </w:r>
    </w:p>
    <w:p w14:paraId="611BB308" w14:textId="5AB6FDFD" w:rsidR="00C02682" w:rsidRPr="00C02682" w:rsidRDefault="00C02682" w:rsidP="00C02682">
      <w:pPr>
        <w:pStyle w:val="EndNoteBibliography"/>
        <w:ind w:left="720" w:hanging="720"/>
        <w:rPr>
          <w:noProof/>
        </w:rPr>
      </w:pPr>
      <w:r w:rsidRPr="00C02682">
        <w:rPr>
          <w:noProof/>
        </w:rPr>
        <w:t xml:space="preserve">Pourmand., et al. (2021). Assessing the Benefits of Flipped Classroom in Enhancing Construction Students' Technical Communication Skills. </w:t>
      </w:r>
      <w:r w:rsidRPr="00C02682">
        <w:rPr>
          <w:i/>
          <w:noProof/>
        </w:rPr>
        <w:t>Journal of Civil Engineering Education</w:t>
      </w:r>
      <w:r w:rsidRPr="00C02682">
        <w:rPr>
          <w:noProof/>
        </w:rPr>
        <w:t>,</w:t>
      </w:r>
      <w:r w:rsidRPr="00C02682">
        <w:rPr>
          <w:i/>
          <w:noProof/>
        </w:rPr>
        <w:t xml:space="preserve"> 147</w:t>
      </w:r>
      <w:r w:rsidRPr="00C02682">
        <w:rPr>
          <w:noProof/>
        </w:rPr>
        <w:t xml:space="preserve">(1), 04020010. </w:t>
      </w:r>
      <w:hyperlink r:id="rId39" w:history="1">
        <w:r w:rsidRPr="00C02682">
          <w:rPr>
            <w:rStyle w:val="af1"/>
            <w:noProof/>
          </w:rPr>
          <w:t>https://doi.org/10.1061/(ASCE)EI.2643-9115.0000025</w:t>
        </w:r>
      </w:hyperlink>
      <w:r w:rsidRPr="00C02682">
        <w:rPr>
          <w:noProof/>
        </w:rPr>
        <w:t xml:space="preserve"> </w:t>
      </w:r>
    </w:p>
    <w:p w14:paraId="49339B89" w14:textId="5EC91366" w:rsidR="00C02682" w:rsidRPr="00C02682" w:rsidRDefault="00C02682" w:rsidP="00C02682">
      <w:pPr>
        <w:pStyle w:val="EndNoteBibliography"/>
        <w:ind w:left="720" w:hanging="720"/>
        <w:rPr>
          <w:noProof/>
        </w:rPr>
      </w:pPr>
      <w:r w:rsidRPr="00C02682">
        <w:rPr>
          <w:noProof/>
        </w:rPr>
        <w:t xml:space="preserve">Richey, R. C., &amp; Klein, J. D. (2005). Developmental research methods: Creating knowledge from instructional design and development practice. </w:t>
      </w:r>
      <w:r w:rsidRPr="00C02682">
        <w:rPr>
          <w:i/>
          <w:noProof/>
        </w:rPr>
        <w:t>Journal of Computing in higher Education</w:t>
      </w:r>
      <w:r w:rsidRPr="00C02682">
        <w:rPr>
          <w:noProof/>
        </w:rPr>
        <w:t>,</w:t>
      </w:r>
      <w:r w:rsidRPr="00C02682">
        <w:rPr>
          <w:i/>
          <w:noProof/>
        </w:rPr>
        <w:t xml:space="preserve"> 16</w:t>
      </w:r>
      <w:r w:rsidRPr="00C02682">
        <w:rPr>
          <w:noProof/>
        </w:rPr>
        <w:t xml:space="preserve">(2), 23-38. </w:t>
      </w:r>
      <w:hyperlink r:id="rId40" w:history="1">
        <w:r w:rsidRPr="00C02682">
          <w:rPr>
            <w:rStyle w:val="af1"/>
            <w:noProof/>
          </w:rPr>
          <w:t>https://doi.org/10.1007/bf02961473</w:t>
        </w:r>
      </w:hyperlink>
      <w:r w:rsidRPr="00C02682">
        <w:rPr>
          <w:noProof/>
        </w:rPr>
        <w:t xml:space="preserve"> </w:t>
      </w:r>
    </w:p>
    <w:p w14:paraId="1FFCD31B" w14:textId="2F3C95CE" w:rsidR="00C02682" w:rsidRPr="00C02682" w:rsidRDefault="00C02682" w:rsidP="00C02682">
      <w:pPr>
        <w:pStyle w:val="EndNoteBibliography"/>
        <w:ind w:left="720" w:hanging="720"/>
        <w:rPr>
          <w:noProof/>
        </w:rPr>
      </w:pPr>
      <w:r w:rsidRPr="00C02682">
        <w:rPr>
          <w:noProof/>
        </w:rPr>
        <w:t xml:space="preserve">Sageev, P., &amp; Romanowski, C. J. (2001). A message from recent engineering graduates in the workplace: Results of a survey on technical communication skills. </w:t>
      </w:r>
      <w:r w:rsidRPr="00C02682">
        <w:rPr>
          <w:i/>
          <w:noProof/>
        </w:rPr>
        <w:t>Journal of Engineering Education</w:t>
      </w:r>
      <w:r w:rsidRPr="00C02682">
        <w:rPr>
          <w:noProof/>
        </w:rPr>
        <w:t>,</w:t>
      </w:r>
      <w:r w:rsidRPr="00C02682">
        <w:rPr>
          <w:i/>
          <w:noProof/>
        </w:rPr>
        <w:t xml:space="preserve"> 90</w:t>
      </w:r>
      <w:r w:rsidRPr="00C02682">
        <w:rPr>
          <w:noProof/>
        </w:rPr>
        <w:t xml:space="preserve">(4), 685-693. </w:t>
      </w:r>
      <w:hyperlink r:id="rId41" w:history="1">
        <w:r w:rsidRPr="00C02682">
          <w:rPr>
            <w:rStyle w:val="af1"/>
            <w:noProof/>
          </w:rPr>
          <w:t>https://doi.org/10.1002/j.2168-9830.2001.tb00660.x</w:t>
        </w:r>
      </w:hyperlink>
      <w:r w:rsidRPr="00C02682">
        <w:rPr>
          <w:noProof/>
        </w:rPr>
        <w:t xml:space="preserve"> </w:t>
      </w:r>
    </w:p>
    <w:p w14:paraId="546E62E6" w14:textId="5AD85E7C" w:rsidR="00C02682" w:rsidRPr="00C02682" w:rsidRDefault="00C02682" w:rsidP="00C02682">
      <w:pPr>
        <w:pStyle w:val="EndNoteBibliography"/>
        <w:ind w:left="720" w:hanging="720"/>
        <w:rPr>
          <w:noProof/>
        </w:rPr>
      </w:pPr>
      <w:r w:rsidRPr="00C02682">
        <w:rPr>
          <w:noProof/>
        </w:rPr>
        <w:t xml:space="preserve">Saleem, A., et al. (2021). Social constructivism: A new paradigm in teaching and learning environment. </w:t>
      </w:r>
      <w:r w:rsidRPr="00C02682">
        <w:rPr>
          <w:i/>
          <w:noProof/>
        </w:rPr>
        <w:t>Perennial journal of history</w:t>
      </w:r>
      <w:r w:rsidRPr="00C02682">
        <w:rPr>
          <w:noProof/>
        </w:rPr>
        <w:t>,</w:t>
      </w:r>
      <w:r w:rsidRPr="00C02682">
        <w:rPr>
          <w:i/>
          <w:noProof/>
        </w:rPr>
        <w:t xml:space="preserve"> 2</w:t>
      </w:r>
      <w:r w:rsidRPr="00C02682">
        <w:rPr>
          <w:noProof/>
        </w:rPr>
        <w:t xml:space="preserve">(2), 403-421. </w:t>
      </w:r>
      <w:hyperlink r:id="rId42" w:history="1">
        <w:r w:rsidRPr="00C02682">
          <w:rPr>
            <w:rStyle w:val="af1"/>
            <w:noProof/>
          </w:rPr>
          <w:t>https://doi.org/10.52700/pjh.v2i2.86</w:t>
        </w:r>
      </w:hyperlink>
      <w:r w:rsidRPr="00C02682">
        <w:rPr>
          <w:noProof/>
        </w:rPr>
        <w:t xml:space="preserve"> </w:t>
      </w:r>
    </w:p>
    <w:p w14:paraId="129A33A6" w14:textId="491B7285" w:rsidR="00C02682" w:rsidRPr="00C02682" w:rsidRDefault="00C02682" w:rsidP="00C02682">
      <w:pPr>
        <w:pStyle w:val="EndNoteBibliography"/>
        <w:ind w:left="720" w:hanging="720"/>
        <w:rPr>
          <w:noProof/>
        </w:rPr>
      </w:pPr>
      <w:r w:rsidRPr="00C02682">
        <w:rPr>
          <w:noProof/>
        </w:rPr>
        <w:t xml:space="preserve">Smith, A. W. (2024). Bridging the Classroom and Workplace: the High-Impact Practices of a Technical and Professional Communication Studio Course 2024 IEEE International Professional Communication Conference (ProComm), 186-193, </w:t>
      </w:r>
      <w:hyperlink r:id="rId43" w:history="1">
        <w:r w:rsidRPr="00C02682">
          <w:rPr>
            <w:rStyle w:val="af1"/>
            <w:noProof/>
          </w:rPr>
          <w:t>https://doi.org/10.1109/ProComm61427.2024.00042</w:t>
        </w:r>
      </w:hyperlink>
      <w:r w:rsidRPr="00C02682">
        <w:rPr>
          <w:noProof/>
        </w:rPr>
        <w:t xml:space="preserve"> </w:t>
      </w:r>
    </w:p>
    <w:p w14:paraId="27267036" w14:textId="156E3E80" w:rsidR="00C02682" w:rsidRPr="00C02682" w:rsidRDefault="00C02682" w:rsidP="00C02682">
      <w:pPr>
        <w:pStyle w:val="EndNoteBibliography"/>
        <w:ind w:left="720" w:hanging="720"/>
        <w:rPr>
          <w:noProof/>
        </w:rPr>
      </w:pPr>
      <w:r w:rsidRPr="00C02682">
        <w:rPr>
          <w:noProof/>
        </w:rPr>
        <w:t xml:space="preserve">Wan, X. (2022). Development of Technical Communication in China: Program Building and Industrial Trends. 2022 IEEE International Professional Communication Conference (ProComm), 128-132, </w:t>
      </w:r>
      <w:hyperlink r:id="rId44" w:history="1">
        <w:r w:rsidRPr="00C02682">
          <w:rPr>
            <w:rStyle w:val="af1"/>
            <w:noProof/>
          </w:rPr>
          <w:t>https://doi.org/10.1109/ProComm53155.2022.00027</w:t>
        </w:r>
      </w:hyperlink>
      <w:r w:rsidRPr="00C02682">
        <w:rPr>
          <w:noProof/>
        </w:rPr>
        <w:t xml:space="preserve"> </w:t>
      </w:r>
    </w:p>
    <w:p w14:paraId="60FB0B2C" w14:textId="3BC7E6EB" w:rsidR="00C02682" w:rsidRPr="00C02682" w:rsidRDefault="00C02682" w:rsidP="00C02682">
      <w:pPr>
        <w:pStyle w:val="EndNoteBibliography"/>
        <w:ind w:left="720" w:hanging="720"/>
        <w:rPr>
          <w:noProof/>
        </w:rPr>
      </w:pPr>
      <w:r w:rsidRPr="00C02682">
        <w:rPr>
          <w:noProof/>
        </w:rPr>
        <w:t xml:space="preserve">Wright, D. (2024). Perspectives on Usability Testing with IoT Devices in Technical Communication Courses. </w:t>
      </w:r>
      <w:r w:rsidRPr="00C02682">
        <w:rPr>
          <w:i/>
          <w:noProof/>
        </w:rPr>
        <w:t>Technical Communication Quarterly</w:t>
      </w:r>
      <w:r w:rsidRPr="00C02682">
        <w:rPr>
          <w:noProof/>
        </w:rPr>
        <w:t>,</w:t>
      </w:r>
      <w:r w:rsidRPr="00C02682">
        <w:rPr>
          <w:i/>
          <w:noProof/>
        </w:rPr>
        <w:t xml:space="preserve"> 33</w:t>
      </w:r>
      <w:r w:rsidRPr="00C02682">
        <w:rPr>
          <w:noProof/>
        </w:rPr>
        <w:t xml:space="preserve">(1), 38-53. </w:t>
      </w:r>
      <w:hyperlink r:id="rId45" w:history="1">
        <w:r w:rsidRPr="00C02682">
          <w:rPr>
            <w:rStyle w:val="af1"/>
            <w:noProof/>
          </w:rPr>
          <w:t>https://doi.org/10.1080/10572252.2023.2194345</w:t>
        </w:r>
      </w:hyperlink>
      <w:r w:rsidRPr="00C02682">
        <w:rPr>
          <w:noProof/>
        </w:rPr>
        <w:t xml:space="preserve"> </w:t>
      </w:r>
    </w:p>
    <w:p w14:paraId="3D04B96F" w14:textId="3B5257B2" w:rsidR="006438A5" w:rsidRDefault="00601647">
      <w:pPr>
        <w:pStyle w:val="Body"/>
        <w:spacing w:after="0"/>
        <w:rPr>
          <w:rFonts w:ascii="Arial" w:hAnsi="Arial" w:cs="Arial"/>
        </w:rPr>
      </w:pPr>
      <w:r>
        <w:rPr>
          <w:rFonts w:ascii="Arial" w:hAnsi="Arial" w:cs="Arial"/>
        </w:rPr>
        <w:fldChar w:fldCharType="end"/>
      </w:r>
    </w:p>
    <w:sectPr w:rsidR="006438A5">
      <w:headerReference w:type="even" r:id="rId46"/>
      <w:headerReference w:type="default" r:id="rId47"/>
      <w:footerReference w:type="default" r:id="rId48"/>
      <w:headerReference w:type="first" r:id="rId4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6B9FF" w14:textId="77777777" w:rsidR="0097322A" w:rsidRDefault="0097322A">
      <w:r>
        <w:separator/>
      </w:r>
    </w:p>
  </w:endnote>
  <w:endnote w:type="continuationSeparator" w:id="0">
    <w:p w14:paraId="57C3FB58" w14:textId="77777777" w:rsidR="0097322A" w:rsidRDefault="00973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4CBDF" w14:textId="77777777" w:rsidR="006438A5" w:rsidRDefault="006438A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89112" w14:textId="77777777" w:rsidR="0097322A" w:rsidRDefault="0097322A">
      <w:r>
        <w:separator/>
      </w:r>
    </w:p>
  </w:footnote>
  <w:footnote w:type="continuationSeparator" w:id="0">
    <w:p w14:paraId="674A6B1F" w14:textId="77777777" w:rsidR="0097322A" w:rsidRDefault="009732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25CD3" w14:textId="77777777" w:rsidR="006438A5" w:rsidRDefault="00000000">
    <w:pPr>
      <w:pStyle w:val="a8"/>
    </w:pPr>
    <w:r>
      <w:pict w14:anchorId="17E839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5" o:spid="_x0000_s1026" type="#_x0000_t136" style="position:absolute;margin-left:0;margin-top:0;width:684.1pt;height:77.15pt;rotation:315;z-index:-251655168;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4B813" w14:textId="77777777" w:rsidR="006438A5" w:rsidRDefault="00000000">
    <w:pPr>
      <w:pStyle w:val="a8"/>
    </w:pPr>
    <w:r>
      <w:pict w14:anchorId="42E4D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6" o:spid="_x0000_s1027" type="#_x0000_t136" style="position:absolute;margin-left:0;margin-top:0;width:684.1pt;height:77.15pt;rotation:315;z-index:-251654144;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55D2" w14:textId="77777777" w:rsidR="006438A5" w:rsidRDefault="00000000">
    <w:pPr>
      <w:ind w:left="2160"/>
      <w:jc w:val="center"/>
      <w:rPr>
        <w:rFonts w:ascii="Times New Roman" w:eastAsia="Calibri" w:hAnsi="Times New Roman"/>
        <w:i/>
        <w:sz w:val="18"/>
        <w:szCs w:val="22"/>
      </w:rPr>
    </w:pPr>
    <w:r>
      <w:pict w14:anchorId="5F74E9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4" o:spid="_x0000_s1025" type="#_x0000_t136" style="position:absolute;left:0;text-align:left;margin-left:0;margin-top:0;width:684.1pt;height:77.15pt;rotation:315;z-index:-25165619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p w14:paraId="17B038D3" w14:textId="77777777" w:rsidR="006438A5" w:rsidRDefault="00000000">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5E80C0D4" w14:textId="77777777" w:rsidR="006438A5" w:rsidRDefault="00000000">
    <w:pPr>
      <w:jc w:val="center"/>
      <w:rPr>
        <w:rFonts w:ascii="Times New Roman" w:eastAsia="Calibri" w:hAnsi="Times New Roman"/>
        <w:i/>
        <w:sz w:val="18"/>
        <w:szCs w:val="22"/>
      </w:rPr>
    </w:pPr>
    <w:r>
      <w:rPr>
        <w:rFonts w:ascii="Times New Roman" w:eastAsia="Calibri" w:hAnsi="Times New Roman"/>
        <w:i/>
        <w:sz w:val="18"/>
        <w:szCs w:val="22"/>
      </w:rPr>
      <w:t>.</w:t>
    </w:r>
  </w:p>
  <w:p w14:paraId="0C727E7A" w14:textId="77777777" w:rsidR="006438A5" w:rsidRDefault="00000000">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1F6AD2A8" w14:textId="77777777" w:rsidR="006438A5" w:rsidRDefault="00000000">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602043AE" w14:textId="77777777" w:rsidR="006438A5" w:rsidRDefault="0000000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0D16372" w14:textId="77777777" w:rsidR="006438A5" w:rsidRDefault="00000000">
    <w:pPr>
      <w:pStyle w:val="a8"/>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2E445" w14:textId="77777777" w:rsidR="006438A5" w:rsidRDefault="00000000">
    <w:pPr>
      <w:pStyle w:val="a8"/>
    </w:pPr>
    <w:r>
      <w:pict w14:anchorId="232851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8" o:spid="_x0000_s1029" type="#_x0000_t136" style="position:absolute;margin-left:0;margin-top:0;width:684.1pt;height:77.15pt;rotation:315;z-index:-251652096;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E97EB" w14:textId="77777777" w:rsidR="006438A5" w:rsidRDefault="00000000">
    <w:pPr>
      <w:pStyle w:val="a8"/>
    </w:pPr>
    <w:r>
      <w:pict w14:anchorId="5CD7CD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9" o:spid="_x0000_s1030" type="#_x0000_t136" style="position:absolute;margin-left:0;margin-top:0;width:684.1pt;height:77.15pt;rotation:315;z-index:-251651072;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1EDFD" w14:textId="77777777" w:rsidR="006438A5" w:rsidRDefault="00000000">
    <w:pPr>
      <w:pStyle w:val="a8"/>
    </w:pPr>
    <w:r>
      <w:pict w14:anchorId="5DEE4E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5927487" o:spid="_x0000_s1028" type="#_x0000_t136" style="position:absolute;margin-left:0;margin-top:0;width:684.1pt;height:77.15pt;rotation:315;z-index:-251653120;mso-position-horizontal:center;mso-position-horizontal-relative:margin;mso-position-vertical:center;mso-position-vertical-relative:margin;mso-width-relative:page;mso-height-relative:page" o:allowincell="f" fillcolor="silver" stroked="f">
          <v:fill opacity=".5"/>
          <v:textpath style="font-family:&quot;Helvetica&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1D2DE44"/>
    <w:multiLevelType w:val="multilevel"/>
    <w:tmpl w:val="F1D2DE44"/>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16cid:durableId="1050107941">
    <w:abstractNumId w:val="1"/>
  </w:num>
  <w:num w:numId="2" w16cid:durableId="833958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Helvetic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xateaap22str3eaaa1xar2n95zaewv2sx5a&quot;&gt;TC-FROM11&lt;record-ids&gt;&lt;item&gt;7&lt;/item&gt;&lt;item&gt;12&lt;/item&gt;&lt;item&gt;17&lt;/item&gt;&lt;item&gt;24&lt;/item&gt;&lt;item&gt;25&lt;/item&gt;&lt;item&gt;32&lt;/item&gt;&lt;item&gt;36&lt;/item&gt;&lt;item&gt;39&lt;/item&gt;&lt;item&gt;44&lt;/item&gt;&lt;item&gt;49&lt;/item&gt;&lt;item&gt;50&lt;/item&gt;&lt;item&gt;57&lt;/item&gt;&lt;item&gt;65&lt;/item&gt;&lt;item&gt;71&lt;/item&gt;&lt;item&gt;74&lt;/item&gt;&lt;item&gt;75&lt;/item&gt;&lt;item&gt;87&lt;/item&gt;&lt;item&gt;91&lt;/item&gt;&lt;item&gt;92&lt;/item&gt;&lt;item&gt;102&lt;/item&gt;&lt;item&gt;107&lt;/item&gt;&lt;item&gt;117&lt;/item&gt;&lt;item&gt;122&lt;/item&gt;&lt;item&gt;125&lt;/item&gt;&lt;item&gt;150&lt;/item&gt;&lt;item&gt;151&lt;/item&gt;&lt;item&gt;160&lt;/item&gt;&lt;item&gt;161&lt;/item&gt;&lt;item&gt;665&lt;/item&gt;&lt;item&gt;1258&lt;/item&gt;&lt;item&gt;1259&lt;/item&gt;&lt;item&gt;1441&lt;/item&gt;&lt;item&gt;1443&lt;/item&gt;&lt;item&gt;1444&lt;/item&gt;&lt;item&gt;1447&lt;/item&gt;&lt;item&gt;1448&lt;/item&gt;&lt;/record-ids&gt;&lt;/item&gt;&lt;/Libraries&gt;"/>
  </w:docVars>
  <w:rsids>
    <w:rsidRoot w:val="00AA6219"/>
    <w:rsid w:val="00000F8F"/>
    <w:rsid w:val="00030174"/>
    <w:rsid w:val="00031BD8"/>
    <w:rsid w:val="0004579C"/>
    <w:rsid w:val="000507DD"/>
    <w:rsid w:val="00064DA6"/>
    <w:rsid w:val="00082373"/>
    <w:rsid w:val="000A3815"/>
    <w:rsid w:val="000A3E1B"/>
    <w:rsid w:val="000A47FA"/>
    <w:rsid w:val="000A65D3"/>
    <w:rsid w:val="000B1E33"/>
    <w:rsid w:val="000D2F59"/>
    <w:rsid w:val="000D689F"/>
    <w:rsid w:val="000E7B7B"/>
    <w:rsid w:val="000E7D62"/>
    <w:rsid w:val="0010224D"/>
    <w:rsid w:val="00103357"/>
    <w:rsid w:val="00123C9F"/>
    <w:rsid w:val="00126190"/>
    <w:rsid w:val="00130F17"/>
    <w:rsid w:val="001320BF"/>
    <w:rsid w:val="001340C8"/>
    <w:rsid w:val="00163BC4"/>
    <w:rsid w:val="00191062"/>
    <w:rsid w:val="00192B72"/>
    <w:rsid w:val="001A29D8"/>
    <w:rsid w:val="001A5CAA"/>
    <w:rsid w:val="001B0427"/>
    <w:rsid w:val="001D3A51"/>
    <w:rsid w:val="001D5A99"/>
    <w:rsid w:val="001E10D2"/>
    <w:rsid w:val="001E17A9"/>
    <w:rsid w:val="001E25B4"/>
    <w:rsid w:val="001E44FE"/>
    <w:rsid w:val="00200595"/>
    <w:rsid w:val="00204835"/>
    <w:rsid w:val="00231920"/>
    <w:rsid w:val="0023195C"/>
    <w:rsid w:val="0024282C"/>
    <w:rsid w:val="002460DC"/>
    <w:rsid w:val="0024718B"/>
    <w:rsid w:val="00250985"/>
    <w:rsid w:val="002556F6"/>
    <w:rsid w:val="002710FE"/>
    <w:rsid w:val="00281F15"/>
    <w:rsid w:val="00283105"/>
    <w:rsid w:val="00284C4C"/>
    <w:rsid w:val="00287012"/>
    <w:rsid w:val="00287E68"/>
    <w:rsid w:val="00296529"/>
    <w:rsid w:val="002B27FB"/>
    <w:rsid w:val="002B685A"/>
    <w:rsid w:val="002C57D2"/>
    <w:rsid w:val="002D72E4"/>
    <w:rsid w:val="002E0D56"/>
    <w:rsid w:val="003043EF"/>
    <w:rsid w:val="00315186"/>
    <w:rsid w:val="003176FC"/>
    <w:rsid w:val="00324634"/>
    <w:rsid w:val="00332E10"/>
    <w:rsid w:val="0033343E"/>
    <w:rsid w:val="003512C2"/>
    <w:rsid w:val="00360C70"/>
    <w:rsid w:val="00371FB6"/>
    <w:rsid w:val="003763C1"/>
    <w:rsid w:val="00376BBE"/>
    <w:rsid w:val="0039224F"/>
    <w:rsid w:val="003A43A4"/>
    <w:rsid w:val="003A7E18"/>
    <w:rsid w:val="003B3D80"/>
    <w:rsid w:val="003C4C86"/>
    <w:rsid w:val="003C6258"/>
    <w:rsid w:val="003C6288"/>
    <w:rsid w:val="003E2904"/>
    <w:rsid w:val="00401927"/>
    <w:rsid w:val="0041027F"/>
    <w:rsid w:val="00412475"/>
    <w:rsid w:val="00423789"/>
    <w:rsid w:val="004319EB"/>
    <w:rsid w:val="00440F43"/>
    <w:rsid w:val="00441B6F"/>
    <w:rsid w:val="00446221"/>
    <w:rsid w:val="00450E62"/>
    <w:rsid w:val="004539DB"/>
    <w:rsid w:val="00471A80"/>
    <w:rsid w:val="004D305E"/>
    <w:rsid w:val="004D4277"/>
    <w:rsid w:val="00502516"/>
    <w:rsid w:val="00505F06"/>
    <w:rsid w:val="00506828"/>
    <w:rsid w:val="0053056E"/>
    <w:rsid w:val="00554FDA"/>
    <w:rsid w:val="00565CD7"/>
    <w:rsid w:val="005C784C"/>
    <w:rsid w:val="005D17F6"/>
    <w:rsid w:val="005E5539"/>
    <w:rsid w:val="00601647"/>
    <w:rsid w:val="00602BF5"/>
    <w:rsid w:val="0061124B"/>
    <w:rsid w:val="00617FDD"/>
    <w:rsid w:val="00633614"/>
    <w:rsid w:val="00633F68"/>
    <w:rsid w:val="00636EB2"/>
    <w:rsid w:val="006375B8"/>
    <w:rsid w:val="006438A5"/>
    <w:rsid w:val="0066510A"/>
    <w:rsid w:val="0066653F"/>
    <w:rsid w:val="00673F9F"/>
    <w:rsid w:val="00686953"/>
    <w:rsid w:val="00687DEA"/>
    <w:rsid w:val="00687E67"/>
    <w:rsid w:val="006967F7"/>
    <w:rsid w:val="006A08B2"/>
    <w:rsid w:val="006A250C"/>
    <w:rsid w:val="006B21D3"/>
    <w:rsid w:val="006B57D0"/>
    <w:rsid w:val="006D30FF"/>
    <w:rsid w:val="006D6940"/>
    <w:rsid w:val="006F11EC"/>
    <w:rsid w:val="0070082C"/>
    <w:rsid w:val="00704567"/>
    <w:rsid w:val="00712CDA"/>
    <w:rsid w:val="007369E6"/>
    <w:rsid w:val="00746E59"/>
    <w:rsid w:val="00754C9A"/>
    <w:rsid w:val="0075599A"/>
    <w:rsid w:val="00761D52"/>
    <w:rsid w:val="0077749E"/>
    <w:rsid w:val="00790ADA"/>
    <w:rsid w:val="007A6ACB"/>
    <w:rsid w:val="007D2288"/>
    <w:rsid w:val="007E088F"/>
    <w:rsid w:val="007F7B32"/>
    <w:rsid w:val="00804BC2"/>
    <w:rsid w:val="00806458"/>
    <w:rsid w:val="0081431A"/>
    <w:rsid w:val="0081650A"/>
    <w:rsid w:val="008169C2"/>
    <w:rsid w:val="0083216F"/>
    <w:rsid w:val="00836CB6"/>
    <w:rsid w:val="00860000"/>
    <w:rsid w:val="00860F89"/>
    <w:rsid w:val="00863BD3"/>
    <w:rsid w:val="008641ED"/>
    <w:rsid w:val="00866D66"/>
    <w:rsid w:val="008671C6"/>
    <w:rsid w:val="00875803"/>
    <w:rsid w:val="00897E7A"/>
    <w:rsid w:val="008A45BD"/>
    <w:rsid w:val="008B459E"/>
    <w:rsid w:val="008E13AE"/>
    <w:rsid w:val="008E1506"/>
    <w:rsid w:val="008E710C"/>
    <w:rsid w:val="008F69D6"/>
    <w:rsid w:val="00902823"/>
    <w:rsid w:val="00915CA6"/>
    <w:rsid w:val="00927834"/>
    <w:rsid w:val="00940238"/>
    <w:rsid w:val="009474D9"/>
    <w:rsid w:val="009500A6"/>
    <w:rsid w:val="00957C18"/>
    <w:rsid w:val="009659BA"/>
    <w:rsid w:val="00965ABA"/>
    <w:rsid w:val="0097322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62EB"/>
    <w:rsid w:val="00A51431"/>
    <w:rsid w:val="00A539AD"/>
    <w:rsid w:val="00A94063"/>
    <w:rsid w:val="00AA3154"/>
    <w:rsid w:val="00AA6219"/>
    <w:rsid w:val="00AA74E0"/>
    <w:rsid w:val="00AB703F"/>
    <w:rsid w:val="00AC6BB8"/>
    <w:rsid w:val="00AE008F"/>
    <w:rsid w:val="00B01FCD"/>
    <w:rsid w:val="00B1776C"/>
    <w:rsid w:val="00B52583"/>
    <w:rsid w:val="00B52896"/>
    <w:rsid w:val="00B53942"/>
    <w:rsid w:val="00B95236"/>
    <w:rsid w:val="00B96BD9"/>
    <w:rsid w:val="00BA1B01"/>
    <w:rsid w:val="00BA2641"/>
    <w:rsid w:val="00BB37AA"/>
    <w:rsid w:val="00BC53A0"/>
    <w:rsid w:val="00BD596C"/>
    <w:rsid w:val="00BE33DD"/>
    <w:rsid w:val="00BE62AD"/>
    <w:rsid w:val="00BF121F"/>
    <w:rsid w:val="00BF1F80"/>
    <w:rsid w:val="00C02682"/>
    <w:rsid w:val="00C12BB1"/>
    <w:rsid w:val="00C166EF"/>
    <w:rsid w:val="00C17EB0"/>
    <w:rsid w:val="00C27F5F"/>
    <w:rsid w:val="00C30A0F"/>
    <w:rsid w:val="00C37E61"/>
    <w:rsid w:val="00C70F1B"/>
    <w:rsid w:val="00C71A47"/>
    <w:rsid w:val="00C7464C"/>
    <w:rsid w:val="00C85588"/>
    <w:rsid w:val="00CB0832"/>
    <w:rsid w:val="00CD6755"/>
    <w:rsid w:val="00CD6856"/>
    <w:rsid w:val="00CE0089"/>
    <w:rsid w:val="00CE793C"/>
    <w:rsid w:val="00CF193C"/>
    <w:rsid w:val="00CF6859"/>
    <w:rsid w:val="00D173F1"/>
    <w:rsid w:val="00D50533"/>
    <w:rsid w:val="00D74CB0"/>
    <w:rsid w:val="00D77EB9"/>
    <w:rsid w:val="00D8295D"/>
    <w:rsid w:val="00DA0D34"/>
    <w:rsid w:val="00DA4594"/>
    <w:rsid w:val="00DC2A65"/>
    <w:rsid w:val="00DE15F0"/>
    <w:rsid w:val="00DE5663"/>
    <w:rsid w:val="00DE78AA"/>
    <w:rsid w:val="00E053D0"/>
    <w:rsid w:val="00E140E9"/>
    <w:rsid w:val="00E15994"/>
    <w:rsid w:val="00E3114E"/>
    <w:rsid w:val="00E31A70"/>
    <w:rsid w:val="00E35B02"/>
    <w:rsid w:val="00E44A22"/>
    <w:rsid w:val="00E66496"/>
    <w:rsid w:val="00E66B35"/>
    <w:rsid w:val="00E66E10"/>
    <w:rsid w:val="00E769F6"/>
    <w:rsid w:val="00E8407C"/>
    <w:rsid w:val="00E84F3C"/>
    <w:rsid w:val="00EA012C"/>
    <w:rsid w:val="00EC6A55"/>
    <w:rsid w:val="00ED0288"/>
    <w:rsid w:val="00EE52CB"/>
    <w:rsid w:val="00EF581D"/>
    <w:rsid w:val="00EF7EDE"/>
    <w:rsid w:val="00EF7FD8"/>
    <w:rsid w:val="00F0099C"/>
    <w:rsid w:val="00F06F59"/>
    <w:rsid w:val="00F12AFB"/>
    <w:rsid w:val="00F17988"/>
    <w:rsid w:val="00F40F56"/>
    <w:rsid w:val="00F469F0"/>
    <w:rsid w:val="00F53273"/>
    <w:rsid w:val="00F74450"/>
    <w:rsid w:val="00F755E4"/>
    <w:rsid w:val="00F76532"/>
    <w:rsid w:val="00F77D02"/>
    <w:rsid w:val="00FA31CF"/>
    <w:rsid w:val="00FB3A86"/>
    <w:rsid w:val="00FD36C8"/>
    <w:rsid w:val="00FE2911"/>
    <w:rsid w:val="00FF6649"/>
    <w:rsid w:val="098C2B06"/>
    <w:rsid w:val="18E14777"/>
    <w:rsid w:val="3BF80A24"/>
    <w:rsid w:val="49B27967"/>
    <w:rsid w:val="542A50BB"/>
    <w:rsid w:val="5AEA5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A8C45C5"/>
  <w15:docId w15:val="{5DF1CF0E-FF11-47EF-931A-F0DCF837F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Helvetica" w:eastAsia="Times New Roman" w:hAnsi="Helvetica"/>
      <w:lang w:eastAsia="en-US"/>
    </w:rPr>
  </w:style>
  <w:style w:type="paragraph" w:styleId="1">
    <w:name w:val="heading 1"/>
    <w:basedOn w:val="a"/>
    <w:next w:val="a"/>
    <w:qFormat/>
    <w:pPr>
      <w:keepNext/>
      <w:spacing w:before="240" w:after="60"/>
      <w:outlineLvl w:val="0"/>
    </w:pPr>
    <w:rPr>
      <w:rFonts w:ascii="Arial" w:hAnsi="Arial"/>
      <w:b/>
      <w:kern w:val="28"/>
      <w:sz w:val="28"/>
    </w:rPr>
  </w:style>
  <w:style w:type="paragraph" w:styleId="2">
    <w:name w:val="heading 2"/>
    <w:basedOn w:val="a"/>
    <w:next w:val="a"/>
    <w:link w:val="20"/>
    <w:semiHidden/>
    <w:unhideWhenUsed/>
    <w:qFormat/>
    <w:pPr>
      <w:widowControl w:val="0"/>
      <w:spacing w:beforeAutospacing="1" w:afterAutospacing="1"/>
      <w:outlineLvl w:val="1"/>
    </w:pPr>
    <w:rPr>
      <w:rFonts w:ascii="宋体" w:eastAsia="宋体" w:hAnsi="宋体" w:hint="eastAsia"/>
      <w:b/>
      <w:bCs/>
      <w:sz w:val="36"/>
      <w:szCs w:val="36"/>
      <w:lang w:eastAsia="zh-CN"/>
    </w:rPr>
  </w:style>
  <w:style w:type="paragraph" w:styleId="3">
    <w:name w:val="heading 3"/>
    <w:basedOn w:val="a"/>
    <w:next w:val="a"/>
    <w:link w:val="30"/>
    <w:semiHidden/>
    <w:unhideWhenUsed/>
    <w:qFormat/>
    <w:pPr>
      <w:widowControl w:val="0"/>
      <w:spacing w:beforeAutospacing="1" w:afterAutospacing="1"/>
      <w:outlineLvl w:val="2"/>
    </w:pPr>
    <w:rPr>
      <w:rFonts w:ascii="宋体" w:eastAsia="宋体" w:hAnsi="宋体" w:hint="eastAsia"/>
      <w:b/>
      <w:bCs/>
      <w:sz w:val="27"/>
      <w:szCs w:val="27"/>
      <w:lang w:eastAsia="zh-CN"/>
    </w:rPr>
  </w:style>
  <w:style w:type="paragraph" w:styleId="4">
    <w:name w:val="heading 4"/>
    <w:basedOn w:val="a"/>
    <w:next w:val="a"/>
    <w:link w:val="40"/>
    <w:semiHidden/>
    <w:unhideWhenUsed/>
    <w:qFormat/>
    <w:pPr>
      <w:widowControl w:val="0"/>
      <w:spacing w:beforeAutospacing="1" w:afterAutospacing="1"/>
      <w:outlineLvl w:val="3"/>
    </w:pPr>
    <w:rPr>
      <w:rFonts w:ascii="宋体" w:eastAsia="宋体" w:hAnsi="宋体" w:hint="eastAsia"/>
      <w:b/>
      <w:bCs/>
      <w:sz w:val="24"/>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rFonts w:ascii="Times New Roman" w:hAnsi="Times New Roman"/>
      <w:lang w:val="nb-NO" w:eastAsia="nb-NO"/>
    </w:rPr>
  </w:style>
  <w:style w:type="paragraph" w:styleId="31">
    <w:name w:val="Body Text 3"/>
    <w:basedOn w:val="a"/>
    <w:link w:val="32"/>
    <w:qFormat/>
    <w:pPr>
      <w:spacing w:after="120"/>
    </w:pPr>
    <w:rPr>
      <w:sz w:val="16"/>
      <w:szCs w:val="16"/>
    </w:rPr>
  </w:style>
  <w:style w:type="paragraph" w:styleId="a5">
    <w:name w:val="Balloon Text"/>
    <w:basedOn w:val="a"/>
    <w:link w:val="a6"/>
    <w:qFormat/>
    <w:rPr>
      <w:rFonts w:ascii="Tahoma" w:hAnsi="Tahoma" w:cs="Tahoma"/>
      <w:sz w:val="16"/>
      <w:szCs w:val="16"/>
    </w:rPr>
  </w:style>
  <w:style w:type="paragraph" w:styleId="a7">
    <w:name w:val="footer"/>
    <w:basedOn w:val="a"/>
    <w:qFormat/>
    <w:pPr>
      <w:tabs>
        <w:tab w:val="center" w:pos="4320"/>
        <w:tab w:val="right" w:pos="8640"/>
      </w:tabs>
    </w:pPr>
  </w:style>
  <w:style w:type="paragraph" w:styleId="a8">
    <w:name w:val="header"/>
    <w:basedOn w:val="a"/>
    <w:qFormat/>
    <w:pPr>
      <w:tabs>
        <w:tab w:val="center" w:pos="4320"/>
        <w:tab w:val="right" w:pos="8640"/>
      </w:tabs>
    </w:pPr>
  </w:style>
  <w:style w:type="paragraph" w:styleId="a9">
    <w:name w:val="Signature"/>
    <w:basedOn w:val="a"/>
    <w:qFormat/>
    <w:pPr>
      <w:ind w:left="4320"/>
    </w:pPr>
  </w:style>
  <w:style w:type="paragraph" w:styleId="21">
    <w:name w:val="Body Text 2"/>
    <w:basedOn w:val="a"/>
    <w:link w:val="22"/>
    <w:qFormat/>
    <w:pPr>
      <w:spacing w:after="120" w:line="480" w:lineRule="auto"/>
    </w:pPr>
  </w:style>
  <w:style w:type="paragraph" w:styleId="aa">
    <w:name w:val="Normal (Web)"/>
    <w:basedOn w:val="a"/>
    <w:semiHidden/>
    <w:unhideWhenUsed/>
    <w:qFormat/>
    <w:pPr>
      <w:spacing w:beforeAutospacing="1" w:afterAutospacing="1"/>
    </w:pPr>
    <w:rPr>
      <w:sz w:val="24"/>
      <w:lang w:eastAsia="zh-CN"/>
    </w:rPr>
  </w:style>
  <w:style w:type="paragraph" w:styleId="ab">
    <w:name w:val="Title"/>
    <w:basedOn w:val="a"/>
    <w:qFormat/>
    <w:pPr>
      <w:spacing w:after="360"/>
      <w:jc w:val="right"/>
    </w:pPr>
    <w:rPr>
      <w:b/>
      <w:kern w:val="28"/>
      <w:sz w:val="36"/>
    </w:rPr>
  </w:style>
  <w:style w:type="table" w:styleId="ac">
    <w:name w:val="Table Grid"/>
    <w:basedOn w:val="a1"/>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d">
    <w:name w:val="Strong"/>
    <w:basedOn w:val="a0"/>
    <w:qFormat/>
    <w:rPr>
      <w:b/>
    </w:rPr>
  </w:style>
  <w:style w:type="character" w:styleId="ae">
    <w:name w:val="FollowedHyperlink"/>
    <w:basedOn w:val="a0"/>
    <w:qFormat/>
    <w:rPr>
      <w:color w:val="800080"/>
      <w:u w:val="single"/>
    </w:rPr>
  </w:style>
  <w:style w:type="character" w:styleId="af">
    <w:name w:val="Emphasis"/>
    <w:basedOn w:val="a0"/>
    <w:uiPriority w:val="20"/>
    <w:qFormat/>
    <w:rPr>
      <w:i/>
      <w:iCs/>
    </w:rPr>
  </w:style>
  <w:style w:type="character" w:styleId="af0">
    <w:name w:val="line number"/>
    <w:basedOn w:val="a0"/>
    <w:qFormat/>
  </w:style>
  <w:style w:type="character" w:styleId="af1">
    <w:name w:val="Hyperlink"/>
    <w:basedOn w:val="a0"/>
    <w:qFormat/>
    <w:rPr>
      <w:color w:val="FF0080"/>
      <w:u w:val="single"/>
    </w:rPr>
  </w:style>
  <w:style w:type="character" w:styleId="af2">
    <w:name w:val="annotation reference"/>
    <w:basedOn w:val="a0"/>
    <w:uiPriority w:val="99"/>
    <w:unhideWhenUsed/>
    <w:qFormat/>
    <w:rPr>
      <w:sz w:val="16"/>
      <w:szCs w:val="16"/>
    </w:rPr>
  </w:style>
  <w:style w:type="paragraph" w:customStyle="1" w:styleId="Author">
    <w:name w:val="Author"/>
    <w:basedOn w:val="a"/>
    <w:qFormat/>
    <w:pPr>
      <w:spacing w:line="280" w:lineRule="exact"/>
      <w:jc w:val="right"/>
    </w:pPr>
    <w:rPr>
      <w:b/>
      <w:sz w:val="24"/>
    </w:rPr>
  </w:style>
  <w:style w:type="paragraph" w:customStyle="1" w:styleId="Affiliation">
    <w:name w:val="Affiliation"/>
    <w:basedOn w:val="a"/>
    <w:qFormat/>
    <w:pPr>
      <w:spacing w:after="240" w:line="240" w:lineRule="exact"/>
      <w:jc w:val="right"/>
    </w:pPr>
  </w:style>
  <w:style w:type="paragraph" w:customStyle="1" w:styleId="Body">
    <w:name w:val="Body"/>
    <w:basedOn w:val="a"/>
    <w:link w:val="Body0"/>
    <w:qFormat/>
    <w:pPr>
      <w:spacing w:after="240"/>
      <w:jc w:val="both"/>
    </w:pPr>
  </w:style>
  <w:style w:type="paragraph" w:customStyle="1" w:styleId="AbstHead">
    <w:name w:val="Abst Head"/>
    <w:basedOn w:val="MainHead"/>
    <w:qFormat/>
    <w:rPr>
      <w:sz w:val="22"/>
    </w:rPr>
  </w:style>
  <w:style w:type="paragraph" w:customStyle="1" w:styleId="MainHead">
    <w:name w:val="Main Head"/>
    <w:basedOn w:val="a"/>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a"/>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a"/>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a"/>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a"/>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a0"/>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22">
    <w:name w:val="正文文本 2 字符"/>
    <w:basedOn w:val="a0"/>
    <w:link w:val="21"/>
    <w:qFormat/>
    <w:rPr>
      <w:rFonts w:ascii="Helvetica" w:hAnsi="Helvetica"/>
    </w:rPr>
  </w:style>
  <w:style w:type="character" w:customStyle="1" w:styleId="a4">
    <w:name w:val="批注文字 字符"/>
    <w:basedOn w:val="a0"/>
    <w:link w:val="a3"/>
    <w:uiPriority w:val="99"/>
    <w:qFormat/>
    <w:rPr>
      <w:lang w:val="nb-NO" w:eastAsia="nb-NO"/>
    </w:rPr>
  </w:style>
  <w:style w:type="character" w:customStyle="1" w:styleId="a6">
    <w:name w:val="批注框文本 字符"/>
    <w:basedOn w:val="a0"/>
    <w:link w:val="a5"/>
    <w:qFormat/>
    <w:rPr>
      <w:rFonts w:ascii="Tahoma" w:hAnsi="Tahoma" w:cs="Tahoma"/>
      <w:sz w:val="16"/>
      <w:szCs w:val="16"/>
    </w:rPr>
  </w:style>
  <w:style w:type="character" w:customStyle="1" w:styleId="32">
    <w:name w:val="正文文本 3 字符"/>
    <w:basedOn w:val="a0"/>
    <w:link w:val="31"/>
    <w:qFormat/>
    <w:rPr>
      <w:rFonts w:ascii="Helvetica" w:hAnsi="Helvetica"/>
      <w:sz w:val="16"/>
      <w:szCs w:val="16"/>
    </w:rPr>
  </w:style>
  <w:style w:type="character" w:customStyle="1" w:styleId="10">
    <w:name w:val="未处理的提及1"/>
    <w:basedOn w:val="a0"/>
    <w:uiPriority w:val="99"/>
    <w:semiHidden/>
    <w:unhideWhenUsed/>
    <w:qFormat/>
    <w:rPr>
      <w:color w:val="605E5C"/>
      <w:shd w:val="clear" w:color="auto" w:fill="E1DFDD"/>
    </w:rPr>
  </w:style>
  <w:style w:type="character" w:customStyle="1" w:styleId="30">
    <w:name w:val="标题 3 字符"/>
    <w:basedOn w:val="a0"/>
    <w:link w:val="3"/>
    <w:qFormat/>
    <w:rPr>
      <w:rFonts w:ascii="宋体" w:eastAsia="宋体" w:hAnsi="宋体" w:cs="宋体" w:hint="eastAsia"/>
      <w:b/>
      <w:bCs/>
      <w:sz w:val="27"/>
      <w:szCs w:val="27"/>
    </w:rPr>
  </w:style>
  <w:style w:type="character" w:customStyle="1" w:styleId="40">
    <w:name w:val="标题 4 字符"/>
    <w:basedOn w:val="a0"/>
    <w:link w:val="4"/>
    <w:qFormat/>
    <w:rPr>
      <w:rFonts w:ascii="宋体" w:eastAsia="宋体" w:hAnsi="宋体" w:cs="宋体" w:hint="eastAsia"/>
      <w:b/>
      <w:bCs/>
      <w:sz w:val="24"/>
      <w:szCs w:val="24"/>
    </w:rPr>
  </w:style>
  <w:style w:type="character" w:customStyle="1" w:styleId="20">
    <w:name w:val="标题 2 字符"/>
    <w:basedOn w:val="a0"/>
    <w:link w:val="2"/>
    <w:qFormat/>
    <w:rPr>
      <w:rFonts w:ascii="宋体" w:eastAsia="宋体" w:hAnsi="宋体" w:cs="宋体" w:hint="eastAsia"/>
      <w:b/>
      <w:bCs/>
      <w:sz w:val="36"/>
      <w:szCs w:val="36"/>
    </w:rPr>
  </w:style>
  <w:style w:type="paragraph" w:customStyle="1" w:styleId="EndNoteBibliography">
    <w:name w:val="EndNote Bibliography"/>
    <w:basedOn w:val="a"/>
    <w:link w:val="EndNoteBibliography0"/>
    <w:qFormat/>
    <w:pPr>
      <w:widowControl w:val="0"/>
      <w:jc w:val="both"/>
    </w:pPr>
    <w:rPr>
      <w:rFonts w:eastAsia="宋体" w:cs="Helvetica"/>
      <w:kern w:val="2"/>
      <w:szCs w:val="24"/>
      <w:lang w:eastAsia="zh-CN"/>
    </w:rPr>
  </w:style>
  <w:style w:type="character" w:customStyle="1" w:styleId="EndNoteBibliography0">
    <w:name w:val="EndNote Bibliography 字符"/>
    <w:basedOn w:val="a0"/>
    <w:link w:val="EndNoteBibliography"/>
    <w:qFormat/>
    <w:rPr>
      <w:rFonts w:ascii="Helvetica" w:hAnsi="Helvetica" w:cs="Helvetica"/>
      <w:kern w:val="2"/>
      <w:szCs w:val="24"/>
    </w:rPr>
  </w:style>
  <w:style w:type="character" w:customStyle="1" w:styleId="23">
    <w:name w:val="未处理的提及2"/>
    <w:basedOn w:val="a0"/>
    <w:uiPriority w:val="99"/>
    <w:semiHidden/>
    <w:unhideWhenUsed/>
    <w:qFormat/>
    <w:rPr>
      <w:color w:val="605E5C"/>
      <w:shd w:val="clear" w:color="auto" w:fill="E1DFDD"/>
    </w:rPr>
  </w:style>
  <w:style w:type="paragraph" w:customStyle="1" w:styleId="EndNoteBibliographyTitle">
    <w:name w:val="EndNote Bibliography Title"/>
    <w:basedOn w:val="a"/>
    <w:link w:val="EndNoteBibliographyTitle0"/>
    <w:rsid w:val="00601647"/>
    <w:pPr>
      <w:jc w:val="center"/>
    </w:pPr>
    <w:rPr>
      <w:rFonts w:cs="Helvetica"/>
      <w:noProof/>
    </w:rPr>
  </w:style>
  <w:style w:type="character" w:customStyle="1" w:styleId="Body0">
    <w:name w:val="Body 字符"/>
    <w:basedOn w:val="a0"/>
    <w:link w:val="Body"/>
    <w:rsid w:val="00601647"/>
    <w:rPr>
      <w:rFonts w:ascii="Helvetica" w:eastAsia="Times New Roman" w:hAnsi="Helvetica"/>
      <w:lang w:eastAsia="en-US"/>
    </w:rPr>
  </w:style>
  <w:style w:type="character" w:customStyle="1" w:styleId="EndNoteBibliographyTitle0">
    <w:name w:val="EndNote Bibliography Title 字符"/>
    <w:basedOn w:val="Body0"/>
    <w:link w:val="EndNoteBibliographyTitle"/>
    <w:rsid w:val="00601647"/>
    <w:rPr>
      <w:rFonts w:ascii="Helvetica" w:eastAsia="Times New Roman" w:hAnsi="Helvetica" w:cs="Helvetica"/>
      <w:noProof/>
      <w:lang w:eastAsia="en-US"/>
    </w:rPr>
  </w:style>
  <w:style w:type="character" w:styleId="af3">
    <w:name w:val="Unresolved Mention"/>
    <w:basedOn w:val="a0"/>
    <w:uiPriority w:val="99"/>
    <w:semiHidden/>
    <w:unhideWhenUsed/>
    <w:rsid w:val="00601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177/23294906221105286" TargetMode="External"/><Relationship Id="rId18" Type="http://schemas.openxmlformats.org/officeDocument/2006/relationships/hyperlink" Target="https://doi.org/10.1080/10572252.2018.1551576" TargetMode="External"/><Relationship Id="rId26" Type="http://schemas.openxmlformats.org/officeDocument/2006/relationships/hyperlink" Target="https://doi.org/10.1109/TPC.2019.2946995" TargetMode="External"/><Relationship Id="rId39" Type="http://schemas.openxmlformats.org/officeDocument/2006/relationships/hyperlink" Target="https://doi.org/10.1061/(ASCE)EI.2643-9115.0000025" TargetMode="External"/><Relationship Id="rId21" Type="http://schemas.openxmlformats.org/officeDocument/2006/relationships/hyperlink" Target="https://doi.org/10.1177/10506519221121817" TargetMode="External"/><Relationship Id="rId34" Type="http://schemas.openxmlformats.org/officeDocument/2006/relationships/hyperlink" Target="https://doi.org/10.1109/ProComm61427.2024.00062" TargetMode="External"/><Relationship Id="rId42" Type="http://schemas.openxmlformats.org/officeDocument/2006/relationships/hyperlink" Target="https://doi.org/10.52700/pjh.v2i2.86" TargetMode="External"/><Relationship Id="rId47" Type="http://schemas.openxmlformats.org/officeDocument/2006/relationships/header" Target="header5.xml"/><Relationship Id="rId50"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doi.org/10.1109/ProComm.2019.00056" TargetMode="External"/><Relationship Id="rId29" Type="http://schemas.openxmlformats.org/officeDocument/2006/relationships/hyperlink" Target="https://doi.org/10.26803/ijlter.23.9.16" TargetMode="External"/><Relationship Id="rId11" Type="http://schemas.openxmlformats.org/officeDocument/2006/relationships/header" Target="header3.xml"/><Relationship Id="rId24" Type="http://schemas.openxmlformats.org/officeDocument/2006/relationships/hyperlink" Target="https://doi.org/10.30880/jtet.2019.11.04.005" TargetMode="External"/><Relationship Id="rId32" Type="http://schemas.openxmlformats.org/officeDocument/2006/relationships/hyperlink" Target="https://doi.org/10.5539/ijel.v10n2p128" TargetMode="External"/><Relationship Id="rId37" Type="http://schemas.openxmlformats.org/officeDocument/2006/relationships/hyperlink" Target="https://doi.org/10.1109/ProComm.2019.00041" TargetMode="External"/><Relationship Id="rId40" Type="http://schemas.openxmlformats.org/officeDocument/2006/relationships/hyperlink" Target="https://doi.org/10.1007/bf02961473" TargetMode="External"/><Relationship Id="rId45" Type="http://schemas.openxmlformats.org/officeDocument/2006/relationships/hyperlink" Target="https://doi.org/10.1080/10572252.2023.2194345" TargetMode="External"/><Relationship Id="rId5" Type="http://schemas.openxmlformats.org/officeDocument/2006/relationships/settings" Target="settings.xml"/><Relationship Id="rId15" Type="http://schemas.openxmlformats.org/officeDocument/2006/relationships/hyperlink" Target="https://doi.org/10.1086/712997" TargetMode="External"/><Relationship Id="rId23" Type="http://schemas.openxmlformats.org/officeDocument/2006/relationships/hyperlink" Target="https://doi.org/10.1080/10572252.2017.1339531" TargetMode="External"/><Relationship Id="rId28" Type="http://schemas.openxmlformats.org/officeDocument/2006/relationships/hyperlink" Target="https://doi.org/10.31893/multirev.2025117" TargetMode="External"/><Relationship Id="rId36" Type="http://schemas.openxmlformats.org/officeDocument/2006/relationships/hyperlink" Target="https://doi.org/10.1109/TPC.2024.3411888" TargetMode="External"/><Relationship Id="rId49" Type="http://schemas.openxmlformats.org/officeDocument/2006/relationships/header" Target="header6.xml"/><Relationship Id="rId10" Type="http://schemas.openxmlformats.org/officeDocument/2006/relationships/header" Target="header2.xml"/><Relationship Id="rId19" Type="http://schemas.openxmlformats.org/officeDocument/2006/relationships/hyperlink" Target="https://doi.org/10.1177/1050651919892306" TargetMode="External"/><Relationship Id="rId31" Type="http://schemas.openxmlformats.org/officeDocument/2006/relationships/hyperlink" Target="https://doi.org/10.1177/10506519231217998" TargetMode="External"/><Relationship Id="rId44" Type="http://schemas.openxmlformats.org/officeDocument/2006/relationships/hyperlink" Target="https://doi.org/10.1109/ProComm53155.2022.0002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doi.org/10.1080/10572252.2015.1078847" TargetMode="External"/><Relationship Id="rId22" Type="http://schemas.openxmlformats.org/officeDocument/2006/relationships/hyperlink" Target="https://doi.org/10.1109/TPC.2023.3314255" TargetMode="External"/><Relationship Id="rId27" Type="http://schemas.openxmlformats.org/officeDocument/2006/relationships/hyperlink" Target="https://doi.org/10.1177/10506519221143111" TargetMode="External"/><Relationship Id="rId30" Type="http://schemas.openxmlformats.org/officeDocument/2006/relationships/hyperlink" Target="https://doi.org/10.30880/jtet.2022.14.01.011" TargetMode="External"/><Relationship Id="rId35" Type="http://schemas.openxmlformats.org/officeDocument/2006/relationships/hyperlink" Target="https://doi.org/10.1109/ICTKE58576.2023.10401413" TargetMode="External"/><Relationship Id="rId43" Type="http://schemas.openxmlformats.org/officeDocument/2006/relationships/hyperlink" Target="https://doi.org/10.1109/ProComm61427.2024.00042" TargetMode="External"/><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doi.org/10.2139/ssrn.3472192" TargetMode="External"/><Relationship Id="rId17" Type="http://schemas.openxmlformats.org/officeDocument/2006/relationships/hyperlink" Target="https://doi.org/10.1080/10572252.2020.1774662" TargetMode="External"/><Relationship Id="rId25" Type="http://schemas.openxmlformats.org/officeDocument/2006/relationships/hyperlink" Target="https://doi.org/10.1109/ProComm53155.2022.00052" TargetMode="External"/><Relationship Id="rId33" Type="http://schemas.openxmlformats.org/officeDocument/2006/relationships/hyperlink" Target="https://doi.org/10.1109/TPC.2024.3477012" TargetMode="External"/><Relationship Id="rId38" Type="http://schemas.openxmlformats.org/officeDocument/2006/relationships/hyperlink" Target="https://doi.org/10.1109/TPC.2024.3418168" TargetMode="External"/><Relationship Id="rId46" Type="http://schemas.openxmlformats.org/officeDocument/2006/relationships/header" Target="header4.xml"/><Relationship Id="rId20" Type="http://schemas.openxmlformats.org/officeDocument/2006/relationships/hyperlink" Target="https://doi.org/10.3102/00346543074001059" TargetMode="External"/><Relationship Id="rId41" Type="http://schemas.openxmlformats.org/officeDocument/2006/relationships/hyperlink" Target="https://doi.org/10.1002/j.2168-9830.2001.tb00660.x"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0"/>
    <customShpInfo spid="_x0000_s2049"/>
    <customShpInfo spid="_x0000_s2054"/>
    <customShpInfo spid="_x0000_s2053"/>
    <customShpInfo spid="_x0000_s2052"/>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551517-00C5-47E5-A39F-3BD8DB655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40</TotalTime>
  <Pages>11</Pages>
  <Words>16624</Words>
  <Characters>94758</Characters>
  <Application>Microsoft Office Word</Application>
  <DocSecurity>0</DocSecurity>
  <Lines>789</Lines>
  <Paragraphs>222</Paragraphs>
  <ScaleCrop>false</ScaleCrop>
  <Company>aaaa</Company>
  <LinksUpToDate>false</LinksUpToDate>
  <CharactersWithSpaces>111160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liuwiki</cp:lastModifiedBy>
  <cp:revision>6</cp:revision>
  <cp:lastPrinted>1999-07-06T11:00:00Z</cp:lastPrinted>
  <dcterms:created xsi:type="dcterms:W3CDTF">2025-12-20T01:28:00Z</dcterms:created>
  <dcterms:modified xsi:type="dcterms:W3CDTF">2025-12-20T02:13:00Z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eyJoZGlkIjoiN2UwMzMyN2NiMjk2OGYzZDIxNzJjNDA3NGEzMjZiNGQiLCJ1c2VySWQiOiIzNzc0NDQ5MTkifQ==</vt:lpwstr>
  </property>
  <property fmtid="{D5CDD505-2E9C-101B-9397-08002B2CF9AE}" pid="3" name="KSOProductBuildVer">
    <vt:lpwstr>2052-12.1.0.23542</vt:lpwstr>
  </property>
  <property fmtid="{D5CDD505-2E9C-101B-9397-08002B2CF9AE}" pid="4" name="ICV">
    <vt:lpwstr>7207CB3EA61A4D8CBB5C3FDDF1BA253F_13</vt:lpwstr>
  </property>
  <property fmtid="{D5CDD505-2E9C-101B-9397-08002B2CF9AE}" pid="5" name="_DocHome">
    <vt:i4>374880157</vt:i4>
  </property>
</Properties>
</file>