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C8B5" w14:textId="77777777" w:rsidR="000165E6" w:rsidRDefault="000165E6" w:rsidP="00746C6C">
      <w:pPr>
        <w:spacing w:after="0" w:line="480" w:lineRule="auto"/>
        <w:jc w:val="both"/>
        <w:rPr>
          <w:rFonts w:ascii="Times New Roman" w:hAnsi="Times New Roman" w:cs="Times New Roman"/>
          <w:b/>
          <w:sz w:val="24"/>
          <w:szCs w:val="24"/>
        </w:rPr>
      </w:pPr>
      <w:r w:rsidRPr="000165E6">
        <w:rPr>
          <w:rFonts w:ascii="Times New Roman" w:hAnsi="Times New Roman" w:cs="Times New Roman"/>
          <w:b/>
          <w:sz w:val="24"/>
          <w:szCs w:val="24"/>
        </w:rPr>
        <w:t>Original Research Article</w:t>
      </w:r>
    </w:p>
    <w:p w14:paraId="157695E8" w14:textId="77777777" w:rsidR="001C01C3" w:rsidRDefault="00B42094" w:rsidP="00746C6C">
      <w:pPr>
        <w:spacing w:after="0" w:line="480" w:lineRule="auto"/>
        <w:jc w:val="both"/>
        <w:rPr>
          <w:rFonts w:ascii="Times New Roman" w:hAnsi="Times New Roman" w:cs="Times New Roman"/>
          <w:bCs/>
          <w:sz w:val="24"/>
          <w:szCs w:val="24"/>
        </w:rPr>
      </w:pPr>
      <w:r w:rsidRPr="00B42094">
        <w:rPr>
          <w:rFonts w:ascii="Times New Roman" w:hAnsi="Times New Roman" w:cs="Times New Roman"/>
          <w:b/>
          <w:sz w:val="24"/>
          <w:szCs w:val="24"/>
          <w:highlight w:val="yellow"/>
        </w:rPr>
        <w:t xml:space="preserve">Molecular Characterization of Hydrocarbon-Degrading Bacteria in Oil-Contaminated Soils from Mechanic Workshops in </w:t>
      </w:r>
      <w:proofErr w:type="spellStart"/>
      <w:r w:rsidRPr="00B42094">
        <w:rPr>
          <w:rFonts w:ascii="Times New Roman" w:hAnsi="Times New Roman" w:cs="Times New Roman"/>
          <w:b/>
          <w:sz w:val="24"/>
          <w:szCs w:val="24"/>
          <w:highlight w:val="yellow"/>
        </w:rPr>
        <w:t>Abakaliki</w:t>
      </w:r>
      <w:proofErr w:type="spellEnd"/>
      <w:r w:rsidRPr="00B42094">
        <w:rPr>
          <w:rFonts w:ascii="Times New Roman" w:hAnsi="Times New Roman" w:cs="Times New Roman"/>
          <w:b/>
          <w:sz w:val="24"/>
          <w:szCs w:val="24"/>
          <w:highlight w:val="yellow"/>
        </w:rPr>
        <w:t xml:space="preserve"> Metropolis, Southeastern Nigeria</w:t>
      </w:r>
    </w:p>
    <w:p w14:paraId="0161AA12" w14:textId="77777777" w:rsidR="00B84802" w:rsidRPr="00790FCF" w:rsidRDefault="00B84802" w:rsidP="00746C6C">
      <w:pPr>
        <w:spacing w:after="0" w:line="480" w:lineRule="auto"/>
        <w:jc w:val="both"/>
        <w:rPr>
          <w:rFonts w:ascii="Times New Roman" w:hAnsi="Times New Roman" w:cs="Times New Roman"/>
          <w:bCs/>
          <w:sz w:val="24"/>
          <w:szCs w:val="24"/>
        </w:rPr>
      </w:pPr>
    </w:p>
    <w:p w14:paraId="1AC61E47" w14:textId="77777777"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ABSTRACT</w:t>
      </w:r>
    </w:p>
    <w:p w14:paraId="3D8443F0" w14:textId="77777777" w:rsidR="00B330C9" w:rsidRDefault="00B330C9" w:rsidP="00746C6C">
      <w:pPr>
        <w:spacing w:after="0" w:line="480" w:lineRule="auto"/>
        <w:jc w:val="both"/>
        <w:rPr>
          <w:rFonts w:ascii="Times New Roman" w:hAnsi="Times New Roman" w:cs="Times New Roman"/>
          <w:sz w:val="24"/>
          <w:szCs w:val="24"/>
        </w:rPr>
      </w:pPr>
      <w:r w:rsidRPr="00B330C9">
        <w:rPr>
          <w:rFonts w:ascii="Times New Roman" w:hAnsi="Times New Roman" w:cs="Times New Roman"/>
          <w:sz w:val="24"/>
          <w:szCs w:val="24"/>
          <w:highlight w:val="yellow"/>
        </w:rPr>
        <w:t xml:space="preserve">Engine oil is a hazardous pollutant that contaminates soil, water, and ecosystems. This study isolated and characterized hydrocarbon-degrading bacteria from engine oil-contaminated soils in </w:t>
      </w:r>
      <w:r w:rsidR="00344AD5">
        <w:rPr>
          <w:rFonts w:ascii="Times New Roman" w:hAnsi="Times New Roman" w:cs="Times New Roman"/>
          <w:sz w:val="24"/>
          <w:szCs w:val="24"/>
          <w:highlight w:val="yellow"/>
        </w:rPr>
        <w:t xml:space="preserve">three (3) </w:t>
      </w:r>
      <w:r w:rsidRPr="00B330C9">
        <w:rPr>
          <w:rFonts w:ascii="Times New Roman" w:hAnsi="Times New Roman" w:cs="Times New Roman"/>
          <w:sz w:val="24"/>
          <w:szCs w:val="24"/>
          <w:highlight w:val="yellow"/>
        </w:rPr>
        <w:t xml:space="preserve">mechanic workshops in </w:t>
      </w:r>
      <w:proofErr w:type="spellStart"/>
      <w:r w:rsidRPr="00B330C9">
        <w:rPr>
          <w:rFonts w:ascii="Times New Roman" w:hAnsi="Times New Roman" w:cs="Times New Roman"/>
          <w:sz w:val="24"/>
          <w:szCs w:val="24"/>
          <w:highlight w:val="yellow"/>
        </w:rPr>
        <w:t>Abakaliki</w:t>
      </w:r>
      <w:proofErr w:type="spellEnd"/>
      <w:r w:rsidRPr="00B330C9">
        <w:rPr>
          <w:rFonts w:ascii="Times New Roman" w:hAnsi="Times New Roman" w:cs="Times New Roman"/>
          <w:sz w:val="24"/>
          <w:szCs w:val="24"/>
          <w:highlight w:val="yellow"/>
        </w:rPr>
        <w:t>, Ebonyi State, Nigeria. The bacterial populations were enumerated</w:t>
      </w:r>
      <w:r w:rsidR="00C818AC">
        <w:rPr>
          <w:rFonts w:ascii="Times New Roman" w:hAnsi="Times New Roman" w:cs="Times New Roman"/>
          <w:sz w:val="24"/>
          <w:szCs w:val="24"/>
          <w:highlight w:val="yellow"/>
        </w:rPr>
        <w:t>,</w:t>
      </w:r>
      <w:r w:rsidRPr="00B330C9">
        <w:rPr>
          <w:rFonts w:ascii="Times New Roman" w:hAnsi="Times New Roman" w:cs="Times New Roman"/>
          <w:sz w:val="24"/>
          <w:szCs w:val="24"/>
          <w:highlight w:val="yellow"/>
        </w:rPr>
        <w:t xml:space="preserve"> </w:t>
      </w:r>
      <w:r w:rsidRPr="00C818AC">
        <w:rPr>
          <w:rFonts w:ascii="Times New Roman" w:hAnsi="Times New Roman" w:cs="Times New Roman"/>
          <w:sz w:val="24"/>
          <w:szCs w:val="24"/>
          <w:highlight w:val="yellow"/>
        </w:rPr>
        <w:t xml:space="preserve">and their degradation capacity was assessed using 2,6-dichlorophenol indophenol (DCPIP). Sample </w:t>
      </w:r>
      <w:r w:rsidRPr="00B330C9">
        <w:rPr>
          <w:rFonts w:ascii="Times New Roman" w:hAnsi="Times New Roman" w:cs="Times New Roman"/>
          <w:sz w:val="24"/>
          <w:szCs w:val="24"/>
          <w:highlight w:val="yellow"/>
        </w:rPr>
        <w:t xml:space="preserve">S2b had the lowest bacterial count (2.04 × 105 CFU/g; 0.89% of total isolates), while sample S2a had the largest bacterial population (1.01 × 107 CFU/g; 44% of total isolates). </w:t>
      </w:r>
      <w:r w:rsidR="00C818AC" w:rsidRPr="00C818AC">
        <w:rPr>
          <w:rFonts w:ascii="Times New Roman" w:hAnsi="Times New Roman" w:cs="Times New Roman"/>
          <w:sz w:val="24"/>
          <w:szCs w:val="24"/>
          <w:highlight w:val="yellow"/>
        </w:rPr>
        <w:t xml:space="preserve">The bacterial counts obtained from the soil samples reflect the abundance of hydrocarbon-degrading microorganisms naturally present in the oil-contaminated environment. </w:t>
      </w:r>
      <w:r w:rsidRPr="00B330C9">
        <w:rPr>
          <w:rFonts w:ascii="Times New Roman" w:hAnsi="Times New Roman" w:cs="Times New Roman"/>
          <w:sz w:val="24"/>
          <w:szCs w:val="24"/>
          <w:highlight w:val="yellow"/>
        </w:rPr>
        <w:t xml:space="preserve">The isolates, including </w:t>
      </w:r>
      <w:r w:rsidRPr="00C818AC">
        <w:rPr>
          <w:rFonts w:ascii="Times New Roman" w:hAnsi="Times New Roman" w:cs="Times New Roman"/>
          <w:i/>
          <w:iCs/>
          <w:sz w:val="24"/>
          <w:szCs w:val="24"/>
          <w:highlight w:val="yellow"/>
        </w:rPr>
        <w:t xml:space="preserve">Pseudomonas putida, Pseudomonas aeruginosa, Stenotrophomonas maltophilia, </w:t>
      </w:r>
      <w:r w:rsidRPr="00C818AC">
        <w:rPr>
          <w:rFonts w:ascii="Times New Roman" w:hAnsi="Times New Roman" w:cs="Times New Roman"/>
          <w:sz w:val="24"/>
          <w:szCs w:val="24"/>
          <w:highlight w:val="yellow"/>
        </w:rPr>
        <w:t>and</w:t>
      </w:r>
      <w:r w:rsidRPr="00C818AC">
        <w:rPr>
          <w:rFonts w:ascii="Times New Roman" w:hAnsi="Times New Roman" w:cs="Times New Roman"/>
          <w:i/>
          <w:iCs/>
          <w:sz w:val="24"/>
          <w:szCs w:val="24"/>
          <w:highlight w:val="yellow"/>
        </w:rPr>
        <w:t xml:space="preserve"> Proteus mirabilis</w:t>
      </w:r>
      <w:r w:rsidRPr="00B330C9">
        <w:rPr>
          <w:rFonts w:ascii="Times New Roman" w:hAnsi="Times New Roman" w:cs="Times New Roman"/>
          <w:sz w:val="24"/>
          <w:szCs w:val="24"/>
          <w:highlight w:val="yellow"/>
        </w:rPr>
        <w:t>, demonstrated hydrocarbon degradation potential and were identified based on their Gram reactions and molecular characteristics using 16S rRNA. The results suggest that these native bacterial isolates can be used for bioremediation of oil-contaminated environments, providing a promising approach for pollution control and soil restoration in the region.</w:t>
      </w:r>
    </w:p>
    <w:p w14:paraId="162F31BC" w14:textId="77777777" w:rsidR="00B330C9" w:rsidRDefault="00B330C9" w:rsidP="00746C6C">
      <w:pPr>
        <w:spacing w:after="0" w:line="480" w:lineRule="auto"/>
        <w:jc w:val="both"/>
        <w:rPr>
          <w:rFonts w:ascii="Times New Roman" w:hAnsi="Times New Roman" w:cs="Times New Roman"/>
          <w:sz w:val="24"/>
          <w:szCs w:val="24"/>
        </w:rPr>
      </w:pPr>
    </w:p>
    <w:p w14:paraId="2B93A582" w14:textId="77777777"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b/>
          <w:bCs/>
          <w:sz w:val="24"/>
          <w:szCs w:val="24"/>
        </w:rPr>
        <w:t xml:space="preserve">Keywords: </w:t>
      </w:r>
      <w:r w:rsidRPr="00790FCF">
        <w:rPr>
          <w:rFonts w:ascii="Times New Roman" w:hAnsi="Times New Roman" w:cs="Times New Roman"/>
          <w:sz w:val="24"/>
          <w:szCs w:val="24"/>
        </w:rPr>
        <w:t>Hydrocarbon-degrading bacteria; Mechanic workshops; Oil-contaminated soils; 16S rRNA sequencing; Bioremediation</w:t>
      </w:r>
    </w:p>
    <w:p w14:paraId="5A412625" w14:textId="77777777" w:rsidR="001C01C3" w:rsidRPr="00790FCF" w:rsidRDefault="001C01C3" w:rsidP="00746C6C">
      <w:pPr>
        <w:spacing w:after="0" w:line="480" w:lineRule="auto"/>
        <w:jc w:val="both"/>
        <w:rPr>
          <w:rFonts w:ascii="Times New Roman" w:hAnsi="Times New Roman" w:cs="Times New Roman"/>
          <w:sz w:val="24"/>
          <w:szCs w:val="24"/>
        </w:rPr>
      </w:pPr>
    </w:p>
    <w:p w14:paraId="106142F2" w14:textId="77777777"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INTRODUCTION</w:t>
      </w:r>
    </w:p>
    <w:p w14:paraId="7E51E7CC" w14:textId="77777777"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lastRenderedPageBreak/>
        <w:t xml:space="preserve">Pollution from engine oil poses a critical environmental problem, especially in urban areas with high levels of automotive activity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1</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There is global concern about the release of hydrocarbons into the environment from both industrial operations and accidental oil spills. The use of petroleum (primarily a complex hydrocarbon mixture) and petroleum-based polymers has increased significantly in recent years, thereby increasing the risk of pollution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Used engine oil is a common, hazardous contaminant that gets into the environment as a result of human activity. Large amounts are discharged into ecosystems, particularly when motor mechanics and small-scale oil vendors replace and discard motor oil recklessly, frequently pouring spent oil straight onto the ground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They are also introduced into the environment during engine use, primarily through exhaust emissions and leaks from faulty engines of cars, bikes, generators, etc.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4</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Hence, these practices contribute greatly to soil and water pollution, threatening both environmental quality and public health. They also adversely damage numerous plant and animal species and pose a considerable risk to the health of humans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5</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w:t>
      </w:r>
    </w:p>
    <w:p w14:paraId="27366B8E" w14:textId="77777777"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The manner in which spent engine oil is disposed of is not properly monitored, resulting in a significant increase in soil pollution, especially in a mechanic workshop where major repairs are carried out. Used motor oil is frequently dumped onto the surrounding soil in </w:t>
      </w:r>
      <w:proofErr w:type="spellStart"/>
      <w:r w:rsidRPr="00790FCF">
        <w:rPr>
          <w:rFonts w:ascii="Times New Roman" w:hAnsi="Times New Roman" w:cs="Times New Roman"/>
          <w:sz w:val="24"/>
          <w:szCs w:val="24"/>
        </w:rPr>
        <w:t>Abakaliki</w:t>
      </w:r>
      <w:proofErr w:type="spellEnd"/>
      <w:r w:rsidRPr="00790FCF">
        <w:rPr>
          <w:rFonts w:ascii="Times New Roman" w:hAnsi="Times New Roman" w:cs="Times New Roman"/>
          <w:sz w:val="24"/>
          <w:szCs w:val="24"/>
        </w:rPr>
        <w:t xml:space="preserve">, Ebonyi State, which is home to numerous mechanic workshops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Over time, this activity has led to the accumulation of hydrocarbons, which has significantly increased the surrounding ecosystem's pollution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6</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Engine oil contains alkanes, aromatic hydrocarbons, cycloalkanes, and other additional compounds that are permanent, poisonous, and sometimes carcinogenic, all of which pose long-term risks to human health and the environment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7</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When these accumulated pollutants enter the soil, they can contaminate underground water, causing detrimental effects on drinking water supplies and agricultural products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8</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Traditional methods of cleaning (physical removal and chemical treatments) are often inadequate, costly, </w:t>
      </w:r>
      <w:r w:rsidRPr="00790FCF">
        <w:rPr>
          <w:rFonts w:ascii="Times New Roman" w:hAnsi="Times New Roman" w:cs="Times New Roman"/>
          <w:sz w:val="24"/>
          <w:szCs w:val="24"/>
        </w:rPr>
        <w:lastRenderedPageBreak/>
        <w:t xml:space="preserve">and may introduce additional pollutants harmful to the environment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9</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Then again, bioremediation offers a promising future by harnessing microbes' natural metabolic abilities to break down hydrocarbons into less harmful products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10,11</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Complex hydrocarbons have been demonstrated to be broken down by bacteria such as </w:t>
      </w:r>
      <w:r w:rsidRPr="00790FCF">
        <w:rPr>
          <w:rFonts w:ascii="Times New Roman" w:hAnsi="Times New Roman" w:cs="Times New Roman"/>
          <w:i/>
          <w:iCs/>
          <w:sz w:val="24"/>
          <w:szCs w:val="24"/>
        </w:rPr>
        <w:t xml:space="preserve">Acinetobacter spp., </w:t>
      </w:r>
      <w:proofErr w:type="spellStart"/>
      <w:r w:rsidRPr="00790FCF">
        <w:rPr>
          <w:rFonts w:ascii="Times New Roman" w:hAnsi="Times New Roman" w:cs="Times New Roman"/>
          <w:i/>
          <w:iCs/>
          <w:sz w:val="24"/>
          <w:szCs w:val="24"/>
        </w:rPr>
        <w:t>Rhodococcus</w:t>
      </w:r>
      <w:proofErr w:type="spellEnd"/>
      <w:r w:rsidRPr="00790FCF">
        <w:rPr>
          <w:rFonts w:ascii="Times New Roman" w:hAnsi="Times New Roman" w:cs="Times New Roman"/>
          <w:i/>
          <w:iCs/>
          <w:sz w:val="24"/>
          <w:szCs w:val="24"/>
        </w:rPr>
        <w:t xml:space="preserve"> spp., </w:t>
      </w:r>
      <w:r w:rsidRPr="00790FCF">
        <w:rPr>
          <w:rFonts w:ascii="Times New Roman" w:hAnsi="Times New Roman" w:cs="Times New Roman"/>
          <w:sz w:val="24"/>
          <w:szCs w:val="24"/>
        </w:rPr>
        <w:t>and</w:t>
      </w:r>
      <w:r w:rsidRPr="00790FCF">
        <w:rPr>
          <w:rFonts w:ascii="Times New Roman" w:hAnsi="Times New Roman" w:cs="Times New Roman"/>
          <w:i/>
          <w:iCs/>
          <w:sz w:val="24"/>
          <w:szCs w:val="24"/>
        </w:rPr>
        <w:t xml:space="preserve"> Pseudomonas spp.</w:t>
      </w:r>
      <w:r w:rsidRPr="00790FCF">
        <w:rPr>
          <w:rFonts w:ascii="Times New Roman" w:hAnsi="Times New Roman" w:cs="Times New Roman"/>
          <w:sz w:val="24"/>
          <w:szCs w:val="24"/>
        </w:rPr>
        <w:t xml:space="preserve"> into simpler molecules that can then be broken down into carbon dioxide and water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12,13</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Studies have identified biosurfactant- and hydrocarbon-degrading microorganisms in other regions; however, little research on their identification and characterization in </w:t>
      </w:r>
      <w:proofErr w:type="spellStart"/>
      <w:r w:rsidRPr="00790FCF">
        <w:rPr>
          <w:rFonts w:ascii="Times New Roman" w:hAnsi="Times New Roman" w:cs="Times New Roman"/>
          <w:sz w:val="24"/>
          <w:szCs w:val="24"/>
        </w:rPr>
        <w:t>Abakaliki</w:t>
      </w:r>
      <w:proofErr w:type="spellEnd"/>
      <w:r w:rsidRPr="00790FCF">
        <w:rPr>
          <w:rFonts w:ascii="Times New Roman" w:hAnsi="Times New Roman" w:cs="Times New Roman"/>
          <w:sz w:val="24"/>
          <w:szCs w:val="24"/>
        </w:rPr>
        <w:t xml:space="preserve"> mechanic workshops has been conducted. Therefore, this study aims to identify indigenous hydrocarbon-degrading bacteria in oil-contaminated soils with bioremediation potentials in </w:t>
      </w:r>
      <w:proofErr w:type="spellStart"/>
      <w:r w:rsidRPr="00790FCF">
        <w:rPr>
          <w:rFonts w:ascii="Times New Roman" w:hAnsi="Times New Roman" w:cs="Times New Roman"/>
          <w:sz w:val="24"/>
          <w:szCs w:val="24"/>
        </w:rPr>
        <w:t>Abakaliki</w:t>
      </w:r>
      <w:proofErr w:type="spellEnd"/>
      <w:r w:rsidRPr="00790FCF">
        <w:rPr>
          <w:rFonts w:ascii="Times New Roman" w:hAnsi="Times New Roman" w:cs="Times New Roman"/>
          <w:sz w:val="24"/>
          <w:szCs w:val="24"/>
        </w:rPr>
        <w:t xml:space="preserve">, Ebonyi State.  </w:t>
      </w:r>
    </w:p>
    <w:p w14:paraId="6DC8F688" w14:textId="77777777" w:rsidR="001C01C3" w:rsidRPr="00790FCF" w:rsidRDefault="001C01C3" w:rsidP="00746C6C">
      <w:pPr>
        <w:spacing w:after="0" w:line="480" w:lineRule="auto"/>
        <w:jc w:val="both"/>
        <w:rPr>
          <w:rFonts w:ascii="Times New Roman" w:hAnsi="Times New Roman" w:cs="Times New Roman"/>
          <w:sz w:val="24"/>
          <w:szCs w:val="24"/>
        </w:rPr>
      </w:pPr>
    </w:p>
    <w:p w14:paraId="51A6B857" w14:textId="77777777"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MATERIALS AND METHODS</w:t>
      </w:r>
    </w:p>
    <w:p w14:paraId="03FAC20B" w14:textId="77777777" w:rsidR="001C01C3" w:rsidRPr="00790FCF" w:rsidRDefault="001C01C3" w:rsidP="00746C6C">
      <w:pPr>
        <w:pStyle w:val="NormalWeb"/>
        <w:spacing w:before="0" w:beforeAutospacing="0" w:after="0" w:afterAutospacing="0" w:line="480" w:lineRule="auto"/>
        <w:jc w:val="both"/>
        <w:rPr>
          <w:rFonts w:eastAsiaTheme="minorHAnsi"/>
          <w:b/>
        </w:rPr>
      </w:pPr>
      <w:r w:rsidRPr="00790FCF">
        <w:rPr>
          <w:rFonts w:eastAsiaTheme="minorHAnsi"/>
          <w:b/>
        </w:rPr>
        <w:t xml:space="preserve">A detailed description of the study area and sample collection </w:t>
      </w:r>
    </w:p>
    <w:p w14:paraId="45F2CAB5" w14:textId="77777777" w:rsidR="001C01C3" w:rsidRPr="00790FCF" w:rsidRDefault="001C01C3" w:rsidP="00746C6C">
      <w:pPr>
        <w:pStyle w:val="NormalWeb"/>
        <w:spacing w:before="0" w:beforeAutospacing="0" w:after="0" w:afterAutospacing="0" w:line="480" w:lineRule="auto"/>
        <w:jc w:val="both"/>
        <w:rPr>
          <w:rFonts w:eastAsiaTheme="minorHAnsi"/>
          <w:bCs/>
        </w:rPr>
      </w:pPr>
      <w:r w:rsidRPr="00790FCF">
        <w:rPr>
          <w:rFonts w:eastAsiaTheme="minorHAnsi"/>
          <w:bCs/>
        </w:rPr>
        <w:t xml:space="preserve">Three mechanic workshops at Gunning Road, Abba </w:t>
      </w:r>
      <w:proofErr w:type="spellStart"/>
      <w:r w:rsidRPr="00790FCF">
        <w:rPr>
          <w:rFonts w:eastAsiaTheme="minorHAnsi"/>
          <w:bCs/>
        </w:rPr>
        <w:t>Omege</w:t>
      </w:r>
      <w:proofErr w:type="spellEnd"/>
      <w:r w:rsidRPr="00790FCF">
        <w:rPr>
          <w:rFonts w:eastAsiaTheme="minorHAnsi"/>
          <w:bCs/>
        </w:rPr>
        <w:t xml:space="preserve">-Ofe </w:t>
      </w:r>
      <w:proofErr w:type="spellStart"/>
      <w:r w:rsidRPr="00790FCF">
        <w:rPr>
          <w:rFonts w:eastAsiaTheme="minorHAnsi"/>
          <w:bCs/>
        </w:rPr>
        <w:t>Iyiokwu</w:t>
      </w:r>
      <w:proofErr w:type="spellEnd"/>
      <w:r w:rsidRPr="00790FCF">
        <w:rPr>
          <w:rFonts w:eastAsiaTheme="minorHAnsi"/>
          <w:bCs/>
        </w:rPr>
        <w:t xml:space="preserve"> Road, and Chukwu Road in </w:t>
      </w:r>
      <w:proofErr w:type="spellStart"/>
      <w:r w:rsidRPr="00790FCF">
        <w:rPr>
          <w:rFonts w:eastAsiaTheme="minorHAnsi"/>
          <w:bCs/>
        </w:rPr>
        <w:t>Azuiyi</w:t>
      </w:r>
      <w:proofErr w:type="spellEnd"/>
      <w:r w:rsidRPr="00790FCF">
        <w:rPr>
          <w:rFonts w:eastAsiaTheme="minorHAnsi"/>
          <w:bCs/>
        </w:rPr>
        <w:t xml:space="preserve"> </w:t>
      </w:r>
      <w:proofErr w:type="spellStart"/>
      <w:r w:rsidRPr="00790FCF">
        <w:rPr>
          <w:rFonts w:eastAsiaTheme="minorHAnsi"/>
          <w:bCs/>
        </w:rPr>
        <w:t>Udene</w:t>
      </w:r>
      <w:proofErr w:type="spellEnd"/>
      <w:r w:rsidRPr="00790FCF">
        <w:rPr>
          <w:rFonts w:eastAsiaTheme="minorHAnsi"/>
          <w:bCs/>
        </w:rPr>
        <w:t xml:space="preserve">, </w:t>
      </w:r>
      <w:proofErr w:type="spellStart"/>
      <w:r w:rsidRPr="00790FCF">
        <w:rPr>
          <w:rFonts w:eastAsiaTheme="minorHAnsi"/>
          <w:bCs/>
        </w:rPr>
        <w:t>Abakaliki</w:t>
      </w:r>
      <w:proofErr w:type="spellEnd"/>
      <w:r w:rsidRPr="00790FCF">
        <w:rPr>
          <w:rFonts w:eastAsiaTheme="minorHAnsi"/>
          <w:bCs/>
        </w:rPr>
        <w:t xml:space="preserve">, Ebonyi State, Nigeria, roughly 6.3171° N latitude and 8.1173° E longitude in the country's southeast, were used for the study. The area experiences a warm, humid climate that enhances microbial activity and makes it suitable for investigating hydrocarbon-degrading bacteria, especially given the high level of automotive repair activity, which contributes to significant hydrocarbon pollution from improper disposal of used engine oil, lubricants, and other petroleum products. Using a clean auger, two soil samples were taken from each workshop, for a total of six samples collected at depths of 10-14 cm. The soil samples were carefully collected and placed in sterile, resealable plastic bags in accordance with the procedure described by </w:t>
      </w:r>
      <w:proofErr w:type="spellStart"/>
      <w:r w:rsidRPr="00790FCF">
        <w:rPr>
          <w:rFonts w:eastAsiaTheme="minorHAnsi"/>
          <w:bCs/>
        </w:rPr>
        <w:t>Ebakota</w:t>
      </w:r>
      <w:proofErr w:type="spellEnd"/>
      <w:r w:rsidRPr="00790FCF">
        <w:rPr>
          <w:rFonts w:eastAsiaTheme="minorHAnsi"/>
          <w:bCs/>
        </w:rPr>
        <w:t xml:space="preserve"> et al. </w:t>
      </w:r>
      <w:r w:rsidR="00746C6C" w:rsidRPr="00790FCF">
        <w:rPr>
          <w:rFonts w:eastAsiaTheme="minorHAnsi"/>
          <w:bCs/>
        </w:rPr>
        <w:t>[</w:t>
      </w:r>
      <w:r w:rsidRPr="00790FCF">
        <w:rPr>
          <w:rFonts w:eastAsiaTheme="minorHAnsi"/>
          <w:bCs/>
        </w:rPr>
        <w:t>14</w:t>
      </w:r>
      <w:r w:rsidR="00746C6C" w:rsidRPr="00790FCF">
        <w:rPr>
          <w:rFonts w:eastAsiaTheme="minorHAnsi"/>
          <w:bCs/>
        </w:rPr>
        <w:t>]</w:t>
      </w:r>
      <w:r w:rsidRPr="00790FCF">
        <w:rPr>
          <w:rFonts w:eastAsiaTheme="minorHAnsi"/>
          <w:bCs/>
        </w:rPr>
        <w:t xml:space="preserve">. The crude oil used in the study was supplied by an approved filling station in </w:t>
      </w:r>
      <w:proofErr w:type="spellStart"/>
      <w:r w:rsidRPr="00790FCF">
        <w:rPr>
          <w:rFonts w:eastAsiaTheme="minorHAnsi"/>
          <w:bCs/>
        </w:rPr>
        <w:t>Abakaliki</w:t>
      </w:r>
      <w:proofErr w:type="spellEnd"/>
      <w:r w:rsidR="004C26D5">
        <w:rPr>
          <w:rFonts w:eastAsiaTheme="minorHAnsi"/>
          <w:bCs/>
        </w:rPr>
        <w:t xml:space="preserve">. </w:t>
      </w:r>
      <w:r w:rsidRPr="00790FCF">
        <w:rPr>
          <w:rFonts w:eastAsiaTheme="minorHAnsi"/>
          <w:bCs/>
        </w:rPr>
        <w:t>The materials were promptly transferred to the Microbiology Laboratory for additional analysis after being appropriately labeled.</w:t>
      </w:r>
    </w:p>
    <w:p w14:paraId="0E5749C3" w14:textId="77777777" w:rsidR="001C01C3" w:rsidRPr="00790FCF" w:rsidRDefault="001C01C3" w:rsidP="00746C6C">
      <w:pPr>
        <w:pStyle w:val="NormalWeb"/>
        <w:spacing w:before="0" w:beforeAutospacing="0" w:after="0" w:afterAutospacing="0" w:line="480" w:lineRule="auto"/>
        <w:jc w:val="both"/>
        <w:rPr>
          <w:bCs/>
        </w:rPr>
      </w:pPr>
    </w:p>
    <w:p w14:paraId="45B586AC" w14:textId="77777777"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Physicochemical Properties of the Soil Sample</w:t>
      </w:r>
    </w:p>
    <w:p w14:paraId="5FFC3D3D" w14:textId="77777777"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Cs/>
          <w:sz w:val="24"/>
          <w:szCs w:val="24"/>
        </w:rPr>
        <w:t xml:space="preserve">As soon as the soil samples were collected, their physicochemical characteristics were evaluated and meticulously documented using the Matthiesen </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15</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 xml:space="preserve"> approach. A thermometer (Model 210609-C) was used to measure soil sample temperature, and a digital pH meter (</w:t>
      </w:r>
      <w:proofErr w:type="spellStart"/>
      <w:r w:rsidRPr="00790FCF">
        <w:rPr>
          <w:rFonts w:ascii="Times New Roman" w:hAnsi="Times New Roman" w:cs="Times New Roman"/>
          <w:bCs/>
          <w:sz w:val="24"/>
          <w:szCs w:val="24"/>
        </w:rPr>
        <w:t>Jenway</w:t>
      </w:r>
      <w:proofErr w:type="spellEnd"/>
      <w:r w:rsidRPr="00790FCF">
        <w:rPr>
          <w:rFonts w:ascii="Times New Roman" w:hAnsi="Times New Roman" w:cs="Times New Roman"/>
          <w:bCs/>
          <w:sz w:val="24"/>
          <w:szCs w:val="24"/>
        </w:rPr>
        <w:t xml:space="preserve"> 3510) was used to assess </w:t>
      </w:r>
      <w:proofErr w:type="spellStart"/>
      <w:r w:rsidRPr="00790FCF">
        <w:rPr>
          <w:rFonts w:ascii="Times New Roman" w:hAnsi="Times New Roman" w:cs="Times New Roman"/>
          <w:bCs/>
          <w:sz w:val="24"/>
          <w:szCs w:val="24"/>
        </w:rPr>
        <w:t>pH.</w:t>
      </w:r>
      <w:proofErr w:type="spellEnd"/>
      <w:r w:rsidRPr="00790FCF">
        <w:rPr>
          <w:rFonts w:ascii="Times New Roman" w:hAnsi="Times New Roman" w:cs="Times New Roman"/>
          <w:bCs/>
          <w:sz w:val="24"/>
          <w:szCs w:val="24"/>
        </w:rPr>
        <w:t xml:space="preserve"> To assess the amount of soluble ionic components in the soil samples, electrical conductivity was measured using a calibrated digital conductivity meter (Hanna Instruments, HI 993310). </w:t>
      </w:r>
    </w:p>
    <w:p w14:paraId="6AC6354F" w14:textId="77777777" w:rsidR="001C01C3" w:rsidRPr="00790FCF" w:rsidRDefault="001C01C3" w:rsidP="00746C6C">
      <w:pPr>
        <w:spacing w:after="0" w:line="480" w:lineRule="auto"/>
        <w:jc w:val="both"/>
        <w:rPr>
          <w:rFonts w:ascii="Times New Roman" w:hAnsi="Times New Roman" w:cs="Times New Roman"/>
          <w:bCs/>
          <w:sz w:val="24"/>
          <w:szCs w:val="24"/>
        </w:rPr>
      </w:pPr>
    </w:p>
    <w:p w14:paraId="50F803F8" w14:textId="77777777" w:rsidR="001C01C3" w:rsidRPr="00790FCF" w:rsidRDefault="001C01C3" w:rsidP="00746C6C">
      <w:pPr>
        <w:spacing w:after="0" w:line="480" w:lineRule="auto"/>
        <w:jc w:val="both"/>
        <w:rPr>
          <w:rFonts w:ascii="Times New Roman" w:hAnsi="Times New Roman" w:cs="Times New Roman"/>
          <w:bCs/>
          <w:sz w:val="24"/>
          <w:szCs w:val="24"/>
        </w:rPr>
      </w:pPr>
    </w:p>
    <w:p w14:paraId="55BD2D10" w14:textId="77777777" w:rsidR="001C01C3" w:rsidRPr="00790FCF" w:rsidRDefault="001C01C3" w:rsidP="00746C6C">
      <w:pPr>
        <w:spacing w:after="0" w:line="480" w:lineRule="auto"/>
        <w:jc w:val="both"/>
        <w:rPr>
          <w:rFonts w:ascii="Times New Roman" w:hAnsi="Times New Roman" w:cs="Times New Roman"/>
          <w:b/>
          <w:bCs/>
          <w:sz w:val="24"/>
          <w:szCs w:val="24"/>
        </w:rPr>
      </w:pPr>
      <w:r w:rsidRPr="00790FCF">
        <w:rPr>
          <w:rFonts w:ascii="Times New Roman" w:hAnsi="Times New Roman" w:cs="Times New Roman"/>
          <w:b/>
          <w:bCs/>
          <w:sz w:val="24"/>
          <w:szCs w:val="24"/>
        </w:rPr>
        <w:t xml:space="preserve">Preparation of Bushnell-Haas agar </w:t>
      </w:r>
    </w:p>
    <w:p w14:paraId="5576B533" w14:textId="77777777"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The Bushnell-Haas agar, consisting of calcium chloride 0.02 g/l, dipotassium phosphate 0.1 g/l, ammonium nitrate 1.0 g/l, magnesium sulfate 0.2 g/l, ferric chloride 0.05 g/l, monopotassium phosphate 0.1 g/l/, agar 25 g, and amended with 1% crude oil, serving as the only carbon source, was prepared in 1000ml of distilled water and was sterilized using an autoclave (Hirayama HVE 50, Japan) at 15 psi (121 ºC) for 15 minutes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16</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It was aseptically poured into Petri dishes for soil sample inoculation.</w:t>
      </w:r>
    </w:p>
    <w:p w14:paraId="46123F11" w14:textId="77777777" w:rsidR="001C01C3" w:rsidRPr="00790FCF" w:rsidRDefault="001C01C3" w:rsidP="00746C6C">
      <w:pPr>
        <w:spacing w:after="0" w:line="480" w:lineRule="auto"/>
        <w:jc w:val="both"/>
        <w:rPr>
          <w:rFonts w:ascii="Times New Roman" w:hAnsi="Times New Roman" w:cs="Times New Roman"/>
          <w:sz w:val="24"/>
          <w:szCs w:val="24"/>
        </w:rPr>
      </w:pPr>
    </w:p>
    <w:p w14:paraId="450A4B56" w14:textId="77777777"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Isolation and Enumeration of Hydrocarbon-Degrading Bacteria</w:t>
      </w:r>
    </w:p>
    <w:p w14:paraId="36F90C1E" w14:textId="77777777"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Cs/>
          <w:sz w:val="24"/>
          <w:szCs w:val="24"/>
        </w:rPr>
        <w:t>Approximately 1 g of each soil sample was transferred into a test tube containing 9 mL of sterile distilled water. Serial dilutions were then prepared up to 10⁻⁷. From the 10⁻</w:t>
      </w:r>
      <w:r w:rsidRPr="00790FCF">
        <w:rPr>
          <w:rFonts w:ascii="Times New Roman" w:hAnsi="Times New Roman" w:cs="Times New Roman"/>
          <w:bCs/>
          <w:sz w:val="24"/>
          <w:szCs w:val="24"/>
          <w:vertAlign w:val="superscript"/>
        </w:rPr>
        <w:t>5</w:t>
      </w:r>
      <w:r w:rsidRPr="00790FCF">
        <w:rPr>
          <w:rFonts w:ascii="Times New Roman" w:hAnsi="Times New Roman" w:cs="Times New Roman"/>
          <w:bCs/>
          <w:sz w:val="24"/>
          <w:szCs w:val="24"/>
        </w:rPr>
        <w:t>, 10⁻⁶, and 10⁻⁷ dilutions, 0.1 mL was aseptically plated in duplicate onto sterile Bushnell-Haas Agar. The plates were incubated at 37 °C for 7 days, after which bacterial colonies were enumerated using a digital colony counter (</w:t>
      </w:r>
      <w:proofErr w:type="spellStart"/>
      <w:r w:rsidRPr="00790FCF">
        <w:rPr>
          <w:rFonts w:ascii="Times New Roman" w:hAnsi="Times New Roman" w:cs="Times New Roman"/>
          <w:bCs/>
          <w:sz w:val="24"/>
          <w:szCs w:val="24"/>
        </w:rPr>
        <w:t>Gallenkamp</w:t>
      </w:r>
      <w:proofErr w:type="spellEnd"/>
      <w:r w:rsidRPr="00790FCF">
        <w:rPr>
          <w:rFonts w:ascii="Times New Roman" w:hAnsi="Times New Roman" w:cs="Times New Roman"/>
          <w:bCs/>
          <w:sz w:val="24"/>
          <w:szCs w:val="24"/>
        </w:rPr>
        <w:t xml:space="preserve">, UK). Only plates with 30–300 colonies were placed on the illuminated counter platform, and colonies were counted manually by pressing the counter </w:t>
      </w:r>
      <w:r w:rsidRPr="00790FCF">
        <w:rPr>
          <w:rFonts w:ascii="Times New Roman" w:hAnsi="Times New Roman" w:cs="Times New Roman"/>
          <w:bCs/>
          <w:sz w:val="24"/>
          <w:szCs w:val="24"/>
        </w:rPr>
        <w:lastRenderedPageBreak/>
        <w:t xml:space="preserve">button for each colony. Results were recorded and expressed as colony-forming units per gram (CFU/g) of soil. Distinct colonies of each bacterial isolate were </w:t>
      </w:r>
      <w:proofErr w:type="spellStart"/>
      <w:r w:rsidRPr="00790FCF">
        <w:rPr>
          <w:rFonts w:ascii="Times New Roman" w:hAnsi="Times New Roman" w:cs="Times New Roman"/>
          <w:bCs/>
          <w:sz w:val="24"/>
          <w:szCs w:val="24"/>
        </w:rPr>
        <w:t>subcultured</w:t>
      </w:r>
      <w:proofErr w:type="spellEnd"/>
      <w:r w:rsidRPr="00790FCF">
        <w:rPr>
          <w:rFonts w:ascii="Times New Roman" w:hAnsi="Times New Roman" w:cs="Times New Roman"/>
          <w:bCs/>
          <w:sz w:val="24"/>
          <w:szCs w:val="24"/>
        </w:rPr>
        <w:t xml:space="preserve"> onto Nutrient Agar slants and preserved at 4 °C for subsequent analyses </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17</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w:t>
      </w:r>
    </w:p>
    <w:p w14:paraId="0B52A7A1" w14:textId="77777777" w:rsidR="001C01C3" w:rsidRPr="00790FCF" w:rsidRDefault="001C01C3" w:rsidP="00746C6C">
      <w:pPr>
        <w:spacing w:after="0" w:line="480" w:lineRule="auto"/>
        <w:jc w:val="both"/>
        <w:rPr>
          <w:rFonts w:ascii="Times New Roman" w:hAnsi="Times New Roman" w:cs="Times New Roman"/>
          <w:sz w:val="24"/>
          <w:szCs w:val="24"/>
        </w:rPr>
      </w:pPr>
    </w:p>
    <w:p w14:paraId="7CF57EF6" w14:textId="77777777"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 xml:space="preserve">Screening of Hydrocarbon Degradation Using 2, 6-Dichlorophenol Indophenol Sodium Salt (DCPIP) </w:t>
      </w:r>
    </w:p>
    <w:p w14:paraId="71149B66" w14:textId="77777777"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Cs/>
          <w:sz w:val="24"/>
          <w:szCs w:val="24"/>
        </w:rPr>
        <w:t xml:space="preserve">According to Mishra et al. </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18</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 xml:space="preserve">, 11.2 g of Bushnell broth medium was measured into 400 ml of distilled water and mixed to ensure a uniform mixture. It was autoclaved at 121 °C and 15 pressure for 15 minutes. Following sterilization, the solution turned deep blue when around three drops of 2,6-Dichlorophenol Indophenol Sodium Salt (DCPIP) were added. Different colonies from pure cultures were inoculated after the media was transferred into sterile labelled petri dishes. </w:t>
      </w:r>
      <w:proofErr w:type="spellStart"/>
      <w:r w:rsidRPr="00790FCF">
        <w:rPr>
          <w:rFonts w:ascii="Times New Roman" w:hAnsi="Times New Roman" w:cs="Times New Roman"/>
          <w:bCs/>
          <w:sz w:val="24"/>
          <w:szCs w:val="24"/>
        </w:rPr>
        <w:t>Colour</w:t>
      </w:r>
      <w:proofErr w:type="spellEnd"/>
      <w:r w:rsidRPr="00790FCF">
        <w:rPr>
          <w:rFonts w:ascii="Times New Roman" w:hAnsi="Times New Roman" w:cs="Times New Roman"/>
          <w:bCs/>
          <w:sz w:val="24"/>
          <w:szCs w:val="24"/>
        </w:rPr>
        <w:t xml:space="preserve"> changes were seen after the plates were incubated for seven days at 37 °C. Distinct bacterial colonies observed in plates with clear </w:t>
      </w:r>
      <w:proofErr w:type="spellStart"/>
      <w:r w:rsidRPr="00790FCF">
        <w:rPr>
          <w:rFonts w:ascii="Times New Roman" w:hAnsi="Times New Roman" w:cs="Times New Roman"/>
          <w:bCs/>
          <w:sz w:val="24"/>
          <w:szCs w:val="24"/>
        </w:rPr>
        <w:t>colour</w:t>
      </w:r>
      <w:proofErr w:type="spellEnd"/>
      <w:r w:rsidRPr="00790FCF">
        <w:rPr>
          <w:rFonts w:ascii="Times New Roman" w:hAnsi="Times New Roman" w:cs="Times New Roman"/>
          <w:bCs/>
          <w:sz w:val="24"/>
          <w:szCs w:val="24"/>
        </w:rPr>
        <w:t xml:space="preserve"> changes were further selected for morphological and molecular characterization.</w:t>
      </w:r>
    </w:p>
    <w:p w14:paraId="3E9A97F5" w14:textId="77777777" w:rsidR="001C01C3" w:rsidRPr="00790FCF" w:rsidRDefault="001C01C3" w:rsidP="00746C6C">
      <w:pPr>
        <w:spacing w:after="0" w:line="480" w:lineRule="auto"/>
        <w:jc w:val="both"/>
        <w:rPr>
          <w:rFonts w:ascii="Times New Roman" w:hAnsi="Times New Roman" w:cs="Times New Roman"/>
          <w:sz w:val="24"/>
          <w:szCs w:val="24"/>
        </w:rPr>
      </w:pPr>
    </w:p>
    <w:p w14:paraId="4BC46E3E" w14:textId="77777777"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Morphological Characterization of The Isolates</w:t>
      </w:r>
    </w:p>
    <w:p w14:paraId="49C60B00" w14:textId="77777777"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Cs/>
          <w:sz w:val="24"/>
          <w:szCs w:val="24"/>
        </w:rPr>
        <w:t xml:space="preserve">Gram staining was carried out to distinguish Gram-positive and Gram-negative bacteria among the selected hydrocarbon-degrading isolates (DAD 2, JAC 3, ALC 3, UGD, 5 ADI, JAI 3, PIC 4), following the method described by Paray et al. </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19</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 A loopful of each organism was smeared onto a clean glass slide using a sterile, flamed inoculating loop, then air-dried and heat-fixed. The fixed smear was first stained with crystal violet for 1 minute and gently rinsed with tap water. Decolorization was performed using 70 % alcohol for approximately 2 seconds, followed by another rinse. The smear was then counterstained with safranin for 1 minute, washed with tap water, and air-dried. Stained slides were examined under oil immersion using the ×100 objective to observe Gram reaction and cellular morphology.</w:t>
      </w:r>
    </w:p>
    <w:p w14:paraId="4DA0EDF8" w14:textId="77777777" w:rsidR="001C01C3" w:rsidRPr="00790FCF" w:rsidRDefault="001C01C3" w:rsidP="00746C6C">
      <w:pPr>
        <w:spacing w:after="0" w:line="480" w:lineRule="auto"/>
        <w:jc w:val="both"/>
        <w:rPr>
          <w:rFonts w:ascii="Times New Roman" w:hAnsi="Times New Roman" w:cs="Times New Roman"/>
          <w:bCs/>
          <w:sz w:val="24"/>
          <w:szCs w:val="24"/>
        </w:rPr>
      </w:pPr>
    </w:p>
    <w:p w14:paraId="31D61D4F" w14:textId="77777777"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Molecular Identification of Bacterial Isolates</w:t>
      </w:r>
    </w:p>
    <w:p w14:paraId="7E2F2DD9" w14:textId="77777777"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Cs/>
          <w:sz w:val="24"/>
          <w:szCs w:val="24"/>
        </w:rPr>
        <w:t xml:space="preserve">Genomic DNA was isolated from the seven hydrocarbon-utilizing bacterial strains (DAD 2, JAC 3, ALC 3, UGD, 5 ADI, JAI 3, and PIC 4) using the ZR Fungal/Bacterial DNA Miniprep Kit supplied by </w:t>
      </w:r>
      <w:proofErr w:type="spellStart"/>
      <w:r w:rsidRPr="00790FCF">
        <w:rPr>
          <w:rFonts w:ascii="Times New Roman" w:hAnsi="Times New Roman" w:cs="Times New Roman"/>
          <w:bCs/>
          <w:sz w:val="24"/>
          <w:szCs w:val="24"/>
        </w:rPr>
        <w:t>Zymo</w:t>
      </w:r>
      <w:proofErr w:type="spellEnd"/>
      <w:r w:rsidRPr="00790FCF">
        <w:rPr>
          <w:rFonts w:ascii="Times New Roman" w:hAnsi="Times New Roman" w:cs="Times New Roman"/>
          <w:bCs/>
          <w:sz w:val="24"/>
          <w:szCs w:val="24"/>
        </w:rPr>
        <w:t xml:space="preserve"> Research according to </w:t>
      </w:r>
      <w:proofErr w:type="spellStart"/>
      <w:r w:rsidRPr="00790FCF">
        <w:rPr>
          <w:rFonts w:ascii="Times New Roman" w:hAnsi="Times New Roman" w:cs="Times New Roman"/>
          <w:bCs/>
          <w:sz w:val="24"/>
          <w:szCs w:val="24"/>
        </w:rPr>
        <w:t>Chunwafor</w:t>
      </w:r>
      <w:proofErr w:type="spellEnd"/>
      <w:r w:rsidRPr="00790FCF">
        <w:rPr>
          <w:rFonts w:ascii="Times New Roman" w:hAnsi="Times New Roman" w:cs="Times New Roman"/>
          <w:bCs/>
          <w:sz w:val="24"/>
          <w:szCs w:val="24"/>
        </w:rPr>
        <w:t xml:space="preserve"> and Ogbonda </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20</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 xml:space="preserve">. Amplification of the 16S rRNA gene was carried out through PCR employing the universal primer pair 27F (5′-AGAGTTTGATCMTGGCTCAG-3′) and 1525R (5′-AAGGAGGTGWTCCARCCGCA-3′), yielding fragments of roughly 1.5 kb. The PCR protocol consisted of an initial heating step at 94 °C for 5 minutes, followed by 36 repeated cycles comprising denaturation at 94 °C for 30 seconds, primer annealing at 56 °C for 30 seconds, and extension at 72 °C for 45 seconds. A final elongation was performed at 72 °C for 7 minutes. Successful amplification was verified by running the PCR products on an agarose gel and visualizing the bands under UV illumination. Sequencing of the purified amplicons was performed on the Applied Biosystems 3130xl Genetic Analyzer using the </w:t>
      </w:r>
      <w:proofErr w:type="spellStart"/>
      <w:r w:rsidRPr="00790FCF">
        <w:rPr>
          <w:rFonts w:ascii="Times New Roman" w:hAnsi="Times New Roman" w:cs="Times New Roman"/>
          <w:bCs/>
          <w:sz w:val="24"/>
          <w:szCs w:val="24"/>
        </w:rPr>
        <w:t>BigDye</w:t>
      </w:r>
      <w:proofErr w:type="spellEnd"/>
      <w:r w:rsidRPr="00790FCF">
        <w:rPr>
          <w:rFonts w:ascii="Times New Roman" w:hAnsi="Times New Roman" w:cs="Times New Roman"/>
          <w:bCs/>
          <w:sz w:val="24"/>
          <w:szCs w:val="24"/>
        </w:rPr>
        <w:t xml:space="preserve"> Terminator v3.1 chemistry. First, </w:t>
      </w:r>
      <w:proofErr w:type="spellStart"/>
      <w:r w:rsidRPr="00790FCF">
        <w:rPr>
          <w:rFonts w:ascii="Times New Roman" w:hAnsi="Times New Roman" w:cs="Times New Roman"/>
          <w:bCs/>
          <w:sz w:val="24"/>
          <w:szCs w:val="24"/>
        </w:rPr>
        <w:t>BioEdit</w:t>
      </w:r>
      <w:proofErr w:type="spellEnd"/>
      <w:r w:rsidRPr="00790FCF">
        <w:rPr>
          <w:rFonts w:ascii="Times New Roman" w:hAnsi="Times New Roman" w:cs="Times New Roman"/>
          <w:bCs/>
          <w:sz w:val="24"/>
          <w:szCs w:val="24"/>
        </w:rPr>
        <w:t xml:space="preserve"> and MEGA X were used to clean and align the sequence reads. The closest known relatives of the processed sequences were then found by using BLAST to match them with those in the NCBI GenBank database. Following confirmation, sequences were added to GenBank and given distinct accession numbers. The isolates were classified with known hydrocarbon-degrading species and their evolutionary links were discovered using phylogenetic analysis utilizing the neighbor-joining method and 1,000 bootstrap repetitions. The isolates’ identities were confirmed by this molecular study, which also highlighted their significance as possible bioremediation agents in areas contaminated by petroleum.</w:t>
      </w:r>
    </w:p>
    <w:p w14:paraId="72FEC8FA" w14:textId="77777777" w:rsidR="001C01C3" w:rsidRPr="00790FCF" w:rsidRDefault="001C01C3" w:rsidP="00746C6C">
      <w:pPr>
        <w:spacing w:after="0" w:line="480" w:lineRule="auto"/>
        <w:jc w:val="both"/>
        <w:rPr>
          <w:rFonts w:ascii="Times New Roman" w:hAnsi="Times New Roman" w:cs="Times New Roman"/>
          <w:bCs/>
          <w:sz w:val="24"/>
          <w:szCs w:val="24"/>
        </w:rPr>
      </w:pPr>
    </w:p>
    <w:p w14:paraId="3371156F" w14:textId="77777777"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
          <w:sz w:val="24"/>
          <w:szCs w:val="24"/>
        </w:rPr>
        <w:t>RESULTS</w:t>
      </w:r>
    </w:p>
    <w:p w14:paraId="14500B7C" w14:textId="77777777" w:rsidR="001C01C3" w:rsidRPr="00790FCF" w:rsidRDefault="001C01C3" w:rsidP="00746C6C">
      <w:pPr>
        <w:pStyle w:val="NormalWeb"/>
        <w:spacing w:before="0" w:beforeAutospacing="0" w:after="0" w:afterAutospacing="0" w:line="480" w:lineRule="auto"/>
        <w:jc w:val="both"/>
        <w:rPr>
          <w:rFonts w:eastAsia="-webkit-standard"/>
          <w:b/>
          <w:color w:val="000000" w:themeColor="text1"/>
        </w:rPr>
      </w:pPr>
      <w:r w:rsidRPr="00790FCF">
        <w:rPr>
          <w:rFonts w:eastAsia="-webkit-standard"/>
          <w:b/>
          <w:color w:val="000000" w:themeColor="text1"/>
        </w:rPr>
        <w:t>Physicochemical Characterization of Soil Samples</w:t>
      </w:r>
    </w:p>
    <w:p w14:paraId="5DD54473" w14:textId="77777777" w:rsidR="001C01C3" w:rsidRDefault="001C01C3" w:rsidP="00746C6C">
      <w:pPr>
        <w:pStyle w:val="NormalWeb"/>
        <w:spacing w:before="0" w:beforeAutospacing="0" w:after="0" w:afterAutospacing="0" w:line="480" w:lineRule="auto"/>
        <w:jc w:val="both"/>
        <w:rPr>
          <w:rFonts w:eastAsia="-webkit-standard"/>
          <w:bCs/>
          <w:color w:val="000000" w:themeColor="text1"/>
        </w:rPr>
      </w:pPr>
      <w:r w:rsidRPr="00790FCF">
        <w:rPr>
          <w:rFonts w:eastAsia="-webkit-standard"/>
          <w:bCs/>
          <w:color w:val="000000" w:themeColor="text1"/>
        </w:rPr>
        <w:lastRenderedPageBreak/>
        <w:t xml:space="preserve">The physicochemical investigation revealed that the pH values of the soil samples varied from 6.35 to 7.34, indicating slightly acidic to neutral conditions (Fig. 1). The temperature range of the soil was between 22.3 and 24.9 degrees Celsius, which is within the ambient range that is conducive to microbial activity. Electrical conductivity (EC) values varied more significantly, ranging from 0.68 to 2.85 </w:t>
      </w:r>
      <w:proofErr w:type="spellStart"/>
      <w:r w:rsidRPr="00790FCF">
        <w:rPr>
          <w:rFonts w:eastAsia="-webkit-standard"/>
          <w:bCs/>
          <w:color w:val="000000" w:themeColor="text1"/>
        </w:rPr>
        <w:t>dS</w:t>
      </w:r>
      <w:proofErr w:type="spellEnd"/>
      <w:r w:rsidRPr="00790FCF">
        <w:rPr>
          <w:rFonts w:eastAsia="-webkit-standard"/>
          <w:bCs/>
          <w:color w:val="000000" w:themeColor="text1"/>
        </w:rPr>
        <w:t xml:space="preserve">/m. Sample S1b had the highest EC (2.85 </w:t>
      </w:r>
      <w:proofErr w:type="spellStart"/>
      <w:r w:rsidRPr="00790FCF">
        <w:rPr>
          <w:rFonts w:eastAsia="-webkit-standard"/>
          <w:bCs/>
          <w:color w:val="000000" w:themeColor="text1"/>
        </w:rPr>
        <w:t>dS</w:t>
      </w:r>
      <w:proofErr w:type="spellEnd"/>
      <w:r w:rsidRPr="00790FCF">
        <w:rPr>
          <w:rFonts w:eastAsia="-webkit-standard"/>
          <w:bCs/>
          <w:color w:val="000000" w:themeColor="text1"/>
        </w:rPr>
        <w:t xml:space="preserve">/m), showing a greater ionic concentration likely connected to hydrocarbon pollution, while sample S2a had the lowest EC (0.68 </w:t>
      </w:r>
      <w:proofErr w:type="spellStart"/>
      <w:r w:rsidRPr="00790FCF">
        <w:rPr>
          <w:rFonts w:eastAsia="-webkit-standard"/>
          <w:bCs/>
          <w:color w:val="000000" w:themeColor="text1"/>
        </w:rPr>
        <w:t>dS</w:t>
      </w:r>
      <w:proofErr w:type="spellEnd"/>
      <w:r w:rsidRPr="00790FCF">
        <w:rPr>
          <w:rFonts w:eastAsia="-webkit-standard"/>
          <w:bCs/>
          <w:color w:val="000000" w:themeColor="text1"/>
        </w:rPr>
        <w:t>/m), indicating a comparatively less damaged site. The findings show that soil salinity was impacted by the presence of hydrocarbons, while temperature and pH remained within levels that promote microbial activity.</w:t>
      </w:r>
    </w:p>
    <w:p w14:paraId="59AFD6A7" w14:textId="77777777" w:rsidR="00790FCF" w:rsidRPr="001B7A01" w:rsidRDefault="00790FCF" w:rsidP="00790FCF">
      <w:pPr>
        <w:spacing w:after="0" w:line="480" w:lineRule="auto"/>
        <w:jc w:val="both"/>
        <w:rPr>
          <w:rFonts w:ascii="Times New Roman" w:eastAsia="Times New Roman" w:hAnsi="Times New Roman" w:cs="Times New Roman"/>
          <w:sz w:val="24"/>
          <w:szCs w:val="24"/>
        </w:rPr>
      </w:pPr>
    </w:p>
    <w:p w14:paraId="49CAAD91" w14:textId="77777777" w:rsidR="00790FCF" w:rsidRPr="001B7A01" w:rsidRDefault="00790FCF" w:rsidP="0022681A">
      <w:pPr>
        <w:spacing w:after="0" w:line="480" w:lineRule="auto"/>
        <w:ind w:left="90" w:right="-694"/>
        <w:rPr>
          <w:rFonts w:ascii="Times New Roman" w:hAnsi="Times New Roman" w:cs="Times New Roman"/>
          <w:b/>
          <w:sz w:val="24"/>
          <w:szCs w:val="24"/>
          <w14:shadow w14:blurRad="0" w14:dist="50800" w14:dir="5400000" w14:sx="0" w14:sy="0" w14:kx="0" w14:ky="0" w14:algn="ctr">
            <w14:schemeClr w14:val="tx1"/>
          </w14:shadow>
        </w:rPr>
      </w:pPr>
      <w:r w:rsidRPr="001B7A01">
        <w:rPr>
          <w:rFonts w:ascii="Times New Roman" w:hAnsi="Times New Roman" w:cs="Times New Roman"/>
          <w:noProof/>
          <w:sz w:val="24"/>
          <w:szCs w:val="24"/>
        </w:rPr>
        <w:drawing>
          <wp:inline distT="0" distB="0" distL="0" distR="0" wp14:anchorId="64B3C47C" wp14:editId="5F85C26E">
            <wp:extent cx="4373880" cy="3108960"/>
            <wp:effectExtent l="0" t="0" r="762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7178E6" w14:textId="77777777" w:rsidR="00790FCF" w:rsidRPr="001B7A01" w:rsidRDefault="00790FCF" w:rsidP="00790FCF">
      <w:pPr>
        <w:pStyle w:val="NormalWeb"/>
        <w:spacing w:line="480" w:lineRule="auto"/>
        <w:jc w:val="both"/>
        <w:rPr>
          <w:rFonts w:eastAsia="Gill Sans MT"/>
          <w:bCs/>
        </w:rPr>
      </w:pPr>
      <w:r w:rsidRPr="00913C9C">
        <w:rPr>
          <w:bCs/>
        </w:rPr>
        <w:t>FIG. 1.</w:t>
      </w:r>
      <w:r w:rsidRPr="001B7A01">
        <w:rPr>
          <w:b/>
        </w:rPr>
        <w:t xml:space="preserve"> </w:t>
      </w:r>
      <w:r w:rsidRPr="001B7A01">
        <w:rPr>
          <w:rFonts w:eastAsia="Gill Sans MT"/>
          <w:bCs/>
        </w:rPr>
        <w:t>Physicochemical Properties of Soil Samples</w:t>
      </w:r>
    </w:p>
    <w:p w14:paraId="3F381EF8" w14:textId="77777777" w:rsidR="001C01C3" w:rsidRPr="00790FCF" w:rsidRDefault="001C01C3" w:rsidP="00746C6C">
      <w:pPr>
        <w:pStyle w:val="NormalWeb"/>
        <w:spacing w:before="0" w:beforeAutospacing="0" w:after="0" w:afterAutospacing="0" w:line="480" w:lineRule="auto"/>
        <w:jc w:val="both"/>
        <w:rPr>
          <w:rFonts w:eastAsia="-webkit-standard"/>
          <w:bCs/>
          <w:color w:val="000000" w:themeColor="text1"/>
        </w:rPr>
      </w:pPr>
    </w:p>
    <w:p w14:paraId="6708DD0B" w14:textId="77777777" w:rsidR="001C01C3" w:rsidRPr="00790FCF" w:rsidRDefault="001C01C3" w:rsidP="00746C6C">
      <w:pPr>
        <w:pStyle w:val="NormalWeb"/>
        <w:spacing w:before="0" w:beforeAutospacing="0" w:after="0" w:afterAutospacing="0" w:line="480" w:lineRule="auto"/>
        <w:jc w:val="both"/>
        <w:rPr>
          <w:b/>
        </w:rPr>
      </w:pPr>
      <w:r w:rsidRPr="00790FCF">
        <w:rPr>
          <w:b/>
        </w:rPr>
        <w:t xml:space="preserve">Assessment of Hydrocarbon-Degrading Bacterial Populations </w:t>
      </w:r>
    </w:p>
    <w:p w14:paraId="5A14DDBD" w14:textId="77777777" w:rsidR="001C01C3" w:rsidRPr="00790FCF" w:rsidRDefault="001C01C3" w:rsidP="00746C6C">
      <w:pPr>
        <w:pStyle w:val="NormalWeb"/>
        <w:spacing w:before="0" w:beforeAutospacing="0" w:after="0" w:afterAutospacing="0" w:line="480" w:lineRule="auto"/>
        <w:jc w:val="both"/>
        <w:rPr>
          <w:bCs/>
        </w:rPr>
      </w:pPr>
      <w:r w:rsidRPr="00790FCF">
        <w:rPr>
          <w:bCs/>
        </w:rPr>
        <w:t xml:space="preserve">The hydrocarbon-degrading bacterial populations in the six soil samples differed significantly (Table 1), reflecting differences in the characteristics of the soil and the level of contamination. </w:t>
      </w:r>
      <w:r w:rsidRPr="00790FCF">
        <w:rPr>
          <w:bCs/>
        </w:rPr>
        <w:lastRenderedPageBreak/>
        <w:t xml:space="preserve">Sample S2a had the highest bacterial </w:t>
      </w:r>
      <w:r w:rsidR="00B330C9">
        <w:rPr>
          <w:bCs/>
        </w:rPr>
        <w:t>counts</w:t>
      </w:r>
      <w:r w:rsidRPr="00790FCF">
        <w:rPr>
          <w:bCs/>
        </w:rPr>
        <w:t xml:space="preserve"> at 1.01 x 10</w:t>
      </w:r>
      <w:r w:rsidRPr="00790FCF">
        <w:rPr>
          <w:bCs/>
          <w:vertAlign w:val="superscript"/>
        </w:rPr>
        <w:t>7</w:t>
      </w:r>
      <w:r w:rsidRPr="00790FCF">
        <w:rPr>
          <w:bCs/>
        </w:rPr>
        <w:t xml:space="preserve"> CFU/g, making up around 44% of all isolates obtained. Sample S2b, which comprised </w:t>
      </w:r>
      <w:r w:rsidR="00B330C9">
        <w:rPr>
          <w:bCs/>
        </w:rPr>
        <w:t>about</w:t>
      </w:r>
      <w:r w:rsidRPr="00790FCF">
        <w:rPr>
          <w:bCs/>
        </w:rPr>
        <w:t xml:space="preserve"> 0.89% of the total population, had the lowest microbial counts, 2.04 x 10</w:t>
      </w:r>
      <w:r w:rsidRPr="00790FCF">
        <w:rPr>
          <w:bCs/>
          <w:vertAlign w:val="superscript"/>
        </w:rPr>
        <w:t>5</w:t>
      </w:r>
      <w:r w:rsidRPr="00790FCF">
        <w:rPr>
          <w:bCs/>
        </w:rPr>
        <w:t xml:space="preserve"> CFU/g. These patterns imply that while highly contaminated or nutrient-poor soils may restrict microbial growth, moderately contaminated soils may provide conditions that promote the growth of hydrocarbon degraders.</w:t>
      </w:r>
    </w:p>
    <w:p w14:paraId="6D8B8754" w14:textId="77777777" w:rsidR="00790FCF" w:rsidRDefault="00790FCF" w:rsidP="00790FCF">
      <w:pPr>
        <w:pStyle w:val="NormalWeb"/>
        <w:spacing w:before="0" w:beforeAutospacing="0" w:after="0" w:afterAutospacing="0" w:line="480" w:lineRule="auto"/>
        <w:jc w:val="both"/>
        <w:rPr>
          <w:bCs/>
        </w:rPr>
      </w:pPr>
    </w:p>
    <w:p w14:paraId="1CD3A265" w14:textId="77777777" w:rsidR="0022681A" w:rsidRDefault="0022681A" w:rsidP="00790FCF">
      <w:pPr>
        <w:pStyle w:val="NormalWeb"/>
        <w:spacing w:before="0" w:beforeAutospacing="0" w:after="0" w:afterAutospacing="0" w:line="480" w:lineRule="auto"/>
        <w:jc w:val="both"/>
        <w:rPr>
          <w:bCs/>
        </w:rPr>
      </w:pPr>
    </w:p>
    <w:p w14:paraId="7E09C059" w14:textId="77777777" w:rsidR="0022681A" w:rsidRDefault="0022681A" w:rsidP="00790FCF">
      <w:pPr>
        <w:pStyle w:val="NormalWeb"/>
        <w:spacing w:before="0" w:beforeAutospacing="0" w:after="0" w:afterAutospacing="0" w:line="480" w:lineRule="auto"/>
        <w:jc w:val="both"/>
        <w:rPr>
          <w:bCs/>
        </w:rPr>
      </w:pPr>
    </w:p>
    <w:p w14:paraId="5725175C" w14:textId="77777777" w:rsidR="00790FCF" w:rsidRPr="001B7A01" w:rsidRDefault="00790FCF" w:rsidP="00790FCF">
      <w:pPr>
        <w:pStyle w:val="NormalWeb"/>
        <w:spacing w:before="0" w:beforeAutospacing="0" w:after="0" w:afterAutospacing="0" w:line="480" w:lineRule="auto"/>
        <w:jc w:val="both"/>
        <w:rPr>
          <w:bCs/>
        </w:rPr>
      </w:pPr>
    </w:p>
    <w:tbl>
      <w:tblPr>
        <w:tblStyle w:val="PlainTable2"/>
        <w:tblpPr w:leftFromText="180" w:rightFromText="180" w:vertAnchor="text" w:horzAnchor="margin" w:tblpY="899"/>
        <w:tblW w:w="8500" w:type="dxa"/>
        <w:tblLook w:val="04A0" w:firstRow="1" w:lastRow="0" w:firstColumn="1" w:lastColumn="0" w:noHBand="0" w:noVBand="1"/>
      </w:tblPr>
      <w:tblGrid>
        <w:gridCol w:w="2912"/>
        <w:gridCol w:w="3176"/>
        <w:gridCol w:w="2412"/>
      </w:tblGrid>
      <w:tr w:rsidR="00790FCF" w:rsidRPr="001B7A01" w14:paraId="6ECEB502" w14:textId="77777777" w:rsidTr="0022681A">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912" w:type="dxa"/>
          </w:tcPr>
          <w:p w14:paraId="44FDF62B" w14:textId="77777777" w:rsidR="00790FCF" w:rsidRPr="001B7A01" w:rsidRDefault="00790FCF" w:rsidP="00BB3A78">
            <w:pPr>
              <w:spacing w:line="480" w:lineRule="auto"/>
              <w:jc w:val="both"/>
              <w:rPr>
                <w:rFonts w:ascii="Times New Roman" w:hAnsi="Times New Roman" w:cs="Times New Roman"/>
                <w:sz w:val="24"/>
                <w:szCs w:val="24"/>
              </w:rPr>
            </w:pPr>
            <w:r w:rsidRPr="001B7A01">
              <w:rPr>
                <w:rFonts w:ascii="Times New Roman" w:hAnsi="Times New Roman" w:cs="Times New Roman"/>
                <w:sz w:val="24"/>
                <w:szCs w:val="24"/>
              </w:rPr>
              <w:t>Sample Code</w:t>
            </w:r>
          </w:p>
        </w:tc>
        <w:tc>
          <w:tcPr>
            <w:tcW w:w="3176" w:type="dxa"/>
          </w:tcPr>
          <w:p w14:paraId="5DD9AFFA" w14:textId="77777777" w:rsidR="00790FCF" w:rsidRPr="001B7A01" w:rsidRDefault="00790FCF"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Percentage (%)</w:t>
            </w:r>
          </w:p>
        </w:tc>
        <w:tc>
          <w:tcPr>
            <w:tcW w:w="2412" w:type="dxa"/>
          </w:tcPr>
          <w:p w14:paraId="0340FA4B" w14:textId="77777777" w:rsidR="00790FCF" w:rsidRPr="001B7A01" w:rsidRDefault="00790FCF"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1B7A01">
              <w:rPr>
                <w:rFonts w:ascii="Times New Roman" w:hAnsi="Times New Roman" w:cs="Times New Roman"/>
                <w:sz w:val="24"/>
                <w:szCs w:val="24"/>
              </w:rPr>
              <w:t>Cfu</w:t>
            </w:r>
            <w:proofErr w:type="spellEnd"/>
            <w:r w:rsidRPr="001B7A01">
              <w:rPr>
                <w:rFonts w:ascii="Times New Roman" w:hAnsi="Times New Roman" w:cs="Times New Roman"/>
                <w:sz w:val="24"/>
                <w:szCs w:val="24"/>
              </w:rPr>
              <w:t>/ml</w:t>
            </w:r>
          </w:p>
        </w:tc>
      </w:tr>
      <w:tr w:rsidR="00790FCF" w:rsidRPr="001B7A01" w14:paraId="6F0F456F" w14:textId="77777777" w:rsidTr="0022681A">
        <w:trPr>
          <w:cnfStyle w:val="000000100000" w:firstRow="0" w:lastRow="0" w:firstColumn="0" w:lastColumn="0" w:oddVBand="0" w:evenVBand="0" w:oddHBand="1" w:evenHBand="0" w:firstRowFirstColumn="0" w:firstRowLastColumn="0" w:lastRowFirstColumn="0" w:lastRowLastColumn="0"/>
          <w:trHeight w:val="2793"/>
        </w:trPr>
        <w:tc>
          <w:tcPr>
            <w:cnfStyle w:val="001000000000" w:firstRow="0" w:lastRow="0" w:firstColumn="1" w:lastColumn="0" w:oddVBand="0" w:evenVBand="0" w:oddHBand="0" w:evenHBand="0" w:firstRowFirstColumn="0" w:firstRowLastColumn="0" w:lastRowFirstColumn="0" w:lastRowLastColumn="0"/>
            <w:tcW w:w="2912" w:type="dxa"/>
          </w:tcPr>
          <w:p w14:paraId="0B02FC8D" w14:textId="77777777" w:rsidR="00790FCF" w:rsidRPr="001B7A01" w:rsidRDefault="00790FCF" w:rsidP="00BB3A78">
            <w:pPr>
              <w:spacing w:line="480" w:lineRule="auto"/>
              <w:jc w:val="both"/>
              <w:rPr>
                <w:rFonts w:ascii="Times New Roman" w:hAnsi="Times New Roman" w:cs="Times New Roman"/>
                <w:sz w:val="24"/>
                <w:szCs w:val="24"/>
              </w:rPr>
            </w:pPr>
            <w:r w:rsidRPr="001B7A01">
              <w:rPr>
                <w:rFonts w:ascii="Times New Roman" w:hAnsi="Times New Roman" w:cs="Times New Roman"/>
                <w:sz w:val="24"/>
                <w:szCs w:val="24"/>
              </w:rPr>
              <w:t>S1a</w:t>
            </w:r>
          </w:p>
          <w:p w14:paraId="0C9F6A25" w14:textId="77777777" w:rsidR="00790FCF" w:rsidRPr="001B7A01" w:rsidRDefault="00790FCF" w:rsidP="00BB3A78">
            <w:pPr>
              <w:spacing w:line="480" w:lineRule="auto"/>
              <w:jc w:val="both"/>
              <w:rPr>
                <w:rFonts w:ascii="Times New Roman" w:hAnsi="Times New Roman" w:cs="Times New Roman"/>
                <w:b w:val="0"/>
                <w:bCs w:val="0"/>
                <w:sz w:val="24"/>
                <w:szCs w:val="24"/>
              </w:rPr>
            </w:pPr>
            <w:r w:rsidRPr="001B7A01">
              <w:rPr>
                <w:rFonts w:ascii="Times New Roman" w:hAnsi="Times New Roman" w:cs="Times New Roman"/>
                <w:sz w:val="24"/>
                <w:szCs w:val="24"/>
              </w:rPr>
              <w:t>S1b</w:t>
            </w:r>
          </w:p>
          <w:p w14:paraId="5AB7B467" w14:textId="77777777" w:rsidR="00790FCF" w:rsidRPr="001B7A01" w:rsidRDefault="00790FCF" w:rsidP="00BB3A78">
            <w:pPr>
              <w:spacing w:line="480" w:lineRule="auto"/>
              <w:jc w:val="both"/>
              <w:rPr>
                <w:rFonts w:ascii="Times New Roman" w:hAnsi="Times New Roman" w:cs="Times New Roman"/>
                <w:sz w:val="24"/>
                <w:szCs w:val="24"/>
              </w:rPr>
            </w:pPr>
            <w:r w:rsidRPr="001B7A01">
              <w:rPr>
                <w:rFonts w:ascii="Times New Roman" w:hAnsi="Times New Roman" w:cs="Times New Roman"/>
                <w:sz w:val="24"/>
                <w:szCs w:val="24"/>
              </w:rPr>
              <w:t>S2a</w:t>
            </w:r>
          </w:p>
          <w:p w14:paraId="5490BEA4" w14:textId="77777777" w:rsidR="00790FCF" w:rsidRPr="001B7A01" w:rsidRDefault="00790FCF" w:rsidP="00BB3A78">
            <w:pPr>
              <w:spacing w:line="480" w:lineRule="auto"/>
              <w:jc w:val="both"/>
              <w:rPr>
                <w:rFonts w:ascii="Times New Roman" w:hAnsi="Times New Roman" w:cs="Times New Roman"/>
                <w:sz w:val="24"/>
                <w:szCs w:val="24"/>
              </w:rPr>
            </w:pPr>
            <w:r w:rsidRPr="001B7A01">
              <w:rPr>
                <w:rFonts w:ascii="Times New Roman" w:hAnsi="Times New Roman" w:cs="Times New Roman"/>
                <w:sz w:val="24"/>
                <w:szCs w:val="24"/>
              </w:rPr>
              <w:t>S2b</w:t>
            </w:r>
          </w:p>
          <w:p w14:paraId="4FEE70A5" w14:textId="77777777" w:rsidR="00790FCF" w:rsidRPr="001B7A01" w:rsidRDefault="00790FCF" w:rsidP="00BB3A78">
            <w:pPr>
              <w:spacing w:line="480" w:lineRule="auto"/>
              <w:jc w:val="both"/>
              <w:rPr>
                <w:rFonts w:ascii="Times New Roman" w:hAnsi="Times New Roman" w:cs="Times New Roman"/>
                <w:sz w:val="24"/>
                <w:szCs w:val="24"/>
              </w:rPr>
            </w:pPr>
            <w:r w:rsidRPr="001B7A01">
              <w:rPr>
                <w:rFonts w:ascii="Times New Roman" w:hAnsi="Times New Roman" w:cs="Times New Roman"/>
                <w:sz w:val="24"/>
                <w:szCs w:val="24"/>
              </w:rPr>
              <w:t>S3a</w:t>
            </w:r>
          </w:p>
          <w:p w14:paraId="09644655" w14:textId="77777777" w:rsidR="00790FCF" w:rsidRPr="001B7A01" w:rsidRDefault="00790FCF" w:rsidP="00BB3A78">
            <w:pPr>
              <w:spacing w:line="480" w:lineRule="auto"/>
              <w:jc w:val="both"/>
              <w:rPr>
                <w:rFonts w:ascii="Times New Roman" w:hAnsi="Times New Roman" w:cs="Times New Roman"/>
                <w:sz w:val="24"/>
                <w:szCs w:val="24"/>
              </w:rPr>
            </w:pPr>
            <w:r w:rsidRPr="001B7A01">
              <w:rPr>
                <w:rFonts w:ascii="Times New Roman" w:hAnsi="Times New Roman" w:cs="Times New Roman"/>
                <w:sz w:val="24"/>
                <w:szCs w:val="24"/>
              </w:rPr>
              <w:t>S3b</w:t>
            </w:r>
          </w:p>
        </w:tc>
        <w:tc>
          <w:tcPr>
            <w:tcW w:w="3176" w:type="dxa"/>
          </w:tcPr>
          <w:p w14:paraId="66EADCEE" w14:textId="77777777"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0.93</w:t>
            </w:r>
          </w:p>
          <w:p w14:paraId="5B2A7D30" w14:textId="77777777"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5.27</w:t>
            </w:r>
          </w:p>
          <w:p w14:paraId="08117567" w14:textId="77777777"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44.00</w:t>
            </w:r>
          </w:p>
          <w:p w14:paraId="20D1B787" w14:textId="77777777"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0.89 </w:t>
            </w:r>
          </w:p>
          <w:p w14:paraId="287A77FB" w14:textId="77777777"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34.95</w:t>
            </w:r>
          </w:p>
          <w:p w14:paraId="7D59AC06" w14:textId="77777777"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13.94 </w:t>
            </w:r>
          </w:p>
        </w:tc>
        <w:tc>
          <w:tcPr>
            <w:tcW w:w="2412" w:type="dxa"/>
          </w:tcPr>
          <w:p w14:paraId="74296C32" w14:textId="77777777"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2.13 x 10⁵</w:t>
            </w:r>
          </w:p>
          <w:p w14:paraId="7428AA7B" w14:textId="77777777"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1.21 x 10⁶</w:t>
            </w:r>
          </w:p>
          <w:p w14:paraId="57211550" w14:textId="77777777"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1.01 x 10⁷</w:t>
            </w:r>
          </w:p>
          <w:p w14:paraId="2B3B75CE" w14:textId="77777777"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2.04 x 10⁵</w:t>
            </w:r>
          </w:p>
          <w:p w14:paraId="23232E37" w14:textId="77777777"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8.02 x 10⁶</w:t>
            </w:r>
          </w:p>
          <w:p w14:paraId="17B0A74F" w14:textId="77777777"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3.20 x 10</w:t>
            </w:r>
            <w:r w:rsidRPr="001B7A01">
              <w:rPr>
                <w:rFonts w:ascii="Times New Roman" w:hAnsi="Times New Roman" w:cs="Times New Roman"/>
                <w:sz w:val="24"/>
                <w:szCs w:val="24"/>
                <w:vertAlign w:val="superscript"/>
              </w:rPr>
              <w:t>6</w:t>
            </w:r>
          </w:p>
        </w:tc>
      </w:tr>
    </w:tbl>
    <w:p w14:paraId="37E794F5" w14:textId="77777777" w:rsidR="00790FCF" w:rsidRPr="001B7A01" w:rsidRDefault="00790FCF" w:rsidP="00790FCF">
      <w:pPr>
        <w:pStyle w:val="NormalWeb"/>
        <w:spacing w:line="480" w:lineRule="auto"/>
        <w:jc w:val="both"/>
        <w:rPr>
          <w:b/>
        </w:rPr>
      </w:pPr>
      <w:r w:rsidRPr="001B7A01">
        <w:rPr>
          <w:b/>
        </w:rPr>
        <w:t xml:space="preserve">Table 1. </w:t>
      </w:r>
      <w:r w:rsidRPr="001B7A01">
        <w:rPr>
          <w:rFonts w:eastAsia="Gill Sans MT"/>
          <w:b/>
        </w:rPr>
        <w:t>Total Hydrocarbon-Degrading Bacterial Counts in Soil Samples</w:t>
      </w:r>
    </w:p>
    <w:p w14:paraId="4A4A488E" w14:textId="77777777" w:rsidR="00790FCF" w:rsidRPr="00790FCF" w:rsidRDefault="00790FCF" w:rsidP="00790FCF">
      <w:pPr>
        <w:spacing w:after="0" w:line="480" w:lineRule="auto"/>
        <w:jc w:val="both"/>
        <w:rPr>
          <w:rFonts w:ascii="Times New Roman" w:hAnsi="Times New Roman" w:cs="Times New Roman"/>
          <w:sz w:val="24"/>
          <w:szCs w:val="24"/>
        </w:rPr>
      </w:pPr>
      <w:r w:rsidRPr="00790FCF">
        <w:rPr>
          <w:rFonts w:ascii="Times New Roman" w:hAnsi="Times New Roman" w:cs="Times New Roman"/>
          <w:b/>
          <w:sz w:val="24"/>
          <w:szCs w:val="24"/>
        </w:rPr>
        <w:t>Legend:</w:t>
      </w:r>
    </w:p>
    <w:p w14:paraId="1ECE495A" w14:textId="77777777" w:rsidR="00790FCF" w:rsidRPr="00790FCF" w:rsidRDefault="00790FCF" w:rsidP="0022681A">
      <w:pPr>
        <w:pStyle w:val="NormalWeb"/>
        <w:spacing w:before="0" w:beforeAutospacing="0" w:after="0" w:afterAutospacing="0" w:line="480" w:lineRule="auto"/>
        <w:jc w:val="both"/>
        <w:rPr>
          <w:rFonts w:eastAsia="-webkit-standard"/>
          <w:color w:val="000000" w:themeColor="text1"/>
        </w:rPr>
      </w:pPr>
      <w:proofErr w:type="spellStart"/>
      <w:r w:rsidRPr="00790FCF">
        <w:t>Cfu</w:t>
      </w:r>
      <w:proofErr w:type="spellEnd"/>
      <w:r w:rsidRPr="00790FCF">
        <w:t>/ml</w:t>
      </w:r>
      <w:r w:rsidRPr="00790FCF">
        <w:rPr>
          <w:rFonts w:eastAsia="-webkit-standard"/>
          <w:color w:val="000000" w:themeColor="text1"/>
        </w:rPr>
        <w:t xml:space="preserve"> = colony-forming unit per </w:t>
      </w:r>
      <w:proofErr w:type="spellStart"/>
      <w:r w:rsidRPr="00790FCF">
        <w:rPr>
          <w:rFonts w:eastAsia="-webkit-standard"/>
          <w:color w:val="000000" w:themeColor="text1"/>
        </w:rPr>
        <w:t>millilitre</w:t>
      </w:r>
      <w:proofErr w:type="spellEnd"/>
    </w:p>
    <w:p w14:paraId="6AE0CC66" w14:textId="77777777" w:rsidR="00790FCF" w:rsidRPr="00790FCF" w:rsidRDefault="00790FCF" w:rsidP="00746C6C">
      <w:pPr>
        <w:spacing w:after="0" w:line="480" w:lineRule="auto"/>
        <w:jc w:val="both"/>
        <w:rPr>
          <w:rFonts w:ascii="Times New Roman" w:hAnsi="Times New Roman" w:cs="Times New Roman"/>
          <w:b/>
          <w:sz w:val="24"/>
          <w:szCs w:val="24"/>
        </w:rPr>
      </w:pPr>
    </w:p>
    <w:p w14:paraId="4D0E4291" w14:textId="77777777" w:rsidR="001C01C3" w:rsidRPr="00790FCF" w:rsidRDefault="001C01C3" w:rsidP="00746C6C">
      <w:pPr>
        <w:pStyle w:val="NormalWeb"/>
        <w:spacing w:before="0" w:beforeAutospacing="0" w:after="0" w:afterAutospacing="0" w:line="480" w:lineRule="auto"/>
        <w:jc w:val="both"/>
        <w:rPr>
          <w:rFonts w:eastAsiaTheme="minorHAnsi"/>
          <w:b/>
        </w:rPr>
      </w:pPr>
      <w:r w:rsidRPr="00790FCF">
        <w:rPr>
          <w:rFonts w:eastAsiaTheme="minorHAnsi"/>
          <w:b/>
        </w:rPr>
        <w:t>Screening of Hydrocarbon Degradation using 2,6-Dichlorophenol Indophenol (DCPIP)</w:t>
      </w:r>
    </w:p>
    <w:p w14:paraId="371C8287" w14:textId="77777777" w:rsidR="001C01C3" w:rsidRPr="00790FCF" w:rsidRDefault="001C01C3" w:rsidP="00746C6C">
      <w:pPr>
        <w:pStyle w:val="NormalWeb"/>
        <w:spacing w:before="0" w:beforeAutospacing="0" w:after="0" w:afterAutospacing="0" w:line="480" w:lineRule="auto"/>
        <w:jc w:val="both"/>
        <w:rPr>
          <w:rFonts w:eastAsiaTheme="minorHAnsi"/>
          <w:bCs/>
        </w:rPr>
      </w:pPr>
      <w:r w:rsidRPr="00790FCF">
        <w:rPr>
          <w:rFonts w:eastAsiaTheme="minorHAnsi"/>
          <w:bCs/>
        </w:rPr>
        <w:t>Seven bacterial isolates were evaluated for their ability to degrade hydrocarbons: DAD 2, JAC 3, ALC 3, UGD 5, ADI, JAI 3, and PIC 4. Although the degree of decolorization varied among isolates, indicating variations in degrading efficiency, all isolates generated a discernible color shift (Fig. 2). In contrast to the other isolates, strain ALC 3 had total decolorization.</w:t>
      </w:r>
    </w:p>
    <w:p w14:paraId="5BC84451" w14:textId="77777777" w:rsidR="0022681A" w:rsidRPr="001B7A01" w:rsidRDefault="0022681A" w:rsidP="0022681A">
      <w:pPr>
        <w:pStyle w:val="NormalWeb"/>
        <w:spacing w:before="0" w:beforeAutospacing="0" w:after="0" w:afterAutospacing="0" w:line="480" w:lineRule="auto"/>
        <w:ind w:left="270"/>
        <w:jc w:val="both"/>
        <w:rPr>
          <w:rFonts w:eastAsia="-webkit-standard"/>
          <w:b/>
          <w:bCs/>
          <w:color w:val="000000" w:themeColor="text1"/>
        </w:rPr>
      </w:pPr>
      <w:r w:rsidRPr="001B7A01">
        <w:rPr>
          <w:noProof/>
        </w:rPr>
        <w:lastRenderedPageBreak/>
        <w:drawing>
          <wp:inline distT="0" distB="0" distL="0" distR="0" wp14:anchorId="2980D9B1" wp14:editId="4F2C2C13">
            <wp:extent cx="3893535" cy="2324100"/>
            <wp:effectExtent l="0" t="0" r="0" b="0"/>
            <wp:docPr id="1622866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66155" name=""/>
                    <pic:cNvPicPr/>
                  </pic:nvPicPr>
                  <pic:blipFill>
                    <a:blip r:embed="rId8"/>
                    <a:stretch>
                      <a:fillRect/>
                    </a:stretch>
                  </pic:blipFill>
                  <pic:spPr>
                    <a:xfrm>
                      <a:off x="0" y="0"/>
                      <a:ext cx="3920826" cy="2340391"/>
                    </a:xfrm>
                    <a:prstGeom prst="rect">
                      <a:avLst/>
                    </a:prstGeom>
                  </pic:spPr>
                </pic:pic>
              </a:graphicData>
            </a:graphic>
          </wp:inline>
        </w:drawing>
      </w:r>
    </w:p>
    <w:p w14:paraId="2CF1B803" w14:textId="77777777" w:rsidR="0022681A" w:rsidRPr="001B7A01" w:rsidRDefault="0022681A" w:rsidP="0022681A">
      <w:pPr>
        <w:pStyle w:val="NormalWeb"/>
        <w:spacing w:before="0" w:beforeAutospacing="0" w:after="0" w:afterAutospacing="0" w:line="480" w:lineRule="auto"/>
        <w:jc w:val="both"/>
        <w:rPr>
          <w:rFonts w:eastAsia="-webkit-standard"/>
          <w:color w:val="000000" w:themeColor="text1"/>
        </w:rPr>
      </w:pPr>
      <w:r w:rsidRPr="00913C9C">
        <w:rPr>
          <w:rFonts w:eastAsia="-webkit-standard"/>
          <w:color w:val="000000" w:themeColor="text1"/>
        </w:rPr>
        <w:t>FIG 2. Assessment</w:t>
      </w:r>
      <w:r w:rsidRPr="001B7A01">
        <w:rPr>
          <w:rFonts w:eastAsia="-webkit-standard"/>
          <w:color w:val="000000" w:themeColor="text1"/>
        </w:rPr>
        <w:t xml:space="preserve"> of hydrocarbon-utilizing activity of bacterial isolates using DCPIP as a redox indicator</w:t>
      </w:r>
    </w:p>
    <w:p w14:paraId="502D03BC" w14:textId="77777777" w:rsidR="001C01C3" w:rsidRPr="00790FCF" w:rsidRDefault="001C01C3" w:rsidP="00746C6C">
      <w:pPr>
        <w:pStyle w:val="NormalWeb"/>
        <w:spacing w:before="0" w:beforeAutospacing="0" w:after="0" w:afterAutospacing="0" w:line="480" w:lineRule="auto"/>
        <w:jc w:val="both"/>
        <w:rPr>
          <w:rFonts w:eastAsia="-webkit-standard"/>
          <w:bCs/>
          <w:color w:val="000000" w:themeColor="text1"/>
        </w:rPr>
      </w:pPr>
    </w:p>
    <w:p w14:paraId="69F5296C" w14:textId="77777777"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 xml:space="preserve">Morphological and Molecular Characterization of Bacterial Isolates </w:t>
      </w:r>
    </w:p>
    <w:p w14:paraId="7D43042C" w14:textId="77777777"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Cs/>
          <w:sz w:val="24"/>
          <w:szCs w:val="24"/>
        </w:rPr>
        <w:t xml:space="preserve">The isolates that showed hydrocarbon-degrading capacity were further characterized using morphological and molecular techniques; the results are reported as follows (Table 2). All isolates were rod-shaped and Gram-negative when examined under a microscope, suggesting a uniform phenotypic profile throughout the groups. 16S rRNA gene-based molecular identification of bacterial isolates produced amplicons of approximately 1500 bp, as estimated against a 1 kb </w:t>
      </w:r>
      <w:proofErr w:type="spellStart"/>
      <w:r w:rsidRPr="00790FCF">
        <w:rPr>
          <w:rFonts w:ascii="Times New Roman" w:hAnsi="Times New Roman" w:cs="Times New Roman"/>
          <w:bCs/>
          <w:sz w:val="24"/>
          <w:szCs w:val="24"/>
        </w:rPr>
        <w:t>Hyperladder</w:t>
      </w:r>
      <w:proofErr w:type="spellEnd"/>
      <w:r w:rsidRPr="00790FCF">
        <w:rPr>
          <w:rFonts w:ascii="Times New Roman" w:hAnsi="Times New Roman" w:cs="Times New Roman"/>
          <w:bCs/>
          <w:sz w:val="24"/>
          <w:szCs w:val="24"/>
        </w:rPr>
        <w:t xml:space="preserve"> marker. The 16S rRNA-based identities of the isolates and their corresponding NCBI accession numbers are also shown (Table 2), which provides a consolidated overview of both phenotypic and genotypic characteristics. This combined analysis confirms the taxonomic identities of the isolates and supports their potential for hydrocarbon bioremediation, while the gel electrophoresis image of the amplified 16S rRNA fragments is shown (Fig. 3). Phylogenetic relationships among the isolates as illustrated (Fig. 4) confirms the taxonomic positions of the isolates and their relatedness to known hydrocarbon-degrading bacteria.</w:t>
      </w:r>
    </w:p>
    <w:p w14:paraId="0F041A6D" w14:textId="77777777" w:rsidR="0022681A" w:rsidRDefault="0022681A" w:rsidP="0022681A">
      <w:pPr>
        <w:pStyle w:val="NormalWeb"/>
        <w:spacing w:before="0" w:beforeAutospacing="0" w:after="0" w:afterAutospacing="0" w:line="480" w:lineRule="auto"/>
        <w:jc w:val="both"/>
        <w:rPr>
          <w:rFonts w:eastAsiaTheme="minorHAnsi"/>
          <w:bCs/>
        </w:rPr>
      </w:pPr>
    </w:p>
    <w:p w14:paraId="2B76869D" w14:textId="77777777" w:rsidR="0022681A" w:rsidRDefault="0022681A" w:rsidP="0022681A">
      <w:pPr>
        <w:pStyle w:val="NormalWeb"/>
        <w:spacing w:before="0" w:beforeAutospacing="0" w:after="0" w:afterAutospacing="0" w:line="480" w:lineRule="auto"/>
        <w:jc w:val="both"/>
        <w:rPr>
          <w:rFonts w:eastAsiaTheme="minorHAnsi"/>
          <w:bCs/>
        </w:rPr>
      </w:pPr>
    </w:p>
    <w:p w14:paraId="7D1705A8" w14:textId="77777777" w:rsidR="0022681A" w:rsidRDefault="0022681A" w:rsidP="0022681A">
      <w:pPr>
        <w:pStyle w:val="NormalWeb"/>
        <w:spacing w:before="0" w:beforeAutospacing="0" w:after="0" w:afterAutospacing="0" w:line="480" w:lineRule="auto"/>
        <w:jc w:val="both"/>
        <w:rPr>
          <w:rFonts w:eastAsiaTheme="minorHAnsi"/>
          <w:bCs/>
        </w:rPr>
      </w:pPr>
    </w:p>
    <w:p w14:paraId="7740E8F3" w14:textId="77777777" w:rsidR="0022681A" w:rsidRDefault="0022681A" w:rsidP="0022681A">
      <w:pPr>
        <w:pStyle w:val="NormalWeb"/>
        <w:spacing w:before="0" w:beforeAutospacing="0" w:after="0" w:afterAutospacing="0" w:line="480" w:lineRule="auto"/>
        <w:jc w:val="both"/>
        <w:rPr>
          <w:rFonts w:eastAsiaTheme="minorHAnsi"/>
          <w:bCs/>
        </w:rPr>
      </w:pPr>
    </w:p>
    <w:p w14:paraId="1035BA47" w14:textId="77777777" w:rsidR="0022681A" w:rsidRDefault="0022681A" w:rsidP="0022681A">
      <w:pPr>
        <w:pStyle w:val="NormalWeb"/>
        <w:spacing w:before="0" w:beforeAutospacing="0" w:after="0" w:afterAutospacing="0" w:line="480" w:lineRule="auto"/>
        <w:jc w:val="both"/>
        <w:rPr>
          <w:rFonts w:eastAsiaTheme="minorHAnsi"/>
          <w:bCs/>
        </w:rPr>
      </w:pPr>
    </w:p>
    <w:p w14:paraId="7837DCFA" w14:textId="77777777" w:rsidR="0022681A" w:rsidRDefault="0022681A" w:rsidP="0022681A">
      <w:pPr>
        <w:pStyle w:val="NormalWeb"/>
        <w:spacing w:before="0" w:beforeAutospacing="0" w:after="0" w:afterAutospacing="0" w:line="480" w:lineRule="auto"/>
        <w:jc w:val="both"/>
        <w:rPr>
          <w:rFonts w:eastAsiaTheme="minorHAnsi"/>
          <w:bCs/>
        </w:rPr>
      </w:pPr>
    </w:p>
    <w:p w14:paraId="122562F3" w14:textId="77777777" w:rsidR="0022681A" w:rsidRPr="001B7A01" w:rsidRDefault="0022681A" w:rsidP="0022681A">
      <w:pPr>
        <w:pStyle w:val="NormalWeb"/>
        <w:spacing w:before="0" w:beforeAutospacing="0" w:after="0" w:afterAutospacing="0" w:line="480" w:lineRule="auto"/>
        <w:jc w:val="both"/>
        <w:rPr>
          <w:rFonts w:eastAsiaTheme="minorHAnsi"/>
          <w:bCs/>
        </w:rPr>
      </w:pPr>
    </w:p>
    <w:p w14:paraId="3F51CF22" w14:textId="77777777" w:rsidR="0022681A" w:rsidRPr="001B7A01" w:rsidRDefault="0022681A" w:rsidP="0022681A">
      <w:pPr>
        <w:pStyle w:val="NormalWeb"/>
        <w:spacing w:before="0" w:beforeAutospacing="0" w:after="0" w:afterAutospacing="0" w:line="480" w:lineRule="auto"/>
        <w:jc w:val="both"/>
        <w:rPr>
          <w:rFonts w:eastAsia="Gill Sans MT"/>
          <w:b/>
        </w:rPr>
      </w:pPr>
      <w:r w:rsidRPr="001B7A01">
        <w:rPr>
          <w:b/>
        </w:rPr>
        <w:t>Table 2.</w:t>
      </w:r>
      <w:r>
        <w:rPr>
          <w:b/>
        </w:rPr>
        <w:t xml:space="preserve"> </w:t>
      </w:r>
      <w:r w:rsidRPr="001B7A01">
        <w:rPr>
          <w:rFonts w:eastAsia="Gill Sans MT"/>
          <w:b/>
        </w:rPr>
        <w:t>Phenotypic and Genotypic Characterization of Hydrocarbon-Degrading Bacteria</w:t>
      </w:r>
    </w:p>
    <w:tbl>
      <w:tblPr>
        <w:tblStyle w:val="ListTable6Colorful"/>
        <w:tblW w:w="7962" w:type="dxa"/>
        <w:tblLook w:val="04A0" w:firstRow="1" w:lastRow="0" w:firstColumn="1" w:lastColumn="0" w:noHBand="0" w:noVBand="1"/>
      </w:tblPr>
      <w:tblGrid>
        <w:gridCol w:w="977"/>
        <w:gridCol w:w="843"/>
        <w:gridCol w:w="1123"/>
        <w:gridCol w:w="1603"/>
        <w:gridCol w:w="1243"/>
        <w:gridCol w:w="1203"/>
        <w:gridCol w:w="2016"/>
      </w:tblGrid>
      <w:tr w:rsidR="0022681A" w:rsidRPr="001B7A01" w14:paraId="29178DEE" w14:textId="77777777" w:rsidTr="00CA4D6E">
        <w:trPr>
          <w:cnfStyle w:val="100000000000" w:firstRow="1" w:lastRow="0" w:firstColumn="0" w:lastColumn="0" w:oddVBand="0" w:evenVBand="0" w:oddHBand="0" w:evenHBand="0" w:firstRowFirstColumn="0" w:firstRowLastColumn="0" w:lastRowFirstColumn="0" w:lastRowLastColumn="0"/>
          <w:trHeight w:val="1935"/>
        </w:trPr>
        <w:tc>
          <w:tcPr>
            <w:cnfStyle w:val="001000000000" w:firstRow="0" w:lastRow="0" w:firstColumn="1" w:lastColumn="0" w:oddVBand="0" w:evenVBand="0" w:oddHBand="0" w:evenHBand="0" w:firstRowFirstColumn="0" w:firstRowLastColumn="0" w:lastRowFirstColumn="0" w:lastRowLastColumn="0"/>
            <w:tcW w:w="865" w:type="dxa"/>
          </w:tcPr>
          <w:p w14:paraId="40841070" w14:textId="77777777"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 xml:space="preserve">Sample </w:t>
            </w:r>
          </w:p>
        </w:tc>
        <w:tc>
          <w:tcPr>
            <w:tcW w:w="744" w:type="dxa"/>
          </w:tcPr>
          <w:p w14:paraId="25775E4C" w14:textId="77777777" w:rsidR="0022681A" w:rsidRPr="001B7A01" w:rsidRDefault="0022681A"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7A01">
              <w:rPr>
                <w:rFonts w:ascii="Times New Roman" w:hAnsi="Times New Roman" w:cs="Times New Roman"/>
                <w:sz w:val="24"/>
                <w:szCs w:val="24"/>
              </w:rPr>
              <w:t>Cell Shape</w:t>
            </w:r>
          </w:p>
        </w:tc>
        <w:tc>
          <w:tcPr>
            <w:tcW w:w="992" w:type="dxa"/>
          </w:tcPr>
          <w:p w14:paraId="6F6959A1" w14:textId="77777777" w:rsidR="0022681A" w:rsidRPr="001B7A01" w:rsidRDefault="0022681A"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7A01">
              <w:rPr>
                <w:rFonts w:ascii="Times New Roman" w:hAnsi="Times New Roman" w:cs="Times New Roman"/>
                <w:sz w:val="24"/>
                <w:szCs w:val="24"/>
              </w:rPr>
              <w:t>Grams Reaction</w:t>
            </w:r>
          </w:p>
        </w:tc>
        <w:tc>
          <w:tcPr>
            <w:tcW w:w="1414" w:type="dxa"/>
          </w:tcPr>
          <w:p w14:paraId="37A07564" w14:textId="77777777" w:rsidR="0022681A" w:rsidRPr="001B7A01" w:rsidRDefault="0022681A" w:rsidP="00BB3A7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7A01">
              <w:rPr>
                <w:rFonts w:ascii="Times New Roman" w:hAnsi="Times New Roman" w:cs="Times New Roman"/>
                <w:sz w:val="24"/>
                <w:szCs w:val="24"/>
              </w:rPr>
              <w:t>Cell Arrangement</w:t>
            </w:r>
          </w:p>
        </w:tc>
        <w:tc>
          <w:tcPr>
            <w:tcW w:w="1099" w:type="dxa"/>
          </w:tcPr>
          <w:p w14:paraId="21C45991" w14:textId="77777777" w:rsidR="0022681A" w:rsidRPr="001B7A01" w:rsidRDefault="0022681A"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7A01">
              <w:rPr>
                <w:rFonts w:ascii="Times New Roman" w:hAnsi="Times New Roman" w:cs="Times New Roman"/>
                <w:sz w:val="24"/>
                <w:szCs w:val="24"/>
              </w:rPr>
              <w:t>Assigned GenBank Accession numbers</w:t>
            </w:r>
          </w:p>
        </w:tc>
        <w:tc>
          <w:tcPr>
            <w:tcW w:w="1067" w:type="dxa"/>
          </w:tcPr>
          <w:p w14:paraId="04ACDA29" w14:textId="77777777" w:rsidR="0022681A" w:rsidRPr="001B7A01" w:rsidRDefault="0022681A"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7A01">
              <w:rPr>
                <w:rFonts w:ascii="Times New Roman" w:hAnsi="Times New Roman" w:cs="Times New Roman"/>
                <w:sz w:val="24"/>
                <w:szCs w:val="24"/>
              </w:rPr>
              <w:t>16S rRNA sequence similarity (%)</w:t>
            </w:r>
          </w:p>
        </w:tc>
        <w:tc>
          <w:tcPr>
            <w:tcW w:w="1781" w:type="dxa"/>
          </w:tcPr>
          <w:p w14:paraId="7639F922" w14:textId="77777777" w:rsidR="0022681A" w:rsidRPr="001B7A01" w:rsidRDefault="0022681A"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7A01">
              <w:rPr>
                <w:rFonts w:ascii="Times New Roman" w:hAnsi="Times New Roman" w:cs="Times New Roman"/>
                <w:sz w:val="24"/>
                <w:szCs w:val="24"/>
              </w:rPr>
              <w:t>Isolate names</w:t>
            </w:r>
          </w:p>
        </w:tc>
      </w:tr>
      <w:tr w:rsidR="0022681A" w:rsidRPr="001B7A01" w14:paraId="077917CC" w14:textId="77777777" w:rsidTr="00CA4D6E">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865" w:type="dxa"/>
            <w:shd w:val="clear" w:color="auto" w:fill="auto"/>
          </w:tcPr>
          <w:p w14:paraId="07ACB19D" w14:textId="77777777"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DAD 2</w:t>
            </w:r>
          </w:p>
        </w:tc>
        <w:tc>
          <w:tcPr>
            <w:tcW w:w="744" w:type="dxa"/>
            <w:shd w:val="clear" w:color="auto" w:fill="auto"/>
          </w:tcPr>
          <w:p w14:paraId="072698D3"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Rod</w:t>
            </w:r>
          </w:p>
        </w:tc>
        <w:tc>
          <w:tcPr>
            <w:tcW w:w="992" w:type="dxa"/>
            <w:shd w:val="clear" w:color="auto" w:fill="auto"/>
          </w:tcPr>
          <w:p w14:paraId="6EC18063" w14:textId="77777777"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w:t>
            </w:r>
          </w:p>
        </w:tc>
        <w:tc>
          <w:tcPr>
            <w:tcW w:w="1414" w:type="dxa"/>
            <w:shd w:val="clear" w:color="auto" w:fill="auto"/>
          </w:tcPr>
          <w:p w14:paraId="1067367A"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Single</w:t>
            </w:r>
          </w:p>
        </w:tc>
        <w:tc>
          <w:tcPr>
            <w:tcW w:w="1099" w:type="dxa"/>
            <w:shd w:val="clear" w:color="auto" w:fill="auto"/>
          </w:tcPr>
          <w:p w14:paraId="62A197FF"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PX572502</w:t>
            </w:r>
          </w:p>
        </w:tc>
        <w:tc>
          <w:tcPr>
            <w:tcW w:w="1067" w:type="dxa"/>
            <w:shd w:val="clear" w:color="auto" w:fill="auto"/>
          </w:tcPr>
          <w:p w14:paraId="6C50FBE2"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95.42</w:t>
            </w:r>
          </w:p>
        </w:tc>
        <w:tc>
          <w:tcPr>
            <w:tcW w:w="1781" w:type="dxa"/>
            <w:shd w:val="clear" w:color="auto" w:fill="auto"/>
          </w:tcPr>
          <w:p w14:paraId="79DBFCAB" w14:textId="77777777"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Pseudomonas putida</w:t>
            </w:r>
          </w:p>
        </w:tc>
      </w:tr>
      <w:tr w:rsidR="0022681A" w:rsidRPr="001B7A01" w14:paraId="12BB1C5A" w14:textId="77777777" w:rsidTr="00CA4D6E">
        <w:trPr>
          <w:trHeight w:val="1273"/>
        </w:trPr>
        <w:tc>
          <w:tcPr>
            <w:cnfStyle w:val="001000000000" w:firstRow="0" w:lastRow="0" w:firstColumn="1" w:lastColumn="0" w:oddVBand="0" w:evenVBand="0" w:oddHBand="0" w:evenHBand="0" w:firstRowFirstColumn="0" w:firstRowLastColumn="0" w:lastRowFirstColumn="0" w:lastRowLastColumn="0"/>
            <w:tcW w:w="865" w:type="dxa"/>
          </w:tcPr>
          <w:p w14:paraId="4B92A156" w14:textId="77777777"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JAC 3</w:t>
            </w:r>
          </w:p>
        </w:tc>
        <w:tc>
          <w:tcPr>
            <w:tcW w:w="744" w:type="dxa"/>
          </w:tcPr>
          <w:p w14:paraId="53442ADF" w14:textId="77777777"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Rod</w:t>
            </w:r>
          </w:p>
        </w:tc>
        <w:tc>
          <w:tcPr>
            <w:tcW w:w="992" w:type="dxa"/>
          </w:tcPr>
          <w:p w14:paraId="792D838D" w14:textId="77777777" w:rsidR="0022681A" w:rsidRPr="001B7A01" w:rsidRDefault="0022681A" w:rsidP="00BB3A7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w:t>
            </w:r>
          </w:p>
        </w:tc>
        <w:tc>
          <w:tcPr>
            <w:tcW w:w="1414" w:type="dxa"/>
          </w:tcPr>
          <w:p w14:paraId="621CB08E" w14:textId="77777777"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Short chains</w:t>
            </w:r>
          </w:p>
        </w:tc>
        <w:tc>
          <w:tcPr>
            <w:tcW w:w="1099" w:type="dxa"/>
          </w:tcPr>
          <w:p w14:paraId="01AE2D01" w14:textId="77777777"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PX572503</w:t>
            </w:r>
          </w:p>
        </w:tc>
        <w:tc>
          <w:tcPr>
            <w:tcW w:w="1067" w:type="dxa"/>
          </w:tcPr>
          <w:p w14:paraId="120124AE" w14:textId="77777777"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 xml:space="preserve">96.49 </w:t>
            </w:r>
          </w:p>
        </w:tc>
        <w:tc>
          <w:tcPr>
            <w:tcW w:w="1781" w:type="dxa"/>
          </w:tcPr>
          <w:p w14:paraId="50E8EC39" w14:textId="77777777" w:rsidR="0022681A" w:rsidRPr="001B7A01" w:rsidRDefault="0022681A" w:rsidP="00BB3A7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Stenotrophomonas maltophilia</w:t>
            </w:r>
          </w:p>
        </w:tc>
      </w:tr>
      <w:tr w:rsidR="0022681A" w:rsidRPr="001B7A01" w14:paraId="098CF7AB" w14:textId="77777777" w:rsidTr="00CA4D6E">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865" w:type="dxa"/>
            <w:shd w:val="clear" w:color="auto" w:fill="auto"/>
          </w:tcPr>
          <w:p w14:paraId="2F3B73C6" w14:textId="77777777"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ALC 3</w:t>
            </w:r>
          </w:p>
        </w:tc>
        <w:tc>
          <w:tcPr>
            <w:tcW w:w="744" w:type="dxa"/>
            <w:shd w:val="clear" w:color="auto" w:fill="auto"/>
          </w:tcPr>
          <w:p w14:paraId="16D54CEC"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Rod</w:t>
            </w:r>
          </w:p>
        </w:tc>
        <w:tc>
          <w:tcPr>
            <w:tcW w:w="992" w:type="dxa"/>
            <w:shd w:val="clear" w:color="auto" w:fill="auto"/>
          </w:tcPr>
          <w:p w14:paraId="0FF4B2FC" w14:textId="77777777"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w:t>
            </w:r>
          </w:p>
        </w:tc>
        <w:tc>
          <w:tcPr>
            <w:tcW w:w="1414" w:type="dxa"/>
            <w:shd w:val="clear" w:color="auto" w:fill="auto"/>
          </w:tcPr>
          <w:p w14:paraId="39831855"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Single</w:t>
            </w:r>
          </w:p>
        </w:tc>
        <w:tc>
          <w:tcPr>
            <w:tcW w:w="1099" w:type="dxa"/>
            <w:shd w:val="clear" w:color="auto" w:fill="auto"/>
          </w:tcPr>
          <w:p w14:paraId="754943DA"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 xml:space="preserve">PX572501 </w:t>
            </w:r>
          </w:p>
        </w:tc>
        <w:tc>
          <w:tcPr>
            <w:tcW w:w="1067" w:type="dxa"/>
            <w:shd w:val="clear" w:color="auto" w:fill="auto"/>
          </w:tcPr>
          <w:p w14:paraId="16BCED45"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 xml:space="preserve">77.82 </w:t>
            </w:r>
          </w:p>
        </w:tc>
        <w:tc>
          <w:tcPr>
            <w:tcW w:w="1781" w:type="dxa"/>
            <w:shd w:val="clear" w:color="auto" w:fill="auto"/>
          </w:tcPr>
          <w:p w14:paraId="68E73945" w14:textId="77777777"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Proteus mirabilis</w:t>
            </w:r>
          </w:p>
        </w:tc>
      </w:tr>
      <w:tr w:rsidR="0022681A" w:rsidRPr="001B7A01" w14:paraId="41BB91F1" w14:textId="77777777" w:rsidTr="00CA4D6E">
        <w:trPr>
          <w:trHeight w:val="1140"/>
        </w:trPr>
        <w:tc>
          <w:tcPr>
            <w:cnfStyle w:val="001000000000" w:firstRow="0" w:lastRow="0" w:firstColumn="1" w:lastColumn="0" w:oddVBand="0" w:evenVBand="0" w:oddHBand="0" w:evenHBand="0" w:firstRowFirstColumn="0" w:firstRowLastColumn="0" w:lastRowFirstColumn="0" w:lastRowLastColumn="0"/>
            <w:tcW w:w="865" w:type="dxa"/>
          </w:tcPr>
          <w:p w14:paraId="0006084F" w14:textId="77777777"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UGD</w:t>
            </w:r>
          </w:p>
        </w:tc>
        <w:tc>
          <w:tcPr>
            <w:tcW w:w="744" w:type="dxa"/>
          </w:tcPr>
          <w:p w14:paraId="0279601F" w14:textId="77777777"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Rod</w:t>
            </w:r>
          </w:p>
        </w:tc>
        <w:tc>
          <w:tcPr>
            <w:tcW w:w="992" w:type="dxa"/>
          </w:tcPr>
          <w:p w14:paraId="05693931" w14:textId="77777777" w:rsidR="0022681A" w:rsidRPr="001B7A01" w:rsidRDefault="0022681A" w:rsidP="00BB3A7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w:t>
            </w:r>
          </w:p>
        </w:tc>
        <w:tc>
          <w:tcPr>
            <w:tcW w:w="1414" w:type="dxa"/>
          </w:tcPr>
          <w:p w14:paraId="30C3C937" w14:textId="77777777"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Single</w:t>
            </w:r>
          </w:p>
        </w:tc>
        <w:tc>
          <w:tcPr>
            <w:tcW w:w="1099" w:type="dxa"/>
          </w:tcPr>
          <w:p w14:paraId="620AFE0A" w14:textId="77777777"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 xml:space="preserve">PX572506 </w:t>
            </w:r>
          </w:p>
        </w:tc>
        <w:tc>
          <w:tcPr>
            <w:tcW w:w="1067" w:type="dxa"/>
          </w:tcPr>
          <w:p w14:paraId="5AC0C310" w14:textId="77777777"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 xml:space="preserve">95.46 </w:t>
            </w:r>
          </w:p>
        </w:tc>
        <w:tc>
          <w:tcPr>
            <w:tcW w:w="1781" w:type="dxa"/>
          </w:tcPr>
          <w:p w14:paraId="30081933" w14:textId="77777777" w:rsidR="0022681A" w:rsidRPr="001B7A01" w:rsidRDefault="0022681A" w:rsidP="00BB3A7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Pseudomonas putida</w:t>
            </w:r>
          </w:p>
        </w:tc>
      </w:tr>
      <w:tr w:rsidR="0022681A" w:rsidRPr="001B7A01" w14:paraId="5822B462" w14:textId="77777777" w:rsidTr="00CA4D6E">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865" w:type="dxa"/>
            <w:shd w:val="clear" w:color="auto" w:fill="auto"/>
          </w:tcPr>
          <w:p w14:paraId="53DAB147" w14:textId="77777777"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5 ADI</w:t>
            </w:r>
          </w:p>
        </w:tc>
        <w:tc>
          <w:tcPr>
            <w:tcW w:w="744" w:type="dxa"/>
            <w:shd w:val="clear" w:color="auto" w:fill="auto"/>
          </w:tcPr>
          <w:p w14:paraId="07CFCBC2"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Rod</w:t>
            </w:r>
          </w:p>
        </w:tc>
        <w:tc>
          <w:tcPr>
            <w:tcW w:w="992" w:type="dxa"/>
            <w:shd w:val="clear" w:color="auto" w:fill="auto"/>
          </w:tcPr>
          <w:p w14:paraId="49C89895" w14:textId="77777777"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w:t>
            </w:r>
          </w:p>
        </w:tc>
        <w:tc>
          <w:tcPr>
            <w:tcW w:w="1414" w:type="dxa"/>
            <w:shd w:val="clear" w:color="auto" w:fill="auto"/>
          </w:tcPr>
          <w:p w14:paraId="2F92746E"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Single</w:t>
            </w:r>
          </w:p>
        </w:tc>
        <w:tc>
          <w:tcPr>
            <w:tcW w:w="1099" w:type="dxa"/>
            <w:shd w:val="clear" w:color="auto" w:fill="auto"/>
          </w:tcPr>
          <w:p w14:paraId="208973CF"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PX572500</w:t>
            </w:r>
          </w:p>
        </w:tc>
        <w:tc>
          <w:tcPr>
            <w:tcW w:w="1067" w:type="dxa"/>
            <w:shd w:val="clear" w:color="auto" w:fill="auto"/>
          </w:tcPr>
          <w:p w14:paraId="542C897D"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80.34</w:t>
            </w:r>
          </w:p>
        </w:tc>
        <w:tc>
          <w:tcPr>
            <w:tcW w:w="1781" w:type="dxa"/>
            <w:shd w:val="clear" w:color="auto" w:fill="auto"/>
          </w:tcPr>
          <w:p w14:paraId="4BA37094" w14:textId="77777777"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Proteus mirabilis</w:t>
            </w:r>
          </w:p>
        </w:tc>
      </w:tr>
      <w:tr w:rsidR="0022681A" w:rsidRPr="001B7A01" w14:paraId="29192B57" w14:textId="77777777" w:rsidTr="00CA4D6E">
        <w:trPr>
          <w:trHeight w:val="1350"/>
        </w:trPr>
        <w:tc>
          <w:tcPr>
            <w:cnfStyle w:val="001000000000" w:firstRow="0" w:lastRow="0" w:firstColumn="1" w:lastColumn="0" w:oddVBand="0" w:evenVBand="0" w:oddHBand="0" w:evenHBand="0" w:firstRowFirstColumn="0" w:firstRowLastColumn="0" w:lastRowFirstColumn="0" w:lastRowLastColumn="0"/>
            <w:tcW w:w="865" w:type="dxa"/>
          </w:tcPr>
          <w:p w14:paraId="466EEC8B" w14:textId="77777777"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JAI 3</w:t>
            </w:r>
          </w:p>
        </w:tc>
        <w:tc>
          <w:tcPr>
            <w:tcW w:w="744" w:type="dxa"/>
          </w:tcPr>
          <w:p w14:paraId="28755B47" w14:textId="77777777"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Rod</w:t>
            </w:r>
          </w:p>
        </w:tc>
        <w:tc>
          <w:tcPr>
            <w:tcW w:w="992" w:type="dxa"/>
          </w:tcPr>
          <w:p w14:paraId="393B70E9" w14:textId="77777777" w:rsidR="0022681A" w:rsidRPr="001B7A01" w:rsidRDefault="0022681A" w:rsidP="00BB3A7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w:t>
            </w:r>
          </w:p>
        </w:tc>
        <w:tc>
          <w:tcPr>
            <w:tcW w:w="1414" w:type="dxa"/>
          </w:tcPr>
          <w:p w14:paraId="38676460" w14:textId="77777777"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Short chains</w:t>
            </w:r>
          </w:p>
        </w:tc>
        <w:tc>
          <w:tcPr>
            <w:tcW w:w="1099" w:type="dxa"/>
          </w:tcPr>
          <w:p w14:paraId="71828685" w14:textId="77777777"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PX572504</w:t>
            </w:r>
          </w:p>
        </w:tc>
        <w:tc>
          <w:tcPr>
            <w:tcW w:w="1067" w:type="dxa"/>
          </w:tcPr>
          <w:p w14:paraId="376F9FBE" w14:textId="77777777"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 xml:space="preserve">91.94 </w:t>
            </w:r>
          </w:p>
        </w:tc>
        <w:tc>
          <w:tcPr>
            <w:tcW w:w="1781" w:type="dxa"/>
          </w:tcPr>
          <w:p w14:paraId="50500694" w14:textId="77777777" w:rsidR="0022681A" w:rsidRPr="001B7A01" w:rsidRDefault="0022681A" w:rsidP="00BB3A7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Stenotrophomonas maltophilia</w:t>
            </w:r>
          </w:p>
        </w:tc>
      </w:tr>
      <w:tr w:rsidR="0022681A" w:rsidRPr="001B7A01" w14:paraId="6A4C489A" w14:textId="77777777" w:rsidTr="00CA4D6E">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865" w:type="dxa"/>
            <w:shd w:val="clear" w:color="auto" w:fill="auto"/>
          </w:tcPr>
          <w:p w14:paraId="45A07EB3" w14:textId="77777777"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lastRenderedPageBreak/>
              <w:t>PIC 4</w:t>
            </w:r>
          </w:p>
        </w:tc>
        <w:tc>
          <w:tcPr>
            <w:tcW w:w="744" w:type="dxa"/>
            <w:shd w:val="clear" w:color="auto" w:fill="auto"/>
          </w:tcPr>
          <w:p w14:paraId="3929678E"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Rod</w:t>
            </w:r>
          </w:p>
        </w:tc>
        <w:tc>
          <w:tcPr>
            <w:tcW w:w="992" w:type="dxa"/>
            <w:shd w:val="clear" w:color="auto" w:fill="auto"/>
          </w:tcPr>
          <w:p w14:paraId="047673DA" w14:textId="77777777"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w:t>
            </w:r>
          </w:p>
        </w:tc>
        <w:tc>
          <w:tcPr>
            <w:tcW w:w="1414" w:type="dxa"/>
            <w:shd w:val="clear" w:color="auto" w:fill="auto"/>
          </w:tcPr>
          <w:p w14:paraId="4F472DB0"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Single</w:t>
            </w:r>
          </w:p>
        </w:tc>
        <w:tc>
          <w:tcPr>
            <w:tcW w:w="1099" w:type="dxa"/>
            <w:shd w:val="clear" w:color="auto" w:fill="auto"/>
          </w:tcPr>
          <w:p w14:paraId="78B09B51"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PX572505</w:t>
            </w:r>
          </w:p>
        </w:tc>
        <w:tc>
          <w:tcPr>
            <w:tcW w:w="1067" w:type="dxa"/>
            <w:shd w:val="clear" w:color="auto" w:fill="auto"/>
          </w:tcPr>
          <w:p w14:paraId="2A435F39" w14:textId="77777777"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93.55</w:t>
            </w:r>
          </w:p>
        </w:tc>
        <w:tc>
          <w:tcPr>
            <w:tcW w:w="1781" w:type="dxa"/>
            <w:shd w:val="clear" w:color="auto" w:fill="auto"/>
          </w:tcPr>
          <w:p w14:paraId="75A8DDA7" w14:textId="77777777"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Pseudomonas aeruginosa</w:t>
            </w:r>
          </w:p>
        </w:tc>
      </w:tr>
    </w:tbl>
    <w:p w14:paraId="0B8A1C62" w14:textId="77777777" w:rsidR="0022681A" w:rsidRPr="00790FCF" w:rsidRDefault="0022681A" w:rsidP="0022681A">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 xml:space="preserve">Legend: </w:t>
      </w:r>
    </w:p>
    <w:p w14:paraId="4C6F864F" w14:textId="77777777" w:rsidR="0022681A" w:rsidRPr="0022681A" w:rsidRDefault="0022681A" w:rsidP="0022681A">
      <w:pPr>
        <w:pStyle w:val="ListParagraph"/>
        <w:numPr>
          <w:ilvl w:val="0"/>
          <w:numId w:val="3"/>
        </w:numPr>
        <w:spacing w:after="0" w:line="480" w:lineRule="auto"/>
        <w:rPr>
          <w:rFonts w:ascii="Times New Roman" w:hAnsi="Times New Roman" w:cs="Times New Roman"/>
          <w:bCs/>
          <w:sz w:val="24"/>
          <w:szCs w:val="24"/>
        </w:rPr>
      </w:pPr>
      <w:r w:rsidRPr="0022681A">
        <w:rPr>
          <w:rFonts w:ascii="Times New Roman" w:hAnsi="Times New Roman" w:cs="Times New Roman"/>
          <w:bCs/>
          <w:sz w:val="24"/>
          <w:szCs w:val="24"/>
        </w:rPr>
        <w:t>Gram-negative</w:t>
      </w:r>
    </w:p>
    <w:p w14:paraId="6D807311" w14:textId="77777777" w:rsidR="001C01C3" w:rsidRDefault="001C01C3" w:rsidP="00746C6C">
      <w:pPr>
        <w:spacing w:after="0" w:line="480" w:lineRule="auto"/>
        <w:jc w:val="both"/>
        <w:rPr>
          <w:rFonts w:ascii="Times New Roman" w:hAnsi="Times New Roman" w:cs="Times New Roman"/>
          <w:b/>
          <w:bCs/>
          <w:sz w:val="24"/>
          <w:szCs w:val="24"/>
        </w:rPr>
      </w:pPr>
    </w:p>
    <w:p w14:paraId="73CB425E" w14:textId="77777777" w:rsidR="0022681A" w:rsidRPr="001B7A01" w:rsidRDefault="0022681A" w:rsidP="0022681A">
      <w:pPr>
        <w:spacing w:line="480" w:lineRule="auto"/>
        <w:jc w:val="both"/>
        <w:rPr>
          <w:rFonts w:ascii="Times New Roman" w:hAnsi="Times New Roman" w:cs="Times New Roman"/>
          <w:sz w:val="24"/>
          <w:szCs w:val="24"/>
        </w:rPr>
      </w:pPr>
    </w:p>
    <w:p w14:paraId="57BDFF44" w14:textId="77777777" w:rsidR="0022681A" w:rsidRPr="001B7A01" w:rsidRDefault="0022681A" w:rsidP="0022681A">
      <w:pPr>
        <w:spacing w:line="240" w:lineRule="auto"/>
        <w:jc w:val="both"/>
        <w:rPr>
          <w:rFonts w:ascii="Times New Roman" w:hAnsi="Times New Roman" w:cs="Times New Roman"/>
          <w:sz w:val="24"/>
          <w:szCs w:val="24"/>
        </w:rPr>
      </w:pPr>
      <w:r w:rsidRPr="001B7A01">
        <w:rPr>
          <w:rFonts w:ascii="Times New Roman" w:hAnsi="Times New Roman" w:cs="Times New Roman"/>
          <w:noProof/>
          <w:sz w:val="24"/>
          <w:szCs w:val="24"/>
        </w:rPr>
        <w:drawing>
          <wp:inline distT="0" distB="0" distL="0" distR="0" wp14:anchorId="6CA3A765" wp14:editId="5D59CD5E">
            <wp:extent cx="2476500" cy="2537460"/>
            <wp:effectExtent l="0" t="0" r="0" b="0"/>
            <wp:docPr id="1974311156" name="Picture 1" descr="C:\Users\VICTORIA\Documents\2024\URSULA MMA\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VICTORIA\Documents\2024\URSULA MMA\DNA.jpg"/>
                    <pic:cNvPicPr>
                      <a:picLocks noChangeAspect="1"/>
                    </pic:cNvPicPr>
                  </pic:nvPicPr>
                  <pic:blipFill rotWithShape="1">
                    <a:blip r:embed="rId9">
                      <a:extLst>
                        <a:ext uri="{28A0092B-C50C-407E-A947-70E740481C1C}">
                          <a14:useLocalDpi xmlns:a14="http://schemas.microsoft.com/office/drawing/2010/main" val="0"/>
                        </a:ext>
                      </a:extLst>
                    </a:blip>
                    <a:srcRect b="19277"/>
                    <a:stretch>
                      <a:fillRect/>
                    </a:stretch>
                  </pic:blipFill>
                  <pic:spPr bwMode="auto">
                    <a:xfrm>
                      <a:off x="0" y="0"/>
                      <a:ext cx="2491280" cy="2552604"/>
                    </a:xfrm>
                    <a:prstGeom prst="rect">
                      <a:avLst/>
                    </a:prstGeom>
                    <a:noFill/>
                    <a:ln>
                      <a:noFill/>
                    </a:ln>
                    <a:extLst>
                      <a:ext uri="{53640926-AAD7-44D8-BBD7-CCE9431645EC}">
                        <a14:shadowObscured xmlns:a14="http://schemas.microsoft.com/office/drawing/2010/main"/>
                      </a:ext>
                    </a:extLst>
                  </pic:spPr>
                </pic:pic>
              </a:graphicData>
            </a:graphic>
          </wp:inline>
        </w:drawing>
      </w:r>
      <w:r w:rsidRPr="001B7A01">
        <w:rPr>
          <w:rFonts w:ascii="Times New Roman" w:hAnsi="Times New Roman" w:cs="Times New Roman"/>
          <w:noProof/>
          <w:sz w:val="24"/>
          <w:szCs w:val="24"/>
        </w:rPr>
        <w:drawing>
          <wp:inline distT="0" distB="0" distL="0" distR="0" wp14:anchorId="59287CC4" wp14:editId="01476172">
            <wp:extent cx="3124200" cy="2583180"/>
            <wp:effectExtent l="0" t="0" r="0" b="7620"/>
            <wp:docPr id="830245543" name="Picture 1" descr="C:\Users\VICTORIA\Documents\2024\URSULA MMA\16S P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VICTORIA\Documents\2024\URSULA MMA\16S PCR.jpg"/>
                    <pic:cNvPicPr>
                      <a:picLocks noChangeAspect="1"/>
                    </pic:cNvPicPr>
                  </pic:nvPicPr>
                  <pic:blipFill rotWithShape="1">
                    <a:blip r:embed="rId10">
                      <a:extLst>
                        <a:ext uri="{28A0092B-C50C-407E-A947-70E740481C1C}">
                          <a14:useLocalDpi xmlns:a14="http://schemas.microsoft.com/office/drawing/2010/main" val="0"/>
                        </a:ext>
                      </a:extLst>
                    </a:blip>
                    <a:srcRect b="16258"/>
                    <a:stretch>
                      <a:fillRect/>
                    </a:stretch>
                  </pic:blipFill>
                  <pic:spPr bwMode="auto">
                    <a:xfrm>
                      <a:off x="0" y="0"/>
                      <a:ext cx="3140861" cy="2596956"/>
                    </a:xfrm>
                    <a:prstGeom prst="rect">
                      <a:avLst/>
                    </a:prstGeom>
                    <a:noFill/>
                    <a:ln>
                      <a:noFill/>
                    </a:ln>
                    <a:extLst>
                      <a:ext uri="{53640926-AAD7-44D8-BBD7-CCE9431645EC}">
                        <a14:shadowObscured xmlns:a14="http://schemas.microsoft.com/office/drawing/2010/main"/>
                      </a:ext>
                    </a:extLst>
                  </pic:spPr>
                </pic:pic>
              </a:graphicData>
            </a:graphic>
          </wp:inline>
        </w:drawing>
      </w:r>
    </w:p>
    <w:p w14:paraId="2EF6BBEE" w14:textId="77777777" w:rsidR="0022681A" w:rsidRPr="001B7A01" w:rsidRDefault="0022681A" w:rsidP="0022681A">
      <w:pPr>
        <w:spacing w:line="240" w:lineRule="auto"/>
        <w:jc w:val="both"/>
        <w:rPr>
          <w:rFonts w:ascii="Times New Roman" w:hAnsi="Times New Roman" w:cs="Times New Roman"/>
          <w:b/>
          <w:bCs/>
          <w:sz w:val="24"/>
          <w:szCs w:val="24"/>
        </w:rPr>
      </w:pPr>
      <w:r w:rsidRPr="001B7A01">
        <w:rPr>
          <w:rFonts w:ascii="Times New Roman" w:hAnsi="Times New Roman" w:cs="Times New Roman"/>
          <w:b/>
          <w:bCs/>
          <w:sz w:val="24"/>
          <w:szCs w:val="24"/>
        </w:rPr>
        <w:tab/>
        <w:t xml:space="preserve">       (A)</w:t>
      </w:r>
      <w:r w:rsidRPr="001B7A01">
        <w:rPr>
          <w:rFonts w:ascii="Times New Roman" w:hAnsi="Times New Roman" w:cs="Times New Roman"/>
          <w:b/>
          <w:bCs/>
          <w:sz w:val="24"/>
          <w:szCs w:val="24"/>
        </w:rPr>
        <w:tab/>
      </w:r>
      <w:r w:rsidRPr="001B7A01">
        <w:rPr>
          <w:rFonts w:ascii="Times New Roman" w:hAnsi="Times New Roman" w:cs="Times New Roman"/>
          <w:b/>
          <w:bCs/>
          <w:sz w:val="24"/>
          <w:szCs w:val="24"/>
        </w:rPr>
        <w:tab/>
      </w:r>
      <w:r w:rsidRPr="001B7A01">
        <w:rPr>
          <w:rFonts w:ascii="Times New Roman" w:hAnsi="Times New Roman" w:cs="Times New Roman"/>
          <w:b/>
          <w:bCs/>
          <w:sz w:val="24"/>
          <w:szCs w:val="24"/>
        </w:rPr>
        <w:tab/>
      </w:r>
      <w:r w:rsidRPr="001B7A01">
        <w:rPr>
          <w:rFonts w:ascii="Times New Roman" w:hAnsi="Times New Roman" w:cs="Times New Roman"/>
          <w:b/>
          <w:bCs/>
          <w:sz w:val="24"/>
          <w:szCs w:val="24"/>
        </w:rPr>
        <w:tab/>
      </w:r>
      <w:r w:rsidRPr="001B7A01">
        <w:rPr>
          <w:rFonts w:ascii="Times New Roman" w:hAnsi="Times New Roman" w:cs="Times New Roman"/>
          <w:b/>
          <w:bCs/>
          <w:sz w:val="24"/>
          <w:szCs w:val="24"/>
        </w:rPr>
        <w:tab/>
        <w:t xml:space="preserve">             </w:t>
      </w:r>
      <w:proofErr w:type="gramStart"/>
      <w:r w:rsidRPr="001B7A01">
        <w:rPr>
          <w:rFonts w:ascii="Times New Roman" w:hAnsi="Times New Roman" w:cs="Times New Roman"/>
          <w:b/>
          <w:bCs/>
          <w:sz w:val="24"/>
          <w:szCs w:val="24"/>
        </w:rPr>
        <w:t xml:space="preserve">   (</w:t>
      </w:r>
      <w:proofErr w:type="gramEnd"/>
      <w:r w:rsidRPr="001B7A01">
        <w:rPr>
          <w:rFonts w:ascii="Times New Roman" w:hAnsi="Times New Roman" w:cs="Times New Roman"/>
          <w:b/>
          <w:bCs/>
          <w:sz w:val="24"/>
          <w:szCs w:val="24"/>
        </w:rPr>
        <w:t>B)</w:t>
      </w:r>
    </w:p>
    <w:p w14:paraId="4A946656" w14:textId="77777777" w:rsidR="0022681A" w:rsidRPr="001B7A01" w:rsidRDefault="0022681A" w:rsidP="0022681A">
      <w:pPr>
        <w:spacing w:line="480" w:lineRule="auto"/>
        <w:jc w:val="both"/>
        <w:rPr>
          <w:rFonts w:ascii="Times New Roman" w:hAnsi="Times New Roman" w:cs="Times New Roman"/>
          <w:sz w:val="24"/>
          <w:szCs w:val="24"/>
        </w:rPr>
      </w:pPr>
      <w:r w:rsidRPr="00913C9C">
        <w:rPr>
          <w:rFonts w:ascii="Times New Roman" w:hAnsi="Times New Roman" w:cs="Times New Roman"/>
          <w:sz w:val="24"/>
          <w:szCs w:val="24"/>
        </w:rPr>
        <w:t xml:space="preserve">FIG 3. </w:t>
      </w:r>
      <w:r w:rsidRPr="001B7A01">
        <w:rPr>
          <w:rFonts w:ascii="Times New Roman" w:hAnsi="Times New Roman" w:cs="Times New Roman"/>
          <w:sz w:val="24"/>
          <w:szCs w:val="24"/>
        </w:rPr>
        <w:t>Gene amplification (</w:t>
      </w:r>
      <w:r w:rsidRPr="001B7A01">
        <w:rPr>
          <w:rFonts w:ascii="Times New Roman" w:hAnsi="Times New Roman" w:cs="Times New Roman"/>
          <w:b/>
          <w:bCs/>
          <w:sz w:val="24"/>
          <w:szCs w:val="24"/>
        </w:rPr>
        <w:t>A</w:t>
      </w:r>
      <w:r w:rsidRPr="001B7A01">
        <w:rPr>
          <w:rFonts w:ascii="Times New Roman" w:hAnsi="Times New Roman" w:cs="Times New Roman"/>
          <w:sz w:val="24"/>
          <w:szCs w:val="24"/>
        </w:rPr>
        <w:t>) Image Showing Genomic DNA from PCR amplification of 16S RNA gene. (</w:t>
      </w:r>
      <w:r w:rsidRPr="001B7A01">
        <w:rPr>
          <w:rFonts w:ascii="Times New Roman" w:hAnsi="Times New Roman" w:cs="Times New Roman"/>
          <w:b/>
          <w:bCs/>
          <w:sz w:val="24"/>
          <w:szCs w:val="24"/>
        </w:rPr>
        <w:t>B</w:t>
      </w:r>
      <w:r w:rsidRPr="001B7A01">
        <w:rPr>
          <w:rFonts w:ascii="Times New Roman" w:hAnsi="Times New Roman" w:cs="Times New Roman"/>
          <w:sz w:val="24"/>
          <w:szCs w:val="24"/>
        </w:rPr>
        <w:t>) Its gene amplification</w:t>
      </w:r>
    </w:p>
    <w:p w14:paraId="3A26D905" w14:textId="77777777" w:rsidR="0022681A" w:rsidRPr="001B7A01" w:rsidRDefault="0022681A" w:rsidP="0022681A">
      <w:pPr>
        <w:spacing w:line="480" w:lineRule="auto"/>
        <w:ind w:left="-270"/>
        <w:jc w:val="both"/>
        <w:rPr>
          <w:rFonts w:ascii="Times New Roman" w:hAnsi="Times New Roman" w:cs="Times New Roman"/>
          <w:b/>
          <w:bCs/>
          <w:sz w:val="24"/>
          <w:szCs w:val="24"/>
        </w:rPr>
      </w:pPr>
      <w:r w:rsidRPr="001B7A01">
        <w:rPr>
          <w:rFonts w:ascii="Times New Roman" w:hAnsi="Times New Roman" w:cs="Times New Roman"/>
          <w:bCs/>
          <w:noProof/>
          <w:sz w:val="24"/>
          <w:szCs w:val="24"/>
        </w:rPr>
        <w:lastRenderedPageBreak/>
        <w:drawing>
          <wp:inline distT="0" distB="0" distL="0" distR="0" wp14:anchorId="2A71F7A8" wp14:editId="7136A612">
            <wp:extent cx="4838700" cy="2944960"/>
            <wp:effectExtent l="0" t="0" r="0" b="8255"/>
            <wp:docPr id="1355973985" name="Picture 1355973985" descr="C:\Users\VICTORIA\Documents\2024\URSULA MMA\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IA\Documents\2024\URSULA MMA\TRE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2853" cy="2965746"/>
                    </a:xfrm>
                    <a:prstGeom prst="rect">
                      <a:avLst/>
                    </a:prstGeom>
                    <a:noFill/>
                    <a:ln>
                      <a:noFill/>
                    </a:ln>
                  </pic:spPr>
                </pic:pic>
              </a:graphicData>
            </a:graphic>
          </wp:inline>
        </w:drawing>
      </w:r>
    </w:p>
    <w:p w14:paraId="7F605E3E" w14:textId="77777777" w:rsidR="0022681A" w:rsidRPr="001B7A01" w:rsidRDefault="0022681A" w:rsidP="0022681A">
      <w:pPr>
        <w:spacing w:line="480" w:lineRule="auto"/>
        <w:jc w:val="both"/>
        <w:rPr>
          <w:rFonts w:ascii="Times New Roman" w:hAnsi="Times New Roman" w:cs="Times New Roman"/>
          <w:b/>
          <w:sz w:val="24"/>
          <w:szCs w:val="24"/>
        </w:rPr>
      </w:pPr>
      <w:r w:rsidRPr="00913C9C">
        <w:rPr>
          <w:rFonts w:ascii="Times New Roman" w:hAnsi="Times New Roman" w:cs="Times New Roman"/>
          <w:bCs/>
          <w:sz w:val="24"/>
          <w:szCs w:val="24"/>
        </w:rPr>
        <w:t>FIG. 4. Phylogenetic</w:t>
      </w:r>
      <w:r w:rsidRPr="001B7A01">
        <w:rPr>
          <w:rFonts w:ascii="Times New Roman" w:hAnsi="Times New Roman" w:cs="Times New Roman"/>
          <w:bCs/>
          <w:sz w:val="24"/>
          <w:szCs w:val="24"/>
        </w:rPr>
        <w:t xml:space="preserve"> relationships among the isolates </w:t>
      </w:r>
    </w:p>
    <w:p w14:paraId="2F0C7107" w14:textId="77777777" w:rsidR="0022681A" w:rsidRPr="00790FCF" w:rsidRDefault="0022681A" w:rsidP="00746C6C">
      <w:pPr>
        <w:spacing w:after="0" w:line="480" w:lineRule="auto"/>
        <w:jc w:val="both"/>
        <w:rPr>
          <w:rFonts w:ascii="Times New Roman" w:hAnsi="Times New Roman" w:cs="Times New Roman"/>
          <w:b/>
          <w:bCs/>
          <w:sz w:val="24"/>
          <w:szCs w:val="24"/>
        </w:rPr>
      </w:pPr>
    </w:p>
    <w:p w14:paraId="0B58E0CE" w14:textId="77777777" w:rsidR="001C01C3" w:rsidRPr="00790FCF" w:rsidRDefault="001C01C3" w:rsidP="00746C6C">
      <w:pPr>
        <w:spacing w:after="0" w:line="480" w:lineRule="auto"/>
        <w:jc w:val="both"/>
        <w:rPr>
          <w:rFonts w:ascii="Times New Roman" w:hAnsi="Times New Roman" w:cs="Times New Roman"/>
          <w:b/>
          <w:bCs/>
          <w:sz w:val="24"/>
          <w:szCs w:val="24"/>
        </w:rPr>
      </w:pPr>
      <w:r w:rsidRPr="00790FCF">
        <w:rPr>
          <w:rFonts w:ascii="Times New Roman" w:hAnsi="Times New Roman" w:cs="Times New Roman"/>
          <w:b/>
          <w:bCs/>
          <w:sz w:val="24"/>
          <w:szCs w:val="24"/>
        </w:rPr>
        <w:t>Discussion</w:t>
      </w:r>
    </w:p>
    <w:p w14:paraId="6BB4E858" w14:textId="77777777"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Petroleum hydrocarbon contamination from routine activities in mechanic workshops creates persistent hotspots of organic pollution that profoundly alter soil </w:t>
      </w:r>
      <w:proofErr w:type="spellStart"/>
      <w:r w:rsidRPr="00790FCF">
        <w:rPr>
          <w:rFonts w:ascii="Times New Roman" w:hAnsi="Times New Roman" w:cs="Times New Roman"/>
          <w:sz w:val="24"/>
          <w:szCs w:val="24"/>
        </w:rPr>
        <w:t>physicochemistry</w:t>
      </w:r>
      <w:proofErr w:type="spellEnd"/>
      <w:r w:rsidRPr="00790FCF">
        <w:rPr>
          <w:rFonts w:ascii="Times New Roman" w:hAnsi="Times New Roman" w:cs="Times New Roman"/>
          <w:sz w:val="24"/>
          <w:szCs w:val="24"/>
        </w:rPr>
        <w:t xml:space="preserve"> and select for specialized microbial assemblages capable of hydrocarbon transformation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21</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In oil-impacted soils, indigenous bacteria, frequently members of </w:t>
      </w:r>
      <w:r w:rsidRPr="00790FCF">
        <w:rPr>
          <w:rFonts w:ascii="Times New Roman" w:hAnsi="Times New Roman" w:cs="Times New Roman"/>
          <w:i/>
          <w:iCs/>
          <w:sz w:val="24"/>
          <w:szCs w:val="24"/>
        </w:rPr>
        <w:t xml:space="preserve">Proteobacteria, Firmicutes, </w:t>
      </w:r>
      <w:r w:rsidRPr="00790FCF">
        <w:rPr>
          <w:rFonts w:ascii="Times New Roman" w:hAnsi="Times New Roman" w:cs="Times New Roman"/>
          <w:sz w:val="24"/>
          <w:szCs w:val="24"/>
        </w:rPr>
        <w:t>and</w:t>
      </w:r>
      <w:r w:rsidRPr="00790FCF">
        <w:rPr>
          <w:rFonts w:ascii="Times New Roman" w:hAnsi="Times New Roman" w:cs="Times New Roman"/>
          <w:i/>
          <w:iCs/>
          <w:sz w:val="24"/>
          <w:szCs w:val="24"/>
        </w:rPr>
        <w:t xml:space="preserve"> Actinobacteria</w:t>
      </w:r>
      <w:r w:rsidRPr="00790FCF">
        <w:rPr>
          <w:rFonts w:ascii="Times New Roman" w:hAnsi="Times New Roman" w:cs="Times New Roman"/>
          <w:sz w:val="24"/>
          <w:szCs w:val="24"/>
        </w:rPr>
        <w:t xml:space="preserve">, rapidly respond to hydrocarbon influx and often dominate biodegradation, either as single strains or as synergistic consortia that produce degradative enzymes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22,23</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Hydrocarbon-tolerant bacteria, including </w:t>
      </w:r>
      <w:r w:rsidRPr="00790FCF">
        <w:rPr>
          <w:rFonts w:ascii="Times New Roman" w:hAnsi="Times New Roman" w:cs="Times New Roman"/>
          <w:i/>
          <w:iCs/>
          <w:sz w:val="24"/>
          <w:szCs w:val="24"/>
        </w:rPr>
        <w:t>Pseudomonas spp., Bacillus spp</w:t>
      </w:r>
      <w:r w:rsidRPr="00790FCF">
        <w:rPr>
          <w:rFonts w:ascii="Times New Roman" w:hAnsi="Times New Roman" w:cs="Times New Roman"/>
          <w:sz w:val="24"/>
          <w:szCs w:val="24"/>
        </w:rPr>
        <w:t xml:space="preserve">., and related taxa, have been found in Nigerian soils from mechanic workshops, according to earlier research, highlighting the area's inherent ability for intrinsic bioremediation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24,25</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The community changes seen in this study are probably caused by long-term exposure to organic pollutants, given the reported buildup of petroleum wastes in </w:t>
      </w:r>
      <w:proofErr w:type="spellStart"/>
      <w:r w:rsidRPr="00790FCF">
        <w:rPr>
          <w:rFonts w:ascii="Times New Roman" w:hAnsi="Times New Roman" w:cs="Times New Roman"/>
          <w:sz w:val="24"/>
          <w:szCs w:val="24"/>
        </w:rPr>
        <w:t>Abakaliki</w:t>
      </w:r>
      <w:proofErr w:type="spellEnd"/>
      <w:r w:rsidRPr="00790FCF">
        <w:rPr>
          <w:rFonts w:ascii="Times New Roman" w:hAnsi="Times New Roman" w:cs="Times New Roman"/>
          <w:sz w:val="24"/>
          <w:szCs w:val="24"/>
        </w:rPr>
        <w:t xml:space="preserve"> and other urban mechanic sites. The total ecological recovery of contaminated soils and degrading performance are significantly impacted by such changes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21</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w:t>
      </w:r>
    </w:p>
    <w:p w14:paraId="164269F0" w14:textId="77777777"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lastRenderedPageBreak/>
        <w:t xml:space="preserve">The soil's physicochemical characteristics help to explain the factors controlling microbial activity and reflect patterns frequently seen in petroleum-contaminated areas. Since most petroleum-degrading bacteria thrive between pH 6.0 and 8.0, the slightly acidic to neutral pH values (6.35-7.34) observed across sites fell within the ideal range for bacterial growth and hydrocarbon degradation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26</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Similarly, soil temperatures (22.3-24.9 ºC) fall within the mesophilic range that is advantageous for hydrocarbon enzymatic breakdown, which is in line with earlier findings that indicate hydrocarbon degraders' maximal activity occurs between 20 and 30 ºC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22</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The remarkably high electrical conductivity (EC) of sample S1b (2.85 </w:t>
      </w:r>
      <w:proofErr w:type="spellStart"/>
      <w:r w:rsidRPr="00790FCF">
        <w:rPr>
          <w:rFonts w:ascii="Times New Roman" w:hAnsi="Times New Roman" w:cs="Times New Roman"/>
          <w:sz w:val="24"/>
          <w:szCs w:val="24"/>
        </w:rPr>
        <w:t>dS</w:t>
      </w:r>
      <w:proofErr w:type="spellEnd"/>
      <w:r w:rsidRPr="00790FCF">
        <w:rPr>
          <w:rFonts w:ascii="Times New Roman" w:hAnsi="Times New Roman" w:cs="Times New Roman"/>
          <w:sz w:val="24"/>
          <w:szCs w:val="24"/>
        </w:rPr>
        <w:t xml:space="preserve">/m) indicates an ion accumulation likely associated with long-term petroleum contamination and the presence of breakdown byproducts. This is consistent with other research showing that petroleum pollution can raise the salinity and ionic strength of soil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27</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A site with less contamination is likely indicated by Sample S2a’s lower EC (0.68 </w:t>
      </w:r>
      <w:proofErr w:type="spellStart"/>
      <w:r w:rsidRPr="00790FCF">
        <w:rPr>
          <w:rFonts w:ascii="Times New Roman" w:hAnsi="Times New Roman" w:cs="Times New Roman"/>
          <w:sz w:val="24"/>
          <w:szCs w:val="24"/>
        </w:rPr>
        <w:t>dS</w:t>
      </w:r>
      <w:proofErr w:type="spellEnd"/>
      <w:r w:rsidRPr="00790FCF">
        <w:rPr>
          <w:rFonts w:ascii="Times New Roman" w:hAnsi="Times New Roman" w:cs="Times New Roman"/>
          <w:sz w:val="24"/>
          <w:szCs w:val="24"/>
        </w:rPr>
        <w:t xml:space="preserve">/m), which highlights variation in location in pollutant distribution similar to trends observed in Nigerian auto-mechanic workshop soils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28</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Physicochemical gradients in oil-impacted soils may significantly affect community structure because higher EC may affect the selection of stress-tolerant microbial communities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29</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w:t>
      </w:r>
    </w:p>
    <w:p w14:paraId="0CE6DA4E" w14:textId="77777777"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The high bacterial density in sample S2a (1.01 × 10</w:t>
      </w:r>
      <w:r w:rsidR="004C26D5" w:rsidRPr="004C26D5">
        <w:rPr>
          <w:rFonts w:ascii="Times New Roman" w:hAnsi="Times New Roman" w:cs="Times New Roman"/>
          <w:sz w:val="24"/>
          <w:szCs w:val="24"/>
          <w:vertAlign w:val="superscript"/>
        </w:rPr>
        <w:t>7</w:t>
      </w:r>
      <w:r w:rsidRPr="00790FCF">
        <w:rPr>
          <w:rFonts w:ascii="Times New Roman" w:hAnsi="Times New Roman" w:cs="Times New Roman"/>
          <w:sz w:val="24"/>
          <w:szCs w:val="24"/>
        </w:rPr>
        <w:t xml:space="preserve"> CFU/g) suggests that moderate hydrocarbon levels may offer adequate carbon substrates without causing severe toxicity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30</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The exceptionally low count in sample S2b (2.04 × 10</w:t>
      </w:r>
      <w:r w:rsidR="004C26D5" w:rsidRPr="004C26D5">
        <w:rPr>
          <w:rFonts w:ascii="Times New Roman" w:hAnsi="Times New Roman" w:cs="Times New Roman"/>
          <w:sz w:val="24"/>
          <w:szCs w:val="24"/>
          <w:vertAlign w:val="superscript"/>
        </w:rPr>
        <w:t>5</w:t>
      </w:r>
      <w:r w:rsidRPr="00790FCF">
        <w:rPr>
          <w:rFonts w:ascii="Times New Roman" w:hAnsi="Times New Roman" w:cs="Times New Roman"/>
          <w:sz w:val="24"/>
          <w:szCs w:val="24"/>
        </w:rPr>
        <w:t xml:space="preserve"> CFU/g) may be the result of limited nutrient availability or the inhibitory effects of high hydrocarbon concentrations, supporting previous findings that excessive hydrocarbon stress can inhibit microbial growth through factors like hydrophobicity or oxygen limitation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29</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Similar geographical variation has been observed in Nigerian soils, where the degree of contamination significantly affects the quantity of local bacteria that degrade crude oil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31</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w:t>
      </w:r>
    </w:p>
    <w:p w14:paraId="0F51AC12" w14:textId="77777777"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lastRenderedPageBreak/>
        <w:t xml:space="preserve">In line with the DCPIP assay, where the dye acts as an artificial acceptor and is lowered as microorganisms break down hydrocarbons, the observed shift from blue to </w:t>
      </w:r>
      <w:proofErr w:type="spellStart"/>
      <w:r w:rsidRPr="00790FCF">
        <w:rPr>
          <w:rFonts w:ascii="Times New Roman" w:hAnsi="Times New Roman" w:cs="Times New Roman"/>
          <w:sz w:val="24"/>
          <w:szCs w:val="24"/>
        </w:rPr>
        <w:t>colourless</w:t>
      </w:r>
      <w:proofErr w:type="spellEnd"/>
      <w:r w:rsidRPr="00790FCF">
        <w:rPr>
          <w:rFonts w:ascii="Times New Roman" w:hAnsi="Times New Roman" w:cs="Times New Roman"/>
          <w:sz w:val="24"/>
          <w:szCs w:val="24"/>
        </w:rPr>
        <w:t xml:space="preserve"> observed in all the isolates indicates active electron transfer during hydrocarbon metabolism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32</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Previous findings that hydrocarbon-degrading bacteria exhibit species and strain-specific degradation efficiencies based on genetic and physiological traits are supported by differences in the degree of decolorization among the isolates, which indicate differences in metabolic activity and enzyme expression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22</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According to comparable DCPIP-based research, isolates from genera including </w:t>
      </w:r>
      <w:r w:rsidRPr="00790FCF">
        <w:rPr>
          <w:rFonts w:ascii="Times New Roman" w:hAnsi="Times New Roman" w:cs="Times New Roman"/>
          <w:i/>
          <w:iCs/>
          <w:sz w:val="24"/>
          <w:szCs w:val="24"/>
        </w:rPr>
        <w:t xml:space="preserve">Bacillus </w:t>
      </w:r>
      <w:r w:rsidRPr="00790FCF">
        <w:rPr>
          <w:rFonts w:ascii="Times New Roman" w:hAnsi="Times New Roman" w:cs="Times New Roman"/>
          <w:sz w:val="24"/>
          <w:szCs w:val="24"/>
        </w:rPr>
        <w:t>and</w:t>
      </w:r>
      <w:r w:rsidRPr="00790FCF">
        <w:rPr>
          <w:rFonts w:ascii="Times New Roman" w:hAnsi="Times New Roman" w:cs="Times New Roman"/>
          <w:i/>
          <w:iCs/>
          <w:sz w:val="24"/>
          <w:szCs w:val="24"/>
        </w:rPr>
        <w:t xml:space="preserve"> Pseudomonas</w:t>
      </w:r>
      <w:r w:rsidRPr="00790FCF">
        <w:rPr>
          <w:rFonts w:ascii="Times New Roman" w:hAnsi="Times New Roman" w:cs="Times New Roman"/>
          <w:sz w:val="24"/>
          <w:szCs w:val="24"/>
        </w:rPr>
        <w:t xml:space="preserve"> show quantifiable but inconsistent capacities to break down crude oil fractions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33</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Thus, the positive outcomes indicate that the isolates may play an important role in restoring soils contaminated with petroleum hydrocarbons in workshop environments. </w:t>
      </w:r>
    </w:p>
    <w:p w14:paraId="4B42D7D3" w14:textId="77777777" w:rsidR="001C01C3"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The combined phenotypic and molecular characterization of the seven hydrocarbon-degrading bacterial isolates provides strong evidence supporting their taxonomic placement and biodegradation potential. All isolates displayed rod-shaped, Gram-negative morphologies, a trait consistent with many well-documented hydrocarbon degraders commonly recovered from petroleum-contaminated soils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34</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Molecular analysis using 16S rRNA gene amplification produced ~1500 bp fragments, aligning with the expected size for bacterial 16S rRNA genes, and enabling precise species-level identification. The isolates were identified as </w:t>
      </w:r>
      <w:r w:rsidRPr="00790FCF">
        <w:rPr>
          <w:rFonts w:ascii="Times New Roman" w:hAnsi="Times New Roman" w:cs="Times New Roman"/>
          <w:i/>
          <w:iCs/>
          <w:sz w:val="24"/>
          <w:szCs w:val="24"/>
        </w:rPr>
        <w:t>Pseudomonas putida</w:t>
      </w:r>
      <w:r w:rsidRPr="00790FCF">
        <w:rPr>
          <w:rFonts w:ascii="Times New Roman" w:hAnsi="Times New Roman" w:cs="Times New Roman"/>
          <w:sz w:val="24"/>
          <w:szCs w:val="24"/>
        </w:rPr>
        <w:t xml:space="preserve"> (DAD 2; UGD), </w:t>
      </w:r>
      <w:r w:rsidRPr="00790FCF">
        <w:rPr>
          <w:rFonts w:ascii="Times New Roman" w:hAnsi="Times New Roman" w:cs="Times New Roman"/>
          <w:i/>
          <w:iCs/>
          <w:sz w:val="24"/>
          <w:szCs w:val="24"/>
        </w:rPr>
        <w:t>Pseudomonas aeruginosa</w:t>
      </w:r>
      <w:r w:rsidRPr="00790FCF">
        <w:rPr>
          <w:rFonts w:ascii="Times New Roman" w:hAnsi="Times New Roman" w:cs="Times New Roman"/>
          <w:sz w:val="24"/>
          <w:szCs w:val="24"/>
        </w:rPr>
        <w:t xml:space="preserve"> (PIC 4), </w:t>
      </w:r>
      <w:r w:rsidRPr="00790FCF">
        <w:rPr>
          <w:rFonts w:ascii="Times New Roman" w:hAnsi="Times New Roman" w:cs="Times New Roman"/>
          <w:i/>
          <w:iCs/>
          <w:sz w:val="24"/>
          <w:szCs w:val="24"/>
        </w:rPr>
        <w:t>Stenotrophomonas maltophilia</w:t>
      </w:r>
      <w:r w:rsidRPr="00790FCF">
        <w:rPr>
          <w:rFonts w:ascii="Times New Roman" w:hAnsi="Times New Roman" w:cs="Times New Roman"/>
          <w:sz w:val="24"/>
          <w:szCs w:val="24"/>
        </w:rPr>
        <w:t xml:space="preserve"> (JAC 3; JAI 3), and </w:t>
      </w:r>
      <w:r w:rsidRPr="00790FCF">
        <w:rPr>
          <w:rFonts w:ascii="Times New Roman" w:hAnsi="Times New Roman" w:cs="Times New Roman"/>
          <w:i/>
          <w:iCs/>
          <w:sz w:val="24"/>
          <w:szCs w:val="24"/>
        </w:rPr>
        <w:t>Proteus mirabilis</w:t>
      </w:r>
      <w:r w:rsidRPr="00790FCF">
        <w:rPr>
          <w:rFonts w:ascii="Times New Roman" w:hAnsi="Times New Roman" w:cs="Times New Roman"/>
          <w:sz w:val="24"/>
          <w:szCs w:val="24"/>
        </w:rPr>
        <w:t xml:space="preserve"> (ALC 3; 5 ADI), all of which have been previously associated with the degradation of crude oil and related hydrocarbons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22,32</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Members of the genus </w:t>
      </w:r>
      <w:r w:rsidRPr="00790FCF">
        <w:rPr>
          <w:rFonts w:ascii="Times New Roman" w:hAnsi="Times New Roman" w:cs="Times New Roman"/>
          <w:i/>
          <w:iCs/>
          <w:sz w:val="24"/>
          <w:szCs w:val="24"/>
        </w:rPr>
        <w:t>Pseudomonas</w:t>
      </w:r>
      <w:r w:rsidRPr="00790FCF">
        <w:rPr>
          <w:rFonts w:ascii="Times New Roman" w:hAnsi="Times New Roman" w:cs="Times New Roman"/>
          <w:sz w:val="24"/>
          <w:szCs w:val="24"/>
        </w:rPr>
        <w:t xml:space="preserve">, particularly </w:t>
      </w:r>
      <w:r w:rsidRPr="00790FCF">
        <w:rPr>
          <w:rFonts w:ascii="Times New Roman" w:hAnsi="Times New Roman" w:cs="Times New Roman"/>
          <w:i/>
          <w:iCs/>
          <w:sz w:val="24"/>
          <w:szCs w:val="24"/>
        </w:rPr>
        <w:t>P. putida</w:t>
      </w:r>
      <w:r w:rsidRPr="00790FCF">
        <w:rPr>
          <w:rFonts w:ascii="Times New Roman" w:hAnsi="Times New Roman" w:cs="Times New Roman"/>
          <w:sz w:val="24"/>
          <w:szCs w:val="24"/>
        </w:rPr>
        <w:t xml:space="preserve"> and </w:t>
      </w:r>
      <w:r w:rsidRPr="00790FCF">
        <w:rPr>
          <w:rFonts w:ascii="Times New Roman" w:hAnsi="Times New Roman" w:cs="Times New Roman"/>
          <w:i/>
          <w:iCs/>
          <w:sz w:val="24"/>
          <w:szCs w:val="24"/>
        </w:rPr>
        <w:t>P. aeruginosa</w:t>
      </w:r>
      <w:r w:rsidRPr="00790FCF">
        <w:rPr>
          <w:rFonts w:ascii="Times New Roman" w:hAnsi="Times New Roman" w:cs="Times New Roman"/>
          <w:sz w:val="24"/>
          <w:szCs w:val="24"/>
        </w:rPr>
        <w:t xml:space="preserve">, are among the most efficient hydrocarbon degraders due to their metabolic versatility and possession of catabolic genes such as </w:t>
      </w:r>
      <w:proofErr w:type="spellStart"/>
      <w:r w:rsidRPr="00790FCF">
        <w:rPr>
          <w:rFonts w:ascii="Times New Roman" w:hAnsi="Times New Roman" w:cs="Times New Roman"/>
          <w:sz w:val="24"/>
          <w:szCs w:val="24"/>
        </w:rPr>
        <w:t>alkB</w:t>
      </w:r>
      <w:proofErr w:type="spellEnd"/>
      <w:r w:rsidRPr="00790FCF">
        <w:rPr>
          <w:rFonts w:ascii="Times New Roman" w:hAnsi="Times New Roman" w:cs="Times New Roman"/>
          <w:sz w:val="24"/>
          <w:szCs w:val="24"/>
        </w:rPr>
        <w:t xml:space="preserve">, nah, and </w:t>
      </w:r>
      <w:proofErr w:type="spellStart"/>
      <w:r w:rsidRPr="00790FCF">
        <w:rPr>
          <w:rFonts w:ascii="Times New Roman" w:hAnsi="Times New Roman" w:cs="Times New Roman"/>
          <w:sz w:val="24"/>
          <w:szCs w:val="24"/>
        </w:rPr>
        <w:t>xyl</w:t>
      </w:r>
      <w:proofErr w:type="spellEnd"/>
      <w:r w:rsidRPr="00790FCF">
        <w:rPr>
          <w:rFonts w:ascii="Times New Roman" w:hAnsi="Times New Roman" w:cs="Times New Roman"/>
          <w:sz w:val="24"/>
          <w:szCs w:val="24"/>
        </w:rPr>
        <w:t xml:space="preserve">, which enable the breakdown of both aliphatic and aromatic fractions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35</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Likewise, </w:t>
      </w:r>
      <w:r w:rsidRPr="00790FCF">
        <w:rPr>
          <w:rFonts w:ascii="Times New Roman" w:hAnsi="Times New Roman" w:cs="Times New Roman"/>
          <w:i/>
          <w:iCs/>
          <w:sz w:val="24"/>
          <w:szCs w:val="24"/>
        </w:rPr>
        <w:t>Stenotrophomonas maltophilia</w:t>
      </w:r>
      <w:r w:rsidRPr="00790FCF">
        <w:rPr>
          <w:rFonts w:ascii="Times New Roman" w:hAnsi="Times New Roman" w:cs="Times New Roman"/>
          <w:sz w:val="24"/>
          <w:szCs w:val="24"/>
        </w:rPr>
        <w:t xml:space="preserve"> has been increasingly reported in oil-polluted </w:t>
      </w:r>
      <w:r w:rsidRPr="00790FCF">
        <w:rPr>
          <w:rFonts w:ascii="Times New Roman" w:hAnsi="Times New Roman" w:cs="Times New Roman"/>
          <w:sz w:val="24"/>
          <w:szCs w:val="24"/>
        </w:rPr>
        <w:lastRenderedPageBreak/>
        <w:t xml:space="preserve">environments where it contributes to hydrocarbon oxidation and biosurfactant production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36</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while </w:t>
      </w:r>
      <w:r w:rsidRPr="00790FCF">
        <w:rPr>
          <w:rFonts w:ascii="Times New Roman" w:hAnsi="Times New Roman" w:cs="Times New Roman"/>
          <w:i/>
          <w:iCs/>
          <w:sz w:val="24"/>
          <w:szCs w:val="24"/>
        </w:rPr>
        <w:t>Proteus mirabilis</w:t>
      </w:r>
      <w:r w:rsidRPr="00790FCF">
        <w:rPr>
          <w:rFonts w:ascii="Times New Roman" w:hAnsi="Times New Roman" w:cs="Times New Roman"/>
          <w:sz w:val="24"/>
          <w:szCs w:val="24"/>
        </w:rPr>
        <w:t xml:space="preserve"> has been identified in several Nigerian studies as part of the indigenous microbial community capable of utilizing petroleum hydrocarbons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31</w:t>
      </w:r>
      <w:r w:rsidR="00E63AF3">
        <w:rPr>
          <w:rFonts w:ascii="Times New Roman" w:hAnsi="Times New Roman" w:cs="Times New Roman"/>
          <w:sz w:val="24"/>
          <w:szCs w:val="24"/>
        </w:rPr>
        <w:t>,37</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The isolates’ evolutionary links were further confirmed by the phylogenetic tree, which demonstrated their strong affinity for well-known hydrocarbon-degrading reference strains. The robustness of the identification procedure and the potential of these isolates for use in the bioremediation of hydrocarbon-contaminated soils are highlighted by the agreement between phylogenetic clustering and 16S rRNA sequencing data. </w:t>
      </w:r>
    </w:p>
    <w:p w14:paraId="5E5E96B6" w14:textId="77777777" w:rsidR="004C26D5" w:rsidRDefault="004C26D5" w:rsidP="00746C6C">
      <w:pPr>
        <w:spacing w:after="0" w:line="480" w:lineRule="auto"/>
        <w:jc w:val="both"/>
        <w:rPr>
          <w:rFonts w:ascii="Times New Roman" w:hAnsi="Times New Roman" w:cs="Times New Roman"/>
          <w:sz w:val="24"/>
          <w:szCs w:val="24"/>
        </w:rPr>
      </w:pPr>
    </w:p>
    <w:p w14:paraId="6DC8B4E2" w14:textId="77777777" w:rsidR="004C26D5" w:rsidRPr="00DF5525" w:rsidRDefault="004C26D5" w:rsidP="00746C6C">
      <w:pPr>
        <w:spacing w:after="0" w:line="480" w:lineRule="auto"/>
        <w:jc w:val="both"/>
        <w:rPr>
          <w:rFonts w:ascii="Times New Roman" w:hAnsi="Times New Roman" w:cs="Times New Roman"/>
          <w:b/>
          <w:bCs/>
          <w:sz w:val="24"/>
          <w:szCs w:val="24"/>
          <w:highlight w:val="yellow"/>
        </w:rPr>
      </w:pPr>
      <w:r w:rsidRPr="00DF5525">
        <w:rPr>
          <w:rFonts w:ascii="Times New Roman" w:hAnsi="Times New Roman" w:cs="Times New Roman"/>
          <w:b/>
          <w:bCs/>
          <w:sz w:val="24"/>
          <w:szCs w:val="24"/>
          <w:highlight w:val="yellow"/>
        </w:rPr>
        <w:t>Limitations and Recommendations</w:t>
      </w:r>
    </w:p>
    <w:p w14:paraId="47D02A1A" w14:textId="77777777" w:rsidR="001C01C3" w:rsidRDefault="006B12B7" w:rsidP="00746C6C">
      <w:pPr>
        <w:spacing w:after="0" w:line="480" w:lineRule="auto"/>
        <w:jc w:val="both"/>
        <w:rPr>
          <w:rFonts w:ascii="Times New Roman" w:hAnsi="Times New Roman" w:cs="Times New Roman"/>
          <w:sz w:val="24"/>
          <w:szCs w:val="24"/>
        </w:rPr>
      </w:pPr>
      <w:r w:rsidRPr="00DF5525">
        <w:rPr>
          <w:rFonts w:ascii="Times New Roman" w:hAnsi="Times New Roman" w:cs="Times New Roman"/>
          <w:sz w:val="24"/>
          <w:szCs w:val="24"/>
          <w:highlight w:val="yellow"/>
        </w:rPr>
        <w:t>This study's laboratory design is one of its limitations, field-scale bioremediation and the efficacy of mixed microbial consortia in hydrocarbon-contaminated soils should be investigated in future studies.</w:t>
      </w:r>
    </w:p>
    <w:p w14:paraId="17EC05C8" w14:textId="77777777" w:rsidR="00DF5525" w:rsidRPr="004C26D5" w:rsidRDefault="00DF5525" w:rsidP="00746C6C">
      <w:pPr>
        <w:spacing w:after="0" w:line="480" w:lineRule="auto"/>
        <w:jc w:val="both"/>
        <w:rPr>
          <w:rFonts w:ascii="Times New Roman" w:hAnsi="Times New Roman" w:cs="Times New Roman"/>
          <w:sz w:val="24"/>
          <w:szCs w:val="24"/>
        </w:rPr>
      </w:pPr>
    </w:p>
    <w:p w14:paraId="54A6976E" w14:textId="77777777" w:rsidR="001C01C3" w:rsidRPr="00790FCF" w:rsidRDefault="001C01C3" w:rsidP="00746C6C">
      <w:pPr>
        <w:spacing w:after="0" w:line="480" w:lineRule="auto"/>
        <w:jc w:val="both"/>
        <w:rPr>
          <w:rFonts w:ascii="Times New Roman" w:hAnsi="Times New Roman" w:cs="Times New Roman"/>
          <w:b/>
          <w:bCs/>
          <w:sz w:val="24"/>
          <w:szCs w:val="24"/>
        </w:rPr>
      </w:pPr>
      <w:r w:rsidRPr="00790FCF">
        <w:rPr>
          <w:rFonts w:ascii="Times New Roman" w:hAnsi="Times New Roman" w:cs="Times New Roman"/>
          <w:b/>
          <w:bCs/>
          <w:sz w:val="24"/>
          <w:szCs w:val="24"/>
        </w:rPr>
        <w:t>Conclusion</w:t>
      </w:r>
    </w:p>
    <w:p w14:paraId="160C45A2" w14:textId="77777777"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The use of native hydrocarbon-degrading bacteria in bioremediation of oil-contaminated soil is gaining traction for pollution control and soil restoration. This development could benefit industries seeking eco-friendly and cost-effective cleanup methods. In this study, DCPIP reduction by the locally isolated and identified bacteria species, </w:t>
      </w:r>
      <w:r w:rsidRPr="00790FCF">
        <w:rPr>
          <w:rFonts w:ascii="Times New Roman" w:hAnsi="Times New Roman" w:cs="Times New Roman"/>
          <w:i/>
          <w:iCs/>
          <w:sz w:val="24"/>
          <w:szCs w:val="24"/>
        </w:rPr>
        <w:t xml:space="preserve">Pseudomonas putida, Pseudomonas aeruginosa, Stenotrophomonas maltophilia, </w:t>
      </w:r>
      <w:r w:rsidRPr="00790FCF">
        <w:rPr>
          <w:rFonts w:ascii="Times New Roman" w:hAnsi="Times New Roman" w:cs="Times New Roman"/>
          <w:sz w:val="24"/>
          <w:szCs w:val="24"/>
        </w:rPr>
        <w:t>and</w:t>
      </w:r>
      <w:r w:rsidRPr="00790FCF">
        <w:rPr>
          <w:rFonts w:ascii="Times New Roman" w:hAnsi="Times New Roman" w:cs="Times New Roman"/>
          <w:i/>
          <w:iCs/>
          <w:sz w:val="24"/>
          <w:szCs w:val="24"/>
        </w:rPr>
        <w:t xml:space="preserve"> Proteus mirabilis</w:t>
      </w:r>
      <w:r w:rsidRPr="00790FCF">
        <w:rPr>
          <w:rFonts w:ascii="Times New Roman" w:hAnsi="Times New Roman" w:cs="Times New Roman"/>
          <w:sz w:val="24"/>
          <w:szCs w:val="24"/>
        </w:rPr>
        <w:t xml:space="preserve">, demonstrated the ability to metabolize petroleum hydrocarbons, offering a practical and environmentally friendly approach to restoring contaminated soils. The study emphasizes the importance of using locally adapted bacterial strains since they improve biodegradation efficiency and promote sustainable restoration operations due to their innate tolerance to site-specific pollutants. We were able to more precisely identify the hydrocarbon-degrading </w:t>
      </w:r>
      <w:r w:rsidRPr="00790FCF">
        <w:rPr>
          <w:rFonts w:ascii="Times New Roman" w:hAnsi="Times New Roman" w:cs="Times New Roman"/>
          <w:sz w:val="24"/>
          <w:szCs w:val="24"/>
        </w:rPr>
        <w:lastRenderedPageBreak/>
        <w:t xml:space="preserve">bacteria by employing both Gram staining and 16S rRNA analysis. While 16S rRNA sequencing provided accurate taxonomic identification at the species level, Gram staining allowed quick preliminary classification based on cell shape and staining reactivity. </w:t>
      </w:r>
    </w:p>
    <w:p w14:paraId="6FD81630" w14:textId="77777777" w:rsidR="001C01C3" w:rsidRPr="00790FCF" w:rsidRDefault="001C01C3" w:rsidP="00746C6C">
      <w:pPr>
        <w:spacing w:after="0" w:line="480" w:lineRule="auto"/>
        <w:jc w:val="both"/>
        <w:rPr>
          <w:rFonts w:ascii="Times New Roman" w:hAnsi="Times New Roman" w:cs="Times New Roman"/>
          <w:sz w:val="24"/>
          <w:szCs w:val="24"/>
        </w:rPr>
      </w:pPr>
    </w:p>
    <w:p w14:paraId="4FD8346F" w14:textId="77777777" w:rsidR="001C01C3" w:rsidRPr="00790FCF" w:rsidRDefault="001C01C3" w:rsidP="00746C6C">
      <w:pPr>
        <w:spacing w:after="0" w:line="480" w:lineRule="auto"/>
        <w:jc w:val="both"/>
        <w:rPr>
          <w:rFonts w:ascii="Times New Roman" w:hAnsi="Times New Roman" w:cs="Times New Roman"/>
          <w:sz w:val="24"/>
          <w:szCs w:val="24"/>
        </w:rPr>
      </w:pPr>
    </w:p>
    <w:p w14:paraId="3460700D" w14:textId="77777777"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b/>
          <w:bCs/>
          <w:sz w:val="24"/>
          <w:szCs w:val="24"/>
        </w:rPr>
        <w:t>Data Availability</w:t>
      </w:r>
      <w:r w:rsidRPr="00790FCF">
        <w:rPr>
          <w:rFonts w:ascii="Times New Roman" w:hAnsi="Times New Roman" w:cs="Times New Roman"/>
          <w:sz w:val="24"/>
          <w:szCs w:val="24"/>
        </w:rPr>
        <w:t xml:space="preserve"> </w:t>
      </w:r>
    </w:p>
    <w:p w14:paraId="72B76183" w14:textId="77777777" w:rsidR="001C01C3"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All 16S rRNA sequences have been deposited in the NCBI SRA database and can be found at </w:t>
      </w:r>
      <w:hyperlink r:id="rId12" w:history="1">
        <w:r w:rsidRPr="00790FCF">
          <w:rPr>
            <w:rStyle w:val="Hyperlink"/>
            <w:rFonts w:ascii="Times New Roman" w:hAnsi="Times New Roman" w:cs="Times New Roman"/>
            <w:sz w:val="24"/>
            <w:szCs w:val="24"/>
          </w:rPr>
          <w:t>https://www.ncbi.nlm.nih.gov/genbank</w:t>
        </w:r>
      </w:hyperlink>
      <w:r w:rsidRPr="00790FCF">
        <w:rPr>
          <w:rFonts w:ascii="Times New Roman" w:hAnsi="Times New Roman" w:cs="Times New Roman"/>
          <w:sz w:val="24"/>
          <w:szCs w:val="24"/>
        </w:rPr>
        <w:t>.</w:t>
      </w:r>
    </w:p>
    <w:p w14:paraId="0024C0AD" w14:textId="77777777" w:rsidR="00AF0A6F" w:rsidRDefault="00AF0A6F" w:rsidP="00746C6C">
      <w:pPr>
        <w:spacing w:after="0" w:line="480" w:lineRule="auto"/>
        <w:jc w:val="both"/>
        <w:rPr>
          <w:rFonts w:ascii="Times New Roman" w:hAnsi="Times New Roman" w:cs="Times New Roman"/>
          <w:sz w:val="24"/>
          <w:szCs w:val="24"/>
        </w:rPr>
      </w:pPr>
    </w:p>
    <w:p w14:paraId="1D00577C" w14:textId="77777777" w:rsidR="00AF0A6F" w:rsidRPr="004637BB" w:rsidRDefault="00AF0A6F" w:rsidP="00AF0A6F">
      <w:pPr>
        <w:rPr>
          <w:rFonts w:ascii="Times New Roman" w:eastAsia="Calibri" w:hAnsi="Times New Roman" w:cs="Times New Roman"/>
          <w:kern w:val="2"/>
          <w:sz w:val="24"/>
          <w:szCs w:val="24"/>
          <w:highlight w:val="yellow"/>
        </w:rPr>
      </w:pPr>
      <w:bookmarkStart w:id="0" w:name="_Hlk211509776"/>
      <w:r w:rsidRPr="004637BB">
        <w:rPr>
          <w:rFonts w:ascii="Times New Roman" w:eastAsia="Calibri" w:hAnsi="Times New Roman" w:cs="Times New Roman"/>
          <w:kern w:val="2"/>
          <w:sz w:val="24"/>
          <w:szCs w:val="24"/>
          <w:highlight w:val="yellow"/>
        </w:rPr>
        <w:t>Disclaimer (Artificial intelligence)</w:t>
      </w:r>
    </w:p>
    <w:p w14:paraId="3128F116" w14:textId="77777777" w:rsidR="00AF0A6F" w:rsidRPr="004637BB" w:rsidRDefault="00AF0A6F" w:rsidP="004D3D7A">
      <w:pPr>
        <w:jc w:val="both"/>
        <w:rPr>
          <w:rFonts w:ascii="Times New Roman" w:eastAsia="Calibri" w:hAnsi="Times New Roman" w:cs="Times New Roman"/>
          <w:kern w:val="2"/>
          <w:sz w:val="24"/>
          <w:szCs w:val="24"/>
          <w:highlight w:val="yellow"/>
        </w:rPr>
      </w:pPr>
      <w:r w:rsidRPr="004637BB">
        <w:rPr>
          <w:rFonts w:ascii="Times New Roman" w:eastAsia="Calibri" w:hAnsi="Times New Roman" w:cs="Times New Roman"/>
          <w:kern w:val="2"/>
          <w:sz w:val="24"/>
          <w:szCs w:val="24"/>
          <w:highlight w:val="yellow"/>
        </w:rPr>
        <w:t xml:space="preserve">Author(s) hereby </w:t>
      </w:r>
      <w:proofErr w:type="gramStart"/>
      <w:r w:rsidRPr="004637BB">
        <w:rPr>
          <w:rFonts w:ascii="Times New Roman" w:eastAsia="Calibri" w:hAnsi="Times New Roman" w:cs="Times New Roman"/>
          <w:kern w:val="2"/>
          <w:sz w:val="24"/>
          <w:szCs w:val="24"/>
          <w:highlight w:val="yellow"/>
        </w:rPr>
        <w:t>declare</w:t>
      </w:r>
      <w:proofErr w:type="gramEnd"/>
      <w:r w:rsidRPr="004637BB">
        <w:rPr>
          <w:rFonts w:ascii="Times New Roman" w:eastAsia="Calibri" w:hAnsi="Times New Roman" w:cs="Times New Roman"/>
          <w:kern w:val="2"/>
          <w:sz w:val="24"/>
          <w:szCs w:val="24"/>
          <w:highlight w:val="yellow"/>
        </w:rPr>
        <w:t xml:space="preserve"> that NO generative AI technologies such as Large Language Models (ChatGPT, COPILOT, etc.) and text-to-image generators have been used during the writing or editing of this manuscript. </w:t>
      </w:r>
    </w:p>
    <w:bookmarkEnd w:id="0"/>
    <w:p w14:paraId="0AB5B455" w14:textId="77777777" w:rsidR="00AF0A6F" w:rsidRPr="00790FCF" w:rsidRDefault="00AF0A6F" w:rsidP="00746C6C">
      <w:pPr>
        <w:spacing w:after="0" w:line="480" w:lineRule="auto"/>
        <w:jc w:val="both"/>
        <w:rPr>
          <w:rFonts w:ascii="Times New Roman" w:hAnsi="Times New Roman" w:cs="Times New Roman"/>
          <w:sz w:val="24"/>
          <w:szCs w:val="24"/>
        </w:rPr>
      </w:pPr>
    </w:p>
    <w:p w14:paraId="77D3E476" w14:textId="77777777" w:rsidR="001C01C3" w:rsidRPr="00790FCF" w:rsidRDefault="001C01C3" w:rsidP="00746C6C">
      <w:pPr>
        <w:spacing w:after="0" w:line="480" w:lineRule="auto"/>
        <w:jc w:val="both"/>
        <w:rPr>
          <w:rFonts w:ascii="Times New Roman" w:hAnsi="Times New Roman" w:cs="Times New Roman"/>
          <w:b/>
          <w:bCs/>
          <w:sz w:val="24"/>
          <w:szCs w:val="24"/>
        </w:rPr>
      </w:pPr>
      <w:r w:rsidRPr="00790FCF">
        <w:rPr>
          <w:rFonts w:ascii="Times New Roman" w:hAnsi="Times New Roman" w:cs="Times New Roman"/>
          <w:b/>
          <w:sz w:val="24"/>
          <w:szCs w:val="24"/>
        </w:rPr>
        <w:t>References</w:t>
      </w:r>
    </w:p>
    <w:p w14:paraId="16F07CEE" w14:textId="77777777" w:rsidR="0066270B" w:rsidRDefault="0066270B" w:rsidP="00746C6C">
      <w:pPr>
        <w:pStyle w:val="ListParagraph"/>
        <w:numPr>
          <w:ilvl w:val="0"/>
          <w:numId w:val="2"/>
        </w:numPr>
        <w:spacing w:after="0" w:line="480" w:lineRule="auto"/>
        <w:jc w:val="both"/>
        <w:rPr>
          <w:rFonts w:ascii="Times New Roman" w:eastAsia="Times New Roman" w:hAnsi="Times New Roman" w:cs="Times New Roman"/>
          <w:sz w:val="24"/>
          <w:szCs w:val="24"/>
        </w:rPr>
      </w:pPr>
      <w:r w:rsidRPr="0066270B">
        <w:rPr>
          <w:rFonts w:ascii="Times New Roman" w:eastAsia="Times New Roman" w:hAnsi="Times New Roman" w:cs="Times New Roman"/>
          <w:sz w:val="24"/>
          <w:szCs w:val="24"/>
        </w:rPr>
        <w:t xml:space="preserve">Usmanova, R. M., Sattarova, N. A., &amp; Boyko, N. N. (2021). Influence of automobiles on environmental pollution. IOP Conference Series: Materials Science and Engineering, 1079(1), 062040. </w:t>
      </w:r>
      <w:hyperlink r:id="rId13" w:history="1">
        <w:r w:rsidRPr="0002561B">
          <w:rPr>
            <w:rStyle w:val="Hyperlink"/>
            <w:rFonts w:ascii="Times New Roman" w:eastAsia="Times New Roman" w:hAnsi="Times New Roman" w:cs="Times New Roman"/>
            <w:sz w:val="24"/>
            <w:szCs w:val="24"/>
          </w:rPr>
          <w:t>https://doi.org/10.1088/1757-899X/1079/1/062040</w:t>
        </w:r>
      </w:hyperlink>
      <w:r>
        <w:rPr>
          <w:rFonts w:ascii="Times New Roman" w:eastAsia="Times New Roman" w:hAnsi="Times New Roman" w:cs="Times New Roman"/>
          <w:sz w:val="24"/>
          <w:szCs w:val="24"/>
        </w:rPr>
        <w:t xml:space="preserve"> </w:t>
      </w:r>
    </w:p>
    <w:p w14:paraId="22F565E5" w14:textId="77777777" w:rsidR="0066270B" w:rsidRDefault="0066270B" w:rsidP="00AF6F86">
      <w:pPr>
        <w:pStyle w:val="ListParagraph"/>
        <w:numPr>
          <w:ilvl w:val="0"/>
          <w:numId w:val="2"/>
        </w:numPr>
        <w:spacing w:after="0" w:line="480" w:lineRule="auto"/>
        <w:jc w:val="both"/>
        <w:rPr>
          <w:rFonts w:ascii="Times New Roman" w:eastAsia="Times New Roman" w:hAnsi="Times New Roman" w:cs="Times New Roman"/>
          <w:sz w:val="24"/>
          <w:szCs w:val="24"/>
        </w:rPr>
      </w:pPr>
      <w:r w:rsidRPr="0066270B">
        <w:rPr>
          <w:rFonts w:ascii="Times New Roman" w:eastAsia="Times New Roman" w:hAnsi="Times New Roman" w:cs="Times New Roman"/>
          <w:sz w:val="24"/>
          <w:szCs w:val="24"/>
        </w:rPr>
        <w:t xml:space="preserve">Mori, R. (2023). Replacing all petroleum-based chemical products with natural biomass-based chemical products: a tutorial review. RSC Sustainability, 1(2), 179-212. </w:t>
      </w:r>
      <w:hyperlink r:id="rId14" w:history="1">
        <w:r w:rsidRPr="0002561B">
          <w:rPr>
            <w:rStyle w:val="Hyperlink"/>
            <w:rFonts w:ascii="Times New Roman" w:eastAsia="Times New Roman" w:hAnsi="Times New Roman" w:cs="Times New Roman"/>
            <w:sz w:val="24"/>
            <w:szCs w:val="24"/>
          </w:rPr>
          <w:t>https://doi.org/10.1039/D2SU00014H</w:t>
        </w:r>
      </w:hyperlink>
      <w:r>
        <w:rPr>
          <w:rFonts w:ascii="Times New Roman" w:eastAsia="Times New Roman" w:hAnsi="Times New Roman" w:cs="Times New Roman"/>
          <w:sz w:val="24"/>
          <w:szCs w:val="24"/>
        </w:rPr>
        <w:t xml:space="preserve"> </w:t>
      </w:r>
    </w:p>
    <w:p w14:paraId="3B52B4D8" w14:textId="77777777" w:rsidR="0066270B" w:rsidRDefault="0066270B" w:rsidP="00AF6F86">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6270B">
        <w:rPr>
          <w:rFonts w:ascii="Times New Roman" w:eastAsia="Times New Roman" w:hAnsi="Times New Roman" w:cs="Times New Roman"/>
          <w:sz w:val="24"/>
          <w:szCs w:val="24"/>
        </w:rPr>
        <w:t>Okebalama</w:t>
      </w:r>
      <w:proofErr w:type="spellEnd"/>
      <w:r w:rsidRPr="0066270B">
        <w:rPr>
          <w:rFonts w:ascii="Times New Roman" w:eastAsia="Times New Roman" w:hAnsi="Times New Roman" w:cs="Times New Roman"/>
          <w:sz w:val="24"/>
          <w:szCs w:val="24"/>
        </w:rPr>
        <w:t xml:space="preserve">, C. B., </w:t>
      </w:r>
      <w:proofErr w:type="spellStart"/>
      <w:r w:rsidRPr="0066270B">
        <w:rPr>
          <w:rFonts w:ascii="Times New Roman" w:eastAsia="Times New Roman" w:hAnsi="Times New Roman" w:cs="Times New Roman"/>
          <w:sz w:val="24"/>
          <w:szCs w:val="24"/>
        </w:rPr>
        <w:t>Onwurah</w:t>
      </w:r>
      <w:proofErr w:type="spellEnd"/>
      <w:r w:rsidRPr="0066270B">
        <w:rPr>
          <w:rFonts w:ascii="Times New Roman" w:eastAsia="Times New Roman" w:hAnsi="Times New Roman" w:cs="Times New Roman"/>
          <w:sz w:val="24"/>
          <w:szCs w:val="24"/>
        </w:rPr>
        <w:t xml:space="preserve">, C. L., </w:t>
      </w:r>
      <w:proofErr w:type="spellStart"/>
      <w:r w:rsidRPr="0066270B">
        <w:rPr>
          <w:rFonts w:ascii="Times New Roman" w:eastAsia="Times New Roman" w:hAnsi="Times New Roman" w:cs="Times New Roman"/>
          <w:sz w:val="24"/>
          <w:szCs w:val="24"/>
        </w:rPr>
        <w:t>Jidere</w:t>
      </w:r>
      <w:proofErr w:type="spellEnd"/>
      <w:r w:rsidRPr="0066270B">
        <w:rPr>
          <w:rFonts w:ascii="Times New Roman" w:eastAsia="Times New Roman" w:hAnsi="Times New Roman" w:cs="Times New Roman"/>
          <w:sz w:val="24"/>
          <w:szCs w:val="24"/>
        </w:rPr>
        <w:t xml:space="preserve">, C. M., &amp; Okolo, C. C. (2024). Disposal of spent oil into soils around auto parts markets impacts heavy metal concentrations and poses a potential ecological risk. Environmental Systems Research. </w:t>
      </w:r>
      <w:hyperlink r:id="rId15" w:history="1">
        <w:r w:rsidRPr="0002561B">
          <w:rPr>
            <w:rStyle w:val="Hyperlink"/>
            <w:rFonts w:ascii="Times New Roman" w:eastAsia="Times New Roman" w:hAnsi="Times New Roman" w:cs="Times New Roman"/>
            <w:sz w:val="24"/>
            <w:szCs w:val="24"/>
          </w:rPr>
          <w:t>https://doi.org/10.1186/s40068-024-00343-w</w:t>
        </w:r>
      </w:hyperlink>
      <w:r>
        <w:rPr>
          <w:rFonts w:ascii="Times New Roman" w:eastAsia="Times New Roman" w:hAnsi="Times New Roman" w:cs="Times New Roman"/>
          <w:sz w:val="24"/>
          <w:szCs w:val="24"/>
        </w:rPr>
        <w:t xml:space="preserve"> </w:t>
      </w:r>
    </w:p>
    <w:p w14:paraId="6EF09437" w14:textId="77777777" w:rsidR="0066270B" w:rsidRDefault="0066270B" w:rsidP="00AF6F86">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6270B">
        <w:rPr>
          <w:rFonts w:ascii="Times New Roman" w:eastAsia="Times New Roman" w:hAnsi="Times New Roman" w:cs="Times New Roman"/>
          <w:sz w:val="24"/>
          <w:szCs w:val="24"/>
        </w:rPr>
        <w:lastRenderedPageBreak/>
        <w:t>Armioni</w:t>
      </w:r>
      <w:proofErr w:type="spellEnd"/>
      <w:r w:rsidRPr="0066270B">
        <w:rPr>
          <w:rFonts w:ascii="Times New Roman" w:eastAsia="Times New Roman" w:hAnsi="Times New Roman" w:cs="Times New Roman"/>
          <w:sz w:val="24"/>
          <w:szCs w:val="24"/>
        </w:rPr>
        <w:t xml:space="preserve">, D. M., </w:t>
      </w:r>
      <w:proofErr w:type="spellStart"/>
      <w:r w:rsidRPr="0066270B">
        <w:rPr>
          <w:rFonts w:ascii="Times New Roman" w:eastAsia="Times New Roman" w:hAnsi="Times New Roman" w:cs="Times New Roman"/>
          <w:sz w:val="24"/>
          <w:szCs w:val="24"/>
        </w:rPr>
        <w:t>Rațiu</w:t>
      </w:r>
      <w:proofErr w:type="spellEnd"/>
      <w:r w:rsidRPr="0066270B">
        <w:rPr>
          <w:rFonts w:ascii="Times New Roman" w:eastAsia="Times New Roman" w:hAnsi="Times New Roman" w:cs="Times New Roman"/>
          <w:sz w:val="24"/>
          <w:szCs w:val="24"/>
        </w:rPr>
        <w:t xml:space="preserve">, S. A., Benea, M. L., &amp; </w:t>
      </w:r>
      <w:proofErr w:type="spellStart"/>
      <w:r w:rsidRPr="0066270B">
        <w:rPr>
          <w:rFonts w:ascii="Times New Roman" w:eastAsia="Times New Roman" w:hAnsi="Times New Roman" w:cs="Times New Roman"/>
          <w:sz w:val="24"/>
          <w:szCs w:val="24"/>
        </w:rPr>
        <w:t>Puțan</w:t>
      </w:r>
      <w:proofErr w:type="spellEnd"/>
      <w:r w:rsidRPr="0066270B">
        <w:rPr>
          <w:rFonts w:ascii="Times New Roman" w:eastAsia="Times New Roman" w:hAnsi="Times New Roman" w:cs="Times New Roman"/>
          <w:sz w:val="24"/>
          <w:szCs w:val="24"/>
        </w:rPr>
        <w:t xml:space="preserve">, V. (2024). Overview on the environmental impact of used engine oil. Journal of Physics: Conference Series, 2927, 012007. </w:t>
      </w:r>
      <w:hyperlink r:id="rId16" w:history="1">
        <w:r w:rsidRPr="0002561B">
          <w:rPr>
            <w:rStyle w:val="Hyperlink"/>
            <w:rFonts w:ascii="Times New Roman" w:eastAsia="Times New Roman" w:hAnsi="Times New Roman" w:cs="Times New Roman"/>
            <w:sz w:val="24"/>
            <w:szCs w:val="24"/>
          </w:rPr>
          <w:t>https://doi.org/10.1088/1742-6596/2927/1/012007</w:t>
        </w:r>
      </w:hyperlink>
      <w:r>
        <w:rPr>
          <w:rFonts w:ascii="Times New Roman" w:eastAsia="Times New Roman" w:hAnsi="Times New Roman" w:cs="Times New Roman"/>
          <w:sz w:val="24"/>
          <w:szCs w:val="24"/>
        </w:rPr>
        <w:t xml:space="preserve"> .</w:t>
      </w:r>
    </w:p>
    <w:p w14:paraId="1E72E257" w14:textId="77777777" w:rsidR="0066270B" w:rsidRDefault="0066270B" w:rsidP="00AF6F86">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6270B">
        <w:rPr>
          <w:rFonts w:ascii="Times New Roman" w:eastAsia="Times New Roman" w:hAnsi="Times New Roman" w:cs="Times New Roman"/>
          <w:sz w:val="24"/>
          <w:szCs w:val="24"/>
        </w:rPr>
        <w:t>Armioni</w:t>
      </w:r>
      <w:proofErr w:type="spellEnd"/>
      <w:r w:rsidRPr="0066270B">
        <w:rPr>
          <w:rFonts w:ascii="Times New Roman" w:eastAsia="Times New Roman" w:hAnsi="Times New Roman" w:cs="Times New Roman"/>
          <w:sz w:val="24"/>
          <w:szCs w:val="24"/>
        </w:rPr>
        <w:t xml:space="preserve">, D. M., </w:t>
      </w:r>
      <w:proofErr w:type="spellStart"/>
      <w:r w:rsidRPr="0066270B">
        <w:rPr>
          <w:rFonts w:ascii="Times New Roman" w:eastAsia="Times New Roman" w:hAnsi="Times New Roman" w:cs="Times New Roman"/>
          <w:sz w:val="24"/>
          <w:szCs w:val="24"/>
        </w:rPr>
        <w:t>Rațiu</w:t>
      </w:r>
      <w:proofErr w:type="spellEnd"/>
      <w:r w:rsidRPr="0066270B">
        <w:rPr>
          <w:rFonts w:ascii="Times New Roman" w:eastAsia="Times New Roman" w:hAnsi="Times New Roman" w:cs="Times New Roman"/>
          <w:sz w:val="24"/>
          <w:szCs w:val="24"/>
        </w:rPr>
        <w:t xml:space="preserve">, S. A., Benea, M. L., &amp; </w:t>
      </w:r>
      <w:proofErr w:type="spellStart"/>
      <w:r w:rsidRPr="0066270B">
        <w:rPr>
          <w:rFonts w:ascii="Times New Roman" w:eastAsia="Times New Roman" w:hAnsi="Times New Roman" w:cs="Times New Roman"/>
          <w:sz w:val="24"/>
          <w:szCs w:val="24"/>
        </w:rPr>
        <w:t>Puțan</w:t>
      </w:r>
      <w:proofErr w:type="spellEnd"/>
      <w:r w:rsidRPr="0066270B">
        <w:rPr>
          <w:rFonts w:ascii="Times New Roman" w:eastAsia="Times New Roman" w:hAnsi="Times New Roman" w:cs="Times New Roman"/>
          <w:sz w:val="24"/>
          <w:szCs w:val="24"/>
        </w:rPr>
        <w:t xml:space="preserve">, V. (2024). Overview on the environmental impact of used engine oil. Journal of Physics: Conference Series, 2927, 012007. </w:t>
      </w:r>
      <w:hyperlink r:id="rId17" w:history="1">
        <w:r w:rsidRPr="0002561B">
          <w:rPr>
            <w:rStyle w:val="Hyperlink"/>
            <w:rFonts w:ascii="Times New Roman" w:eastAsia="Times New Roman" w:hAnsi="Times New Roman" w:cs="Times New Roman"/>
            <w:sz w:val="24"/>
            <w:szCs w:val="24"/>
          </w:rPr>
          <w:t>https://doi.org/10.1088/1742-6596/2927/1/012007</w:t>
        </w:r>
      </w:hyperlink>
      <w:r>
        <w:rPr>
          <w:rFonts w:ascii="Times New Roman" w:eastAsia="Times New Roman" w:hAnsi="Times New Roman" w:cs="Times New Roman"/>
          <w:sz w:val="24"/>
          <w:szCs w:val="24"/>
        </w:rPr>
        <w:t xml:space="preserve"> </w:t>
      </w:r>
    </w:p>
    <w:p w14:paraId="3861EDDC" w14:textId="77777777" w:rsidR="0066270B" w:rsidRPr="0066270B" w:rsidRDefault="0066270B" w:rsidP="00746C6C">
      <w:pPr>
        <w:pStyle w:val="ListParagraph"/>
        <w:numPr>
          <w:ilvl w:val="0"/>
          <w:numId w:val="2"/>
        </w:numPr>
        <w:spacing w:after="0" w:line="480" w:lineRule="auto"/>
        <w:jc w:val="both"/>
        <w:rPr>
          <w:rFonts w:ascii="Times New Roman" w:eastAsia="Times New Roman" w:hAnsi="Times New Roman" w:cs="Times New Roman"/>
          <w:sz w:val="24"/>
          <w:szCs w:val="24"/>
        </w:rPr>
      </w:pPr>
      <w:r w:rsidRPr="0066270B">
        <w:rPr>
          <w:rFonts w:ascii="Times New Roman" w:eastAsia="Times New Roman" w:hAnsi="Times New Roman" w:cs="Times New Roman"/>
          <w:sz w:val="24"/>
          <w:szCs w:val="24"/>
        </w:rPr>
        <w:t xml:space="preserve">Alao, J. O., Saqr, A. M., Ayejoto, D. A., </w:t>
      </w:r>
      <w:proofErr w:type="spellStart"/>
      <w:r w:rsidRPr="0066270B">
        <w:rPr>
          <w:rFonts w:ascii="Times New Roman" w:eastAsia="Times New Roman" w:hAnsi="Times New Roman" w:cs="Times New Roman"/>
          <w:sz w:val="24"/>
          <w:szCs w:val="24"/>
        </w:rPr>
        <w:t>Otorkpa</w:t>
      </w:r>
      <w:proofErr w:type="spellEnd"/>
      <w:r w:rsidRPr="0066270B">
        <w:rPr>
          <w:rFonts w:ascii="Times New Roman" w:eastAsia="Times New Roman" w:hAnsi="Times New Roman" w:cs="Times New Roman"/>
          <w:sz w:val="24"/>
          <w:szCs w:val="24"/>
        </w:rPr>
        <w:t xml:space="preserve">, O. J., Abubakar, F., Mohammed, M. A., &amp; Ibe, A. A. (2025). Environmental impacts of hydrocarbon contaminants and associated potential public health risks. Journal of Hazardous Materials Advances, 19, 100853. </w:t>
      </w:r>
      <w:hyperlink r:id="rId18" w:history="1">
        <w:r w:rsidRPr="0002561B">
          <w:rPr>
            <w:rStyle w:val="Hyperlink"/>
            <w:rFonts w:ascii="Times New Roman" w:eastAsia="Times New Roman" w:hAnsi="Times New Roman" w:cs="Times New Roman"/>
            <w:sz w:val="24"/>
            <w:szCs w:val="24"/>
          </w:rPr>
          <w:t>https://doi.org/10.1016/j.hazadv.2025.</w:t>
        </w:r>
        <w:r w:rsidRPr="0002561B">
          <w:rPr>
            <w:rStyle w:val="Hyperlink"/>
          </w:rPr>
          <w:t>100853</w:t>
        </w:r>
      </w:hyperlink>
    </w:p>
    <w:p w14:paraId="1FEEEAFD" w14:textId="77777777" w:rsidR="0066270B" w:rsidRPr="0066270B" w:rsidRDefault="0066270B" w:rsidP="00746C6C">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6270B">
        <w:t>Raţiu</w:t>
      </w:r>
      <w:proofErr w:type="spellEnd"/>
      <w:r w:rsidRPr="0066270B">
        <w:t xml:space="preserve">, S., Josan, A., Alexa, V., Cioată, V. G., &amp; Kiss, I. (2021). Impact of contaminants on engine oil: A review. Journal of Physics: Conference Series, 1781(1), 012051. </w:t>
      </w:r>
      <w:hyperlink r:id="rId19" w:history="1">
        <w:r w:rsidRPr="0002561B">
          <w:rPr>
            <w:rStyle w:val="Hyperlink"/>
          </w:rPr>
          <w:t>https://doi.org/10.1088/1742-6596/1781/1/012051</w:t>
        </w:r>
      </w:hyperlink>
    </w:p>
    <w:p w14:paraId="2BB9AC20" w14:textId="77777777" w:rsidR="0066270B" w:rsidRPr="0066270B" w:rsidRDefault="0066270B" w:rsidP="00746C6C">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6270B">
        <w:t>Thaniem</w:t>
      </w:r>
      <w:proofErr w:type="spellEnd"/>
      <w:r w:rsidRPr="0066270B">
        <w:t xml:space="preserve">, M., Prakash, A., &amp; Muniyandi, M. (2022). The impacts on consumer health from dug well contamination - A crucial drinking water source. International Journal for Research in Applied Science and Engineering Technology, 10(8), 1318-1327. </w:t>
      </w:r>
      <w:hyperlink r:id="rId20" w:history="1">
        <w:r w:rsidRPr="0002561B">
          <w:rPr>
            <w:rStyle w:val="Hyperlink"/>
          </w:rPr>
          <w:t>https://doi.org/10.22214/ijraset.2022.46414</w:t>
        </w:r>
      </w:hyperlink>
    </w:p>
    <w:p w14:paraId="0D0D14A8" w14:textId="77777777" w:rsidR="0066270B" w:rsidRPr="0066270B" w:rsidRDefault="0066270B" w:rsidP="00746C6C">
      <w:pPr>
        <w:pStyle w:val="ListParagraph"/>
        <w:numPr>
          <w:ilvl w:val="0"/>
          <w:numId w:val="2"/>
        </w:numPr>
        <w:spacing w:after="0" w:line="480" w:lineRule="auto"/>
        <w:jc w:val="both"/>
        <w:rPr>
          <w:rFonts w:ascii="Times New Roman" w:eastAsia="Times New Roman" w:hAnsi="Times New Roman" w:cs="Times New Roman"/>
          <w:sz w:val="24"/>
          <w:szCs w:val="24"/>
        </w:rPr>
      </w:pPr>
      <w:r w:rsidRPr="0066270B">
        <w:t xml:space="preserve">Medeiros, A. D. M. d., Silva Junior, C. J. G. d., Amorim, J. D. P. d., Durval, I. J. B., Costa, A. F. d. S., &amp; Sarubbo, L. A. (2022). Oily Wastewater Treatment: Methods, Challenges, and Trends. Processes, 10(4), 743. </w:t>
      </w:r>
      <w:hyperlink r:id="rId21" w:history="1">
        <w:r w:rsidRPr="0002561B">
          <w:rPr>
            <w:rStyle w:val="Hyperlink"/>
          </w:rPr>
          <w:t>https://doi.org/10.3390/pr10040743</w:t>
        </w:r>
      </w:hyperlink>
    </w:p>
    <w:p w14:paraId="49DE1A04" w14:textId="77777777" w:rsidR="0066270B" w:rsidRPr="0066270B" w:rsidRDefault="0066270B" w:rsidP="00746C6C">
      <w:pPr>
        <w:pStyle w:val="ListParagraph"/>
        <w:numPr>
          <w:ilvl w:val="0"/>
          <w:numId w:val="2"/>
        </w:numPr>
        <w:spacing w:after="0" w:line="480" w:lineRule="auto"/>
        <w:jc w:val="both"/>
        <w:rPr>
          <w:rFonts w:ascii="Times New Roman" w:hAnsi="Times New Roman" w:cs="Times New Roman"/>
          <w:sz w:val="24"/>
          <w:szCs w:val="24"/>
        </w:rPr>
      </w:pPr>
      <w:r w:rsidRPr="00DA378C">
        <w:rPr>
          <w:lang w:val="nl-BE"/>
        </w:rPr>
        <w:t xml:space="preserve">Colmo, C., Tegelaar, M., &amp; Ayres, P. (2025). </w:t>
      </w:r>
      <w:r w:rsidRPr="0066270B">
        <w:t xml:space="preserve">Bioremediation of Polycyclic Aromatic Hydrocarbons (PAHs) in Aqueous Environments: A Review of Biofiltration, Biosorption, and Biodegradation Strategies Using Living Fungal Mycelium. Fermentation, 11(10), 573. </w:t>
      </w:r>
      <w:hyperlink r:id="rId22" w:history="1">
        <w:r w:rsidRPr="0002561B">
          <w:rPr>
            <w:rStyle w:val="Hyperlink"/>
          </w:rPr>
          <w:t>https://doi.org/10.3390/fermentation11100573</w:t>
        </w:r>
      </w:hyperlink>
    </w:p>
    <w:p w14:paraId="6898F300" w14:textId="77777777" w:rsidR="00AF2392" w:rsidRPr="00AF2392" w:rsidRDefault="00AF2392" w:rsidP="00746C6C">
      <w:pPr>
        <w:pStyle w:val="ListParagraph"/>
        <w:numPr>
          <w:ilvl w:val="0"/>
          <w:numId w:val="2"/>
        </w:numPr>
        <w:spacing w:after="0" w:line="480" w:lineRule="auto"/>
        <w:jc w:val="both"/>
        <w:rPr>
          <w:rFonts w:ascii="Times New Roman" w:eastAsia="Times New Roman" w:hAnsi="Times New Roman" w:cs="Times New Roman"/>
          <w:sz w:val="24"/>
          <w:szCs w:val="24"/>
        </w:rPr>
      </w:pPr>
      <w:r w:rsidRPr="00AF2392">
        <w:t xml:space="preserve">Das, N., Kumar, V., </w:t>
      </w:r>
      <w:proofErr w:type="spellStart"/>
      <w:r w:rsidRPr="00AF2392">
        <w:t>Chaure</w:t>
      </w:r>
      <w:proofErr w:type="spellEnd"/>
      <w:r w:rsidRPr="00AF2392">
        <w:t xml:space="preserve">, K., &amp; Pandey, P. (2025). Environmental restoration of polyaromatic hydrocarbon-contaminated soil through sustainable rhizoremediation: </w:t>
      </w:r>
      <w:r w:rsidRPr="00AF2392">
        <w:lastRenderedPageBreak/>
        <w:t xml:space="preserve">insights into bioeconomy and high-throughput systematic analysis. Environmental Science: Advances, 4, 842-883. </w:t>
      </w:r>
      <w:hyperlink r:id="rId23" w:history="1">
        <w:r w:rsidRPr="0002561B">
          <w:rPr>
            <w:rStyle w:val="Hyperlink"/>
          </w:rPr>
          <w:t>https://doi.org/10.1039/D4VA00203B</w:t>
        </w:r>
      </w:hyperlink>
      <w:r>
        <w:t xml:space="preserve"> </w:t>
      </w:r>
    </w:p>
    <w:p w14:paraId="4EAF4840" w14:textId="77777777" w:rsidR="00AF2392" w:rsidRPr="00AF2392" w:rsidRDefault="00AF2392" w:rsidP="00746C6C">
      <w:pPr>
        <w:pStyle w:val="ListParagraph"/>
        <w:numPr>
          <w:ilvl w:val="0"/>
          <w:numId w:val="2"/>
        </w:numPr>
        <w:spacing w:after="0" w:line="480" w:lineRule="auto"/>
        <w:jc w:val="both"/>
        <w:rPr>
          <w:rFonts w:ascii="Times New Roman" w:eastAsia="Times New Roman" w:hAnsi="Times New Roman" w:cs="Times New Roman"/>
          <w:sz w:val="24"/>
          <w:szCs w:val="24"/>
        </w:rPr>
      </w:pPr>
      <w:r w:rsidRPr="00AF2392">
        <w:rPr>
          <w:rFonts w:ascii="Times New Roman" w:eastAsia="Times New Roman" w:hAnsi="Times New Roman" w:cs="Times New Roman"/>
          <w:sz w:val="24"/>
          <w:szCs w:val="24"/>
        </w:rPr>
        <w:t xml:space="preserve">Pandolfo, E., Barra Caracciolo, A., &amp; Rolando, L. (2023). Recent Advances in Bacterial Degradation of Hydrocarbons. Water, 15(2), 375. </w:t>
      </w:r>
      <w:hyperlink r:id="rId24" w:history="1">
        <w:r w:rsidRPr="0002561B">
          <w:rPr>
            <w:rStyle w:val="Hyperlink"/>
            <w:rFonts w:ascii="Times New Roman" w:eastAsia="Times New Roman" w:hAnsi="Times New Roman" w:cs="Times New Roman"/>
            <w:sz w:val="24"/>
            <w:szCs w:val="24"/>
          </w:rPr>
          <w:t>https://doi.org/10.3390/</w:t>
        </w:r>
        <w:r w:rsidRPr="0002561B">
          <w:rPr>
            <w:rStyle w:val="Hyperlink"/>
          </w:rPr>
          <w:t>w15020375</w:t>
        </w:r>
      </w:hyperlink>
    </w:p>
    <w:p w14:paraId="3573A5C1" w14:textId="77777777"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DA378C">
        <w:rPr>
          <w:lang w:val="nl-BE"/>
        </w:rPr>
        <w:t xml:space="preserve">Kebede, G., Tafese, T., Abda, E. M., Kamaraj, M., &amp; Assefa, F. (2021). </w:t>
      </w:r>
      <w:r w:rsidRPr="00AF2392">
        <w:t xml:space="preserve">Factors influencing the bacterial bioremediation of hydrocarbon contaminants in the soil: mechanisms and impacts. Journal of Chemistry, 2021, Article ID 9823362. </w:t>
      </w:r>
      <w:hyperlink r:id="rId25" w:history="1">
        <w:r w:rsidRPr="0002561B">
          <w:rPr>
            <w:rStyle w:val="Hyperlink"/>
          </w:rPr>
          <w:t>https://doi.org/10.1155/2021/9823362</w:t>
        </w:r>
      </w:hyperlink>
      <w:r>
        <w:t xml:space="preserve"> </w:t>
      </w:r>
    </w:p>
    <w:p w14:paraId="30AAA32C" w14:textId="77777777"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rPr>
          <w:rFonts w:ascii="Times New Roman" w:hAnsi="Times New Roman" w:cs="Times New Roman"/>
          <w:sz w:val="24"/>
          <w:szCs w:val="24"/>
        </w:rPr>
        <w:t>Ebakota</w:t>
      </w:r>
      <w:proofErr w:type="spellEnd"/>
      <w:r w:rsidRPr="00AF2392">
        <w:rPr>
          <w:rFonts w:ascii="Times New Roman" w:hAnsi="Times New Roman" w:cs="Times New Roman"/>
          <w:sz w:val="24"/>
          <w:szCs w:val="24"/>
        </w:rPr>
        <w:t xml:space="preserve">, O. D., </w:t>
      </w:r>
      <w:proofErr w:type="spellStart"/>
      <w:r w:rsidRPr="00AF2392">
        <w:rPr>
          <w:rFonts w:ascii="Times New Roman" w:hAnsi="Times New Roman" w:cs="Times New Roman"/>
          <w:sz w:val="24"/>
          <w:szCs w:val="24"/>
        </w:rPr>
        <w:t>Osarueme</w:t>
      </w:r>
      <w:proofErr w:type="spellEnd"/>
      <w:r w:rsidRPr="00AF2392">
        <w:rPr>
          <w:rFonts w:ascii="Times New Roman" w:hAnsi="Times New Roman" w:cs="Times New Roman"/>
          <w:sz w:val="24"/>
          <w:szCs w:val="24"/>
        </w:rPr>
        <w:t xml:space="preserve">, J. O., Gift, O. N., </w:t>
      </w:r>
      <w:proofErr w:type="spellStart"/>
      <w:r w:rsidRPr="00AF2392">
        <w:rPr>
          <w:rFonts w:ascii="Times New Roman" w:hAnsi="Times New Roman" w:cs="Times New Roman"/>
          <w:sz w:val="24"/>
          <w:szCs w:val="24"/>
        </w:rPr>
        <w:t>Odoligie</w:t>
      </w:r>
      <w:proofErr w:type="spellEnd"/>
      <w:r w:rsidRPr="00AF2392">
        <w:rPr>
          <w:rFonts w:ascii="Times New Roman" w:hAnsi="Times New Roman" w:cs="Times New Roman"/>
          <w:sz w:val="24"/>
          <w:szCs w:val="24"/>
        </w:rPr>
        <w:t xml:space="preserve">, I., &amp; Osazee, J. O. (2017). Isolation and characterization of hydrocarbon-degrading bacteria in top and subsoil of selected mechanic workshops in Benin City metropolis, Nigeria. Journal of Applied Sciences and Environmental Management, 21, 641-645. </w:t>
      </w:r>
      <w:hyperlink r:id="rId26" w:history="1">
        <w:r w:rsidRPr="0002561B">
          <w:rPr>
            <w:rStyle w:val="Hyperlink"/>
            <w:rFonts w:ascii="Times New Roman" w:hAnsi="Times New Roman" w:cs="Times New Roman"/>
            <w:sz w:val="24"/>
            <w:szCs w:val="24"/>
          </w:rPr>
          <w:t>https://doi.org/10.4314/jasem.v21i4.3</w:t>
        </w:r>
      </w:hyperlink>
      <w:r>
        <w:rPr>
          <w:rFonts w:ascii="Times New Roman" w:hAnsi="Times New Roman" w:cs="Times New Roman"/>
          <w:sz w:val="24"/>
          <w:szCs w:val="24"/>
        </w:rPr>
        <w:t xml:space="preserve"> </w:t>
      </w:r>
    </w:p>
    <w:p w14:paraId="1D42A275" w14:textId="77777777" w:rsidR="00AF2392" w:rsidRPr="00AF2392" w:rsidRDefault="00AF2392" w:rsidP="00746C6C">
      <w:pPr>
        <w:pStyle w:val="ListParagraph"/>
        <w:numPr>
          <w:ilvl w:val="0"/>
          <w:numId w:val="2"/>
        </w:numPr>
        <w:spacing w:after="0" w:line="480" w:lineRule="auto"/>
        <w:jc w:val="both"/>
        <w:rPr>
          <w:rFonts w:ascii="Times New Roman" w:eastAsia="Times New Roman" w:hAnsi="Times New Roman" w:cs="Times New Roman"/>
          <w:sz w:val="24"/>
          <w:szCs w:val="24"/>
        </w:rPr>
      </w:pPr>
      <w:r w:rsidRPr="00AF2392">
        <w:rPr>
          <w:rFonts w:ascii="Times New Roman" w:hAnsi="Times New Roman" w:cs="Times New Roman"/>
          <w:sz w:val="24"/>
          <w:szCs w:val="24"/>
        </w:rPr>
        <w:t xml:space="preserve">Matthiesen, H. (2004). In situ measurement of soil </w:t>
      </w:r>
      <w:proofErr w:type="spellStart"/>
      <w:r w:rsidRPr="00AF2392">
        <w:rPr>
          <w:rFonts w:ascii="Times New Roman" w:hAnsi="Times New Roman" w:cs="Times New Roman"/>
          <w:sz w:val="24"/>
          <w:szCs w:val="24"/>
        </w:rPr>
        <w:t>pH.</w:t>
      </w:r>
      <w:proofErr w:type="spellEnd"/>
      <w:r w:rsidRPr="00AF2392">
        <w:rPr>
          <w:rFonts w:ascii="Times New Roman" w:hAnsi="Times New Roman" w:cs="Times New Roman"/>
          <w:sz w:val="24"/>
          <w:szCs w:val="24"/>
        </w:rPr>
        <w:t xml:space="preserve"> Journal of Archaeological Science, 31, 1373-1381. </w:t>
      </w:r>
      <w:hyperlink r:id="rId27" w:history="1">
        <w:r w:rsidRPr="0002561B">
          <w:rPr>
            <w:rStyle w:val="Hyperlink"/>
            <w:rFonts w:ascii="Times New Roman" w:hAnsi="Times New Roman" w:cs="Times New Roman"/>
            <w:sz w:val="24"/>
            <w:szCs w:val="24"/>
          </w:rPr>
          <w:t>https://doi.org/10.1016/j.jas.2004.03.005</w:t>
        </w:r>
      </w:hyperlink>
      <w:r>
        <w:rPr>
          <w:rFonts w:ascii="Times New Roman" w:hAnsi="Times New Roman" w:cs="Times New Roman"/>
          <w:sz w:val="24"/>
          <w:szCs w:val="24"/>
        </w:rPr>
        <w:t xml:space="preserve"> </w:t>
      </w:r>
    </w:p>
    <w:p w14:paraId="205F2352" w14:textId="77777777"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rPr>
          <w:rFonts w:ascii="Times New Roman" w:eastAsia="Times New Roman" w:hAnsi="Times New Roman" w:cs="Times New Roman"/>
          <w:sz w:val="24"/>
          <w:szCs w:val="24"/>
        </w:rPr>
        <w:t xml:space="preserve">Osuji, M. I., </w:t>
      </w:r>
      <w:proofErr w:type="spellStart"/>
      <w:r w:rsidRPr="00AF2392">
        <w:rPr>
          <w:rFonts w:ascii="Times New Roman" w:eastAsia="Times New Roman" w:hAnsi="Times New Roman" w:cs="Times New Roman"/>
          <w:sz w:val="24"/>
          <w:szCs w:val="24"/>
        </w:rPr>
        <w:t>Ogbulie</w:t>
      </w:r>
      <w:proofErr w:type="spellEnd"/>
      <w:r w:rsidRPr="00AF2392">
        <w:rPr>
          <w:rFonts w:ascii="Times New Roman" w:eastAsia="Times New Roman" w:hAnsi="Times New Roman" w:cs="Times New Roman"/>
          <w:sz w:val="24"/>
          <w:szCs w:val="24"/>
        </w:rPr>
        <w:t xml:space="preserve">, J. N., Nweke, C. O., </w:t>
      </w:r>
      <w:proofErr w:type="spellStart"/>
      <w:r w:rsidRPr="00AF2392">
        <w:rPr>
          <w:rFonts w:ascii="Times New Roman" w:eastAsia="Times New Roman" w:hAnsi="Times New Roman" w:cs="Times New Roman"/>
          <w:sz w:val="24"/>
          <w:szCs w:val="24"/>
        </w:rPr>
        <w:t>Nwanyanwu</w:t>
      </w:r>
      <w:proofErr w:type="spellEnd"/>
      <w:r w:rsidRPr="00AF2392">
        <w:rPr>
          <w:rFonts w:ascii="Times New Roman" w:eastAsia="Times New Roman" w:hAnsi="Times New Roman" w:cs="Times New Roman"/>
          <w:sz w:val="24"/>
          <w:szCs w:val="24"/>
        </w:rPr>
        <w:t xml:space="preserve">, C. E., </w:t>
      </w:r>
      <w:proofErr w:type="spellStart"/>
      <w:r w:rsidRPr="00AF2392">
        <w:rPr>
          <w:rFonts w:ascii="Times New Roman" w:eastAsia="Times New Roman" w:hAnsi="Times New Roman" w:cs="Times New Roman"/>
          <w:sz w:val="24"/>
          <w:szCs w:val="24"/>
        </w:rPr>
        <w:t>Ndiukwu</w:t>
      </w:r>
      <w:proofErr w:type="spellEnd"/>
      <w:r w:rsidRPr="00AF2392">
        <w:rPr>
          <w:rFonts w:ascii="Times New Roman" w:eastAsia="Times New Roman" w:hAnsi="Times New Roman" w:cs="Times New Roman"/>
          <w:sz w:val="24"/>
          <w:szCs w:val="24"/>
        </w:rPr>
        <w:t xml:space="preserve">, P. C., &amp; </w:t>
      </w:r>
      <w:proofErr w:type="spellStart"/>
      <w:r w:rsidRPr="00AF2392">
        <w:rPr>
          <w:rFonts w:ascii="Times New Roman" w:eastAsia="Times New Roman" w:hAnsi="Times New Roman" w:cs="Times New Roman"/>
          <w:sz w:val="24"/>
          <w:szCs w:val="24"/>
        </w:rPr>
        <w:t>Udeogu</w:t>
      </w:r>
      <w:proofErr w:type="spellEnd"/>
      <w:r w:rsidRPr="00AF2392">
        <w:rPr>
          <w:rFonts w:ascii="Times New Roman" w:eastAsia="Times New Roman" w:hAnsi="Times New Roman" w:cs="Times New Roman"/>
          <w:sz w:val="24"/>
          <w:szCs w:val="24"/>
        </w:rPr>
        <w:t xml:space="preserve">, C. V. (2023). Isolation and identification of bacteria from engine oil polluted soil from mechanic workshops in </w:t>
      </w:r>
      <w:proofErr w:type="spellStart"/>
      <w:r w:rsidRPr="00AF2392">
        <w:rPr>
          <w:rFonts w:ascii="Times New Roman" w:eastAsia="Times New Roman" w:hAnsi="Times New Roman" w:cs="Times New Roman"/>
          <w:sz w:val="24"/>
          <w:szCs w:val="24"/>
        </w:rPr>
        <w:t>Okija</w:t>
      </w:r>
      <w:proofErr w:type="spellEnd"/>
      <w:r w:rsidRPr="00AF2392">
        <w:rPr>
          <w:rFonts w:ascii="Times New Roman" w:eastAsia="Times New Roman" w:hAnsi="Times New Roman" w:cs="Times New Roman"/>
          <w:sz w:val="24"/>
          <w:szCs w:val="24"/>
        </w:rPr>
        <w:t xml:space="preserve"> Town. Journal of Microbiology &amp; Experimentation, 11(5), 138-141. </w:t>
      </w:r>
      <w:hyperlink r:id="rId28" w:history="1">
        <w:r w:rsidRPr="0002561B">
          <w:rPr>
            <w:rStyle w:val="Hyperlink"/>
            <w:rFonts w:ascii="Times New Roman" w:eastAsia="Times New Roman" w:hAnsi="Times New Roman" w:cs="Times New Roman"/>
            <w:sz w:val="24"/>
            <w:szCs w:val="24"/>
          </w:rPr>
          <w:t>https://doi.org/10.15406/jmen.2023.11.00401</w:t>
        </w:r>
      </w:hyperlink>
      <w:r>
        <w:rPr>
          <w:rFonts w:ascii="Times New Roman" w:eastAsia="Times New Roman" w:hAnsi="Times New Roman" w:cs="Times New Roman"/>
          <w:sz w:val="24"/>
          <w:szCs w:val="24"/>
        </w:rPr>
        <w:t xml:space="preserve"> </w:t>
      </w:r>
    </w:p>
    <w:p w14:paraId="7CDAB8D5" w14:textId="77777777"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rPr>
          <w:rFonts w:ascii="Times New Roman" w:hAnsi="Times New Roman" w:cs="Times New Roman"/>
          <w:sz w:val="24"/>
          <w:szCs w:val="24"/>
        </w:rPr>
        <w:t>Ibiyemi</w:t>
      </w:r>
      <w:proofErr w:type="spellEnd"/>
      <w:r w:rsidRPr="00AF2392">
        <w:rPr>
          <w:rFonts w:ascii="Times New Roman" w:hAnsi="Times New Roman" w:cs="Times New Roman"/>
          <w:sz w:val="24"/>
          <w:szCs w:val="24"/>
        </w:rPr>
        <w:t xml:space="preserve">, M. F., Julius, O. O., &amp; </w:t>
      </w:r>
      <w:proofErr w:type="spellStart"/>
      <w:r w:rsidRPr="00AF2392">
        <w:rPr>
          <w:rFonts w:ascii="Times New Roman" w:hAnsi="Times New Roman" w:cs="Times New Roman"/>
          <w:sz w:val="24"/>
          <w:szCs w:val="24"/>
        </w:rPr>
        <w:t>Oluwasusi</w:t>
      </w:r>
      <w:proofErr w:type="spellEnd"/>
      <w:r w:rsidRPr="00AF2392">
        <w:rPr>
          <w:rFonts w:ascii="Times New Roman" w:hAnsi="Times New Roman" w:cs="Times New Roman"/>
          <w:sz w:val="24"/>
          <w:szCs w:val="24"/>
        </w:rPr>
        <w:t xml:space="preserve">, V. O. (2022). Microbiological and physiochemical analyses of oil contaminated soil from major auto mechanic workshops in Ado-Ekiti metropolis. World Journal of Advanced Research and Reviews, 15(1), 233-238. </w:t>
      </w:r>
      <w:hyperlink r:id="rId29" w:history="1">
        <w:r w:rsidRPr="0002561B">
          <w:rPr>
            <w:rStyle w:val="Hyperlink"/>
            <w:rFonts w:ascii="Times New Roman" w:hAnsi="Times New Roman" w:cs="Times New Roman"/>
            <w:sz w:val="24"/>
            <w:szCs w:val="24"/>
          </w:rPr>
          <w:t>https://doi.org/10.30574/wjarr.2022.15.1.0695</w:t>
        </w:r>
      </w:hyperlink>
      <w:r>
        <w:rPr>
          <w:rFonts w:ascii="Times New Roman" w:hAnsi="Times New Roman" w:cs="Times New Roman"/>
          <w:sz w:val="24"/>
          <w:szCs w:val="24"/>
        </w:rPr>
        <w:t xml:space="preserve"> </w:t>
      </w:r>
    </w:p>
    <w:p w14:paraId="6DF1BE7C" w14:textId="77777777"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rPr>
          <w:rFonts w:ascii="Times New Roman" w:hAnsi="Times New Roman" w:cs="Times New Roman"/>
          <w:sz w:val="24"/>
          <w:szCs w:val="24"/>
        </w:rPr>
        <w:t xml:space="preserve">Mishra, S., Sharma, P., &amp; Kalra, K. (2025). Isolation and characterization of hydrocarbon degrading bacteria isolated from oil contaminated soil. International </w:t>
      </w:r>
      <w:r w:rsidRPr="00AF2392">
        <w:rPr>
          <w:rFonts w:ascii="Times New Roman" w:hAnsi="Times New Roman" w:cs="Times New Roman"/>
          <w:sz w:val="24"/>
          <w:szCs w:val="24"/>
        </w:rPr>
        <w:lastRenderedPageBreak/>
        <w:t xml:space="preserve">Journal of Pharmacy Research &amp; Technology (IJPRT), 15(1), 228–232. </w:t>
      </w:r>
      <w:hyperlink r:id="rId30" w:history="1">
        <w:r w:rsidRPr="0002561B">
          <w:rPr>
            <w:rStyle w:val="Hyperlink"/>
            <w:rFonts w:ascii="Times New Roman" w:hAnsi="Times New Roman" w:cs="Times New Roman"/>
            <w:sz w:val="24"/>
            <w:szCs w:val="24"/>
          </w:rPr>
          <w:t>https://doi.org/10.31838/ijprt/15.01.</w:t>
        </w:r>
        <w:r w:rsidRPr="0002561B">
          <w:rPr>
            <w:rStyle w:val="Hyperlink"/>
          </w:rPr>
          <w:t>35</w:t>
        </w:r>
      </w:hyperlink>
    </w:p>
    <w:p w14:paraId="6E2585AB" w14:textId="77777777"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t xml:space="preserve">Paray, A. A., Singh, M., Mir, M. A., &amp; Kaur, A. (2023). Gram staining: a brief review. International Journal of Research and Review, 10, 336-341. </w:t>
      </w:r>
      <w:hyperlink r:id="rId31" w:history="1">
        <w:r w:rsidRPr="0002561B">
          <w:rPr>
            <w:rStyle w:val="Hyperlink"/>
          </w:rPr>
          <w:t>https://doi.org/10.52403/ijrr.20230934</w:t>
        </w:r>
      </w:hyperlink>
    </w:p>
    <w:p w14:paraId="3085DD3E" w14:textId="77777777"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t>Chunwafor</w:t>
      </w:r>
      <w:proofErr w:type="spellEnd"/>
      <w:r w:rsidRPr="00AF2392">
        <w:t xml:space="preserve">, M. I., &amp; Ogbonda, K. H. (2024). The genomics of hydrocarbon-utilizing bacteria. Faculty of Natural and Applied Sciences Journal of Applied Biological Sciences, 1(1), 44-53. </w:t>
      </w:r>
      <w:hyperlink r:id="rId32" w:history="1">
        <w:r w:rsidRPr="0002561B">
          <w:rPr>
            <w:rStyle w:val="Hyperlink"/>
          </w:rPr>
          <w:t>https://fnasjournals.com/index.php/FNAS-JABS/article/view/371</w:t>
        </w:r>
      </w:hyperlink>
    </w:p>
    <w:p w14:paraId="1A857190" w14:textId="77777777"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DA378C">
        <w:rPr>
          <w:lang w:val="nl-BE"/>
        </w:rPr>
        <w:t xml:space="preserve">Muze, N. E., Opara, A. I., Ibe, F. C., &amp; Njoku, O. C. (2020). </w:t>
      </w:r>
      <w:r w:rsidRPr="00AF2392">
        <w:t xml:space="preserve">Assessment of the geo-environmental effects of activities of auto-mechanic </w:t>
      </w:r>
      <w:proofErr w:type="spellStart"/>
      <w:r w:rsidRPr="00AF2392">
        <w:t>workships</w:t>
      </w:r>
      <w:proofErr w:type="spellEnd"/>
      <w:r w:rsidRPr="00AF2392">
        <w:t xml:space="preserve"> at </w:t>
      </w:r>
      <w:proofErr w:type="spellStart"/>
      <w:r w:rsidRPr="00AF2392">
        <w:t>Alaoji</w:t>
      </w:r>
      <w:proofErr w:type="spellEnd"/>
      <w:r w:rsidRPr="00AF2392">
        <w:t xml:space="preserve"> Aba and </w:t>
      </w:r>
      <w:proofErr w:type="spellStart"/>
      <w:r w:rsidRPr="00AF2392">
        <w:t>Elekahia</w:t>
      </w:r>
      <w:proofErr w:type="spellEnd"/>
      <w:r w:rsidRPr="00AF2392">
        <w:t xml:space="preserve"> Port Harcourt, Niger Delta, Nigeria. Environmental analysis, health and toxicology, 35(2), e2020005. </w:t>
      </w:r>
      <w:hyperlink r:id="rId33" w:history="1">
        <w:r w:rsidRPr="0002561B">
          <w:rPr>
            <w:rStyle w:val="Hyperlink"/>
          </w:rPr>
          <w:t>https://doi.org/10.5620/eaht.e2020005</w:t>
        </w:r>
      </w:hyperlink>
      <w:r>
        <w:t xml:space="preserve"> </w:t>
      </w:r>
    </w:p>
    <w:p w14:paraId="0C625338" w14:textId="77777777"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rPr>
          <w:rFonts w:ascii="Times New Roman" w:hAnsi="Times New Roman" w:cs="Times New Roman"/>
          <w:sz w:val="24"/>
          <w:szCs w:val="24"/>
        </w:rPr>
        <w:t xml:space="preserve">Das, N., &amp; Chandran, P. (2011). Microbial Degradation of Petroleum Hydrocarbon Contaminants: An Overview. Biotechnology Research International. </w:t>
      </w:r>
      <w:hyperlink r:id="rId34" w:history="1">
        <w:r w:rsidRPr="0002561B">
          <w:rPr>
            <w:rStyle w:val="Hyperlink"/>
            <w:rFonts w:ascii="Times New Roman" w:hAnsi="Times New Roman" w:cs="Times New Roman"/>
            <w:sz w:val="24"/>
            <w:szCs w:val="24"/>
          </w:rPr>
          <w:t>https://doi.org/10.4061/2011/941810</w:t>
        </w:r>
      </w:hyperlink>
      <w:r>
        <w:rPr>
          <w:rFonts w:ascii="Times New Roman" w:hAnsi="Times New Roman" w:cs="Times New Roman"/>
          <w:sz w:val="24"/>
          <w:szCs w:val="24"/>
        </w:rPr>
        <w:t xml:space="preserve"> </w:t>
      </w:r>
    </w:p>
    <w:p w14:paraId="331F3DC6" w14:textId="77777777"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DA378C">
        <w:rPr>
          <w:rFonts w:ascii="Times New Roman" w:hAnsi="Times New Roman" w:cs="Times New Roman"/>
          <w:sz w:val="24"/>
          <w:szCs w:val="24"/>
          <w:lang w:val="nl-BE"/>
        </w:rPr>
        <w:t xml:space="preserve">Mekonnen, B. A., Aragaw, T. A., &amp; Genet, M. B. (2024). </w:t>
      </w:r>
      <w:r w:rsidRPr="00AF2392">
        <w:rPr>
          <w:rFonts w:ascii="Times New Roman" w:hAnsi="Times New Roman" w:cs="Times New Roman"/>
          <w:sz w:val="24"/>
          <w:szCs w:val="24"/>
        </w:rPr>
        <w:t xml:space="preserve">Bioremediation of petroleum hydrocarbon contaminated soil: a review on principles, degradation mechanisms, and advancements. Frontiers in Environmental Science, 12, 1354422. </w:t>
      </w:r>
      <w:hyperlink r:id="rId35" w:history="1">
        <w:r w:rsidRPr="0002561B">
          <w:rPr>
            <w:rStyle w:val="Hyperlink"/>
            <w:rFonts w:ascii="Times New Roman" w:hAnsi="Times New Roman" w:cs="Times New Roman"/>
            <w:sz w:val="24"/>
            <w:szCs w:val="24"/>
          </w:rPr>
          <w:t>https://doi.org/10.3389/fenvs.2024.1354422</w:t>
        </w:r>
      </w:hyperlink>
      <w:r>
        <w:rPr>
          <w:rFonts w:ascii="Times New Roman" w:hAnsi="Times New Roman" w:cs="Times New Roman"/>
          <w:sz w:val="24"/>
          <w:szCs w:val="24"/>
        </w:rPr>
        <w:t xml:space="preserve"> </w:t>
      </w:r>
    </w:p>
    <w:p w14:paraId="509191C5" w14:textId="77777777"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DA378C">
        <w:rPr>
          <w:rFonts w:ascii="Times New Roman" w:hAnsi="Times New Roman" w:cs="Times New Roman"/>
          <w:sz w:val="24"/>
          <w:szCs w:val="24"/>
          <w:lang w:val="nl-BE"/>
        </w:rPr>
        <w:t xml:space="preserve">Nwachi, A. C., Okoye, E. C. S., Nwakaeze, E. A., Elom, E. E., &amp; Ogene, L. N. (2024). </w:t>
      </w:r>
      <w:r w:rsidRPr="00AF2392">
        <w:rPr>
          <w:rFonts w:ascii="Times New Roman" w:hAnsi="Times New Roman" w:cs="Times New Roman"/>
          <w:sz w:val="24"/>
          <w:szCs w:val="24"/>
        </w:rPr>
        <w:t xml:space="preserve">Molecular identification of biosurfactant-producing bacteria obtained from oil-polluted soil samples in </w:t>
      </w:r>
      <w:proofErr w:type="spellStart"/>
      <w:r w:rsidRPr="00AF2392">
        <w:rPr>
          <w:rFonts w:ascii="Times New Roman" w:hAnsi="Times New Roman" w:cs="Times New Roman"/>
          <w:sz w:val="24"/>
          <w:szCs w:val="24"/>
        </w:rPr>
        <w:t>Abakaliki</w:t>
      </w:r>
      <w:proofErr w:type="spellEnd"/>
      <w:r w:rsidRPr="00AF2392">
        <w:rPr>
          <w:rFonts w:ascii="Times New Roman" w:hAnsi="Times New Roman" w:cs="Times New Roman"/>
          <w:sz w:val="24"/>
          <w:szCs w:val="24"/>
        </w:rPr>
        <w:t xml:space="preserve">, Ebonyi State, Nigeria. Archives of Agriculture and Environmental Science, 9(2), 367-372. </w:t>
      </w:r>
      <w:hyperlink r:id="rId36" w:history="1">
        <w:r w:rsidRPr="0002561B">
          <w:rPr>
            <w:rStyle w:val="Hyperlink"/>
            <w:rFonts w:ascii="Times New Roman" w:hAnsi="Times New Roman" w:cs="Times New Roman"/>
            <w:sz w:val="24"/>
            <w:szCs w:val="24"/>
          </w:rPr>
          <w:t>https://doi.org/10.26832/24566632.2024.</w:t>
        </w:r>
        <w:r w:rsidRPr="0002561B">
          <w:rPr>
            <w:rStyle w:val="Hyperlink"/>
          </w:rPr>
          <w:t>0902023</w:t>
        </w:r>
      </w:hyperlink>
    </w:p>
    <w:p w14:paraId="7B921F49" w14:textId="77777777"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lastRenderedPageBreak/>
        <w:t xml:space="preserve">Obayori, O. S., </w:t>
      </w:r>
      <w:proofErr w:type="spellStart"/>
      <w:r w:rsidRPr="00AF2392">
        <w:t>Ashade</w:t>
      </w:r>
      <w:proofErr w:type="spellEnd"/>
      <w:r w:rsidRPr="00AF2392">
        <w:t xml:space="preserve">, A. O., Salam, L. B., Adeyemo, A. C., Oladejo, S. O., </w:t>
      </w:r>
      <w:proofErr w:type="spellStart"/>
      <w:r w:rsidRPr="00AF2392">
        <w:t>Abanikannda</w:t>
      </w:r>
      <w:proofErr w:type="spellEnd"/>
      <w:r w:rsidRPr="00AF2392">
        <w:t xml:space="preserve">, O. N., &amp; </w:t>
      </w:r>
      <w:proofErr w:type="spellStart"/>
      <w:r w:rsidRPr="00AF2392">
        <w:t>Oyebade</w:t>
      </w:r>
      <w:proofErr w:type="spellEnd"/>
      <w:r w:rsidRPr="00AF2392">
        <w:t xml:space="preserve">, A. E. (2024). Heavily polluted mechanic workshop soil and its phenanthrene-degrading Bacillus thuringiensis. The Microbe. </w:t>
      </w:r>
      <w:hyperlink r:id="rId37" w:history="1">
        <w:r w:rsidRPr="0002561B">
          <w:rPr>
            <w:rStyle w:val="Hyperlink"/>
          </w:rPr>
          <w:t>https://doi.org/10.1016/j.microb.2024.100104</w:t>
        </w:r>
      </w:hyperlink>
    </w:p>
    <w:p w14:paraId="2FC722DD" w14:textId="77777777"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t>Varjani</w:t>
      </w:r>
      <w:proofErr w:type="spellEnd"/>
      <w:r w:rsidRPr="00AF2392">
        <w:t xml:space="preserve">, S. J. (2017). Microbial degradation of petroleum hydrocarbons. Bioresource Technology, 223, 277-286. </w:t>
      </w:r>
      <w:hyperlink r:id="rId38" w:history="1">
        <w:r w:rsidRPr="0002561B">
          <w:rPr>
            <w:rStyle w:val="Hyperlink"/>
          </w:rPr>
          <w:t>https://doi.org/10.1016/j.biortech.2016.10.037</w:t>
        </w:r>
      </w:hyperlink>
    </w:p>
    <w:p w14:paraId="05914F22" w14:textId="77777777"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t>Agamuthu</w:t>
      </w:r>
      <w:proofErr w:type="spellEnd"/>
      <w:r w:rsidRPr="00AF2392">
        <w:t xml:space="preserve">, P., Abioye, O. P., &amp; Abdul Aziz, A. (2010). Phytoremediation of soil contaminated with used lubricating oil using Jatropha </w:t>
      </w:r>
      <w:proofErr w:type="spellStart"/>
      <w:r w:rsidRPr="00AF2392">
        <w:t>curcas</w:t>
      </w:r>
      <w:proofErr w:type="spellEnd"/>
      <w:r w:rsidRPr="00AF2392">
        <w:t xml:space="preserve">. Journal of Hazardous Materials, 179, 891-894. </w:t>
      </w:r>
      <w:hyperlink r:id="rId39" w:history="1">
        <w:r w:rsidRPr="0002561B">
          <w:rPr>
            <w:rStyle w:val="Hyperlink"/>
          </w:rPr>
          <w:t>https://doi.org/10.1016/j.jhazmat.2010.03.088</w:t>
        </w:r>
      </w:hyperlink>
    </w:p>
    <w:p w14:paraId="32956C79" w14:textId="77777777"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DA378C">
        <w:rPr>
          <w:lang w:val="nl-BE"/>
        </w:rPr>
        <w:t xml:space="preserve">Chikere, C. B., Okpokwasili, G. C., &amp; Chikere, B. O. (2011). </w:t>
      </w:r>
      <w:r w:rsidRPr="00AF2392">
        <w:t xml:space="preserve">Monitoring of microbial hydrocarbon remediation in the soil. 3 Biotech, 1(3), 117-138. </w:t>
      </w:r>
      <w:hyperlink r:id="rId40" w:history="1">
        <w:r w:rsidRPr="0002561B">
          <w:rPr>
            <w:rStyle w:val="Hyperlink"/>
          </w:rPr>
          <w:t>https://doi.org/10.1007/s13205-011-0014-8</w:t>
        </w:r>
      </w:hyperlink>
    </w:p>
    <w:p w14:paraId="296F1C60" w14:textId="77777777" w:rsidR="00AF2392" w:rsidRDefault="00AF2392" w:rsidP="00746C6C">
      <w:pPr>
        <w:pStyle w:val="ListParagraph"/>
        <w:numPr>
          <w:ilvl w:val="0"/>
          <w:numId w:val="2"/>
        </w:numPr>
        <w:spacing w:after="0" w:line="480" w:lineRule="auto"/>
        <w:jc w:val="both"/>
      </w:pPr>
      <w:r w:rsidRPr="00AF2392">
        <w:t xml:space="preserve">Atlas, R. M., &amp; Hazen, T. C. (2011). Oil biodegradation and bioremediation: A tale of the two worst spills in U.S. history. Environmental Science &amp; Technology. </w:t>
      </w:r>
      <w:hyperlink r:id="rId41" w:history="1">
        <w:r w:rsidRPr="0002561B">
          <w:rPr>
            <w:rStyle w:val="Hyperlink"/>
          </w:rPr>
          <w:t>https://doi.org/10.1021/es2013227</w:t>
        </w:r>
      </w:hyperlink>
    </w:p>
    <w:p w14:paraId="26A04E1E" w14:textId="77777777" w:rsidR="00AF2392" w:rsidRDefault="00AF2392">
      <w:pPr>
        <w:spacing w:line="278" w:lineRule="auto"/>
      </w:pPr>
      <w:r>
        <w:br w:type="page"/>
      </w:r>
    </w:p>
    <w:p w14:paraId="6EE1940F" w14:textId="77777777"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lastRenderedPageBreak/>
        <w:t xml:space="preserve">Bento, F. M., Camargo, F. A. O., Okeke, B. C., &amp; Frankenberger, W. T. (2005). Comparative bioremediation of soils contaminated with diesel oil by natural attenuation, </w:t>
      </w:r>
      <w:proofErr w:type="spellStart"/>
      <w:r w:rsidRPr="00AF2392">
        <w:t>biostimulation</w:t>
      </w:r>
      <w:proofErr w:type="spellEnd"/>
      <w:r w:rsidRPr="00AF2392">
        <w:t xml:space="preserve"> and bioaugmentation. Bioresource Technology, 96, 1049-1055. </w:t>
      </w:r>
      <w:hyperlink r:id="rId42" w:history="1">
        <w:r w:rsidRPr="0002561B">
          <w:rPr>
            <w:rStyle w:val="Hyperlink"/>
          </w:rPr>
          <w:t>https://doi.org/10.1016/j.biortech.2004.09.008</w:t>
        </w:r>
      </w:hyperlink>
    </w:p>
    <w:p w14:paraId="5EFA085F" w14:textId="77777777"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t>Nnabuife</w:t>
      </w:r>
      <w:proofErr w:type="spellEnd"/>
      <w:r w:rsidRPr="00AF2392">
        <w:t xml:space="preserve">, O. O., Ogbonna, J. C., &amp; Anyanwu, C. (2022). Crude oil hydrocarbon degradation efficiency of indigenous bacterial strains isolated from contaminated sites in Nigeria. Bio-Research, 20, 1606-1619. </w:t>
      </w:r>
      <w:hyperlink r:id="rId43" w:history="1">
        <w:r w:rsidRPr="0002561B">
          <w:rPr>
            <w:rStyle w:val="Hyperlink"/>
          </w:rPr>
          <w:t>https://doi.org/10.4314/br.v20i2.8</w:t>
        </w:r>
      </w:hyperlink>
      <w:r>
        <w:t xml:space="preserve"> </w:t>
      </w:r>
    </w:p>
    <w:p w14:paraId="39200758" w14:textId="77777777"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DA378C">
        <w:rPr>
          <w:rFonts w:ascii="Times New Roman" w:hAnsi="Times New Roman" w:cs="Times New Roman"/>
          <w:sz w:val="24"/>
          <w:szCs w:val="24"/>
          <w:lang w:val="nl-BE"/>
        </w:rPr>
        <w:t xml:space="preserve">Chikere, C. B., &amp; Ekwuabu, C. B. (2014). </w:t>
      </w:r>
      <w:r w:rsidRPr="00AF2392">
        <w:rPr>
          <w:rFonts w:ascii="Times New Roman" w:hAnsi="Times New Roman" w:cs="Times New Roman"/>
          <w:sz w:val="24"/>
          <w:szCs w:val="24"/>
        </w:rPr>
        <w:t xml:space="preserve">Molecular characterization of autochthonous hydrocarbon utilizing bacteria in oil-polluted sites at Bodo Community, Ogoni land, Niger Delta, Nigeria. Nigerian Journal of Biotechnology, 27, 28-33. </w:t>
      </w:r>
      <w:hyperlink r:id="rId44" w:history="1">
        <w:r w:rsidRPr="0002561B">
          <w:rPr>
            <w:rStyle w:val="Hyperlink"/>
            <w:rFonts w:ascii="Times New Roman" w:hAnsi="Times New Roman" w:cs="Times New Roman"/>
            <w:sz w:val="24"/>
            <w:szCs w:val="24"/>
          </w:rPr>
          <w:t>https://doi.org/10.4314/njb.v27i0</w:t>
        </w:r>
      </w:hyperlink>
      <w:r>
        <w:rPr>
          <w:rFonts w:ascii="Times New Roman" w:hAnsi="Times New Roman" w:cs="Times New Roman"/>
          <w:sz w:val="24"/>
          <w:szCs w:val="24"/>
        </w:rPr>
        <w:t xml:space="preserve"> </w:t>
      </w:r>
    </w:p>
    <w:p w14:paraId="1CC684DA" w14:textId="77777777"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rPr>
          <w:rFonts w:ascii="Times New Roman" w:hAnsi="Times New Roman" w:cs="Times New Roman"/>
          <w:sz w:val="24"/>
          <w:szCs w:val="24"/>
        </w:rPr>
        <w:t xml:space="preserve">Mishra, S., Jyot, J., </w:t>
      </w:r>
      <w:proofErr w:type="spellStart"/>
      <w:r w:rsidRPr="00AF2392">
        <w:rPr>
          <w:rFonts w:ascii="Times New Roman" w:hAnsi="Times New Roman" w:cs="Times New Roman"/>
          <w:sz w:val="24"/>
          <w:szCs w:val="24"/>
        </w:rPr>
        <w:t>Kuhad</w:t>
      </w:r>
      <w:proofErr w:type="spellEnd"/>
      <w:r w:rsidRPr="00AF2392">
        <w:rPr>
          <w:rFonts w:ascii="Times New Roman" w:hAnsi="Times New Roman" w:cs="Times New Roman"/>
          <w:sz w:val="24"/>
          <w:szCs w:val="24"/>
        </w:rPr>
        <w:t xml:space="preserve">, R. C., &amp; Lal, B. (2001). Evaluation of inoculum addition to stimulate in situ bioremediation of oily-sludge-contaminated soil. Applied and Environmental Microbiology, 67, 1675-1681. </w:t>
      </w:r>
      <w:hyperlink r:id="rId45" w:history="1">
        <w:r w:rsidRPr="0002561B">
          <w:rPr>
            <w:rStyle w:val="Hyperlink"/>
            <w:rFonts w:ascii="Times New Roman" w:hAnsi="Times New Roman" w:cs="Times New Roman"/>
            <w:sz w:val="24"/>
            <w:szCs w:val="24"/>
          </w:rPr>
          <w:t>https://doi.org/10.1128/AEM.67.4.1675-1681.2001</w:t>
        </w:r>
      </w:hyperlink>
      <w:r>
        <w:rPr>
          <w:rFonts w:ascii="Times New Roman" w:hAnsi="Times New Roman" w:cs="Times New Roman"/>
          <w:sz w:val="24"/>
          <w:szCs w:val="24"/>
        </w:rPr>
        <w:t xml:space="preserve"> </w:t>
      </w:r>
    </w:p>
    <w:p w14:paraId="06E3566C" w14:textId="77777777"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rPr>
          <w:rFonts w:ascii="Times New Roman" w:hAnsi="Times New Roman" w:cs="Times New Roman"/>
          <w:sz w:val="24"/>
          <w:szCs w:val="24"/>
        </w:rPr>
        <w:t xml:space="preserve">Head, I. M., Jones, D. M., &amp; </w:t>
      </w:r>
      <w:proofErr w:type="spellStart"/>
      <w:r w:rsidRPr="00AF2392">
        <w:rPr>
          <w:rFonts w:ascii="Times New Roman" w:hAnsi="Times New Roman" w:cs="Times New Roman"/>
          <w:sz w:val="24"/>
          <w:szCs w:val="24"/>
        </w:rPr>
        <w:t>Röling</w:t>
      </w:r>
      <w:proofErr w:type="spellEnd"/>
      <w:r w:rsidRPr="00AF2392">
        <w:rPr>
          <w:rFonts w:ascii="Times New Roman" w:hAnsi="Times New Roman" w:cs="Times New Roman"/>
          <w:sz w:val="24"/>
          <w:szCs w:val="24"/>
        </w:rPr>
        <w:t xml:space="preserve">, W. F. M. (2006). Marine microorganisms make a meal of oil. Nature Reviews Microbiology, 4, 173-182. </w:t>
      </w:r>
      <w:hyperlink r:id="rId46" w:history="1">
        <w:r w:rsidRPr="0002561B">
          <w:rPr>
            <w:rStyle w:val="Hyperlink"/>
            <w:rFonts w:ascii="Times New Roman" w:hAnsi="Times New Roman" w:cs="Times New Roman"/>
            <w:sz w:val="24"/>
            <w:szCs w:val="24"/>
          </w:rPr>
          <w:t>https://doi.org/10.1038/nrmicro1348</w:t>
        </w:r>
      </w:hyperlink>
      <w:r>
        <w:rPr>
          <w:rFonts w:ascii="Times New Roman" w:hAnsi="Times New Roman" w:cs="Times New Roman"/>
          <w:sz w:val="24"/>
          <w:szCs w:val="24"/>
        </w:rPr>
        <w:t xml:space="preserve"> </w:t>
      </w:r>
    </w:p>
    <w:p w14:paraId="5A771BB0" w14:textId="77777777" w:rsidR="00F67628" w:rsidRPr="00F67628"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rPr>
          <w:rFonts w:ascii="Times New Roman" w:hAnsi="Times New Roman" w:cs="Times New Roman"/>
          <w:sz w:val="24"/>
          <w:szCs w:val="24"/>
        </w:rPr>
        <w:t xml:space="preserve">Prince, R. C., Amande, T. J., &amp; </w:t>
      </w:r>
      <w:proofErr w:type="spellStart"/>
      <w:r w:rsidRPr="00AF2392">
        <w:rPr>
          <w:rFonts w:ascii="Times New Roman" w:hAnsi="Times New Roman" w:cs="Times New Roman"/>
          <w:sz w:val="24"/>
          <w:szCs w:val="24"/>
        </w:rPr>
        <w:t>McGenity</w:t>
      </w:r>
      <w:proofErr w:type="spellEnd"/>
      <w:r w:rsidRPr="00AF2392">
        <w:rPr>
          <w:rFonts w:ascii="Times New Roman" w:hAnsi="Times New Roman" w:cs="Times New Roman"/>
          <w:sz w:val="24"/>
          <w:szCs w:val="24"/>
        </w:rPr>
        <w:t xml:space="preserve">, T. J. (2018). Prokaryotic hydrocarbon degraders. In T. J. </w:t>
      </w:r>
      <w:proofErr w:type="spellStart"/>
      <w:r w:rsidRPr="00AF2392">
        <w:rPr>
          <w:rFonts w:ascii="Times New Roman" w:hAnsi="Times New Roman" w:cs="Times New Roman"/>
          <w:sz w:val="24"/>
          <w:szCs w:val="24"/>
        </w:rPr>
        <w:t>McGenity</w:t>
      </w:r>
      <w:proofErr w:type="spellEnd"/>
      <w:r w:rsidRPr="00AF2392">
        <w:rPr>
          <w:rFonts w:ascii="Times New Roman" w:hAnsi="Times New Roman" w:cs="Times New Roman"/>
          <w:sz w:val="24"/>
          <w:szCs w:val="24"/>
        </w:rPr>
        <w:t xml:space="preserve"> (Ed.), *Taxonomy, genomics and ecophysiology of hydrocarbon-degrading microbes* (pp. 1-41). Springer International Publishing. </w:t>
      </w:r>
      <w:hyperlink r:id="rId47" w:history="1">
        <w:r w:rsidRPr="0002561B">
          <w:rPr>
            <w:rStyle w:val="Hyperlink"/>
            <w:rFonts w:ascii="Times New Roman" w:hAnsi="Times New Roman" w:cs="Times New Roman"/>
            <w:sz w:val="24"/>
            <w:szCs w:val="24"/>
          </w:rPr>
          <w:t>https://doi.org/10.1007/978-3-319-60053-6_15-1</w:t>
        </w:r>
      </w:hyperlink>
    </w:p>
    <w:p w14:paraId="266E2075" w14:textId="77777777" w:rsidR="001C01C3"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F67628">
        <w:rPr>
          <w:rFonts w:ascii="Times New Roman" w:hAnsi="Times New Roman" w:cs="Times New Roman"/>
          <w:sz w:val="24"/>
          <w:szCs w:val="24"/>
        </w:rPr>
        <w:t xml:space="preserve">Ryan, R. P., Monchy, S., Cardinale, M., Taghavi, S., Crossman, L., Avison, M. B., Berg, G., van der Lelie, D., &amp; Dow, J. M. (2009). The versatility and adaptation of </w:t>
      </w:r>
      <w:r w:rsidRPr="00F67628">
        <w:rPr>
          <w:rFonts w:ascii="Times New Roman" w:hAnsi="Times New Roman" w:cs="Times New Roman"/>
          <w:sz w:val="24"/>
          <w:szCs w:val="24"/>
        </w:rPr>
        <w:lastRenderedPageBreak/>
        <w:t xml:space="preserve">bacteria from the genus Stenotrophomonas. Nature Reviews Microbiology, 7(7), 514-525. </w:t>
      </w:r>
      <w:hyperlink r:id="rId48" w:history="1">
        <w:r w:rsidRPr="00F67628">
          <w:rPr>
            <w:rStyle w:val="Hyperlink"/>
            <w:rFonts w:ascii="Times New Roman" w:hAnsi="Times New Roman" w:cs="Times New Roman"/>
            <w:sz w:val="24"/>
            <w:szCs w:val="24"/>
          </w:rPr>
          <w:t>https://doi.org/10.1038/nrmicro2163</w:t>
        </w:r>
      </w:hyperlink>
      <w:r w:rsidRPr="00F67628">
        <w:rPr>
          <w:rFonts w:ascii="Times New Roman" w:hAnsi="Times New Roman" w:cs="Times New Roman"/>
          <w:sz w:val="24"/>
          <w:szCs w:val="24"/>
        </w:rPr>
        <w:t xml:space="preserve"> </w:t>
      </w:r>
    </w:p>
    <w:p w14:paraId="69DFE318" w14:textId="77777777" w:rsidR="00E63AF3" w:rsidRPr="00E63AF3" w:rsidRDefault="00E63AF3" w:rsidP="00E63AF3">
      <w:pPr>
        <w:pStyle w:val="ListParagraph"/>
        <w:numPr>
          <w:ilvl w:val="0"/>
          <w:numId w:val="2"/>
        </w:numPr>
        <w:spacing w:after="0" w:line="480" w:lineRule="auto"/>
        <w:jc w:val="both"/>
        <w:rPr>
          <w:rFonts w:ascii="Times New Roman" w:hAnsi="Times New Roman" w:cs="Times New Roman"/>
          <w:sz w:val="24"/>
          <w:szCs w:val="24"/>
          <w:highlight w:val="yellow"/>
        </w:rPr>
      </w:pPr>
      <w:r w:rsidRPr="00E63AF3">
        <w:rPr>
          <w:rFonts w:ascii="Times New Roman" w:hAnsi="Times New Roman" w:cs="Times New Roman"/>
          <w:sz w:val="24"/>
          <w:szCs w:val="24"/>
          <w:highlight w:val="yellow"/>
        </w:rPr>
        <w:t>Hosseini, S., Sharifi, R. &amp; Habibi, A. (2025). Efficient bioremediation of crude oil contaminated soil by a consortium of in-situ biosurfactant producing hydrocarbon-degraders. Sci Rep</w:t>
      </w:r>
      <w:r>
        <w:rPr>
          <w:rFonts w:ascii="Times New Roman" w:hAnsi="Times New Roman" w:cs="Times New Roman"/>
          <w:sz w:val="24"/>
          <w:szCs w:val="24"/>
          <w:highlight w:val="yellow"/>
        </w:rPr>
        <w:t>.</w:t>
      </w:r>
      <w:r w:rsidRPr="00E63AF3">
        <w:rPr>
          <w:rFonts w:ascii="Times New Roman" w:hAnsi="Times New Roman" w:cs="Times New Roman"/>
          <w:sz w:val="24"/>
          <w:szCs w:val="24"/>
          <w:highlight w:val="yellow"/>
        </w:rPr>
        <w:t> 15, 19852.  https://doi.org/10.1038/s41598-025-05035-8</w:t>
      </w:r>
    </w:p>
    <w:p w14:paraId="4D181192" w14:textId="77777777" w:rsidR="00AF2392" w:rsidRPr="00790FCF" w:rsidRDefault="00AF2392" w:rsidP="00746C6C">
      <w:pPr>
        <w:spacing w:after="0" w:line="480" w:lineRule="auto"/>
        <w:jc w:val="both"/>
        <w:rPr>
          <w:rFonts w:ascii="Times New Roman" w:hAnsi="Times New Roman" w:cs="Times New Roman"/>
          <w:sz w:val="24"/>
          <w:szCs w:val="24"/>
        </w:rPr>
      </w:pPr>
    </w:p>
    <w:p w14:paraId="2F66DF90" w14:textId="77777777" w:rsidR="001C01C3" w:rsidRPr="00790FCF" w:rsidRDefault="001C01C3" w:rsidP="00746C6C">
      <w:pPr>
        <w:pStyle w:val="NormalWeb"/>
        <w:spacing w:before="0" w:beforeAutospacing="0" w:after="0" w:afterAutospacing="0" w:line="480" w:lineRule="auto"/>
        <w:ind w:left="720"/>
        <w:jc w:val="both"/>
        <w:rPr>
          <w:rFonts w:eastAsia="-webkit-standard"/>
          <w:color w:val="000000" w:themeColor="text1"/>
        </w:rPr>
      </w:pPr>
    </w:p>
    <w:p w14:paraId="189B62C5" w14:textId="77777777" w:rsidR="001C01C3" w:rsidRPr="00790FCF" w:rsidRDefault="001C01C3" w:rsidP="00746C6C">
      <w:pPr>
        <w:spacing w:after="0" w:line="480" w:lineRule="auto"/>
        <w:jc w:val="both"/>
        <w:rPr>
          <w:rFonts w:ascii="Times New Roman" w:hAnsi="Times New Roman" w:cs="Times New Roman"/>
          <w:sz w:val="24"/>
          <w:szCs w:val="24"/>
        </w:rPr>
      </w:pPr>
    </w:p>
    <w:p w14:paraId="1C28CFAC" w14:textId="77777777" w:rsidR="00753C38" w:rsidRPr="00790FCF" w:rsidRDefault="00753C38" w:rsidP="00746C6C">
      <w:pPr>
        <w:spacing w:line="480" w:lineRule="auto"/>
        <w:rPr>
          <w:rFonts w:ascii="Times New Roman" w:hAnsi="Times New Roman" w:cs="Times New Roman"/>
          <w:sz w:val="24"/>
          <w:szCs w:val="24"/>
        </w:rPr>
      </w:pPr>
    </w:p>
    <w:sectPr w:rsidR="00753C38" w:rsidRPr="00790FCF" w:rsidSect="00B84802">
      <w:headerReference w:type="even" r:id="rId49"/>
      <w:headerReference w:type="default" r:id="rId50"/>
      <w:footerReference w:type="even" r:id="rId51"/>
      <w:footerReference w:type="default" r:id="rId52"/>
      <w:headerReference w:type="first" r:id="rId53"/>
      <w:footerReference w:type="first" r:id="rId5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1B9D" w14:textId="77777777" w:rsidR="0023182C" w:rsidRDefault="0023182C">
      <w:pPr>
        <w:spacing w:after="0" w:line="240" w:lineRule="auto"/>
      </w:pPr>
      <w:r>
        <w:separator/>
      </w:r>
    </w:p>
  </w:endnote>
  <w:endnote w:type="continuationSeparator" w:id="0">
    <w:p w14:paraId="14EDCA06" w14:textId="77777777" w:rsidR="0023182C" w:rsidRDefault="00231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webkit-standard">
    <w:altName w:val="Cambria"/>
    <w:charset w:val="00"/>
    <w:family w:val="auto"/>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DF6E" w14:textId="77777777" w:rsidR="00B84802" w:rsidRDefault="00B84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608712"/>
      <w:docPartObj>
        <w:docPartGallery w:val="Page Numbers (Bottom of Page)"/>
        <w:docPartUnique/>
      </w:docPartObj>
    </w:sdtPr>
    <w:sdtEndPr>
      <w:rPr>
        <w:noProof/>
      </w:rPr>
    </w:sdtEndPr>
    <w:sdtContent>
      <w:p w14:paraId="45AF1863" w14:textId="77777777" w:rsidR="001C01C3" w:rsidRDefault="001C01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4779A2" w14:textId="77777777" w:rsidR="001C01C3" w:rsidRDefault="001C0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0992" w14:textId="77777777" w:rsidR="00B84802" w:rsidRDefault="00B84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EEFE" w14:textId="77777777" w:rsidR="0023182C" w:rsidRDefault="0023182C">
      <w:pPr>
        <w:spacing w:after="0" w:line="240" w:lineRule="auto"/>
      </w:pPr>
      <w:r>
        <w:separator/>
      </w:r>
    </w:p>
  </w:footnote>
  <w:footnote w:type="continuationSeparator" w:id="0">
    <w:p w14:paraId="7E8ECCF0" w14:textId="77777777" w:rsidR="0023182C" w:rsidRDefault="00231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F2B2" w14:textId="77777777" w:rsidR="00B84802" w:rsidRDefault="00000000">
    <w:pPr>
      <w:pStyle w:val="Header"/>
    </w:pPr>
    <w:r>
      <w:rPr>
        <w:noProof/>
      </w:rPr>
      <w:pict w14:anchorId="1694B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959954"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FACE" w14:textId="77777777" w:rsidR="00B84802" w:rsidRDefault="00000000">
    <w:pPr>
      <w:pStyle w:val="Header"/>
    </w:pPr>
    <w:r>
      <w:rPr>
        <w:noProof/>
      </w:rPr>
      <w:pict w14:anchorId="61836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959955"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9598" w14:textId="77777777" w:rsidR="00B84802" w:rsidRDefault="00000000">
    <w:pPr>
      <w:pStyle w:val="Header"/>
    </w:pPr>
    <w:r>
      <w:rPr>
        <w:noProof/>
      </w:rPr>
      <w:pict w14:anchorId="08A9B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959953"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895"/>
    <w:multiLevelType w:val="hybridMultilevel"/>
    <w:tmpl w:val="80D63A3A"/>
    <w:lvl w:ilvl="0" w:tplc="310E6F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1529F"/>
    <w:multiLevelType w:val="hybridMultilevel"/>
    <w:tmpl w:val="77486A1E"/>
    <w:lvl w:ilvl="0" w:tplc="E3EC958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1949AA"/>
    <w:multiLevelType w:val="hybridMultilevel"/>
    <w:tmpl w:val="C4D83886"/>
    <w:lvl w:ilvl="0" w:tplc="6610FF1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131955">
    <w:abstractNumId w:val="1"/>
  </w:num>
  <w:num w:numId="2" w16cid:durableId="1704137054">
    <w:abstractNumId w:val="0"/>
  </w:num>
  <w:num w:numId="3" w16cid:durableId="530270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C3"/>
    <w:rsid w:val="000165E6"/>
    <w:rsid w:val="000E2ABE"/>
    <w:rsid w:val="001C01C3"/>
    <w:rsid w:val="0022681A"/>
    <w:rsid w:val="0023182C"/>
    <w:rsid w:val="00282A74"/>
    <w:rsid w:val="00344AD5"/>
    <w:rsid w:val="004637BB"/>
    <w:rsid w:val="004C26D5"/>
    <w:rsid w:val="004D3D7A"/>
    <w:rsid w:val="00595657"/>
    <w:rsid w:val="005A0F81"/>
    <w:rsid w:val="0066270B"/>
    <w:rsid w:val="006B12B7"/>
    <w:rsid w:val="006D01BB"/>
    <w:rsid w:val="006D71D1"/>
    <w:rsid w:val="00746C6C"/>
    <w:rsid w:val="00753C38"/>
    <w:rsid w:val="00790FCF"/>
    <w:rsid w:val="00856504"/>
    <w:rsid w:val="008A20C6"/>
    <w:rsid w:val="008F1BD1"/>
    <w:rsid w:val="00954C02"/>
    <w:rsid w:val="00A251E0"/>
    <w:rsid w:val="00AF0A6F"/>
    <w:rsid w:val="00AF2392"/>
    <w:rsid w:val="00AF6F86"/>
    <w:rsid w:val="00B04B14"/>
    <w:rsid w:val="00B330C9"/>
    <w:rsid w:val="00B42094"/>
    <w:rsid w:val="00B84802"/>
    <w:rsid w:val="00C34638"/>
    <w:rsid w:val="00C818AC"/>
    <w:rsid w:val="00CA4D6E"/>
    <w:rsid w:val="00DA378C"/>
    <w:rsid w:val="00DF5525"/>
    <w:rsid w:val="00E457FF"/>
    <w:rsid w:val="00E63AF3"/>
    <w:rsid w:val="00F365A5"/>
    <w:rsid w:val="00F67628"/>
    <w:rsid w:val="00F85CD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04583"/>
  <w15:chartTrackingRefBased/>
  <w15:docId w15:val="{DFA0578A-F1CE-4304-80E7-0CCA27B8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C3"/>
    <w:pPr>
      <w:spacing w:line="259" w:lineRule="auto"/>
    </w:pPr>
    <w:rPr>
      <w:kern w:val="0"/>
      <w:sz w:val="22"/>
      <w:szCs w:val="22"/>
      <w14:ligatures w14:val="none"/>
    </w:rPr>
  </w:style>
  <w:style w:type="paragraph" w:styleId="Heading1">
    <w:name w:val="heading 1"/>
    <w:basedOn w:val="Normal"/>
    <w:next w:val="Normal"/>
    <w:link w:val="Heading1Char"/>
    <w:uiPriority w:val="9"/>
    <w:qFormat/>
    <w:rsid w:val="001C0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1C3"/>
    <w:rPr>
      <w:rFonts w:eastAsiaTheme="majorEastAsia" w:cstheme="majorBidi"/>
      <w:color w:val="272727" w:themeColor="text1" w:themeTint="D8"/>
    </w:rPr>
  </w:style>
  <w:style w:type="paragraph" w:styleId="Title">
    <w:name w:val="Title"/>
    <w:basedOn w:val="Normal"/>
    <w:next w:val="Normal"/>
    <w:link w:val="TitleChar"/>
    <w:uiPriority w:val="10"/>
    <w:qFormat/>
    <w:rsid w:val="001C0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1C3"/>
    <w:pPr>
      <w:spacing w:before="160"/>
      <w:jc w:val="center"/>
    </w:pPr>
    <w:rPr>
      <w:i/>
      <w:iCs/>
      <w:color w:val="404040" w:themeColor="text1" w:themeTint="BF"/>
    </w:rPr>
  </w:style>
  <w:style w:type="character" w:customStyle="1" w:styleId="QuoteChar">
    <w:name w:val="Quote Char"/>
    <w:basedOn w:val="DefaultParagraphFont"/>
    <w:link w:val="Quote"/>
    <w:uiPriority w:val="29"/>
    <w:rsid w:val="001C01C3"/>
    <w:rPr>
      <w:i/>
      <w:iCs/>
      <w:color w:val="404040" w:themeColor="text1" w:themeTint="BF"/>
    </w:rPr>
  </w:style>
  <w:style w:type="paragraph" w:styleId="ListParagraph">
    <w:name w:val="List Paragraph"/>
    <w:basedOn w:val="Normal"/>
    <w:uiPriority w:val="34"/>
    <w:qFormat/>
    <w:rsid w:val="001C01C3"/>
    <w:pPr>
      <w:ind w:left="720"/>
      <w:contextualSpacing/>
    </w:pPr>
  </w:style>
  <w:style w:type="character" w:styleId="IntenseEmphasis">
    <w:name w:val="Intense Emphasis"/>
    <w:basedOn w:val="DefaultParagraphFont"/>
    <w:uiPriority w:val="21"/>
    <w:qFormat/>
    <w:rsid w:val="001C01C3"/>
    <w:rPr>
      <w:i/>
      <w:iCs/>
      <w:color w:val="0F4761" w:themeColor="accent1" w:themeShade="BF"/>
    </w:rPr>
  </w:style>
  <w:style w:type="paragraph" w:styleId="IntenseQuote">
    <w:name w:val="Intense Quote"/>
    <w:basedOn w:val="Normal"/>
    <w:next w:val="Normal"/>
    <w:link w:val="IntenseQuoteChar"/>
    <w:uiPriority w:val="30"/>
    <w:qFormat/>
    <w:rsid w:val="001C0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1C3"/>
    <w:rPr>
      <w:i/>
      <w:iCs/>
      <w:color w:val="0F4761" w:themeColor="accent1" w:themeShade="BF"/>
    </w:rPr>
  </w:style>
  <w:style w:type="character" w:styleId="IntenseReference">
    <w:name w:val="Intense Reference"/>
    <w:basedOn w:val="DefaultParagraphFont"/>
    <w:uiPriority w:val="32"/>
    <w:qFormat/>
    <w:rsid w:val="001C01C3"/>
    <w:rPr>
      <w:b/>
      <w:bCs/>
      <w:smallCaps/>
      <w:color w:val="0F4761" w:themeColor="accent1" w:themeShade="BF"/>
      <w:spacing w:val="5"/>
    </w:rPr>
  </w:style>
  <w:style w:type="paragraph" w:styleId="NormalWeb">
    <w:name w:val="Normal (Web)"/>
    <w:basedOn w:val="Normal"/>
    <w:uiPriority w:val="99"/>
    <w:unhideWhenUsed/>
    <w:rsid w:val="001C01C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0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1C3"/>
    <w:rPr>
      <w:kern w:val="0"/>
      <w:sz w:val="22"/>
      <w:szCs w:val="22"/>
      <w14:ligatures w14:val="none"/>
    </w:rPr>
  </w:style>
  <w:style w:type="character" w:styleId="Hyperlink">
    <w:name w:val="Hyperlink"/>
    <w:basedOn w:val="DefaultParagraphFont"/>
    <w:uiPriority w:val="99"/>
    <w:unhideWhenUsed/>
    <w:rsid w:val="001C01C3"/>
    <w:rPr>
      <w:color w:val="467886" w:themeColor="hyperlink"/>
      <w:u w:val="single"/>
    </w:rPr>
  </w:style>
  <w:style w:type="character" w:styleId="LineNumber">
    <w:name w:val="line number"/>
    <w:basedOn w:val="DefaultParagraphFont"/>
    <w:uiPriority w:val="99"/>
    <w:semiHidden/>
    <w:unhideWhenUsed/>
    <w:rsid w:val="001C01C3"/>
  </w:style>
  <w:style w:type="table" w:styleId="PlainTable2">
    <w:name w:val="Plain Table 2"/>
    <w:basedOn w:val="TableNormal"/>
    <w:uiPriority w:val="42"/>
    <w:rsid w:val="00790FCF"/>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22681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6D01BB"/>
    <w:rPr>
      <w:color w:val="605E5C"/>
      <w:shd w:val="clear" w:color="auto" w:fill="E1DFDD"/>
    </w:rPr>
  </w:style>
  <w:style w:type="paragraph" w:styleId="Header">
    <w:name w:val="header"/>
    <w:basedOn w:val="Normal"/>
    <w:link w:val="HeaderChar"/>
    <w:uiPriority w:val="99"/>
    <w:unhideWhenUsed/>
    <w:rsid w:val="00AF2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39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8/1757-899X/1079/1/062040" TargetMode="External"/><Relationship Id="rId18" Type="http://schemas.openxmlformats.org/officeDocument/2006/relationships/hyperlink" Target="https://doi.org/10.1016/j.hazadv.2025.100853" TargetMode="External"/><Relationship Id="rId26" Type="http://schemas.openxmlformats.org/officeDocument/2006/relationships/hyperlink" Target="https://doi.org/10.4314/jasem.v21i4.3" TargetMode="External"/><Relationship Id="rId39" Type="http://schemas.openxmlformats.org/officeDocument/2006/relationships/hyperlink" Target="https://doi.org/10.1016/j.jhazmat.2010.03.088" TargetMode="External"/><Relationship Id="rId21" Type="http://schemas.openxmlformats.org/officeDocument/2006/relationships/hyperlink" Target="https://doi.org/10.3390/pr10040743" TargetMode="External"/><Relationship Id="rId34" Type="http://schemas.openxmlformats.org/officeDocument/2006/relationships/hyperlink" Target="https://doi.org/10.4061/2011/941810" TargetMode="External"/><Relationship Id="rId42" Type="http://schemas.openxmlformats.org/officeDocument/2006/relationships/hyperlink" Target="https://doi.org/10.1016/j.biortech.2004.09.008" TargetMode="External"/><Relationship Id="rId47" Type="http://schemas.openxmlformats.org/officeDocument/2006/relationships/hyperlink" Target="https://doi.org/10.1007/978-3-319-60053-6_15-1"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88/1742-6596/2927/1/012007" TargetMode="External"/><Relationship Id="rId29" Type="http://schemas.openxmlformats.org/officeDocument/2006/relationships/hyperlink" Target="https://doi.org/10.30574/wjarr.2022.15.1.0695" TargetMode="External"/><Relationship Id="rId11" Type="http://schemas.openxmlformats.org/officeDocument/2006/relationships/image" Target="media/image4.png"/><Relationship Id="rId24" Type="http://schemas.openxmlformats.org/officeDocument/2006/relationships/hyperlink" Target="https://doi.org/10.3390/w15020375" TargetMode="External"/><Relationship Id="rId32" Type="http://schemas.openxmlformats.org/officeDocument/2006/relationships/hyperlink" Target="https://fnasjournals.com/index.php/FNAS-JABS/article/view/371" TargetMode="External"/><Relationship Id="rId37" Type="http://schemas.openxmlformats.org/officeDocument/2006/relationships/hyperlink" Target="https://doi.org/10.1016/j.microb.2024.100104" TargetMode="External"/><Relationship Id="rId40" Type="http://schemas.openxmlformats.org/officeDocument/2006/relationships/hyperlink" Target="https://doi.org/10.1007/s13205-011-0014-8" TargetMode="External"/><Relationship Id="rId45" Type="http://schemas.openxmlformats.org/officeDocument/2006/relationships/hyperlink" Target="https://doi.org/10.1128/AEM.67.4.1675-1681.2001"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3.jpeg"/><Relationship Id="rId19" Type="http://schemas.openxmlformats.org/officeDocument/2006/relationships/hyperlink" Target="https://doi.org/10.1088/1742-6596/1781/1/012051" TargetMode="External"/><Relationship Id="rId31" Type="http://schemas.openxmlformats.org/officeDocument/2006/relationships/hyperlink" Target="https://doi.org/10.52403/ijrr.20230934" TargetMode="External"/><Relationship Id="rId44" Type="http://schemas.openxmlformats.org/officeDocument/2006/relationships/hyperlink" Target="https://doi.org/10.4314/njb.v27i0"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39/D2SU00014H" TargetMode="External"/><Relationship Id="rId22" Type="http://schemas.openxmlformats.org/officeDocument/2006/relationships/hyperlink" Target="https://doi.org/10.3390/fermentation11100573" TargetMode="External"/><Relationship Id="rId27" Type="http://schemas.openxmlformats.org/officeDocument/2006/relationships/hyperlink" Target="https://doi.org/10.1016/j.jas.2004.03.005" TargetMode="External"/><Relationship Id="rId30" Type="http://schemas.openxmlformats.org/officeDocument/2006/relationships/hyperlink" Target="https://doi.org/10.31838/ijprt/15.01.35" TargetMode="External"/><Relationship Id="rId35" Type="http://schemas.openxmlformats.org/officeDocument/2006/relationships/hyperlink" Target="https://doi.org/10.3389/fenvs.2024.1354422" TargetMode="External"/><Relationship Id="rId43" Type="http://schemas.openxmlformats.org/officeDocument/2006/relationships/hyperlink" Target="https://doi.org/10.4314/br.v20i2.8" TargetMode="External"/><Relationship Id="rId48" Type="http://schemas.openxmlformats.org/officeDocument/2006/relationships/hyperlink" Target="https://doi.org/10.1038/nrmicro2163"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ncbi.nlm.nih.gov/genbank" TargetMode="External"/><Relationship Id="rId17" Type="http://schemas.openxmlformats.org/officeDocument/2006/relationships/hyperlink" Target="https://doi.org/10.1088/1742-6596/2927/1/012007" TargetMode="External"/><Relationship Id="rId25" Type="http://schemas.openxmlformats.org/officeDocument/2006/relationships/hyperlink" Target="https://doi.org/10.1155/2021/9823362" TargetMode="External"/><Relationship Id="rId33" Type="http://schemas.openxmlformats.org/officeDocument/2006/relationships/hyperlink" Target="https://doi.org/10.5620/eaht.e2020005" TargetMode="External"/><Relationship Id="rId38" Type="http://schemas.openxmlformats.org/officeDocument/2006/relationships/hyperlink" Target="https://doi.org/10.1016/j.biortech.2016.10.037" TargetMode="External"/><Relationship Id="rId46" Type="http://schemas.openxmlformats.org/officeDocument/2006/relationships/hyperlink" Target="https://doi.org/10.1038/nrmicro1348" TargetMode="External"/><Relationship Id="rId20" Type="http://schemas.openxmlformats.org/officeDocument/2006/relationships/hyperlink" Target="https://doi.org/10.22214/ijraset.2022.46414" TargetMode="External"/><Relationship Id="rId41" Type="http://schemas.openxmlformats.org/officeDocument/2006/relationships/hyperlink" Target="https://doi.org/10.1021/es2013227"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86/s40068-024-00343-w" TargetMode="External"/><Relationship Id="rId23" Type="http://schemas.openxmlformats.org/officeDocument/2006/relationships/hyperlink" Target="https://doi.org/10.1039/D4VA00203B" TargetMode="External"/><Relationship Id="rId28" Type="http://schemas.openxmlformats.org/officeDocument/2006/relationships/hyperlink" Target="https://doi.org/10.15406/jmen.2023.11.00401" TargetMode="External"/><Relationship Id="rId36" Type="http://schemas.openxmlformats.org/officeDocument/2006/relationships/hyperlink" Target="https://doi.org/10.26832/24566632.2024.0902023" TargetMode="External"/><Relationship Id="rId4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4746906636671"/>
          <c:y val="0.29198070215113453"/>
          <c:w val="0.82057870370370367"/>
          <c:h val="0.54953038958365485"/>
        </c:manualLayout>
      </c:layout>
      <c:lineChart>
        <c:grouping val="standard"/>
        <c:varyColors val="0"/>
        <c:ser>
          <c:idx val="0"/>
          <c:order val="0"/>
          <c:tx>
            <c:strRef>
              <c:f>Sheet1!$B$1</c:f>
              <c:strCache>
                <c:ptCount val="1"/>
                <c:pt idx="0">
                  <c:v>pH</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S1a</c:v>
                </c:pt>
                <c:pt idx="1">
                  <c:v>S1b</c:v>
                </c:pt>
                <c:pt idx="2">
                  <c:v>S2a</c:v>
                </c:pt>
                <c:pt idx="3">
                  <c:v>S2b</c:v>
                </c:pt>
                <c:pt idx="4">
                  <c:v>S3a</c:v>
                </c:pt>
                <c:pt idx="5">
                  <c:v>S3b</c:v>
                </c:pt>
              </c:strCache>
            </c:strRef>
          </c:cat>
          <c:val>
            <c:numRef>
              <c:f>Sheet1!$B$2:$B$7</c:f>
              <c:numCache>
                <c:formatCode>General</c:formatCode>
                <c:ptCount val="6"/>
                <c:pt idx="0">
                  <c:v>6.37</c:v>
                </c:pt>
                <c:pt idx="1">
                  <c:v>6.8</c:v>
                </c:pt>
                <c:pt idx="2">
                  <c:v>6.35</c:v>
                </c:pt>
                <c:pt idx="3">
                  <c:v>7.34</c:v>
                </c:pt>
                <c:pt idx="4">
                  <c:v>6.26</c:v>
                </c:pt>
                <c:pt idx="5">
                  <c:v>6.93</c:v>
                </c:pt>
              </c:numCache>
            </c:numRef>
          </c:val>
          <c:smooth val="0"/>
          <c:extLst>
            <c:ext xmlns:c16="http://schemas.microsoft.com/office/drawing/2014/chart" uri="{C3380CC4-5D6E-409C-BE32-E72D297353CC}">
              <c16:uniqueId val="{00000000-9A14-49E1-9242-75E57AD2457A}"/>
            </c:ext>
          </c:extLst>
        </c:ser>
        <c:ser>
          <c:idx val="1"/>
          <c:order val="1"/>
          <c:tx>
            <c:strRef>
              <c:f>Sheet1!$C$1</c:f>
              <c:strCache>
                <c:ptCount val="1"/>
                <c:pt idx="0">
                  <c:v>Temperature (0C)</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S1a</c:v>
                </c:pt>
                <c:pt idx="1">
                  <c:v>S1b</c:v>
                </c:pt>
                <c:pt idx="2">
                  <c:v>S2a</c:v>
                </c:pt>
                <c:pt idx="3">
                  <c:v>S2b</c:v>
                </c:pt>
                <c:pt idx="4">
                  <c:v>S3a</c:v>
                </c:pt>
                <c:pt idx="5">
                  <c:v>S3b</c:v>
                </c:pt>
              </c:strCache>
            </c:strRef>
          </c:cat>
          <c:val>
            <c:numRef>
              <c:f>Sheet1!$C$2:$C$7</c:f>
              <c:numCache>
                <c:formatCode>General</c:formatCode>
                <c:ptCount val="6"/>
                <c:pt idx="0">
                  <c:v>22.3</c:v>
                </c:pt>
                <c:pt idx="1">
                  <c:v>24.2</c:v>
                </c:pt>
                <c:pt idx="2">
                  <c:v>20.8</c:v>
                </c:pt>
                <c:pt idx="3">
                  <c:v>22.9</c:v>
                </c:pt>
                <c:pt idx="4">
                  <c:v>23.4</c:v>
                </c:pt>
                <c:pt idx="5">
                  <c:v>24.9</c:v>
                </c:pt>
              </c:numCache>
            </c:numRef>
          </c:val>
          <c:smooth val="0"/>
          <c:extLst>
            <c:ext xmlns:c16="http://schemas.microsoft.com/office/drawing/2014/chart" uri="{C3380CC4-5D6E-409C-BE32-E72D297353CC}">
              <c16:uniqueId val="{00000001-9A14-49E1-9242-75E57AD2457A}"/>
            </c:ext>
          </c:extLst>
        </c:ser>
        <c:ser>
          <c:idx val="2"/>
          <c:order val="2"/>
          <c:tx>
            <c:strRef>
              <c:f>Sheet1!$D$1</c:f>
              <c:strCache>
                <c:ptCount val="1"/>
                <c:pt idx="0">
                  <c:v>Electrical conductivity (dS/m)</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S1a</c:v>
                </c:pt>
                <c:pt idx="1">
                  <c:v>S1b</c:v>
                </c:pt>
                <c:pt idx="2">
                  <c:v>S2a</c:v>
                </c:pt>
                <c:pt idx="3">
                  <c:v>S2b</c:v>
                </c:pt>
                <c:pt idx="4">
                  <c:v>S3a</c:v>
                </c:pt>
                <c:pt idx="5">
                  <c:v>S3b</c:v>
                </c:pt>
              </c:strCache>
            </c:strRef>
          </c:cat>
          <c:val>
            <c:numRef>
              <c:f>Sheet1!$D$2:$D$7</c:f>
              <c:numCache>
                <c:formatCode>General</c:formatCode>
                <c:ptCount val="6"/>
                <c:pt idx="0">
                  <c:v>1.97</c:v>
                </c:pt>
                <c:pt idx="1">
                  <c:v>2.85</c:v>
                </c:pt>
                <c:pt idx="2">
                  <c:v>0.68</c:v>
                </c:pt>
                <c:pt idx="3">
                  <c:v>2.1</c:v>
                </c:pt>
                <c:pt idx="4">
                  <c:v>1.32</c:v>
                </c:pt>
                <c:pt idx="5">
                  <c:v>1.45</c:v>
                </c:pt>
              </c:numCache>
            </c:numRef>
          </c:val>
          <c:smooth val="0"/>
          <c:extLst>
            <c:ext xmlns:c16="http://schemas.microsoft.com/office/drawing/2014/chart" uri="{C3380CC4-5D6E-409C-BE32-E72D297353CC}">
              <c16:uniqueId val="{00000002-9A14-49E1-9242-75E57AD2457A}"/>
            </c:ext>
          </c:extLst>
        </c:ser>
        <c:dLbls>
          <c:dLblPos val="t"/>
          <c:showLegendKey val="0"/>
          <c:showVal val="1"/>
          <c:showCatName val="0"/>
          <c:showSerName val="0"/>
          <c:showPercent val="0"/>
          <c:showBubbleSize val="0"/>
        </c:dLbls>
        <c:marker val="1"/>
        <c:smooth val="0"/>
        <c:axId val="291621504"/>
        <c:axId val="100516224"/>
      </c:lineChart>
      <c:catAx>
        <c:axId val="291621504"/>
        <c:scaling>
          <c:orientation val="minMax"/>
        </c:scaling>
        <c:delete val="0"/>
        <c:axPos val="b"/>
        <c:title>
          <c:tx>
            <c:rich>
              <a:bodyPr/>
              <a:lstStyle/>
              <a:p>
                <a:pPr>
                  <a:defRPr/>
                </a:pPr>
                <a:r>
                  <a:rPr lang="en-US"/>
                  <a:t>Soil</a:t>
                </a:r>
                <a:r>
                  <a:rPr lang="en-US" baseline="0"/>
                  <a:t> Samples</a:t>
                </a:r>
                <a:endParaRPr lang="en-US"/>
              </a:p>
            </c:rich>
          </c:tx>
          <c:layout>
            <c:manualLayout>
              <c:xMode val="edge"/>
              <c:yMode val="edge"/>
              <c:x val="0.42765037182852134"/>
              <c:y val="0.90952380952380951"/>
            </c:manualLayout>
          </c:layout>
          <c:overlay val="0"/>
        </c:title>
        <c:numFmt formatCode="General" sourceLinked="0"/>
        <c:majorTickMark val="out"/>
        <c:minorTickMark val="none"/>
        <c:tickLblPos val="nextTo"/>
        <c:crossAx val="100516224"/>
        <c:crosses val="autoZero"/>
        <c:auto val="1"/>
        <c:lblAlgn val="ctr"/>
        <c:lblOffset val="100"/>
        <c:noMultiLvlLbl val="0"/>
      </c:catAx>
      <c:valAx>
        <c:axId val="100516224"/>
        <c:scaling>
          <c:orientation val="minMax"/>
        </c:scaling>
        <c:delete val="0"/>
        <c:axPos val="l"/>
        <c:title>
          <c:tx>
            <c:rich>
              <a:bodyPr/>
              <a:lstStyle/>
              <a:p>
                <a:pPr>
                  <a:defRPr/>
                </a:pPr>
                <a:r>
                  <a:rPr lang="en-US"/>
                  <a:t>Physiochemical</a:t>
                </a:r>
                <a:r>
                  <a:rPr lang="en-US" baseline="0"/>
                  <a:t> properties</a:t>
                </a:r>
                <a:endParaRPr lang="en-US"/>
              </a:p>
            </c:rich>
          </c:tx>
          <c:layout>
            <c:manualLayout>
              <c:xMode val="edge"/>
              <c:yMode val="edge"/>
              <c:x val="3.2407407407407406E-2"/>
              <c:y val="0.26729033870766156"/>
            </c:manualLayout>
          </c:layout>
          <c:overlay val="0"/>
        </c:title>
        <c:numFmt formatCode="General" sourceLinked="1"/>
        <c:majorTickMark val="out"/>
        <c:minorTickMark val="none"/>
        <c:tickLblPos val="nextTo"/>
        <c:crossAx val="291621504"/>
        <c:crosses val="autoZero"/>
        <c:crossBetween val="between"/>
      </c:valAx>
    </c:plotArea>
    <c:legend>
      <c:legendPos val="t"/>
      <c:overlay val="0"/>
    </c:legend>
    <c:plotVisOnly val="1"/>
    <c:dispBlanksAs val="gap"/>
    <c:showDLblsOverMax val="0"/>
  </c:chart>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E21155-96A4-4D3F-8DA5-B5F29B6B642C}">
  <we:reference id="wa200000368" version="1.0.0.0" store="en-US" storeType="OMEX"/>
  <we:alternateReferences>
    <we:reference id="wa200000368" version="1.0.0.0" store="en-US" storeType="OMEX"/>
  </we:alternateReferences>
  <we:properties>
    <we:property name="documentId" value="&quot;188de6e9a18438e6&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97</TotalTime>
  <Pages>22</Pages>
  <Words>5226</Words>
  <Characters>29792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Editor-90</cp:lastModifiedBy>
  <cp:revision>19</cp:revision>
  <dcterms:created xsi:type="dcterms:W3CDTF">2025-12-11T08:06:00Z</dcterms:created>
  <dcterms:modified xsi:type="dcterms:W3CDTF">2025-12-19T06:35:00Z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4995d3ce-441f-4a92-90be-c784b532731c</vt:lpwstr>
  </property>
</Properties>
</file>