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D505" w14:textId="77777777" w:rsidR="00C179A1" w:rsidRDefault="00C179A1" w:rsidP="00C179A1">
      <w:pPr>
        <w:ind w:left="-180" w:firstLine="180"/>
        <w:jc w:val="center"/>
        <w:rPr>
          <w:rFonts w:ascii="Times New Roman" w:hAnsi="Times New Roman" w:cs="Times New Roman"/>
          <w:b/>
          <w:bCs/>
          <w:sz w:val="28"/>
          <w:szCs w:val="28"/>
        </w:rPr>
      </w:pPr>
      <w:r w:rsidRPr="00805341">
        <w:rPr>
          <w:rFonts w:ascii="Times New Roman" w:hAnsi="Times New Roman" w:cs="Times New Roman"/>
          <w:b/>
          <w:bCs/>
          <w:sz w:val="28"/>
          <w:szCs w:val="28"/>
        </w:rPr>
        <w:t>Effect of Botanicals and Chemicals on Growth, Yield, and Seed Quality of Mustard (</w:t>
      </w:r>
      <w:r w:rsidRPr="00805341">
        <w:rPr>
          <w:rStyle w:val="Emphasis"/>
          <w:rFonts w:ascii="Times New Roman" w:hAnsi="Times New Roman" w:cs="Times New Roman"/>
          <w:b/>
          <w:bCs/>
          <w:sz w:val="28"/>
          <w:szCs w:val="28"/>
        </w:rPr>
        <w:t>Brassica juncea</w:t>
      </w:r>
      <w:r w:rsidRPr="00805341">
        <w:rPr>
          <w:rFonts w:ascii="Times New Roman" w:hAnsi="Times New Roman" w:cs="Times New Roman"/>
          <w:b/>
          <w:bCs/>
          <w:sz w:val="28"/>
          <w:szCs w:val="28"/>
        </w:rPr>
        <w:t>)</w:t>
      </w:r>
    </w:p>
    <w:p w14:paraId="7EACF076" w14:textId="77777777" w:rsidR="00C179A1" w:rsidRDefault="00C179A1" w:rsidP="00C179A1">
      <w:pPr>
        <w:ind w:left="-180" w:firstLine="180"/>
        <w:jc w:val="center"/>
        <w:rPr>
          <w:rFonts w:ascii="Times New Roman" w:hAnsi="Times New Roman" w:cs="Times New Roman"/>
          <w:b/>
          <w:bCs/>
          <w:sz w:val="24"/>
          <w:szCs w:val="24"/>
        </w:rPr>
      </w:pPr>
    </w:p>
    <w:p w14:paraId="4B91E24B" w14:textId="77777777" w:rsidR="00C179A1" w:rsidRDefault="00C179A1" w:rsidP="00C179A1">
      <w:pPr>
        <w:jc w:val="center"/>
      </w:pPr>
      <w:r w:rsidRPr="00805341">
        <w:rPr>
          <w:rFonts w:ascii="Times New Roman" w:hAnsi="Times New Roman" w:cs="Times New Roman"/>
          <w:b/>
          <w:bCs/>
          <w:sz w:val="28"/>
          <w:szCs w:val="28"/>
        </w:rPr>
        <w:t>Abstract</w:t>
      </w:r>
    </w:p>
    <w:p w14:paraId="36A321CD" w14:textId="77777777" w:rsidR="00C179A1" w:rsidRPr="004B3C9A" w:rsidRDefault="004B3B80" w:rsidP="004B3C9A">
      <w:pPr>
        <w:pStyle w:val="NormalWeb"/>
        <w:spacing w:line="360" w:lineRule="auto"/>
        <w:jc w:val="both"/>
        <w:rPr>
          <w:b/>
          <w:bCs/>
        </w:rPr>
      </w:pPr>
      <w:r w:rsidRPr="004B3B80">
        <w:t xml:space="preserve">A field experiment was carried out during the Rabi season of 2018–2019 at the Research Farm, Department of Genetics and Plant Breeding, Sam Higginbottom Institute of Agriculture, Technology and Sciences (SHIATS), Prayagraj, to evaluate the effect of different concentrations of botanicals and chemicals on growth, yield and seed quality of mustard. The experiment was laid out in a </w:t>
      </w:r>
      <w:r w:rsidRPr="004B3C9A">
        <w:rPr>
          <w:rStyle w:val="Strong"/>
          <w:b w:val="0"/>
          <w:bCs w:val="0"/>
        </w:rPr>
        <w:t>Randomized Block Design with three replications and eleven treatments</w:t>
      </w:r>
      <w:r w:rsidRPr="004B3C9A">
        <w:rPr>
          <w:b/>
          <w:bCs/>
        </w:rPr>
        <w:t>.</w:t>
      </w:r>
      <w:r w:rsidRPr="004B3B80">
        <w:t xml:space="preserve"> The treatments consisted of garlic, ginger and neem extracts at </w:t>
      </w:r>
      <w:r w:rsidRPr="004B3C9A">
        <w:rPr>
          <w:rStyle w:val="Strong"/>
          <w:b w:val="0"/>
          <w:bCs w:val="0"/>
        </w:rPr>
        <w:t>10%, 15% and 20% concentrations</w:t>
      </w:r>
      <w:r w:rsidRPr="004B3B80">
        <w:t xml:space="preserve">, along with carbendazim, thiram and a control. The control (T0) recorded the lowest values for most traits, with 79.15% field emergence, 39 days to flowering, 125.43 cm plant height, 38.73 siliquae per plant, 7.40 seeds per siliqua and only 0.74 g seed yield per plant. Among the botanicals, </w:t>
      </w:r>
      <w:r w:rsidRPr="004B3C9A">
        <w:rPr>
          <w:rStyle w:val="Strong"/>
          <w:b w:val="0"/>
          <w:bCs w:val="0"/>
        </w:rPr>
        <w:t>garlic extract at 10% concentration (T7)</w:t>
      </w:r>
      <w:r w:rsidRPr="004B3B80">
        <w:t xml:space="preserve"> performed best, producing the highest field emergence (92.55%), earliest flowering (33.67 days), 136.20 cm plant height, 40.80 siliquae per plant, 10.27 seeds per siliqua and the highest seed yield (1.85 g per plant), along with the maximum economic yield (48.41 g) and harvest index (31.63%). For seed quality parameters</w:t>
      </w:r>
      <w:r w:rsidRPr="004B3C9A">
        <w:rPr>
          <w:b/>
          <w:bCs/>
        </w:rPr>
        <w:t xml:space="preserve">, </w:t>
      </w:r>
      <w:r w:rsidRPr="004B3C9A">
        <w:rPr>
          <w:rStyle w:val="Strong"/>
          <w:b w:val="0"/>
          <w:bCs w:val="0"/>
        </w:rPr>
        <w:t>garlic extract at 15% concentration (T8)</w:t>
      </w:r>
      <w:r w:rsidRPr="004B3B80">
        <w:t xml:space="preserve"> recorded superior performance, enhancing germination percentage, root length, seedling length and </w:t>
      </w:r>
      <w:proofErr w:type="spellStart"/>
      <w:r w:rsidRPr="004B3B80">
        <w:t>vigour</w:t>
      </w:r>
      <w:proofErr w:type="spellEnd"/>
      <w:r w:rsidRPr="004B3B80">
        <w:t xml:space="preserve"> index compared to the rest. Although ginger and neem extracts at 10–20% concentrations produced comparatively lower yield values—such as neem 10% (T4) showing 74.07% field emergence and 1.40 g seed yield per plant—they remain eco-friendly, safe and low-cost alternatives to chemical seed treatments. Overall, the study concludes that </w:t>
      </w:r>
      <w:r w:rsidRPr="004B3C9A">
        <w:rPr>
          <w:rStyle w:val="Strong"/>
          <w:b w:val="0"/>
          <w:bCs w:val="0"/>
        </w:rPr>
        <w:t>garlic extract at 10% concentration is most effective for improving mustard growth and yield</w:t>
      </w:r>
      <w:r w:rsidRPr="004B3C9A">
        <w:rPr>
          <w:b/>
          <w:bCs/>
        </w:rPr>
        <w:t xml:space="preserve">, </w:t>
      </w:r>
      <w:r w:rsidRPr="004B3C9A">
        <w:t xml:space="preserve">while </w:t>
      </w:r>
      <w:r w:rsidRPr="004B3C9A">
        <w:rPr>
          <w:rStyle w:val="Strong"/>
          <w:b w:val="0"/>
          <w:bCs w:val="0"/>
        </w:rPr>
        <w:t>15% garlic extract</w:t>
      </w:r>
      <w:r w:rsidRPr="004B3C9A">
        <w:rPr>
          <w:b/>
          <w:bCs/>
        </w:rPr>
        <w:t xml:space="preserve"> </w:t>
      </w:r>
      <w:r w:rsidRPr="004B3C9A">
        <w:t>is superior for enhancing seed quality.</w:t>
      </w:r>
      <w:r w:rsidRPr="004B3C9A">
        <w:rPr>
          <w:b/>
          <w:bCs/>
        </w:rPr>
        <w:t xml:space="preserve"> </w:t>
      </w:r>
      <w:r w:rsidRPr="004B3C9A">
        <w:rPr>
          <w:rStyle w:val="Strong"/>
          <w:b w:val="0"/>
          <w:bCs w:val="0"/>
        </w:rPr>
        <w:t>These findings indicate that farmers can adopt garlic extract seed treatments at appropriate concentrations as an affordable and eco-friendly method to improve mustard productivity and seed quality under field conditions.</w:t>
      </w:r>
    </w:p>
    <w:p w14:paraId="2B54850C" w14:textId="77777777" w:rsidR="00407A1E" w:rsidRDefault="00407A1E" w:rsidP="00407A1E">
      <w:pPr>
        <w:tabs>
          <w:tab w:val="left" w:pos="900"/>
        </w:tabs>
        <w:spacing w:before="200" w:line="360" w:lineRule="auto"/>
        <w:jc w:val="both"/>
        <w:rPr>
          <w:rFonts w:ascii="Times New Roman" w:hAnsi="Times New Roman" w:cs="Times New Roman"/>
          <w:bCs/>
          <w:sz w:val="24"/>
          <w:szCs w:val="24"/>
        </w:rPr>
      </w:pPr>
      <w:r w:rsidRPr="00B4141A">
        <w:rPr>
          <w:rFonts w:ascii="Times New Roman" w:hAnsi="Times New Roman" w:cs="Times New Roman"/>
          <w:b/>
          <w:sz w:val="24"/>
          <w:szCs w:val="24"/>
        </w:rPr>
        <w:t>KEYWORDS :</w:t>
      </w:r>
      <w:r w:rsidRPr="00122AA9">
        <w:rPr>
          <w:rFonts w:ascii="Times New Roman" w:hAnsi="Times New Roman" w:cs="Times New Roman"/>
          <w:bCs/>
          <w:sz w:val="24"/>
          <w:szCs w:val="24"/>
        </w:rPr>
        <w:t xml:space="preserve"> Carbendazim</w:t>
      </w:r>
      <w:r>
        <w:rPr>
          <w:rFonts w:ascii="Times New Roman" w:hAnsi="Times New Roman" w:cs="Times New Roman"/>
          <w:bCs/>
          <w:sz w:val="24"/>
          <w:szCs w:val="24"/>
        </w:rPr>
        <w:t>, Thiram</w:t>
      </w:r>
      <w:r w:rsidRPr="00122AA9">
        <w:rPr>
          <w:rFonts w:ascii="Times New Roman" w:hAnsi="Times New Roman" w:cs="Times New Roman"/>
          <w:bCs/>
          <w:sz w:val="24"/>
          <w:szCs w:val="24"/>
        </w:rPr>
        <w:t>, Neem,</w:t>
      </w:r>
      <w:r>
        <w:rPr>
          <w:rFonts w:ascii="Times New Roman" w:hAnsi="Times New Roman" w:cs="Times New Roman"/>
          <w:bCs/>
          <w:sz w:val="24"/>
          <w:szCs w:val="24"/>
        </w:rPr>
        <w:t xml:space="preserve"> </w:t>
      </w:r>
      <w:r w:rsidRPr="00122AA9">
        <w:rPr>
          <w:rFonts w:ascii="Times New Roman" w:hAnsi="Times New Roman" w:cs="Times New Roman"/>
          <w:bCs/>
          <w:sz w:val="24"/>
          <w:szCs w:val="24"/>
        </w:rPr>
        <w:t>Garlic,</w:t>
      </w:r>
      <w:r>
        <w:rPr>
          <w:rFonts w:ascii="Times New Roman" w:hAnsi="Times New Roman" w:cs="Times New Roman"/>
          <w:bCs/>
          <w:sz w:val="24"/>
          <w:szCs w:val="24"/>
        </w:rPr>
        <w:t xml:space="preserve"> </w:t>
      </w:r>
      <w:r w:rsidRPr="00122AA9">
        <w:rPr>
          <w:rFonts w:ascii="Times New Roman" w:hAnsi="Times New Roman" w:cs="Times New Roman"/>
          <w:bCs/>
          <w:sz w:val="24"/>
          <w:szCs w:val="24"/>
        </w:rPr>
        <w:t>Ginger,</w:t>
      </w:r>
      <w:r>
        <w:rPr>
          <w:rFonts w:ascii="Times New Roman" w:hAnsi="Times New Roman" w:cs="Times New Roman"/>
          <w:bCs/>
          <w:sz w:val="24"/>
          <w:szCs w:val="24"/>
        </w:rPr>
        <w:t xml:space="preserve"> </w:t>
      </w:r>
      <w:r w:rsidRPr="00122AA9">
        <w:rPr>
          <w:rFonts w:ascii="Times New Roman" w:hAnsi="Times New Roman" w:cs="Times New Roman"/>
          <w:bCs/>
          <w:sz w:val="24"/>
          <w:szCs w:val="24"/>
        </w:rPr>
        <w:t>Mustard.</w:t>
      </w:r>
    </w:p>
    <w:p w14:paraId="6480F373" w14:textId="77777777" w:rsidR="004B3C9A" w:rsidRDefault="004B3C9A" w:rsidP="00407A1E">
      <w:pPr>
        <w:tabs>
          <w:tab w:val="left" w:pos="900"/>
        </w:tabs>
        <w:spacing w:before="200" w:line="360" w:lineRule="auto"/>
        <w:jc w:val="both"/>
        <w:rPr>
          <w:rFonts w:ascii="Times New Roman" w:hAnsi="Times New Roman" w:cs="Times New Roman"/>
          <w:bCs/>
          <w:sz w:val="24"/>
          <w:szCs w:val="24"/>
        </w:rPr>
      </w:pPr>
    </w:p>
    <w:p w14:paraId="420877AA" w14:textId="77777777" w:rsidR="004B3C9A" w:rsidRPr="00805341" w:rsidRDefault="004B3C9A" w:rsidP="004B3C9A">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805341">
        <w:rPr>
          <w:rFonts w:ascii="Times New Roman" w:eastAsia="Times New Roman" w:hAnsi="Times New Roman" w:cs="Times New Roman"/>
          <w:b/>
          <w:bCs/>
          <w:kern w:val="36"/>
          <w:sz w:val="32"/>
          <w:szCs w:val="32"/>
        </w:rPr>
        <w:lastRenderedPageBreak/>
        <w:t>Introduction</w:t>
      </w:r>
    </w:p>
    <w:p w14:paraId="59E39C62" w14:textId="77777777" w:rsidR="004B3C9A" w:rsidRDefault="005D4CA8" w:rsidP="0065323B">
      <w:pPr>
        <w:spacing w:line="36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4B3C9A" w:rsidRPr="00B523E8">
        <w:rPr>
          <w:rFonts w:ascii="Times New Roman" w:hAnsi="Times New Roman" w:cs="Times New Roman"/>
          <w:sz w:val="24"/>
          <w:szCs w:val="24"/>
        </w:rPr>
        <w:t xml:space="preserve">Mustard </w:t>
      </w:r>
      <w:r w:rsidR="004B3C9A" w:rsidRPr="00987881">
        <w:rPr>
          <w:rFonts w:ascii="Times New Roman" w:hAnsi="Times New Roman" w:cs="Times New Roman"/>
          <w:i/>
          <w:iCs/>
          <w:sz w:val="24"/>
          <w:szCs w:val="24"/>
        </w:rPr>
        <w:t>(Brassica juncea)</w:t>
      </w:r>
      <w:r w:rsidR="004B3C9A">
        <w:rPr>
          <w:rFonts w:ascii="Times New Roman" w:hAnsi="Times New Roman" w:cs="Times New Roman"/>
          <w:sz w:val="24"/>
          <w:szCs w:val="24"/>
        </w:rPr>
        <w:t xml:space="preserve"> is </w:t>
      </w:r>
      <w:r w:rsidR="004B3C9A" w:rsidRPr="00B523E8">
        <w:rPr>
          <w:rFonts w:ascii="Times New Roman" w:hAnsi="Times New Roman" w:cs="Times New Roman"/>
          <w:sz w:val="24"/>
          <w:szCs w:val="24"/>
        </w:rPr>
        <w:t>one of t</w:t>
      </w:r>
      <w:r w:rsidR="004B3C9A">
        <w:rPr>
          <w:rFonts w:ascii="Times New Roman" w:hAnsi="Times New Roman" w:cs="Times New Roman"/>
          <w:sz w:val="24"/>
          <w:szCs w:val="24"/>
        </w:rPr>
        <w:t xml:space="preserve">he first domesticated crops in </w:t>
      </w:r>
      <w:r w:rsidR="004B3C9A" w:rsidRPr="00AB3924">
        <w:rPr>
          <w:rFonts w:ascii="Times New Roman" w:hAnsi="Times New Roman" w:cs="Times New Roman"/>
          <w:i/>
          <w:sz w:val="24"/>
          <w:szCs w:val="24"/>
        </w:rPr>
        <w:t>Rabi</w:t>
      </w:r>
      <w:r w:rsidR="004B3C9A">
        <w:rPr>
          <w:rFonts w:ascii="Times New Roman" w:hAnsi="Times New Roman" w:cs="Times New Roman"/>
          <w:i/>
          <w:sz w:val="24"/>
          <w:szCs w:val="24"/>
        </w:rPr>
        <w:t>-</w:t>
      </w:r>
      <w:r w:rsidR="004B3C9A" w:rsidRPr="00AB3924">
        <w:rPr>
          <w:rFonts w:ascii="Times New Roman" w:hAnsi="Times New Roman" w:cs="Times New Roman"/>
          <w:sz w:val="24"/>
          <w:szCs w:val="24"/>
        </w:rPr>
        <w:t>2018</w:t>
      </w:r>
      <w:r w:rsidR="00324329">
        <w:rPr>
          <w:rFonts w:ascii="Times New Roman" w:hAnsi="Times New Roman" w:cs="Times New Roman"/>
          <w:sz w:val="24"/>
          <w:szCs w:val="24"/>
        </w:rPr>
        <w:t xml:space="preserve"> </w:t>
      </w:r>
      <w:r w:rsidR="004B3C9A" w:rsidRPr="00B523E8">
        <w:rPr>
          <w:rFonts w:ascii="Times New Roman" w:hAnsi="Times New Roman" w:cs="Times New Roman"/>
          <w:sz w:val="24"/>
          <w:szCs w:val="24"/>
        </w:rPr>
        <w:t>season. It is widely cultivated in tropical and sub-tropical areas of the world. Globally, it is mainly cultivated in India, Canada, China, Pakistan, Poland, Bangladesh, Sweden and France. About 35% area of the total cultivated area of world is in India with 16% of shares in production</w:t>
      </w:r>
      <w:r w:rsidR="004B3C9A">
        <w:rPr>
          <w:rFonts w:ascii="Times New Roman" w:hAnsi="Times New Roman" w:cs="Times New Roman"/>
          <w:sz w:val="24"/>
          <w:szCs w:val="24"/>
        </w:rPr>
        <w:t xml:space="preserve">. </w:t>
      </w:r>
      <w:r w:rsidR="004B3C9A" w:rsidRPr="00B523E8">
        <w:rPr>
          <w:rFonts w:ascii="Times New Roman" w:hAnsi="Times New Roman" w:cs="Times New Roman"/>
          <w:sz w:val="24"/>
          <w:szCs w:val="24"/>
        </w:rPr>
        <w:t>India is the f</w:t>
      </w:r>
      <w:r w:rsidR="00324329">
        <w:rPr>
          <w:rFonts w:ascii="Times New Roman" w:hAnsi="Times New Roman" w:cs="Times New Roman"/>
          <w:sz w:val="24"/>
          <w:szCs w:val="24"/>
        </w:rPr>
        <w:t xml:space="preserve">ifth major mustard producing </w:t>
      </w:r>
      <w:r w:rsidR="00324329" w:rsidRPr="00B523E8">
        <w:rPr>
          <w:rFonts w:ascii="Times New Roman" w:hAnsi="Times New Roman" w:cs="Times New Roman"/>
          <w:sz w:val="24"/>
          <w:szCs w:val="24"/>
        </w:rPr>
        <w:t xml:space="preserve">consuming country in the world. The major mustard growing states in India are Rajasthan, Uttar Pradesh, Haryana, Madhya Pradesh, Gujarat and West Bengal. </w:t>
      </w:r>
      <w:r w:rsidR="00EE1B52">
        <w:rPr>
          <w:rFonts w:ascii="Times New Roman" w:hAnsi="Times New Roman" w:cs="Times New Roman"/>
          <w:sz w:val="24"/>
          <w:szCs w:val="24"/>
        </w:rPr>
        <w:t xml:space="preserve"> </w:t>
      </w:r>
      <w:r w:rsidR="004B3C9A" w:rsidRPr="00B523E8">
        <w:rPr>
          <w:rFonts w:ascii="Times New Roman" w:hAnsi="Times New Roman" w:cs="Times New Roman"/>
          <w:sz w:val="24"/>
          <w:szCs w:val="24"/>
        </w:rPr>
        <w:t>The government of India has introduced National Mission on Oilseeds and Oil Palm (NMOOP), with a vision to increase production of vegetable oils sourced from oilseeds. Apart from that, various other initiatives have been taken to increase oilseed production in India, including mustard in order to meet domestic as well as global demand.</w:t>
      </w:r>
      <w:r w:rsidR="004B3C9A">
        <w:rPr>
          <w:rFonts w:ascii="Times New Roman" w:hAnsi="Times New Roman" w:cs="Times New Roman"/>
          <w:sz w:val="24"/>
          <w:szCs w:val="24"/>
        </w:rPr>
        <w:t xml:space="preserve"> In India</w:t>
      </w:r>
      <w:r w:rsidR="004B3C9A" w:rsidRPr="00B523E8">
        <w:rPr>
          <w:rFonts w:ascii="Times New Roman" w:hAnsi="Times New Roman" w:cs="Times New Roman"/>
          <w:sz w:val="24"/>
          <w:szCs w:val="24"/>
        </w:rPr>
        <w:t>, Rajasthan contributes about 49% to the county’s total mustard production, followed by Uttar Pradesh (11%), Haryana (11%), Madhya Pradesh (11%), Gujarat (6%), West Bengal (5%) and other districts (7%). (http://www. commoditiescontrol.com). Mustard is grown for its oil rich seeds. Apart from extracting oil, seeds are also used directly in the preparation of almost all Indian curries particularly in a process called “Tadka”. India occupies the first position both in area and production of mustard. The mustard seed gives edible oil which is used as cooking medium in north India. Oil content in mustard varies from 30 to 49%.Rajasthan is one of the major mustard producing states in the country, contributing 46.2 % of total production of India. National and state yield of mustard in 2014-15 are 1010 kg/ha and 1183 kg/ha, respectively (Anonymous, 2014-15). Although, yield of mustard in Rajasthan is more than its national average yield, but we are still lagging behind by 840 kg/ha as compared to the world’s productivity. Among the various constraints attributing to low productivity of mustard in arid and semi-arid region, the erratic nature of climate, inefficient irrigation water, weed infestation, fertilizer management and poor soil physical conditions are the most important factors which lead to the low crop yield of Mustard.</w:t>
      </w:r>
    </w:p>
    <w:p w14:paraId="0BF33D76" w14:textId="77777777" w:rsidR="0065323B" w:rsidRDefault="0065323B" w:rsidP="004B3C9A">
      <w:pPr>
        <w:tabs>
          <w:tab w:val="left" w:pos="2130"/>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0D8993E3" w14:textId="77777777" w:rsidR="0065323B" w:rsidRDefault="0065323B" w:rsidP="004B3C9A">
      <w:pPr>
        <w:tabs>
          <w:tab w:val="left" w:pos="2130"/>
        </w:tabs>
        <w:spacing w:line="360" w:lineRule="auto"/>
        <w:jc w:val="both"/>
        <w:rPr>
          <w:rFonts w:ascii="Times New Roman" w:hAnsi="Times New Roman" w:cs="Times New Roman"/>
          <w:b/>
          <w:sz w:val="28"/>
          <w:szCs w:val="28"/>
        </w:rPr>
      </w:pPr>
    </w:p>
    <w:p w14:paraId="71FB31E5" w14:textId="77777777" w:rsidR="004B3C9A" w:rsidRPr="000123AE" w:rsidRDefault="004B3C9A" w:rsidP="004B3C9A">
      <w:pPr>
        <w:tabs>
          <w:tab w:val="left" w:pos="2130"/>
        </w:tabs>
        <w:spacing w:line="360" w:lineRule="auto"/>
        <w:jc w:val="both"/>
        <w:rPr>
          <w:rFonts w:ascii="Times New Roman" w:hAnsi="Times New Roman" w:cs="Times New Roman"/>
          <w:b/>
          <w:sz w:val="28"/>
          <w:szCs w:val="28"/>
        </w:rPr>
      </w:pPr>
      <w:r w:rsidRPr="000123AE">
        <w:rPr>
          <w:rFonts w:ascii="Times New Roman" w:hAnsi="Times New Roman" w:cs="Times New Roman"/>
          <w:b/>
          <w:sz w:val="28"/>
          <w:szCs w:val="28"/>
        </w:rPr>
        <w:lastRenderedPageBreak/>
        <w:t>O</w:t>
      </w:r>
      <w:r>
        <w:rPr>
          <w:rFonts w:ascii="Times New Roman" w:hAnsi="Times New Roman" w:cs="Times New Roman"/>
          <w:b/>
          <w:sz w:val="28"/>
          <w:szCs w:val="28"/>
        </w:rPr>
        <w:t>bjective</w:t>
      </w:r>
      <w:r w:rsidRPr="000123AE">
        <w:rPr>
          <w:rFonts w:ascii="Times New Roman" w:hAnsi="Times New Roman" w:cs="Times New Roman"/>
          <w:sz w:val="28"/>
          <w:szCs w:val="28"/>
        </w:rPr>
        <w:t>:</w:t>
      </w:r>
    </w:p>
    <w:p w14:paraId="4CB61481" w14:textId="77777777" w:rsidR="004B3C9A" w:rsidRDefault="004B3C9A" w:rsidP="004B3C9A">
      <w:pPr>
        <w:tabs>
          <w:tab w:val="left" w:pos="960"/>
        </w:tabs>
        <w:spacing w:line="360" w:lineRule="auto"/>
        <w:jc w:val="both"/>
        <w:rPr>
          <w:rFonts w:ascii="Times New Roman" w:hAnsi="Times New Roman" w:cs="Times New Roman"/>
          <w:sz w:val="24"/>
          <w:szCs w:val="24"/>
        </w:rPr>
      </w:pPr>
      <w:r w:rsidRPr="00F1143B">
        <w:rPr>
          <w:rFonts w:ascii="Times New Roman" w:hAnsi="Times New Roman" w:cs="Times New Roman"/>
          <w:sz w:val="24"/>
          <w:szCs w:val="24"/>
        </w:rPr>
        <w:t>1.</w:t>
      </w:r>
      <w:r>
        <w:rPr>
          <w:rFonts w:ascii="Times New Roman" w:hAnsi="Times New Roman" w:cs="Times New Roman"/>
          <w:sz w:val="24"/>
          <w:szCs w:val="24"/>
        </w:rPr>
        <w:t xml:space="preserve"> To study about</w:t>
      </w:r>
      <w:r w:rsidRPr="00F1143B">
        <w:rPr>
          <w:rFonts w:ascii="Times New Roman" w:hAnsi="Times New Roman" w:cs="Times New Roman"/>
          <w:sz w:val="24"/>
          <w:szCs w:val="24"/>
        </w:rPr>
        <w:t xml:space="preserve"> different doses of botanicals and chemicals</w:t>
      </w:r>
      <w:r>
        <w:rPr>
          <w:rFonts w:ascii="Times New Roman" w:hAnsi="Times New Roman" w:cs="Times New Roman"/>
          <w:sz w:val="24"/>
          <w:szCs w:val="24"/>
        </w:rPr>
        <w:t xml:space="preserve"> on seed growth and yield in mustard.</w:t>
      </w:r>
    </w:p>
    <w:p w14:paraId="003D6B83" w14:textId="77777777" w:rsidR="004B3C9A" w:rsidRPr="00F1143B" w:rsidRDefault="004B3C9A" w:rsidP="004B3C9A">
      <w:pPr>
        <w:tabs>
          <w:tab w:val="left" w:pos="9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To study about </w:t>
      </w:r>
      <w:r w:rsidRPr="00F1143B">
        <w:rPr>
          <w:rFonts w:ascii="Times New Roman" w:hAnsi="Times New Roman" w:cs="Times New Roman"/>
          <w:sz w:val="24"/>
          <w:szCs w:val="24"/>
        </w:rPr>
        <w:t>doses of botanicals and chemicals</w:t>
      </w:r>
      <w:r>
        <w:rPr>
          <w:rFonts w:ascii="Times New Roman" w:hAnsi="Times New Roman" w:cs="Times New Roman"/>
          <w:sz w:val="24"/>
          <w:szCs w:val="24"/>
        </w:rPr>
        <w:t xml:space="preserve"> on seed quality</w:t>
      </w:r>
      <w:r w:rsidRPr="00F1143B">
        <w:rPr>
          <w:rFonts w:ascii="Times New Roman" w:hAnsi="Times New Roman" w:cs="Times New Roman"/>
          <w:sz w:val="24"/>
          <w:szCs w:val="24"/>
        </w:rPr>
        <w:t xml:space="preserve"> in mustard</w:t>
      </w:r>
      <w:r>
        <w:rPr>
          <w:rFonts w:ascii="Times New Roman" w:hAnsi="Times New Roman" w:cs="Times New Roman"/>
          <w:sz w:val="24"/>
          <w:szCs w:val="24"/>
        </w:rPr>
        <w:t>.</w:t>
      </w:r>
    </w:p>
    <w:p w14:paraId="4F52417A" w14:textId="77777777" w:rsidR="004B3C9A" w:rsidRDefault="004B3C9A" w:rsidP="004B3C9A">
      <w:pPr>
        <w:spacing w:line="360" w:lineRule="auto"/>
        <w:jc w:val="both"/>
        <w:rPr>
          <w:rFonts w:ascii="Times New Roman" w:hAnsi="Times New Roman" w:cs="Times New Roman"/>
          <w:b/>
          <w:color w:val="000000" w:themeColor="text1"/>
          <w:sz w:val="28"/>
          <w:szCs w:val="28"/>
        </w:rPr>
      </w:pPr>
      <w:r w:rsidRPr="000123AE">
        <w:rPr>
          <w:rFonts w:ascii="Times New Roman" w:hAnsi="Times New Roman" w:cs="Times New Roman"/>
          <w:b/>
          <w:color w:val="000000" w:themeColor="text1"/>
          <w:sz w:val="28"/>
          <w:szCs w:val="28"/>
        </w:rPr>
        <w:t xml:space="preserve">Materials </w:t>
      </w:r>
      <w:r>
        <w:rPr>
          <w:rFonts w:ascii="Times New Roman" w:hAnsi="Times New Roman" w:cs="Times New Roman"/>
          <w:b/>
          <w:color w:val="000000" w:themeColor="text1"/>
          <w:sz w:val="28"/>
          <w:szCs w:val="28"/>
        </w:rPr>
        <w:t>and Methods</w:t>
      </w:r>
    </w:p>
    <w:p w14:paraId="21A6CAB4" w14:textId="77777777" w:rsidR="005B798D" w:rsidRDefault="005D4CA8" w:rsidP="004B3C9A">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F11B1F" w:rsidRPr="00F11B1F">
        <w:rPr>
          <w:rFonts w:ascii="Times New Roman" w:hAnsi="Times New Roman" w:cs="Times New Roman"/>
          <w:sz w:val="24"/>
          <w:szCs w:val="24"/>
        </w:rPr>
        <w:t xml:space="preserve">The field experiment entitled </w:t>
      </w:r>
      <w:r w:rsidR="00F11B1F" w:rsidRPr="00801AF9">
        <w:rPr>
          <w:rStyle w:val="Strong"/>
          <w:rFonts w:ascii="Times New Roman" w:hAnsi="Times New Roman" w:cs="Times New Roman"/>
          <w:b w:val="0"/>
          <w:bCs w:val="0"/>
          <w:sz w:val="24"/>
          <w:szCs w:val="24"/>
        </w:rPr>
        <w:t>“To Study the Effect of Different Doses of Botanicals and Chemicals on Growth, Yield and Seed Quality in Mustard”</w:t>
      </w:r>
      <w:r w:rsidR="00F11B1F" w:rsidRPr="00F11B1F">
        <w:rPr>
          <w:rFonts w:ascii="Times New Roman" w:hAnsi="Times New Roman" w:cs="Times New Roman"/>
          <w:sz w:val="24"/>
          <w:szCs w:val="24"/>
        </w:rPr>
        <w:t xml:space="preserve"> was conducted during the Rabi season of 2018–2019 at the Field Experimentation Centre, Department of Genetics and Plant Breeding, Sam Higginbottom University of Agriculture, Technology and Sciences (SHUATS), Prayagraj, Uttar Pradesh, India. The details of the materials used, the methods followed, and the criteria adopted for treatment evaluation are presented in this chapter. The experiment was laid out in a </w:t>
      </w:r>
      <w:r w:rsidR="00F11B1F" w:rsidRPr="00801AF9">
        <w:rPr>
          <w:rStyle w:val="Strong"/>
          <w:rFonts w:ascii="Times New Roman" w:hAnsi="Times New Roman" w:cs="Times New Roman"/>
          <w:b w:val="0"/>
          <w:bCs w:val="0"/>
          <w:sz w:val="24"/>
          <w:szCs w:val="24"/>
        </w:rPr>
        <w:t>Randomized Block Design (RBD)</w:t>
      </w:r>
      <w:r w:rsidR="00F11B1F" w:rsidRPr="00F11B1F">
        <w:rPr>
          <w:rFonts w:ascii="Times New Roman" w:hAnsi="Times New Roman" w:cs="Times New Roman"/>
          <w:sz w:val="24"/>
          <w:szCs w:val="24"/>
        </w:rPr>
        <w:t xml:space="preserve"> with </w:t>
      </w:r>
      <w:r w:rsidR="00F11B1F" w:rsidRPr="00801AF9">
        <w:rPr>
          <w:rStyle w:val="Strong"/>
          <w:rFonts w:ascii="Times New Roman" w:hAnsi="Times New Roman" w:cs="Times New Roman"/>
          <w:b w:val="0"/>
          <w:bCs w:val="0"/>
          <w:sz w:val="24"/>
          <w:szCs w:val="24"/>
        </w:rPr>
        <w:t>three replications and eleven treatments</w:t>
      </w:r>
      <w:r w:rsidR="00F11B1F" w:rsidRPr="00801AF9">
        <w:rPr>
          <w:rFonts w:ascii="Times New Roman" w:hAnsi="Times New Roman" w:cs="Times New Roman"/>
          <w:b/>
          <w:bCs/>
          <w:sz w:val="24"/>
          <w:szCs w:val="24"/>
        </w:rPr>
        <w:t>.</w:t>
      </w:r>
    </w:p>
    <w:p w14:paraId="16BB140A" w14:textId="77777777" w:rsidR="00F11B1F" w:rsidRPr="00801AF9" w:rsidRDefault="00F11B1F" w:rsidP="004B3C9A">
      <w:pPr>
        <w:spacing w:line="360" w:lineRule="auto"/>
        <w:jc w:val="both"/>
        <w:rPr>
          <w:rFonts w:ascii="Times New Roman" w:hAnsi="Times New Roman" w:cs="Times New Roman"/>
          <w:b/>
          <w:bCs/>
          <w:color w:val="000000" w:themeColor="text1"/>
          <w:sz w:val="32"/>
          <w:szCs w:val="32"/>
        </w:rPr>
      </w:pPr>
      <w:r w:rsidRPr="00F11B1F">
        <w:rPr>
          <w:rFonts w:ascii="Times New Roman" w:hAnsi="Times New Roman" w:cs="Times New Roman"/>
          <w:sz w:val="24"/>
          <w:szCs w:val="24"/>
        </w:rPr>
        <w:t xml:space="preserve"> </w:t>
      </w:r>
      <w:r w:rsidRPr="00801AF9">
        <w:rPr>
          <w:rFonts w:ascii="Times New Roman" w:hAnsi="Times New Roman" w:cs="Times New Roman"/>
          <w:b/>
          <w:bCs/>
          <w:sz w:val="24"/>
          <w:szCs w:val="24"/>
        </w:rPr>
        <w:t>Table:1</w:t>
      </w:r>
      <w:r w:rsidR="005B798D">
        <w:rPr>
          <w:rFonts w:ascii="Times New Roman" w:hAnsi="Times New Roman" w:cs="Times New Roman"/>
          <w:b/>
          <w:bCs/>
          <w:sz w:val="24"/>
          <w:szCs w:val="24"/>
        </w:rPr>
        <w:t xml:space="preserve"> </w:t>
      </w:r>
      <w:r w:rsidRPr="00801AF9">
        <w:rPr>
          <w:rFonts w:ascii="Times New Roman" w:hAnsi="Times New Roman" w:cs="Times New Roman"/>
          <w:b/>
          <w:bCs/>
          <w:sz w:val="24"/>
          <w:szCs w:val="24"/>
        </w:rPr>
        <w:t xml:space="preserve">The details of the treatments used in the study are presented in </w:t>
      </w:r>
      <w:r w:rsidR="00801AF9" w:rsidRPr="00801AF9">
        <w:rPr>
          <w:rFonts w:ascii="Times New Roman" w:hAnsi="Times New Roman" w:cs="Times New Roman"/>
          <w:b/>
          <w:bCs/>
          <w:sz w:val="24"/>
          <w:szCs w:val="24"/>
        </w:rPr>
        <w:t>table</w:t>
      </w:r>
    </w:p>
    <w:tbl>
      <w:tblPr>
        <w:tblW w:w="8769" w:type="dxa"/>
        <w:jc w:val="center"/>
        <w:tblLook w:val="04A0" w:firstRow="1" w:lastRow="0" w:firstColumn="1" w:lastColumn="0" w:noHBand="0" w:noVBand="1"/>
      </w:tblPr>
      <w:tblGrid>
        <w:gridCol w:w="1187"/>
        <w:gridCol w:w="2396"/>
        <w:gridCol w:w="5186"/>
      </w:tblGrid>
      <w:tr w:rsidR="00F11B1F" w:rsidRPr="00F11B1F" w14:paraId="5620D07A" w14:textId="77777777" w:rsidTr="00801AF9">
        <w:trPr>
          <w:trHeight w:val="349"/>
          <w:jc w:val="center"/>
        </w:trPr>
        <w:tc>
          <w:tcPr>
            <w:tcW w:w="1187" w:type="dxa"/>
            <w:tcBorders>
              <w:top w:val="single" w:sz="4" w:space="0" w:color="auto"/>
              <w:left w:val="single" w:sz="4" w:space="0" w:color="auto"/>
              <w:bottom w:val="single" w:sz="4" w:space="0" w:color="auto"/>
              <w:right w:val="single" w:sz="4" w:space="0" w:color="auto"/>
            </w:tcBorders>
            <w:hideMark/>
          </w:tcPr>
          <w:p w14:paraId="21FC8366" w14:textId="77777777" w:rsidR="00F11B1F" w:rsidRPr="00F11B1F" w:rsidRDefault="00F11B1F" w:rsidP="00F11B1F">
            <w:pPr>
              <w:spacing w:after="0" w:line="240" w:lineRule="auto"/>
              <w:jc w:val="center"/>
              <w:rPr>
                <w:rFonts w:ascii="Times New Roman" w:eastAsia="Times New Roman" w:hAnsi="Times New Roman" w:cs="Times New Roman"/>
                <w:b/>
                <w:bCs/>
                <w:color w:val="000000"/>
                <w:sz w:val="24"/>
                <w:szCs w:val="24"/>
              </w:rPr>
            </w:pPr>
            <w:r w:rsidRPr="00F11B1F">
              <w:rPr>
                <w:rFonts w:ascii="Times New Roman" w:eastAsia="Times New Roman" w:hAnsi="Times New Roman" w:cs="Times New Roman"/>
                <w:b/>
                <w:bCs/>
                <w:color w:val="000000"/>
                <w:sz w:val="24"/>
                <w:szCs w:val="24"/>
              </w:rPr>
              <w:t>Sl. No.</w:t>
            </w:r>
          </w:p>
        </w:tc>
        <w:tc>
          <w:tcPr>
            <w:tcW w:w="2396" w:type="dxa"/>
            <w:tcBorders>
              <w:top w:val="single" w:sz="4" w:space="0" w:color="auto"/>
              <w:left w:val="nil"/>
              <w:bottom w:val="single" w:sz="4" w:space="0" w:color="auto"/>
              <w:right w:val="single" w:sz="4" w:space="0" w:color="auto"/>
            </w:tcBorders>
            <w:hideMark/>
          </w:tcPr>
          <w:p w14:paraId="6F49A9A2" w14:textId="77777777" w:rsidR="00F11B1F" w:rsidRPr="00F11B1F" w:rsidRDefault="00F11B1F" w:rsidP="00801AF9">
            <w:pPr>
              <w:spacing w:after="0" w:line="240" w:lineRule="auto"/>
              <w:jc w:val="center"/>
              <w:rPr>
                <w:rFonts w:ascii="Times New Roman" w:eastAsia="Times New Roman" w:hAnsi="Times New Roman" w:cs="Times New Roman"/>
                <w:b/>
                <w:bCs/>
                <w:color w:val="000000"/>
                <w:sz w:val="24"/>
                <w:szCs w:val="24"/>
              </w:rPr>
            </w:pPr>
            <w:r w:rsidRPr="00F11B1F">
              <w:rPr>
                <w:rFonts w:ascii="Times New Roman" w:eastAsia="Times New Roman" w:hAnsi="Times New Roman" w:cs="Times New Roman"/>
                <w:b/>
                <w:bCs/>
                <w:color w:val="000000"/>
                <w:sz w:val="24"/>
                <w:szCs w:val="24"/>
              </w:rPr>
              <w:t xml:space="preserve">Treatment </w:t>
            </w:r>
          </w:p>
        </w:tc>
        <w:tc>
          <w:tcPr>
            <w:tcW w:w="5186" w:type="dxa"/>
            <w:tcBorders>
              <w:top w:val="single" w:sz="4" w:space="0" w:color="auto"/>
              <w:left w:val="nil"/>
              <w:bottom w:val="single" w:sz="4" w:space="0" w:color="auto"/>
              <w:right w:val="single" w:sz="4" w:space="0" w:color="auto"/>
            </w:tcBorders>
            <w:hideMark/>
          </w:tcPr>
          <w:p w14:paraId="77FD93ED" w14:textId="77777777" w:rsidR="00F11B1F" w:rsidRPr="00F11B1F" w:rsidRDefault="00F11B1F" w:rsidP="00F11B1F">
            <w:pPr>
              <w:spacing w:after="0" w:line="240" w:lineRule="auto"/>
              <w:jc w:val="center"/>
              <w:rPr>
                <w:rFonts w:ascii="Times New Roman" w:eastAsia="Times New Roman" w:hAnsi="Times New Roman" w:cs="Times New Roman"/>
                <w:b/>
                <w:bCs/>
                <w:color w:val="000000"/>
                <w:sz w:val="24"/>
                <w:szCs w:val="24"/>
              </w:rPr>
            </w:pPr>
            <w:r w:rsidRPr="00F11B1F">
              <w:rPr>
                <w:rFonts w:ascii="Times New Roman" w:eastAsia="Times New Roman" w:hAnsi="Times New Roman" w:cs="Times New Roman"/>
                <w:b/>
                <w:bCs/>
                <w:color w:val="000000"/>
                <w:sz w:val="24"/>
                <w:szCs w:val="24"/>
              </w:rPr>
              <w:t>Description of Treatment</w:t>
            </w:r>
          </w:p>
        </w:tc>
      </w:tr>
      <w:tr w:rsidR="00F11B1F" w:rsidRPr="00F11B1F" w14:paraId="365F85AA"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43EAA905"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1</w:t>
            </w:r>
          </w:p>
        </w:tc>
        <w:tc>
          <w:tcPr>
            <w:tcW w:w="2396" w:type="dxa"/>
            <w:tcBorders>
              <w:top w:val="nil"/>
              <w:left w:val="nil"/>
              <w:bottom w:val="single" w:sz="4" w:space="0" w:color="auto"/>
              <w:right w:val="single" w:sz="4" w:space="0" w:color="auto"/>
            </w:tcBorders>
            <w:hideMark/>
          </w:tcPr>
          <w:p w14:paraId="1C62F059"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T0</w:t>
            </w:r>
          </w:p>
        </w:tc>
        <w:tc>
          <w:tcPr>
            <w:tcW w:w="5186" w:type="dxa"/>
            <w:tcBorders>
              <w:top w:val="nil"/>
              <w:left w:val="nil"/>
              <w:bottom w:val="single" w:sz="4" w:space="0" w:color="auto"/>
              <w:right w:val="single" w:sz="4" w:space="0" w:color="auto"/>
            </w:tcBorders>
            <w:hideMark/>
          </w:tcPr>
          <w:p w14:paraId="1AAB3D68"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Control (Untreated seeds)</w:t>
            </w:r>
          </w:p>
        </w:tc>
      </w:tr>
      <w:tr w:rsidR="00F11B1F" w:rsidRPr="00F11B1F" w14:paraId="39330927"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09979E28"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2</w:t>
            </w:r>
          </w:p>
        </w:tc>
        <w:tc>
          <w:tcPr>
            <w:tcW w:w="2396" w:type="dxa"/>
            <w:tcBorders>
              <w:top w:val="nil"/>
              <w:left w:val="nil"/>
              <w:bottom w:val="single" w:sz="4" w:space="0" w:color="auto"/>
              <w:right w:val="single" w:sz="4" w:space="0" w:color="auto"/>
            </w:tcBorders>
            <w:hideMark/>
          </w:tcPr>
          <w:p w14:paraId="189B1E61"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T1</w:t>
            </w:r>
          </w:p>
        </w:tc>
        <w:tc>
          <w:tcPr>
            <w:tcW w:w="5186" w:type="dxa"/>
            <w:tcBorders>
              <w:top w:val="nil"/>
              <w:left w:val="nil"/>
              <w:bottom w:val="single" w:sz="4" w:space="0" w:color="auto"/>
              <w:right w:val="single" w:sz="4" w:space="0" w:color="auto"/>
            </w:tcBorders>
            <w:hideMark/>
          </w:tcPr>
          <w:p w14:paraId="11E92B69"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Garlic extract @ 10%</w:t>
            </w:r>
          </w:p>
        </w:tc>
      </w:tr>
      <w:tr w:rsidR="00F11B1F" w:rsidRPr="00F11B1F" w14:paraId="0567CD93"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75F2E4DF"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3</w:t>
            </w:r>
          </w:p>
        </w:tc>
        <w:tc>
          <w:tcPr>
            <w:tcW w:w="2396" w:type="dxa"/>
            <w:tcBorders>
              <w:top w:val="nil"/>
              <w:left w:val="nil"/>
              <w:bottom w:val="single" w:sz="4" w:space="0" w:color="auto"/>
              <w:right w:val="single" w:sz="4" w:space="0" w:color="auto"/>
            </w:tcBorders>
            <w:hideMark/>
          </w:tcPr>
          <w:p w14:paraId="024338B3"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T2</w:t>
            </w:r>
          </w:p>
        </w:tc>
        <w:tc>
          <w:tcPr>
            <w:tcW w:w="5186" w:type="dxa"/>
            <w:tcBorders>
              <w:top w:val="nil"/>
              <w:left w:val="nil"/>
              <w:bottom w:val="single" w:sz="4" w:space="0" w:color="auto"/>
              <w:right w:val="single" w:sz="4" w:space="0" w:color="auto"/>
            </w:tcBorders>
            <w:hideMark/>
          </w:tcPr>
          <w:p w14:paraId="67E2DDE7"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Garlic extract @ 15%</w:t>
            </w:r>
          </w:p>
        </w:tc>
      </w:tr>
      <w:tr w:rsidR="00F11B1F" w:rsidRPr="00F11B1F" w14:paraId="53CDA55F"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7A464509"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4</w:t>
            </w:r>
          </w:p>
        </w:tc>
        <w:tc>
          <w:tcPr>
            <w:tcW w:w="2396" w:type="dxa"/>
            <w:tcBorders>
              <w:top w:val="nil"/>
              <w:left w:val="nil"/>
              <w:bottom w:val="single" w:sz="4" w:space="0" w:color="auto"/>
              <w:right w:val="single" w:sz="4" w:space="0" w:color="auto"/>
            </w:tcBorders>
            <w:hideMark/>
          </w:tcPr>
          <w:p w14:paraId="74D352CB"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T3</w:t>
            </w:r>
          </w:p>
        </w:tc>
        <w:tc>
          <w:tcPr>
            <w:tcW w:w="5186" w:type="dxa"/>
            <w:tcBorders>
              <w:top w:val="nil"/>
              <w:left w:val="nil"/>
              <w:bottom w:val="single" w:sz="4" w:space="0" w:color="auto"/>
              <w:right w:val="single" w:sz="4" w:space="0" w:color="auto"/>
            </w:tcBorders>
            <w:hideMark/>
          </w:tcPr>
          <w:p w14:paraId="6A1C1E92"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Garlic extract @ 20%</w:t>
            </w:r>
          </w:p>
        </w:tc>
      </w:tr>
      <w:tr w:rsidR="00F11B1F" w:rsidRPr="00F11B1F" w14:paraId="7941A787"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134E21A7"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5</w:t>
            </w:r>
          </w:p>
        </w:tc>
        <w:tc>
          <w:tcPr>
            <w:tcW w:w="2396" w:type="dxa"/>
            <w:tcBorders>
              <w:top w:val="nil"/>
              <w:left w:val="nil"/>
              <w:bottom w:val="single" w:sz="4" w:space="0" w:color="auto"/>
              <w:right w:val="single" w:sz="4" w:space="0" w:color="auto"/>
            </w:tcBorders>
            <w:hideMark/>
          </w:tcPr>
          <w:p w14:paraId="376DCBFA"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T4</w:t>
            </w:r>
          </w:p>
        </w:tc>
        <w:tc>
          <w:tcPr>
            <w:tcW w:w="5186" w:type="dxa"/>
            <w:tcBorders>
              <w:top w:val="nil"/>
              <w:left w:val="nil"/>
              <w:bottom w:val="single" w:sz="4" w:space="0" w:color="auto"/>
              <w:right w:val="single" w:sz="4" w:space="0" w:color="auto"/>
            </w:tcBorders>
            <w:hideMark/>
          </w:tcPr>
          <w:p w14:paraId="0A36F42A"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Ginger extract @ 10%</w:t>
            </w:r>
          </w:p>
        </w:tc>
      </w:tr>
      <w:tr w:rsidR="00F11B1F" w:rsidRPr="00F11B1F" w14:paraId="61A67994"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66C4CFB1"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6</w:t>
            </w:r>
          </w:p>
        </w:tc>
        <w:tc>
          <w:tcPr>
            <w:tcW w:w="2396" w:type="dxa"/>
            <w:tcBorders>
              <w:top w:val="nil"/>
              <w:left w:val="nil"/>
              <w:bottom w:val="single" w:sz="4" w:space="0" w:color="auto"/>
              <w:right w:val="single" w:sz="4" w:space="0" w:color="auto"/>
            </w:tcBorders>
            <w:hideMark/>
          </w:tcPr>
          <w:p w14:paraId="276097A3"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T5</w:t>
            </w:r>
          </w:p>
        </w:tc>
        <w:tc>
          <w:tcPr>
            <w:tcW w:w="5186" w:type="dxa"/>
            <w:tcBorders>
              <w:top w:val="nil"/>
              <w:left w:val="nil"/>
              <w:bottom w:val="single" w:sz="4" w:space="0" w:color="auto"/>
              <w:right w:val="single" w:sz="4" w:space="0" w:color="auto"/>
            </w:tcBorders>
            <w:hideMark/>
          </w:tcPr>
          <w:p w14:paraId="3FA615FE"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Ginger extract @ 15%</w:t>
            </w:r>
          </w:p>
        </w:tc>
      </w:tr>
      <w:tr w:rsidR="00F11B1F" w:rsidRPr="00F11B1F" w14:paraId="765FB007"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4A930778"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7</w:t>
            </w:r>
          </w:p>
        </w:tc>
        <w:tc>
          <w:tcPr>
            <w:tcW w:w="2396" w:type="dxa"/>
            <w:tcBorders>
              <w:top w:val="nil"/>
              <w:left w:val="nil"/>
              <w:bottom w:val="single" w:sz="4" w:space="0" w:color="auto"/>
              <w:right w:val="single" w:sz="4" w:space="0" w:color="auto"/>
            </w:tcBorders>
            <w:hideMark/>
          </w:tcPr>
          <w:p w14:paraId="0592653B"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T6</w:t>
            </w:r>
          </w:p>
        </w:tc>
        <w:tc>
          <w:tcPr>
            <w:tcW w:w="5186" w:type="dxa"/>
            <w:tcBorders>
              <w:top w:val="nil"/>
              <w:left w:val="nil"/>
              <w:bottom w:val="single" w:sz="4" w:space="0" w:color="auto"/>
              <w:right w:val="single" w:sz="4" w:space="0" w:color="auto"/>
            </w:tcBorders>
            <w:hideMark/>
          </w:tcPr>
          <w:p w14:paraId="5C424BB8"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Ginger extract @ 20%</w:t>
            </w:r>
          </w:p>
        </w:tc>
      </w:tr>
      <w:tr w:rsidR="00F11B1F" w:rsidRPr="00F11B1F" w14:paraId="7853ACF8"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4FF0E2BF"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8</w:t>
            </w:r>
          </w:p>
        </w:tc>
        <w:tc>
          <w:tcPr>
            <w:tcW w:w="2396" w:type="dxa"/>
            <w:tcBorders>
              <w:top w:val="nil"/>
              <w:left w:val="nil"/>
              <w:bottom w:val="single" w:sz="4" w:space="0" w:color="auto"/>
              <w:right w:val="single" w:sz="4" w:space="0" w:color="auto"/>
            </w:tcBorders>
            <w:hideMark/>
          </w:tcPr>
          <w:p w14:paraId="673789EF"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T7</w:t>
            </w:r>
          </w:p>
        </w:tc>
        <w:tc>
          <w:tcPr>
            <w:tcW w:w="5186" w:type="dxa"/>
            <w:tcBorders>
              <w:top w:val="nil"/>
              <w:left w:val="nil"/>
              <w:bottom w:val="single" w:sz="4" w:space="0" w:color="auto"/>
              <w:right w:val="single" w:sz="4" w:space="0" w:color="auto"/>
            </w:tcBorders>
            <w:hideMark/>
          </w:tcPr>
          <w:p w14:paraId="58B379C7"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Neem extract @ 10%</w:t>
            </w:r>
          </w:p>
        </w:tc>
      </w:tr>
      <w:tr w:rsidR="00F11B1F" w:rsidRPr="00F11B1F" w14:paraId="7EF475E7"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3D1F9297"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9</w:t>
            </w:r>
          </w:p>
        </w:tc>
        <w:tc>
          <w:tcPr>
            <w:tcW w:w="2396" w:type="dxa"/>
            <w:tcBorders>
              <w:top w:val="nil"/>
              <w:left w:val="nil"/>
              <w:bottom w:val="single" w:sz="4" w:space="0" w:color="auto"/>
              <w:right w:val="single" w:sz="4" w:space="0" w:color="auto"/>
            </w:tcBorders>
            <w:hideMark/>
          </w:tcPr>
          <w:p w14:paraId="7F47854A"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T8</w:t>
            </w:r>
          </w:p>
        </w:tc>
        <w:tc>
          <w:tcPr>
            <w:tcW w:w="5186" w:type="dxa"/>
            <w:tcBorders>
              <w:top w:val="nil"/>
              <w:left w:val="nil"/>
              <w:bottom w:val="single" w:sz="4" w:space="0" w:color="auto"/>
              <w:right w:val="single" w:sz="4" w:space="0" w:color="auto"/>
            </w:tcBorders>
            <w:hideMark/>
          </w:tcPr>
          <w:p w14:paraId="75D1714C"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Neem extract @ 15%</w:t>
            </w:r>
          </w:p>
        </w:tc>
      </w:tr>
      <w:tr w:rsidR="00F11B1F" w:rsidRPr="00F11B1F" w14:paraId="559407B2" w14:textId="77777777" w:rsidTr="00801AF9">
        <w:trPr>
          <w:trHeight w:val="175"/>
          <w:jc w:val="center"/>
        </w:trPr>
        <w:tc>
          <w:tcPr>
            <w:tcW w:w="1187" w:type="dxa"/>
            <w:tcBorders>
              <w:top w:val="nil"/>
              <w:left w:val="single" w:sz="4" w:space="0" w:color="auto"/>
              <w:bottom w:val="single" w:sz="4" w:space="0" w:color="auto"/>
              <w:right w:val="single" w:sz="4" w:space="0" w:color="auto"/>
            </w:tcBorders>
            <w:hideMark/>
          </w:tcPr>
          <w:p w14:paraId="035C2485"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10</w:t>
            </w:r>
          </w:p>
        </w:tc>
        <w:tc>
          <w:tcPr>
            <w:tcW w:w="2396" w:type="dxa"/>
            <w:tcBorders>
              <w:top w:val="nil"/>
              <w:left w:val="nil"/>
              <w:bottom w:val="single" w:sz="4" w:space="0" w:color="auto"/>
              <w:right w:val="single" w:sz="4" w:space="0" w:color="auto"/>
            </w:tcBorders>
            <w:hideMark/>
          </w:tcPr>
          <w:p w14:paraId="00F1B0B4"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T9</w:t>
            </w:r>
          </w:p>
        </w:tc>
        <w:tc>
          <w:tcPr>
            <w:tcW w:w="5186" w:type="dxa"/>
            <w:tcBorders>
              <w:top w:val="nil"/>
              <w:left w:val="nil"/>
              <w:bottom w:val="single" w:sz="4" w:space="0" w:color="auto"/>
              <w:right w:val="single" w:sz="4" w:space="0" w:color="auto"/>
            </w:tcBorders>
            <w:hideMark/>
          </w:tcPr>
          <w:p w14:paraId="53148736"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Neem extract @ 20%</w:t>
            </w:r>
          </w:p>
        </w:tc>
      </w:tr>
      <w:tr w:rsidR="00F11B1F" w:rsidRPr="00F11B1F" w14:paraId="24B29D98" w14:textId="77777777" w:rsidTr="00801AF9">
        <w:trPr>
          <w:trHeight w:val="349"/>
          <w:jc w:val="center"/>
        </w:trPr>
        <w:tc>
          <w:tcPr>
            <w:tcW w:w="1187" w:type="dxa"/>
            <w:tcBorders>
              <w:top w:val="nil"/>
              <w:left w:val="single" w:sz="4" w:space="0" w:color="auto"/>
              <w:bottom w:val="single" w:sz="4" w:space="0" w:color="auto"/>
              <w:right w:val="single" w:sz="4" w:space="0" w:color="auto"/>
            </w:tcBorders>
            <w:hideMark/>
          </w:tcPr>
          <w:p w14:paraId="2AF81E3E"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11</w:t>
            </w:r>
          </w:p>
        </w:tc>
        <w:tc>
          <w:tcPr>
            <w:tcW w:w="2396" w:type="dxa"/>
            <w:tcBorders>
              <w:top w:val="nil"/>
              <w:left w:val="nil"/>
              <w:bottom w:val="single" w:sz="4" w:space="0" w:color="auto"/>
              <w:right w:val="single" w:sz="4" w:space="0" w:color="auto"/>
            </w:tcBorders>
            <w:hideMark/>
          </w:tcPr>
          <w:p w14:paraId="0BACFD8E"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T10</w:t>
            </w:r>
          </w:p>
        </w:tc>
        <w:tc>
          <w:tcPr>
            <w:tcW w:w="5186" w:type="dxa"/>
            <w:tcBorders>
              <w:top w:val="nil"/>
              <w:left w:val="nil"/>
              <w:bottom w:val="single" w:sz="4" w:space="0" w:color="auto"/>
              <w:right w:val="single" w:sz="4" w:space="0" w:color="auto"/>
            </w:tcBorders>
            <w:hideMark/>
          </w:tcPr>
          <w:p w14:paraId="0687D993"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Carbendazim (standard chemical seed treatment)</w:t>
            </w:r>
          </w:p>
        </w:tc>
      </w:tr>
      <w:tr w:rsidR="00F11B1F" w:rsidRPr="00F11B1F" w14:paraId="2F9940EB" w14:textId="77777777" w:rsidTr="00801AF9">
        <w:trPr>
          <w:trHeight w:val="349"/>
          <w:jc w:val="center"/>
        </w:trPr>
        <w:tc>
          <w:tcPr>
            <w:tcW w:w="1187" w:type="dxa"/>
            <w:tcBorders>
              <w:top w:val="nil"/>
              <w:left w:val="single" w:sz="4" w:space="0" w:color="auto"/>
              <w:bottom w:val="single" w:sz="4" w:space="0" w:color="auto"/>
              <w:right w:val="single" w:sz="4" w:space="0" w:color="auto"/>
            </w:tcBorders>
            <w:hideMark/>
          </w:tcPr>
          <w:p w14:paraId="735484BE"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12</w:t>
            </w:r>
          </w:p>
        </w:tc>
        <w:tc>
          <w:tcPr>
            <w:tcW w:w="2396" w:type="dxa"/>
            <w:tcBorders>
              <w:top w:val="nil"/>
              <w:left w:val="nil"/>
              <w:bottom w:val="single" w:sz="4" w:space="0" w:color="auto"/>
              <w:right w:val="single" w:sz="4" w:space="0" w:color="auto"/>
            </w:tcBorders>
            <w:hideMark/>
          </w:tcPr>
          <w:p w14:paraId="0C755387"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T11</w:t>
            </w:r>
          </w:p>
        </w:tc>
        <w:tc>
          <w:tcPr>
            <w:tcW w:w="5186" w:type="dxa"/>
            <w:tcBorders>
              <w:top w:val="nil"/>
              <w:left w:val="nil"/>
              <w:bottom w:val="single" w:sz="4" w:space="0" w:color="auto"/>
              <w:right w:val="single" w:sz="4" w:space="0" w:color="auto"/>
            </w:tcBorders>
            <w:hideMark/>
          </w:tcPr>
          <w:p w14:paraId="0C12281B" w14:textId="77777777" w:rsidR="00F11B1F" w:rsidRPr="00F11B1F" w:rsidRDefault="00F11B1F" w:rsidP="00F11B1F">
            <w:pPr>
              <w:spacing w:after="0" w:line="240" w:lineRule="auto"/>
              <w:jc w:val="center"/>
              <w:rPr>
                <w:rFonts w:ascii="Times New Roman" w:eastAsia="Times New Roman" w:hAnsi="Times New Roman" w:cs="Times New Roman"/>
                <w:color w:val="000000"/>
                <w:sz w:val="24"/>
                <w:szCs w:val="24"/>
              </w:rPr>
            </w:pPr>
            <w:r w:rsidRPr="00F11B1F">
              <w:rPr>
                <w:rFonts w:ascii="Times New Roman" w:eastAsia="Times New Roman" w:hAnsi="Times New Roman" w:cs="Times New Roman"/>
                <w:color w:val="000000"/>
                <w:sz w:val="24"/>
                <w:szCs w:val="24"/>
              </w:rPr>
              <w:t>Thiram (standard chemical seed treatment)</w:t>
            </w:r>
          </w:p>
        </w:tc>
      </w:tr>
    </w:tbl>
    <w:p w14:paraId="255C3830" w14:textId="77777777" w:rsidR="00801AF9" w:rsidRDefault="00801AF9" w:rsidP="00801AF9">
      <w:pPr>
        <w:spacing w:line="360" w:lineRule="auto"/>
        <w:jc w:val="both"/>
        <w:rPr>
          <w:rFonts w:ascii="Times New Roman" w:hAnsi="Times New Roman" w:cs="Times New Roman"/>
          <w:b/>
          <w:sz w:val="24"/>
          <w:szCs w:val="24"/>
        </w:rPr>
      </w:pPr>
    </w:p>
    <w:p w14:paraId="5DE4417B" w14:textId="77777777" w:rsidR="00801AF9" w:rsidRPr="00DC66B1" w:rsidRDefault="00801AF9" w:rsidP="00801AF9">
      <w:pPr>
        <w:spacing w:line="360" w:lineRule="auto"/>
        <w:jc w:val="both"/>
        <w:rPr>
          <w:rFonts w:ascii="Times New Roman" w:hAnsi="Times New Roman" w:cs="Times New Roman"/>
          <w:color w:val="000000" w:themeColor="text1"/>
          <w:sz w:val="24"/>
          <w:szCs w:val="24"/>
        </w:rPr>
      </w:pPr>
      <w:r w:rsidRPr="00DC66B1">
        <w:rPr>
          <w:rFonts w:ascii="Times New Roman" w:hAnsi="Times New Roman" w:cs="Times New Roman"/>
          <w:b/>
          <w:sz w:val="24"/>
          <w:szCs w:val="24"/>
        </w:rPr>
        <w:t>Seed growth and yield parameters:</w:t>
      </w:r>
      <w:r w:rsidRPr="008D3904">
        <w:rPr>
          <w:rFonts w:ascii="Times New Roman" w:hAnsi="Times New Roman" w:cs="Times New Roman"/>
          <w:bCs/>
          <w:sz w:val="24"/>
          <w:szCs w:val="24"/>
        </w:rPr>
        <w:t xml:space="preserve"> Field</w:t>
      </w:r>
      <w:r w:rsidRPr="00DC66B1">
        <w:rPr>
          <w:rFonts w:ascii="Times New Roman" w:hAnsi="Times New Roman" w:cs="Times New Roman"/>
          <w:color w:val="000000" w:themeColor="text1"/>
          <w:sz w:val="24"/>
          <w:szCs w:val="24"/>
        </w:rPr>
        <w:t xml:space="preserve"> emergences, Days to 50% flowering, Number of branches, Plant height</w:t>
      </w:r>
      <w:r w:rsidRPr="00DC66B1">
        <w:rPr>
          <w:rFonts w:ascii="Times New Roman" w:hAnsi="Times New Roman" w:cs="Times New Roman"/>
          <w:b/>
          <w:color w:val="000000" w:themeColor="text1"/>
          <w:sz w:val="24"/>
          <w:szCs w:val="24"/>
        </w:rPr>
        <w:t>,</w:t>
      </w:r>
      <w:r w:rsidRPr="00DC66B1">
        <w:rPr>
          <w:rFonts w:ascii="Times New Roman" w:hAnsi="Times New Roman" w:cs="Times New Roman"/>
          <w:color w:val="000000" w:themeColor="text1"/>
          <w:sz w:val="24"/>
          <w:szCs w:val="24"/>
        </w:rPr>
        <w:t xml:space="preserve"> Number of siliqua per plant</w:t>
      </w:r>
      <w:r w:rsidRPr="00DC66B1">
        <w:rPr>
          <w:rFonts w:ascii="Times New Roman" w:hAnsi="Times New Roman" w:cs="Times New Roman"/>
          <w:b/>
          <w:color w:val="000000" w:themeColor="text1"/>
          <w:sz w:val="24"/>
          <w:szCs w:val="24"/>
        </w:rPr>
        <w:t>,</w:t>
      </w:r>
      <w:r w:rsidRPr="00DC66B1">
        <w:rPr>
          <w:rFonts w:ascii="Times New Roman" w:hAnsi="Times New Roman" w:cs="Times New Roman"/>
          <w:color w:val="000000" w:themeColor="text1"/>
          <w:sz w:val="24"/>
          <w:szCs w:val="24"/>
        </w:rPr>
        <w:t xml:space="preserve"> Number of seeds per </w:t>
      </w:r>
      <w:proofErr w:type="spellStart"/>
      <w:r w:rsidRPr="00DC66B1">
        <w:rPr>
          <w:rFonts w:ascii="Times New Roman" w:hAnsi="Times New Roman" w:cs="Times New Roman"/>
          <w:color w:val="000000" w:themeColor="text1"/>
          <w:sz w:val="24"/>
          <w:szCs w:val="24"/>
        </w:rPr>
        <w:t>siliqua,Days</w:t>
      </w:r>
      <w:proofErr w:type="spellEnd"/>
      <w:r w:rsidRPr="00DC66B1">
        <w:rPr>
          <w:rFonts w:ascii="Times New Roman" w:hAnsi="Times New Roman" w:cs="Times New Roman"/>
          <w:color w:val="000000" w:themeColor="text1"/>
          <w:sz w:val="24"/>
          <w:szCs w:val="24"/>
        </w:rPr>
        <w:t xml:space="preserve"> of maturity, Seed yield per plant, Test weight, Biological yield, Economic yield, and Harvest index </w:t>
      </w:r>
    </w:p>
    <w:p w14:paraId="18B106CB" w14:textId="77777777" w:rsidR="00801AF9" w:rsidRPr="00DC66B1" w:rsidRDefault="00801AF9" w:rsidP="00801AF9">
      <w:pPr>
        <w:shd w:val="clear" w:color="auto" w:fill="FFFFFF"/>
        <w:spacing w:line="360" w:lineRule="auto"/>
        <w:ind w:right="240"/>
        <w:jc w:val="both"/>
        <w:rPr>
          <w:rFonts w:ascii="Times New Roman" w:hAnsi="Times New Roman" w:cs="Times New Roman"/>
          <w:sz w:val="24"/>
          <w:szCs w:val="24"/>
        </w:rPr>
      </w:pPr>
      <w:r w:rsidRPr="00DC66B1">
        <w:rPr>
          <w:rFonts w:ascii="Times New Roman" w:hAnsi="Times New Roman" w:cs="Times New Roman"/>
          <w:b/>
          <w:sz w:val="24"/>
          <w:szCs w:val="24"/>
        </w:rPr>
        <w:lastRenderedPageBreak/>
        <w:t>Seed quality parameters:</w:t>
      </w:r>
      <w:r w:rsidRPr="00DC66B1">
        <w:rPr>
          <w:rFonts w:ascii="Times New Roman" w:hAnsi="Times New Roman" w:cs="Times New Roman"/>
          <w:sz w:val="24"/>
          <w:szCs w:val="24"/>
        </w:rPr>
        <w:t xml:space="preserve"> For seed quality assessment germination test was conducted using the paper towel method as prescribed in ISTA rules (1996), by providing the optimum conditions. The germination counts was made on normal seedlings and expressed in per cent. Root length, shoot length, seedling length were measured and expressed in </w:t>
      </w:r>
      <w:proofErr w:type="spellStart"/>
      <w:r w:rsidRPr="00DC66B1">
        <w:rPr>
          <w:rFonts w:ascii="Times New Roman" w:hAnsi="Times New Roman" w:cs="Times New Roman"/>
          <w:sz w:val="24"/>
          <w:szCs w:val="24"/>
        </w:rPr>
        <w:t>centimetres</w:t>
      </w:r>
      <w:proofErr w:type="spellEnd"/>
      <w:r w:rsidRPr="00DC66B1">
        <w:rPr>
          <w:rFonts w:ascii="Times New Roman" w:hAnsi="Times New Roman" w:cs="Times New Roman"/>
          <w:sz w:val="24"/>
          <w:szCs w:val="24"/>
        </w:rPr>
        <w:t xml:space="preserve">. Seedling fresh weight and seedling dry weight were measured in grams. </w:t>
      </w:r>
      <w:proofErr w:type="spellStart"/>
      <w:r w:rsidRPr="00DC66B1">
        <w:rPr>
          <w:rFonts w:ascii="Times New Roman" w:hAnsi="Times New Roman" w:cs="Times New Roman"/>
          <w:sz w:val="24"/>
          <w:szCs w:val="24"/>
        </w:rPr>
        <w:t>Vigour</w:t>
      </w:r>
      <w:proofErr w:type="spellEnd"/>
      <w:r w:rsidRPr="00DC66B1">
        <w:rPr>
          <w:rFonts w:ascii="Times New Roman" w:hAnsi="Times New Roman" w:cs="Times New Roman"/>
          <w:sz w:val="24"/>
          <w:szCs w:val="24"/>
        </w:rPr>
        <w:t xml:space="preserve"> indices were computed by adopting the following formula as suggested by Abdul Baki and Anderson (1973) and expressed in number. </w:t>
      </w:r>
      <w:proofErr w:type="spellStart"/>
      <w:r w:rsidRPr="00DC66B1">
        <w:rPr>
          <w:rFonts w:ascii="Times New Roman" w:hAnsi="Times New Roman" w:cs="Times New Roman"/>
          <w:sz w:val="24"/>
          <w:szCs w:val="24"/>
        </w:rPr>
        <w:t>Vigour</w:t>
      </w:r>
      <w:proofErr w:type="spellEnd"/>
      <w:r w:rsidRPr="00DC66B1">
        <w:rPr>
          <w:rFonts w:ascii="Times New Roman" w:hAnsi="Times New Roman" w:cs="Times New Roman"/>
          <w:sz w:val="24"/>
          <w:szCs w:val="24"/>
        </w:rPr>
        <w:t xml:space="preserve"> Index I = Germination (%) X Seedling length (cm) </w:t>
      </w:r>
      <w:proofErr w:type="spellStart"/>
      <w:r w:rsidRPr="00DC66B1">
        <w:rPr>
          <w:rFonts w:ascii="Times New Roman" w:hAnsi="Times New Roman" w:cs="Times New Roman"/>
          <w:sz w:val="24"/>
          <w:szCs w:val="24"/>
        </w:rPr>
        <w:t>Vigour</w:t>
      </w:r>
      <w:proofErr w:type="spellEnd"/>
      <w:r w:rsidRPr="00DC66B1">
        <w:rPr>
          <w:rFonts w:ascii="Times New Roman" w:hAnsi="Times New Roman" w:cs="Times New Roman"/>
          <w:sz w:val="24"/>
          <w:szCs w:val="24"/>
        </w:rPr>
        <w:t xml:space="preserve"> Index II = Germination (%) X Seedling dry weight (g).</w:t>
      </w:r>
    </w:p>
    <w:p w14:paraId="5A5E5DEE" w14:textId="77777777" w:rsidR="00801AF9" w:rsidRDefault="00801AF9" w:rsidP="00801AF9">
      <w:pPr>
        <w:shd w:val="clear" w:color="auto" w:fill="FFFFFF"/>
        <w:spacing w:line="360" w:lineRule="auto"/>
        <w:ind w:right="240"/>
        <w:jc w:val="both"/>
        <w:rPr>
          <w:rFonts w:ascii="Times New Roman" w:hAnsi="Times New Roman" w:cs="Times New Roman"/>
          <w:sz w:val="24"/>
          <w:szCs w:val="24"/>
        </w:rPr>
      </w:pPr>
      <w:r w:rsidRPr="00DC66B1">
        <w:rPr>
          <w:rFonts w:ascii="Times New Roman" w:hAnsi="Times New Roman" w:cs="Times New Roman"/>
          <w:b/>
          <w:sz w:val="24"/>
          <w:szCs w:val="24"/>
        </w:rPr>
        <w:t>Statistical analysis:</w:t>
      </w:r>
      <w:r w:rsidRPr="00DC66B1">
        <w:rPr>
          <w:rFonts w:ascii="Times New Roman" w:hAnsi="Times New Roman" w:cs="Times New Roman"/>
          <w:sz w:val="24"/>
          <w:szCs w:val="24"/>
        </w:rPr>
        <w:t xml:space="preserve"> Analysis of observation taken on different variable was carried out to know the degree of variation among all the treatments. The results were obtained through analysis of variance (ANOVA).</w:t>
      </w:r>
    </w:p>
    <w:p w14:paraId="71465889" w14:textId="77777777" w:rsidR="00801AF9" w:rsidRPr="00801AF9" w:rsidRDefault="00801AF9" w:rsidP="0045735F">
      <w:pPr>
        <w:shd w:val="clear" w:color="auto" w:fill="FFFFFF"/>
        <w:spacing w:line="360" w:lineRule="auto"/>
        <w:ind w:right="240"/>
        <w:jc w:val="both"/>
        <w:rPr>
          <w:rFonts w:ascii="Times New Roman" w:hAnsi="Times New Roman" w:cs="Times New Roman"/>
          <w:b/>
          <w:bCs/>
          <w:sz w:val="24"/>
          <w:szCs w:val="24"/>
        </w:rPr>
      </w:pPr>
      <w:r w:rsidRPr="00801AF9">
        <w:rPr>
          <w:rFonts w:ascii="Times New Roman" w:hAnsi="Times New Roman" w:cs="Times New Roman"/>
          <w:b/>
          <w:bCs/>
          <w:sz w:val="24"/>
          <w:szCs w:val="24"/>
        </w:rPr>
        <w:t>Results and Discussion</w:t>
      </w:r>
    </w:p>
    <w:p w14:paraId="32BF813F" w14:textId="77777777" w:rsidR="0045735F" w:rsidRDefault="008468A1" w:rsidP="0045735F">
      <w:pPr>
        <w:pStyle w:val="NormalWeb"/>
        <w:spacing w:line="360" w:lineRule="auto"/>
        <w:jc w:val="both"/>
      </w:pPr>
      <w:r>
        <w:t xml:space="preserve">The analysis of growth parameters revealed clear differences among the various botanical and chemical seed treatments applied to mustard. Field emergence showed considerable variation, ranging from </w:t>
      </w:r>
      <w:r w:rsidRPr="008468A1">
        <w:rPr>
          <w:rStyle w:val="Strong"/>
          <w:b w:val="0"/>
          <w:bCs w:val="0"/>
        </w:rPr>
        <w:t>73.03% in T₅ (Ginger 15%)</w:t>
      </w:r>
      <w:r w:rsidRPr="008468A1">
        <w:rPr>
          <w:b/>
          <w:bCs/>
        </w:rPr>
        <w:t xml:space="preserve"> </w:t>
      </w:r>
      <w:r w:rsidRPr="0045735F">
        <w:t>to</w:t>
      </w:r>
      <w:r w:rsidRPr="008468A1">
        <w:rPr>
          <w:b/>
          <w:bCs/>
        </w:rPr>
        <w:t xml:space="preserve"> </w:t>
      </w:r>
      <w:r w:rsidRPr="008468A1">
        <w:rPr>
          <w:rStyle w:val="Strong"/>
          <w:b w:val="0"/>
          <w:bCs w:val="0"/>
        </w:rPr>
        <w:t>92.55% in T₇ (Garlic 10%)</w:t>
      </w:r>
      <w:r w:rsidRPr="008468A1">
        <w:rPr>
          <w:b/>
          <w:bCs/>
        </w:rPr>
        <w:t>.</w:t>
      </w:r>
      <w:r>
        <w:t xml:space="preserve"> The superior emergence in T₇ indicates the effectiveness of garlic extract in enhancing initial seedling establishment, likely due to antimicrobial compounds such as allicin, which suppress seed-borne pathogens and improve seed vigor. Recent findings also demonstrate the strong antifungal potential of garlic-based treatments in improving seed health and yield performance in mustard (Kumar &amp; Lal, 2024; Kumar et al., 2024). Treatments </w:t>
      </w:r>
      <w:r w:rsidRPr="008468A1">
        <w:rPr>
          <w:rStyle w:val="Strong"/>
          <w:b w:val="0"/>
          <w:bCs w:val="0"/>
        </w:rPr>
        <w:t>T₂ (Neem 15%)</w:t>
      </w:r>
      <w:r>
        <w:t xml:space="preserve"> and </w:t>
      </w:r>
      <w:r w:rsidRPr="008468A1">
        <w:rPr>
          <w:rStyle w:val="Strong"/>
          <w:b w:val="0"/>
          <w:bCs w:val="0"/>
        </w:rPr>
        <w:t>T₆ (Ginger 20%)</w:t>
      </w:r>
      <w:r>
        <w:t xml:space="preserve"> also performed relatively well, indicating that botanical extracts can suppress seed-borne microbial load and enhance germination. In contrast, untreated seeds </w:t>
      </w:r>
      <w:r w:rsidRPr="008468A1">
        <w:rPr>
          <w:b/>
          <w:bCs/>
        </w:rPr>
        <w:t>(</w:t>
      </w:r>
      <w:r w:rsidRPr="008468A1">
        <w:rPr>
          <w:rStyle w:val="Strong"/>
          <w:b w:val="0"/>
          <w:bCs w:val="0"/>
        </w:rPr>
        <w:t>T₀</w:t>
      </w:r>
      <w:r w:rsidRPr="008468A1">
        <w:rPr>
          <w:b/>
          <w:bCs/>
        </w:rPr>
        <w:t>)</w:t>
      </w:r>
      <w:r>
        <w:t xml:space="preserve"> recorded lower emergence, underscoring the importance of seed treatment in promoting early seedling growth. </w:t>
      </w:r>
      <w:r w:rsidR="0045735F">
        <w:t>Treatments T₂ (Neem 15%) and T₆ (Ginger 20%) also performed relatively well, supported by findings showing that neem and ginger extracts enhance germination by reducing fungal infection (</w:t>
      </w:r>
      <w:proofErr w:type="spellStart"/>
      <w:r w:rsidR="0045735F">
        <w:t>Cobbinah</w:t>
      </w:r>
      <w:proofErr w:type="spellEnd"/>
      <w:r w:rsidR="0045735F">
        <w:t xml:space="preserve"> et al., 2023). In contrast, untreated seeds (T₀) recorded lower emergence, underscoring the importance of seed treatment in promoting early growth.</w:t>
      </w:r>
    </w:p>
    <w:p w14:paraId="77CE22ED" w14:textId="77777777" w:rsidR="00812802" w:rsidRDefault="00812802" w:rsidP="00801AF9">
      <w:pPr>
        <w:pStyle w:val="NormalWeb"/>
        <w:spacing w:line="360" w:lineRule="auto"/>
        <w:jc w:val="both"/>
      </w:pPr>
      <w:r w:rsidRPr="00812802">
        <w:rPr>
          <w:rStyle w:val="Strong"/>
          <w:b w:val="0"/>
          <w:bCs w:val="0"/>
        </w:rPr>
        <w:t>Plant height also differed significantly among treatments</w:t>
      </w:r>
      <w:r w:rsidRPr="00812802">
        <w:rPr>
          <w:b/>
          <w:bCs/>
        </w:rPr>
        <w:t xml:space="preserve">, </w:t>
      </w:r>
      <w:r w:rsidRPr="00812802">
        <w:t>ranging from</w:t>
      </w:r>
      <w:r w:rsidRPr="00812802">
        <w:rPr>
          <w:b/>
          <w:bCs/>
        </w:rPr>
        <w:t xml:space="preserve"> </w:t>
      </w:r>
      <w:r w:rsidRPr="00812802">
        <w:rPr>
          <w:rStyle w:val="Strong"/>
          <w:b w:val="0"/>
          <w:bCs w:val="0"/>
        </w:rPr>
        <w:t>122.80 cm in T₁₀ (Carbendazim)</w:t>
      </w:r>
      <w:r w:rsidRPr="00812802">
        <w:rPr>
          <w:b/>
          <w:bCs/>
        </w:rPr>
        <w:t xml:space="preserve"> </w:t>
      </w:r>
      <w:r w:rsidRPr="00812802">
        <w:t>to</w:t>
      </w:r>
      <w:r w:rsidRPr="00812802">
        <w:rPr>
          <w:b/>
          <w:bCs/>
        </w:rPr>
        <w:t xml:space="preserve"> </w:t>
      </w:r>
      <w:r w:rsidRPr="00812802">
        <w:rPr>
          <w:rStyle w:val="Strong"/>
          <w:b w:val="0"/>
          <w:bCs w:val="0"/>
        </w:rPr>
        <w:t>167.53 cm in T₆ (Ginger 20%)</w:t>
      </w:r>
      <w:r w:rsidRPr="00812802">
        <w:rPr>
          <w:b/>
          <w:bCs/>
        </w:rPr>
        <w:t>.</w:t>
      </w:r>
      <w:r>
        <w:t xml:space="preserve"> The maximum height in T₆ suggests that higher </w:t>
      </w:r>
      <w:r>
        <w:lastRenderedPageBreak/>
        <w:t>concentrations of ginger extract may stimulate vegetative growth through improved metabolic activity, as supported by studies on seed priming and botanical treatments enhancing early growth and seedling vigor (</w:t>
      </w:r>
      <w:proofErr w:type="spellStart"/>
      <w:r>
        <w:t>Bhateshwar</w:t>
      </w:r>
      <w:proofErr w:type="spellEnd"/>
      <w:r>
        <w:t xml:space="preserve"> et al., 2020;). Garlic treatments (T₇–T₉) also showed good plant height performance, indicating their role in promoting cell elongation and nutrient uptake. Control plants remained shorter (125.43 cm), reflecting weaker vegetative vigor.</w:t>
      </w:r>
    </w:p>
    <w:p w14:paraId="3A1EE485" w14:textId="77777777" w:rsidR="00801AF9" w:rsidRPr="00B54161" w:rsidRDefault="00801AF9" w:rsidP="00801AF9">
      <w:pPr>
        <w:pStyle w:val="NormalWeb"/>
        <w:spacing w:line="360" w:lineRule="auto"/>
        <w:jc w:val="both"/>
      </w:pPr>
      <w:r w:rsidRPr="00B54161">
        <w:t>The number of branches per plant ranged from 4.13 in T₀ and T₁₀ to 5.27 in T₅ (Ginger 15%). The highest branching in T₅ suggests a cytokinin-like stimulatory effect of g</w:t>
      </w:r>
      <w:r w:rsidR="000D3A57" w:rsidRPr="00B54161">
        <w:t xml:space="preserve">inger extract on lateral </w:t>
      </w:r>
      <w:proofErr w:type="spellStart"/>
      <w:r w:rsidR="000D3A57" w:rsidRPr="00B54161">
        <w:t>growth.</w:t>
      </w:r>
      <w:r w:rsidRPr="00B54161">
        <w:t>Treatments</w:t>
      </w:r>
      <w:proofErr w:type="spellEnd"/>
      <w:r w:rsidRPr="00B54161">
        <w:t xml:space="preserve"> T₂ (Neem 15%) and T₈ (Garlic 15%) also produced moderate branching, whereas the control exhibited the least branching, consistent with reduced plant vigor.</w:t>
      </w:r>
    </w:p>
    <w:p w14:paraId="4E31970F" w14:textId="77777777" w:rsidR="00801AF9" w:rsidRDefault="00801AF9" w:rsidP="00801AF9">
      <w:pPr>
        <w:pStyle w:val="NormalWeb"/>
        <w:spacing w:line="360" w:lineRule="auto"/>
        <w:jc w:val="both"/>
      </w:pPr>
      <w:r>
        <w:t>Days to 50% flowering varied between 33.67 days in T₇ and 40.33 days in T₉ (Garlic 20%). Early flowering in T₇ reflects enhanced physiological development due to improved seed vigor, while delayed flowering in T₉ suggests that higher concentrations of garlic may prolong the vegetative phase. Such dose-dependent responses have been reported in botanical seed treatment studies (Yeasmin et al., 2012).</w:t>
      </w:r>
    </w:p>
    <w:p w14:paraId="5F7D04FF" w14:textId="77777777" w:rsidR="00812802" w:rsidRDefault="00812802" w:rsidP="00801AF9">
      <w:pPr>
        <w:pStyle w:val="NormalWeb"/>
        <w:spacing w:line="360" w:lineRule="auto"/>
        <w:jc w:val="both"/>
      </w:pPr>
      <w:r w:rsidRPr="00812802">
        <w:rPr>
          <w:rStyle w:val="Strong"/>
          <w:b w:val="0"/>
          <w:bCs w:val="0"/>
        </w:rPr>
        <w:t>Days to maturity also showed noticeable variation.</w:t>
      </w:r>
      <w:r>
        <w:t xml:space="preserve"> The earliest maturity occurred in </w:t>
      </w:r>
      <w:r w:rsidRPr="00812802">
        <w:rPr>
          <w:rStyle w:val="Strong"/>
          <w:b w:val="0"/>
          <w:bCs w:val="0"/>
        </w:rPr>
        <w:t>T₂ (Neem 15%)</w:t>
      </w:r>
      <w:r>
        <w:t xml:space="preserve"> at 93.67 days, while the latest (101 days) was recorded in </w:t>
      </w:r>
      <w:r w:rsidRPr="00812802">
        <w:rPr>
          <w:rStyle w:val="Strong"/>
          <w:b w:val="0"/>
          <w:bCs w:val="0"/>
        </w:rPr>
        <w:t>T₇ (Garlic 10%)</w:t>
      </w:r>
      <w:r w:rsidRPr="00812802">
        <w:rPr>
          <w:b/>
          <w:bCs/>
        </w:rPr>
        <w:t>.</w:t>
      </w:r>
      <w:r>
        <w:t xml:space="preserve"> Earlier maturity in neem-treated seeds is likely due to improved nutrient mobilization and reduced pathogen load (</w:t>
      </w:r>
      <w:proofErr w:type="spellStart"/>
      <w:r>
        <w:t>Cobbinah</w:t>
      </w:r>
      <w:proofErr w:type="spellEnd"/>
      <w:r>
        <w:t xml:space="preserve"> et al., 2023). The longer maturity period in T₇ corresponds with its vigorous vegetative growth, as stronger plants often require more time to complete their life cycle.</w:t>
      </w:r>
    </w:p>
    <w:p w14:paraId="5A358FB7" w14:textId="77777777" w:rsidR="00801AF9" w:rsidRPr="00C70FFA" w:rsidRDefault="00801AF9" w:rsidP="00801AF9">
      <w:pPr>
        <w:pStyle w:val="NormalWeb"/>
        <w:spacing w:line="360" w:lineRule="auto"/>
        <w:jc w:val="both"/>
      </w:pPr>
      <w:r w:rsidRPr="00C70FFA">
        <w:t xml:space="preserve">Yield parameters—including siliquae per plant, seeds per siliqua, seed yield per plant, biological yield, and economic yield—clearly demonstrated the superiority of garlic, particularly T₇. The number of siliquae per plant ranged from 21.13 in T₉ to 40.80 in T₇. The markedly higher siliquae count in T₇ suggests improved assimilate partitioning and enhanced floral initiation. Similarly, the number of seeds per siliqua was highest in T₇ (10.27), followed by T₂ (9.53) and T₆ (9.53), whereas the control recorded the lowest (7.40). The higher seed set in garlic-treated plants may be attributed to greater plant vigor and </w:t>
      </w:r>
      <w:r w:rsidR="000D3A57" w:rsidRPr="00C70FFA">
        <w:t>better reproductive efficiency</w:t>
      </w:r>
      <w:r w:rsidRPr="00C70FFA">
        <w:t>.</w:t>
      </w:r>
    </w:p>
    <w:p w14:paraId="53D73A98" w14:textId="77777777" w:rsidR="00C21900" w:rsidRDefault="00C21900" w:rsidP="00801AF9">
      <w:pPr>
        <w:pStyle w:val="NormalWeb"/>
        <w:spacing w:line="360" w:lineRule="auto"/>
        <w:jc w:val="both"/>
      </w:pPr>
      <w:r>
        <w:t xml:space="preserve">Seed yield per plant ranged from </w:t>
      </w:r>
      <w:r w:rsidRPr="00C21900">
        <w:rPr>
          <w:rStyle w:val="Strong"/>
          <w:b w:val="0"/>
          <w:bCs w:val="0"/>
        </w:rPr>
        <w:t>0.74 g in T₀</w:t>
      </w:r>
      <w:r w:rsidRPr="00C21900">
        <w:rPr>
          <w:b/>
          <w:bCs/>
        </w:rPr>
        <w:t xml:space="preserve"> </w:t>
      </w:r>
      <w:r w:rsidRPr="00C21900">
        <w:t>to</w:t>
      </w:r>
      <w:r w:rsidRPr="00C21900">
        <w:rPr>
          <w:b/>
          <w:bCs/>
        </w:rPr>
        <w:t xml:space="preserve"> </w:t>
      </w:r>
      <w:r w:rsidRPr="00C21900">
        <w:rPr>
          <w:rStyle w:val="Strong"/>
          <w:b w:val="0"/>
          <w:bCs w:val="0"/>
        </w:rPr>
        <w:t>1.85 g in T₇</w:t>
      </w:r>
      <w:r w:rsidRPr="00C21900">
        <w:rPr>
          <w:b/>
          <w:bCs/>
        </w:rPr>
        <w:t>,</w:t>
      </w:r>
      <w:r>
        <w:t xml:space="preserve"> showing more than a two-fold increase over the control. This highlights the effectiveness of garlic extract in enhancing </w:t>
      </w:r>
      <w:r>
        <w:lastRenderedPageBreak/>
        <w:t>productivity, aligning with documented cases where seed addressed garlic treatments significantly increased seed yield and mature plant yield in other crops (</w:t>
      </w:r>
      <w:proofErr w:type="spellStart"/>
      <w:r>
        <w:t>Golubkina</w:t>
      </w:r>
      <w:proofErr w:type="spellEnd"/>
      <w:r>
        <w:t xml:space="preserve"> et al., 2024). Biological yield was highest in </w:t>
      </w:r>
      <w:r w:rsidRPr="00C21900">
        <w:rPr>
          <w:rStyle w:val="Strong"/>
          <w:b w:val="0"/>
          <w:bCs w:val="0"/>
        </w:rPr>
        <w:t>T₇ (153.17 g)</w:t>
      </w:r>
      <w:r w:rsidRPr="00C21900">
        <w:rPr>
          <w:b/>
          <w:bCs/>
        </w:rPr>
        <w:t>,</w:t>
      </w:r>
      <w:r>
        <w:t xml:space="preserve"> followed by T₂ and T₉, indicating greater biomass accumulation. Economic yield followed a similar pattern, with </w:t>
      </w:r>
      <w:r w:rsidRPr="00C21900">
        <w:rPr>
          <w:rStyle w:val="Strong"/>
          <w:b w:val="0"/>
          <w:bCs w:val="0"/>
        </w:rPr>
        <w:t>T₇ recording the maximum (48.41 g)</w:t>
      </w:r>
      <w:r w:rsidRPr="00C21900">
        <w:rPr>
          <w:b/>
          <w:bCs/>
        </w:rPr>
        <w:t xml:space="preserve">, </w:t>
      </w:r>
      <w:r>
        <w:t>while the control recorded the minimum (26.03 g). The highest harvest index (31.63%) observed in T₇ demonstrates its superior efficiency in converting biomass into seed yield. Similar seed</w:t>
      </w:r>
      <w:r>
        <w:noBreakHyphen/>
        <w:t>priming and botanical seed</w:t>
      </w:r>
      <w:r>
        <w:noBreakHyphen/>
        <w:t xml:space="preserve">treatment studies have shown enhanced yield attributes and harvest index under field conditions, including in lentil, maize, and mustard (Seed Priming Boosts Plant Growth, 2024; Batool et al., 2022; </w:t>
      </w:r>
      <w:proofErr w:type="spellStart"/>
      <w:r>
        <w:t>Busireddy</w:t>
      </w:r>
      <w:proofErr w:type="spellEnd"/>
      <w:r>
        <w:t xml:space="preserve"> Sai Harsha Vardhan Reddy et al., 2022).</w:t>
      </w:r>
    </w:p>
    <w:p w14:paraId="02EFAE44" w14:textId="77777777" w:rsidR="00801AF9" w:rsidRDefault="00801AF9" w:rsidP="00801AF9">
      <w:pPr>
        <w:pStyle w:val="NormalWeb"/>
        <w:spacing w:line="360" w:lineRule="auto"/>
        <w:jc w:val="both"/>
      </w:pPr>
      <w:r>
        <w:t xml:space="preserve">Overall, the combined results of growth and yield parameters clearly indicate that </w:t>
      </w:r>
      <w:r w:rsidRPr="006B7D2B">
        <w:rPr>
          <w:rStyle w:val="Strong"/>
          <w:b w:val="0"/>
          <w:bCs w:val="0"/>
        </w:rPr>
        <w:t>T₇ (Garlic 10%) was the most effective treatment</w:t>
      </w:r>
      <w:r>
        <w:t>, recording the highest emergence, enhanced vegetative growth, superior reproductive performance, and maximum productivity. Neem extract (T₂) also showed notable benefits in emergence, seed set, and biomass production, making it a viable alternative botanical treatment.</w:t>
      </w:r>
    </w:p>
    <w:p w14:paraId="3FFD2066" w14:textId="77777777" w:rsidR="006B7D2B" w:rsidRPr="00DC66B1" w:rsidRDefault="006B7D2B" w:rsidP="006B7D2B">
      <w:pPr>
        <w:tabs>
          <w:tab w:val="left" w:pos="900"/>
        </w:tabs>
        <w:spacing w:before="200" w:line="360" w:lineRule="auto"/>
        <w:jc w:val="both"/>
        <w:rPr>
          <w:rFonts w:ascii="Times New Roman" w:hAnsi="Times New Roman" w:cs="Times New Roman"/>
          <w:bCs/>
          <w:sz w:val="24"/>
          <w:szCs w:val="24"/>
        </w:rPr>
      </w:pPr>
      <w:r w:rsidRPr="006651E5">
        <w:rPr>
          <w:rFonts w:ascii="Times New Roman" w:hAnsi="Times New Roman" w:cs="Times New Roman"/>
          <w:b/>
          <w:bCs/>
          <w:sz w:val="24"/>
        </w:rPr>
        <w:t>T</w:t>
      </w:r>
      <w:r w:rsidR="005B798D">
        <w:rPr>
          <w:rFonts w:ascii="Times New Roman" w:hAnsi="Times New Roman" w:cs="Times New Roman"/>
          <w:b/>
          <w:bCs/>
          <w:sz w:val="24"/>
        </w:rPr>
        <w:t>able-2</w:t>
      </w:r>
      <w:r w:rsidRPr="006651E5">
        <w:rPr>
          <w:rFonts w:ascii="Times New Roman" w:hAnsi="Times New Roman" w:cs="Times New Roman"/>
          <w:b/>
          <w:bCs/>
          <w:sz w:val="24"/>
        </w:rPr>
        <w:t>: Mean per</w:t>
      </w:r>
      <w:r>
        <w:rPr>
          <w:rFonts w:ascii="Times New Roman" w:hAnsi="Times New Roman" w:cs="Times New Roman"/>
          <w:b/>
          <w:bCs/>
          <w:sz w:val="24"/>
        </w:rPr>
        <w:t>formance of growth and yield parameters</w:t>
      </w:r>
      <w:r w:rsidRPr="006651E5">
        <w:rPr>
          <w:rFonts w:ascii="Times New Roman" w:hAnsi="Times New Roman" w:cs="Times New Roman"/>
          <w:b/>
          <w:bCs/>
          <w:sz w:val="24"/>
        </w:rPr>
        <w:t xml:space="preserve"> of mustard.</w:t>
      </w:r>
    </w:p>
    <w:tbl>
      <w:tblPr>
        <w:tblStyle w:val="TableGrid"/>
        <w:tblpPr w:leftFromText="180" w:rightFromText="180" w:vertAnchor="text" w:horzAnchor="margin" w:tblpXSpec="center" w:tblpY="961"/>
        <w:tblW w:w="10821" w:type="dxa"/>
        <w:tblLayout w:type="fixed"/>
        <w:tblLook w:val="05E0" w:firstRow="1" w:lastRow="1" w:firstColumn="1" w:lastColumn="1" w:noHBand="0" w:noVBand="1"/>
      </w:tblPr>
      <w:tblGrid>
        <w:gridCol w:w="648"/>
        <w:gridCol w:w="748"/>
        <w:gridCol w:w="750"/>
        <w:gridCol w:w="838"/>
        <w:gridCol w:w="906"/>
        <w:gridCol w:w="754"/>
        <w:gridCol w:w="775"/>
        <w:gridCol w:w="885"/>
        <w:gridCol w:w="827"/>
        <w:gridCol w:w="811"/>
        <w:gridCol w:w="926"/>
        <w:gridCol w:w="906"/>
        <w:gridCol w:w="1047"/>
      </w:tblGrid>
      <w:tr w:rsidR="006B7D2B" w:rsidRPr="00FE3845" w14:paraId="67CBFBBF" w14:textId="77777777" w:rsidTr="008178C3">
        <w:trPr>
          <w:trHeight w:val="476"/>
        </w:trPr>
        <w:tc>
          <w:tcPr>
            <w:tcW w:w="648" w:type="dxa"/>
            <w:noWrap/>
            <w:hideMark/>
          </w:tcPr>
          <w:p w14:paraId="6CD0BDA6" w14:textId="77777777" w:rsidR="006B7D2B" w:rsidRPr="00FE3845" w:rsidRDefault="006B7D2B" w:rsidP="00BA3F5D">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Sl. NO</w:t>
            </w:r>
          </w:p>
        </w:tc>
        <w:tc>
          <w:tcPr>
            <w:tcW w:w="748" w:type="dxa"/>
            <w:noWrap/>
            <w:vAlign w:val="bottom"/>
            <w:hideMark/>
          </w:tcPr>
          <w:p w14:paraId="1F087CEC"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Treatment</w:t>
            </w:r>
          </w:p>
        </w:tc>
        <w:tc>
          <w:tcPr>
            <w:tcW w:w="750" w:type="dxa"/>
            <w:noWrap/>
            <w:vAlign w:val="bottom"/>
            <w:hideMark/>
          </w:tcPr>
          <w:p w14:paraId="23AD27B4"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Field emergence</w:t>
            </w:r>
          </w:p>
        </w:tc>
        <w:tc>
          <w:tcPr>
            <w:tcW w:w="838" w:type="dxa"/>
            <w:noWrap/>
            <w:hideMark/>
          </w:tcPr>
          <w:p w14:paraId="44D8E02F" w14:textId="77777777" w:rsidR="006B7D2B" w:rsidRPr="00FE3845" w:rsidRDefault="006B7D2B" w:rsidP="00BA3F5D">
            <w:pPr>
              <w:jc w:val="center"/>
              <w:rPr>
                <w:rFonts w:ascii="Times New Roman" w:eastAsia="Times New Roman" w:hAnsi="Times New Roman" w:cs="Times New Roman"/>
                <w:b/>
                <w:bCs/>
                <w:color w:val="000000"/>
              </w:rPr>
            </w:pPr>
          </w:p>
          <w:p w14:paraId="4F1D42F7" w14:textId="77777777" w:rsidR="006B7D2B" w:rsidRPr="00FE3845" w:rsidRDefault="006B7D2B" w:rsidP="00BA3F5D">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Days to flowering</w:t>
            </w:r>
          </w:p>
        </w:tc>
        <w:tc>
          <w:tcPr>
            <w:tcW w:w="906" w:type="dxa"/>
            <w:noWrap/>
            <w:vAlign w:val="bottom"/>
            <w:hideMark/>
          </w:tcPr>
          <w:p w14:paraId="309EDA0B"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Plant height (cm)</w:t>
            </w:r>
          </w:p>
        </w:tc>
        <w:tc>
          <w:tcPr>
            <w:tcW w:w="754" w:type="dxa"/>
            <w:noWrap/>
            <w:vAlign w:val="bottom"/>
            <w:hideMark/>
          </w:tcPr>
          <w:p w14:paraId="591FA971" w14:textId="77777777" w:rsidR="006B7D2B" w:rsidRPr="00FE3845" w:rsidRDefault="006B7D2B" w:rsidP="00BA3F5D">
            <w:pPr>
              <w:jc w:val="center"/>
              <w:rPr>
                <w:rFonts w:ascii="Times New Roman" w:hAnsi="Times New Roman" w:cs="Times New Roman"/>
                <w:b/>
                <w:bCs/>
                <w:color w:val="000000"/>
              </w:rPr>
            </w:pPr>
            <w:proofErr w:type="spellStart"/>
            <w:r w:rsidRPr="00FE3845">
              <w:rPr>
                <w:rFonts w:ascii="Times New Roman" w:hAnsi="Times New Roman" w:cs="Times New Roman"/>
                <w:b/>
                <w:bCs/>
                <w:color w:val="000000"/>
              </w:rPr>
              <w:t>No.of</w:t>
            </w:r>
            <w:proofErr w:type="spellEnd"/>
            <w:r w:rsidRPr="00FE3845">
              <w:rPr>
                <w:rFonts w:ascii="Times New Roman" w:hAnsi="Times New Roman" w:cs="Times New Roman"/>
                <w:b/>
                <w:bCs/>
                <w:color w:val="000000"/>
              </w:rPr>
              <w:t xml:space="preserve"> branches/plant</w:t>
            </w:r>
          </w:p>
        </w:tc>
        <w:tc>
          <w:tcPr>
            <w:tcW w:w="775" w:type="dxa"/>
            <w:noWrap/>
            <w:vAlign w:val="bottom"/>
            <w:hideMark/>
          </w:tcPr>
          <w:p w14:paraId="2EB43EE6" w14:textId="77777777" w:rsidR="006B7D2B" w:rsidRPr="00FE3845" w:rsidRDefault="006B7D2B" w:rsidP="00BA3F5D">
            <w:pPr>
              <w:jc w:val="center"/>
              <w:rPr>
                <w:rFonts w:ascii="Times New Roman" w:hAnsi="Times New Roman" w:cs="Times New Roman"/>
                <w:b/>
                <w:bCs/>
                <w:color w:val="000000"/>
              </w:rPr>
            </w:pPr>
            <w:proofErr w:type="spellStart"/>
            <w:r w:rsidRPr="00FE3845">
              <w:rPr>
                <w:rFonts w:ascii="Times New Roman" w:hAnsi="Times New Roman" w:cs="Times New Roman"/>
                <w:b/>
                <w:bCs/>
                <w:color w:val="000000"/>
              </w:rPr>
              <w:t>No.of</w:t>
            </w:r>
            <w:proofErr w:type="spellEnd"/>
            <w:r w:rsidRPr="00FE3845">
              <w:rPr>
                <w:rFonts w:ascii="Times New Roman" w:hAnsi="Times New Roman" w:cs="Times New Roman"/>
                <w:b/>
                <w:bCs/>
                <w:color w:val="000000"/>
              </w:rPr>
              <w:t xml:space="preserve"> siliqua/plant</w:t>
            </w:r>
          </w:p>
        </w:tc>
        <w:tc>
          <w:tcPr>
            <w:tcW w:w="885" w:type="dxa"/>
            <w:noWrap/>
            <w:vAlign w:val="bottom"/>
            <w:hideMark/>
          </w:tcPr>
          <w:p w14:paraId="53DDD824" w14:textId="77777777" w:rsidR="006B7D2B" w:rsidRPr="00FE3845" w:rsidRDefault="006B7D2B" w:rsidP="00BA3F5D">
            <w:pPr>
              <w:jc w:val="center"/>
              <w:rPr>
                <w:rFonts w:ascii="Times New Roman" w:hAnsi="Times New Roman" w:cs="Times New Roman"/>
                <w:b/>
                <w:bCs/>
                <w:color w:val="000000"/>
              </w:rPr>
            </w:pPr>
            <w:proofErr w:type="spellStart"/>
            <w:r w:rsidRPr="00FE3845">
              <w:rPr>
                <w:rFonts w:ascii="Times New Roman" w:hAnsi="Times New Roman" w:cs="Times New Roman"/>
                <w:b/>
                <w:bCs/>
                <w:color w:val="000000"/>
              </w:rPr>
              <w:t>No.of</w:t>
            </w:r>
            <w:proofErr w:type="spellEnd"/>
            <w:r w:rsidRPr="00FE3845">
              <w:rPr>
                <w:rFonts w:ascii="Times New Roman" w:hAnsi="Times New Roman" w:cs="Times New Roman"/>
                <w:b/>
                <w:bCs/>
                <w:color w:val="000000"/>
              </w:rPr>
              <w:t xml:space="preserve"> seeds /siliqua</w:t>
            </w:r>
          </w:p>
        </w:tc>
        <w:tc>
          <w:tcPr>
            <w:tcW w:w="827" w:type="dxa"/>
            <w:noWrap/>
            <w:vAlign w:val="bottom"/>
            <w:hideMark/>
          </w:tcPr>
          <w:p w14:paraId="00B9CE13"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Days to maturity</w:t>
            </w:r>
          </w:p>
        </w:tc>
        <w:tc>
          <w:tcPr>
            <w:tcW w:w="811" w:type="dxa"/>
            <w:noWrap/>
            <w:vAlign w:val="bottom"/>
            <w:hideMark/>
          </w:tcPr>
          <w:p w14:paraId="73235F14"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Seed yield /plant(gm)</w:t>
            </w:r>
          </w:p>
        </w:tc>
        <w:tc>
          <w:tcPr>
            <w:tcW w:w="926" w:type="dxa"/>
            <w:noWrap/>
            <w:vAlign w:val="bottom"/>
            <w:hideMark/>
          </w:tcPr>
          <w:p w14:paraId="2F037A9A"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Biological yield</w:t>
            </w:r>
          </w:p>
          <w:p w14:paraId="33834063"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(gm)</w:t>
            </w:r>
          </w:p>
        </w:tc>
        <w:tc>
          <w:tcPr>
            <w:tcW w:w="906" w:type="dxa"/>
            <w:noWrap/>
            <w:vAlign w:val="bottom"/>
            <w:hideMark/>
          </w:tcPr>
          <w:p w14:paraId="4D49D2A8"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Economical yield</w:t>
            </w:r>
          </w:p>
          <w:p w14:paraId="242355D1"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(gm)</w:t>
            </w:r>
          </w:p>
        </w:tc>
        <w:tc>
          <w:tcPr>
            <w:tcW w:w="1047" w:type="dxa"/>
            <w:noWrap/>
            <w:vAlign w:val="bottom"/>
            <w:hideMark/>
          </w:tcPr>
          <w:p w14:paraId="7AA00425" w14:textId="77777777" w:rsidR="006B7D2B" w:rsidRPr="00FE3845" w:rsidRDefault="006B7D2B" w:rsidP="00BA3F5D">
            <w:pPr>
              <w:jc w:val="center"/>
              <w:rPr>
                <w:rFonts w:ascii="Times New Roman" w:hAnsi="Times New Roman" w:cs="Times New Roman"/>
                <w:b/>
                <w:bCs/>
                <w:color w:val="000000"/>
              </w:rPr>
            </w:pPr>
            <w:r w:rsidRPr="00FE3845">
              <w:rPr>
                <w:rFonts w:ascii="Times New Roman" w:hAnsi="Times New Roman" w:cs="Times New Roman"/>
                <w:b/>
                <w:bCs/>
                <w:color w:val="000000"/>
              </w:rPr>
              <w:t>Harvest index</w:t>
            </w:r>
          </w:p>
        </w:tc>
      </w:tr>
      <w:tr w:rsidR="006B7D2B" w:rsidRPr="00FE3845" w14:paraId="48FB98C4" w14:textId="77777777" w:rsidTr="008178C3">
        <w:trPr>
          <w:trHeight w:val="476"/>
        </w:trPr>
        <w:tc>
          <w:tcPr>
            <w:tcW w:w="648" w:type="dxa"/>
            <w:noWrap/>
            <w:hideMark/>
          </w:tcPr>
          <w:p w14:paraId="1785B56A"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w:t>
            </w:r>
          </w:p>
        </w:tc>
        <w:tc>
          <w:tcPr>
            <w:tcW w:w="748" w:type="dxa"/>
            <w:noWrap/>
            <w:vAlign w:val="bottom"/>
            <w:hideMark/>
          </w:tcPr>
          <w:p w14:paraId="7F8D73FA"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T0</w:t>
            </w:r>
          </w:p>
        </w:tc>
        <w:tc>
          <w:tcPr>
            <w:tcW w:w="750" w:type="dxa"/>
            <w:noWrap/>
            <w:vAlign w:val="bottom"/>
            <w:hideMark/>
          </w:tcPr>
          <w:p w14:paraId="70A7412B"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79.15</w:t>
            </w:r>
          </w:p>
        </w:tc>
        <w:tc>
          <w:tcPr>
            <w:tcW w:w="838" w:type="dxa"/>
            <w:noWrap/>
            <w:vAlign w:val="bottom"/>
            <w:hideMark/>
          </w:tcPr>
          <w:p w14:paraId="5B7BF87E"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39.00</w:t>
            </w:r>
          </w:p>
        </w:tc>
        <w:tc>
          <w:tcPr>
            <w:tcW w:w="906" w:type="dxa"/>
            <w:noWrap/>
            <w:vAlign w:val="bottom"/>
            <w:hideMark/>
          </w:tcPr>
          <w:p w14:paraId="3DF8ECF0"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125.43</w:t>
            </w:r>
          </w:p>
        </w:tc>
        <w:tc>
          <w:tcPr>
            <w:tcW w:w="754" w:type="dxa"/>
            <w:noWrap/>
            <w:vAlign w:val="bottom"/>
            <w:hideMark/>
          </w:tcPr>
          <w:p w14:paraId="11A693FF"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4.13</w:t>
            </w:r>
          </w:p>
        </w:tc>
        <w:tc>
          <w:tcPr>
            <w:tcW w:w="775" w:type="dxa"/>
            <w:noWrap/>
            <w:vAlign w:val="bottom"/>
            <w:hideMark/>
          </w:tcPr>
          <w:p w14:paraId="3E886B30"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38.73</w:t>
            </w:r>
          </w:p>
        </w:tc>
        <w:tc>
          <w:tcPr>
            <w:tcW w:w="885" w:type="dxa"/>
            <w:noWrap/>
            <w:vAlign w:val="bottom"/>
            <w:hideMark/>
          </w:tcPr>
          <w:p w14:paraId="1284EA34"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7.40</w:t>
            </w:r>
          </w:p>
        </w:tc>
        <w:tc>
          <w:tcPr>
            <w:tcW w:w="827" w:type="dxa"/>
            <w:noWrap/>
            <w:vAlign w:val="bottom"/>
            <w:hideMark/>
          </w:tcPr>
          <w:p w14:paraId="10199799"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98.67</w:t>
            </w:r>
          </w:p>
        </w:tc>
        <w:tc>
          <w:tcPr>
            <w:tcW w:w="811" w:type="dxa"/>
            <w:noWrap/>
            <w:vAlign w:val="bottom"/>
            <w:hideMark/>
          </w:tcPr>
          <w:p w14:paraId="40D97FBB"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0.74</w:t>
            </w:r>
          </w:p>
        </w:tc>
        <w:tc>
          <w:tcPr>
            <w:tcW w:w="926" w:type="dxa"/>
            <w:noWrap/>
            <w:vAlign w:val="bottom"/>
            <w:hideMark/>
          </w:tcPr>
          <w:p w14:paraId="7305F6C8"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120.08</w:t>
            </w:r>
          </w:p>
        </w:tc>
        <w:tc>
          <w:tcPr>
            <w:tcW w:w="906" w:type="dxa"/>
            <w:noWrap/>
            <w:vAlign w:val="bottom"/>
            <w:hideMark/>
          </w:tcPr>
          <w:p w14:paraId="46D94C4B"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26.03</w:t>
            </w:r>
          </w:p>
        </w:tc>
        <w:tc>
          <w:tcPr>
            <w:tcW w:w="1047" w:type="dxa"/>
            <w:noWrap/>
            <w:vAlign w:val="bottom"/>
            <w:hideMark/>
          </w:tcPr>
          <w:p w14:paraId="1950B9FB"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21.54</w:t>
            </w:r>
          </w:p>
        </w:tc>
      </w:tr>
      <w:tr w:rsidR="006B7D2B" w:rsidRPr="00FE3845" w14:paraId="0DCACB22" w14:textId="77777777" w:rsidTr="008178C3">
        <w:trPr>
          <w:trHeight w:val="476"/>
        </w:trPr>
        <w:tc>
          <w:tcPr>
            <w:tcW w:w="648" w:type="dxa"/>
            <w:noWrap/>
            <w:hideMark/>
          </w:tcPr>
          <w:p w14:paraId="77207516"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2</w:t>
            </w:r>
          </w:p>
        </w:tc>
        <w:tc>
          <w:tcPr>
            <w:tcW w:w="748" w:type="dxa"/>
            <w:noWrap/>
            <w:vAlign w:val="bottom"/>
            <w:hideMark/>
          </w:tcPr>
          <w:p w14:paraId="3338BDAF"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T1</w:t>
            </w:r>
          </w:p>
        </w:tc>
        <w:tc>
          <w:tcPr>
            <w:tcW w:w="750" w:type="dxa"/>
            <w:noWrap/>
            <w:vAlign w:val="bottom"/>
            <w:hideMark/>
          </w:tcPr>
          <w:p w14:paraId="22D1C39C"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80.24</w:t>
            </w:r>
          </w:p>
        </w:tc>
        <w:tc>
          <w:tcPr>
            <w:tcW w:w="838" w:type="dxa"/>
            <w:noWrap/>
            <w:vAlign w:val="bottom"/>
            <w:hideMark/>
          </w:tcPr>
          <w:p w14:paraId="6449F3C3"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37.67</w:t>
            </w:r>
          </w:p>
        </w:tc>
        <w:tc>
          <w:tcPr>
            <w:tcW w:w="906" w:type="dxa"/>
            <w:noWrap/>
            <w:vAlign w:val="bottom"/>
            <w:hideMark/>
          </w:tcPr>
          <w:p w14:paraId="0419739C"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126.13</w:t>
            </w:r>
          </w:p>
        </w:tc>
        <w:tc>
          <w:tcPr>
            <w:tcW w:w="754" w:type="dxa"/>
            <w:noWrap/>
            <w:vAlign w:val="bottom"/>
            <w:hideMark/>
          </w:tcPr>
          <w:p w14:paraId="5F74CD22"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4.67</w:t>
            </w:r>
          </w:p>
        </w:tc>
        <w:tc>
          <w:tcPr>
            <w:tcW w:w="775" w:type="dxa"/>
            <w:noWrap/>
            <w:vAlign w:val="bottom"/>
            <w:hideMark/>
          </w:tcPr>
          <w:p w14:paraId="1EEE8AAA"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26.53</w:t>
            </w:r>
          </w:p>
        </w:tc>
        <w:tc>
          <w:tcPr>
            <w:tcW w:w="885" w:type="dxa"/>
            <w:noWrap/>
            <w:vAlign w:val="bottom"/>
            <w:hideMark/>
          </w:tcPr>
          <w:p w14:paraId="404A522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7.93</w:t>
            </w:r>
          </w:p>
        </w:tc>
        <w:tc>
          <w:tcPr>
            <w:tcW w:w="827" w:type="dxa"/>
            <w:noWrap/>
            <w:vAlign w:val="bottom"/>
            <w:hideMark/>
          </w:tcPr>
          <w:p w14:paraId="7E3E9D6C"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99.33</w:t>
            </w:r>
          </w:p>
        </w:tc>
        <w:tc>
          <w:tcPr>
            <w:tcW w:w="811" w:type="dxa"/>
            <w:noWrap/>
            <w:vAlign w:val="bottom"/>
            <w:hideMark/>
          </w:tcPr>
          <w:p w14:paraId="432A30B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1.34</w:t>
            </w:r>
          </w:p>
        </w:tc>
        <w:tc>
          <w:tcPr>
            <w:tcW w:w="926" w:type="dxa"/>
            <w:noWrap/>
            <w:vAlign w:val="bottom"/>
            <w:hideMark/>
          </w:tcPr>
          <w:p w14:paraId="449BDFAE"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122.34</w:t>
            </w:r>
          </w:p>
        </w:tc>
        <w:tc>
          <w:tcPr>
            <w:tcW w:w="906" w:type="dxa"/>
            <w:noWrap/>
            <w:vAlign w:val="bottom"/>
            <w:hideMark/>
          </w:tcPr>
          <w:p w14:paraId="2AE0F213"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27.74</w:t>
            </w:r>
          </w:p>
        </w:tc>
        <w:tc>
          <w:tcPr>
            <w:tcW w:w="1047" w:type="dxa"/>
            <w:noWrap/>
            <w:vAlign w:val="bottom"/>
            <w:hideMark/>
          </w:tcPr>
          <w:p w14:paraId="12B390E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22.52</w:t>
            </w:r>
          </w:p>
        </w:tc>
      </w:tr>
      <w:tr w:rsidR="006B7D2B" w:rsidRPr="00FE3845" w14:paraId="17E4DDE7" w14:textId="77777777" w:rsidTr="008178C3">
        <w:trPr>
          <w:trHeight w:val="476"/>
        </w:trPr>
        <w:tc>
          <w:tcPr>
            <w:tcW w:w="648" w:type="dxa"/>
            <w:noWrap/>
            <w:hideMark/>
          </w:tcPr>
          <w:p w14:paraId="37DF8954"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3</w:t>
            </w:r>
          </w:p>
        </w:tc>
        <w:tc>
          <w:tcPr>
            <w:tcW w:w="748" w:type="dxa"/>
            <w:noWrap/>
            <w:vAlign w:val="bottom"/>
            <w:hideMark/>
          </w:tcPr>
          <w:p w14:paraId="15A43B4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T2</w:t>
            </w:r>
          </w:p>
        </w:tc>
        <w:tc>
          <w:tcPr>
            <w:tcW w:w="750" w:type="dxa"/>
            <w:noWrap/>
            <w:vAlign w:val="bottom"/>
            <w:hideMark/>
          </w:tcPr>
          <w:p w14:paraId="5882CB83"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87.65</w:t>
            </w:r>
          </w:p>
        </w:tc>
        <w:tc>
          <w:tcPr>
            <w:tcW w:w="838" w:type="dxa"/>
            <w:noWrap/>
            <w:vAlign w:val="bottom"/>
            <w:hideMark/>
          </w:tcPr>
          <w:p w14:paraId="2CC64DB0"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34.33</w:t>
            </w:r>
          </w:p>
        </w:tc>
        <w:tc>
          <w:tcPr>
            <w:tcW w:w="906" w:type="dxa"/>
            <w:noWrap/>
            <w:vAlign w:val="bottom"/>
            <w:hideMark/>
          </w:tcPr>
          <w:p w14:paraId="4E9F1E6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128.27</w:t>
            </w:r>
          </w:p>
        </w:tc>
        <w:tc>
          <w:tcPr>
            <w:tcW w:w="754" w:type="dxa"/>
            <w:noWrap/>
            <w:vAlign w:val="bottom"/>
            <w:hideMark/>
          </w:tcPr>
          <w:p w14:paraId="495DF124"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4.73</w:t>
            </w:r>
          </w:p>
        </w:tc>
        <w:tc>
          <w:tcPr>
            <w:tcW w:w="775" w:type="dxa"/>
            <w:noWrap/>
            <w:vAlign w:val="bottom"/>
            <w:hideMark/>
          </w:tcPr>
          <w:p w14:paraId="33F8D3DC"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25.40</w:t>
            </w:r>
          </w:p>
        </w:tc>
        <w:tc>
          <w:tcPr>
            <w:tcW w:w="885" w:type="dxa"/>
            <w:noWrap/>
            <w:vAlign w:val="bottom"/>
            <w:hideMark/>
          </w:tcPr>
          <w:p w14:paraId="6BE47A5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9.53</w:t>
            </w:r>
          </w:p>
        </w:tc>
        <w:tc>
          <w:tcPr>
            <w:tcW w:w="827" w:type="dxa"/>
            <w:noWrap/>
            <w:vAlign w:val="bottom"/>
            <w:hideMark/>
          </w:tcPr>
          <w:p w14:paraId="3735FFCC"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93.67</w:t>
            </w:r>
          </w:p>
        </w:tc>
        <w:tc>
          <w:tcPr>
            <w:tcW w:w="811" w:type="dxa"/>
            <w:noWrap/>
            <w:vAlign w:val="bottom"/>
            <w:hideMark/>
          </w:tcPr>
          <w:p w14:paraId="2DA304C2"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1.72</w:t>
            </w:r>
          </w:p>
        </w:tc>
        <w:tc>
          <w:tcPr>
            <w:tcW w:w="926" w:type="dxa"/>
            <w:noWrap/>
            <w:vAlign w:val="bottom"/>
            <w:hideMark/>
          </w:tcPr>
          <w:p w14:paraId="61FA6389"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144.52</w:t>
            </w:r>
          </w:p>
        </w:tc>
        <w:tc>
          <w:tcPr>
            <w:tcW w:w="906" w:type="dxa"/>
            <w:noWrap/>
            <w:vAlign w:val="bottom"/>
            <w:hideMark/>
          </w:tcPr>
          <w:p w14:paraId="5DC96F89"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37.04</w:t>
            </w:r>
          </w:p>
        </w:tc>
        <w:tc>
          <w:tcPr>
            <w:tcW w:w="1047" w:type="dxa"/>
            <w:noWrap/>
            <w:vAlign w:val="bottom"/>
            <w:hideMark/>
          </w:tcPr>
          <w:p w14:paraId="13C8C2C6"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25.78</w:t>
            </w:r>
          </w:p>
        </w:tc>
      </w:tr>
      <w:tr w:rsidR="006B7D2B" w:rsidRPr="00FE3845" w14:paraId="5FCA5C9C" w14:textId="77777777" w:rsidTr="008178C3">
        <w:trPr>
          <w:trHeight w:val="476"/>
        </w:trPr>
        <w:tc>
          <w:tcPr>
            <w:tcW w:w="648" w:type="dxa"/>
            <w:noWrap/>
            <w:hideMark/>
          </w:tcPr>
          <w:p w14:paraId="4221B4B2"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4</w:t>
            </w:r>
          </w:p>
        </w:tc>
        <w:tc>
          <w:tcPr>
            <w:tcW w:w="748" w:type="dxa"/>
            <w:noWrap/>
            <w:vAlign w:val="bottom"/>
            <w:hideMark/>
          </w:tcPr>
          <w:p w14:paraId="221DD8F9"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T3</w:t>
            </w:r>
          </w:p>
        </w:tc>
        <w:tc>
          <w:tcPr>
            <w:tcW w:w="750" w:type="dxa"/>
            <w:noWrap/>
            <w:vAlign w:val="bottom"/>
            <w:hideMark/>
          </w:tcPr>
          <w:p w14:paraId="6E1986CB"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81.67</w:t>
            </w:r>
          </w:p>
        </w:tc>
        <w:tc>
          <w:tcPr>
            <w:tcW w:w="838" w:type="dxa"/>
            <w:noWrap/>
            <w:vAlign w:val="bottom"/>
            <w:hideMark/>
          </w:tcPr>
          <w:p w14:paraId="64551EBE"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36.00</w:t>
            </w:r>
          </w:p>
        </w:tc>
        <w:tc>
          <w:tcPr>
            <w:tcW w:w="906" w:type="dxa"/>
            <w:noWrap/>
            <w:vAlign w:val="bottom"/>
            <w:hideMark/>
          </w:tcPr>
          <w:p w14:paraId="308948C0"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133.00</w:t>
            </w:r>
          </w:p>
        </w:tc>
        <w:tc>
          <w:tcPr>
            <w:tcW w:w="754" w:type="dxa"/>
            <w:noWrap/>
            <w:vAlign w:val="bottom"/>
            <w:hideMark/>
          </w:tcPr>
          <w:p w14:paraId="1DB8AC8B"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4.73</w:t>
            </w:r>
          </w:p>
        </w:tc>
        <w:tc>
          <w:tcPr>
            <w:tcW w:w="775" w:type="dxa"/>
            <w:noWrap/>
            <w:vAlign w:val="bottom"/>
            <w:hideMark/>
          </w:tcPr>
          <w:p w14:paraId="50C00C3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29.60</w:t>
            </w:r>
          </w:p>
        </w:tc>
        <w:tc>
          <w:tcPr>
            <w:tcW w:w="885" w:type="dxa"/>
            <w:noWrap/>
            <w:vAlign w:val="bottom"/>
            <w:hideMark/>
          </w:tcPr>
          <w:p w14:paraId="72A16AE6"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8.13</w:t>
            </w:r>
          </w:p>
        </w:tc>
        <w:tc>
          <w:tcPr>
            <w:tcW w:w="827" w:type="dxa"/>
            <w:noWrap/>
            <w:vAlign w:val="bottom"/>
            <w:hideMark/>
          </w:tcPr>
          <w:p w14:paraId="358F005A"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96.33</w:t>
            </w:r>
          </w:p>
        </w:tc>
        <w:tc>
          <w:tcPr>
            <w:tcW w:w="811" w:type="dxa"/>
            <w:noWrap/>
            <w:vAlign w:val="bottom"/>
            <w:hideMark/>
          </w:tcPr>
          <w:p w14:paraId="4A0D4DD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1.34</w:t>
            </w:r>
          </w:p>
        </w:tc>
        <w:tc>
          <w:tcPr>
            <w:tcW w:w="926" w:type="dxa"/>
            <w:noWrap/>
            <w:vAlign w:val="bottom"/>
            <w:hideMark/>
          </w:tcPr>
          <w:p w14:paraId="7B702671"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127.28</w:t>
            </w:r>
          </w:p>
        </w:tc>
        <w:tc>
          <w:tcPr>
            <w:tcW w:w="906" w:type="dxa"/>
            <w:noWrap/>
            <w:vAlign w:val="bottom"/>
            <w:hideMark/>
          </w:tcPr>
          <w:p w14:paraId="187FA820"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29.77</w:t>
            </w:r>
          </w:p>
        </w:tc>
        <w:tc>
          <w:tcPr>
            <w:tcW w:w="1047" w:type="dxa"/>
            <w:noWrap/>
            <w:vAlign w:val="bottom"/>
            <w:hideMark/>
          </w:tcPr>
          <w:p w14:paraId="74619CD4"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23.29</w:t>
            </w:r>
          </w:p>
        </w:tc>
      </w:tr>
      <w:tr w:rsidR="006B7D2B" w:rsidRPr="00FE3845" w14:paraId="7AEC30CF" w14:textId="77777777" w:rsidTr="008178C3">
        <w:trPr>
          <w:trHeight w:val="476"/>
        </w:trPr>
        <w:tc>
          <w:tcPr>
            <w:tcW w:w="648" w:type="dxa"/>
            <w:noWrap/>
            <w:hideMark/>
          </w:tcPr>
          <w:p w14:paraId="714FC694"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5</w:t>
            </w:r>
          </w:p>
        </w:tc>
        <w:tc>
          <w:tcPr>
            <w:tcW w:w="748" w:type="dxa"/>
            <w:noWrap/>
            <w:vAlign w:val="bottom"/>
            <w:hideMark/>
          </w:tcPr>
          <w:p w14:paraId="1C8209EA"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T4</w:t>
            </w:r>
          </w:p>
        </w:tc>
        <w:tc>
          <w:tcPr>
            <w:tcW w:w="750" w:type="dxa"/>
            <w:noWrap/>
            <w:vAlign w:val="bottom"/>
            <w:hideMark/>
          </w:tcPr>
          <w:p w14:paraId="43C30A1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74.07</w:t>
            </w:r>
          </w:p>
        </w:tc>
        <w:tc>
          <w:tcPr>
            <w:tcW w:w="838" w:type="dxa"/>
            <w:noWrap/>
            <w:vAlign w:val="bottom"/>
            <w:hideMark/>
          </w:tcPr>
          <w:p w14:paraId="2C66AAB0"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39.00</w:t>
            </w:r>
          </w:p>
        </w:tc>
        <w:tc>
          <w:tcPr>
            <w:tcW w:w="906" w:type="dxa"/>
            <w:noWrap/>
            <w:vAlign w:val="bottom"/>
            <w:hideMark/>
          </w:tcPr>
          <w:p w14:paraId="79AEDA5B"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137.13</w:t>
            </w:r>
          </w:p>
        </w:tc>
        <w:tc>
          <w:tcPr>
            <w:tcW w:w="754" w:type="dxa"/>
            <w:noWrap/>
            <w:vAlign w:val="bottom"/>
            <w:hideMark/>
          </w:tcPr>
          <w:p w14:paraId="43FBCCA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4.47</w:t>
            </w:r>
          </w:p>
        </w:tc>
        <w:tc>
          <w:tcPr>
            <w:tcW w:w="775" w:type="dxa"/>
            <w:noWrap/>
            <w:vAlign w:val="bottom"/>
            <w:hideMark/>
          </w:tcPr>
          <w:p w14:paraId="2DE6ABE3"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28.13</w:t>
            </w:r>
          </w:p>
        </w:tc>
        <w:tc>
          <w:tcPr>
            <w:tcW w:w="885" w:type="dxa"/>
            <w:noWrap/>
            <w:vAlign w:val="bottom"/>
            <w:hideMark/>
          </w:tcPr>
          <w:p w14:paraId="055CE40F"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8.60</w:t>
            </w:r>
          </w:p>
        </w:tc>
        <w:tc>
          <w:tcPr>
            <w:tcW w:w="827" w:type="dxa"/>
            <w:noWrap/>
            <w:vAlign w:val="bottom"/>
            <w:hideMark/>
          </w:tcPr>
          <w:p w14:paraId="57A5B69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97.00</w:t>
            </w:r>
          </w:p>
        </w:tc>
        <w:tc>
          <w:tcPr>
            <w:tcW w:w="811" w:type="dxa"/>
            <w:noWrap/>
            <w:vAlign w:val="bottom"/>
            <w:hideMark/>
          </w:tcPr>
          <w:p w14:paraId="0B5A9FF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1.40</w:t>
            </w:r>
          </w:p>
        </w:tc>
        <w:tc>
          <w:tcPr>
            <w:tcW w:w="926" w:type="dxa"/>
            <w:noWrap/>
            <w:vAlign w:val="bottom"/>
            <w:hideMark/>
          </w:tcPr>
          <w:p w14:paraId="2EB789CB"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131.44</w:t>
            </w:r>
          </w:p>
        </w:tc>
        <w:tc>
          <w:tcPr>
            <w:tcW w:w="906" w:type="dxa"/>
            <w:noWrap/>
            <w:vAlign w:val="bottom"/>
            <w:hideMark/>
          </w:tcPr>
          <w:p w14:paraId="522DFA06"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35.86</w:t>
            </w:r>
          </w:p>
        </w:tc>
        <w:tc>
          <w:tcPr>
            <w:tcW w:w="1047" w:type="dxa"/>
            <w:noWrap/>
            <w:vAlign w:val="bottom"/>
            <w:hideMark/>
          </w:tcPr>
          <w:p w14:paraId="48DDAABF"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26.85</w:t>
            </w:r>
          </w:p>
        </w:tc>
      </w:tr>
      <w:tr w:rsidR="006B7D2B" w:rsidRPr="00FE3845" w14:paraId="62FFA329" w14:textId="77777777" w:rsidTr="008178C3">
        <w:trPr>
          <w:trHeight w:val="476"/>
        </w:trPr>
        <w:tc>
          <w:tcPr>
            <w:tcW w:w="648" w:type="dxa"/>
            <w:noWrap/>
            <w:hideMark/>
          </w:tcPr>
          <w:p w14:paraId="521963B8"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w:t>
            </w:r>
          </w:p>
        </w:tc>
        <w:tc>
          <w:tcPr>
            <w:tcW w:w="748" w:type="dxa"/>
            <w:noWrap/>
            <w:vAlign w:val="bottom"/>
            <w:hideMark/>
          </w:tcPr>
          <w:p w14:paraId="331360B0"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T5</w:t>
            </w:r>
          </w:p>
        </w:tc>
        <w:tc>
          <w:tcPr>
            <w:tcW w:w="750" w:type="dxa"/>
            <w:noWrap/>
            <w:vAlign w:val="bottom"/>
            <w:hideMark/>
          </w:tcPr>
          <w:p w14:paraId="0971076C"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73.03</w:t>
            </w:r>
          </w:p>
        </w:tc>
        <w:tc>
          <w:tcPr>
            <w:tcW w:w="838" w:type="dxa"/>
            <w:noWrap/>
            <w:vAlign w:val="bottom"/>
            <w:hideMark/>
          </w:tcPr>
          <w:p w14:paraId="503678A6"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37.33</w:t>
            </w:r>
          </w:p>
        </w:tc>
        <w:tc>
          <w:tcPr>
            <w:tcW w:w="906" w:type="dxa"/>
            <w:noWrap/>
            <w:vAlign w:val="bottom"/>
            <w:hideMark/>
          </w:tcPr>
          <w:p w14:paraId="54BF5DE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127.13</w:t>
            </w:r>
          </w:p>
        </w:tc>
        <w:tc>
          <w:tcPr>
            <w:tcW w:w="754" w:type="dxa"/>
            <w:noWrap/>
            <w:vAlign w:val="bottom"/>
            <w:hideMark/>
          </w:tcPr>
          <w:p w14:paraId="4C8272CF"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5.27</w:t>
            </w:r>
          </w:p>
        </w:tc>
        <w:tc>
          <w:tcPr>
            <w:tcW w:w="775" w:type="dxa"/>
            <w:noWrap/>
            <w:vAlign w:val="bottom"/>
            <w:hideMark/>
          </w:tcPr>
          <w:p w14:paraId="437B4DC2"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33.73</w:t>
            </w:r>
          </w:p>
        </w:tc>
        <w:tc>
          <w:tcPr>
            <w:tcW w:w="885" w:type="dxa"/>
            <w:noWrap/>
            <w:vAlign w:val="bottom"/>
            <w:hideMark/>
          </w:tcPr>
          <w:p w14:paraId="6C62EE2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8.50</w:t>
            </w:r>
          </w:p>
        </w:tc>
        <w:tc>
          <w:tcPr>
            <w:tcW w:w="827" w:type="dxa"/>
            <w:noWrap/>
            <w:vAlign w:val="bottom"/>
            <w:hideMark/>
          </w:tcPr>
          <w:p w14:paraId="2A5756D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96.33</w:t>
            </w:r>
          </w:p>
        </w:tc>
        <w:tc>
          <w:tcPr>
            <w:tcW w:w="811" w:type="dxa"/>
            <w:noWrap/>
            <w:vAlign w:val="bottom"/>
            <w:hideMark/>
          </w:tcPr>
          <w:p w14:paraId="73AB3591"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1.28</w:t>
            </w:r>
          </w:p>
        </w:tc>
        <w:tc>
          <w:tcPr>
            <w:tcW w:w="926" w:type="dxa"/>
            <w:noWrap/>
            <w:vAlign w:val="bottom"/>
            <w:hideMark/>
          </w:tcPr>
          <w:p w14:paraId="0A32F61D"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133.80</w:t>
            </w:r>
          </w:p>
        </w:tc>
        <w:tc>
          <w:tcPr>
            <w:tcW w:w="906" w:type="dxa"/>
            <w:noWrap/>
            <w:vAlign w:val="bottom"/>
            <w:hideMark/>
          </w:tcPr>
          <w:p w14:paraId="60186284"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32.31</w:t>
            </w:r>
          </w:p>
        </w:tc>
        <w:tc>
          <w:tcPr>
            <w:tcW w:w="1047" w:type="dxa"/>
            <w:noWrap/>
            <w:vAlign w:val="bottom"/>
            <w:hideMark/>
          </w:tcPr>
          <w:p w14:paraId="228853B2"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23.82</w:t>
            </w:r>
          </w:p>
        </w:tc>
      </w:tr>
      <w:tr w:rsidR="006B7D2B" w:rsidRPr="00FE3845" w14:paraId="0CB095F3" w14:textId="77777777" w:rsidTr="008178C3">
        <w:trPr>
          <w:trHeight w:val="476"/>
        </w:trPr>
        <w:tc>
          <w:tcPr>
            <w:tcW w:w="648" w:type="dxa"/>
            <w:noWrap/>
            <w:hideMark/>
          </w:tcPr>
          <w:p w14:paraId="04235163"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lastRenderedPageBreak/>
              <w:t>7</w:t>
            </w:r>
          </w:p>
        </w:tc>
        <w:tc>
          <w:tcPr>
            <w:tcW w:w="748" w:type="dxa"/>
            <w:noWrap/>
            <w:vAlign w:val="bottom"/>
            <w:hideMark/>
          </w:tcPr>
          <w:p w14:paraId="59F5EF3F"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T6</w:t>
            </w:r>
          </w:p>
        </w:tc>
        <w:tc>
          <w:tcPr>
            <w:tcW w:w="750" w:type="dxa"/>
            <w:noWrap/>
            <w:vAlign w:val="bottom"/>
            <w:hideMark/>
          </w:tcPr>
          <w:p w14:paraId="4AE82B23"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82.45</w:t>
            </w:r>
          </w:p>
        </w:tc>
        <w:tc>
          <w:tcPr>
            <w:tcW w:w="838" w:type="dxa"/>
            <w:noWrap/>
            <w:vAlign w:val="bottom"/>
            <w:hideMark/>
          </w:tcPr>
          <w:p w14:paraId="47CBC31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34.00</w:t>
            </w:r>
          </w:p>
        </w:tc>
        <w:tc>
          <w:tcPr>
            <w:tcW w:w="906" w:type="dxa"/>
            <w:noWrap/>
            <w:vAlign w:val="bottom"/>
            <w:hideMark/>
          </w:tcPr>
          <w:p w14:paraId="6F084057"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167.53</w:t>
            </w:r>
          </w:p>
        </w:tc>
        <w:tc>
          <w:tcPr>
            <w:tcW w:w="754" w:type="dxa"/>
            <w:noWrap/>
            <w:vAlign w:val="bottom"/>
            <w:hideMark/>
          </w:tcPr>
          <w:p w14:paraId="2A99348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4.33</w:t>
            </w:r>
          </w:p>
        </w:tc>
        <w:tc>
          <w:tcPr>
            <w:tcW w:w="775" w:type="dxa"/>
            <w:noWrap/>
            <w:vAlign w:val="bottom"/>
            <w:hideMark/>
          </w:tcPr>
          <w:p w14:paraId="528100AC"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39.87</w:t>
            </w:r>
          </w:p>
        </w:tc>
        <w:tc>
          <w:tcPr>
            <w:tcW w:w="885" w:type="dxa"/>
            <w:noWrap/>
            <w:vAlign w:val="bottom"/>
            <w:hideMark/>
          </w:tcPr>
          <w:p w14:paraId="3A03BA53"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9.53</w:t>
            </w:r>
          </w:p>
        </w:tc>
        <w:tc>
          <w:tcPr>
            <w:tcW w:w="827" w:type="dxa"/>
            <w:noWrap/>
            <w:vAlign w:val="bottom"/>
            <w:hideMark/>
          </w:tcPr>
          <w:p w14:paraId="3C0FD4F3"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97.33</w:t>
            </w:r>
          </w:p>
        </w:tc>
        <w:tc>
          <w:tcPr>
            <w:tcW w:w="811" w:type="dxa"/>
            <w:noWrap/>
            <w:vAlign w:val="bottom"/>
            <w:hideMark/>
          </w:tcPr>
          <w:p w14:paraId="46693D1A"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1.61</w:t>
            </w:r>
          </w:p>
        </w:tc>
        <w:tc>
          <w:tcPr>
            <w:tcW w:w="926" w:type="dxa"/>
            <w:noWrap/>
            <w:vAlign w:val="bottom"/>
            <w:hideMark/>
          </w:tcPr>
          <w:p w14:paraId="4E59EB9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137.85</w:t>
            </w:r>
          </w:p>
        </w:tc>
        <w:tc>
          <w:tcPr>
            <w:tcW w:w="906" w:type="dxa"/>
            <w:noWrap/>
            <w:vAlign w:val="bottom"/>
            <w:hideMark/>
          </w:tcPr>
          <w:p w14:paraId="6AAF8480"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34.44</w:t>
            </w:r>
          </w:p>
        </w:tc>
        <w:tc>
          <w:tcPr>
            <w:tcW w:w="1047" w:type="dxa"/>
            <w:noWrap/>
            <w:vAlign w:val="bottom"/>
            <w:hideMark/>
          </w:tcPr>
          <w:p w14:paraId="6A7B0661"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24.97</w:t>
            </w:r>
          </w:p>
        </w:tc>
      </w:tr>
      <w:tr w:rsidR="006B7D2B" w:rsidRPr="00FE3845" w14:paraId="208566DC" w14:textId="77777777" w:rsidTr="008178C3">
        <w:trPr>
          <w:trHeight w:val="476"/>
        </w:trPr>
        <w:tc>
          <w:tcPr>
            <w:tcW w:w="648" w:type="dxa"/>
            <w:noWrap/>
            <w:hideMark/>
          </w:tcPr>
          <w:p w14:paraId="6D755587"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w:t>
            </w:r>
          </w:p>
        </w:tc>
        <w:tc>
          <w:tcPr>
            <w:tcW w:w="748" w:type="dxa"/>
            <w:noWrap/>
            <w:vAlign w:val="bottom"/>
            <w:hideMark/>
          </w:tcPr>
          <w:p w14:paraId="495F1C7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T7</w:t>
            </w:r>
          </w:p>
        </w:tc>
        <w:tc>
          <w:tcPr>
            <w:tcW w:w="750" w:type="dxa"/>
            <w:noWrap/>
            <w:vAlign w:val="bottom"/>
            <w:hideMark/>
          </w:tcPr>
          <w:p w14:paraId="60D40E52"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92.55</w:t>
            </w:r>
          </w:p>
        </w:tc>
        <w:tc>
          <w:tcPr>
            <w:tcW w:w="838" w:type="dxa"/>
            <w:noWrap/>
            <w:vAlign w:val="bottom"/>
            <w:hideMark/>
          </w:tcPr>
          <w:p w14:paraId="42363AC1"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33.67</w:t>
            </w:r>
          </w:p>
        </w:tc>
        <w:tc>
          <w:tcPr>
            <w:tcW w:w="906" w:type="dxa"/>
            <w:noWrap/>
            <w:vAlign w:val="bottom"/>
            <w:hideMark/>
          </w:tcPr>
          <w:p w14:paraId="3578C539"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136.20</w:t>
            </w:r>
          </w:p>
        </w:tc>
        <w:tc>
          <w:tcPr>
            <w:tcW w:w="754" w:type="dxa"/>
            <w:noWrap/>
            <w:vAlign w:val="bottom"/>
            <w:hideMark/>
          </w:tcPr>
          <w:p w14:paraId="7532DDA4"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4.47</w:t>
            </w:r>
          </w:p>
        </w:tc>
        <w:tc>
          <w:tcPr>
            <w:tcW w:w="775" w:type="dxa"/>
            <w:noWrap/>
            <w:vAlign w:val="bottom"/>
            <w:hideMark/>
          </w:tcPr>
          <w:p w14:paraId="3B6DD6C9"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40.80</w:t>
            </w:r>
          </w:p>
        </w:tc>
        <w:tc>
          <w:tcPr>
            <w:tcW w:w="885" w:type="dxa"/>
            <w:noWrap/>
            <w:vAlign w:val="bottom"/>
            <w:hideMark/>
          </w:tcPr>
          <w:p w14:paraId="7FD5C0BF"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10.27</w:t>
            </w:r>
          </w:p>
        </w:tc>
        <w:tc>
          <w:tcPr>
            <w:tcW w:w="827" w:type="dxa"/>
            <w:noWrap/>
            <w:vAlign w:val="bottom"/>
            <w:hideMark/>
          </w:tcPr>
          <w:p w14:paraId="46505686"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101.0</w:t>
            </w:r>
          </w:p>
        </w:tc>
        <w:tc>
          <w:tcPr>
            <w:tcW w:w="811" w:type="dxa"/>
            <w:noWrap/>
            <w:vAlign w:val="bottom"/>
            <w:hideMark/>
          </w:tcPr>
          <w:p w14:paraId="13142554"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1.85</w:t>
            </w:r>
          </w:p>
        </w:tc>
        <w:tc>
          <w:tcPr>
            <w:tcW w:w="926" w:type="dxa"/>
            <w:noWrap/>
            <w:vAlign w:val="bottom"/>
            <w:hideMark/>
          </w:tcPr>
          <w:p w14:paraId="06E8C868"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153.17</w:t>
            </w:r>
          </w:p>
        </w:tc>
        <w:tc>
          <w:tcPr>
            <w:tcW w:w="906" w:type="dxa"/>
            <w:noWrap/>
            <w:vAlign w:val="bottom"/>
            <w:hideMark/>
          </w:tcPr>
          <w:p w14:paraId="2B5CFCCC"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48.41</w:t>
            </w:r>
          </w:p>
        </w:tc>
        <w:tc>
          <w:tcPr>
            <w:tcW w:w="1047" w:type="dxa"/>
            <w:noWrap/>
            <w:vAlign w:val="bottom"/>
            <w:hideMark/>
          </w:tcPr>
          <w:p w14:paraId="295AEEBC"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31.63</w:t>
            </w:r>
          </w:p>
        </w:tc>
      </w:tr>
      <w:tr w:rsidR="006B7D2B" w:rsidRPr="00FE3845" w14:paraId="0FB99DE2" w14:textId="77777777" w:rsidTr="008178C3">
        <w:trPr>
          <w:trHeight w:val="476"/>
        </w:trPr>
        <w:tc>
          <w:tcPr>
            <w:tcW w:w="648" w:type="dxa"/>
            <w:noWrap/>
            <w:hideMark/>
          </w:tcPr>
          <w:p w14:paraId="38C7C11E"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9</w:t>
            </w:r>
          </w:p>
        </w:tc>
        <w:tc>
          <w:tcPr>
            <w:tcW w:w="748" w:type="dxa"/>
            <w:noWrap/>
            <w:vAlign w:val="bottom"/>
            <w:hideMark/>
          </w:tcPr>
          <w:p w14:paraId="6248626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T8</w:t>
            </w:r>
          </w:p>
        </w:tc>
        <w:tc>
          <w:tcPr>
            <w:tcW w:w="750" w:type="dxa"/>
            <w:noWrap/>
            <w:vAlign w:val="bottom"/>
            <w:hideMark/>
          </w:tcPr>
          <w:p w14:paraId="0DF406B4"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82.60</w:t>
            </w:r>
          </w:p>
        </w:tc>
        <w:tc>
          <w:tcPr>
            <w:tcW w:w="838" w:type="dxa"/>
            <w:noWrap/>
            <w:vAlign w:val="bottom"/>
            <w:hideMark/>
          </w:tcPr>
          <w:p w14:paraId="65B1CF7A"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36.67</w:t>
            </w:r>
          </w:p>
        </w:tc>
        <w:tc>
          <w:tcPr>
            <w:tcW w:w="906" w:type="dxa"/>
            <w:noWrap/>
            <w:vAlign w:val="bottom"/>
            <w:hideMark/>
          </w:tcPr>
          <w:p w14:paraId="71715BFA"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145.53</w:t>
            </w:r>
          </w:p>
        </w:tc>
        <w:tc>
          <w:tcPr>
            <w:tcW w:w="754" w:type="dxa"/>
            <w:noWrap/>
            <w:vAlign w:val="bottom"/>
            <w:hideMark/>
          </w:tcPr>
          <w:p w14:paraId="24E26BCD"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4.60</w:t>
            </w:r>
          </w:p>
        </w:tc>
        <w:tc>
          <w:tcPr>
            <w:tcW w:w="775" w:type="dxa"/>
            <w:noWrap/>
            <w:vAlign w:val="bottom"/>
            <w:hideMark/>
          </w:tcPr>
          <w:p w14:paraId="1D4E5331"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31.80</w:t>
            </w:r>
          </w:p>
        </w:tc>
        <w:tc>
          <w:tcPr>
            <w:tcW w:w="885" w:type="dxa"/>
            <w:noWrap/>
            <w:vAlign w:val="bottom"/>
            <w:hideMark/>
          </w:tcPr>
          <w:p w14:paraId="60DA4FB9"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8.40</w:t>
            </w:r>
          </w:p>
        </w:tc>
        <w:tc>
          <w:tcPr>
            <w:tcW w:w="827" w:type="dxa"/>
            <w:noWrap/>
            <w:vAlign w:val="bottom"/>
            <w:hideMark/>
          </w:tcPr>
          <w:p w14:paraId="32314CA4"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98.33</w:t>
            </w:r>
          </w:p>
        </w:tc>
        <w:tc>
          <w:tcPr>
            <w:tcW w:w="811" w:type="dxa"/>
            <w:noWrap/>
            <w:vAlign w:val="bottom"/>
            <w:hideMark/>
          </w:tcPr>
          <w:p w14:paraId="285600A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1.46</w:t>
            </w:r>
          </w:p>
        </w:tc>
        <w:tc>
          <w:tcPr>
            <w:tcW w:w="926" w:type="dxa"/>
            <w:noWrap/>
            <w:vAlign w:val="bottom"/>
            <w:hideMark/>
          </w:tcPr>
          <w:p w14:paraId="0663CEAE"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124.84</w:t>
            </w:r>
          </w:p>
        </w:tc>
        <w:tc>
          <w:tcPr>
            <w:tcW w:w="906" w:type="dxa"/>
            <w:noWrap/>
            <w:vAlign w:val="bottom"/>
            <w:hideMark/>
          </w:tcPr>
          <w:p w14:paraId="3DFC8BAE"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32.96</w:t>
            </w:r>
          </w:p>
        </w:tc>
        <w:tc>
          <w:tcPr>
            <w:tcW w:w="1047" w:type="dxa"/>
            <w:noWrap/>
            <w:vAlign w:val="bottom"/>
            <w:hideMark/>
          </w:tcPr>
          <w:p w14:paraId="1C875AF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26.44</w:t>
            </w:r>
          </w:p>
        </w:tc>
      </w:tr>
      <w:tr w:rsidR="006B7D2B" w:rsidRPr="00FE3845" w14:paraId="2E6729CA" w14:textId="77777777" w:rsidTr="008178C3">
        <w:trPr>
          <w:trHeight w:val="476"/>
        </w:trPr>
        <w:tc>
          <w:tcPr>
            <w:tcW w:w="648" w:type="dxa"/>
            <w:noWrap/>
            <w:hideMark/>
          </w:tcPr>
          <w:p w14:paraId="5EEAAD02"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w:t>
            </w:r>
          </w:p>
        </w:tc>
        <w:tc>
          <w:tcPr>
            <w:tcW w:w="748" w:type="dxa"/>
            <w:noWrap/>
            <w:vAlign w:val="bottom"/>
            <w:hideMark/>
          </w:tcPr>
          <w:p w14:paraId="6BFC119F"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T9</w:t>
            </w:r>
          </w:p>
        </w:tc>
        <w:tc>
          <w:tcPr>
            <w:tcW w:w="750" w:type="dxa"/>
            <w:noWrap/>
            <w:vAlign w:val="bottom"/>
            <w:hideMark/>
          </w:tcPr>
          <w:p w14:paraId="403CF02E"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79.47</w:t>
            </w:r>
          </w:p>
        </w:tc>
        <w:tc>
          <w:tcPr>
            <w:tcW w:w="838" w:type="dxa"/>
            <w:noWrap/>
            <w:vAlign w:val="bottom"/>
            <w:hideMark/>
          </w:tcPr>
          <w:p w14:paraId="7CD6F271" w14:textId="77777777" w:rsidR="006B7D2B" w:rsidRPr="00FE3845" w:rsidRDefault="006B7D2B" w:rsidP="00BA3F5D">
            <w:pPr>
              <w:jc w:val="center"/>
              <w:rPr>
                <w:rFonts w:ascii="Times New Roman" w:hAnsi="Times New Roman" w:cs="Times New Roman"/>
                <w:color w:val="C00000"/>
              </w:rPr>
            </w:pPr>
            <w:r w:rsidRPr="00FE3845">
              <w:rPr>
                <w:rFonts w:ascii="Times New Roman" w:hAnsi="Times New Roman" w:cs="Times New Roman"/>
                <w:color w:val="C00000"/>
              </w:rPr>
              <w:t>40.33</w:t>
            </w:r>
          </w:p>
        </w:tc>
        <w:tc>
          <w:tcPr>
            <w:tcW w:w="906" w:type="dxa"/>
            <w:noWrap/>
            <w:vAlign w:val="bottom"/>
            <w:hideMark/>
          </w:tcPr>
          <w:p w14:paraId="5D1FE22B"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127.20</w:t>
            </w:r>
          </w:p>
        </w:tc>
        <w:tc>
          <w:tcPr>
            <w:tcW w:w="754" w:type="dxa"/>
            <w:noWrap/>
            <w:vAlign w:val="bottom"/>
            <w:hideMark/>
          </w:tcPr>
          <w:p w14:paraId="2B34750C"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4.47</w:t>
            </w:r>
          </w:p>
        </w:tc>
        <w:tc>
          <w:tcPr>
            <w:tcW w:w="775" w:type="dxa"/>
            <w:noWrap/>
            <w:vAlign w:val="bottom"/>
            <w:hideMark/>
          </w:tcPr>
          <w:p w14:paraId="167B16A4"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21.13</w:t>
            </w:r>
          </w:p>
        </w:tc>
        <w:tc>
          <w:tcPr>
            <w:tcW w:w="885" w:type="dxa"/>
            <w:noWrap/>
            <w:vAlign w:val="bottom"/>
            <w:hideMark/>
          </w:tcPr>
          <w:p w14:paraId="0B205DC9"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8.67</w:t>
            </w:r>
          </w:p>
        </w:tc>
        <w:tc>
          <w:tcPr>
            <w:tcW w:w="827" w:type="dxa"/>
            <w:noWrap/>
            <w:vAlign w:val="bottom"/>
            <w:hideMark/>
          </w:tcPr>
          <w:p w14:paraId="73BA9114"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99.33</w:t>
            </w:r>
          </w:p>
        </w:tc>
        <w:tc>
          <w:tcPr>
            <w:tcW w:w="811" w:type="dxa"/>
            <w:noWrap/>
            <w:vAlign w:val="bottom"/>
            <w:hideMark/>
          </w:tcPr>
          <w:p w14:paraId="575C9AC9"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1.38</w:t>
            </w:r>
          </w:p>
        </w:tc>
        <w:tc>
          <w:tcPr>
            <w:tcW w:w="926" w:type="dxa"/>
            <w:noWrap/>
            <w:vAlign w:val="bottom"/>
            <w:hideMark/>
          </w:tcPr>
          <w:p w14:paraId="16AAE7DD"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142.18</w:t>
            </w:r>
          </w:p>
        </w:tc>
        <w:tc>
          <w:tcPr>
            <w:tcW w:w="906" w:type="dxa"/>
            <w:noWrap/>
            <w:vAlign w:val="bottom"/>
            <w:hideMark/>
          </w:tcPr>
          <w:p w14:paraId="358DD0C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40.21</w:t>
            </w:r>
          </w:p>
        </w:tc>
        <w:tc>
          <w:tcPr>
            <w:tcW w:w="1047" w:type="dxa"/>
            <w:noWrap/>
            <w:vAlign w:val="bottom"/>
            <w:hideMark/>
          </w:tcPr>
          <w:p w14:paraId="1C8ED3FC"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28.00</w:t>
            </w:r>
          </w:p>
        </w:tc>
      </w:tr>
      <w:tr w:rsidR="006B7D2B" w:rsidRPr="00FE3845" w14:paraId="4CF4BCFC" w14:textId="77777777" w:rsidTr="008178C3">
        <w:trPr>
          <w:trHeight w:val="476"/>
        </w:trPr>
        <w:tc>
          <w:tcPr>
            <w:tcW w:w="648" w:type="dxa"/>
            <w:noWrap/>
            <w:hideMark/>
          </w:tcPr>
          <w:p w14:paraId="46BAE98C"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11</w:t>
            </w:r>
          </w:p>
        </w:tc>
        <w:tc>
          <w:tcPr>
            <w:tcW w:w="748" w:type="dxa"/>
            <w:noWrap/>
            <w:vAlign w:val="bottom"/>
            <w:hideMark/>
          </w:tcPr>
          <w:p w14:paraId="0B9E7E6C"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T10</w:t>
            </w:r>
          </w:p>
        </w:tc>
        <w:tc>
          <w:tcPr>
            <w:tcW w:w="750" w:type="dxa"/>
            <w:noWrap/>
            <w:vAlign w:val="bottom"/>
            <w:hideMark/>
          </w:tcPr>
          <w:p w14:paraId="5A64B18D"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83.13</w:t>
            </w:r>
          </w:p>
        </w:tc>
        <w:tc>
          <w:tcPr>
            <w:tcW w:w="838" w:type="dxa"/>
            <w:noWrap/>
            <w:vAlign w:val="bottom"/>
            <w:hideMark/>
          </w:tcPr>
          <w:p w14:paraId="63FC508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39.67</w:t>
            </w:r>
          </w:p>
        </w:tc>
        <w:tc>
          <w:tcPr>
            <w:tcW w:w="906" w:type="dxa"/>
            <w:noWrap/>
            <w:vAlign w:val="bottom"/>
            <w:hideMark/>
          </w:tcPr>
          <w:p w14:paraId="61AA30DE" w14:textId="77777777" w:rsidR="006B7D2B" w:rsidRPr="00FE3845" w:rsidRDefault="006B7D2B" w:rsidP="00BA3F5D">
            <w:pPr>
              <w:jc w:val="center"/>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122.80</w:t>
            </w:r>
          </w:p>
        </w:tc>
        <w:tc>
          <w:tcPr>
            <w:tcW w:w="754" w:type="dxa"/>
            <w:noWrap/>
            <w:vAlign w:val="bottom"/>
            <w:hideMark/>
          </w:tcPr>
          <w:p w14:paraId="5921AF14"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4.13</w:t>
            </w:r>
          </w:p>
        </w:tc>
        <w:tc>
          <w:tcPr>
            <w:tcW w:w="775" w:type="dxa"/>
            <w:noWrap/>
            <w:vAlign w:val="bottom"/>
            <w:hideMark/>
          </w:tcPr>
          <w:p w14:paraId="7C468AD2"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23.33</w:t>
            </w:r>
          </w:p>
        </w:tc>
        <w:tc>
          <w:tcPr>
            <w:tcW w:w="885" w:type="dxa"/>
            <w:noWrap/>
            <w:vAlign w:val="bottom"/>
            <w:hideMark/>
          </w:tcPr>
          <w:p w14:paraId="3948A47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9.00</w:t>
            </w:r>
          </w:p>
        </w:tc>
        <w:tc>
          <w:tcPr>
            <w:tcW w:w="827" w:type="dxa"/>
            <w:noWrap/>
            <w:vAlign w:val="bottom"/>
            <w:hideMark/>
          </w:tcPr>
          <w:p w14:paraId="32D9F43F"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100.9</w:t>
            </w:r>
          </w:p>
        </w:tc>
        <w:tc>
          <w:tcPr>
            <w:tcW w:w="811" w:type="dxa"/>
            <w:noWrap/>
            <w:vAlign w:val="bottom"/>
            <w:hideMark/>
          </w:tcPr>
          <w:p w14:paraId="6E7BE342"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1.61</w:t>
            </w:r>
          </w:p>
        </w:tc>
        <w:tc>
          <w:tcPr>
            <w:tcW w:w="926" w:type="dxa"/>
            <w:noWrap/>
            <w:vAlign w:val="bottom"/>
            <w:hideMark/>
          </w:tcPr>
          <w:p w14:paraId="21CA5B0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142.67</w:t>
            </w:r>
          </w:p>
        </w:tc>
        <w:tc>
          <w:tcPr>
            <w:tcW w:w="906" w:type="dxa"/>
            <w:noWrap/>
            <w:vAlign w:val="bottom"/>
            <w:hideMark/>
          </w:tcPr>
          <w:p w14:paraId="6B1305B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40.54</w:t>
            </w:r>
          </w:p>
        </w:tc>
        <w:tc>
          <w:tcPr>
            <w:tcW w:w="1047" w:type="dxa"/>
            <w:noWrap/>
            <w:vAlign w:val="bottom"/>
            <w:hideMark/>
          </w:tcPr>
          <w:p w14:paraId="53CF2614"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28.33</w:t>
            </w:r>
          </w:p>
        </w:tc>
      </w:tr>
      <w:tr w:rsidR="006B7D2B" w:rsidRPr="00FE3845" w14:paraId="6BCC2E77" w14:textId="77777777" w:rsidTr="008178C3">
        <w:trPr>
          <w:trHeight w:val="476"/>
        </w:trPr>
        <w:tc>
          <w:tcPr>
            <w:tcW w:w="648" w:type="dxa"/>
            <w:noWrap/>
            <w:hideMark/>
          </w:tcPr>
          <w:p w14:paraId="6402E2B7"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w:t>
            </w:r>
          </w:p>
        </w:tc>
        <w:tc>
          <w:tcPr>
            <w:tcW w:w="748" w:type="dxa"/>
            <w:noWrap/>
            <w:vAlign w:val="bottom"/>
            <w:hideMark/>
          </w:tcPr>
          <w:p w14:paraId="5DC0782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T11</w:t>
            </w:r>
          </w:p>
        </w:tc>
        <w:tc>
          <w:tcPr>
            <w:tcW w:w="750" w:type="dxa"/>
            <w:noWrap/>
            <w:vAlign w:val="bottom"/>
            <w:hideMark/>
          </w:tcPr>
          <w:p w14:paraId="3BCE1256"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75.03</w:t>
            </w:r>
          </w:p>
        </w:tc>
        <w:tc>
          <w:tcPr>
            <w:tcW w:w="838" w:type="dxa"/>
            <w:noWrap/>
            <w:vAlign w:val="bottom"/>
            <w:hideMark/>
          </w:tcPr>
          <w:p w14:paraId="6BA2407C"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38.00</w:t>
            </w:r>
          </w:p>
        </w:tc>
        <w:tc>
          <w:tcPr>
            <w:tcW w:w="906" w:type="dxa"/>
            <w:noWrap/>
            <w:vAlign w:val="bottom"/>
            <w:hideMark/>
          </w:tcPr>
          <w:p w14:paraId="4A90CDAE"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125.40</w:t>
            </w:r>
          </w:p>
        </w:tc>
        <w:tc>
          <w:tcPr>
            <w:tcW w:w="754" w:type="dxa"/>
            <w:noWrap/>
            <w:vAlign w:val="bottom"/>
            <w:hideMark/>
          </w:tcPr>
          <w:p w14:paraId="302F7723"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4.73</w:t>
            </w:r>
          </w:p>
        </w:tc>
        <w:tc>
          <w:tcPr>
            <w:tcW w:w="775" w:type="dxa"/>
            <w:noWrap/>
            <w:vAlign w:val="bottom"/>
            <w:hideMark/>
          </w:tcPr>
          <w:p w14:paraId="27FA34E9"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23.53</w:t>
            </w:r>
          </w:p>
        </w:tc>
        <w:tc>
          <w:tcPr>
            <w:tcW w:w="885" w:type="dxa"/>
            <w:noWrap/>
            <w:vAlign w:val="bottom"/>
            <w:hideMark/>
          </w:tcPr>
          <w:p w14:paraId="44CC952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8.67</w:t>
            </w:r>
          </w:p>
        </w:tc>
        <w:tc>
          <w:tcPr>
            <w:tcW w:w="827" w:type="dxa"/>
            <w:noWrap/>
            <w:vAlign w:val="bottom"/>
            <w:hideMark/>
          </w:tcPr>
          <w:p w14:paraId="7782D01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97.67</w:t>
            </w:r>
          </w:p>
        </w:tc>
        <w:tc>
          <w:tcPr>
            <w:tcW w:w="811" w:type="dxa"/>
            <w:noWrap/>
            <w:vAlign w:val="bottom"/>
            <w:hideMark/>
          </w:tcPr>
          <w:p w14:paraId="7075AA71"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1.45</w:t>
            </w:r>
          </w:p>
        </w:tc>
        <w:tc>
          <w:tcPr>
            <w:tcW w:w="926" w:type="dxa"/>
            <w:noWrap/>
            <w:vAlign w:val="bottom"/>
            <w:hideMark/>
          </w:tcPr>
          <w:p w14:paraId="6D1891C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141.24</w:t>
            </w:r>
          </w:p>
        </w:tc>
        <w:tc>
          <w:tcPr>
            <w:tcW w:w="906" w:type="dxa"/>
            <w:noWrap/>
            <w:vAlign w:val="bottom"/>
            <w:hideMark/>
          </w:tcPr>
          <w:p w14:paraId="629D92AD"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39.30</w:t>
            </w:r>
          </w:p>
        </w:tc>
        <w:tc>
          <w:tcPr>
            <w:tcW w:w="1047" w:type="dxa"/>
            <w:noWrap/>
            <w:vAlign w:val="bottom"/>
            <w:hideMark/>
          </w:tcPr>
          <w:p w14:paraId="5210DBC6"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27.77</w:t>
            </w:r>
          </w:p>
        </w:tc>
      </w:tr>
      <w:tr w:rsidR="006B7D2B" w:rsidRPr="00FE3845" w14:paraId="7CA80E36" w14:textId="77777777" w:rsidTr="008178C3">
        <w:trPr>
          <w:trHeight w:val="476"/>
        </w:trPr>
        <w:tc>
          <w:tcPr>
            <w:tcW w:w="1396" w:type="dxa"/>
            <w:gridSpan w:val="2"/>
            <w:noWrap/>
            <w:hideMark/>
          </w:tcPr>
          <w:p w14:paraId="131F8EE2" w14:textId="77777777" w:rsidR="006B7D2B" w:rsidRPr="00FE3845" w:rsidRDefault="006B7D2B" w:rsidP="00BA3F5D">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GRANDMEAN</w:t>
            </w:r>
          </w:p>
        </w:tc>
        <w:tc>
          <w:tcPr>
            <w:tcW w:w="750" w:type="dxa"/>
            <w:noWrap/>
            <w:vAlign w:val="bottom"/>
            <w:hideMark/>
          </w:tcPr>
          <w:p w14:paraId="3CB92D1F"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80.92</w:t>
            </w:r>
          </w:p>
        </w:tc>
        <w:tc>
          <w:tcPr>
            <w:tcW w:w="838" w:type="dxa"/>
            <w:noWrap/>
            <w:vAlign w:val="bottom"/>
            <w:hideMark/>
          </w:tcPr>
          <w:p w14:paraId="2704E0DF"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37.13</w:t>
            </w:r>
          </w:p>
        </w:tc>
        <w:tc>
          <w:tcPr>
            <w:tcW w:w="906" w:type="dxa"/>
            <w:noWrap/>
            <w:vAlign w:val="bottom"/>
            <w:hideMark/>
          </w:tcPr>
          <w:p w14:paraId="01337FFD"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133.50</w:t>
            </w:r>
          </w:p>
        </w:tc>
        <w:tc>
          <w:tcPr>
            <w:tcW w:w="754" w:type="dxa"/>
            <w:noWrap/>
            <w:vAlign w:val="bottom"/>
            <w:hideMark/>
          </w:tcPr>
          <w:p w14:paraId="2FC1D07F"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4.56</w:t>
            </w:r>
          </w:p>
        </w:tc>
        <w:tc>
          <w:tcPr>
            <w:tcW w:w="775" w:type="dxa"/>
            <w:noWrap/>
            <w:vAlign w:val="bottom"/>
            <w:hideMark/>
          </w:tcPr>
          <w:p w14:paraId="39686BD5"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30.21</w:t>
            </w:r>
          </w:p>
        </w:tc>
        <w:tc>
          <w:tcPr>
            <w:tcW w:w="885" w:type="dxa"/>
            <w:noWrap/>
            <w:vAlign w:val="bottom"/>
            <w:hideMark/>
          </w:tcPr>
          <w:p w14:paraId="75FDAB98"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8.70</w:t>
            </w:r>
          </w:p>
        </w:tc>
        <w:tc>
          <w:tcPr>
            <w:tcW w:w="827" w:type="dxa"/>
            <w:noWrap/>
            <w:vAlign w:val="bottom"/>
            <w:hideMark/>
          </w:tcPr>
          <w:p w14:paraId="1FACED3E"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99.55</w:t>
            </w:r>
          </w:p>
        </w:tc>
        <w:tc>
          <w:tcPr>
            <w:tcW w:w="811" w:type="dxa"/>
            <w:noWrap/>
            <w:vAlign w:val="bottom"/>
            <w:hideMark/>
          </w:tcPr>
          <w:p w14:paraId="4816234A"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1.43</w:t>
            </w:r>
          </w:p>
        </w:tc>
        <w:tc>
          <w:tcPr>
            <w:tcW w:w="926" w:type="dxa"/>
            <w:noWrap/>
            <w:vAlign w:val="bottom"/>
            <w:hideMark/>
          </w:tcPr>
          <w:p w14:paraId="14549777"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135.12</w:t>
            </w:r>
          </w:p>
        </w:tc>
        <w:tc>
          <w:tcPr>
            <w:tcW w:w="906" w:type="dxa"/>
            <w:noWrap/>
            <w:vAlign w:val="bottom"/>
            <w:hideMark/>
          </w:tcPr>
          <w:p w14:paraId="0C4371F2"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35.38</w:t>
            </w:r>
          </w:p>
        </w:tc>
        <w:tc>
          <w:tcPr>
            <w:tcW w:w="1047" w:type="dxa"/>
            <w:noWrap/>
            <w:vAlign w:val="bottom"/>
            <w:hideMark/>
          </w:tcPr>
          <w:p w14:paraId="12770FDB" w14:textId="77777777" w:rsidR="006B7D2B" w:rsidRPr="00FE3845" w:rsidRDefault="006B7D2B" w:rsidP="00BA3F5D">
            <w:pPr>
              <w:jc w:val="center"/>
              <w:rPr>
                <w:rFonts w:ascii="Times New Roman" w:hAnsi="Times New Roman" w:cs="Times New Roman"/>
                <w:color w:val="000000"/>
              </w:rPr>
            </w:pPr>
            <w:r w:rsidRPr="00FE3845">
              <w:rPr>
                <w:rFonts w:ascii="Times New Roman" w:hAnsi="Times New Roman" w:cs="Times New Roman"/>
                <w:color w:val="000000"/>
              </w:rPr>
              <w:t>25.91</w:t>
            </w:r>
          </w:p>
        </w:tc>
      </w:tr>
    </w:tbl>
    <w:p w14:paraId="56361CA9" w14:textId="77777777" w:rsidR="005B798D" w:rsidRDefault="005B798D" w:rsidP="00BA3F5D">
      <w:pPr>
        <w:pStyle w:val="NormalWeb"/>
        <w:spacing w:line="360" w:lineRule="auto"/>
        <w:jc w:val="center"/>
      </w:pPr>
    </w:p>
    <w:p w14:paraId="74F660B9" w14:textId="77777777" w:rsidR="005B798D" w:rsidRDefault="005B798D" w:rsidP="005B798D">
      <w:pPr>
        <w:pStyle w:val="NormalWeb"/>
        <w:spacing w:line="360" w:lineRule="auto"/>
        <w:jc w:val="both"/>
      </w:pPr>
      <w:r>
        <w:t xml:space="preserve">In seed quality parameters, germination percentage, root length, seedling length, and </w:t>
      </w:r>
      <w:proofErr w:type="spellStart"/>
      <w:r>
        <w:t>vigour</w:t>
      </w:r>
      <w:proofErr w:type="spellEnd"/>
      <w:r>
        <w:t xml:space="preserve"> index I were highest in </w:t>
      </w:r>
      <w:r w:rsidRPr="005B798D">
        <w:rPr>
          <w:rStyle w:val="Strong"/>
          <w:b w:val="0"/>
          <w:bCs w:val="0"/>
        </w:rPr>
        <w:t>T₈ (Garlic 15%)</w:t>
      </w:r>
      <w:r>
        <w:t xml:space="preserve"> and lowest in </w:t>
      </w:r>
      <w:r w:rsidRPr="005B798D">
        <w:rPr>
          <w:rStyle w:val="Strong"/>
          <w:b w:val="0"/>
          <w:bCs w:val="0"/>
        </w:rPr>
        <w:t>T₀ (Control)</w:t>
      </w:r>
      <w:r>
        <w:t>. The superior performance of garlic</w:t>
      </w:r>
      <w:r>
        <w:noBreakHyphen/>
        <w:t>treated seeds may be attributed to bioactive sulfur</w:t>
      </w:r>
      <w:r>
        <w:noBreakHyphen/>
        <w:t>containing compounds such as allicin and ajoene, which enhance enzymatic activity, suppress seed-borne pathogens, and improve early seedling growth (</w:t>
      </w:r>
      <w:proofErr w:type="spellStart"/>
      <w:r>
        <w:t>Perelló</w:t>
      </w:r>
      <w:proofErr w:type="spellEnd"/>
      <w:r>
        <w:t xml:space="preserve"> &amp; Slusarenko, 2013; </w:t>
      </w:r>
      <w:proofErr w:type="spellStart"/>
      <w:r>
        <w:t>Cobbinah</w:t>
      </w:r>
      <w:proofErr w:type="spellEnd"/>
      <w:r>
        <w:t xml:space="preserve"> et al., 2023; </w:t>
      </w:r>
      <w:proofErr w:type="spellStart"/>
      <w:r>
        <w:t>Songmi</w:t>
      </w:r>
      <w:proofErr w:type="spellEnd"/>
      <w:r>
        <w:t xml:space="preserve"> et al., 2025).</w:t>
      </w:r>
    </w:p>
    <w:p w14:paraId="2AE9978A" w14:textId="77777777" w:rsidR="005B798D" w:rsidRPr="00FC7257" w:rsidRDefault="005B798D" w:rsidP="00FC7257">
      <w:pPr>
        <w:pStyle w:val="NormalWeb"/>
        <w:spacing w:line="360" w:lineRule="auto"/>
        <w:jc w:val="both"/>
      </w:pPr>
      <w:r>
        <w:t xml:space="preserve">Shoot length was maximum in </w:t>
      </w:r>
      <w:r w:rsidRPr="005B798D">
        <w:rPr>
          <w:rStyle w:val="Strong"/>
          <w:b w:val="0"/>
          <w:bCs w:val="0"/>
        </w:rPr>
        <w:t>T₁ (Neem 10%)</w:t>
      </w:r>
      <w:r w:rsidRPr="005B798D">
        <w:rPr>
          <w:b/>
          <w:bCs/>
        </w:rPr>
        <w:t>,</w:t>
      </w:r>
      <w:r>
        <w:t xml:space="preserve"> consistent with findings that botanical seed treatments can favor shoot elongation and overall seedling growth under certain conditions (</w:t>
      </w:r>
      <w:proofErr w:type="spellStart"/>
      <w:r>
        <w:t>Songmi</w:t>
      </w:r>
      <w:proofErr w:type="spellEnd"/>
      <w:r>
        <w:t xml:space="preserve"> et al., 2025). Fresh weight was highest in </w:t>
      </w:r>
      <w:r w:rsidRPr="005B798D">
        <w:rPr>
          <w:rStyle w:val="Strong"/>
          <w:b w:val="0"/>
          <w:bCs w:val="0"/>
        </w:rPr>
        <w:t>T₅ (Ginger 15%)</w:t>
      </w:r>
      <w:r w:rsidRPr="005B798D">
        <w:rPr>
          <w:b/>
          <w:bCs/>
        </w:rPr>
        <w:t>,</w:t>
      </w:r>
      <w:r>
        <w:t xml:space="preserve"> likely due to the growth-promoting effects of gingerol, shogaol, and other phenolic compounds that enhance metabolic activity and biomass accumulation. </w:t>
      </w:r>
      <w:proofErr w:type="spellStart"/>
      <w:r>
        <w:t>Vigour</w:t>
      </w:r>
      <w:proofErr w:type="spellEnd"/>
      <w:r>
        <w:t xml:space="preserve"> Index II recorded the highest value in </w:t>
      </w:r>
      <w:r w:rsidRPr="005B798D">
        <w:rPr>
          <w:rStyle w:val="Strong"/>
          <w:b w:val="0"/>
          <w:bCs w:val="0"/>
        </w:rPr>
        <w:t>T₁₀ (Carbendazim @ 2 g kg/seed)</w:t>
      </w:r>
      <w:r>
        <w:t xml:space="preserve"> owing to its fungicidal efficiency in protecting seedlings from early pathogen attack, thereby supporting greater dry matter accumulation. Dry weight was also highest in </w:t>
      </w:r>
      <w:r w:rsidRPr="005B798D">
        <w:rPr>
          <w:rStyle w:val="Strong"/>
          <w:b w:val="0"/>
          <w:bCs w:val="0"/>
        </w:rPr>
        <w:t>T₅ (Ginger 15%)</w:t>
      </w:r>
      <w:r w:rsidRPr="005B798D">
        <w:rPr>
          <w:b/>
          <w:bCs/>
        </w:rPr>
        <w:t>,</w:t>
      </w:r>
      <w:r>
        <w:t xml:space="preserve"> reaffirming the role of seed treatments in promoting biomass development. The lowest values across all parameters in </w:t>
      </w:r>
      <w:r w:rsidRPr="005B798D">
        <w:rPr>
          <w:rStyle w:val="Strong"/>
          <w:b w:val="0"/>
          <w:bCs w:val="0"/>
        </w:rPr>
        <w:t>T₀</w:t>
      </w:r>
      <w:r>
        <w:t xml:space="preserve"> emphasize the importance of seed treatment in</w:t>
      </w:r>
      <w:r w:rsidR="0065323B">
        <w:t xml:space="preserve"> improving mustard seed quality</w:t>
      </w:r>
      <w:r w:rsidR="00FC7257">
        <w:t>.</w:t>
      </w:r>
    </w:p>
    <w:p w14:paraId="5E674633" w14:textId="77777777" w:rsidR="00BF1A2A" w:rsidRPr="00293A16" w:rsidRDefault="005B798D" w:rsidP="00BF1A2A">
      <w:pPr>
        <w:rPr>
          <w:rFonts w:ascii="Times New Roman" w:hAnsi="Times New Roman" w:cs="Times New Roman"/>
          <w:b/>
          <w:sz w:val="24"/>
        </w:rPr>
      </w:pPr>
      <w:r>
        <w:rPr>
          <w:rFonts w:ascii="Times New Roman" w:hAnsi="Times New Roman" w:cs="Times New Roman"/>
          <w:b/>
          <w:sz w:val="24"/>
        </w:rPr>
        <w:t>Table-3</w:t>
      </w:r>
      <w:r w:rsidR="00BF1A2A" w:rsidRPr="00293A16">
        <w:rPr>
          <w:rFonts w:ascii="Times New Roman" w:hAnsi="Times New Roman" w:cs="Times New Roman"/>
          <w:b/>
          <w:sz w:val="24"/>
        </w:rPr>
        <w:t>: Mean performance</w:t>
      </w:r>
      <w:r w:rsidR="00BF1A2A">
        <w:rPr>
          <w:rFonts w:ascii="Times New Roman" w:hAnsi="Times New Roman" w:cs="Times New Roman"/>
          <w:b/>
          <w:sz w:val="24"/>
        </w:rPr>
        <w:t xml:space="preserve"> seed quality parameters of mustard</w:t>
      </w:r>
      <w:r w:rsidR="00BF1A2A" w:rsidRPr="00293A16">
        <w:rPr>
          <w:rFonts w:ascii="Times New Roman" w:hAnsi="Times New Roman" w:cs="Times New Roman"/>
          <w:b/>
          <w:sz w:val="24"/>
        </w:rPr>
        <w:t>.</w:t>
      </w:r>
    </w:p>
    <w:tbl>
      <w:tblPr>
        <w:tblStyle w:val="TableGrid"/>
        <w:tblpPr w:leftFromText="180" w:rightFromText="180" w:vertAnchor="text" w:horzAnchor="margin" w:tblpXSpec="center" w:tblpY="308"/>
        <w:tblW w:w="11377" w:type="dxa"/>
        <w:tblLook w:val="04A0" w:firstRow="1" w:lastRow="0" w:firstColumn="1" w:lastColumn="0" w:noHBand="0" w:noVBand="1"/>
      </w:tblPr>
      <w:tblGrid>
        <w:gridCol w:w="547"/>
        <w:gridCol w:w="1636"/>
        <w:gridCol w:w="1428"/>
        <w:gridCol w:w="1233"/>
        <w:gridCol w:w="1187"/>
        <w:gridCol w:w="1239"/>
        <w:gridCol w:w="1065"/>
        <w:gridCol w:w="1012"/>
        <w:gridCol w:w="1153"/>
        <w:gridCol w:w="877"/>
      </w:tblGrid>
      <w:tr w:rsidR="00BF1A2A" w:rsidRPr="00FE3845" w14:paraId="6FE234E8" w14:textId="77777777" w:rsidTr="0006309F">
        <w:trPr>
          <w:trHeight w:val="482"/>
        </w:trPr>
        <w:tc>
          <w:tcPr>
            <w:tcW w:w="547" w:type="dxa"/>
            <w:noWrap/>
            <w:hideMark/>
          </w:tcPr>
          <w:p w14:paraId="3AFCEDCA"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 NO</w:t>
            </w:r>
          </w:p>
        </w:tc>
        <w:tc>
          <w:tcPr>
            <w:tcW w:w="1636" w:type="dxa"/>
            <w:noWrap/>
            <w:hideMark/>
          </w:tcPr>
          <w:p w14:paraId="143B415E"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TREATMENT</w:t>
            </w:r>
          </w:p>
        </w:tc>
        <w:tc>
          <w:tcPr>
            <w:tcW w:w="1428" w:type="dxa"/>
            <w:noWrap/>
            <w:hideMark/>
          </w:tcPr>
          <w:p w14:paraId="4047649A"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Germination %</w:t>
            </w:r>
          </w:p>
        </w:tc>
        <w:tc>
          <w:tcPr>
            <w:tcW w:w="1233" w:type="dxa"/>
            <w:noWrap/>
            <w:hideMark/>
          </w:tcPr>
          <w:p w14:paraId="0DEB3D4B"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Root length(cm)</w:t>
            </w:r>
          </w:p>
        </w:tc>
        <w:tc>
          <w:tcPr>
            <w:tcW w:w="1187" w:type="dxa"/>
            <w:noWrap/>
            <w:hideMark/>
          </w:tcPr>
          <w:p w14:paraId="149B1574"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Shoot length</w:t>
            </w:r>
          </w:p>
          <w:p w14:paraId="1C92C741"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(cm)</w:t>
            </w:r>
          </w:p>
        </w:tc>
        <w:tc>
          <w:tcPr>
            <w:tcW w:w="1239" w:type="dxa"/>
            <w:noWrap/>
            <w:hideMark/>
          </w:tcPr>
          <w:p w14:paraId="45F2C05C"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Seedling fresh weight</w:t>
            </w:r>
          </w:p>
          <w:p w14:paraId="0CCA68A9"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(cm)</w:t>
            </w:r>
          </w:p>
        </w:tc>
        <w:tc>
          <w:tcPr>
            <w:tcW w:w="1065" w:type="dxa"/>
            <w:noWrap/>
            <w:hideMark/>
          </w:tcPr>
          <w:p w14:paraId="4C1DC9B3"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Seedling dry weight</w:t>
            </w:r>
          </w:p>
        </w:tc>
        <w:tc>
          <w:tcPr>
            <w:tcW w:w="1012" w:type="dxa"/>
            <w:noWrap/>
            <w:hideMark/>
          </w:tcPr>
          <w:p w14:paraId="2DCFBB9C"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Seedling length</w:t>
            </w:r>
          </w:p>
          <w:p w14:paraId="155D1283" w14:textId="77777777" w:rsidR="00BF1A2A" w:rsidRPr="00FE3845" w:rsidRDefault="00BF1A2A" w:rsidP="0006309F">
            <w:pPr>
              <w:jc w:val="cente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(cm)</w:t>
            </w:r>
          </w:p>
        </w:tc>
        <w:tc>
          <w:tcPr>
            <w:tcW w:w="1153" w:type="dxa"/>
            <w:noWrap/>
            <w:hideMark/>
          </w:tcPr>
          <w:p w14:paraId="2E9BDFF7" w14:textId="77777777" w:rsidR="00BF1A2A" w:rsidRPr="00FE3845" w:rsidRDefault="00BF1A2A" w:rsidP="0006309F">
            <w:pPr>
              <w:jc w:val="center"/>
              <w:rPr>
                <w:rFonts w:ascii="Times New Roman" w:eastAsia="Times New Roman" w:hAnsi="Times New Roman" w:cs="Times New Roman"/>
                <w:b/>
                <w:bCs/>
                <w:color w:val="000000"/>
              </w:rPr>
            </w:pPr>
            <w:proofErr w:type="spellStart"/>
            <w:r w:rsidRPr="00FE3845">
              <w:rPr>
                <w:rFonts w:ascii="Times New Roman" w:eastAsia="Times New Roman" w:hAnsi="Times New Roman" w:cs="Times New Roman"/>
                <w:b/>
                <w:bCs/>
                <w:color w:val="000000"/>
              </w:rPr>
              <w:t>Vigour</w:t>
            </w:r>
            <w:proofErr w:type="spellEnd"/>
            <w:r w:rsidRPr="00FE3845">
              <w:rPr>
                <w:rFonts w:ascii="Times New Roman" w:eastAsia="Times New Roman" w:hAnsi="Times New Roman" w:cs="Times New Roman"/>
                <w:b/>
                <w:bCs/>
                <w:color w:val="000000"/>
              </w:rPr>
              <w:t xml:space="preserve"> index 1</w:t>
            </w:r>
          </w:p>
        </w:tc>
        <w:tc>
          <w:tcPr>
            <w:tcW w:w="877" w:type="dxa"/>
            <w:noWrap/>
            <w:hideMark/>
          </w:tcPr>
          <w:p w14:paraId="2CEBDF4C" w14:textId="77777777" w:rsidR="00BF1A2A" w:rsidRPr="00FE3845" w:rsidRDefault="00BF1A2A" w:rsidP="0006309F">
            <w:pPr>
              <w:jc w:val="center"/>
              <w:rPr>
                <w:rFonts w:ascii="Times New Roman" w:eastAsia="Times New Roman" w:hAnsi="Times New Roman" w:cs="Times New Roman"/>
                <w:b/>
                <w:bCs/>
                <w:color w:val="000000"/>
              </w:rPr>
            </w:pPr>
            <w:proofErr w:type="spellStart"/>
            <w:r w:rsidRPr="00FE3845">
              <w:rPr>
                <w:rFonts w:ascii="Times New Roman" w:eastAsia="Times New Roman" w:hAnsi="Times New Roman" w:cs="Times New Roman"/>
                <w:b/>
                <w:bCs/>
                <w:color w:val="000000"/>
              </w:rPr>
              <w:t>Vigour</w:t>
            </w:r>
            <w:proofErr w:type="spellEnd"/>
            <w:r w:rsidRPr="00FE3845">
              <w:rPr>
                <w:rFonts w:ascii="Times New Roman" w:eastAsia="Times New Roman" w:hAnsi="Times New Roman" w:cs="Times New Roman"/>
                <w:b/>
                <w:bCs/>
                <w:color w:val="000000"/>
              </w:rPr>
              <w:t xml:space="preserve"> index II</w:t>
            </w:r>
          </w:p>
        </w:tc>
      </w:tr>
      <w:tr w:rsidR="00BF1A2A" w:rsidRPr="00FE3845" w14:paraId="550D0E8C" w14:textId="77777777" w:rsidTr="0006309F">
        <w:trPr>
          <w:trHeight w:val="315"/>
        </w:trPr>
        <w:tc>
          <w:tcPr>
            <w:tcW w:w="547" w:type="dxa"/>
            <w:noWrap/>
            <w:hideMark/>
          </w:tcPr>
          <w:p w14:paraId="5414A15D"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lastRenderedPageBreak/>
              <w:t>1</w:t>
            </w:r>
          </w:p>
        </w:tc>
        <w:tc>
          <w:tcPr>
            <w:tcW w:w="1636" w:type="dxa"/>
            <w:noWrap/>
            <w:hideMark/>
          </w:tcPr>
          <w:p w14:paraId="367F5B0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T0</w:t>
            </w:r>
          </w:p>
        </w:tc>
        <w:tc>
          <w:tcPr>
            <w:tcW w:w="1428" w:type="dxa"/>
            <w:noWrap/>
            <w:hideMark/>
          </w:tcPr>
          <w:p w14:paraId="4ED3169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80.25</w:t>
            </w:r>
          </w:p>
        </w:tc>
        <w:tc>
          <w:tcPr>
            <w:tcW w:w="1233" w:type="dxa"/>
            <w:noWrap/>
            <w:hideMark/>
          </w:tcPr>
          <w:p w14:paraId="1317A2C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10.30</w:t>
            </w:r>
          </w:p>
        </w:tc>
        <w:tc>
          <w:tcPr>
            <w:tcW w:w="1187" w:type="dxa"/>
            <w:noWrap/>
            <w:hideMark/>
          </w:tcPr>
          <w:p w14:paraId="0CCBD3E2" w14:textId="77777777" w:rsidR="00BF1A2A" w:rsidRPr="00FE3845" w:rsidRDefault="00BF1A2A" w:rsidP="0006309F">
            <w:pPr>
              <w:jc w:val="center"/>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5.79</w:t>
            </w:r>
          </w:p>
        </w:tc>
        <w:tc>
          <w:tcPr>
            <w:tcW w:w="1239" w:type="dxa"/>
            <w:noWrap/>
            <w:hideMark/>
          </w:tcPr>
          <w:p w14:paraId="028C2BB2" w14:textId="77777777" w:rsidR="00BF1A2A" w:rsidRPr="00FE3845" w:rsidRDefault="00BF1A2A" w:rsidP="0006309F">
            <w:pPr>
              <w:jc w:val="center"/>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0.38</w:t>
            </w:r>
          </w:p>
        </w:tc>
        <w:tc>
          <w:tcPr>
            <w:tcW w:w="1065" w:type="dxa"/>
            <w:noWrap/>
            <w:hideMark/>
          </w:tcPr>
          <w:p w14:paraId="5674EDAE" w14:textId="77777777" w:rsidR="00BF1A2A" w:rsidRPr="00FE3845" w:rsidRDefault="00BF1A2A" w:rsidP="0006309F">
            <w:pPr>
              <w:jc w:val="center"/>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0.12</w:t>
            </w:r>
          </w:p>
        </w:tc>
        <w:tc>
          <w:tcPr>
            <w:tcW w:w="1012" w:type="dxa"/>
            <w:noWrap/>
            <w:hideMark/>
          </w:tcPr>
          <w:p w14:paraId="5ECF17E2"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16.10</w:t>
            </w:r>
          </w:p>
        </w:tc>
        <w:tc>
          <w:tcPr>
            <w:tcW w:w="1153" w:type="dxa"/>
            <w:noWrap/>
            <w:hideMark/>
          </w:tcPr>
          <w:p w14:paraId="49D42A9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1288.20</w:t>
            </w:r>
          </w:p>
        </w:tc>
        <w:tc>
          <w:tcPr>
            <w:tcW w:w="877" w:type="dxa"/>
            <w:noWrap/>
            <w:hideMark/>
          </w:tcPr>
          <w:p w14:paraId="6B73D05A" w14:textId="77777777" w:rsidR="00BF1A2A" w:rsidRPr="00FE3845" w:rsidRDefault="00BF1A2A" w:rsidP="0006309F">
            <w:pPr>
              <w:jc w:val="center"/>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9.45</w:t>
            </w:r>
          </w:p>
        </w:tc>
      </w:tr>
      <w:tr w:rsidR="00BF1A2A" w:rsidRPr="00FE3845" w14:paraId="32FA88C8" w14:textId="77777777" w:rsidTr="0006309F">
        <w:trPr>
          <w:trHeight w:val="315"/>
        </w:trPr>
        <w:tc>
          <w:tcPr>
            <w:tcW w:w="547" w:type="dxa"/>
            <w:noWrap/>
            <w:hideMark/>
          </w:tcPr>
          <w:p w14:paraId="70F3E274"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2</w:t>
            </w:r>
          </w:p>
        </w:tc>
        <w:tc>
          <w:tcPr>
            <w:tcW w:w="1636" w:type="dxa"/>
            <w:noWrap/>
            <w:hideMark/>
          </w:tcPr>
          <w:p w14:paraId="574374ED"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T1</w:t>
            </w:r>
          </w:p>
        </w:tc>
        <w:tc>
          <w:tcPr>
            <w:tcW w:w="1428" w:type="dxa"/>
            <w:noWrap/>
            <w:hideMark/>
          </w:tcPr>
          <w:p w14:paraId="51E97A7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84.25</w:t>
            </w:r>
          </w:p>
        </w:tc>
        <w:tc>
          <w:tcPr>
            <w:tcW w:w="1233" w:type="dxa"/>
            <w:noWrap/>
            <w:hideMark/>
          </w:tcPr>
          <w:p w14:paraId="050B32CC" w14:textId="77777777" w:rsidR="00BF1A2A" w:rsidRPr="00FE3845" w:rsidRDefault="00BF1A2A" w:rsidP="0006309F">
            <w:pPr>
              <w:jc w:val="center"/>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8.58</w:t>
            </w:r>
          </w:p>
        </w:tc>
        <w:tc>
          <w:tcPr>
            <w:tcW w:w="1187" w:type="dxa"/>
            <w:noWrap/>
            <w:hideMark/>
          </w:tcPr>
          <w:p w14:paraId="19A8653F" w14:textId="77777777" w:rsidR="00BF1A2A" w:rsidRPr="00FE3845" w:rsidRDefault="00BF1A2A" w:rsidP="0006309F">
            <w:pPr>
              <w:jc w:val="center"/>
              <w:rPr>
                <w:rFonts w:ascii="Times New Roman" w:eastAsia="Times New Roman" w:hAnsi="Times New Roman" w:cs="Times New Roman"/>
                <w:color w:val="C00000"/>
              </w:rPr>
            </w:pPr>
            <w:r w:rsidRPr="00FE3845">
              <w:rPr>
                <w:rFonts w:ascii="Times New Roman" w:eastAsia="Times New Roman" w:hAnsi="Times New Roman" w:cs="Times New Roman"/>
                <w:color w:val="C00000"/>
              </w:rPr>
              <w:t>6.63</w:t>
            </w:r>
          </w:p>
        </w:tc>
        <w:tc>
          <w:tcPr>
            <w:tcW w:w="1239" w:type="dxa"/>
            <w:noWrap/>
            <w:hideMark/>
          </w:tcPr>
          <w:p w14:paraId="6C40F102"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0.51</w:t>
            </w:r>
          </w:p>
        </w:tc>
        <w:tc>
          <w:tcPr>
            <w:tcW w:w="1065" w:type="dxa"/>
            <w:noWrap/>
            <w:hideMark/>
          </w:tcPr>
          <w:p w14:paraId="126AD2BD"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0.13</w:t>
            </w:r>
          </w:p>
        </w:tc>
        <w:tc>
          <w:tcPr>
            <w:tcW w:w="1012" w:type="dxa"/>
            <w:noWrap/>
            <w:hideMark/>
          </w:tcPr>
          <w:p w14:paraId="27235DA0"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15.18</w:t>
            </w:r>
          </w:p>
        </w:tc>
        <w:tc>
          <w:tcPr>
            <w:tcW w:w="1153" w:type="dxa"/>
            <w:noWrap/>
            <w:hideMark/>
          </w:tcPr>
          <w:p w14:paraId="12CB891C"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1296.69</w:t>
            </w:r>
          </w:p>
        </w:tc>
        <w:tc>
          <w:tcPr>
            <w:tcW w:w="877" w:type="dxa"/>
            <w:noWrap/>
            <w:hideMark/>
          </w:tcPr>
          <w:p w14:paraId="2557C3AD"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10.49</w:t>
            </w:r>
          </w:p>
        </w:tc>
      </w:tr>
      <w:tr w:rsidR="00BF1A2A" w:rsidRPr="00FE3845" w14:paraId="5C734E45" w14:textId="77777777" w:rsidTr="0006309F">
        <w:trPr>
          <w:trHeight w:val="315"/>
        </w:trPr>
        <w:tc>
          <w:tcPr>
            <w:tcW w:w="547" w:type="dxa"/>
            <w:noWrap/>
            <w:hideMark/>
          </w:tcPr>
          <w:p w14:paraId="505E3EB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3</w:t>
            </w:r>
          </w:p>
        </w:tc>
        <w:tc>
          <w:tcPr>
            <w:tcW w:w="1636" w:type="dxa"/>
            <w:noWrap/>
            <w:hideMark/>
          </w:tcPr>
          <w:p w14:paraId="4A97E49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T2</w:t>
            </w:r>
          </w:p>
        </w:tc>
        <w:tc>
          <w:tcPr>
            <w:tcW w:w="1428" w:type="dxa"/>
            <w:noWrap/>
            <w:hideMark/>
          </w:tcPr>
          <w:p w14:paraId="40286777" w14:textId="77777777" w:rsidR="00BF1A2A" w:rsidRPr="00FE3845" w:rsidRDefault="00BF1A2A" w:rsidP="0006309F">
            <w:pPr>
              <w:jc w:val="center"/>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78.50</w:t>
            </w:r>
          </w:p>
        </w:tc>
        <w:tc>
          <w:tcPr>
            <w:tcW w:w="1233" w:type="dxa"/>
            <w:noWrap/>
            <w:hideMark/>
          </w:tcPr>
          <w:p w14:paraId="6916236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9.29</w:t>
            </w:r>
          </w:p>
        </w:tc>
        <w:tc>
          <w:tcPr>
            <w:tcW w:w="1187" w:type="dxa"/>
            <w:noWrap/>
            <w:hideMark/>
          </w:tcPr>
          <w:p w14:paraId="115A460C"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6.23</w:t>
            </w:r>
          </w:p>
        </w:tc>
        <w:tc>
          <w:tcPr>
            <w:tcW w:w="1239" w:type="dxa"/>
            <w:noWrap/>
            <w:hideMark/>
          </w:tcPr>
          <w:p w14:paraId="4F3E035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0.48</w:t>
            </w:r>
          </w:p>
        </w:tc>
        <w:tc>
          <w:tcPr>
            <w:tcW w:w="1065" w:type="dxa"/>
            <w:noWrap/>
            <w:hideMark/>
          </w:tcPr>
          <w:p w14:paraId="1912F74D"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0.13</w:t>
            </w:r>
          </w:p>
        </w:tc>
        <w:tc>
          <w:tcPr>
            <w:tcW w:w="1012" w:type="dxa"/>
            <w:noWrap/>
            <w:hideMark/>
          </w:tcPr>
          <w:p w14:paraId="07A5FE8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15.44</w:t>
            </w:r>
          </w:p>
        </w:tc>
        <w:tc>
          <w:tcPr>
            <w:tcW w:w="1153" w:type="dxa"/>
            <w:noWrap/>
            <w:hideMark/>
          </w:tcPr>
          <w:p w14:paraId="0621FAFA"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1211.84</w:t>
            </w:r>
          </w:p>
        </w:tc>
        <w:tc>
          <w:tcPr>
            <w:tcW w:w="877" w:type="dxa"/>
            <w:noWrap/>
            <w:hideMark/>
          </w:tcPr>
          <w:p w14:paraId="60A6074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10.47</w:t>
            </w:r>
          </w:p>
        </w:tc>
      </w:tr>
      <w:tr w:rsidR="00BF1A2A" w:rsidRPr="00FE3845" w14:paraId="468A05F8" w14:textId="77777777" w:rsidTr="0006309F">
        <w:trPr>
          <w:trHeight w:val="315"/>
        </w:trPr>
        <w:tc>
          <w:tcPr>
            <w:tcW w:w="547" w:type="dxa"/>
            <w:noWrap/>
            <w:hideMark/>
          </w:tcPr>
          <w:p w14:paraId="4E8E8E79"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4</w:t>
            </w:r>
          </w:p>
        </w:tc>
        <w:tc>
          <w:tcPr>
            <w:tcW w:w="1636" w:type="dxa"/>
            <w:noWrap/>
            <w:hideMark/>
          </w:tcPr>
          <w:p w14:paraId="4DFC96E4"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T3</w:t>
            </w:r>
          </w:p>
        </w:tc>
        <w:tc>
          <w:tcPr>
            <w:tcW w:w="1428" w:type="dxa"/>
            <w:noWrap/>
            <w:hideMark/>
          </w:tcPr>
          <w:p w14:paraId="6E3587FC"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84.00</w:t>
            </w:r>
          </w:p>
        </w:tc>
        <w:tc>
          <w:tcPr>
            <w:tcW w:w="1233" w:type="dxa"/>
            <w:noWrap/>
            <w:hideMark/>
          </w:tcPr>
          <w:p w14:paraId="16AEC29D"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10.12</w:t>
            </w:r>
          </w:p>
        </w:tc>
        <w:tc>
          <w:tcPr>
            <w:tcW w:w="1187" w:type="dxa"/>
            <w:noWrap/>
            <w:hideMark/>
          </w:tcPr>
          <w:p w14:paraId="496CC27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5.79</w:t>
            </w:r>
          </w:p>
        </w:tc>
        <w:tc>
          <w:tcPr>
            <w:tcW w:w="1239" w:type="dxa"/>
            <w:noWrap/>
            <w:hideMark/>
          </w:tcPr>
          <w:p w14:paraId="6C6C7F34"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0.57</w:t>
            </w:r>
          </w:p>
        </w:tc>
        <w:tc>
          <w:tcPr>
            <w:tcW w:w="1065" w:type="dxa"/>
            <w:noWrap/>
            <w:hideMark/>
          </w:tcPr>
          <w:p w14:paraId="1958EE6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0.17</w:t>
            </w:r>
          </w:p>
        </w:tc>
        <w:tc>
          <w:tcPr>
            <w:tcW w:w="1012" w:type="dxa"/>
            <w:noWrap/>
            <w:hideMark/>
          </w:tcPr>
          <w:p w14:paraId="03BE5FF4"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16.10</w:t>
            </w:r>
          </w:p>
        </w:tc>
        <w:tc>
          <w:tcPr>
            <w:tcW w:w="1153" w:type="dxa"/>
            <w:noWrap/>
            <w:hideMark/>
          </w:tcPr>
          <w:p w14:paraId="3973BD2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1350.08</w:t>
            </w:r>
          </w:p>
        </w:tc>
        <w:tc>
          <w:tcPr>
            <w:tcW w:w="877" w:type="dxa"/>
            <w:noWrap/>
            <w:hideMark/>
          </w:tcPr>
          <w:p w14:paraId="282C4CC6"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14.29</w:t>
            </w:r>
          </w:p>
        </w:tc>
      </w:tr>
      <w:tr w:rsidR="00BF1A2A" w:rsidRPr="00FE3845" w14:paraId="79DBD831" w14:textId="77777777" w:rsidTr="0006309F">
        <w:trPr>
          <w:trHeight w:val="315"/>
        </w:trPr>
        <w:tc>
          <w:tcPr>
            <w:tcW w:w="547" w:type="dxa"/>
            <w:noWrap/>
            <w:hideMark/>
          </w:tcPr>
          <w:p w14:paraId="3813E438"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5</w:t>
            </w:r>
          </w:p>
        </w:tc>
        <w:tc>
          <w:tcPr>
            <w:tcW w:w="1636" w:type="dxa"/>
            <w:noWrap/>
            <w:hideMark/>
          </w:tcPr>
          <w:p w14:paraId="6E270C1C"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T4</w:t>
            </w:r>
          </w:p>
        </w:tc>
        <w:tc>
          <w:tcPr>
            <w:tcW w:w="1428" w:type="dxa"/>
            <w:noWrap/>
            <w:hideMark/>
          </w:tcPr>
          <w:p w14:paraId="6B089138"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80.50</w:t>
            </w:r>
          </w:p>
        </w:tc>
        <w:tc>
          <w:tcPr>
            <w:tcW w:w="1233" w:type="dxa"/>
            <w:noWrap/>
            <w:hideMark/>
          </w:tcPr>
          <w:p w14:paraId="42B805B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9.94</w:t>
            </w:r>
          </w:p>
        </w:tc>
        <w:tc>
          <w:tcPr>
            <w:tcW w:w="1187" w:type="dxa"/>
            <w:noWrap/>
            <w:hideMark/>
          </w:tcPr>
          <w:p w14:paraId="28BFCE0B" w14:textId="77777777" w:rsidR="00BF1A2A" w:rsidRPr="00FE3845" w:rsidRDefault="00BF1A2A" w:rsidP="0006309F">
            <w:pPr>
              <w:jc w:val="center"/>
              <w:rPr>
                <w:rFonts w:ascii="Times New Roman" w:eastAsia="Times New Roman" w:hAnsi="Times New Roman" w:cs="Times New Roman"/>
                <w:color w:val="000000" w:themeColor="text1"/>
              </w:rPr>
            </w:pPr>
            <w:r w:rsidRPr="00FE3845">
              <w:rPr>
                <w:rFonts w:ascii="Times New Roman" w:eastAsia="Times New Roman" w:hAnsi="Times New Roman" w:cs="Times New Roman"/>
                <w:color w:val="000000" w:themeColor="text1"/>
              </w:rPr>
              <w:t>6.48</w:t>
            </w:r>
          </w:p>
        </w:tc>
        <w:tc>
          <w:tcPr>
            <w:tcW w:w="1239" w:type="dxa"/>
            <w:noWrap/>
            <w:hideMark/>
          </w:tcPr>
          <w:p w14:paraId="615034F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0.52</w:t>
            </w:r>
          </w:p>
        </w:tc>
        <w:tc>
          <w:tcPr>
            <w:tcW w:w="1065" w:type="dxa"/>
            <w:noWrap/>
            <w:hideMark/>
          </w:tcPr>
          <w:p w14:paraId="5D0BDD30"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0.15</w:t>
            </w:r>
          </w:p>
        </w:tc>
        <w:tc>
          <w:tcPr>
            <w:tcW w:w="1012" w:type="dxa"/>
            <w:noWrap/>
            <w:hideMark/>
          </w:tcPr>
          <w:p w14:paraId="2B3159E6"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16.19</w:t>
            </w:r>
          </w:p>
        </w:tc>
        <w:tc>
          <w:tcPr>
            <w:tcW w:w="1153" w:type="dxa"/>
            <w:noWrap/>
            <w:hideMark/>
          </w:tcPr>
          <w:p w14:paraId="1F528FC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1303.59</w:t>
            </w:r>
          </w:p>
        </w:tc>
        <w:tc>
          <w:tcPr>
            <w:tcW w:w="877" w:type="dxa"/>
            <w:noWrap/>
            <w:hideMark/>
          </w:tcPr>
          <w:p w14:paraId="3D62296C"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11.90</w:t>
            </w:r>
          </w:p>
        </w:tc>
      </w:tr>
      <w:tr w:rsidR="00BF1A2A" w:rsidRPr="00FE3845" w14:paraId="790D901B" w14:textId="77777777" w:rsidTr="0006309F">
        <w:trPr>
          <w:trHeight w:val="315"/>
        </w:trPr>
        <w:tc>
          <w:tcPr>
            <w:tcW w:w="547" w:type="dxa"/>
            <w:noWrap/>
            <w:hideMark/>
          </w:tcPr>
          <w:p w14:paraId="0201C65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w:t>
            </w:r>
          </w:p>
        </w:tc>
        <w:tc>
          <w:tcPr>
            <w:tcW w:w="1636" w:type="dxa"/>
            <w:noWrap/>
            <w:hideMark/>
          </w:tcPr>
          <w:p w14:paraId="1922B8D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T5</w:t>
            </w:r>
          </w:p>
        </w:tc>
        <w:tc>
          <w:tcPr>
            <w:tcW w:w="1428" w:type="dxa"/>
            <w:noWrap/>
            <w:hideMark/>
          </w:tcPr>
          <w:p w14:paraId="641AFE8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81.00</w:t>
            </w:r>
          </w:p>
        </w:tc>
        <w:tc>
          <w:tcPr>
            <w:tcW w:w="1233" w:type="dxa"/>
            <w:noWrap/>
            <w:hideMark/>
          </w:tcPr>
          <w:p w14:paraId="7AA2943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8.84</w:t>
            </w:r>
          </w:p>
        </w:tc>
        <w:tc>
          <w:tcPr>
            <w:tcW w:w="1187" w:type="dxa"/>
            <w:noWrap/>
            <w:hideMark/>
          </w:tcPr>
          <w:p w14:paraId="4A1E189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6.24</w:t>
            </w:r>
          </w:p>
        </w:tc>
        <w:tc>
          <w:tcPr>
            <w:tcW w:w="1239" w:type="dxa"/>
            <w:noWrap/>
            <w:hideMark/>
          </w:tcPr>
          <w:p w14:paraId="7FA3363E" w14:textId="77777777" w:rsidR="00BF1A2A" w:rsidRPr="00FE3845" w:rsidRDefault="00BF1A2A" w:rsidP="0006309F">
            <w:pPr>
              <w:jc w:val="center"/>
              <w:rPr>
                <w:rFonts w:ascii="Times New Roman" w:eastAsia="Times New Roman" w:hAnsi="Times New Roman" w:cs="Times New Roman"/>
                <w:color w:val="C00000"/>
              </w:rPr>
            </w:pPr>
            <w:r w:rsidRPr="00FE3845">
              <w:rPr>
                <w:rFonts w:ascii="Times New Roman" w:eastAsia="Times New Roman" w:hAnsi="Times New Roman" w:cs="Times New Roman"/>
                <w:color w:val="C00000"/>
              </w:rPr>
              <w:t>0.66</w:t>
            </w:r>
          </w:p>
        </w:tc>
        <w:tc>
          <w:tcPr>
            <w:tcW w:w="1065" w:type="dxa"/>
            <w:noWrap/>
            <w:hideMark/>
          </w:tcPr>
          <w:p w14:paraId="3364E85A" w14:textId="77777777" w:rsidR="00BF1A2A" w:rsidRPr="00FE3845" w:rsidRDefault="00BF1A2A" w:rsidP="0006309F">
            <w:pPr>
              <w:jc w:val="center"/>
              <w:rPr>
                <w:rFonts w:ascii="Times New Roman" w:eastAsia="Times New Roman" w:hAnsi="Times New Roman" w:cs="Times New Roman"/>
                <w:color w:val="C00000"/>
              </w:rPr>
            </w:pPr>
            <w:r w:rsidRPr="00FE3845">
              <w:rPr>
                <w:rFonts w:ascii="Times New Roman" w:eastAsia="Times New Roman" w:hAnsi="Times New Roman" w:cs="Times New Roman"/>
                <w:color w:val="C00000"/>
              </w:rPr>
              <w:t>0.18</w:t>
            </w:r>
          </w:p>
        </w:tc>
        <w:tc>
          <w:tcPr>
            <w:tcW w:w="1012" w:type="dxa"/>
            <w:noWrap/>
            <w:hideMark/>
          </w:tcPr>
          <w:p w14:paraId="41329A0A"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15.18</w:t>
            </w:r>
          </w:p>
        </w:tc>
        <w:tc>
          <w:tcPr>
            <w:tcW w:w="1153" w:type="dxa"/>
            <w:noWrap/>
            <w:hideMark/>
          </w:tcPr>
          <w:p w14:paraId="4D4C473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1232.31</w:t>
            </w:r>
          </w:p>
        </w:tc>
        <w:tc>
          <w:tcPr>
            <w:tcW w:w="877" w:type="dxa"/>
            <w:noWrap/>
            <w:hideMark/>
          </w:tcPr>
          <w:p w14:paraId="02545A0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14.40</w:t>
            </w:r>
          </w:p>
        </w:tc>
      </w:tr>
      <w:tr w:rsidR="00BF1A2A" w:rsidRPr="00FE3845" w14:paraId="3A7D1F76" w14:textId="77777777" w:rsidTr="0006309F">
        <w:trPr>
          <w:trHeight w:val="315"/>
        </w:trPr>
        <w:tc>
          <w:tcPr>
            <w:tcW w:w="547" w:type="dxa"/>
            <w:noWrap/>
            <w:hideMark/>
          </w:tcPr>
          <w:p w14:paraId="185E6169"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7</w:t>
            </w:r>
          </w:p>
        </w:tc>
        <w:tc>
          <w:tcPr>
            <w:tcW w:w="1636" w:type="dxa"/>
            <w:noWrap/>
            <w:hideMark/>
          </w:tcPr>
          <w:p w14:paraId="77CBBE7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T6</w:t>
            </w:r>
          </w:p>
        </w:tc>
        <w:tc>
          <w:tcPr>
            <w:tcW w:w="1428" w:type="dxa"/>
            <w:noWrap/>
            <w:hideMark/>
          </w:tcPr>
          <w:p w14:paraId="5E5642A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80.75</w:t>
            </w:r>
          </w:p>
        </w:tc>
        <w:tc>
          <w:tcPr>
            <w:tcW w:w="1233" w:type="dxa"/>
            <w:noWrap/>
            <w:hideMark/>
          </w:tcPr>
          <w:p w14:paraId="2E47EAB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9.43</w:t>
            </w:r>
          </w:p>
        </w:tc>
        <w:tc>
          <w:tcPr>
            <w:tcW w:w="1187" w:type="dxa"/>
            <w:noWrap/>
            <w:hideMark/>
          </w:tcPr>
          <w:p w14:paraId="180362F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6.04</w:t>
            </w:r>
          </w:p>
        </w:tc>
        <w:tc>
          <w:tcPr>
            <w:tcW w:w="1239" w:type="dxa"/>
            <w:noWrap/>
            <w:hideMark/>
          </w:tcPr>
          <w:p w14:paraId="54F86F54"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0.56</w:t>
            </w:r>
          </w:p>
        </w:tc>
        <w:tc>
          <w:tcPr>
            <w:tcW w:w="1065" w:type="dxa"/>
            <w:noWrap/>
            <w:hideMark/>
          </w:tcPr>
          <w:p w14:paraId="59D3BBE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0.15</w:t>
            </w:r>
          </w:p>
        </w:tc>
        <w:tc>
          <w:tcPr>
            <w:tcW w:w="1012" w:type="dxa"/>
            <w:noWrap/>
            <w:hideMark/>
          </w:tcPr>
          <w:p w14:paraId="2ADDB889"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15.23</w:t>
            </w:r>
          </w:p>
        </w:tc>
        <w:tc>
          <w:tcPr>
            <w:tcW w:w="1153" w:type="dxa"/>
            <w:noWrap/>
            <w:hideMark/>
          </w:tcPr>
          <w:p w14:paraId="16FD2B26"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1231.08</w:t>
            </w:r>
          </w:p>
        </w:tc>
        <w:tc>
          <w:tcPr>
            <w:tcW w:w="877" w:type="dxa"/>
            <w:noWrap/>
            <w:hideMark/>
          </w:tcPr>
          <w:p w14:paraId="096D204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12.17</w:t>
            </w:r>
          </w:p>
        </w:tc>
      </w:tr>
      <w:tr w:rsidR="00BF1A2A" w:rsidRPr="00FE3845" w14:paraId="7D501214" w14:textId="77777777" w:rsidTr="0006309F">
        <w:trPr>
          <w:trHeight w:val="315"/>
        </w:trPr>
        <w:tc>
          <w:tcPr>
            <w:tcW w:w="547" w:type="dxa"/>
            <w:noWrap/>
            <w:hideMark/>
          </w:tcPr>
          <w:p w14:paraId="6D2CC48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w:t>
            </w:r>
          </w:p>
        </w:tc>
        <w:tc>
          <w:tcPr>
            <w:tcW w:w="1636" w:type="dxa"/>
            <w:noWrap/>
            <w:hideMark/>
          </w:tcPr>
          <w:p w14:paraId="697BBCD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T7</w:t>
            </w:r>
          </w:p>
        </w:tc>
        <w:tc>
          <w:tcPr>
            <w:tcW w:w="1428" w:type="dxa"/>
            <w:noWrap/>
            <w:hideMark/>
          </w:tcPr>
          <w:p w14:paraId="4B0869A2"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83.75</w:t>
            </w:r>
          </w:p>
        </w:tc>
        <w:tc>
          <w:tcPr>
            <w:tcW w:w="1233" w:type="dxa"/>
            <w:noWrap/>
            <w:hideMark/>
          </w:tcPr>
          <w:p w14:paraId="1CC94A6A"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10.04</w:t>
            </w:r>
          </w:p>
        </w:tc>
        <w:tc>
          <w:tcPr>
            <w:tcW w:w="1187" w:type="dxa"/>
            <w:noWrap/>
            <w:hideMark/>
          </w:tcPr>
          <w:p w14:paraId="713880D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6.15</w:t>
            </w:r>
          </w:p>
        </w:tc>
        <w:tc>
          <w:tcPr>
            <w:tcW w:w="1239" w:type="dxa"/>
            <w:noWrap/>
            <w:hideMark/>
          </w:tcPr>
          <w:p w14:paraId="1FB300F6"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0.51</w:t>
            </w:r>
          </w:p>
        </w:tc>
        <w:tc>
          <w:tcPr>
            <w:tcW w:w="1065" w:type="dxa"/>
            <w:noWrap/>
            <w:hideMark/>
          </w:tcPr>
          <w:p w14:paraId="31389CD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0.16</w:t>
            </w:r>
          </w:p>
        </w:tc>
        <w:tc>
          <w:tcPr>
            <w:tcW w:w="1012" w:type="dxa"/>
            <w:noWrap/>
            <w:hideMark/>
          </w:tcPr>
          <w:p w14:paraId="63E56B72"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16.16</w:t>
            </w:r>
          </w:p>
        </w:tc>
        <w:tc>
          <w:tcPr>
            <w:tcW w:w="1153" w:type="dxa"/>
            <w:noWrap/>
            <w:hideMark/>
          </w:tcPr>
          <w:p w14:paraId="7357ECF9"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1355.46</w:t>
            </w:r>
          </w:p>
        </w:tc>
        <w:tc>
          <w:tcPr>
            <w:tcW w:w="877" w:type="dxa"/>
            <w:noWrap/>
            <w:hideMark/>
          </w:tcPr>
          <w:p w14:paraId="0F2AF044"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13.64</w:t>
            </w:r>
          </w:p>
        </w:tc>
      </w:tr>
      <w:tr w:rsidR="00BF1A2A" w:rsidRPr="00FE3845" w14:paraId="07C1FC12" w14:textId="77777777" w:rsidTr="0006309F">
        <w:trPr>
          <w:trHeight w:val="315"/>
        </w:trPr>
        <w:tc>
          <w:tcPr>
            <w:tcW w:w="547" w:type="dxa"/>
            <w:noWrap/>
            <w:hideMark/>
          </w:tcPr>
          <w:p w14:paraId="03D27E02"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9</w:t>
            </w:r>
          </w:p>
        </w:tc>
        <w:tc>
          <w:tcPr>
            <w:tcW w:w="1636" w:type="dxa"/>
            <w:noWrap/>
            <w:hideMark/>
          </w:tcPr>
          <w:p w14:paraId="3D38C634"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T8</w:t>
            </w:r>
          </w:p>
        </w:tc>
        <w:tc>
          <w:tcPr>
            <w:tcW w:w="1428" w:type="dxa"/>
            <w:noWrap/>
            <w:hideMark/>
          </w:tcPr>
          <w:p w14:paraId="46188A90" w14:textId="77777777" w:rsidR="00BF1A2A" w:rsidRPr="00FE3845" w:rsidRDefault="00BF1A2A" w:rsidP="0006309F">
            <w:pPr>
              <w:jc w:val="center"/>
              <w:rPr>
                <w:rFonts w:ascii="Times New Roman" w:eastAsia="Times New Roman" w:hAnsi="Times New Roman" w:cs="Times New Roman"/>
                <w:color w:val="C00000"/>
              </w:rPr>
            </w:pPr>
            <w:r w:rsidRPr="00FE3845">
              <w:rPr>
                <w:rFonts w:ascii="Times New Roman" w:eastAsia="Times New Roman" w:hAnsi="Times New Roman" w:cs="Times New Roman"/>
                <w:color w:val="C00000"/>
              </w:rPr>
              <w:t>84.75</w:t>
            </w:r>
          </w:p>
        </w:tc>
        <w:tc>
          <w:tcPr>
            <w:tcW w:w="1233" w:type="dxa"/>
            <w:noWrap/>
            <w:hideMark/>
          </w:tcPr>
          <w:p w14:paraId="36888FB4" w14:textId="77777777" w:rsidR="00BF1A2A" w:rsidRPr="00FE3845" w:rsidRDefault="00BF1A2A" w:rsidP="0006309F">
            <w:pPr>
              <w:jc w:val="center"/>
              <w:rPr>
                <w:rFonts w:ascii="Times New Roman" w:eastAsia="Times New Roman" w:hAnsi="Times New Roman" w:cs="Times New Roman"/>
                <w:color w:val="C00000"/>
              </w:rPr>
            </w:pPr>
            <w:r w:rsidRPr="00FE3845">
              <w:rPr>
                <w:rFonts w:ascii="Times New Roman" w:eastAsia="Times New Roman" w:hAnsi="Times New Roman" w:cs="Times New Roman"/>
                <w:color w:val="C00000"/>
              </w:rPr>
              <w:t>10.71</w:t>
            </w:r>
          </w:p>
        </w:tc>
        <w:tc>
          <w:tcPr>
            <w:tcW w:w="1187" w:type="dxa"/>
            <w:noWrap/>
            <w:hideMark/>
          </w:tcPr>
          <w:p w14:paraId="2FFDBA9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5.89</w:t>
            </w:r>
          </w:p>
        </w:tc>
        <w:tc>
          <w:tcPr>
            <w:tcW w:w="1239" w:type="dxa"/>
            <w:noWrap/>
            <w:hideMark/>
          </w:tcPr>
          <w:p w14:paraId="33ED0B2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0.50</w:t>
            </w:r>
          </w:p>
        </w:tc>
        <w:tc>
          <w:tcPr>
            <w:tcW w:w="1065" w:type="dxa"/>
            <w:noWrap/>
            <w:hideMark/>
          </w:tcPr>
          <w:p w14:paraId="27D1A326"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0.16</w:t>
            </w:r>
          </w:p>
        </w:tc>
        <w:tc>
          <w:tcPr>
            <w:tcW w:w="1012" w:type="dxa"/>
            <w:noWrap/>
            <w:hideMark/>
          </w:tcPr>
          <w:p w14:paraId="306CA353" w14:textId="77777777" w:rsidR="00BF1A2A" w:rsidRPr="00FE3845" w:rsidRDefault="00BF1A2A" w:rsidP="0006309F">
            <w:pPr>
              <w:jc w:val="center"/>
              <w:rPr>
                <w:rFonts w:ascii="Times New Roman" w:eastAsia="Times New Roman" w:hAnsi="Times New Roman" w:cs="Times New Roman"/>
                <w:color w:val="C00000"/>
              </w:rPr>
            </w:pPr>
            <w:r w:rsidRPr="00FE3845">
              <w:rPr>
                <w:rFonts w:ascii="Times New Roman" w:eastAsia="Times New Roman" w:hAnsi="Times New Roman" w:cs="Times New Roman"/>
                <w:color w:val="C00000"/>
              </w:rPr>
              <w:t>17.12</w:t>
            </w:r>
          </w:p>
        </w:tc>
        <w:tc>
          <w:tcPr>
            <w:tcW w:w="1153" w:type="dxa"/>
            <w:noWrap/>
            <w:hideMark/>
          </w:tcPr>
          <w:p w14:paraId="52C27BAC" w14:textId="77777777" w:rsidR="00BF1A2A" w:rsidRPr="00FE3845" w:rsidRDefault="00BF1A2A" w:rsidP="0006309F">
            <w:pPr>
              <w:jc w:val="center"/>
              <w:rPr>
                <w:rFonts w:ascii="Times New Roman" w:eastAsia="Times New Roman" w:hAnsi="Times New Roman" w:cs="Times New Roman"/>
                <w:color w:val="C00000"/>
              </w:rPr>
            </w:pPr>
            <w:r w:rsidRPr="00FE3845">
              <w:rPr>
                <w:rFonts w:ascii="Times New Roman" w:eastAsia="Times New Roman" w:hAnsi="Times New Roman" w:cs="Times New Roman"/>
                <w:color w:val="C00000"/>
              </w:rPr>
              <w:t>1450.32</w:t>
            </w:r>
          </w:p>
        </w:tc>
        <w:tc>
          <w:tcPr>
            <w:tcW w:w="877" w:type="dxa"/>
            <w:noWrap/>
            <w:hideMark/>
          </w:tcPr>
          <w:p w14:paraId="0A0F4B22"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13.68</w:t>
            </w:r>
          </w:p>
        </w:tc>
      </w:tr>
      <w:tr w:rsidR="00BF1A2A" w:rsidRPr="00FE3845" w14:paraId="5F20C695" w14:textId="77777777" w:rsidTr="0006309F">
        <w:trPr>
          <w:trHeight w:val="315"/>
        </w:trPr>
        <w:tc>
          <w:tcPr>
            <w:tcW w:w="547" w:type="dxa"/>
            <w:noWrap/>
            <w:hideMark/>
          </w:tcPr>
          <w:p w14:paraId="37EFF22A"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w:t>
            </w:r>
          </w:p>
        </w:tc>
        <w:tc>
          <w:tcPr>
            <w:tcW w:w="1636" w:type="dxa"/>
            <w:noWrap/>
            <w:hideMark/>
          </w:tcPr>
          <w:p w14:paraId="0B2A14D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T9</w:t>
            </w:r>
          </w:p>
        </w:tc>
        <w:tc>
          <w:tcPr>
            <w:tcW w:w="1428" w:type="dxa"/>
            <w:noWrap/>
            <w:hideMark/>
          </w:tcPr>
          <w:p w14:paraId="686F59CB"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84.5</w:t>
            </w:r>
          </w:p>
        </w:tc>
        <w:tc>
          <w:tcPr>
            <w:tcW w:w="1233" w:type="dxa"/>
            <w:noWrap/>
            <w:hideMark/>
          </w:tcPr>
          <w:p w14:paraId="12D4B616"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10.05</w:t>
            </w:r>
          </w:p>
        </w:tc>
        <w:tc>
          <w:tcPr>
            <w:tcW w:w="1187" w:type="dxa"/>
            <w:noWrap/>
            <w:hideMark/>
          </w:tcPr>
          <w:p w14:paraId="055A2EB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6.35</w:t>
            </w:r>
          </w:p>
        </w:tc>
        <w:tc>
          <w:tcPr>
            <w:tcW w:w="1239" w:type="dxa"/>
            <w:noWrap/>
            <w:hideMark/>
          </w:tcPr>
          <w:p w14:paraId="6FBE788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0.48</w:t>
            </w:r>
          </w:p>
        </w:tc>
        <w:tc>
          <w:tcPr>
            <w:tcW w:w="1065" w:type="dxa"/>
            <w:noWrap/>
            <w:hideMark/>
          </w:tcPr>
          <w:p w14:paraId="79226AF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0.17</w:t>
            </w:r>
          </w:p>
        </w:tc>
        <w:tc>
          <w:tcPr>
            <w:tcW w:w="1012" w:type="dxa"/>
            <w:noWrap/>
            <w:hideMark/>
          </w:tcPr>
          <w:p w14:paraId="386D9DA8"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16.61</w:t>
            </w:r>
          </w:p>
        </w:tc>
        <w:tc>
          <w:tcPr>
            <w:tcW w:w="1153" w:type="dxa"/>
            <w:noWrap/>
            <w:hideMark/>
          </w:tcPr>
          <w:p w14:paraId="6046047B"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1402.55</w:t>
            </w:r>
          </w:p>
        </w:tc>
        <w:tc>
          <w:tcPr>
            <w:tcW w:w="877" w:type="dxa"/>
            <w:noWrap/>
            <w:hideMark/>
          </w:tcPr>
          <w:p w14:paraId="7926C35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14.18</w:t>
            </w:r>
          </w:p>
        </w:tc>
      </w:tr>
      <w:tr w:rsidR="00BF1A2A" w:rsidRPr="00FE3845" w14:paraId="1F5EBA70" w14:textId="77777777" w:rsidTr="0006309F">
        <w:trPr>
          <w:trHeight w:val="315"/>
        </w:trPr>
        <w:tc>
          <w:tcPr>
            <w:tcW w:w="547" w:type="dxa"/>
            <w:noWrap/>
            <w:hideMark/>
          </w:tcPr>
          <w:p w14:paraId="076F243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11</w:t>
            </w:r>
          </w:p>
        </w:tc>
        <w:tc>
          <w:tcPr>
            <w:tcW w:w="1636" w:type="dxa"/>
            <w:noWrap/>
            <w:hideMark/>
          </w:tcPr>
          <w:p w14:paraId="4DCCFC8A"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T10</w:t>
            </w:r>
          </w:p>
        </w:tc>
        <w:tc>
          <w:tcPr>
            <w:tcW w:w="1428" w:type="dxa"/>
            <w:noWrap/>
            <w:hideMark/>
          </w:tcPr>
          <w:p w14:paraId="4C011A9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79.75</w:t>
            </w:r>
          </w:p>
        </w:tc>
        <w:tc>
          <w:tcPr>
            <w:tcW w:w="1233" w:type="dxa"/>
            <w:noWrap/>
            <w:hideMark/>
          </w:tcPr>
          <w:p w14:paraId="6164FDB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9.14</w:t>
            </w:r>
          </w:p>
        </w:tc>
        <w:tc>
          <w:tcPr>
            <w:tcW w:w="1187" w:type="dxa"/>
            <w:noWrap/>
            <w:hideMark/>
          </w:tcPr>
          <w:p w14:paraId="7A6776C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5.85</w:t>
            </w:r>
          </w:p>
        </w:tc>
        <w:tc>
          <w:tcPr>
            <w:tcW w:w="1239" w:type="dxa"/>
            <w:noWrap/>
            <w:hideMark/>
          </w:tcPr>
          <w:p w14:paraId="6E43B94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0.50</w:t>
            </w:r>
          </w:p>
        </w:tc>
        <w:tc>
          <w:tcPr>
            <w:tcW w:w="1065" w:type="dxa"/>
            <w:noWrap/>
            <w:hideMark/>
          </w:tcPr>
          <w:p w14:paraId="3728D47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0.18</w:t>
            </w:r>
          </w:p>
        </w:tc>
        <w:tc>
          <w:tcPr>
            <w:tcW w:w="1012" w:type="dxa"/>
            <w:noWrap/>
            <w:hideMark/>
          </w:tcPr>
          <w:p w14:paraId="346B4E5E" w14:textId="77777777" w:rsidR="00BF1A2A" w:rsidRPr="00FE3845" w:rsidRDefault="00BF1A2A" w:rsidP="0006309F">
            <w:pPr>
              <w:jc w:val="center"/>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14.99</w:t>
            </w:r>
          </w:p>
        </w:tc>
        <w:tc>
          <w:tcPr>
            <w:tcW w:w="1153" w:type="dxa"/>
            <w:noWrap/>
            <w:hideMark/>
          </w:tcPr>
          <w:p w14:paraId="13AA3907" w14:textId="77777777" w:rsidR="00BF1A2A" w:rsidRPr="00FE3845" w:rsidRDefault="00BF1A2A" w:rsidP="0006309F">
            <w:pPr>
              <w:jc w:val="center"/>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1134.28</w:t>
            </w:r>
          </w:p>
        </w:tc>
        <w:tc>
          <w:tcPr>
            <w:tcW w:w="877" w:type="dxa"/>
            <w:noWrap/>
            <w:hideMark/>
          </w:tcPr>
          <w:p w14:paraId="045A82F6" w14:textId="77777777" w:rsidR="00BF1A2A" w:rsidRPr="00FE3845" w:rsidRDefault="00BF1A2A" w:rsidP="0006309F">
            <w:pPr>
              <w:jc w:val="center"/>
              <w:rPr>
                <w:rFonts w:ascii="Times New Roman" w:eastAsia="Times New Roman" w:hAnsi="Times New Roman" w:cs="Times New Roman"/>
                <w:color w:val="C00000"/>
              </w:rPr>
            </w:pPr>
            <w:r w:rsidRPr="00FE3845">
              <w:rPr>
                <w:rFonts w:ascii="Times New Roman" w:eastAsia="Times New Roman" w:hAnsi="Times New Roman" w:cs="Times New Roman"/>
                <w:color w:val="C00000"/>
              </w:rPr>
              <w:t>14.61</w:t>
            </w:r>
          </w:p>
        </w:tc>
      </w:tr>
      <w:tr w:rsidR="00BF1A2A" w:rsidRPr="00FE3845" w14:paraId="3EC8F60D" w14:textId="77777777" w:rsidTr="0006309F">
        <w:trPr>
          <w:trHeight w:val="315"/>
        </w:trPr>
        <w:tc>
          <w:tcPr>
            <w:tcW w:w="547" w:type="dxa"/>
            <w:noWrap/>
            <w:hideMark/>
          </w:tcPr>
          <w:p w14:paraId="10230E7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w:t>
            </w:r>
          </w:p>
        </w:tc>
        <w:tc>
          <w:tcPr>
            <w:tcW w:w="1636" w:type="dxa"/>
            <w:noWrap/>
            <w:hideMark/>
          </w:tcPr>
          <w:p w14:paraId="2BEEB26A"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T11</w:t>
            </w:r>
          </w:p>
        </w:tc>
        <w:tc>
          <w:tcPr>
            <w:tcW w:w="1428" w:type="dxa"/>
            <w:noWrap/>
            <w:hideMark/>
          </w:tcPr>
          <w:p w14:paraId="7F3F5569"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78.75</w:t>
            </w:r>
          </w:p>
        </w:tc>
        <w:tc>
          <w:tcPr>
            <w:tcW w:w="1233" w:type="dxa"/>
            <w:noWrap/>
            <w:hideMark/>
          </w:tcPr>
          <w:p w14:paraId="3BBC933B"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10.36</w:t>
            </w:r>
          </w:p>
        </w:tc>
        <w:tc>
          <w:tcPr>
            <w:tcW w:w="1187" w:type="dxa"/>
            <w:noWrap/>
            <w:hideMark/>
          </w:tcPr>
          <w:p w14:paraId="4C692276"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6.03</w:t>
            </w:r>
          </w:p>
        </w:tc>
        <w:tc>
          <w:tcPr>
            <w:tcW w:w="1239" w:type="dxa"/>
            <w:noWrap/>
            <w:hideMark/>
          </w:tcPr>
          <w:p w14:paraId="785BF58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0.59</w:t>
            </w:r>
          </w:p>
        </w:tc>
        <w:tc>
          <w:tcPr>
            <w:tcW w:w="1065" w:type="dxa"/>
            <w:noWrap/>
            <w:hideMark/>
          </w:tcPr>
          <w:p w14:paraId="7AE68AF6"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0.15</w:t>
            </w:r>
          </w:p>
        </w:tc>
        <w:tc>
          <w:tcPr>
            <w:tcW w:w="1012" w:type="dxa"/>
            <w:noWrap/>
            <w:hideMark/>
          </w:tcPr>
          <w:p w14:paraId="796E009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15.59</w:t>
            </w:r>
          </w:p>
        </w:tc>
        <w:tc>
          <w:tcPr>
            <w:tcW w:w="1153" w:type="dxa"/>
            <w:noWrap/>
            <w:hideMark/>
          </w:tcPr>
          <w:p w14:paraId="0C1A93FB"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1225.67</w:t>
            </w:r>
          </w:p>
        </w:tc>
        <w:tc>
          <w:tcPr>
            <w:tcW w:w="877" w:type="dxa"/>
            <w:noWrap/>
            <w:hideMark/>
          </w:tcPr>
          <w:p w14:paraId="72ABAAEB"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11.79</w:t>
            </w:r>
          </w:p>
        </w:tc>
      </w:tr>
      <w:tr w:rsidR="00BF1A2A" w:rsidRPr="00FE3845" w14:paraId="73D2D9D7" w14:textId="77777777" w:rsidTr="0006309F">
        <w:trPr>
          <w:trHeight w:val="440"/>
        </w:trPr>
        <w:tc>
          <w:tcPr>
            <w:tcW w:w="2183" w:type="dxa"/>
            <w:gridSpan w:val="2"/>
            <w:noWrap/>
            <w:hideMark/>
          </w:tcPr>
          <w:p w14:paraId="3E94342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GRAND MEAN</w:t>
            </w:r>
          </w:p>
        </w:tc>
        <w:tc>
          <w:tcPr>
            <w:tcW w:w="1428" w:type="dxa"/>
            <w:noWrap/>
            <w:hideMark/>
          </w:tcPr>
          <w:p w14:paraId="56A1976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81.73</w:t>
            </w:r>
          </w:p>
        </w:tc>
        <w:tc>
          <w:tcPr>
            <w:tcW w:w="1233" w:type="dxa"/>
            <w:noWrap/>
            <w:hideMark/>
          </w:tcPr>
          <w:p w14:paraId="103B39F2"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9.73</w:t>
            </w:r>
          </w:p>
        </w:tc>
        <w:tc>
          <w:tcPr>
            <w:tcW w:w="1187" w:type="dxa"/>
            <w:noWrap/>
            <w:hideMark/>
          </w:tcPr>
          <w:p w14:paraId="4B2AAA5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6.12</w:t>
            </w:r>
          </w:p>
        </w:tc>
        <w:tc>
          <w:tcPr>
            <w:tcW w:w="1239" w:type="dxa"/>
            <w:noWrap/>
            <w:hideMark/>
          </w:tcPr>
          <w:p w14:paraId="3ED6AD7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0.52</w:t>
            </w:r>
          </w:p>
        </w:tc>
        <w:tc>
          <w:tcPr>
            <w:tcW w:w="1065" w:type="dxa"/>
            <w:noWrap/>
            <w:hideMark/>
          </w:tcPr>
          <w:p w14:paraId="4CCA905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0.15</w:t>
            </w:r>
          </w:p>
        </w:tc>
        <w:tc>
          <w:tcPr>
            <w:tcW w:w="1012" w:type="dxa"/>
            <w:noWrap/>
            <w:hideMark/>
          </w:tcPr>
          <w:p w14:paraId="1210441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15.75</w:t>
            </w:r>
          </w:p>
        </w:tc>
        <w:tc>
          <w:tcPr>
            <w:tcW w:w="1153" w:type="dxa"/>
            <w:noWrap/>
            <w:hideMark/>
          </w:tcPr>
          <w:p w14:paraId="1510916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1290.17</w:t>
            </w:r>
          </w:p>
        </w:tc>
        <w:tc>
          <w:tcPr>
            <w:tcW w:w="877" w:type="dxa"/>
            <w:noWrap/>
            <w:hideMark/>
          </w:tcPr>
          <w:p w14:paraId="37A5EF1C"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12.59</w:t>
            </w:r>
          </w:p>
        </w:tc>
      </w:tr>
      <w:tr w:rsidR="00BF1A2A" w:rsidRPr="00FE3845" w14:paraId="57777B20" w14:textId="77777777" w:rsidTr="0006309F">
        <w:trPr>
          <w:trHeight w:val="513"/>
        </w:trPr>
        <w:tc>
          <w:tcPr>
            <w:tcW w:w="2183" w:type="dxa"/>
            <w:gridSpan w:val="2"/>
            <w:noWrap/>
            <w:hideMark/>
          </w:tcPr>
          <w:p w14:paraId="7AFBF0A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CD(5%)</w:t>
            </w:r>
          </w:p>
        </w:tc>
        <w:tc>
          <w:tcPr>
            <w:tcW w:w="1428" w:type="dxa"/>
            <w:noWrap/>
            <w:hideMark/>
          </w:tcPr>
          <w:p w14:paraId="2E4D52DA"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6.89</w:t>
            </w:r>
          </w:p>
        </w:tc>
        <w:tc>
          <w:tcPr>
            <w:tcW w:w="1233" w:type="dxa"/>
            <w:noWrap/>
            <w:hideMark/>
          </w:tcPr>
          <w:p w14:paraId="6770309D"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2.09</w:t>
            </w:r>
          </w:p>
        </w:tc>
        <w:tc>
          <w:tcPr>
            <w:tcW w:w="1187" w:type="dxa"/>
            <w:noWrap/>
            <w:hideMark/>
          </w:tcPr>
          <w:p w14:paraId="5605D272"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1.03</w:t>
            </w:r>
          </w:p>
        </w:tc>
        <w:tc>
          <w:tcPr>
            <w:tcW w:w="1239" w:type="dxa"/>
            <w:noWrap/>
            <w:hideMark/>
          </w:tcPr>
          <w:p w14:paraId="3867505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0.20</w:t>
            </w:r>
          </w:p>
        </w:tc>
        <w:tc>
          <w:tcPr>
            <w:tcW w:w="1065" w:type="dxa"/>
            <w:noWrap/>
            <w:hideMark/>
          </w:tcPr>
          <w:p w14:paraId="6E819C7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0.04</w:t>
            </w:r>
          </w:p>
        </w:tc>
        <w:tc>
          <w:tcPr>
            <w:tcW w:w="1012" w:type="dxa"/>
            <w:noWrap/>
            <w:hideMark/>
          </w:tcPr>
          <w:p w14:paraId="7D5BE43B"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1.87</w:t>
            </w:r>
          </w:p>
        </w:tc>
        <w:tc>
          <w:tcPr>
            <w:tcW w:w="1153" w:type="dxa"/>
            <w:noWrap/>
            <w:hideMark/>
          </w:tcPr>
          <w:p w14:paraId="494FA065"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192.58</w:t>
            </w:r>
          </w:p>
        </w:tc>
        <w:tc>
          <w:tcPr>
            <w:tcW w:w="877" w:type="dxa"/>
            <w:noWrap/>
            <w:hideMark/>
          </w:tcPr>
          <w:p w14:paraId="0EC9315D"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3.94</w:t>
            </w:r>
          </w:p>
        </w:tc>
      </w:tr>
      <w:tr w:rsidR="00BF1A2A" w:rsidRPr="00FE3845" w14:paraId="5D0D5935" w14:textId="77777777" w:rsidTr="0006309F">
        <w:trPr>
          <w:trHeight w:val="330"/>
        </w:trPr>
        <w:tc>
          <w:tcPr>
            <w:tcW w:w="2183" w:type="dxa"/>
            <w:gridSpan w:val="2"/>
            <w:noWrap/>
            <w:hideMark/>
          </w:tcPr>
          <w:p w14:paraId="1DBB594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CD(1%)</w:t>
            </w:r>
          </w:p>
        </w:tc>
        <w:tc>
          <w:tcPr>
            <w:tcW w:w="1428" w:type="dxa"/>
            <w:noWrap/>
            <w:hideMark/>
          </w:tcPr>
          <w:p w14:paraId="375C22A0"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9.30</w:t>
            </w:r>
          </w:p>
        </w:tc>
        <w:tc>
          <w:tcPr>
            <w:tcW w:w="1233" w:type="dxa"/>
            <w:noWrap/>
            <w:hideMark/>
          </w:tcPr>
          <w:p w14:paraId="64A9324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2.83</w:t>
            </w:r>
          </w:p>
        </w:tc>
        <w:tc>
          <w:tcPr>
            <w:tcW w:w="1187" w:type="dxa"/>
            <w:noWrap/>
            <w:hideMark/>
          </w:tcPr>
          <w:p w14:paraId="49FBE6E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1.39</w:t>
            </w:r>
          </w:p>
        </w:tc>
        <w:tc>
          <w:tcPr>
            <w:tcW w:w="1239" w:type="dxa"/>
            <w:noWrap/>
            <w:hideMark/>
          </w:tcPr>
          <w:p w14:paraId="5FD5FC7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0.27</w:t>
            </w:r>
          </w:p>
        </w:tc>
        <w:tc>
          <w:tcPr>
            <w:tcW w:w="1065" w:type="dxa"/>
            <w:noWrap/>
            <w:hideMark/>
          </w:tcPr>
          <w:p w14:paraId="2F434530"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0.06</w:t>
            </w:r>
          </w:p>
        </w:tc>
        <w:tc>
          <w:tcPr>
            <w:tcW w:w="1012" w:type="dxa"/>
            <w:noWrap/>
            <w:hideMark/>
          </w:tcPr>
          <w:p w14:paraId="42C201C1"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2.52</w:t>
            </w:r>
          </w:p>
        </w:tc>
        <w:tc>
          <w:tcPr>
            <w:tcW w:w="1153" w:type="dxa"/>
            <w:noWrap/>
            <w:hideMark/>
          </w:tcPr>
          <w:p w14:paraId="27CA0F3F"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259.94</w:t>
            </w:r>
          </w:p>
        </w:tc>
        <w:tc>
          <w:tcPr>
            <w:tcW w:w="877" w:type="dxa"/>
            <w:noWrap/>
            <w:hideMark/>
          </w:tcPr>
          <w:p w14:paraId="0DB7BE54"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5.32</w:t>
            </w:r>
          </w:p>
        </w:tc>
      </w:tr>
      <w:tr w:rsidR="00BF1A2A" w:rsidRPr="00FE3845" w14:paraId="2B3CA528" w14:textId="77777777" w:rsidTr="0006309F">
        <w:trPr>
          <w:trHeight w:val="652"/>
        </w:trPr>
        <w:tc>
          <w:tcPr>
            <w:tcW w:w="2183" w:type="dxa"/>
            <w:gridSpan w:val="2"/>
            <w:noWrap/>
            <w:hideMark/>
          </w:tcPr>
          <w:p w14:paraId="64242509"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SE(D)</w:t>
            </w:r>
          </w:p>
        </w:tc>
        <w:tc>
          <w:tcPr>
            <w:tcW w:w="1428" w:type="dxa"/>
            <w:noWrap/>
            <w:hideMark/>
          </w:tcPr>
          <w:p w14:paraId="59ADC1DB"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3.33</w:t>
            </w:r>
          </w:p>
        </w:tc>
        <w:tc>
          <w:tcPr>
            <w:tcW w:w="1233" w:type="dxa"/>
            <w:noWrap/>
            <w:hideMark/>
          </w:tcPr>
          <w:p w14:paraId="79F2C480"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1.01</w:t>
            </w:r>
          </w:p>
        </w:tc>
        <w:tc>
          <w:tcPr>
            <w:tcW w:w="1187" w:type="dxa"/>
            <w:noWrap/>
            <w:hideMark/>
          </w:tcPr>
          <w:p w14:paraId="7169497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0.50</w:t>
            </w:r>
          </w:p>
        </w:tc>
        <w:tc>
          <w:tcPr>
            <w:tcW w:w="1239" w:type="dxa"/>
            <w:noWrap/>
            <w:hideMark/>
          </w:tcPr>
          <w:p w14:paraId="6F33B0CB"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0.10</w:t>
            </w:r>
          </w:p>
        </w:tc>
        <w:tc>
          <w:tcPr>
            <w:tcW w:w="1065" w:type="dxa"/>
            <w:noWrap/>
            <w:hideMark/>
          </w:tcPr>
          <w:p w14:paraId="2D124ADE"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0.02</w:t>
            </w:r>
          </w:p>
        </w:tc>
        <w:tc>
          <w:tcPr>
            <w:tcW w:w="1012" w:type="dxa"/>
            <w:noWrap/>
            <w:hideMark/>
          </w:tcPr>
          <w:p w14:paraId="31CEE883"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0.90</w:t>
            </w:r>
          </w:p>
        </w:tc>
        <w:tc>
          <w:tcPr>
            <w:tcW w:w="1153" w:type="dxa"/>
            <w:noWrap/>
            <w:hideMark/>
          </w:tcPr>
          <w:p w14:paraId="69BAB677"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93.17</w:t>
            </w:r>
          </w:p>
        </w:tc>
        <w:tc>
          <w:tcPr>
            <w:tcW w:w="877" w:type="dxa"/>
            <w:noWrap/>
            <w:hideMark/>
          </w:tcPr>
          <w:p w14:paraId="3AF6DB02" w14:textId="77777777" w:rsidR="00BF1A2A" w:rsidRPr="00FE3845" w:rsidRDefault="00BF1A2A" w:rsidP="0006309F">
            <w:pPr>
              <w:jc w:val="center"/>
              <w:rPr>
                <w:rFonts w:ascii="Times New Roman" w:eastAsia="Times New Roman" w:hAnsi="Times New Roman" w:cs="Times New Roman"/>
                <w:color w:val="000000"/>
              </w:rPr>
            </w:pPr>
            <w:r w:rsidRPr="00FE3845">
              <w:rPr>
                <w:rFonts w:ascii="Times New Roman" w:eastAsia="Times New Roman" w:hAnsi="Times New Roman" w:cs="Times New Roman"/>
                <w:color w:val="000000"/>
              </w:rPr>
              <w:t>1.91</w:t>
            </w:r>
          </w:p>
        </w:tc>
      </w:tr>
    </w:tbl>
    <w:p w14:paraId="5098C9AB" w14:textId="77777777" w:rsidR="00BF1A2A" w:rsidRPr="00B2070B" w:rsidRDefault="00BF1A2A" w:rsidP="00BF1A2A">
      <w:pPr>
        <w:tabs>
          <w:tab w:val="left" w:pos="-426"/>
        </w:tabs>
        <w:autoSpaceDE w:val="0"/>
        <w:autoSpaceDN w:val="0"/>
        <w:adjustRightInd w:val="0"/>
        <w:spacing w:line="360" w:lineRule="auto"/>
        <w:jc w:val="both"/>
        <w:rPr>
          <w:rFonts w:ascii="Times New Roman" w:hAnsi="Times New Roman" w:cs="Times New Roman"/>
          <w:b/>
          <w:bCs/>
          <w:sz w:val="28"/>
          <w:szCs w:val="28"/>
        </w:rPr>
      </w:pPr>
      <w:r w:rsidRPr="00B2070B">
        <w:rPr>
          <w:rFonts w:ascii="Times New Roman" w:hAnsi="Times New Roman" w:cs="Times New Roman"/>
          <w:b/>
          <w:bCs/>
          <w:sz w:val="28"/>
          <w:szCs w:val="28"/>
        </w:rPr>
        <w:t>Conclusio</w:t>
      </w:r>
      <w:r>
        <w:rPr>
          <w:rFonts w:ascii="Times New Roman" w:hAnsi="Times New Roman" w:cs="Times New Roman"/>
          <w:b/>
          <w:bCs/>
          <w:sz w:val="28"/>
          <w:szCs w:val="28"/>
        </w:rPr>
        <w:t>n</w:t>
      </w:r>
    </w:p>
    <w:p w14:paraId="107D92AB" w14:textId="77777777" w:rsidR="004A585E" w:rsidRPr="004A585E" w:rsidRDefault="004A585E" w:rsidP="004A585E">
      <w:pPr>
        <w:pStyle w:val="NormalWeb"/>
        <w:spacing w:line="360" w:lineRule="auto"/>
        <w:jc w:val="both"/>
        <w:rPr>
          <w:rStyle w:val="Strong"/>
          <w:b w:val="0"/>
          <w:bCs w:val="0"/>
        </w:rPr>
      </w:pPr>
      <w:r>
        <w:t xml:space="preserve">The study demonstrated that botanical and chemical seed treatments significantly improved seed quality parameters in mustard compared to the untreated control. Among the treatments, T8 (Garlic 15 ml @ 100 ml water) recorded the highest germination percentage, root length, seedling length, and </w:t>
      </w:r>
      <w:proofErr w:type="spellStart"/>
      <w:r>
        <w:t>vigour</w:t>
      </w:r>
      <w:proofErr w:type="spellEnd"/>
      <w:r>
        <w:t xml:space="preserve"> index-I, indicating its strong potential in enhancing early seedling vigor. T1 (Neem 10 ml) showed maximum shoot length, while T5 (Ginger 15 ml) exhibited superior fresh and dry weight, reflecting its ability to enhance biomass accumulation. T10 (Carbendazim 2 g) recorded the highest </w:t>
      </w:r>
      <w:proofErr w:type="spellStart"/>
      <w:r>
        <w:t>vigour</w:t>
      </w:r>
      <w:proofErr w:type="spellEnd"/>
      <w:r>
        <w:t xml:space="preserve"> index-II, confirming the effectiveness of chemical fungicides in improving seedling dry matter. Overall, the results clearly indicate that botanical extracts—especially garlic and ginger—are highly effective, eco-friendly alternatives for improving seed quality in mustard.</w:t>
      </w:r>
    </w:p>
    <w:p w14:paraId="3C707307" w14:textId="77777777" w:rsidR="004A585E" w:rsidRDefault="004A585E" w:rsidP="004A585E">
      <w:pPr>
        <w:pStyle w:val="NormalWeb"/>
        <w:spacing w:line="360" w:lineRule="auto"/>
        <w:jc w:val="both"/>
      </w:pPr>
      <w:r>
        <w:rPr>
          <w:rStyle w:val="Strong"/>
        </w:rPr>
        <w:t>Limitations:</w:t>
      </w:r>
      <w:r>
        <w:br/>
        <w:t>The study was limited to early seedling parameters under controlled conditions and did not assess long-term field performance or yield. Additionally, the effects of botanical treatments on pest and disease resistance under field conditions were not evaluated.</w:t>
      </w:r>
    </w:p>
    <w:p w14:paraId="5902329B" w14:textId="77777777" w:rsidR="00B9256B" w:rsidRDefault="00B9256B" w:rsidP="00B9256B">
      <w:r>
        <w:lastRenderedPageBreak/>
        <w:t>Disclaimer (Artificial intelligence)</w:t>
      </w:r>
    </w:p>
    <w:p w14:paraId="445C3B00" w14:textId="77777777" w:rsidR="00B9256B" w:rsidRDefault="00B9256B" w:rsidP="00B9256B">
      <w:r>
        <w:t xml:space="preserve">Option 1: </w:t>
      </w:r>
    </w:p>
    <w:p w14:paraId="21504EE9" w14:textId="77777777" w:rsidR="00B9256B" w:rsidRDefault="00B9256B" w:rsidP="00B9256B">
      <w:r>
        <w:t xml:space="preserve">Author(s) hereby declare that NO generative AI technologies such as Large Language Models (ChatGPT, COPILOT, etc.) and text-to-image generators have been used during the writing or editing of this manuscript. </w:t>
      </w:r>
    </w:p>
    <w:p w14:paraId="20F0074E" w14:textId="77777777" w:rsidR="00B9256B" w:rsidRDefault="00B9256B" w:rsidP="00B9256B">
      <w:r>
        <w:t xml:space="preserve">Option 2: </w:t>
      </w:r>
    </w:p>
    <w:p w14:paraId="3354F9D4" w14:textId="77777777" w:rsidR="00B9256B" w:rsidRDefault="00B9256B" w:rsidP="00B9256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010039" w14:textId="77777777" w:rsidR="00B9256B" w:rsidRDefault="00B9256B" w:rsidP="00B9256B">
      <w:r>
        <w:t>Details of the AI usage are given below:</w:t>
      </w:r>
    </w:p>
    <w:p w14:paraId="67726C1D" w14:textId="77777777" w:rsidR="00B9256B" w:rsidRDefault="00B9256B" w:rsidP="00B9256B">
      <w:r>
        <w:t>1.</w:t>
      </w:r>
    </w:p>
    <w:p w14:paraId="2BAA7379" w14:textId="77777777" w:rsidR="00B9256B" w:rsidRDefault="00B9256B" w:rsidP="00B9256B">
      <w:r>
        <w:t>2.</w:t>
      </w:r>
    </w:p>
    <w:p w14:paraId="451CA1C1" w14:textId="77777777" w:rsidR="00B9256B" w:rsidRPr="0053103C" w:rsidRDefault="00B9256B" w:rsidP="00B9256B">
      <w:r>
        <w:t>3.</w:t>
      </w:r>
    </w:p>
    <w:p w14:paraId="40F9A344" w14:textId="77777777" w:rsidR="008468A1" w:rsidRDefault="008468A1" w:rsidP="00EE1B52">
      <w:pPr>
        <w:autoSpaceDE w:val="0"/>
        <w:autoSpaceDN w:val="0"/>
        <w:adjustRightInd w:val="0"/>
        <w:spacing w:after="0" w:line="360" w:lineRule="auto"/>
        <w:jc w:val="both"/>
        <w:rPr>
          <w:rFonts w:ascii="Times New Roman" w:hAnsi="Times New Roman" w:cs="Times New Roman"/>
          <w:b/>
          <w:bCs/>
          <w:sz w:val="28"/>
          <w:szCs w:val="28"/>
        </w:rPr>
      </w:pPr>
    </w:p>
    <w:p w14:paraId="43F94BBC" w14:textId="77777777" w:rsidR="00EE1B52" w:rsidRDefault="00EE1B52" w:rsidP="00EE1B52">
      <w:pPr>
        <w:autoSpaceDE w:val="0"/>
        <w:autoSpaceDN w:val="0"/>
        <w:adjustRightInd w:val="0"/>
        <w:spacing w:after="0" w:line="360" w:lineRule="auto"/>
        <w:jc w:val="both"/>
        <w:rPr>
          <w:rFonts w:ascii="Times New Roman" w:hAnsi="Times New Roman" w:cs="Times New Roman"/>
          <w:b/>
          <w:bCs/>
          <w:sz w:val="28"/>
          <w:szCs w:val="28"/>
        </w:rPr>
      </w:pPr>
      <w:r w:rsidRPr="00B2070B">
        <w:rPr>
          <w:rFonts w:ascii="Times New Roman" w:hAnsi="Times New Roman" w:cs="Times New Roman"/>
          <w:b/>
          <w:bCs/>
          <w:sz w:val="28"/>
          <w:szCs w:val="28"/>
        </w:rPr>
        <w:t>Reference</w:t>
      </w:r>
      <w:r>
        <w:rPr>
          <w:rFonts w:ascii="Times New Roman" w:hAnsi="Times New Roman" w:cs="Times New Roman"/>
          <w:b/>
          <w:bCs/>
          <w:sz w:val="28"/>
          <w:szCs w:val="28"/>
        </w:rPr>
        <w:t>s:</w:t>
      </w:r>
    </w:p>
    <w:p w14:paraId="4DDB3194" w14:textId="77777777" w:rsidR="00BD264C" w:rsidRPr="005B798D" w:rsidRDefault="00D920D9" w:rsidP="005B798D">
      <w:pPr>
        <w:pStyle w:val="NormalWeb"/>
        <w:spacing w:line="360" w:lineRule="auto"/>
        <w:jc w:val="both"/>
      </w:pPr>
      <w:r>
        <w:t>1.</w:t>
      </w:r>
      <w:r w:rsidR="00BD264C" w:rsidRPr="005B798D">
        <w:t xml:space="preserve">Batool, R., Umer, M.J., Shabbir, M.Z., et al. (2022). </w:t>
      </w:r>
      <w:r w:rsidR="00BD264C" w:rsidRPr="005B798D">
        <w:rPr>
          <w:rStyle w:val="Emphasis"/>
          <w:i w:val="0"/>
          <w:iCs w:val="0"/>
        </w:rPr>
        <w:t>Seed Myco</w:t>
      </w:r>
      <w:r w:rsidR="00BD264C" w:rsidRPr="005B798D">
        <w:rPr>
          <w:rStyle w:val="Emphasis"/>
          <w:i w:val="0"/>
          <w:iCs w:val="0"/>
        </w:rPr>
        <w:noBreakHyphen/>
        <w:t xml:space="preserve">priming improves crop yield and herbivory induced defenses in maize by coordinating antioxidants and </w:t>
      </w:r>
      <w:proofErr w:type="spellStart"/>
      <w:r w:rsidR="00BD264C" w:rsidRPr="005B798D">
        <w:rPr>
          <w:rStyle w:val="Emphasis"/>
          <w:i w:val="0"/>
          <w:iCs w:val="0"/>
        </w:rPr>
        <w:t>Jasmonic</w:t>
      </w:r>
      <w:proofErr w:type="spellEnd"/>
      <w:r w:rsidR="00BD264C" w:rsidRPr="005B798D">
        <w:rPr>
          <w:rStyle w:val="Emphasis"/>
          <w:i w:val="0"/>
          <w:iCs w:val="0"/>
        </w:rPr>
        <w:t xml:space="preserve"> acid pathway.</w:t>
      </w:r>
      <w:r w:rsidR="00BD264C" w:rsidRPr="005B798D">
        <w:rPr>
          <w:i/>
          <w:iCs/>
        </w:rPr>
        <w:t xml:space="preserve"> </w:t>
      </w:r>
      <w:r w:rsidR="00BD264C" w:rsidRPr="005B798D">
        <w:t xml:space="preserve">BMC Plant Biology, 22, 554. </w:t>
      </w:r>
    </w:p>
    <w:p w14:paraId="6D09E323" w14:textId="77777777" w:rsidR="00BD264C" w:rsidRPr="005B798D" w:rsidRDefault="00D920D9" w:rsidP="005B798D">
      <w:pPr>
        <w:tabs>
          <w:tab w:val="left" w:pos="900"/>
        </w:tabs>
        <w:spacing w:before="200" w:line="360" w:lineRule="auto"/>
        <w:jc w:val="both"/>
        <w:rPr>
          <w:rFonts w:ascii="Times New Roman" w:hAnsi="Times New Roman" w:cs="Times New Roman"/>
          <w:sz w:val="24"/>
          <w:szCs w:val="24"/>
        </w:rPr>
      </w:pPr>
      <w:r>
        <w:rPr>
          <w:rFonts w:ascii="Times New Roman" w:hAnsi="Times New Roman" w:cs="Times New Roman"/>
          <w:sz w:val="24"/>
          <w:szCs w:val="24"/>
        </w:rPr>
        <w:t>2.</w:t>
      </w:r>
      <w:r w:rsidR="00BD264C" w:rsidRPr="005B798D">
        <w:rPr>
          <w:rFonts w:ascii="Times New Roman" w:hAnsi="Times New Roman" w:cs="Times New Roman"/>
          <w:sz w:val="24"/>
          <w:szCs w:val="24"/>
        </w:rPr>
        <w:t xml:space="preserve">Bhateshwar, D. C., et al. (2020). </w:t>
      </w:r>
      <w:r w:rsidR="00BD264C" w:rsidRPr="005B798D">
        <w:rPr>
          <w:rStyle w:val="Emphasis"/>
          <w:rFonts w:ascii="Times New Roman" w:hAnsi="Times New Roman" w:cs="Times New Roman"/>
          <w:i w:val="0"/>
          <w:iCs w:val="0"/>
          <w:sz w:val="24"/>
          <w:szCs w:val="24"/>
        </w:rPr>
        <w:t>Effect of seed priming treatments on germination and early seedling growth of selected crops.</w:t>
      </w:r>
      <w:r w:rsidR="00BD264C" w:rsidRPr="005B798D">
        <w:rPr>
          <w:rFonts w:ascii="Times New Roman" w:hAnsi="Times New Roman" w:cs="Times New Roman"/>
          <w:sz w:val="24"/>
          <w:szCs w:val="24"/>
        </w:rPr>
        <w:t xml:space="preserve"> International Journal of Current Microbiology and Applied Sciences, 9(7), 1284–1290.</w:t>
      </w:r>
    </w:p>
    <w:p w14:paraId="2F5BB6E4" w14:textId="77777777" w:rsidR="00BD264C" w:rsidRPr="005B798D" w:rsidRDefault="00D920D9" w:rsidP="005B798D">
      <w:pPr>
        <w:pStyle w:val="NormalWeb"/>
        <w:spacing w:line="360" w:lineRule="auto"/>
        <w:jc w:val="both"/>
      </w:pPr>
      <w:r>
        <w:t>3.</w:t>
      </w:r>
      <w:r w:rsidR="00BD264C" w:rsidRPr="005B798D">
        <w:t xml:space="preserve">Busireddy Sai Harsha Vardhan Reddy, B., Michael Bara, B., Rai, P. K., Sahi, V. P., Topno, S. E., &amp; </w:t>
      </w:r>
      <w:proofErr w:type="spellStart"/>
      <w:r w:rsidR="00BD264C" w:rsidRPr="005B798D">
        <w:t>Mehera</w:t>
      </w:r>
      <w:proofErr w:type="spellEnd"/>
      <w:r w:rsidR="00BD264C" w:rsidRPr="005B798D">
        <w:t xml:space="preserve">, B. (2022). </w:t>
      </w:r>
      <w:r w:rsidR="00BD264C" w:rsidRPr="005B798D">
        <w:rPr>
          <w:rStyle w:val="Emphasis"/>
          <w:i w:val="0"/>
          <w:iCs w:val="0"/>
        </w:rPr>
        <w:t>Pre</w:t>
      </w:r>
      <w:r w:rsidR="00BD264C" w:rsidRPr="005B798D">
        <w:rPr>
          <w:rStyle w:val="Emphasis"/>
          <w:i w:val="0"/>
          <w:iCs w:val="0"/>
        </w:rPr>
        <w:noBreakHyphen/>
        <w:t>Sowing Seed Treatment of Selected Botanical Extracts and Biofertilizers on Growth, Yield and Yield Attributing Traits of Mustard (Brassica juncea L.).</w:t>
      </w:r>
      <w:r w:rsidR="00BD264C" w:rsidRPr="005B798D">
        <w:t xml:space="preserve"> International Journal of Plant &amp; Soil Science, 34(20), 672–678. </w:t>
      </w:r>
    </w:p>
    <w:p w14:paraId="6C84285C" w14:textId="77777777" w:rsidR="00BD264C" w:rsidRPr="005B798D" w:rsidRDefault="00D920D9" w:rsidP="005B79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BD264C" w:rsidRPr="005B798D">
        <w:rPr>
          <w:rFonts w:ascii="Times New Roman" w:hAnsi="Times New Roman" w:cs="Times New Roman"/>
          <w:sz w:val="24"/>
          <w:szCs w:val="24"/>
        </w:rPr>
        <w:t xml:space="preserve">Cobbinah, P., </w:t>
      </w:r>
      <w:proofErr w:type="spellStart"/>
      <w:r w:rsidR="00BD264C" w:rsidRPr="005B798D">
        <w:rPr>
          <w:rFonts w:ascii="Times New Roman" w:hAnsi="Times New Roman" w:cs="Times New Roman"/>
          <w:sz w:val="24"/>
          <w:szCs w:val="24"/>
        </w:rPr>
        <w:t>Doffour</w:t>
      </w:r>
      <w:proofErr w:type="spellEnd"/>
      <w:r w:rsidR="00BD264C" w:rsidRPr="005B798D">
        <w:rPr>
          <w:rFonts w:ascii="Times New Roman" w:hAnsi="Times New Roman" w:cs="Times New Roman"/>
          <w:sz w:val="24"/>
          <w:szCs w:val="24"/>
        </w:rPr>
        <w:t xml:space="preserve">, J., </w:t>
      </w:r>
      <w:proofErr w:type="spellStart"/>
      <w:r w:rsidR="00BD264C" w:rsidRPr="005B798D">
        <w:rPr>
          <w:rFonts w:ascii="Times New Roman" w:hAnsi="Times New Roman" w:cs="Times New Roman"/>
          <w:sz w:val="24"/>
          <w:szCs w:val="24"/>
        </w:rPr>
        <w:t>Abengmeneng</w:t>
      </w:r>
      <w:proofErr w:type="spellEnd"/>
      <w:r w:rsidR="00BD264C" w:rsidRPr="005B798D">
        <w:rPr>
          <w:rFonts w:ascii="Times New Roman" w:hAnsi="Times New Roman" w:cs="Times New Roman"/>
          <w:sz w:val="24"/>
          <w:szCs w:val="24"/>
        </w:rPr>
        <w:t xml:space="preserve">, C. S., </w:t>
      </w:r>
      <w:proofErr w:type="spellStart"/>
      <w:r w:rsidR="00BD264C" w:rsidRPr="005B798D">
        <w:rPr>
          <w:rFonts w:ascii="Times New Roman" w:hAnsi="Times New Roman" w:cs="Times New Roman"/>
          <w:sz w:val="24"/>
          <w:szCs w:val="24"/>
        </w:rPr>
        <w:t>Abukari</w:t>
      </w:r>
      <w:proofErr w:type="spellEnd"/>
      <w:r w:rsidR="00BD264C" w:rsidRPr="005B798D">
        <w:rPr>
          <w:rFonts w:ascii="Times New Roman" w:hAnsi="Times New Roman" w:cs="Times New Roman"/>
          <w:sz w:val="24"/>
          <w:szCs w:val="24"/>
        </w:rPr>
        <w:t xml:space="preserve">, A., &amp; </w:t>
      </w:r>
      <w:proofErr w:type="spellStart"/>
      <w:r w:rsidR="00BD264C" w:rsidRPr="005B798D">
        <w:rPr>
          <w:rFonts w:ascii="Times New Roman" w:hAnsi="Times New Roman" w:cs="Times New Roman"/>
          <w:sz w:val="24"/>
          <w:szCs w:val="24"/>
        </w:rPr>
        <w:t>Nasare</w:t>
      </w:r>
      <w:proofErr w:type="spellEnd"/>
      <w:r w:rsidR="00BD264C" w:rsidRPr="005B798D">
        <w:rPr>
          <w:rFonts w:ascii="Times New Roman" w:hAnsi="Times New Roman" w:cs="Times New Roman"/>
          <w:sz w:val="24"/>
          <w:szCs w:val="24"/>
        </w:rPr>
        <w:t xml:space="preserve">, L. I. (2023). </w:t>
      </w:r>
      <w:r w:rsidR="00BD264C" w:rsidRPr="005B798D">
        <w:rPr>
          <w:rStyle w:val="Emphasis"/>
          <w:rFonts w:ascii="Times New Roman" w:hAnsi="Times New Roman" w:cs="Times New Roman"/>
          <w:i w:val="0"/>
          <w:iCs w:val="0"/>
          <w:sz w:val="24"/>
          <w:szCs w:val="24"/>
        </w:rPr>
        <w:t xml:space="preserve">Effect of antifungal botanical extracts on seed-borne fungi prevalence and germination of Terminalia </w:t>
      </w:r>
      <w:proofErr w:type="spellStart"/>
      <w:r w:rsidR="00BD264C" w:rsidRPr="005B798D">
        <w:rPr>
          <w:rStyle w:val="Emphasis"/>
          <w:rFonts w:ascii="Times New Roman" w:hAnsi="Times New Roman" w:cs="Times New Roman"/>
          <w:i w:val="0"/>
          <w:iCs w:val="0"/>
          <w:sz w:val="24"/>
          <w:szCs w:val="24"/>
        </w:rPr>
        <w:t>ivorensis</w:t>
      </w:r>
      <w:proofErr w:type="spellEnd"/>
      <w:r w:rsidR="00BD264C" w:rsidRPr="005B798D">
        <w:rPr>
          <w:rStyle w:val="Emphasis"/>
          <w:rFonts w:ascii="Times New Roman" w:hAnsi="Times New Roman" w:cs="Times New Roman"/>
          <w:i w:val="0"/>
          <w:iCs w:val="0"/>
          <w:sz w:val="24"/>
          <w:szCs w:val="24"/>
        </w:rPr>
        <w:t xml:space="preserve"> seeds in Ghana</w:t>
      </w:r>
      <w:r w:rsidR="00BD264C" w:rsidRPr="005B798D">
        <w:rPr>
          <w:rStyle w:val="Emphasis"/>
          <w:rFonts w:ascii="Times New Roman" w:hAnsi="Times New Roman" w:cs="Times New Roman"/>
          <w:sz w:val="24"/>
          <w:szCs w:val="24"/>
        </w:rPr>
        <w:t>.</w:t>
      </w:r>
      <w:r w:rsidR="00BD264C" w:rsidRPr="005B798D">
        <w:rPr>
          <w:rFonts w:ascii="Times New Roman" w:hAnsi="Times New Roman" w:cs="Times New Roman"/>
          <w:sz w:val="24"/>
          <w:szCs w:val="24"/>
        </w:rPr>
        <w:t xml:space="preserve"> Magna Scientia Advanced Biology and Pharmacy, 10(02), 068–079.</w:t>
      </w:r>
    </w:p>
    <w:p w14:paraId="250D41F7" w14:textId="77777777" w:rsidR="00BD264C" w:rsidRPr="005B798D" w:rsidRDefault="00D920D9" w:rsidP="005B798D">
      <w:pPr>
        <w:pStyle w:val="NormalWeb"/>
        <w:spacing w:line="360" w:lineRule="auto"/>
        <w:jc w:val="both"/>
      </w:pPr>
      <w:r>
        <w:t>5.</w:t>
      </w:r>
      <w:r w:rsidR="00BD264C" w:rsidRPr="005B798D">
        <w:t xml:space="preserve">Golubkina, N., Kharchenko, V., Moldovan, A., </w:t>
      </w:r>
      <w:proofErr w:type="spellStart"/>
      <w:r w:rsidR="00BD264C" w:rsidRPr="005B798D">
        <w:t>Antoshkina</w:t>
      </w:r>
      <w:proofErr w:type="spellEnd"/>
      <w:r w:rsidR="00BD264C" w:rsidRPr="005B798D">
        <w:t xml:space="preserve">, M., Ushakova, O., </w:t>
      </w:r>
      <w:proofErr w:type="spellStart"/>
      <w:r w:rsidR="00BD264C" w:rsidRPr="005B798D">
        <w:t>Sękara</w:t>
      </w:r>
      <w:proofErr w:type="spellEnd"/>
      <w:r w:rsidR="00BD264C" w:rsidRPr="005B798D">
        <w:t xml:space="preserve">, A., … &amp; Caruso, G. (2024). </w:t>
      </w:r>
      <w:r w:rsidR="00BD264C" w:rsidRPr="005B798D">
        <w:rPr>
          <w:rStyle w:val="Emphasis"/>
          <w:i w:val="0"/>
          <w:iCs w:val="0"/>
        </w:rPr>
        <w:t>Effect of Selenium and Garlic Extract Treatments of Seed</w:t>
      </w:r>
      <w:r w:rsidR="00BD264C" w:rsidRPr="005B798D">
        <w:rPr>
          <w:rStyle w:val="Emphasis"/>
          <w:i w:val="0"/>
          <w:iCs w:val="0"/>
        </w:rPr>
        <w:noBreakHyphen/>
        <w:t>Addressed Lettuce Plants on Biofortification Level, Seed Productivity and Mature Plant Yield and Quality.</w:t>
      </w:r>
      <w:r w:rsidR="00BD264C" w:rsidRPr="005B798D">
        <w:rPr>
          <w:i/>
          <w:iCs/>
        </w:rPr>
        <w:t xml:space="preserve"> </w:t>
      </w:r>
      <w:r w:rsidR="00BD264C" w:rsidRPr="005B798D">
        <w:t xml:space="preserve">Plants, 13(9), 1190. </w:t>
      </w:r>
    </w:p>
    <w:p w14:paraId="08A873FB" w14:textId="77777777" w:rsidR="00BD264C" w:rsidRPr="005B798D" w:rsidRDefault="00D920D9" w:rsidP="005B798D">
      <w:pPr>
        <w:pStyle w:val="NormalWeb"/>
        <w:spacing w:line="360" w:lineRule="auto"/>
        <w:jc w:val="both"/>
      </w:pPr>
      <w:r>
        <w:rPr>
          <w:rStyle w:val="Strong"/>
          <w:b w:val="0"/>
          <w:bCs w:val="0"/>
        </w:rPr>
        <w:t>6.</w:t>
      </w:r>
      <w:r w:rsidR="00BD264C" w:rsidRPr="005B798D">
        <w:rPr>
          <w:rStyle w:val="Strong"/>
          <w:b w:val="0"/>
          <w:bCs w:val="0"/>
        </w:rPr>
        <w:t xml:space="preserve">Kumar, K., Zacharia, S., Kumar, M., Kumar, P., Singh, S., &amp; </w:t>
      </w:r>
      <w:proofErr w:type="spellStart"/>
      <w:r w:rsidR="00BD264C" w:rsidRPr="005B798D">
        <w:rPr>
          <w:rStyle w:val="Strong"/>
          <w:b w:val="0"/>
          <w:bCs w:val="0"/>
        </w:rPr>
        <w:t>Bawane</w:t>
      </w:r>
      <w:proofErr w:type="spellEnd"/>
      <w:r w:rsidR="00BD264C" w:rsidRPr="005B798D">
        <w:rPr>
          <w:rStyle w:val="Strong"/>
          <w:b w:val="0"/>
          <w:bCs w:val="0"/>
        </w:rPr>
        <w:t>, A. S. (2024).</w:t>
      </w:r>
      <w:r w:rsidR="00BD264C" w:rsidRPr="005B798D">
        <w:rPr>
          <w:b/>
          <w:bCs/>
        </w:rPr>
        <w:br/>
      </w:r>
      <w:r w:rsidR="00BD264C" w:rsidRPr="005B798D">
        <w:rPr>
          <w:rStyle w:val="Emphasis"/>
          <w:i w:val="0"/>
          <w:iCs w:val="0"/>
        </w:rPr>
        <w:t xml:space="preserve">Effect of Phytoextracts on Stem Rot Caused by Sclerotinia </w:t>
      </w:r>
      <w:proofErr w:type="spellStart"/>
      <w:r w:rsidR="00BD264C" w:rsidRPr="005B798D">
        <w:rPr>
          <w:rStyle w:val="Emphasis"/>
          <w:i w:val="0"/>
          <w:iCs w:val="0"/>
        </w:rPr>
        <w:t>sclerotiorum</w:t>
      </w:r>
      <w:proofErr w:type="spellEnd"/>
      <w:r w:rsidR="00BD264C" w:rsidRPr="005B798D">
        <w:rPr>
          <w:rStyle w:val="Emphasis"/>
          <w:i w:val="0"/>
          <w:iCs w:val="0"/>
        </w:rPr>
        <w:t xml:space="preserve"> on Mustard (Brassica juncea L.).</w:t>
      </w:r>
      <w:r w:rsidR="00BD264C" w:rsidRPr="005B798D">
        <w:t>International Journal of Advanced Biochemistry Research, 8(10S), 08–12.</w:t>
      </w:r>
    </w:p>
    <w:p w14:paraId="41761018" w14:textId="77777777" w:rsidR="00BD264C" w:rsidRPr="005B798D" w:rsidRDefault="00D920D9" w:rsidP="005B798D">
      <w:pPr>
        <w:pStyle w:val="NormalWeb"/>
        <w:spacing w:line="360" w:lineRule="auto"/>
        <w:jc w:val="both"/>
      </w:pPr>
      <w:r>
        <w:rPr>
          <w:rStyle w:val="Strong"/>
          <w:b w:val="0"/>
          <w:bCs w:val="0"/>
        </w:rPr>
        <w:t>7.</w:t>
      </w:r>
      <w:r w:rsidR="00BD264C" w:rsidRPr="005B798D">
        <w:rPr>
          <w:rStyle w:val="Strong"/>
          <w:b w:val="0"/>
          <w:bCs w:val="0"/>
        </w:rPr>
        <w:t>Kumar, P., &amp; Lal, A. A. (2024).</w:t>
      </w:r>
      <w:r w:rsidR="00BD264C" w:rsidRPr="005B798D">
        <w:rPr>
          <w:rStyle w:val="Emphasis"/>
          <w:i w:val="0"/>
          <w:iCs w:val="0"/>
        </w:rPr>
        <w:t>Evaluation of Selected Plant Extracts and Carbendazim Against Stem Rot of Mustard</w:t>
      </w:r>
      <w:r w:rsidR="00BD264C" w:rsidRPr="005B798D">
        <w:rPr>
          <w:rStyle w:val="Emphasis"/>
        </w:rPr>
        <w:t xml:space="preserve"> (Brassica juncea L.) </w:t>
      </w:r>
      <w:r w:rsidR="00BD264C" w:rsidRPr="005B798D">
        <w:rPr>
          <w:rStyle w:val="Emphasis"/>
          <w:i w:val="0"/>
          <w:iCs w:val="0"/>
        </w:rPr>
        <w:t xml:space="preserve">Caused by Sclerotinia </w:t>
      </w:r>
      <w:proofErr w:type="spellStart"/>
      <w:r w:rsidR="00BD264C" w:rsidRPr="005B798D">
        <w:rPr>
          <w:rStyle w:val="Emphasis"/>
          <w:i w:val="0"/>
          <w:iCs w:val="0"/>
        </w:rPr>
        <w:t>sclerotiorum</w:t>
      </w:r>
      <w:proofErr w:type="spellEnd"/>
      <w:r w:rsidR="00BD264C" w:rsidRPr="005B798D">
        <w:rPr>
          <w:rStyle w:val="Emphasis"/>
          <w:i w:val="0"/>
          <w:iCs w:val="0"/>
        </w:rPr>
        <w:t>.</w:t>
      </w:r>
      <w:r w:rsidR="00BD264C" w:rsidRPr="005B798D">
        <w:br/>
        <w:t>Journal of Advances in Microbiology, 24(11), 81–88.</w:t>
      </w:r>
    </w:p>
    <w:p w14:paraId="69542D20" w14:textId="77777777" w:rsidR="00BD264C" w:rsidRPr="005B798D" w:rsidRDefault="00D920D9" w:rsidP="005B798D">
      <w:pPr>
        <w:tabs>
          <w:tab w:val="left" w:pos="900"/>
        </w:tabs>
        <w:spacing w:before="200" w:line="360" w:lineRule="auto"/>
        <w:jc w:val="both"/>
        <w:rPr>
          <w:rFonts w:ascii="Times New Roman" w:hAnsi="Times New Roman" w:cs="Times New Roman"/>
          <w:b/>
          <w:bCs/>
          <w:i/>
          <w:iCs/>
          <w:sz w:val="24"/>
          <w:szCs w:val="24"/>
        </w:rPr>
      </w:pPr>
      <w:r>
        <w:rPr>
          <w:rFonts w:ascii="Times New Roman" w:hAnsi="Times New Roman" w:cs="Times New Roman"/>
          <w:sz w:val="24"/>
          <w:szCs w:val="24"/>
        </w:rPr>
        <w:t>8.</w:t>
      </w:r>
      <w:r w:rsidR="00BD264C" w:rsidRPr="008A4A79">
        <w:rPr>
          <w:rFonts w:ascii="Times New Roman" w:hAnsi="Times New Roman" w:cs="Times New Roman"/>
          <w:sz w:val="24"/>
          <w:szCs w:val="24"/>
        </w:rPr>
        <w:t>Ministry of Agriculture and Farmers Welfare. (2014). National Mission on Oilseeds and Oil Palm (NMOOP): Operational Guidelines. Government of India, Department of Agriculture &amp; Cooperation, New Delhi</w:t>
      </w:r>
    </w:p>
    <w:p w14:paraId="5D541E9B" w14:textId="77777777" w:rsidR="00BD264C" w:rsidRPr="005B798D" w:rsidRDefault="00D920D9" w:rsidP="005B798D">
      <w:pPr>
        <w:pStyle w:val="NormalWeb"/>
        <w:spacing w:line="360" w:lineRule="auto"/>
        <w:jc w:val="both"/>
      </w:pPr>
      <w:r>
        <w:t>9.</w:t>
      </w:r>
      <w:r w:rsidR="00BD264C" w:rsidRPr="005B798D">
        <w:t>Seed Priming Boosts Plant Growth, Yield Attributes, Seed Chemical and Antioxidant Composition in Lentil under Low</w:t>
      </w:r>
      <w:r w:rsidR="00BD264C" w:rsidRPr="005B798D">
        <w:noBreakHyphen/>
        <w:t xml:space="preserve">Phosphorus Field Conditions. (2024). </w:t>
      </w:r>
      <w:r w:rsidR="00BD264C" w:rsidRPr="005B798D">
        <w:rPr>
          <w:rStyle w:val="Emphasis"/>
          <w:i w:val="0"/>
          <w:iCs w:val="0"/>
        </w:rPr>
        <w:t>International Journal of Plant Production</w:t>
      </w:r>
      <w:r w:rsidR="00BD264C" w:rsidRPr="005B798D">
        <w:rPr>
          <w:i/>
          <w:iCs/>
        </w:rPr>
        <w:t>,</w:t>
      </w:r>
      <w:r w:rsidR="00BD264C" w:rsidRPr="005B798D">
        <w:t xml:space="preserve"> 18, 513–530.</w:t>
      </w:r>
    </w:p>
    <w:p w14:paraId="7F27156B" w14:textId="77777777" w:rsidR="00BD264C" w:rsidRDefault="00D920D9" w:rsidP="005B798D">
      <w:pPr>
        <w:tabs>
          <w:tab w:val="left" w:pos="900"/>
        </w:tabs>
        <w:spacing w:before="200" w:line="360" w:lineRule="auto"/>
        <w:jc w:val="both"/>
        <w:rPr>
          <w:rFonts w:ascii="Times New Roman" w:hAnsi="Times New Roman" w:cs="Times New Roman"/>
          <w:sz w:val="24"/>
          <w:szCs w:val="24"/>
        </w:rPr>
      </w:pPr>
      <w:r>
        <w:rPr>
          <w:rFonts w:ascii="Times New Roman" w:hAnsi="Times New Roman" w:cs="Times New Roman"/>
          <w:sz w:val="24"/>
          <w:szCs w:val="24"/>
        </w:rPr>
        <w:t>10.</w:t>
      </w:r>
      <w:r w:rsidR="00BD264C" w:rsidRPr="005B798D">
        <w:rPr>
          <w:rFonts w:ascii="Times New Roman" w:hAnsi="Times New Roman" w:cs="Times New Roman"/>
          <w:sz w:val="24"/>
          <w:szCs w:val="24"/>
        </w:rPr>
        <w:t xml:space="preserve">Songmi, S.G., Kamdoum, E.K., </w:t>
      </w:r>
      <w:proofErr w:type="spellStart"/>
      <w:r w:rsidR="00BD264C" w:rsidRPr="005B798D">
        <w:rPr>
          <w:rFonts w:ascii="Times New Roman" w:hAnsi="Times New Roman" w:cs="Times New Roman"/>
          <w:sz w:val="24"/>
          <w:szCs w:val="24"/>
        </w:rPr>
        <w:t>NKotto</w:t>
      </w:r>
      <w:proofErr w:type="spellEnd"/>
      <w:r w:rsidR="00BD264C" w:rsidRPr="005B798D">
        <w:rPr>
          <w:rFonts w:ascii="Times New Roman" w:hAnsi="Times New Roman" w:cs="Times New Roman"/>
          <w:sz w:val="24"/>
          <w:szCs w:val="24"/>
        </w:rPr>
        <w:t xml:space="preserve">, N.N. et al. (2025). </w:t>
      </w:r>
      <w:r w:rsidR="00BD264C" w:rsidRPr="0065323B">
        <w:rPr>
          <w:rStyle w:val="Emphasis"/>
          <w:rFonts w:ascii="Times New Roman" w:hAnsi="Times New Roman" w:cs="Times New Roman"/>
          <w:i w:val="0"/>
          <w:iCs w:val="0"/>
          <w:sz w:val="24"/>
          <w:szCs w:val="24"/>
        </w:rPr>
        <w:t xml:space="preserve">Effect of three plant extracts on germination, </w:t>
      </w:r>
      <w:proofErr w:type="spellStart"/>
      <w:r w:rsidR="00BD264C" w:rsidRPr="0065323B">
        <w:rPr>
          <w:rStyle w:val="Emphasis"/>
          <w:rFonts w:ascii="Times New Roman" w:hAnsi="Times New Roman" w:cs="Times New Roman"/>
          <w:i w:val="0"/>
          <w:iCs w:val="0"/>
          <w:sz w:val="24"/>
          <w:szCs w:val="24"/>
        </w:rPr>
        <w:t>vigour</w:t>
      </w:r>
      <w:proofErr w:type="spellEnd"/>
      <w:r w:rsidR="00BD264C" w:rsidRPr="0065323B">
        <w:rPr>
          <w:rStyle w:val="Emphasis"/>
          <w:rFonts w:ascii="Times New Roman" w:hAnsi="Times New Roman" w:cs="Times New Roman"/>
          <w:i w:val="0"/>
          <w:iCs w:val="0"/>
          <w:sz w:val="24"/>
          <w:szCs w:val="24"/>
        </w:rPr>
        <w:t xml:space="preserve"> index and fungal infections of six soybean varieties</w:t>
      </w:r>
      <w:r w:rsidR="00BD264C" w:rsidRPr="005B798D">
        <w:rPr>
          <w:rStyle w:val="Emphasis"/>
          <w:rFonts w:ascii="Times New Roman" w:hAnsi="Times New Roman" w:cs="Times New Roman"/>
          <w:sz w:val="24"/>
          <w:szCs w:val="24"/>
        </w:rPr>
        <w:t xml:space="preserve"> (Glycine max L.) cultivated in Cameroon.</w:t>
      </w:r>
      <w:r w:rsidR="00BD264C" w:rsidRPr="005B798D">
        <w:rPr>
          <w:rFonts w:ascii="Times New Roman" w:hAnsi="Times New Roman" w:cs="Times New Roman"/>
          <w:sz w:val="24"/>
          <w:szCs w:val="24"/>
        </w:rPr>
        <w:t xml:space="preserve"> BMC Plant Biology, 25</w:t>
      </w:r>
      <w:r w:rsidR="00BD264C">
        <w:rPr>
          <w:rFonts w:ascii="Times New Roman" w:hAnsi="Times New Roman" w:cs="Times New Roman"/>
          <w:sz w:val="24"/>
          <w:szCs w:val="24"/>
        </w:rPr>
        <w:t>,1444.</w:t>
      </w:r>
    </w:p>
    <w:p w14:paraId="196DA668" w14:textId="77777777" w:rsidR="00BD264C" w:rsidRPr="005B798D" w:rsidRDefault="00D920D9" w:rsidP="005B798D">
      <w:pPr>
        <w:tabs>
          <w:tab w:val="left" w:pos="900"/>
        </w:tabs>
        <w:spacing w:before="200" w:line="36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11.</w:t>
      </w:r>
      <w:r w:rsidR="00BD264C" w:rsidRPr="005B798D">
        <w:rPr>
          <w:rStyle w:val="Strong"/>
          <w:rFonts w:ascii="Times New Roman" w:hAnsi="Times New Roman" w:cs="Times New Roman"/>
          <w:b w:val="0"/>
          <w:bCs w:val="0"/>
          <w:sz w:val="24"/>
          <w:szCs w:val="24"/>
        </w:rPr>
        <w:t xml:space="preserve">Yeasmin, F., </w:t>
      </w:r>
      <w:proofErr w:type="spellStart"/>
      <w:r w:rsidR="00BD264C" w:rsidRPr="005B798D">
        <w:rPr>
          <w:rStyle w:val="Strong"/>
          <w:rFonts w:ascii="Times New Roman" w:hAnsi="Times New Roman" w:cs="Times New Roman"/>
          <w:b w:val="0"/>
          <w:bCs w:val="0"/>
          <w:sz w:val="24"/>
          <w:szCs w:val="24"/>
        </w:rPr>
        <w:t>Ashrafuzzaman</w:t>
      </w:r>
      <w:proofErr w:type="spellEnd"/>
      <w:r w:rsidR="00BD264C" w:rsidRPr="005B798D">
        <w:rPr>
          <w:rStyle w:val="Strong"/>
          <w:rFonts w:ascii="Times New Roman" w:hAnsi="Times New Roman" w:cs="Times New Roman"/>
          <w:b w:val="0"/>
          <w:bCs w:val="0"/>
          <w:sz w:val="24"/>
          <w:szCs w:val="24"/>
        </w:rPr>
        <w:t xml:space="preserve">, M., &amp; Hossain, I. (2012). Effects of Garlic Extract, Allamanda Leaf Extract and </w:t>
      </w:r>
      <w:proofErr w:type="spellStart"/>
      <w:r w:rsidR="00BD264C" w:rsidRPr="005B798D">
        <w:rPr>
          <w:rStyle w:val="Strong"/>
          <w:rFonts w:ascii="Times New Roman" w:hAnsi="Times New Roman" w:cs="Times New Roman"/>
          <w:b w:val="0"/>
          <w:bCs w:val="0"/>
          <w:sz w:val="24"/>
          <w:szCs w:val="24"/>
        </w:rPr>
        <w:t>Provax</w:t>
      </w:r>
      <w:proofErr w:type="spellEnd"/>
      <w:r w:rsidR="00BD264C" w:rsidRPr="005B798D">
        <w:rPr>
          <w:rStyle w:val="Strong"/>
          <w:rFonts w:ascii="Times New Roman" w:hAnsi="Times New Roman" w:cs="Times New Roman"/>
          <w:b w:val="0"/>
          <w:bCs w:val="0"/>
          <w:sz w:val="24"/>
          <w:szCs w:val="24"/>
        </w:rPr>
        <w:t xml:space="preserve"> -200 on Seed Borne Fungi of Rice. The Agriculturists, 10(1), 46–50.</w:t>
      </w:r>
    </w:p>
    <w:sectPr w:rsidR="00BD264C" w:rsidRPr="005B798D" w:rsidSect="00DB1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79A1"/>
    <w:rsid w:val="0005608A"/>
    <w:rsid w:val="0006309F"/>
    <w:rsid w:val="00075BA2"/>
    <w:rsid w:val="000D3A57"/>
    <w:rsid w:val="00193260"/>
    <w:rsid w:val="00324329"/>
    <w:rsid w:val="00407A1E"/>
    <w:rsid w:val="0045735F"/>
    <w:rsid w:val="004A585E"/>
    <w:rsid w:val="004B3B80"/>
    <w:rsid w:val="004B3C9A"/>
    <w:rsid w:val="00571FF4"/>
    <w:rsid w:val="005B798D"/>
    <w:rsid w:val="005D4CA8"/>
    <w:rsid w:val="00603802"/>
    <w:rsid w:val="006470FD"/>
    <w:rsid w:val="0065323B"/>
    <w:rsid w:val="006B7D2B"/>
    <w:rsid w:val="00700449"/>
    <w:rsid w:val="00752FD8"/>
    <w:rsid w:val="00801AF9"/>
    <w:rsid w:val="00812802"/>
    <w:rsid w:val="008178C3"/>
    <w:rsid w:val="00826635"/>
    <w:rsid w:val="008468A1"/>
    <w:rsid w:val="00872738"/>
    <w:rsid w:val="00887CB1"/>
    <w:rsid w:val="008E39A1"/>
    <w:rsid w:val="008F695B"/>
    <w:rsid w:val="00B54161"/>
    <w:rsid w:val="00B9256B"/>
    <w:rsid w:val="00BA3F5D"/>
    <w:rsid w:val="00BB3AF2"/>
    <w:rsid w:val="00BD264C"/>
    <w:rsid w:val="00BF1A2A"/>
    <w:rsid w:val="00C179A1"/>
    <w:rsid w:val="00C21900"/>
    <w:rsid w:val="00C70FFA"/>
    <w:rsid w:val="00D920D9"/>
    <w:rsid w:val="00DB1DCE"/>
    <w:rsid w:val="00E944C0"/>
    <w:rsid w:val="00EE1B52"/>
    <w:rsid w:val="00F05489"/>
    <w:rsid w:val="00F11B1F"/>
    <w:rsid w:val="00FC725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349C"/>
  <w15:docId w15:val="{37D098BE-1618-4057-BF0F-31CCA4FF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179A1"/>
    <w:rPr>
      <w:i/>
      <w:iCs/>
    </w:rPr>
  </w:style>
  <w:style w:type="paragraph" w:styleId="NormalWeb">
    <w:name w:val="Normal (Web)"/>
    <w:basedOn w:val="Normal"/>
    <w:uiPriority w:val="99"/>
    <w:unhideWhenUsed/>
    <w:rsid w:val="004B3B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B80"/>
    <w:rPr>
      <w:b/>
      <w:bCs/>
    </w:rPr>
  </w:style>
  <w:style w:type="table" w:styleId="TableGrid">
    <w:name w:val="Table Grid"/>
    <w:basedOn w:val="TableNormal"/>
    <w:uiPriority w:val="59"/>
    <w:rsid w:val="006B7D2B"/>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872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968">
      <w:bodyDiv w:val="1"/>
      <w:marLeft w:val="0"/>
      <w:marRight w:val="0"/>
      <w:marTop w:val="0"/>
      <w:marBottom w:val="0"/>
      <w:divBdr>
        <w:top w:val="none" w:sz="0" w:space="0" w:color="auto"/>
        <w:left w:val="none" w:sz="0" w:space="0" w:color="auto"/>
        <w:bottom w:val="none" w:sz="0" w:space="0" w:color="auto"/>
        <w:right w:val="none" w:sz="0" w:space="0" w:color="auto"/>
      </w:divBdr>
    </w:div>
    <w:div w:id="94056121">
      <w:bodyDiv w:val="1"/>
      <w:marLeft w:val="0"/>
      <w:marRight w:val="0"/>
      <w:marTop w:val="0"/>
      <w:marBottom w:val="0"/>
      <w:divBdr>
        <w:top w:val="none" w:sz="0" w:space="0" w:color="auto"/>
        <w:left w:val="none" w:sz="0" w:space="0" w:color="auto"/>
        <w:bottom w:val="none" w:sz="0" w:space="0" w:color="auto"/>
        <w:right w:val="none" w:sz="0" w:space="0" w:color="auto"/>
      </w:divBdr>
    </w:div>
    <w:div w:id="168715041">
      <w:bodyDiv w:val="1"/>
      <w:marLeft w:val="0"/>
      <w:marRight w:val="0"/>
      <w:marTop w:val="0"/>
      <w:marBottom w:val="0"/>
      <w:divBdr>
        <w:top w:val="none" w:sz="0" w:space="0" w:color="auto"/>
        <w:left w:val="none" w:sz="0" w:space="0" w:color="auto"/>
        <w:bottom w:val="none" w:sz="0" w:space="0" w:color="auto"/>
        <w:right w:val="none" w:sz="0" w:space="0" w:color="auto"/>
      </w:divBdr>
    </w:div>
    <w:div w:id="305822047">
      <w:bodyDiv w:val="1"/>
      <w:marLeft w:val="0"/>
      <w:marRight w:val="0"/>
      <w:marTop w:val="0"/>
      <w:marBottom w:val="0"/>
      <w:divBdr>
        <w:top w:val="none" w:sz="0" w:space="0" w:color="auto"/>
        <w:left w:val="none" w:sz="0" w:space="0" w:color="auto"/>
        <w:bottom w:val="none" w:sz="0" w:space="0" w:color="auto"/>
        <w:right w:val="none" w:sz="0" w:space="0" w:color="auto"/>
      </w:divBdr>
    </w:div>
    <w:div w:id="429008547">
      <w:bodyDiv w:val="1"/>
      <w:marLeft w:val="0"/>
      <w:marRight w:val="0"/>
      <w:marTop w:val="0"/>
      <w:marBottom w:val="0"/>
      <w:divBdr>
        <w:top w:val="none" w:sz="0" w:space="0" w:color="auto"/>
        <w:left w:val="none" w:sz="0" w:space="0" w:color="auto"/>
        <w:bottom w:val="none" w:sz="0" w:space="0" w:color="auto"/>
        <w:right w:val="none" w:sz="0" w:space="0" w:color="auto"/>
      </w:divBdr>
    </w:div>
    <w:div w:id="723060391">
      <w:bodyDiv w:val="1"/>
      <w:marLeft w:val="0"/>
      <w:marRight w:val="0"/>
      <w:marTop w:val="0"/>
      <w:marBottom w:val="0"/>
      <w:divBdr>
        <w:top w:val="none" w:sz="0" w:space="0" w:color="auto"/>
        <w:left w:val="none" w:sz="0" w:space="0" w:color="auto"/>
        <w:bottom w:val="none" w:sz="0" w:space="0" w:color="auto"/>
        <w:right w:val="none" w:sz="0" w:space="0" w:color="auto"/>
      </w:divBdr>
    </w:div>
    <w:div w:id="818767656">
      <w:bodyDiv w:val="1"/>
      <w:marLeft w:val="0"/>
      <w:marRight w:val="0"/>
      <w:marTop w:val="0"/>
      <w:marBottom w:val="0"/>
      <w:divBdr>
        <w:top w:val="none" w:sz="0" w:space="0" w:color="auto"/>
        <w:left w:val="none" w:sz="0" w:space="0" w:color="auto"/>
        <w:bottom w:val="none" w:sz="0" w:space="0" w:color="auto"/>
        <w:right w:val="none" w:sz="0" w:space="0" w:color="auto"/>
      </w:divBdr>
    </w:div>
    <w:div w:id="828596770">
      <w:bodyDiv w:val="1"/>
      <w:marLeft w:val="0"/>
      <w:marRight w:val="0"/>
      <w:marTop w:val="0"/>
      <w:marBottom w:val="0"/>
      <w:divBdr>
        <w:top w:val="none" w:sz="0" w:space="0" w:color="auto"/>
        <w:left w:val="none" w:sz="0" w:space="0" w:color="auto"/>
        <w:bottom w:val="none" w:sz="0" w:space="0" w:color="auto"/>
        <w:right w:val="none" w:sz="0" w:space="0" w:color="auto"/>
      </w:divBdr>
    </w:div>
    <w:div w:id="1105618266">
      <w:bodyDiv w:val="1"/>
      <w:marLeft w:val="0"/>
      <w:marRight w:val="0"/>
      <w:marTop w:val="0"/>
      <w:marBottom w:val="0"/>
      <w:divBdr>
        <w:top w:val="none" w:sz="0" w:space="0" w:color="auto"/>
        <w:left w:val="none" w:sz="0" w:space="0" w:color="auto"/>
        <w:bottom w:val="none" w:sz="0" w:space="0" w:color="auto"/>
        <w:right w:val="none" w:sz="0" w:space="0" w:color="auto"/>
      </w:divBdr>
    </w:div>
    <w:div w:id="1189755002">
      <w:bodyDiv w:val="1"/>
      <w:marLeft w:val="0"/>
      <w:marRight w:val="0"/>
      <w:marTop w:val="0"/>
      <w:marBottom w:val="0"/>
      <w:divBdr>
        <w:top w:val="none" w:sz="0" w:space="0" w:color="auto"/>
        <w:left w:val="none" w:sz="0" w:space="0" w:color="auto"/>
        <w:bottom w:val="none" w:sz="0" w:space="0" w:color="auto"/>
        <w:right w:val="none" w:sz="0" w:space="0" w:color="auto"/>
      </w:divBdr>
    </w:div>
    <w:div w:id="1197620534">
      <w:bodyDiv w:val="1"/>
      <w:marLeft w:val="0"/>
      <w:marRight w:val="0"/>
      <w:marTop w:val="0"/>
      <w:marBottom w:val="0"/>
      <w:divBdr>
        <w:top w:val="none" w:sz="0" w:space="0" w:color="auto"/>
        <w:left w:val="none" w:sz="0" w:space="0" w:color="auto"/>
        <w:bottom w:val="none" w:sz="0" w:space="0" w:color="auto"/>
        <w:right w:val="none" w:sz="0" w:space="0" w:color="auto"/>
      </w:divBdr>
    </w:div>
    <w:div w:id="1236470400">
      <w:bodyDiv w:val="1"/>
      <w:marLeft w:val="0"/>
      <w:marRight w:val="0"/>
      <w:marTop w:val="0"/>
      <w:marBottom w:val="0"/>
      <w:divBdr>
        <w:top w:val="none" w:sz="0" w:space="0" w:color="auto"/>
        <w:left w:val="none" w:sz="0" w:space="0" w:color="auto"/>
        <w:bottom w:val="none" w:sz="0" w:space="0" w:color="auto"/>
        <w:right w:val="none" w:sz="0" w:space="0" w:color="auto"/>
      </w:divBdr>
    </w:div>
    <w:div w:id="1770734155">
      <w:bodyDiv w:val="1"/>
      <w:marLeft w:val="0"/>
      <w:marRight w:val="0"/>
      <w:marTop w:val="0"/>
      <w:marBottom w:val="0"/>
      <w:divBdr>
        <w:top w:val="none" w:sz="0" w:space="0" w:color="auto"/>
        <w:left w:val="none" w:sz="0" w:space="0" w:color="auto"/>
        <w:bottom w:val="none" w:sz="0" w:space="0" w:color="auto"/>
        <w:right w:val="none" w:sz="0" w:space="0" w:color="auto"/>
      </w:divBdr>
    </w:div>
    <w:div w:id="1797331059">
      <w:bodyDiv w:val="1"/>
      <w:marLeft w:val="0"/>
      <w:marRight w:val="0"/>
      <w:marTop w:val="0"/>
      <w:marBottom w:val="0"/>
      <w:divBdr>
        <w:top w:val="none" w:sz="0" w:space="0" w:color="auto"/>
        <w:left w:val="none" w:sz="0" w:space="0" w:color="auto"/>
        <w:bottom w:val="none" w:sz="0" w:space="0" w:color="auto"/>
        <w:right w:val="none" w:sz="0" w:space="0" w:color="auto"/>
      </w:divBdr>
    </w:div>
    <w:div w:id="204983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10</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Editor-90</cp:lastModifiedBy>
  <cp:revision>15</cp:revision>
  <dcterms:created xsi:type="dcterms:W3CDTF">2025-12-08T09:00:00Z</dcterms:created>
  <dcterms:modified xsi:type="dcterms:W3CDTF">2025-12-09T09:49:00Z</dcterms:modified>
</cp:coreProperties>
</file>