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7DB70" w14:textId="77777777" w:rsidR="002611E1" w:rsidRPr="00524187" w:rsidRDefault="002611E1" w:rsidP="00524187">
      <w:pPr>
        <w:spacing w:line="240" w:lineRule="auto"/>
        <w:jc w:val="right"/>
        <w:rPr>
          <w:rFonts w:ascii="Arial" w:hAnsi="Arial" w:cs="Arial"/>
          <w:b/>
          <w:sz w:val="36"/>
          <w:szCs w:val="36"/>
        </w:rPr>
      </w:pPr>
      <w:r w:rsidRPr="00524187">
        <w:rPr>
          <w:rFonts w:ascii="Arial" w:hAnsi="Arial" w:cs="Arial"/>
          <w:b/>
          <w:sz w:val="36"/>
          <w:szCs w:val="36"/>
        </w:rPr>
        <w:t xml:space="preserve">Influence </w:t>
      </w:r>
      <w:r w:rsidR="00524187" w:rsidRPr="00524187">
        <w:rPr>
          <w:rFonts w:ascii="Arial" w:hAnsi="Arial" w:cs="Arial"/>
          <w:b/>
          <w:sz w:val="36"/>
          <w:szCs w:val="36"/>
        </w:rPr>
        <w:t>Of Soil Type And Tillage Practices On The Yield Of Two Cassava Varieties (</w:t>
      </w:r>
      <w:r w:rsidRPr="00524187">
        <w:rPr>
          <w:rFonts w:ascii="Arial" w:hAnsi="Arial" w:cs="Arial"/>
          <w:b/>
          <w:sz w:val="36"/>
          <w:szCs w:val="36"/>
        </w:rPr>
        <w:t xml:space="preserve">Bocou </w:t>
      </w:r>
      <w:r w:rsidR="00524187" w:rsidRPr="00524187">
        <w:rPr>
          <w:rFonts w:ascii="Arial" w:hAnsi="Arial" w:cs="Arial"/>
          <w:b/>
          <w:sz w:val="36"/>
          <w:szCs w:val="36"/>
        </w:rPr>
        <w:t xml:space="preserve">1 And </w:t>
      </w:r>
      <w:r w:rsidRPr="00524187">
        <w:rPr>
          <w:rFonts w:ascii="Arial" w:hAnsi="Arial" w:cs="Arial"/>
          <w:b/>
          <w:sz w:val="36"/>
          <w:szCs w:val="36"/>
        </w:rPr>
        <w:t>IAC</w:t>
      </w:r>
      <w:r w:rsidR="00524187" w:rsidRPr="00524187">
        <w:rPr>
          <w:rFonts w:ascii="Arial" w:hAnsi="Arial" w:cs="Arial"/>
          <w:b/>
          <w:sz w:val="36"/>
          <w:szCs w:val="36"/>
        </w:rPr>
        <w:t xml:space="preserve">) In The Forest-Savanna Transition Zone Of </w:t>
      </w:r>
      <w:r w:rsidRPr="00524187">
        <w:rPr>
          <w:rFonts w:ascii="Arial" w:hAnsi="Arial" w:cs="Arial"/>
          <w:b/>
          <w:sz w:val="36"/>
          <w:szCs w:val="36"/>
        </w:rPr>
        <w:t>Taabo</w:t>
      </w:r>
      <w:r w:rsidR="00524187" w:rsidRPr="00524187">
        <w:rPr>
          <w:rFonts w:ascii="Arial" w:hAnsi="Arial" w:cs="Arial"/>
          <w:b/>
          <w:sz w:val="36"/>
          <w:szCs w:val="36"/>
        </w:rPr>
        <w:t xml:space="preserve">, </w:t>
      </w:r>
      <w:r w:rsidRPr="00524187">
        <w:rPr>
          <w:rFonts w:ascii="Arial" w:hAnsi="Arial" w:cs="Arial"/>
          <w:b/>
          <w:sz w:val="36"/>
          <w:szCs w:val="36"/>
        </w:rPr>
        <w:t>Côte d’Ivoire</w:t>
      </w:r>
    </w:p>
    <w:p w14:paraId="34DA1FD8" w14:textId="77777777" w:rsidR="002611E1" w:rsidRDefault="002611E1" w:rsidP="002611E1">
      <w:pPr>
        <w:jc w:val="center"/>
      </w:pPr>
    </w:p>
    <w:p w14:paraId="2F04783D" w14:textId="77777777" w:rsidR="002611E1" w:rsidRDefault="002611E1" w:rsidP="002611E1"/>
    <w:p w14:paraId="59857CAC" w14:textId="77777777" w:rsidR="002611E1" w:rsidRDefault="00524187" w:rsidP="002611E1">
      <w:pPr>
        <w:rPr>
          <w:rFonts w:ascii="Arial" w:hAnsi="Arial" w:cs="Arial"/>
          <w:b/>
          <w:sz w:val="22"/>
        </w:rPr>
      </w:pPr>
      <w:r w:rsidRPr="00524187">
        <w:rPr>
          <w:rFonts w:ascii="Arial" w:hAnsi="Arial" w:cs="Arial"/>
          <w:b/>
          <w:sz w:val="22"/>
        </w:rPr>
        <w:t>ABSTRACT</w:t>
      </w:r>
    </w:p>
    <w:p w14:paraId="710CBB62" w14:textId="77777777" w:rsidR="00524187" w:rsidRPr="00524187" w:rsidRDefault="00524187" w:rsidP="002611E1">
      <w:pPr>
        <w:rPr>
          <w:rFonts w:ascii="Arial" w:hAnsi="Arial" w:cs="Arial"/>
          <w:b/>
          <w:sz w:val="20"/>
          <w:szCs w:val="20"/>
        </w:rPr>
      </w:pPr>
    </w:p>
    <w:p w14:paraId="107D83D5" w14:textId="77777777" w:rsidR="002611E1" w:rsidRPr="00524187" w:rsidRDefault="002611E1" w:rsidP="002611E1">
      <w:pPr>
        <w:jc w:val="both"/>
        <w:rPr>
          <w:rFonts w:ascii="Arial" w:hAnsi="Arial" w:cs="Arial"/>
          <w:sz w:val="20"/>
          <w:szCs w:val="20"/>
        </w:rPr>
      </w:pPr>
      <w:r w:rsidRPr="00524187">
        <w:rPr>
          <w:rFonts w:ascii="Arial" w:hAnsi="Arial" w:cs="Arial"/>
          <w:sz w:val="20"/>
          <w:szCs w:val="20"/>
        </w:rPr>
        <w:t>Cassava (</w:t>
      </w:r>
      <w:commentRangeStart w:id="0"/>
      <w:r w:rsidRPr="00524187">
        <w:rPr>
          <w:rFonts w:ascii="Arial" w:hAnsi="Arial" w:cs="Arial"/>
          <w:sz w:val="20"/>
          <w:szCs w:val="20"/>
        </w:rPr>
        <w:t>Manihot</w:t>
      </w:r>
      <w:commentRangeEnd w:id="0"/>
      <w:r w:rsidR="00A04630">
        <w:rPr>
          <w:rStyle w:val="CommentReference"/>
        </w:rPr>
        <w:commentReference w:id="0"/>
      </w:r>
      <w:r w:rsidRPr="00524187">
        <w:rPr>
          <w:rFonts w:ascii="Arial" w:hAnsi="Arial" w:cs="Arial"/>
          <w:sz w:val="20"/>
          <w:szCs w:val="20"/>
        </w:rPr>
        <w:t xml:space="preserve"> esculenta Crantz) occupies a strategic place in Ivorian agriculture, contributing both to food security and to the incomes of rural populations. Despite national production exceeding six million tons per year, farmers' yields remain low due to empirical farming practices and a poor match between varieties, soil types, and tillage methods. This study, conducted in the Taabo region (a forest-savanna transition zone in south-central Côte d'Ivoire), aimed to evaluate the combined effect of soil type, tillage method, and variety on cassava productivity. The experiment, conducted using a randomized complete block design, crossed three factors: soil type (clay or sand), tillage method (ridging or leveling), and variety (Bocou 1 or IAC), for a total of 24 plots. The results show that clay soils and ridge cultivation significantly improve plant growth and tuber yield. The Bocou 1 variety proved to be the most </w:t>
      </w:r>
      <w:commentRangeStart w:id="1"/>
      <w:r w:rsidRPr="00524187">
        <w:rPr>
          <w:rFonts w:ascii="Arial" w:hAnsi="Arial" w:cs="Arial"/>
          <w:sz w:val="20"/>
          <w:szCs w:val="20"/>
        </w:rPr>
        <w:t>productive</w:t>
      </w:r>
      <w:commentRangeEnd w:id="1"/>
      <w:r w:rsidR="00A04630">
        <w:rPr>
          <w:rStyle w:val="CommentReference"/>
        </w:rPr>
        <w:commentReference w:id="1"/>
      </w:r>
      <w:r w:rsidRPr="00524187">
        <w:rPr>
          <w:rFonts w:ascii="Arial" w:hAnsi="Arial" w:cs="Arial"/>
          <w:sz w:val="20"/>
          <w:szCs w:val="20"/>
        </w:rPr>
        <w:t>, while the IAC variety showed greater vegetative growth but lower yield. The combination of ridging, clay soil, and the Bocou 1 variety is therefore the most effective combination for the agroecological conditions in Taabo. These results offer prospects for the development of sustainable technical itineraries adapted to cassava production in Côte d'Ivoire.</w:t>
      </w:r>
    </w:p>
    <w:p w14:paraId="3A374524" w14:textId="77777777" w:rsidR="002611E1" w:rsidRPr="00524187" w:rsidRDefault="002611E1" w:rsidP="002611E1">
      <w:pPr>
        <w:jc w:val="both"/>
        <w:rPr>
          <w:rFonts w:ascii="Arial" w:hAnsi="Arial" w:cs="Arial"/>
          <w:sz w:val="20"/>
          <w:szCs w:val="20"/>
        </w:rPr>
      </w:pPr>
    </w:p>
    <w:p w14:paraId="756449D8" w14:textId="77777777" w:rsidR="002611E1" w:rsidRPr="00524187" w:rsidRDefault="002611E1" w:rsidP="002611E1">
      <w:pPr>
        <w:rPr>
          <w:rFonts w:ascii="Arial" w:hAnsi="Arial" w:cs="Arial"/>
          <w:sz w:val="20"/>
          <w:szCs w:val="20"/>
        </w:rPr>
      </w:pPr>
      <w:r w:rsidRPr="00524187">
        <w:rPr>
          <w:rFonts w:ascii="Arial" w:hAnsi="Arial" w:cs="Arial"/>
          <w:sz w:val="20"/>
          <w:szCs w:val="20"/>
        </w:rPr>
        <w:t>Keywords: cassava, yield, soil type, variety, tillage</w:t>
      </w:r>
    </w:p>
    <w:p w14:paraId="2371E685" w14:textId="77777777" w:rsidR="00FD2B97" w:rsidRDefault="00FD2B97">
      <w:pPr>
        <w:spacing w:after="160" w:line="259" w:lineRule="auto"/>
      </w:pPr>
      <w:r>
        <w:br w:type="page"/>
      </w:r>
    </w:p>
    <w:p w14:paraId="63A54A51" w14:textId="77777777" w:rsidR="002611E1" w:rsidRPr="00FD2B97" w:rsidRDefault="002611E1" w:rsidP="00FD2B97">
      <w:pPr>
        <w:spacing w:line="240" w:lineRule="auto"/>
        <w:rPr>
          <w:rFonts w:ascii="Arial" w:hAnsi="Arial" w:cs="Arial"/>
          <w:b/>
          <w:sz w:val="22"/>
        </w:rPr>
      </w:pPr>
      <w:r w:rsidRPr="00FD2B97">
        <w:rPr>
          <w:rFonts w:ascii="Arial" w:hAnsi="Arial" w:cs="Arial"/>
          <w:b/>
          <w:sz w:val="22"/>
        </w:rPr>
        <w:lastRenderedPageBreak/>
        <w:t>1. INTRODUCTION</w:t>
      </w:r>
    </w:p>
    <w:p w14:paraId="5720E2A3" w14:textId="77777777" w:rsidR="00FD2B97" w:rsidRPr="00FD2B97" w:rsidRDefault="00FD2B97" w:rsidP="002611E1">
      <w:pPr>
        <w:rPr>
          <w:rFonts w:ascii="Arial" w:hAnsi="Arial" w:cs="Arial"/>
          <w:b/>
          <w:sz w:val="20"/>
          <w:szCs w:val="20"/>
        </w:rPr>
      </w:pPr>
    </w:p>
    <w:p w14:paraId="23A35F8F" w14:textId="77777777" w:rsidR="00C63B00"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Cassava (Manihot esculenta Crantz) is one of the main food crops in sub-Saharan Africa, both for human </w:t>
      </w:r>
      <w:r w:rsidRPr="009B215E">
        <w:rPr>
          <w:rFonts w:ascii="Arial" w:hAnsi="Arial" w:cs="Arial"/>
          <w:sz w:val="20"/>
          <w:szCs w:val="20"/>
        </w:rPr>
        <w:t xml:space="preserve">consumption and industrial uses. In Côte d'Ivoire, this crop occupies a strategic place </w:t>
      </w:r>
      <w:bookmarkStart w:id="2" w:name="_GoBack"/>
      <w:r w:rsidRPr="009B215E">
        <w:rPr>
          <w:rFonts w:ascii="Arial" w:hAnsi="Arial" w:cs="Arial"/>
          <w:sz w:val="20"/>
          <w:szCs w:val="20"/>
        </w:rPr>
        <w:t xml:space="preserve">Subscribe to </w:t>
      </w:r>
      <w:commentRangeStart w:id="3"/>
      <w:r w:rsidRPr="009B215E">
        <w:rPr>
          <w:rFonts w:ascii="Arial" w:hAnsi="Arial" w:cs="Arial"/>
          <w:sz w:val="20"/>
          <w:szCs w:val="20"/>
        </w:rPr>
        <w:t>DeepL</w:t>
      </w:r>
      <w:commentRangeEnd w:id="3"/>
      <w:r w:rsidR="00A04630">
        <w:rPr>
          <w:rStyle w:val="CommentReference"/>
        </w:rPr>
        <w:commentReference w:id="3"/>
      </w:r>
      <w:r w:rsidRPr="009B215E">
        <w:rPr>
          <w:rFonts w:ascii="Arial" w:hAnsi="Arial" w:cs="Arial"/>
          <w:sz w:val="20"/>
          <w:szCs w:val="20"/>
        </w:rPr>
        <w:t xml:space="preserve"> Pro to edit this document. Visit www.DeepL.com/pro for more information.</w:t>
      </w:r>
      <w:bookmarkEnd w:id="2"/>
      <w:r w:rsidRPr="009B215E">
        <w:rPr>
          <w:rFonts w:ascii="Arial" w:hAnsi="Arial" w:cs="Arial"/>
          <w:sz w:val="20"/>
          <w:szCs w:val="20"/>
        </w:rPr>
        <w:t xml:space="preserve"> in agricultural production systems due to its substantial contribution to food security and rural household incomes (</w:t>
      </w:r>
      <w:r w:rsidR="009B215E" w:rsidRPr="009B215E">
        <w:rPr>
          <w:rFonts w:ascii="Arial" w:hAnsi="Arial" w:cs="Arial"/>
          <w:sz w:val="20"/>
          <w:szCs w:val="20"/>
        </w:rPr>
        <w:t>René, 2020</w:t>
      </w:r>
      <w:r w:rsidRPr="009B215E">
        <w:rPr>
          <w:rFonts w:ascii="Arial" w:hAnsi="Arial" w:cs="Arial"/>
          <w:sz w:val="20"/>
          <w:szCs w:val="20"/>
        </w:rPr>
        <w:t xml:space="preserve">). </w:t>
      </w:r>
      <w:commentRangeStart w:id="4"/>
      <w:r w:rsidRPr="009B215E">
        <w:rPr>
          <w:rFonts w:ascii="Arial" w:hAnsi="Arial" w:cs="Arial"/>
          <w:sz w:val="20"/>
          <w:szCs w:val="20"/>
        </w:rPr>
        <w:t xml:space="preserve">Thanks to its </w:t>
      </w:r>
      <w:commentRangeEnd w:id="4"/>
      <w:r w:rsidR="007B42C6">
        <w:rPr>
          <w:rStyle w:val="CommentReference"/>
        </w:rPr>
        <w:commentReference w:id="4"/>
      </w:r>
      <w:r w:rsidRPr="009B215E">
        <w:rPr>
          <w:rFonts w:ascii="Arial" w:hAnsi="Arial" w:cs="Arial"/>
          <w:sz w:val="20"/>
          <w:szCs w:val="20"/>
        </w:rPr>
        <w:t xml:space="preserve">hardiness, drought tolerance, and wide ecological range, cassava is grown throughout the country, from humid forest areas to savannas. According to </w:t>
      </w:r>
      <w:r w:rsidR="009B215E" w:rsidRPr="009B215E">
        <w:rPr>
          <w:rFonts w:ascii="Arial" w:hAnsi="Arial" w:cs="Arial"/>
          <w:sz w:val="20"/>
          <w:szCs w:val="20"/>
        </w:rPr>
        <w:t>René (2020)</w:t>
      </w:r>
      <w:r w:rsidRPr="009B215E">
        <w:rPr>
          <w:rFonts w:ascii="Arial" w:hAnsi="Arial" w:cs="Arial"/>
          <w:sz w:val="20"/>
          <w:szCs w:val="20"/>
        </w:rPr>
        <w:t>, national production exceeds</w:t>
      </w:r>
      <w:r w:rsidRPr="00FD2B97">
        <w:rPr>
          <w:rFonts w:ascii="Arial" w:hAnsi="Arial" w:cs="Arial"/>
          <w:sz w:val="20"/>
          <w:szCs w:val="20"/>
        </w:rPr>
        <w:t xml:space="preserve"> six million tons per year, positioning Côte d'Ivoire among the leading African producers. Despite its socio-economic importance and high agronomic potential, cassava yields remain low on smallholder farms. This situation is mainly the result of empirical, poorly optimized farming practices and a mismatch between the varieties grown and local agroecolog</w:t>
      </w:r>
      <w:r w:rsidR="00C63B00" w:rsidRPr="00FD2B97">
        <w:rPr>
          <w:rFonts w:ascii="Arial" w:hAnsi="Arial" w:cs="Arial"/>
          <w:sz w:val="20"/>
          <w:szCs w:val="20"/>
        </w:rPr>
        <w:t>ical conditions (ANADER, 2016).</w:t>
      </w:r>
    </w:p>
    <w:p w14:paraId="4D95AA58" w14:textId="77777777" w:rsidR="00C63B00" w:rsidRPr="0074606C"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Several biophysical and technical factors influence cassava productivity, including soil type, tillage methods, and variety selection (Martin, 2010; </w:t>
      </w:r>
      <w:r w:rsidR="009B215E" w:rsidRPr="009B215E">
        <w:rPr>
          <w:rFonts w:ascii="Arial" w:hAnsi="Arial" w:cs="Arial"/>
          <w:sz w:val="20"/>
          <w:szCs w:val="20"/>
        </w:rPr>
        <w:t xml:space="preserve">Arguita  </w:t>
      </w:r>
      <w:commentRangeStart w:id="5"/>
      <w:r w:rsidRPr="009B215E">
        <w:rPr>
          <w:rFonts w:ascii="Arial" w:hAnsi="Arial" w:cs="Arial"/>
          <w:sz w:val="20"/>
          <w:szCs w:val="20"/>
        </w:rPr>
        <w:t>et al</w:t>
      </w:r>
      <w:commentRangeEnd w:id="5"/>
      <w:r w:rsidR="000E0F5C">
        <w:rPr>
          <w:rStyle w:val="CommentReference"/>
        </w:rPr>
        <w:commentReference w:id="5"/>
      </w:r>
      <w:r w:rsidRPr="009B215E">
        <w:rPr>
          <w:rFonts w:ascii="Arial" w:hAnsi="Arial" w:cs="Arial"/>
          <w:sz w:val="20"/>
          <w:szCs w:val="20"/>
        </w:rPr>
        <w:t>., 20</w:t>
      </w:r>
      <w:r w:rsidR="009B215E" w:rsidRPr="009B215E">
        <w:rPr>
          <w:rFonts w:ascii="Arial" w:hAnsi="Arial" w:cs="Arial"/>
          <w:sz w:val="20"/>
          <w:szCs w:val="20"/>
        </w:rPr>
        <w:t>22</w:t>
      </w:r>
      <w:r w:rsidRPr="009B215E">
        <w:rPr>
          <w:rFonts w:ascii="Arial" w:hAnsi="Arial" w:cs="Arial"/>
          <w:sz w:val="20"/>
          <w:szCs w:val="20"/>
        </w:rPr>
        <w:t xml:space="preserve">). </w:t>
      </w:r>
      <w:r w:rsidRPr="00FD2B97">
        <w:rPr>
          <w:rFonts w:ascii="Arial" w:hAnsi="Arial" w:cs="Arial"/>
          <w:sz w:val="20"/>
          <w:szCs w:val="20"/>
        </w:rPr>
        <w:t xml:space="preserve">Soil type plays a decisive role in root growth and tuberization: sandy-clay soils that are well-drained and loose promote the development of tuberous roots, while clay soils that are compact and poorly aerated hinder plant growth and complicate harvesting (Martin, 2010). In addition, soil cultivation methods are a key </w:t>
      </w:r>
      <w:commentRangeStart w:id="6"/>
      <w:r w:rsidRPr="00FD2B97">
        <w:rPr>
          <w:rFonts w:ascii="Arial" w:hAnsi="Arial" w:cs="Arial"/>
          <w:sz w:val="20"/>
          <w:szCs w:val="20"/>
        </w:rPr>
        <w:t>lever</w:t>
      </w:r>
      <w:commentRangeEnd w:id="6"/>
      <w:r w:rsidR="000E0F5C">
        <w:rPr>
          <w:rStyle w:val="CommentReference"/>
        </w:rPr>
        <w:commentReference w:id="6"/>
      </w:r>
      <w:r w:rsidRPr="00FD2B97">
        <w:rPr>
          <w:rFonts w:ascii="Arial" w:hAnsi="Arial" w:cs="Arial"/>
          <w:sz w:val="20"/>
          <w:szCs w:val="20"/>
        </w:rPr>
        <w:t xml:space="preserve"> for improving agronomic performance. Ridge cultivation improves soil structure, drainage, and water retention, promoting better growth and higher yields. Conversely, flat </w:t>
      </w:r>
      <w:r w:rsidRPr="0074606C">
        <w:rPr>
          <w:rFonts w:ascii="Arial" w:hAnsi="Arial" w:cs="Arial"/>
          <w:sz w:val="20"/>
          <w:szCs w:val="20"/>
        </w:rPr>
        <w:t>cultivation, although easier to implement, has its limitations, particularly in heavy soils or soils prone to waterlogging (</w:t>
      </w:r>
      <w:r w:rsidR="0074606C" w:rsidRPr="0074606C">
        <w:rPr>
          <w:rFonts w:ascii="Arial" w:hAnsi="Arial" w:cs="Arial"/>
          <w:sz w:val="20"/>
          <w:szCs w:val="20"/>
        </w:rPr>
        <w:t xml:space="preserve">Kosh-Komb </w:t>
      </w:r>
      <w:commentRangeStart w:id="7"/>
      <w:r w:rsidR="0074606C" w:rsidRPr="0074606C">
        <w:rPr>
          <w:rFonts w:ascii="Arial" w:hAnsi="Arial" w:cs="Arial"/>
          <w:sz w:val="20"/>
          <w:szCs w:val="20"/>
        </w:rPr>
        <w:t>et</w:t>
      </w:r>
      <w:commentRangeEnd w:id="7"/>
      <w:r w:rsidR="000E0F5C">
        <w:rPr>
          <w:rStyle w:val="CommentReference"/>
        </w:rPr>
        <w:commentReference w:id="7"/>
      </w:r>
      <w:r w:rsidR="0074606C" w:rsidRPr="0074606C">
        <w:rPr>
          <w:rFonts w:ascii="Arial" w:hAnsi="Arial" w:cs="Arial"/>
          <w:sz w:val="20"/>
          <w:szCs w:val="20"/>
        </w:rPr>
        <w:t xml:space="preserve"> al., 2021</w:t>
      </w:r>
      <w:r w:rsidRPr="0074606C">
        <w:rPr>
          <w:rFonts w:ascii="Arial" w:hAnsi="Arial" w:cs="Arial"/>
          <w:sz w:val="20"/>
          <w:szCs w:val="20"/>
        </w:rPr>
        <w:t>).</w:t>
      </w:r>
    </w:p>
    <w:p w14:paraId="01B4D10F"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In terms of varieties, significant research efforts have led to the introduction and dissemination of improved cultivars such as Bocou 1, IAC, and Yacé, which are characterized by good yield potential, increased disease tolerance, and broad agroecological </w:t>
      </w:r>
      <w:r w:rsidRPr="0074606C">
        <w:rPr>
          <w:rFonts w:ascii="Arial" w:hAnsi="Arial" w:cs="Arial"/>
          <w:sz w:val="20"/>
          <w:szCs w:val="20"/>
        </w:rPr>
        <w:t>adaptability (</w:t>
      </w:r>
      <w:r w:rsidR="0074606C" w:rsidRPr="0074606C">
        <w:rPr>
          <w:rFonts w:ascii="Arial" w:hAnsi="Arial" w:cs="Arial"/>
          <w:sz w:val="20"/>
          <w:szCs w:val="20"/>
        </w:rPr>
        <w:t>CNRA, 2013</w:t>
      </w:r>
      <w:r w:rsidRPr="0074606C">
        <w:rPr>
          <w:rFonts w:ascii="Arial" w:hAnsi="Arial" w:cs="Arial"/>
          <w:sz w:val="20"/>
          <w:szCs w:val="20"/>
        </w:rPr>
        <w:t xml:space="preserve">). </w:t>
      </w:r>
      <w:r w:rsidRPr="00FD2B97">
        <w:rPr>
          <w:rFonts w:ascii="Arial" w:hAnsi="Arial" w:cs="Arial"/>
          <w:sz w:val="20"/>
          <w:szCs w:val="20"/>
        </w:rPr>
        <w:t>The locally developed Bocou 1 variety can achieve yields of 35 to 40 t/ha under optimal conditions (IPS, 2012). The IAC variety, which is the result of introduction programs, shows interesting potential, although its performance remains poorly documented in certain ecological zones of Côte d'Ivoire. However, despite recognition of the individual importance of soil type, tillage methods, and variety selection, few studies have addressed their combined effect o</w:t>
      </w:r>
      <w:r w:rsidR="00FD2B97">
        <w:rPr>
          <w:rFonts w:ascii="Arial" w:hAnsi="Arial" w:cs="Arial"/>
          <w:sz w:val="20"/>
          <w:szCs w:val="20"/>
        </w:rPr>
        <w:t>n cassava agronomic performance</w:t>
      </w:r>
      <w:r w:rsidRPr="00FD2B97">
        <w:rPr>
          <w:rFonts w:ascii="Arial" w:hAnsi="Arial" w:cs="Arial"/>
          <w:sz w:val="20"/>
          <w:szCs w:val="20"/>
        </w:rPr>
        <w:t>. This gap is particularly pronounced in transitional ecological zones, such as the Taabo region in south-central Côte d'Ivoire. This region, characterized by alternating clay and sandy soils and a sub-equatorial climate, provides a relevant setting for analyzing the interactions between these factors. A better understanding of the interactions between soil type, cultivation practices, and cultivated variety is essential for optimizing technical itineraries and sustainably increasing cassava productivity. In a context of sustained growth in demand for food crops, identifying the most effective combinations of these factors is a major challenge for the sustainability of production systems. This study therefore aims to evaluate the combined effect of soil type, tillage method, and variety on the agronomic performance of cassava in the Taabo region.</w:t>
      </w:r>
    </w:p>
    <w:p w14:paraId="10C4CCD2" w14:textId="77777777" w:rsidR="00C63B00" w:rsidRPr="00FD2B97" w:rsidRDefault="00C63B00" w:rsidP="002611E1">
      <w:pPr>
        <w:jc w:val="both"/>
        <w:rPr>
          <w:rFonts w:ascii="Arial" w:hAnsi="Arial" w:cs="Arial"/>
          <w:sz w:val="20"/>
          <w:szCs w:val="20"/>
        </w:rPr>
      </w:pPr>
    </w:p>
    <w:p w14:paraId="68F259BF" w14:textId="77777777" w:rsidR="002611E1" w:rsidRPr="00FD2B97" w:rsidRDefault="002611E1" w:rsidP="002611E1">
      <w:pPr>
        <w:rPr>
          <w:rFonts w:ascii="Arial" w:hAnsi="Arial" w:cs="Arial"/>
          <w:b/>
          <w:sz w:val="22"/>
        </w:rPr>
      </w:pPr>
      <w:r w:rsidRPr="00FD2B97">
        <w:rPr>
          <w:rFonts w:ascii="Arial" w:hAnsi="Arial" w:cs="Arial"/>
          <w:b/>
          <w:sz w:val="22"/>
        </w:rPr>
        <w:t>2. MATERIALS AND METHODS</w:t>
      </w:r>
    </w:p>
    <w:p w14:paraId="3469F3D7" w14:textId="77777777" w:rsidR="002611E1" w:rsidRPr="00FD2B97" w:rsidRDefault="002611E1" w:rsidP="002611E1">
      <w:pPr>
        <w:rPr>
          <w:rFonts w:ascii="Arial" w:hAnsi="Arial" w:cs="Arial"/>
          <w:b/>
          <w:sz w:val="22"/>
        </w:rPr>
      </w:pPr>
      <w:r w:rsidRPr="00FD2B97">
        <w:rPr>
          <w:rFonts w:ascii="Arial" w:hAnsi="Arial" w:cs="Arial"/>
          <w:b/>
          <w:sz w:val="22"/>
        </w:rPr>
        <w:t>2.1. Study site</w:t>
      </w:r>
    </w:p>
    <w:p w14:paraId="5FBC57D2"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study was conducted in the sub-prefecture of Taabo, more specifically in the village of Saoua, located in the forest-savanna transition zone of south-central Côte d'Ivoire, between 5°14' and 4°53' west longitude and 6°1' and 6°22' north latitude. This study area is characterized by the influence of two main rainfall regimes, namely the attenuated equatorial transition regime and the equatorial transition regime (Kangah, 2023). As a result, it has two rainy seasons, lasting from April to June and from September to November, respectively, as well as two dry seasons, from December to March and from July to September. In terms of hydrography, the region has a network of lakes, swamps, and ponds. Lake Taabo is the largest of these, as it is fed by the Bandama River. In terms of vegetation, the sub-prefecture's plant formations are characterized by semi-deciduous vegetation (Guillaumet &amp; Adjanohoun, 1971; Kangah, 2023), marked by the presence of pre-forest savanna in the north and savanna forests in the south. Finally, from a pedological point of view, the main dominant formations consist of ferralitic soils, interspersed in places with patches of tropical eutrophic brown soils (Perraud, 1971; Kangah, 2023).</w:t>
      </w:r>
    </w:p>
    <w:p w14:paraId="5781EF86" w14:textId="77777777" w:rsidR="002611E1" w:rsidRDefault="002611E1" w:rsidP="002611E1">
      <w:pPr>
        <w:jc w:val="both"/>
        <w:rPr>
          <w:rFonts w:ascii="Arial" w:hAnsi="Arial" w:cs="Arial"/>
          <w:sz w:val="20"/>
          <w:szCs w:val="20"/>
        </w:rPr>
      </w:pPr>
    </w:p>
    <w:p w14:paraId="2ECED886" w14:textId="77777777" w:rsidR="00FD2B97" w:rsidRDefault="00FD2B97" w:rsidP="002611E1">
      <w:pPr>
        <w:jc w:val="both"/>
        <w:rPr>
          <w:rFonts w:ascii="Arial" w:hAnsi="Arial" w:cs="Arial"/>
          <w:sz w:val="20"/>
          <w:szCs w:val="20"/>
        </w:rPr>
      </w:pPr>
    </w:p>
    <w:p w14:paraId="50555549" w14:textId="77777777" w:rsidR="00FD2B97" w:rsidRDefault="00FD2B97" w:rsidP="002611E1">
      <w:pPr>
        <w:jc w:val="both"/>
        <w:rPr>
          <w:rFonts w:ascii="Arial" w:hAnsi="Arial" w:cs="Arial"/>
          <w:sz w:val="20"/>
          <w:szCs w:val="20"/>
        </w:rPr>
      </w:pPr>
    </w:p>
    <w:p w14:paraId="74B5ABBB" w14:textId="77777777" w:rsidR="002611E1" w:rsidRPr="00FD2B97" w:rsidRDefault="002611E1" w:rsidP="002611E1">
      <w:pPr>
        <w:rPr>
          <w:rFonts w:ascii="Arial" w:hAnsi="Arial" w:cs="Arial"/>
          <w:b/>
          <w:sz w:val="22"/>
        </w:rPr>
      </w:pPr>
      <w:r w:rsidRPr="00FD2B97">
        <w:rPr>
          <w:rFonts w:ascii="Arial" w:hAnsi="Arial" w:cs="Arial"/>
          <w:b/>
          <w:sz w:val="22"/>
        </w:rPr>
        <w:lastRenderedPageBreak/>
        <w:t>2.2. Plant material</w:t>
      </w:r>
    </w:p>
    <w:p w14:paraId="788A1972"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plant material used consists of two improved varieties of cassava (</w:t>
      </w:r>
      <w:commentRangeStart w:id="8"/>
      <w:r w:rsidRPr="00FD2B97">
        <w:rPr>
          <w:rFonts w:ascii="Arial" w:hAnsi="Arial" w:cs="Arial"/>
          <w:sz w:val="20"/>
          <w:szCs w:val="20"/>
        </w:rPr>
        <w:t xml:space="preserve">Manihot esculenta </w:t>
      </w:r>
      <w:commentRangeEnd w:id="8"/>
      <w:r w:rsidR="002E54D7">
        <w:rPr>
          <w:rStyle w:val="CommentReference"/>
        </w:rPr>
        <w:commentReference w:id="8"/>
      </w:r>
      <w:r w:rsidRPr="00FD2B97">
        <w:rPr>
          <w:rFonts w:ascii="Arial" w:hAnsi="Arial" w:cs="Arial"/>
          <w:sz w:val="20"/>
          <w:szCs w:val="20"/>
        </w:rPr>
        <w:t xml:space="preserve">Crantz). The first, Bocou 1 (V1), developed by the CNRA, is an early-maturing, mosaic-resistant </w:t>
      </w:r>
      <w:commentRangeStart w:id="9"/>
      <w:commentRangeStart w:id="10"/>
      <w:r w:rsidRPr="00FD2B97">
        <w:rPr>
          <w:rFonts w:ascii="Arial" w:hAnsi="Arial" w:cs="Arial"/>
          <w:sz w:val="20"/>
          <w:szCs w:val="20"/>
        </w:rPr>
        <w:t>variety</w:t>
      </w:r>
      <w:commentRangeEnd w:id="9"/>
      <w:r w:rsidR="002E54D7">
        <w:rPr>
          <w:rStyle w:val="CommentReference"/>
        </w:rPr>
        <w:commentReference w:id="9"/>
      </w:r>
      <w:r w:rsidRPr="00FD2B97">
        <w:rPr>
          <w:rFonts w:ascii="Arial" w:hAnsi="Arial" w:cs="Arial"/>
          <w:sz w:val="20"/>
          <w:szCs w:val="20"/>
        </w:rPr>
        <w:t xml:space="preserve"> ( ) </w:t>
      </w:r>
      <w:commentRangeEnd w:id="10"/>
      <w:r w:rsidR="002E54D7">
        <w:rPr>
          <w:rStyle w:val="CommentReference"/>
        </w:rPr>
        <w:commentReference w:id="10"/>
      </w:r>
      <w:r w:rsidRPr="00FD2B97">
        <w:rPr>
          <w:rFonts w:ascii="Arial" w:hAnsi="Arial" w:cs="Arial"/>
          <w:sz w:val="20"/>
          <w:szCs w:val="20"/>
        </w:rPr>
        <w:t>that is well adapted to local agroecological conditions and has a high yield of up to 40 t/ha. The second, IAC or Yacé (V2), is an introduced variety originating in Brazil, characterized by good production potential and high vegetative vigor. The cuttings used, taken from 8- to 10-month-old stems, were carefully selected for their homogeneity and vigor, in accordance with technical cultivation recommendations.</w:t>
      </w:r>
    </w:p>
    <w:p w14:paraId="64FF15A2" w14:textId="77777777" w:rsidR="002611E1" w:rsidRPr="00FD2B97" w:rsidRDefault="002611E1" w:rsidP="002611E1">
      <w:pPr>
        <w:jc w:val="both"/>
        <w:rPr>
          <w:rFonts w:ascii="Arial" w:hAnsi="Arial" w:cs="Arial"/>
          <w:sz w:val="20"/>
          <w:szCs w:val="20"/>
        </w:rPr>
      </w:pPr>
    </w:p>
    <w:p w14:paraId="28EDE55C" w14:textId="77777777" w:rsidR="002611E1" w:rsidRPr="00FD2B97" w:rsidRDefault="002611E1" w:rsidP="00FD2B97">
      <w:pPr>
        <w:jc w:val="both"/>
        <w:rPr>
          <w:rFonts w:ascii="Arial" w:hAnsi="Arial" w:cs="Arial"/>
          <w:b/>
          <w:sz w:val="22"/>
        </w:rPr>
      </w:pPr>
      <w:r w:rsidRPr="00FD2B97">
        <w:rPr>
          <w:rFonts w:ascii="Arial" w:hAnsi="Arial" w:cs="Arial"/>
          <w:b/>
          <w:sz w:val="22"/>
        </w:rPr>
        <w:t>2.3. Morphological and pedological characterization of the soils at the experimental sites</w:t>
      </w:r>
    </w:p>
    <w:p w14:paraId="4984B76A"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The morpho-pedological characterization of the experimental sites was carried out by opening a soil pit on each of the study plots. These pits, of standardized dimensions (100 × 80 × 120 cm), were dug in accordance with the recommendations of Baize (1988). Each soil profile was then described in detail, taking into account the main morphological parameters influencing cassava development, including color, texture, structure, presence of roots, consistency, and horizon depth. This description was based on the methodological sheet developed. Finally, the soils observed were classified according to the French soil classification system of the </w:t>
      </w:r>
      <w:r w:rsidRPr="00FD2B97">
        <w:rPr>
          <w:rFonts w:ascii="Arial" w:hAnsi="Arial" w:cs="Arial"/>
          <w:i/>
          <w:sz w:val="20"/>
          <w:szCs w:val="20"/>
        </w:rPr>
        <w:t>Comité de Pédologie et de Cartographie des Sols</w:t>
      </w:r>
      <w:r w:rsidRPr="00FD2B97">
        <w:rPr>
          <w:rFonts w:ascii="Arial" w:hAnsi="Arial" w:cs="Arial"/>
          <w:sz w:val="20"/>
          <w:szCs w:val="20"/>
        </w:rPr>
        <w:t xml:space="preserve"> (</w:t>
      </w:r>
      <w:r w:rsidR="0074606C" w:rsidRPr="0074606C">
        <w:rPr>
          <w:rFonts w:ascii="Arial" w:hAnsi="Arial" w:cs="Arial"/>
          <w:sz w:val="20"/>
          <w:szCs w:val="20"/>
        </w:rPr>
        <w:t>CPCS</w:t>
      </w:r>
      <w:r w:rsidRPr="00FD2B97">
        <w:rPr>
          <w:rFonts w:ascii="Arial" w:hAnsi="Arial" w:cs="Arial"/>
          <w:sz w:val="20"/>
          <w:szCs w:val="20"/>
        </w:rPr>
        <w:t>).</w:t>
      </w:r>
    </w:p>
    <w:p w14:paraId="037D31CE" w14:textId="77777777" w:rsidR="002611E1" w:rsidRPr="00FD2B97" w:rsidRDefault="002611E1" w:rsidP="002611E1">
      <w:pPr>
        <w:rPr>
          <w:rFonts w:ascii="Arial" w:hAnsi="Arial" w:cs="Arial"/>
          <w:sz w:val="20"/>
          <w:szCs w:val="20"/>
        </w:rPr>
      </w:pPr>
    </w:p>
    <w:p w14:paraId="74EC6C92" w14:textId="77777777" w:rsidR="002611E1" w:rsidRPr="00FD2B97" w:rsidRDefault="002611E1" w:rsidP="002611E1">
      <w:pPr>
        <w:rPr>
          <w:rFonts w:ascii="Arial" w:hAnsi="Arial" w:cs="Arial"/>
          <w:b/>
          <w:sz w:val="22"/>
        </w:rPr>
      </w:pPr>
      <w:r w:rsidRPr="00FD2B97">
        <w:rPr>
          <w:rFonts w:ascii="Arial" w:hAnsi="Arial" w:cs="Arial"/>
          <w:b/>
          <w:sz w:val="22"/>
        </w:rPr>
        <w:t>2.4. Experimental design</w:t>
      </w:r>
    </w:p>
    <w:p w14:paraId="2D0E1AD8" w14:textId="77777777" w:rsidR="00C63B00"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trial was set up using a randomized complete block design (Figure 1), incorporating three experimental factors: soil type, tillage method, and variety. Two levels were considered for each of these factors: (i) soil type, with clay soil (A) and sandy soil (S); (ii) tillage method, including ridge cultivation (B) and flat cultivation (T); and (iii) variety, represented by Bocou 1 (V1) and IAC (V2). Each treatment thus corresponded to a unique combination of the three factors (soil type × tillage method × variety). All possible combinations of these factors resulted in eight distinct treatments (2 × 2 × 2). Each treatment was repeated three times, randomly distributed in each block, for a total of 24 experimental plots (Fig</w:t>
      </w:r>
      <w:r w:rsidR="004C177F">
        <w:rPr>
          <w:rFonts w:ascii="Arial" w:hAnsi="Arial" w:cs="Arial"/>
          <w:sz w:val="20"/>
          <w:szCs w:val="20"/>
        </w:rPr>
        <w:t xml:space="preserve">. </w:t>
      </w:r>
      <w:r w:rsidRPr="00FD2B97">
        <w:rPr>
          <w:rFonts w:ascii="Arial" w:hAnsi="Arial" w:cs="Arial"/>
          <w:sz w:val="20"/>
          <w:szCs w:val="20"/>
        </w:rPr>
        <w:t>1).</w:t>
      </w:r>
    </w:p>
    <w:p w14:paraId="1128A969" w14:textId="77777777" w:rsidR="002611E1" w:rsidRPr="00FD2B97" w:rsidRDefault="00C63B00" w:rsidP="00C63B00">
      <w:pPr>
        <w:tabs>
          <w:tab w:val="left" w:pos="1506"/>
        </w:tabs>
        <w:rPr>
          <w:rFonts w:ascii="Arial" w:hAnsi="Arial" w:cs="Arial"/>
          <w:sz w:val="20"/>
          <w:szCs w:val="20"/>
        </w:rPr>
      </w:pPr>
      <w:r w:rsidRPr="00FD2B97">
        <w:rPr>
          <w:rFonts w:ascii="Arial" w:hAnsi="Arial" w:cs="Arial"/>
          <w:sz w:val="20"/>
          <w:szCs w:val="20"/>
        </w:rPr>
        <w:tab/>
      </w:r>
      <w:r w:rsidRPr="00FD2B97">
        <w:rPr>
          <w:rFonts w:ascii="Arial" w:eastAsia="Times New Roman" w:hAnsi="Arial" w:cs="Arial"/>
          <w:noProof/>
          <w:sz w:val="20"/>
          <w:szCs w:val="20"/>
          <w:lang w:val="en-IN" w:eastAsia="en-IN"/>
        </w:rPr>
        <w:drawing>
          <wp:inline distT="0" distB="0" distL="0" distR="0" wp14:anchorId="6E0858C0" wp14:editId="5141AF31">
            <wp:extent cx="3840089" cy="1345140"/>
            <wp:effectExtent l="19050" t="19050" r="27305" b="266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18" t="8132" r="1234" b="6899"/>
                    <a:stretch/>
                  </pic:blipFill>
                  <pic:spPr bwMode="auto">
                    <a:xfrm>
                      <a:off x="0" y="0"/>
                      <a:ext cx="3884925" cy="13608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FF7EBEC" w14:textId="77777777" w:rsidR="007A783F" w:rsidRPr="004C177F" w:rsidRDefault="002611E1" w:rsidP="00C63B00">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1: Diagram of the experimental setup</w:t>
      </w:r>
    </w:p>
    <w:p w14:paraId="4522A137" w14:textId="77777777" w:rsidR="002611E1" w:rsidRPr="004C177F" w:rsidRDefault="002611E1" w:rsidP="00FD2B97">
      <w:pPr>
        <w:spacing w:after="160" w:line="259" w:lineRule="auto"/>
        <w:jc w:val="center"/>
        <w:rPr>
          <w:rFonts w:ascii="Arial" w:hAnsi="Arial" w:cs="Arial"/>
          <w:b/>
          <w:sz w:val="20"/>
          <w:szCs w:val="20"/>
        </w:rPr>
      </w:pPr>
      <w:r w:rsidRPr="004C177F">
        <w:rPr>
          <w:rFonts w:ascii="Arial" w:hAnsi="Arial" w:cs="Arial"/>
          <w:b/>
          <w:sz w:val="20"/>
          <w:szCs w:val="20"/>
        </w:rPr>
        <w:t>Table</w:t>
      </w:r>
      <w:r w:rsidR="004C177F">
        <w:rPr>
          <w:rFonts w:ascii="Arial" w:hAnsi="Arial" w:cs="Arial"/>
          <w:b/>
          <w:sz w:val="20"/>
          <w:szCs w:val="20"/>
        </w:rPr>
        <w:t xml:space="preserve"> 1</w:t>
      </w:r>
      <w:r w:rsidRPr="004C177F">
        <w:rPr>
          <w:rFonts w:ascii="Arial" w:hAnsi="Arial" w:cs="Arial"/>
          <w:b/>
          <w:sz w:val="20"/>
          <w:szCs w:val="20"/>
        </w:rPr>
        <w:t xml:space="preserve"> : List and definition of treatments</w:t>
      </w:r>
    </w:p>
    <w:tbl>
      <w:tblPr>
        <w:tblStyle w:val="TableGrid"/>
        <w:tblW w:w="9811"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29"/>
        <w:gridCol w:w="1701"/>
        <w:gridCol w:w="1276"/>
        <w:gridCol w:w="1418"/>
        <w:gridCol w:w="3260"/>
        <w:gridCol w:w="1027"/>
      </w:tblGrid>
      <w:tr w:rsidR="00C63B00" w:rsidRPr="00B61943" w14:paraId="296FCF8C" w14:textId="77777777" w:rsidTr="00FD2B97">
        <w:trPr>
          <w:trHeight w:val="340"/>
          <w:jc w:val="center"/>
        </w:trPr>
        <w:tc>
          <w:tcPr>
            <w:tcW w:w="1129" w:type="dxa"/>
            <w:vAlign w:val="center"/>
          </w:tcPr>
          <w:p w14:paraId="5C8F84B5"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Soil type</w:t>
            </w:r>
          </w:p>
        </w:tc>
        <w:tc>
          <w:tcPr>
            <w:tcW w:w="1701" w:type="dxa"/>
            <w:vAlign w:val="center"/>
          </w:tcPr>
          <w:p w14:paraId="08E309C5"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Soil preparation</w:t>
            </w:r>
          </w:p>
        </w:tc>
        <w:tc>
          <w:tcPr>
            <w:tcW w:w="1276" w:type="dxa"/>
            <w:tcBorders>
              <w:bottom w:val="single" w:sz="4" w:space="0" w:color="auto"/>
            </w:tcBorders>
            <w:vAlign w:val="center"/>
          </w:tcPr>
          <w:p w14:paraId="08FA8145"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Treatments</w:t>
            </w:r>
          </w:p>
        </w:tc>
        <w:tc>
          <w:tcPr>
            <w:tcW w:w="1418" w:type="dxa"/>
            <w:tcBorders>
              <w:bottom w:val="single" w:sz="4" w:space="0" w:color="auto"/>
            </w:tcBorders>
            <w:vAlign w:val="center"/>
          </w:tcPr>
          <w:p w14:paraId="0D3DD81C"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Varieties</w:t>
            </w:r>
          </w:p>
        </w:tc>
        <w:tc>
          <w:tcPr>
            <w:tcW w:w="3260" w:type="dxa"/>
            <w:tcBorders>
              <w:bottom w:val="single" w:sz="4" w:space="0" w:color="auto"/>
            </w:tcBorders>
            <w:vAlign w:val="center"/>
          </w:tcPr>
          <w:p w14:paraId="18986BD0"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Designation</w:t>
            </w:r>
          </w:p>
        </w:tc>
        <w:tc>
          <w:tcPr>
            <w:tcW w:w="1027" w:type="dxa"/>
            <w:tcBorders>
              <w:bottom w:val="single" w:sz="4" w:space="0" w:color="auto"/>
            </w:tcBorders>
            <w:vAlign w:val="center"/>
          </w:tcPr>
          <w:p w14:paraId="2A6CC289"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Coding</w:t>
            </w:r>
          </w:p>
        </w:tc>
      </w:tr>
      <w:tr w:rsidR="00C63B00" w:rsidRPr="00FD2B97" w14:paraId="5D52E4C9" w14:textId="77777777" w:rsidTr="00FD2B97">
        <w:trPr>
          <w:trHeight w:val="340"/>
          <w:jc w:val="center"/>
        </w:trPr>
        <w:tc>
          <w:tcPr>
            <w:tcW w:w="1129" w:type="dxa"/>
            <w:vMerge w:val="restart"/>
            <w:vAlign w:val="center"/>
          </w:tcPr>
          <w:p w14:paraId="4179F62A" w14:textId="77777777"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Clay</w:t>
            </w:r>
            <w:r w:rsidR="00C63B00" w:rsidRPr="00FD2B97">
              <w:rPr>
                <w:rFonts w:ascii="Arial" w:hAnsi="Arial" w:cs="Arial"/>
                <w:sz w:val="20"/>
                <w:szCs w:val="20"/>
              </w:rPr>
              <w:t xml:space="preserve"> (A)</w:t>
            </w:r>
          </w:p>
        </w:tc>
        <w:tc>
          <w:tcPr>
            <w:tcW w:w="1701" w:type="dxa"/>
            <w:vMerge w:val="restart"/>
            <w:vAlign w:val="center"/>
          </w:tcPr>
          <w:p w14:paraId="7EE58DF5" w14:textId="77777777"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 xml:space="preserve">On ridges </w:t>
            </w:r>
            <w:r w:rsidR="00C63B00" w:rsidRPr="00FD2B97">
              <w:rPr>
                <w:rFonts w:ascii="Arial" w:hAnsi="Arial" w:cs="Arial"/>
                <w:sz w:val="20"/>
                <w:szCs w:val="20"/>
              </w:rPr>
              <w:t>(B)</w:t>
            </w:r>
          </w:p>
        </w:tc>
        <w:tc>
          <w:tcPr>
            <w:tcW w:w="1276" w:type="dxa"/>
            <w:tcBorders>
              <w:bottom w:val="nil"/>
            </w:tcBorders>
            <w:vAlign w:val="center"/>
          </w:tcPr>
          <w:p w14:paraId="4783F500"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T1</w:t>
            </w:r>
          </w:p>
        </w:tc>
        <w:tc>
          <w:tcPr>
            <w:tcW w:w="1418" w:type="dxa"/>
            <w:tcBorders>
              <w:bottom w:val="nil"/>
            </w:tcBorders>
            <w:vAlign w:val="center"/>
          </w:tcPr>
          <w:p w14:paraId="2C5AEABA"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14:paraId="36EBA05C" w14:textId="77777777"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ridges in clay soil</w:t>
            </w:r>
          </w:p>
        </w:tc>
        <w:tc>
          <w:tcPr>
            <w:tcW w:w="1027" w:type="dxa"/>
            <w:tcBorders>
              <w:bottom w:val="nil"/>
            </w:tcBorders>
            <w:vAlign w:val="center"/>
          </w:tcPr>
          <w:p w14:paraId="0873CB82"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V1BA</w:t>
            </w:r>
          </w:p>
        </w:tc>
      </w:tr>
      <w:tr w:rsidR="00C63B00" w:rsidRPr="00FD2B97" w14:paraId="661B2786" w14:textId="77777777" w:rsidTr="00FD2B97">
        <w:trPr>
          <w:trHeight w:val="340"/>
          <w:jc w:val="center"/>
        </w:trPr>
        <w:tc>
          <w:tcPr>
            <w:tcW w:w="1129" w:type="dxa"/>
            <w:vMerge/>
            <w:vAlign w:val="center"/>
          </w:tcPr>
          <w:p w14:paraId="501FD374" w14:textId="77777777" w:rsidR="00C63B00" w:rsidRPr="00FD2B97" w:rsidRDefault="00C63B00" w:rsidP="008A72EA">
            <w:pPr>
              <w:pStyle w:val="NormalWeb"/>
              <w:jc w:val="center"/>
              <w:rPr>
                <w:rFonts w:ascii="Arial" w:hAnsi="Arial" w:cs="Arial"/>
                <w:sz w:val="20"/>
                <w:szCs w:val="20"/>
              </w:rPr>
            </w:pPr>
          </w:p>
        </w:tc>
        <w:tc>
          <w:tcPr>
            <w:tcW w:w="1701" w:type="dxa"/>
            <w:vMerge/>
            <w:vAlign w:val="center"/>
          </w:tcPr>
          <w:p w14:paraId="6FFFDA36" w14:textId="77777777" w:rsidR="00C63B00" w:rsidRPr="00FD2B97" w:rsidRDefault="00C63B00" w:rsidP="008A72EA">
            <w:pPr>
              <w:pStyle w:val="NormalWeb"/>
              <w:jc w:val="center"/>
              <w:rPr>
                <w:rFonts w:ascii="Arial" w:hAnsi="Arial" w:cs="Arial"/>
                <w:sz w:val="20"/>
                <w:szCs w:val="20"/>
              </w:rPr>
            </w:pPr>
          </w:p>
        </w:tc>
        <w:tc>
          <w:tcPr>
            <w:tcW w:w="1276" w:type="dxa"/>
            <w:tcBorders>
              <w:top w:val="nil"/>
              <w:bottom w:val="single" w:sz="4" w:space="0" w:color="auto"/>
            </w:tcBorders>
            <w:vAlign w:val="center"/>
          </w:tcPr>
          <w:p w14:paraId="456337FD"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T2</w:t>
            </w:r>
          </w:p>
        </w:tc>
        <w:tc>
          <w:tcPr>
            <w:tcW w:w="1418" w:type="dxa"/>
            <w:tcBorders>
              <w:top w:val="nil"/>
              <w:bottom w:val="single" w:sz="4" w:space="0" w:color="auto"/>
            </w:tcBorders>
            <w:vAlign w:val="center"/>
          </w:tcPr>
          <w:p w14:paraId="0A67ADD2" w14:textId="77777777"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IAC ou Yace</w:t>
            </w:r>
            <w:r w:rsidR="00FD2B97">
              <w:rPr>
                <w:rFonts w:ascii="Arial" w:hAnsi="Arial" w:cs="Arial"/>
                <w:sz w:val="20"/>
                <w:szCs w:val="20"/>
              </w:rPr>
              <w:t xml:space="preserve"> </w:t>
            </w:r>
            <w:r w:rsidR="00C63B00" w:rsidRPr="00FD2B97">
              <w:rPr>
                <w:rFonts w:ascii="Arial" w:hAnsi="Arial" w:cs="Arial"/>
                <w:sz w:val="20"/>
                <w:szCs w:val="20"/>
              </w:rPr>
              <w:t>(V2)</w:t>
            </w:r>
          </w:p>
        </w:tc>
        <w:tc>
          <w:tcPr>
            <w:tcW w:w="3260" w:type="dxa"/>
            <w:tcBorders>
              <w:top w:val="nil"/>
              <w:bottom w:val="single" w:sz="4" w:space="0" w:color="auto"/>
            </w:tcBorders>
            <w:vAlign w:val="center"/>
          </w:tcPr>
          <w:p w14:paraId="4683FAA6" w14:textId="77777777"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ridges in clay soil</w:t>
            </w:r>
          </w:p>
        </w:tc>
        <w:tc>
          <w:tcPr>
            <w:tcW w:w="1027" w:type="dxa"/>
            <w:tcBorders>
              <w:top w:val="nil"/>
              <w:bottom w:val="single" w:sz="4" w:space="0" w:color="auto"/>
            </w:tcBorders>
            <w:vAlign w:val="center"/>
          </w:tcPr>
          <w:p w14:paraId="50339655"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V2BA</w:t>
            </w:r>
          </w:p>
        </w:tc>
      </w:tr>
      <w:tr w:rsidR="00C63B00" w:rsidRPr="00FD2B97" w14:paraId="5E7907FA" w14:textId="77777777" w:rsidTr="00FD2B97">
        <w:trPr>
          <w:trHeight w:val="340"/>
          <w:jc w:val="center"/>
        </w:trPr>
        <w:tc>
          <w:tcPr>
            <w:tcW w:w="1129" w:type="dxa"/>
            <w:vMerge/>
            <w:vAlign w:val="center"/>
          </w:tcPr>
          <w:p w14:paraId="3AC8280E" w14:textId="77777777" w:rsidR="00C63B00" w:rsidRPr="00FD2B97" w:rsidRDefault="00C63B00" w:rsidP="008A72EA">
            <w:pPr>
              <w:pStyle w:val="NormalWeb"/>
              <w:jc w:val="center"/>
              <w:rPr>
                <w:rFonts w:ascii="Arial" w:hAnsi="Arial" w:cs="Arial"/>
                <w:sz w:val="20"/>
                <w:szCs w:val="20"/>
              </w:rPr>
            </w:pPr>
          </w:p>
        </w:tc>
        <w:tc>
          <w:tcPr>
            <w:tcW w:w="1701" w:type="dxa"/>
            <w:vMerge w:val="restart"/>
            <w:vAlign w:val="center"/>
          </w:tcPr>
          <w:p w14:paraId="2BB57BE7" w14:textId="77777777"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 xml:space="preserve">Flat land </w:t>
            </w:r>
            <w:r w:rsidR="00C63B00" w:rsidRPr="00FD2B97">
              <w:rPr>
                <w:rFonts w:ascii="Arial" w:hAnsi="Arial" w:cs="Arial"/>
                <w:sz w:val="20"/>
                <w:szCs w:val="20"/>
              </w:rPr>
              <w:t>(T)</w:t>
            </w:r>
          </w:p>
        </w:tc>
        <w:tc>
          <w:tcPr>
            <w:tcW w:w="1276" w:type="dxa"/>
            <w:tcBorders>
              <w:bottom w:val="nil"/>
            </w:tcBorders>
            <w:vAlign w:val="center"/>
          </w:tcPr>
          <w:p w14:paraId="6C5F0616"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T3</w:t>
            </w:r>
          </w:p>
        </w:tc>
        <w:tc>
          <w:tcPr>
            <w:tcW w:w="1418" w:type="dxa"/>
            <w:tcBorders>
              <w:bottom w:val="nil"/>
            </w:tcBorders>
            <w:vAlign w:val="center"/>
          </w:tcPr>
          <w:p w14:paraId="14796A8A"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14:paraId="10F8DD05" w14:textId="77777777"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flat land on clay soil</w:t>
            </w:r>
          </w:p>
        </w:tc>
        <w:tc>
          <w:tcPr>
            <w:tcW w:w="1027" w:type="dxa"/>
            <w:tcBorders>
              <w:bottom w:val="nil"/>
            </w:tcBorders>
            <w:vAlign w:val="center"/>
          </w:tcPr>
          <w:p w14:paraId="3643B4BA"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V1TA</w:t>
            </w:r>
          </w:p>
        </w:tc>
      </w:tr>
      <w:tr w:rsidR="00C63B00" w:rsidRPr="00FD2B97" w14:paraId="23EFCE03" w14:textId="77777777" w:rsidTr="00FD2B97">
        <w:trPr>
          <w:trHeight w:val="340"/>
          <w:jc w:val="center"/>
        </w:trPr>
        <w:tc>
          <w:tcPr>
            <w:tcW w:w="1129" w:type="dxa"/>
            <w:vMerge/>
            <w:vAlign w:val="center"/>
          </w:tcPr>
          <w:p w14:paraId="6433FBCD" w14:textId="77777777" w:rsidR="00C63B00" w:rsidRPr="00FD2B97" w:rsidRDefault="00C63B00" w:rsidP="008A72EA">
            <w:pPr>
              <w:pStyle w:val="NormalWeb"/>
              <w:jc w:val="center"/>
              <w:rPr>
                <w:rFonts w:ascii="Arial" w:hAnsi="Arial" w:cs="Arial"/>
                <w:sz w:val="20"/>
                <w:szCs w:val="20"/>
              </w:rPr>
            </w:pPr>
          </w:p>
        </w:tc>
        <w:tc>
          <w:tcPr>
            <w:tcW w:w="1701" w:type="dxa"/>
            <w:vMerge/>
            <w:vAlign w:val="center"/>
          </w:tcPr>
          <w:p w14:paraId="394FDC96" w14:textId="77777777" w:rsidR="00C63B00" w:rsidRPr="00FD2B97" w:rsidRDefault="00C63B00" w:rsidP="008A72EA">
            <w:pPr>
              <w:pStyle w:val="NormalWeb"/>
              <w:jc w:val="center"/>
              <w:rPr>
                <w:rFonts w:ascii="Arial" w:hAnsi="Arial" w:cs="Arial"/>
                <w:sz w:val="20"/>
                <w:szCs w:val="20"/>
              </w:rPr>
            </w:pPr>
          </w:p>
        </w:tc>
        <w:tc>
          <w:tcPr>
            <w:tcW w:w="1276" w:type="dxa"/>
            <w:tcBorders>
              <w:top w:val="nil"/>
              <w:bottom w:val="single" w:sz="4" w:space="0" w:color="auto"/>
            </w:tcBorders>
            <w:vAlign w:val="center"/>
          </w:tcPr>
          <w:p w14:paraId="47CE3CA9"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T4</w:t>
            </w:r>
          </w:p>
        </w:tc>
        <w:tc>
          <w:tcPr>
            <w:tcW w:w="1418" w:type="dxa"/>
            <w:tcBorders>
              <w:top w:val="nil"/>
              <w:bottom w:val="single" w:sz="4" w:space="0" w:color="auto"/>
            </w:tcBorders>
            <w:vAlign w:val="center"/>
          </w:tcPr>
          <w:p w14:paraId="4DF9F4E3"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IAC (V2)</w:t>
            </w:r>
          </w:p>
        </w:tc>
        <w:tc>
          <w:tcPr>
            <w:tcW w:w="3260" w:type="dxa"/>
            <w:tcBorders>
              <w:top w:val="nil"/>
              <w:bottom w:val="single" w:sz="4" w:space="0" w:color="auto"/>
            </w:tcBorders>
            <w:vAlign w:val="center"/>
          </w:tcPr>
          <w:p w14:paraId="09348BF9" w14:textId="77777777"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flat land with clay soil</w:t>
            </w:r>
          </w:p>
        </w:tc>
        <w:tc>
          <w:tcPr>
            <w:tcW w:w="1027" w:type="dxa"/>
            <w:tcBorders>
              <w:top w:val="nil"/>
              <w:bottom w:val="single" w:sz="4" w:space="0" w:color="auto"/>
            </w:tcBorders>
            <w:vAlign w:val="center"/>
          </w:tcPr>
          <w:p w14:paraId="3FEA8B53"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V2TA</w:t>
            </w:r>
          </w:p>
        </w:tc>
      </w:tr>
      <w:tr w:rsidR="007A783F" w:rsidRPr="00FD2B97" w14:paraId="1DBC4E18" w14:textId="77777777" w:rsidTr="00FD2B97">
        <w:trPr>
          <w:trHeight w:val="340"/>
          <w:jc w:val="center"/>
        </w:trPr>
        <w:tc>
          <w:tcPr>
            <w:tcW w:w="1129" w:type="dxa"/>
            <w:vMerge w:val="restart"/>
            <w:vAlign w:val="center"/>
          </w:tcPr>
          <w:p w14:paraId="41BF2148"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Sandy (S)</w:t>
            </w:r>
          </w:p>
        </w:tc>
        <w:tc>
          <w:tcPr>
            <w:tcW w:w="1701" w:type="dxa"/>
            <w:vMerge w:val="restart"/>
            <w:vAlign w:val="center"/>
          </w:tcPr>
          <w:p w14:paraId="5C6C98FA"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On ridges (B)</w:t>
            </w:r>
          </w:p>
        </w:tc>
        <w:tc>
          <w:tcPr>
            <w:tcW w:w="1276" w:type="dxa"/>
            <w:tcBorders>
              <w:bottom w:val="nil"/>
            </w:tcBorders>
            <w:vAlign w:val="center"/>
          </w:tcPr>
          <w:p w14:paraId="4D359625"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T5</w:t>
            </w:r>
          </w:p>
        </w:tc>
        <w:tc>
          <w:tcPr>
            <w:tcW w:w="1418" w:type="dxa"/>
            <w:tcBorders>
              <w:bottom w:val="nil"/>
            </w:tcBorders>
            <w:vAlign w:val="center"/>
          </w:tcPr>
          <w:p w14:paraId="1BCDF5CA"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14:paraId="475B12E2"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ridges in sandy soil</w:t>
            </w:r>
          </w:p>
        </w:tc>
        <w:tc>
          <w:tcPr>
            <w:tcW w:w="1027" w:type="dxa"/>
            <w:tcBorders>
              <w:bottom w:val="nil"/>
            </w:tcBorders>
            <w:vAlign w:val="center"/>
          </w:tcPr>
          <w:p w14:paraId="0BF05367"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V1BS</w:t>
            </w:r>
          </w:p>
        </w:tc>
      </w:tr>
      <w:tr w:rsidR="007A783F" w:rsidRPr="00FD2B97" w14:paraId="701DBBE2" w14:textId="77777777" w:rsidTr="00FD2B97">
        <w:trPr>
          <w:trHeight w:val="340"/>
          <w:jc w:val="center"/>
        </w:trPr>
        <w:tc>
          <w:tcPr>
            <w:tcW w:w="1129" w:type="dxa"/>
            <w:vMerge/>
            <w:vAlign w:val="center"/>
          </w:tcPr>
          <w:p w14:paraId="5C0CA09F" w14:textId="77777777" w:rsidR="007A783F" w:rsidRPr="00FD2B97" w:rsidRDefault="007A783F" w:rsidP="007A783F">
            <w:pPr>
              <w:pStyle w:val="NormalWeb"/>
              <w:jc w:val="center"/>
              <w:rPr>
                <w:rFonts w:ascii="Arial" w:hAnsi="Arial" w:cs="Arial"/>
                <w:sz w:val="20"/>
                <w:szCs w:val="20"/>
              </w:rPr>
            </w:pPr>
          </w:p>
        </w:tc>
        <w:tc>
          <w:tcPr>
            <w:tcW w:w="1701" w:type="dxa"/>
            <w:vMerge/>
            <w:vAlign w:val="center"/>
          </w:tcPr>
          <w:p w14:paraId="6B7ACC8D" w14:textId="77777777" w:rsidR="007A783F" w:rsidRPr="00FD2B97" w:rsidRDefault="007A783F" w:rsidP="007A783F">
            <w:pPr>
              <w:pStyle w:val="NormalWeb"/>
              <w:jc w:val="center"/>
              <w:rPr>
                <w:rFonts w:ascii="Arial" w:hAnsi="Arial" w:cs="Arial"/>
                <w:sz w:val="20"/>
                <w:szCs w:val="20"/>
              </w:rPr>
            </w:pPr>
          </w:p>
        </w:tc>
        <w:tc>
          <w:tcPr>
            <w:tcW w:w="1276" w:type="dxa"/>
            <w:tcBorders>
              <w:top w:val="nil"/>
              <w:bottom w:val="single" w:sz="4" w:space="0" w:color="auto"/>
            </w:tcBorders>
            <w:vAlign w:val="center"/>
          </w:tcPr>
          <w:p w14:paraId="6106206D"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T6</w:t>
            </w:r>
          </w:p>
        </w:tc>
        <w:tc>
          <w:tcPr>
            <w:tcW w:w="1418" w:type="dxa"/>
            <w:tcBorders>
              <w:top w:val="nil"/>
              <w:bottom w:val="single" w:sz="4" w:space="0" w:color="auto"/>
            </w:tcBorders>
            <w:vAlign w:val="center"/>
          </w:tcPr>
          <w:p w14:paraId="4316E252"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(V2)</w:t>
            </w:r>
          </w:p>
        </w:tc>
        <w:tc>
          <w:tcPr>
            <w:tcW w:w="3260" w:type="dxa"/>
            <w:tcBorders>
              <w:top w:val="nil"/>
              <w:bottom w:val="single" w:sz="4" w:space="0" w:color="auto"/>
            </w:tcBorders>
            <w:vAlign w:val="center"/>
          </w:tcPr>
          <w:p w14:paraId="5FF52CC5"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ridges in sandy soil</w:t>
            </w:r>
          </w:p>
        </w:tc>
        <w:tc>
          <w:tcPr>
            <w:tcW w:w="1027" w:type="dxa"/>
            <w:tcBorders>
              <w:top w:val="nil"/>
              <w:bottom w:val="single" w:sz="4" w:space="0" w:color="auto"/>
            </w:tcBorders>
            <w:vAlign w:val="center"/>
          </w:tcPr>
          <w:p w14:paraId="5BC35842"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V2BS</w:t>
            </w:r>
          </w:p>
        </w:tc>
      </w:tr>
      <w:tr w:rsidR="007A783F" w:rsidRPr="00FD2B97" w14:paraId="16369A87" w14:textId="77777777" w:rsidTr="00FD2B97">
        <w:trPr>
          <w:trHeight w:val="340"/>
          <w:jc w:val="center"/>
        </w:trPr>
        <w:tc>
          <w:tcPr>
            <w:tcW w:w="1129" w:type="dxa"/>
            <w:vMerge/>
            <w:vAlign w:val="center"/>
          </w:tcPr>
          <w:p w14:paraId="3FBDBA1F" w14:textId="77777777" w:rsidR="007A783F" w:rsidRPr="00FD2B97" w:rsidRDefault="007A783F" w:rsidP="007A783F">
            <w:pPr>
              <w:pStyle w:val="NormalWeb"/>
              <w:jc w:val="center"/>
              <w:rPr>
                <w:rFonts w:ascii="Arial" w:hAnsi="Arial" w:cs="Arial"/>
                <w:sz w:val="20"/>
                <w:szCs w:val="20"/>
              </w:rPr>
            </w:pPr>
          </w:p>
        </w:tc>
        <w:tc>
          <w:tcPr>
            <w:tcW w:w="1701" w:type="dxa"/>
            <w:vMerge w:val="restart"/>
            <w:vAlign w:val="center"/>
          </w:tcPr>
          <w:p w14:paraId="6C9A1C30"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Flat land (T)</w:t>
            </w:r>
          </w:p>
        </w:tc>
        <w:tc>
          <w:tcPr>
            <w:tcW w:w="1276" w:type="dxa"/>
            <w:tcBorders>
              <w:bottom w:val="nil"/>
            </w:tcBorders>
            <w:vAlign w:val="center"/>
          </w:tcPr>
          <w:p w14:paraId="6F3850F9"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T7</w:t>
            </w:r>
          </w:p>
        </w:tc>
        <w:tc>
          <w:tcPr>
            <w:tcW w:w="1418" w:type="dxa"/>
            <w:tcBorders>
              <w:bottom w:val="nil"/>
            </w:tcBorders>
            <w:vAlign w:val="center"/>
          </w:tcPr>
          <w:p w14:paraId="5E876441"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14:paraId="0B1DFEF0"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in flat land on sandy soil</w:t>
            </w:r>
          </w:p>
        </w:tc>
        <w:tc>
          <w:tcPr>
            <w:tcW w:w="1027" w:type="dxa"/>
            <w:tcBorders>
              <w:bottom w:val="nil"/>
            </w:tcBorders>
            <w:vAlign w:val="center"/>
          </w:tcPr>
          <w:p w14:paraId="18C9F131"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V1TS</w:t>
            </w:r>
          </w:p>
        </w:tc>
      </w:tr>
      <w:tr w:rsidR="007A783F" w:rsidRPr="00FD2B97" w14:paraId="72F5E634" w14:textId="77777777" w:rsidTr="00FD2B97">
        <w:trPr>
          <w:trHeight w:val="340"/>
          <w:jc w:val="center"/>
        </w:trPr>
        <w:tc>
          <w:tcPr>
            <w:tcW w:w="1129" w:type="dxa"/>
            <w:vMerge/>
            <w:vAlign w:val="center"/>
          </w:tcPr>
          <w:p w14:paraId="47D2E996" w14:textId="77777777" w:rsidR="007A783F" w:rsidRPr="00FD2B97" w:rsidRDefault="007A783F" w:rsidP="007A783F">
            <w:pPr>
              <w:pStyle w:val="NormalWeb"/>
              <w:jc w:val="center"/>
              <w:rPr>
                <w:rFonts w:ascii="Arial" w:hAnsi="Arial" w:cs="Arial"/>
                <w:sz w:val="20"/>
                <w:szCs w:val="20"/>
              </w:rPr>
            </w:pPr>
          </w:p>
        </w:tc>
        <w:tc>
          <w:tcPr>
            <w:tcW w:w="1701" w:type="dxa"/>
            <w:vMerge/>
            <w:vAlign w:val="center"/>
          </w:tcPr>
          <w:p w14:paraId="0157F058" w14:textId="77777777" w:rsidR="007A783F" w:rsidRPr="00FD2B97" w:rsidRDefault="007A783F" w:rsidP="007A783F">
            <w:pPr>
              <w:pStyle w:val="NormalWeb"/>
              <w:jc w:val="center"/>
              <w:rPr>
                <w:rFonts w:ascii="Arial" w:hAnsi="Arial" w:cs="Arial"/>
                <w:sz w:val="20"/>
                <w:szCs w:val="20"/>
              </w:rPr>
            </w:pPr>
          </w:p>
        </w:tc>
        <w:tc>
          <w:tcPr>
            <w:tcW w:w="1276" w:type="dxa"/>
            <w:tcBorders>
              <w:top w:val="nil"/>
            </w:tcBorders>
            <w:vAlign w:val="center"/>
          </w:tcPr>
          <w:p w14:paraId="25AC1312"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T8</w:t>
            </w:r>
          </w:p>
        </w:tc>
        <w:tc>
          <w:tcPr>
            <w:tcW w:w="1418" w:type="dxa"/>
            <w:tcBorders>
              <w:top w:val="nil"/>
            </w:tcBorders>
            <w:vAlign w:val="center"/>
          </w:tcPr>
          <w:p w14:paraId="55646EBC"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(V2)</w:t>
            </w:r>
          </w:p>
        </w:tc>
        <w:tc>
          <w:tcPr>
            <w:tcW w:w="3260" w:type="dxa"/>
            <w:tcBorders>
              <w:top w:val="nil"/>
            </w:tcBorders>
            <w:vAlign w:val="center"/>
          </w:tcPr>
          <w:p w14:paraId="08F8F56F"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flat land with sandy soil</w:t>
            </w:r>
          </w:p>
        </w:tc>
        <w:tc>
          <w:tcPr>
            <w:tcW w:w="1027" w:type="dxa"/>
            <w:tcBorders>
              <w:top w:val="nil"/>
            </w:tcBorders>
            <w:vAlign w:val="center"/>
          </w:tcPr>
          <w:p w14:paraId="51EC57EC"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V2TS</w:t>
            </w:r>
          </w:p>
        </w:tc>
      </w:tr>
    </w:tbl>
    <w:p w14:paraId="5E8D4130" w14:textId="77777777" w:rsidR="004C177F" w:rsidRDefault="004C177F" w:rsidP="00FD2B97">
      <w:pPr>
        <w:tabs>
          <w:tab w:val="left" w:pos="864"/>
        </w:tabs>
        <w:jc w:val="both"/>
        <w:rPr>
          <w:rFonts w:ascii="Arial" w:hAnsi="Arial" w:cs="Arial"/>
          <w:b/>
          <w:sz w:val="22"/>
        </w:rPr>
      </w:pPr>
    </w:p>
    <w:p w14:paraId="6C0AC8A5" w14:textId="77777777" w:rsidR="002611E1" w:rsidRPr="00FD2B97" w:rsidRDefault="002611E1" w:rsidP="00FD2B97">
      <w:pPr>
        <w:tabs>
          <w:tab w:val="left" w:pos="864"/>
        </w:tabs>
        <w:jc w:val="both"/>
        <w:rPr>
          <w:rFonts w:ascii="Arial" w:hAnsi="Arial" w:cs="Arial"/>
          <w:b/>
          <w:sz w:val="22"/>
        </w:rPr>
      </w:pPr>
      <w:r w:rsidRPr="00FD2B97">
        <w:rPr>
          <w:rFonts w:ascii="Arial" w:hAnsi="Arial" w:cs="Arial"/>
          <w:b/>
          <w:sz w:val="22"/>
        </w:rPr>
        <w:lastRenderedPageBreak/>
        <w:t>2.5. Setting up the experiment and evaluating agro-morphological parameters</w:t>
      </w:r>
    </w:p>
    <w:p w14:paraId="74C04598"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Each experimental plot had an area of 36 m² (6 m × 6 m), wi</w:t>
      </w:r>
      <w:r w:rsidR="00B55BCC" w:rsidRPr="00FD2B97">
        <w:rPr>
          <w:rFonts w:ascii="Arial" w:hAnsi="Arial" w:cs="Arial"/>
          <w:sz w:val="20"/>
          <w:szCs w:val="20"/>
        </w:rPr>
        <w:t xml:space="preserve">th 1 m spacing between rows and </w:t>
      </w:r>
      <w:r w:rsidRPr="00FD2B97">
        <w:rPr>
          <w:rFonts w:ascii="Arial" w:hAnsi="Arial" w:cs="Arial"/>
          <w:sz w:val="20"/>
          <w:szCs w:val="20"/>
        </w:rPr>
        <w:t>1 m between plants. Planting was carried out at a density</w:t>
      </w:r>
      <w:r w:rsidR="00B55BCC" w:rsidRPr="00FD2B97">
        <w:rPr>
          <w:rFonts w:ascii="Arial" w:hAnsi="Arial" w:cs="Arial"/>
          <w:sz w:val="20"/>
          <w:szCs w:val="20"/>
        </w:rPr>
        <w:t xml:space="preserve"> of 1 m between rows and 0.80 m </w:t>
      </w:r>
      <w:r w:rsidRPr="00FD2B97">
        <w:rPr>
          <w:rFonts w:ascii="Arial" w:hAnsi="Arial" w:cs="Arial"/>
          <w:sz w:val="20"/>
          <w:szCs w:val="20"/>
        </w:rPr>
        <w:t>between plants in the row. In addition, a distance of 1 m was ma</w:t>
      </w:r>
      <w:r w:rsidR="00B55BCC" w:rsidRPr="00FD2B97">
        <w:rPr>
          <w:rFonts w:ascii="Arial" w:hAnsi="Arial" w:cs="Arial"/>
          <w:sz w:val="20"/>
          <w:szCs w:val="20"/>
        </w:rPr>
        <w:t xml:space="preserve">intained between adjacent plots </w:t>
      </w:r>
      <w:r w:rsidRPr="00FD2B97">
        <w:rPr>
          <w:rFonts w:ascii="Arial" w:hAnsi="Arial" w:cs="Arial"/>
          <w:sz w:val="20"/>
          <w:szCs w:val="20"/>
        </w:rPr>
        <w:t>to limit interference between treatments. The ridges were forme</w:t>
      </w:r>
      <w:r w:rsidR="00B55BCC" w:rsidRPr="00FD2B97">
        <w:rPr>
          <w:rFonts w:ascii="Arial" w:hAnsi="Arial" w:cs="Arial"/>
          <w:sz w:val="20"/>
          <w:szCs w:val="20"/>
        </w:rPr>
        <w:t xml:space="preserve">d with a hoe, reaching a height </w:t>
      </w:r>
      <w:r w:rsidRPr="00FD2B97">
        <w:rPr>
          <w:rFonts w:ascii="Arial" w:hAnsi="Arial" w:cs="Arial"/>
          <w:sz w:val="20"/>
          <w:szCs w:val="20"/>
        </w:rPr>
        <w:t>of 20 to 30 cm. The cassava cuttings were planted vertically at a</w:t>
      </w:r>
      <w:r w:rsidR="00B55BCC" w:rsidRPr="00FD2B97">
        <w:rPr>
          <w:rFonts w:ascii="Arial" w:hAnsi="Arial" w:cs="Arial"/>
          <w:sz w:val="20"/>
          <w:szCs w:val="20"/>
        </w:rPr>
        <w:t xml:space="preserve"> depth of about 10 cm. Cultural </w:t>
      </w:r>
      <w:r w:rsidRPr="00FD2B97">
        <w:rPr>
          <w:rFonts w:ascii="Arial" w:hAnsi="Arial" w:cs="Arial"/>
          <w:sz w:val="20"/>
          <w:szCs w:val="20"/>
        </w:rPr>
        <w:t>maintenance, including weeding and ridging, was carrie</w:t>
      </w:r>
      <w:r w:rsidR="00B55BCC" w:rsidRPr="00FD2B97">
        <w:rPr>
          <w:rFonts w:ascii="Arial" w:hAnsi="Arial" w:cs="Arial"/>
          <w:sz w:val="20"/>
          <w:szCs w:val="20"/>
        </w:rPr>
        <w:t xml:space="preserve">d out manually. Furthermore, no </w:t>
      </w:r>
      <w:r w:rsidRPr="00FD2B97">
        <w:rPr>
          <w:rFonts w:ascii="Arial" w:hAnsi="Arial" w:cs="Arial"/>
          <w:sz w:val="20"/>
          <w:szCs w:val="20"/>
        </w:rPr>
        <w:t>fertilizer was applied in order to observe the natural effects of</w:t>
      </w:r>
      <w:r w:rsidR="00B55BCC" w:rsidRPr="00FD2B97">
        <w:rPr>
          <w:rFonts w:ascii="Arial" w:hAnsi="Arial" w:cs="Arial"/>
          <w:sz w:val="20"/>
          <w:szCs w:val="20"/>
        </w:rPr>
        <w:t xml:space="preserve"> the experimental factors. The </w:t>
      </w:r>
      <w:r w:rsidRPr="00FD2B97">
        <w:rPr>
          <w:rFonts w:ascii="Arial" w:hAnsi="Arial" w:cs="Arial"/>
          <w:sz w:val="20"/>
          <w:szCs w:val="20"/>
        </w:rPr>
        <w:t>following agronomic variables were measured at harvest, 12 mon</w:t>
      </w:r>
      <w:r w:rsidR="00B55BCC" w:rsidRPr="00FD2B97">
        <w:rPr>
          <w:rFonts w:ascii="Arial" w:hAnsi="Arial" w:cs="Arial"/>
          <w:sz w:val="20"/>
          <w:szCs w:val="20"/>
        </w:rPr>
        <w:t xml:space="preserve">ths after </w:t>
      </w:r>
      <w:proofErr w:type="gramStart"/>
      <w:r w:rsidR="00B55BCC" w:rsidRPr="00FD2B97">
        <w:rPr>
          <w:rFonts w:ascii="Arial" w:hAnsi="Arial" w:cs="Arial"/>
          <w:sz w:val="20"/>
          <w:szCs w:val="20"/>
        </w:rPr>
        <w:t>planting:</w:t>
      </w:r>
      <w:proofErr w:type="gramEnd"/>
      <w:r w:rsidR="00B55BCC" w:rsidRPr="00FD2B97">
        <w:rPr>
          <w:rFonts w:ascii="Arial" w:hAnsi="Arial" w:cs="Arial"/>
          <w:sz w:val="20"/>
          <w:szCs w:val="20"/>
        </w:rPr>
        <w:t xml:space="preserve"> tuber yield </w:t>
      </w:r>
      <w:r w:rsidRPr="00FD2B97">
        <w:rPr>
          <w:rFonts w:ascii="Arial" w:hAnsi="Arial" w:cs="Arial"/>
          <w:sz w:val="20"/>
          <w:szCs w:val="20"/>
        </w:rPr>
        <w:t xml:space="preserve">(t/ha), number of tubers per plant, average weight of a tuber </w:t>
      </w:r>
      <w:r w:rsidR="00B55BCC" w:rsidRPr="00FD2B97">
        <w:rPr>
          <w:rFonts w:ascii="Arial" w:hAnsi="Arial" w:cs="Arial"/>
          <w:sz w:val="20"/>
          <w:szCs w:val="20"/>
        </w:rPr>
        <w:t xml:space="preserve">per plant, plant height, collar </w:t>
      </w:r>
      <w:r w:rsidRPr="00FD2B97">
        <w:rPr>
          <w:rFonts w:ascii="Arial" w:hAnsi="Arial" w:cs="Arial"/>
          <w:sz w:val="20"/>
          <w:szCs w:val="20"/>
        </w:rPr>
        <w:t>diameter, and number of plant branches.</w:t>
      </w:r>
    </w:p>
    <w:p w14:paraId="0F3AC88A" w14:textId="77777777" w:rsidR="00B55BCC" w:rsidRPr="00FD2B97" w:rsidRDefault="00B55BCC" w:rsidP="00B55BCC">
      <w:pPr>
        <w:jc w:val="both"/>
        <w:rPr>
          <w:rFonts w:ascii="Arial" w:hAnsi="Arial" w:cs="Arial"/>
          <w:sz w:val="20"/>
          <w:szCs w:val="20"/>
        </w:rPr>
      </w:pPr>
    </w:p>
    <w:p w14:paraId="5D2C1466" w14:textId="77777777" w:rsidR="002611E1" w:rsidRPr="00FD2B97" w:rsidRDefault="002611E1" w:rsidP="002611E1">
      <w:pPr>
        <w:rPr>
          <w:rFonts w:ascii="Arial" w:hAnsi="Arial" w:cs="Arial"/>
          <w:b/>
          <w:sz w:val="20"/>
          <w:szCs w:val="20"/>
        </w:rPr>
      </w:pPr>
      <w:r w:rsidRPr="00FD2B97">
        <w:rPr>
          <w:rFonts w:ascii="Arial" w:hAnsi="Arial" w:cs="Arial"/>
          <w:b/>
          <w:sz w:val="20"/>
          <w:szCs w:val="20"/>
        </w:rPr>
        <w:t>2.6. Statistical analyses</w:t>
      </w:r>
    </w:p>
    <w:p w14:paraId="7F1764B8"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data collected were analyzed using Statistica 7.1 software. A three-factor analysis of</w:t>
      </w:r>
      <w:r w:rsidR="00B55BCC" w:rsidRPr="00FD2B97">
        <w:rPr>
          <w:rFonts w:ascii="Arial" w:hAnsi="Arial" w:cs="Arial"/>
          <w:sz w:val="20"/>
          <w:szCs w:val="20"/>
        </w:rPr>
        <w:t xml:space="preserve"> </w:t>
      </w:r>
      <w:r w:rsidRPr="00FD2B97">
        <w:rPr>
          <w:rFonts w:ascii="Arial" w:hAnsi="Arial" w:cs="Arial"/>
          <w:sz w:val="20"/>
          <w:szCs w:val="20"/>
        </w:rPr>
        <w:t>variance (ANOVA) was performed to evaluate both the main effe</w:t>
      </w:r>
      <w:r w:rsidR="00B55BCC" w:rsidRPr="00FD2B97">
        <w:rPr>
          <w:rFonts w:ascii="Arial" w:hAnsi="Arial" w:cs="Arial"/>
          <w:sz w:val="20"/>
          <w:szCs w:val="20"/>
        </w:rPr>
        <w:t xml:space="preserve">cts (soil type, tillage method, </w:t>
      </w:r>
      <w:r w:rsidRPr="00FD2B97">
        <w:rPr>
          <w:rFonts w:ascii="Arial" w:hAnsi="Arial" w:cs="Arial"/>
          <w:sz w:val="20"/>
          <w:szCs w:val="20"/>
        </w:rPr>
        <w:t>and variety) and their interactions. In the event of significant differences, the means were</w:t>
      </w:r>
      <w:r w:rsidR="007A783F" w:rsidRPr="00FD2B97">
        <w:rPr>
          <w:rFonts w:ascii="Arial" w:hAnsi="Arial" w:cs="Arial"/>
          <w:sz w:val="20"/>
          <w:szCs w:val="20"/>
        </w:rPr>
        <w:t xml:space="preserve"> </w:t>
      </w:r>
      <w:r w:rsidRPr="00FD2B97">
        <w:rPr>
          <w:rFonts w:ascii="Arial" w:hAnsi="Arial" w:cs="Arial"/>
          <w:sz w:val="20"/>
          <w:szCs w:val="20"/>
        </w:rPr>
        <w:t>compared using the Student-Newman-Keuls test, with a significance threshold set at 5%.</w:t>
      </w:r>
    </w:p>
    <w:p w14:paraId="3F7FD49D" w14:textId="77777777" w:rsidR="00B55BCC" w:rsidRPr="00FD2B97" w:rsidRDefault="00B55BCC" w:rsidP="002611E1">
      <w:pPr>
        <w:rPr>
          <w:rFonts w:ascii="Arial" w:hAnsi="Arial" w:cs="Arial"/>
          <w:sz w:val="20"/>
          <w:szCs w:val="20"/>
        </w:rPr>
      </w:pPr>
    </w:p>
    <w:p w14:paraId="260C68EC" w14:textId="77777777" w:rsidR="002611E1" w:rsidRPr="00FD2B97" w:rsidRDefault="002611E1" w:rsidP="00FD2B97">
      <w:pPr>
        <w:jc w:val="both"/>
        <w:rPr>
          <w:rFonts w:ascii="Arial" w:hAnsi="Arial" w:cs="Arial"/>
          <w:b/>
          <w:sz w:val="22"/>
        </w:rPr>
      </w:pPr>
      <w:r w:rsidRPr="00FD2B97">
        <w:rPr>
          <w:rFonts w:ascii="Arial" w:hAnsi="Arial" w:cs="Arial"/>
          <w:b/>
          <w:sz w:val="22"/>
        </w:rPr>
        <w:t>3. RESULTS AND DISCUSSION</w:t>
      </w:r>
    </w:p>
    <w:p w14:paraId="4521F010" w14:textId="77777777" w:rsidR="002611E1" w:rsidRPr="00FD2B97" w:rsidRDefault="002611E1" w:rsidP="00FD2B97">
      <w:pPr>
        <w:jc w:val="both"/>
        <w:rPr>
          <w:rFonts w:ascii="Arial" w:hAnsi="Arial" w:cs="Arial"/>
          <w:b/>
          <w:sz w:val="22"/>
        </w:rPr>
      </w:pPr>
      <w:r w:rsidRPr="00FD2B97">
        <w:rPr>
          <w:rFonts w:ascii="Arial" w:hAnsi="Arial" w:cs="Arial"/>
          <w:b/>
          <w:sz w:val="22"/>
        </w:rPr>
        <w:t>3.1. Results</w:t>
      </w:r>
    </w:p>
    <w:p w14:paraId="420376D8" w14:textId="77777777" w:rsidR="002611E1" w:rsidRPr="00FD2B97" w:rsidRDefault="002611E1" w:rsidP="00FD2B97">
      <w:pPr>
        <w:jc w:val="both"/>
        <w:rPr>
          <w:rFonts w:ascii="Arial" w:hAnsi="Arial" w:cs="Arial"/>
          <w:b/>
          <w:sz w:val="22"/>
        </w:rPr>
      </w:pPr>
      <w:r w:rsidRPr="00FD2B97">
        <w:rPr>
          <w:rFonts w:ascii="Arial" w:hAnsi="Arial" w:cs="Arial"/>
          <w:b/>
          <w:sz w:val="22"/>
        </w:rPr>
        <w:t>3.1.1. Study of the morpho-pedological characteristics of the soils at the study sites</w:t>
      </w:r>
    </w:p>
    <w:p w14:paraId="19F31EED" w14:textId="77777777" w:rsidR="002611E1" w:rsidRPr="00FD2B97" w:rsidRDefault="002611E1" w:rsidP="00FD2B97">
      <w:pPr>
        <w:jc w:val="both"/>
        <w:rPr>
          <w:rFonts w:ascii="Arial" w:hAnsi="Arial" w:cs="Arial"/>
          <w:b/>
          <w:sz w:val="22"/>
        </w:rPr>
      </w:pPr>
      <w:r w:rsidRPr="00FD2B97">
        <w:rPr>
          <w:rFonts w:ascii="Arial" w:hAnsi="Arial" w:cs="Arial"/>
          <w:b/>
          <w:sz w:val="22"/>
        </w:rPr>
        <w:t>3.1.1.1. Morpho-pedological characteristics of the sandy site soil</w:t>
      </w:r>
    </w:p>
    <w:p w14:paraId="1EF63780" w14:textId="77777777" w:rsidR="002611E1" w:rsidRDefault="002611E1" w:rsidP="00FD2B97">
      <w:pPr>
        <w:spacing w:line="240" w:lineRule="auto"/>
        <w:jc w:val="both"/>
        <w:rPr>
          <w:rFonts w:ascii="Arial" w:hAnsi="Arial" w:cs="Arial"/>
          <w:sz w:val="20"/>
          <w:szCs w:val="20"/>
        </w:rPr>
      </w:pPr>
      <w:r w:rsidRPr="00FD2B97">
        <w:rPr>
          <w:rFonts w:ascii="Arial" w:hAnsi="Arial" w:cs="Arial"/>
          <w:sz w:val="20"/>
          <w:szCs w:val="20"/>
        </w:rPr>
        <w:t>The description of the soil profile of the sandy site revealed a stratification marked by a gradual</w:t>
      </w:r>
      <w:r w:rsidR="00B55BCC" w:rsidRPr="00FD2B97">
        <w:rPr>
          <w:rFonts w:ascii="Arial" w:hAnsi="Arial" w:cs="Arial"/>
          <w:sz w:val="20"/>
          <w:szCs w:val="20"/>
        </w:rPr>
        <w:t xml:space="preserve"> </w:t>
      </w:r>
      <w:r w:rsidRPr="00FD2B97">
        <w:rPr>
          <w:rFonts w:ascii="Arial" w:hAnsi="Arial" w:cs="Arial"/>
          <w:sz w:val="20"/>
          <w:szCs w:val="20"/>
        </w:rPr>
        <w:t>evolution of the physical, chemical, and structural characterist</w:t>
      </w:r>
      <w:r w:rsidR="00B55BCC" w:rsidRPr="00FD2B97">
        <w:rPr>
          <w:rFonts w:ascii="Arial" w:hAnsi="Arial" w:cs="Arial"/>
          <w:sz w:val="20"/>
          <w:szCs w:val="20"/>
        </w:rPr>
        <w:t>ics of the soil (Fig</w:t>
      </w:r>
      <w:r w:rsidR="004C177F">
        <w:rPr>
          <w:rFonts w:ascii="Arial" w:hAnsi="Arial" w:cs="Arial"/>
          <w:sz w:val="20"/>
          <w:szCs w:val="20"/>
        </w:rPr>
        <w:t>.</w:t>
      </w:r>
      <w:r w:rsidR="00B55BCC" w:rsidRPr="00FD2B97">
        <w:rPr>
          <w:rFonts w:ascii="Arial" w:hAnsi="Arial" w:cs="Arial"/>
          <w:sz w:val="20"/>
          <w:szCs w:val="20"/>
        </w:rPr>
        <w:t xml:space="preserve"> 2). The </w:t>
      </w:r>
      <w:r w:rsidRPr="00FD2B97">
        <w:rPr>
          <w:rFonts w:ascii="Arial" w:hAnsi="Arial" w:cs="Arial"/>
          <w:sz w:val="20"/>
          <w:szCs w:val="20"/>
        </w:rPr>
        <w:t xml:space="preserve">profile studied corresponds to a lower slope soil with a total </w:t>
      </w:r>
      <w:r w:rsidR="00B55BCC" w:rsidRPr="00FD2B97">
        <w:rPr>
          <w:rFonts w:ascii="Arial" w:hAnsi="Arial" w:cs="Arial"/>
          <w:sz w:val="20"/>
          <w:szCs w:val="20"/>
        </w:rPr>
        <w:t xml:space="preserve">depth of 110 cm and a generally </w:t>
      </w:r>
      <w:r w:rsidRPr="00FD2B97">
        <w:rPr>
          <w:rFonts w:ascii="Arial" w:hAnsi="Arial" w:cs="Arial"/>
          <w:sz w:val="20"/>
          <w:szCs w:val="20"/>
        </w:rPr>
        <w:t>grayish color. At the surface, the O horizon (0-3 cm) is grayish</w:t>
      </w:r>
      <w:r w:rsidR="00B55BCC" w:rsidRPr="00FD2B97">
        <w:rPr>
          <w:rFonts w:ascii="Arial" w:hAnsi="Arial" w:cs="Arial"/>
          <w:sz w:val="20"/>
          <w:szCs w:val="20"/>
        </w:rPr>
        <w:t xml:space="preserve"> black-brown (10YR 3/2), humic, </w:t>
      </w:r>
      <w:r w:rsidRPr="00FD2B97">
        <w:rPr>
          <w:rFonts w:ascii="Arial" w:hAnsi="Arial" w:cs="Arial"/>
          <w:sz w:val="20"/>
          <w:szCs w:val="20"/>
        </w:rPr>
        <w:t xml:space="preserve">loose, and sandy in texture. Its structure is lumpy, revealing high porosity. </w:t>
      </w:r>
      <w:r w:rsidR="00B55BCC" w:rsidRPr="00FD2B97">
        <w:rPr>
          <w:rFonts w:ascii="Arial" w:hAnsi="Arial" w:cs="Arial"/>
          <w:sz w:val="20"/>
          <w:szCs w:val="20"/>
        </w:rPr>
        <w:t xml:space="preserve">Although no coarse </w:t>
      </w:r>
      <w:r w:rsidRPr="00FD2B97">
        <w:rPr>
          <w:rFonts w:ascii="Arial" w:hAnsi="Arial" w:cs="Arial"/>
          <w:sz w:val="20"/>
          <w:szCs w:val="20"/>
        </w:rPr>
        <w:t xml:space="preserve">material is observed, there is an abundance of fine, subhorizontal </w:t>
      </w:r>
      <w:r w:rsidR="00B55BCC" w:rsidRPr="00FD2B97">
        <w:rPr>
          <w:rFonts w:ascii="Arial" w:hAnsi="Arial" w:cs="Arial"/>
          <w:sz w:val="20"/>
          <w:szCs w:val="20"/>
        </w:rPr>
        <w:t xml:space="preserve">roots and galleries, indicating </w:t>
      </w:r>
      <w:r w:rsidRPr="00FD2B97">
        <w:rPr>
          <w:rFonts w:ascii="Arial" w:hAnsi="Arial" w:cs="Arial"/>
          <w:sz w:val="20"/>
          <w:szCs w:val="20"/>
        </w:rPr>
        <w:t>high biological activity. Horizon A1 (3-15 cm) retains a grayis</w:t>
      </w:r>
      <w:r w:rsidR="00B55BCC" w:rsidRPr="00FD2B97">
        <w:rPr>
          <w:rFonts w:ascii="Arial" w:hAnsi="Arial" w:cs="Arial"/>
          <w:sz w:val="20"/>
          <w:szCs w:val="20"/>
        </w:rPr>
        <w:t xml:space="preserve">h black-brown color (10YR 3/2). </w:t>
      </w:r>
      <w:r w:rsidRPr="00FD2B97">
        <w:rPr>
          <w:rFonts w:ascii="Arial" w:hAnsi="Arial" w:cs="Arial"/>
          <w:sz w:val="20"/>
          <w:szCs w:val="20"/>
        </w:rPr>
        <w:t xml:space="preserve">Although humification is less pronounced here, the texture </w:t>
      </w:r>
      <w:r w:rsidR="00B55BCC" w:rsidRPr="00FD2B97">
        <w:rPr>
          <w:rFonts w:ascii="Arial" w:hAnsi="Arial" w:cs="Arial"/>
          <w:sz w:val="20"/>
          <w:szCs w:val="20"/>
        </w:rPr>
        <w:t xml:space="preserve">remains sandy and the structure </w:t>
      </w:r>
      <w:r w:rsidRPr="00FD2B97">
        <w:rPr>
          <w:rFonts w:ascii="Arial" w:hAnsi="Arial" w:cs="Arial"/>
          <w:sz w:val="20"/>
          <w:szCs w:val="20"/>
        </w:rPr>
        <w:t>lumpy. Horizon A11 (15-27 cm), which is blackish-brownish</w:t>
      </w:r>
      <w:r w:rsidR="00B55BCC" w:rsidRPr="00FD2B97">
        <w:rPr>
          <w:rFonts w:ascii="Arial" w:hAnsi="Arial" w:cs="Arial"/>
          <w:sz w:val="20"/>
          <w:szCs w:val="20"/>
        </w:rPr>
        <w:t xml:space="preserve">-yellow (10YR 4/4), has similar </w:t>
      </w:r>
      <w:r w:rsidRPr="00FD2B97">
        <w:rPr>
          <w:rFonts w:ascii="Arial" w:hAnsi="Arial" w:cs="Arial"/>
          <w:sz w:val="20"/>
          <w:szCs w:val="20"/>
        </w:rPr>
        <w:t>characteristics to the upper horizon, but with a slightly lower</w:t>
      </w:r>
      <w:r w:rsidR="00B55BCC" w:rsidRPr="00FD2B97">
        <w:rPr>
          <w:rFonts w:ascii="Arial" w:hAnsi="Arial" w:cs="Arial"/>
          <w:sz w:val="20"/>
          <w:szCs w:val="20"/>
        </w:rPr>
        <w:t xml:space="preserve"> organic matter content and low </w:t>
      </w:r>
      <w:r w:rsidRPr="00FD2B97">
        <w:rPr>
          <w:rFonts w:ascii="Arial" w:hAnsi="Arial" w:cs="Arial"/>
          <w:sz w:val="20"/>
          <w:szCs w:val="20"/>
        </w:rPr>
        <w:t>compaction. From 27 cm downwards, horizon A12 (27-75 c</w:t>
      </w:r>
      <w:r w:rsidR="00B55BCC" w:rsidRPr="00FD2B97">
        <w:rPr>
          <w:rFonts w:ascii="Arial" w:hAnsi="Arial" w:cs="Arial"/>
          <w:sz w:val="20"/>
          <w:szCs w:val="20"/>
        </w:rPr>
        <w:t xml:space="preserve">m), brown (10YR 7/3), gradually </w:t>
      </w:r>
      <w:r w:rsidRPr="00FD2B97">
        <w:rPr>
          <w:rFonts w:ascii="Arial" w:hAnsi="Arial" w:cs="Arial"/>
          <w:sz w:val="20"/>
          <w:szCs w:val="20"/>
        </w:rPr>
        <w:t xml:space="preserve">loses its humification and adopts a sub-angular polyhedral </w:t>
      </w:r>
      <w:r w:rsidR="00B55BCC" w:rsidRPr="00FD2B97">
        <w:rPr>
          <w:rFonts w:ascii="Arial" w:hAnsi="Arial" w:cs="Arial"/>
          <w:sz w:val="20"/>
          <w:szCs w:val="20"/>
        </w:rPr>
        <w:t xml:space="preserve">structure. This horizon is more </w:t>
      </w:r>
      <w:r w:rsidRPr="00FD2B97">
        <w:rPr>
          <w:rFonts w:ascii="Arial" w:hAnsi="Arial" w:cs="Arial"/>
          <w:sz w:val="20"/>
          <w:szCs w:val="20"/>
        </w:rPr>
        <w:t>compact, less porous and devoid of coarse matter. The presenc</w:t>
      </w:r>
      <w:r w:rsidR="00B55BCC" w:rsidRPr="00FD2B97">
        <w:rPr>
          <w:rFonts w:ascii="Arial" w:hAnsi="Arial" w:cs="Arial"/>
          <w:sz w:val="20"/>
          <w:szCs w:val="20"/>
        </w:rPr>
        <w:t xml:space="preserve">e of roots is sporadic, and the </w:t>
      </w:r>
      <w:r w:rsidRPr="00FD2B97">
        <w:rPr>
          <w:rFonts w:ascii="Arial" w:hAnsi="Arial" w:cs="Arial"/>
          <w:sz w:val="20"/>
          <w:szCs w:val="20"/>
        </w:rPr>
        <w:t>transition to the next horizon is clear. The A13 horizon (75-91</w:t>
      </w:r>
      <w:r w:rsidR="00B55BCC" w:rsidRPr="00FD2B97">
        <w:rPr>
          <w:rFonts w:ascii="Arial" w:hAnsi="Arial" w:cs="Arial"/>
          <w:sz w:val="20"/>
          <w:szCs w:val="20"/>
        </w:rPr>
        <w:t xml:space="preserve"> cm), yellowish (2.5YR 8/4), is </w:t>
      </w:r>
      <w:r w:rsidRPr="00FD2B97">
        <w:rPr>
          <w:rFonts w:ascii="Arial" w:hAnsi="Arial" w:cs="Arial"/>
          <w:sz w:val="20"/>
          <w:szCs w:val="20"/>
        </w:rPr>
        <w:t>non-humic and friable, with a sub-angular polyhedral structur</w:t>
      </w:r>
      <w:r w:rsidR="00B55BCC" w:rsidRPr="00FD2B97">
        <w:rPr>
          <w:rFonts w:ascii="Arial" w:hAnsi="Arial" w:cs="Arial"/>
          <w:sz w:val="20"/>
          <w:szCs w:val="20"/>
        </w:rPr>
        <w:t xml:space="preserve">e. Finally, horizon A15 (91-110 </w:t>
      </w:r>
      <w:r w:rsidRPr="00FD2B97">
        <w:rPr>
          <w:rFonts w:ascii="Arial" w:hAnsi="Arial" w:cs="Arial"/>
          <w:sz w:val="20"/>
          <w:szCs w:val="20"/>
        </w:rPr>
        <w:t>cm), olive yellow (2.5YR 6/6) and non-humic, remains friable and retains a san</w:t>
      </w:r>
      <w:r w:rsidR="00B55BCC" w:rsidRPr="00FD2B97">
        <w:rPr>
          <w:rFonts w:ascii="Arial" w:hAnsi="Arial" w:cs="Arial"/>
          <w:sz w:val="20"/>
          <w:szCs w:val="20"/>
        </w:rPr>
        <w:t xml:space="preserve">dy texture. Roots </w:t>
      </w:r>
      <w:r w:rsidRPr="00FD2B97">
        <w:rPr>
          <w:rFonts w:ascii="Arial" w:hAnsi="Arial" w:cs="Arial"/>
          <w:sz w:val="20"/>
          <w:szCs w:val="20"/>
        </w:rPr>
        <w:t>are rare, and the transition to the underlying substrate is d</w:t>
      </w:r>
      <w:r w:rsidR="00B55BCC" w:rsidRPr="00FD2B97">
        <w:rPr>
          <w:rFonts w:ascii="Arial" w:hAnsi="Arial" w:cs="Arial"/>
          <w:sz w:val="20"/>
          <w:szCs w:val="20"/>
        </w:rPr>
        <w:t xml:space="preserve">iffuse. Overall, the boundaries </w:t>
      </w:r>
      <w:r w:rsidRPr="00FD2B97">
        <w:rPr>
          <w:rFonts w:ascii="Arial" w:hAnsi="Arial" w:cs="Arial"/>
          <w:sz w:val="20"/>
          <w:szCs w:val="20"/>
        </w:rPr>
        <w:t>between horizons are irregular, reflecting gradual changes in</w:t>
      </w:r>
      <w:r w:rsidR="00B55BCC" w:rsidRPr="00FD2B97">
        <w:rPr>
          <w:rFonts w:ascii="Arial" w:hAnsi="Arial" w:cs="Arial"/>
          <w:sz w:val="20"/>
          <w:szCs w:val="20"/>
        </w:rPr>
        <w:t xml:space="preserve"> soil structure and properties. </w:t>
      </w:r>
      <w:r w:rsidRPr="00FD2B97">
        <w:rPr>
          <w:rFonts w:ascii="Arial" w:hAnsi="Arial" w:cs="Arial"/>
          <w:sz w:val="20"/>
          <w:szCs w:val="20"/>
        </w:rPr>
        <w:t>According to the World Reference Base for Soil Resources (WRB)</w:t>
      </w:r>
      <w:r w:rsidR="00B55BCC" w:rsidRPr="00FD2B97">
        <w:rPr>
          <w:rFonts w:ascii="Arial" w:hAnsi="Arial" w:cs="Arial"/>
          <w:sz w:val="20"/>
          <w:szCs w:val="20"/>
        </w:rPr>
        <w:t xml:space="preserve">, this soil is classified as an </w:t>
      </w:r>
      <w:r w:rsidRPr="00FD2B97">
        <w:rPr>
          <w:rFonts w:ascii="Arial" w:hAnsi="Arial" w:cs="Arial"/>
          <w:sz w:val="20"/>
          <w:szCs w:val="20"/>
        </w:rPr>
        <w:t xml:space="preserve">Arenosol, while according to the French soil reference system </w:t>
      </w:r>
      <w:r w:rsidR="00B55BCC" w:rsidRPr="00FD2B97">
        <w:rPr>
          <w:rFonts w:ascii="Arial" w:hAnsi="Arial" w:cs="Arial"/>
          <w:sz w:val="20"/>
          <w:szCs w:val="20"/>
        </w:rPr>
        <w:t>(</w:t>
      </w:r>
      <w:r w:rsidR="00B55BCC" w:rsidRPr="0074606C">
        <w:rPr>
          <w:rFonts w:ascii="Arial" w:hAnsi="Arial" w:cs="Arial"/>
          <w:sz w:val="20"/>
          <w:szCs w:val="20"/>
        </w:rPr>
        <w:t>CPCS</w:t>
      </w:r>
      <w:r w:rsidR="00B55BCC" w:rsidRPr="00FD2B97">
        <w:rPr>
          <w:rFonts w:ascii="Arial" w:hAnsi="Arial" w:cs="Arial"/>
          <w:sz w:val="20"/>
          <w:szCs w:val="20"/>
        </w:rPr>
        <w:t xml:space="preserve">), it corresponds to </w:t>
      </w:r>
      <w:r w:rsidRPr="00FD2B97">
        <w:rPr>
          <w:rFonts w:ascii="Arial" w:hAnsi="Arial" w:cs="Arial"/>
          <w:sz w:val="20"/>
          <w:szCs w:val="20"/>
        </w:rPr>
        <w:t>an impoverished ferralitic soil.</w:t>
      </w:r>
    </w:p>
    <w:p w14:paraId="66BBF553" w14:textId="77777777" w:rsidR="00FD2B97" w:rsidRPr="00FD2B97" w:rsidRDefault="00FD2B97" w:rsidP="00FD2B97">
      <w:pPr>
        <w:spacing w:line="240" w:lineRule="auto"/>
        <w:jc w:val="both"/>
        <w:rPr>
          <w:rFonts w:ascii="Arial" w:hAnsi="Arial" w:cs="Arial"/>
          <w:sz w:val="20"/>
          <w:szCs w:val="20"/>
        </w:rPr>
      </w:pPr>
    </w:p>
    <w:p w14:paraId="53BF6A76" w14:textId="77777777" w:rsidR="00B55BCC" w:rsidRPr="00FD2B97" w:rsidRDefault="007A783F" w:rsidP="007A783F">
      <w:pPr>
        <w:jc w:val="center"/>
        <w:rPr>
          <w:rFonts w:ascii="Arial" w:hAnsi="Arial" w:cs="Arial"/>
          <w:sz w:val="20"/>
          <w:szCs w:val="20"/>
        </w:rPr>
      </w:pPr>
      <w:r w:rsidRPr="00FD2B97">
        <w:rPr>
          <w:rFonts w:ascii="Arial" w:eastAsia="Calibri" w:hAnsi="Arial" w:cs="Arial"/>
          <w:bCs/>
          <w:noProof/>
          <w:sz w:val="20"/>
          <w:szCs w:val="20"/>
          <w:lang w:val="en-IN" w:eastAsia="en-IN"/>
        </w:rPr>
        <w:drawing>
          <wp:inline distT="0" distB="0" distL="0" distR="0" wp14:anchorId="5FEAC4F0" wp14:editId="4C9218BB">
            <wp:extent cx="2073287" cy="1915321"/>
            <wp:effectExtent l="0" t="0" r="3175" b="8890"/>
            <wp:docPr id="20325164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16459" name="Image 2032516459"/>
                    <pic:cNvPicPr/>
                  </pic:nvPicPr>
                  <pic:blipFill>
                    <a:blip r:embed="rId10">
                      <a:extLst>
                        <a:ext uri="{28A0092B-C50C-407E-A947-70E740481C1C}">
                          <a14:useLocalDpi xmlns:a14="http://schemas.microsoft.com/office/drawing/2010/main" val="0"/>
                        </a:ext>
                      </a:extLst>
                    </a:blip>
                    <a:stretch>
                      <a:fillRect/>
                    </a:stretch>
                  </pic:blipFill>
                  <pic:spPr>
                    <a:xfrm>
                      <a:off x="0" y="0"/>
                      <a:ext cx="2087659" cy="1928598"/>
                    </a:xfrm>
                    <a:prstGeom prst="rect">
                      <a:avLst/>
                    </a:prstGeom>
                  </pic:spPr>
                </pic:pic>
              </a:graphicData>
            </a:graphic>
          </wp:inline>
        </w:drawing>
      </w:r>
    </w:p>
    <w:p w14:paraId="71640DA0" w14:textId="77777777" w:rsidR="002611E1" w:rsidRPr="004C177F" w:rsidRDefault="002611E1" w:rsidP="007A783F">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2: Profile of the sandy site</w:t>
      </w:r>
    </w:p>
    <w:p w14:paraId="266BAE62" w14:textId="77777777" w:rsidR="002611E1" w:rsidRPr="00FD2B97" w:rsidRDefault="002611E1" w:rsidP="002611E1">
      <w:pPr>
        <w:rPr>
          <w:rFonts w:ascii="Arial" w:hAnsi="Arial" w:cs="Arial"/>
          <w:b/>
          <w:sz w:val="22"/>
        </w:rPr>
      </w:pPr>
      <w:r w:rsidRPr="00FD2B97">
        <w:rPr>
          <w:rFonts w:ascii="Arial" w:hAnsi="Arial" w:cs="Arial"/>
          <w:b/>
          <w:sz w:val="22"/>
        </w:rPr>
        <w:lastRenderedPageBreak/>
        <w:t>3.1.1.2. Morphological and pedological characteristics of the clay soil at the site</w:t>
      </w:r>
    </w:p>
    <w:p w14:paraId="0C0DB7CD"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soil profile studied corresponds to a plateau soil, characterized by a depth of up to 90 cm</w:t>
      </w:r>
      <w:r w:rsidR="00B55BCC" w:rsidRPr="00FD2B97">
        <w:rPr>
          <w:rFonts w:ascii="Arial" w:hAnsi="Arial" w:cs="Arial"/>
          <w:sz w:val="20"/>
          <w:szCs w:val="20"/>
        </w:rPr>
        <w:t xml:space="preserve"> </w:t>
      </w:r>
      <w:r w:rsidRPr="00FD2B97">
        <w:rPr>
          <w:rFonts w:ascii="Arial" w:hAnsi="Arial" w:cs="Arial"/>
          <w:sz w:val="20"/>
          <w:szCs w:val="20"/>
        </w:rPr>
        <w:t>and a predominantly yellowish-red color (</w:t>
      </w:r>
      <w:r w:rsidR="004C177F">
        <w:rPr>
          <w:rFonts w:ascii="Arial" w:hAnsi="Arial" w:cs="Arial"/>
          <w:sz w:val="20"/>
          <w:szCs w:val="20"/>
        </w:rPr>
        <w:t>Fig.</w:t>
      </w:r>
      <w:r w:rsidRPr="00FD2B97">
        <w:rPr>
          <w:rFonts w:ascii="Arial" w:hAnsi="Arial" w:cs="Arial"/>
          <w:sz w:val="20"/>
          <w:szCs w:val="20"/>
        </w:rPr>
        <w:t xml:space="preserve"> 3). The soil structure varie</w:t>
      </w:r>
      <w:r w:rsidR="00B55BCC" w:rsidRPr="00FD2B97">
        <w:rPr>
          <w:rFonts w:ascii="Arial" w:hAnsi="Arial" w:cs="Arial"/>
          <w:sz w:val="20"/>
          <w:szCs w:val="20"/>
        </w:rPr>
        <w:t xml:space="preserve">s with depth, </w:t>
      </w:r>
      <w:r w:rsidRPr="00FD2B97">
        <w:rPr>
          <w:rFonts w:ascii="Arial" w:hAnsi="Arial" w:cs="Arial"/>
          <w:sz w:val="20"/>
          <w:szCs w:val="20"/>
        </w:rPr>
        <w:t>changing from a lumpy structure on the surface to a massive, s</w:t>
      </w:r>
      <w:r w:rsidR="00B55BCC" w:rsidRPr="00FD2B97">
        <w:rPr>
          <w:rFonts w:ascii="Arial" w:hAnsi="Arial" w:cs="Arial"/>
          <w:sz w:val="20"/>
          <w:szCs w:val="20"/>
        </w:rPr>
        <w:t xml:space="preserve">ub-angular polyhedral structure </w:t>
      </w:r>
      <w:r w:rsidRPr="00FD2B97">
        <w:rPr>
          <w:rFonts w:ascii="Arial" w:hAnsi="Arial" w:cs="Arial"/>
          <w:sz w:val="20"/>
          <w:szCs w:val="20"/>
        </w:rPr>
        <w:t>at depth. The texture is loamy in the upper horizons and become</w:t>
      </w:r>
      <w:r w:rsidR="00B55BCC" w:rsidRPr="00FD2B97">
        <w:rPr>
          <w:rFonts w:ascii="Arial" w:hAnsi="Arial" w:cs="Arial"/>
          <w:sz w:val="20"/>
          <w:szCs w:val="20"/>
        </w:rPr>
        <w:t xml:space="preserve">s clayey in the lower horizons, </w:t>
      </w:r>
      <w:r w:rsidRPr="00FD2B97">
        <w:rPr>
          <w:rFonts w:ascii="Arial" w:hAnsi="Arial" w:cs="Arial"/>
          <w:sz w:val="20"/>
          <w:szCs w:val="20"/>
        </w:rPr>
        <w:t>reflecting significant physical and chemical heterogeneity. The first horizon (0-23 cm), brown</w:t>
      </w:r>
      <w:r w:rsidR="00B55BCC" w:rsidRPr="00FD2B97">
        <w:rPr>
          <w:rFonts w:ascii="Arial" w:hAnsi="Arial" w:cs="Arial"/>
          <w:sz w:val="20"/>
          <w:szCs w:val="20"/>
        </w:rPr>
        <w:t xml:space="preserve"> </w:t>
      </w:r>
      <w:r w:rsidRPr="00FD2B97">
        <w:rPr>
          <w:rFonts w:ascii="Arial" w:hAnsi="Arial" w:cs="Arial"/>
          <w:sz w:val="20"/>
          <w:szCs w:val="20"/>
        </w:rPr>
        <w:t>(10YR 4/3), is slightly humic, not very compact, and has a loa</w:t>
      </w:r>
      <w:r w:rsidR="00B55BCC" w:rsidRPr="00FD2B97">
        <w:rPr>
          <w:rFonts w:ascii="Arial" w:hAnsi="Arial" w:cs="Arial"/>
          <w:sz w:val="20"/>
          <w:szCs w:val="20"/>
        </w:rPr>
        <w:t xml:space="preserve">my texture. Its lumpy structure </w:t>
      </w:r>
      <w:r w:rsidRPr="00FD2B97">
        <w:rPr>
          <w:rFonts w:ascii="Arial" w:hAnsi="Arial" w:cs="Arial"/>
          <w:sz w:val="20"/>
          <w:szCs w:val="20"/>
        </w:rPr>
        <w:t>promotes good aeration and significant porosity. There are fe</w:t>
      </w:r>
      <w:r w:rsidR="00B55BCC" w:rsidRPr="00FD2B97">
        <w:rPr>
          <w:rFonts w:ascii="Arial" w:hAnsi="Arial" w:cs="Arial"/>
          <w:sz w:val="20"/>
          <w:szCs w:val="20"/>
        </w:rPr>
        <w:t xml:space="preserve">w coarse elements, indicating a </w:t>
      </w:r>
      <w:r w:rsidRPr="00FD2B97">
        <w:rPr>
          <w:rFonts w:ascii="Arial" w:hAnsi="Arial" w:cs="Arial"/>
          <w:sz w:val="20"/>
          <w:szCs w:val="20"/>
        </w:rPr>
        <w:t>relatively homogeneous texture. The soil is porous, faci</w:t>
      </w:r>
      <w:r w:rsidR="00B55BCC" w:rsidRPr="00FD2B97">
        <w:rPr>
          <w:rFonts w:ascii="Arial" w:hAnsi="Arial" w:cs="Arial"/>
          <w:sz w:val="20"/>
          <w:szCs w:val="20"/>
        </w:rPr>
        <w:t xml:space="preserve">litating gas exchange and water </w:t>
      </w:r>
      <w:r w:rsidRPr="00FD2B97">
        <w:rPr>
          <w:rFonts w:ascii="Arial" w:hAnsi="Arial" w:cs="Arial"/>
          <w:sz w:val="20"/>
          <w:szCs w:val="20"/>
        </w:rPr>
        <w:t xml:space="preserve">infiltration. The transition between this horizon and the next is </w:t>
      </w:r>
      <w:r w:rsidR="00B55BCC" w:rsidRPr="00FD2B97">
        <w:rPr>
          <w:rFonts w:ascii="Arial" w:hAnsi="Arial" w:cs="Arial"/>
          <w:sz w:val="20"/>
          <w:szCs w:val="20"/>
        </w:rPr>
        <w:t xml:space="preserve">clear but irregular. Horizon B1 </w:t>
      </w:r>
      <w:r w:rsidRPr="00FD2B97">
        <w:rPr>
          <w:rFonts w:ascii="Arial" w:hAnsi="Arial" w:cs="Arial"/>
          <w:sz w:val="20"/>
          <w:szCs w:val="20"/>
        </w:rPr>
        <w:t>(23-56 cm), yellowish-red (5YR 5/6), is virtually devoid of org</w:t>
      </w:r>
      <w:r w:rsidR="00B55BCC" w:rsidRPr="00FD2B97">
        <w:rPr>
          <w:rFonts w:ascii="Arial" w:hAnsi="Arial" w:cs="Arial"/>
          <w:sz w:val="20"/>
          <w:szCs w:val="20"/>
        </w:rPr>
        <w:t xml:space="preserve">anic matter. Its clayey texture </w:t>
      </w:r>
      <w:r w:rsidRPr="00FD2B97">
        <w:rPr>
          <w:rFonts w:ascii="Arial" w:hAnsi="Arial" w:cs="Arial"/>
          <w:sz w:val="20"/>
          <w:szCs w:val="20"/>
        </w:rPr>
        <w:t>and sub-angular polyhedral structure make it compact, limi</w:t>
      </w:r>
      <w:r w:rsidR="00B55BCC" w:rsidRPr="00FD2B97">
        <w:rPr>
          <w:rFonts w:ascii="Arial" w:hAnsi="Arial" w:cs="Arial"/>
          <w:sz w:val="20"/>
          <w:szCs w:val="20"/>
        </w:rPr>
        <w:t xml:space="preserve">ting porosity and water and air </w:t>
      </w:r>
      <w:r w:rsidRPr="00FD2B97">
        <w:rPr>
          <w:rFonts w:ascii="Arial" w:hAnsi="Arial" w:cs="Arial"/>
          <w:sz w:val="20"/>
          <w:szCs w:val="20"/>
        </w:rPr>
        <w:t>exchange. Although rare, fine subhorizontal roots penetrat</w:t>
      </w:r>
      <w:r w:rsidR="00B55BCC" w:rsidRPr="00FD2B97">
        <w:rPr>
          <w:rFonts w:ascii="Arial" w:hAnsi="Arial" w:cs="Arial"/>
          <w:sz w:val="20"/>
          <w:szCs w:val="20"/>
        </w:rPr>
        <w:t xml:space="preserve">e it, and no coarse material is </w:t>
      </w:r>
      <w:r w:rsidRPr="00FD2B97">
        <w:rPr>
          <w:rFonts w:ascii="Arial" w:hAnsi="Arial" w:cs="Arial"/>
          <w:sz w:val="20"/>
          <w:szCs w:val="20"/>
        </w:rPr>
        <w:t xml:space="preserve">observed. The soil is relatively </w:t>
      </w:r>
      <w:commentRangeStart w:id="11"/>
      <w:r w:rsidRPr="00FD2B97">
        <w:rPr>
          <w:rFonts w:ascii="Arial" w:hAnsi="Arial" w:cs="Arial"/>
          <w:sz w:val="20"/>
          <w:szCs w:val="20"/>
        </w:rPr>
        <w:t xml:space="preserve">dry ( ) </w:t>
      </w:r>
      <w:commentRangeEnd w:id="11"/>
      <w:r w:rsidR="005A795E">
        <w:rPr>
          <w:rStyle w:val="CommentReference"/>
        </w:rPr>
        <w:commentReference w:id="11"/>
      </w:r>
      <w:r w:rsidRPr="00FD2B97">
        <w:rPr>
          <w:rFonts w:ascii="Arial" w:hAnsi="Arial" w:cs="Arial"/>
          <w:sz w:val="20"/>
          <w:szCs w:val="20"/>
        </w:rPr>
        <w:t>and the transition to horizon B2 is d</w:t>
      </w:r>
      <w:r w:rsidR="00B55BCC" w:rsidRPr="00FD2B97">
        <w:rPr>
          <w:rFonts w:ascii="Arial" w:hAnsi="Arial" w:cs="Arial"/>
          <w:sz w:val="20"/>
          <w:szCs w:val="20"/>
        </w:rPr>
        <w:t xml:space="preserve">iffuse, with gradual </w:t>
      </w:r>
      <w:r w:rsidRPr="00FD2B97">
        <w:rPr>
          <w:rFonts w:ascii="Arial" w:hAnsi="Arial" w:cs="Arial"/>
          <w:sz w:val="20"/>
          <w:szCs w:val="20"/>
        </w:rPr>
        <w:t>variations in texture and structure. The B2 horizon (56-90 cm)</w:t>
      </w:r>
      <w:r w:rsidR="00B55BCC" w:rsidRPr="00FD2B97">
        <w:rPr>
          <w:rFonts w:ascii="Arial" w:hAnsi="Arial" w:cs="Arial"/>
          <w:sz w:val="20"/>
          <w:szCs w:val="20"/>
        </w:rPr>
        <w:t xml:space="preserve">, also yellowish red (5YR 5/6), </w:t>
      </w:r>
      <w:r w:rsidRPr="00FD2B97">
        <w:rPr>
          <w:rFonts w:ascii="Arial" w:hAnsi="Arial" w:cs="Arial"/>
          <w:sz w:val="20"/>
          <w:szCs w:val="20"/>
        </w:rPr>
        <w:t>has similar physicochemical characteristics to the B1 horizon</w:t>
      </w:r>
      <w:r w:rsidR="00B55BCC" w:rsidRPr="00FD2B97">
        <w:rPr>
          <w:rFonts w:ascii="Arial" w:hAnsi="Arial" w:cs="Arial"/>
          <w:sz w:val="20"/>
          <w:szCs w:val="20"/>
        </w:rPr>
        <w:t xml:space="preserve">. It is non-humic, compact, not </w:t>
      </w:r>
      <w:r w:rsidRPr="00FD2B97">
        <w:rPr>
          <w:rFonts w:ascii="Arial" w:hAnsi="Arial" w:cs="Arial"/>
          <w:sz w:val="20"/>
          <w:szCs w:val="20"/>
        </w:rPr>
        <w:t>very porous, and has a subangular polyhedral structure. The</w:t>
      </w:r>
      <w:r w:rsidR="00B55BCC" w:rsidRPr="00FD2B97">
        <w:rPr>
          <w:rFonts w:ascii="Arial" w:hAnsi="Arial" w:cs="Arial"/>
          <w:sz w:val="20"/>
          <w:szCs w:val="20"/>
        </w:rPr>
        <w:t xml:space="preserve"> presence of fine, sparse roots </w:t>
      </w:r>
      <w:r w:rsidRPr="00FD2B97">
        <w:rPr>
          <w:rFonts w:ascii="Arial" w:hAnsi="Arial" w:cs="Arial"/>
          <w:sz w:val="20"/>
          <w:szCs w:val="20"/>
        </w:rPr>
        <w:t>indicates that some roots can still penetrate this horizon. T</w:t>
      </w:r>
      <w:r w:rsidR="00B55BCC" w:rsidRPr="00FD2B97">
        <w:rPr>
          <w:rFonts w:ascii="Arial" w:hAnsi="Arial" w:cs="Arial"/>
          <w:sz w:val="20"/>
          <w:szCs w:val="20"/>
        </w:rPr>
        <w:t xml:space="preserve">he transition to the underlying </w:t>
      </w:r>
      <w:r w:rsidRPr="00FD2B97">
        <w:rPr>
          <w:rFonts w:ascii="Arial" w:hAnsi="Arial" w:cs="Arial"/>
          <w:sz w:val="20"/>
          <w:szCs w:val="20"/>
        </w:rPr>
        <w:t xml:space="preserve">horizons is unclear. According to the </w:t>
      </w:r>
      <w:r w:rsidRPr="0074606C">
        <w:rPr>
          <w:rFonts w:ascii="Arial" w:hAnsi="Arial" w:cs="Arial"/>
          <w:sz w:val="20"/>
          <w:szCs w:val="20"/>
        </w:rPr>
        <w:t>CPCS</w:t>
      </w:r>
      <w:r w:rsidRPr="00FD2B97">
        <w:rPr>
          <w:rFonts w:ascii="Arial" w:hAnsi="Arial" w:cs="Arial"/>
          <w:sz w:val="20"/>
          <w:szCs w:val="20"/>
        </w:rPr>
        <w:t>, this profile co</w:t>
      </w:r>
      <w:r w:rsidR="00B55BCC" w:rsidRPr="00FD2B97">
        <w:rPr>
          <w:rFonts w:ascii="Arial" w:hAnsi="Arial" w:cs="Arial"/>
          <w:sz w:val="20"/>
          <w:szCs w:val="20"/>
        </w:rPr>
        <w:t xml:space="preserve">rresponds to a modal ferralitic </w:t>
      </w:r>
      <w:r w:rsidRPr="00FD2B97">
        <w:rPr>
          <w:rFonts w:ascii="Arial" w:hAnsi="Arial" w:cs="Arial"/>
          <w:sz w:val="20"/>
          <w:szCs w:val="20"/>
        </w:rPr>
        <w:t xml:space="preserve">soil. According to the WRB (World Reference Base for Soil </w:t>
      </w:r>
      <w:r w:rsidR="00B55BCC" w:rsidRPr="00FD2B97">
        <w:rPr>
          <w:rFonts w:ascii="Arial" w:hAnsi="Arial" w:cs="Arial"/>
          <w:sz w:val="20"/>
          <w:szCs w:val="20"/>
        </w:rPr>
        <w:t xml:space="preserve">Resources) classification, this </w:t>
      </w:r>
      <w:r w:rsidRPr="00FD2B97">
        <w:rPr>
          <w:rFonts w:ascii="Arial" w:hAnsi="Arial" w:cs="Arial"/>
          <w:sz w:val="20"/>
          <w:szCs w:val="20"/>
        </w:rPr>
        <w:t>profile belongs to the Lixisols class.</w:t>
      </w:r>
    </w:p>
    <w:p w14:paraId="0550F0EB" w14:textId="77777777" w:rsidR="00B55BCC" w:rsidRPr="00FD2B97" w:rsidRDefault="007A783F" w:rsidP="007A783F">
      <w:pPr>
        <w:jc w:val="center"/>
        <w:rPr>
          <w:rFonts w:ascii="Arial" w:hAnsi="Arial" w:cs="Arial"/>
          <w:sz w:val="20"/>
          <w:szCs w:val="20"/>
        </w:rPr>
      </w:pPr>
      <w:r w:rsidRPr="00FD2B97">
        <w:rPr>
          <w:rFonts w:ascii="Arial" w:eastAsia="Calibri" w:hAnsi="Arial" w:cs="Arial"/>
          <w:noProof/>
          <w:sz w:val="20"/>
          <w:szCs w:val="20"/>
          <w:lang w:val="en-IN" w:eastAsia="en-IN"/>
        </w:rPr>
        <w:drawing>
          <wp:inline distT="0" distB="0" distL="0" distR="0" wp14:anchorId="1BCBAD34" wp14:editId="6FC0739D">
            <wp:extent cx="2535841" cy="2065835"/>
            <wp:effectExtent l="0" t="0" r="0" b="0"/>
            <wp:docPr id="6172406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40638" name="Image 617240638"/>
                    <pic:cNvPicPr/>
                  </pic:nvPicPr>
                  <pic:blipFill>
                    <a:blip r:embed="rId11">
                      <a:extLst>
                        <a:ext uri="{28A0092B-C50C-407E-A947-70E740481C1C}">
                          <a14:useLocalDpi xmlns:a14="http://schemas.microsoft.com/office/drawing/2010/main" val="0"/>
                        </a:ext>
                      </a:extLst>
                    </a:blip>
                    <a:stretch>
                      <a:fillRect/>
                    </a:stretch>
                  </pic:blipFill>
                  <pic:spPr>
                    <a:xfrm>
                      <a:off x="0" y="0"/>
                      <a:ext cx="2569161" cy="2092979"/>
                    </a:xfrm>
                    <a:prstGeom prst="rect">
                      <a:avLst/>
                    </a:prstGeom>
                  </pic:spPr>
                </pic:pic>
              </a:graphicData>
            </a:graphic>
          </wp:inline>
        </w:drawing>
      </w:r>
    </w:p>
    <w:p w14:paraId="0D3718C1" w14:textId="77777777" w:rsidR="002611E1" w:rsidRPr="004C177F" w:rsidRDefault="002611E1" w:rsidP="004C177F">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3: Profile of the clay site</w:t>
      </w:r>
    </w:p>
    <w:p w14:paraId="15BD4C21" w14:textId="77777777" w:rsidR="00B55BCC" w:rsidRPr="00FD2B97" w:rsidRDefault="00B55BCC" w:rsidP="002611E1">
      <w:pPr>
        <w:rPr>
          <w:rFonts w:ascii="Arial" w:hAnsi="Arial" w:cs="Arial"/>
          <w:sz w:val="20"/>
          <w:szCs w:val="20"/>
        </w:rPr>
      </w:pPr>
    </w:p>
    <w:p w14:paraId="1A1E4151" w14:textId="77777777" w:rsidR="002611E1" w:rsidRDefault="002611E1" w:rsidP="00B61943">
      <w:pPr>
        <w:spacing w:line="240" w:lineRule="auto"/>
        <w:jc w:val="both"/>
        <w:rPr>
          <w:rFonts w:ascii="Arial" w:hAnsi="Arial" w:cs="Arial"/>
          <w:b/>
          <w:sz w:val="22"/>
        </w:rPr>
      </w:pPr>
      <w:r w:rsidRPr="00B61943">
        <w:rPr>
          <w:rFonts w:ascii="Arial" w:hAnsi="Arial" w:cs="Arial"/>
          <w:b/>
          <w:sz w:val="22"/>
        </w:rPr>
        <w:t>3.1.2. Evaluation of the agro-morphological parameters of tw</w:t>
      </w:r>
      <w:r w:rsidR="00B55BCC" w:rsidRPr="00B61943">
        <w:rPr>
          <w:rFonts w:ascii="Arial" w:hAnsi="Arial" w:cs="Arial"/>
          <w:b/>
          <w:sz w:val="22"/>
        </w:rPr>
        <w:t xml:space="preserve">o varieties of cassava, Bocou 1 </w:t>
      </w:r>
      <w:r w:rsidR="007A783F" w:rsidRPr="00B61943">
        <w:rPr>
          <w:rFonts w:ascii="Arial" w:hAnsi="Arial" w:cs="Arial"/>
          <w:b/>
          <w:sz w:val="22"/>
        </w:rPr>
        <w:t>and Yace</w:t>
      </w:r>
    </w:p>
    <w:p w14:paraId="15BC842A" w14:textId="77777777" w:rsidR="00B61943" w:rsidRPr="00B61943" w:rsidRDefault="00B61943" w:rsidP="00B61943">
      <w:pPr>
        <w:spacing w:line="240" w:lineRule="auto"/>
        <w:jc w:val="both"/>
        <w:rPr>
          <w:rFonts w:ascii="Arial" w:hAnsi="Arial" w:cs="Arial"/>
          <w:b/>
          <w:sz w:val="22"/>
        </w:rPr>
      </w:pPr>
    </w:p>
    <w:p w14:paraId="7C26FA86" w14:textId="77777777" w:rsidR="002611E1" w:rsidRDefault="002611E1" w:rsidP="00B61943">
      <w:pPr>
        <w:spacing w:line="240" w:lineRule="auto"/>
        <w:jc w:val="both"/>
        <w:rPr>
          <w:rFonts w:ascii="Arial" w:hAnsi="Arial" w:cs="Arial"/>
          <w:b/>
          <w:sz w:val="22"/>
        </w:rPr>
      </w:pPr>
      <w:r w:rsidRPr="00B61943">
        <w:rPr>
          <w:rFonts w:ascii="Arial" w:hAnsi="Arial" w:cs="Arial"/>
          <w:b/>
          <w:sz w:val="22"/>
        </w:rPr>
        <w:t>3.1.2.1. Evaluation of the influence of soil type on the a</w:t>
      </w:r>
      <w:r w:rsidR="00B55BCC" w:rsidRPr="00B61943">
        <w:rPr>
          <w:rFonts w:ascii="Arial" w:hAnsi="Arial" w:cs="Arial"/>
          <w:b/>
          <w:sz w:val="22"/>
        </w:rPr>
        <w:t xml:space="preserve">gro-morphological parameters of </w:t>
      </w:r>
      <w:r w:rsidRPr="00B61943">
        <w:rPr>
          <w:rFonts w:ascii="Arial" w:hAnsi="Arial" w:cs="Arial"/>
          <w:b/>
          <w:sz w:val="22"/>
        </w:rPr>
        <w:t>cassava varieties</w:t>
      </w:r>
    </w:p>
    <w:p w14:paraId="7E65DA84" w14:textId="77777777" w:rsidR="00B61943" w:rsidRPr="00B61943" w:rsidRDefault="00B61943" w:rsidP="00B61943">
      <w:pPr>
        <w:spacing w:line="240" w:lineRule="auto"/>
        <w:jc w:val="both"/>
        <w:rPr>
          <w:rFonts w:ascii="Arial" w:hAnsi="Arial" w:cs="Arial"/>
          <w:b/>
          <w:sz w:val="22"/>
        </w:rPr>
      </w:pPr>
    </w:p>
    <w:p w14:paraId="247CF344"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average values for collar diameter (CD), height (H), number of branches or secondary</w:t>
      </w:r>
      <w:r w:rsidR="00B55BCC" w:rsidRPr="00FD2B97">
        <w:rPr>
          <w:rFonts w:ascii="Arial" w:hAnsi="Arial" w:cs="Arial"/>
          <w:sz w:val="20"/>
          <w:szCs w:val="20"/>
        </w:rPr>
        <w:t xml:space="preserve"> </w:t>
      </w:r>
      <w:r w:rsidRPr="00FD2B97">
        <w:rPr>
          <w:rFonts w:ascii="Arial" w:hAnsi="Arial" w:cs="Arial"/>
          <w:sz w:val="20"/>
          <w:szCs w:val="20"/>
        </w:rPr>
        <w:t>stems (NR), number of tubers (NT), tuber length (TL), tu</w:t>
      </w:r>
      <w:r w:rsidR="00B55BCC" w:rsidRPr="00FD2B97">
        <w:rPr>
          <w:rFonts w:ascii="Arial" w:hAnsi="Arial" w:cs="Arial"/>
          <w:sz w:val="20"/>
          <w:szCs w:val="20"/>
        </w:rPr>
        <w:t xml:space="preserve">ber weight (PT), and yield (Rd) </w:t>
      </w:r>
      <w:r w:rsidRPr="00FD2B97">
        <w:rPr>
          <w:rFonts w:ascii="Arial" w:hAnsi="Arial" w:cs="Arial"/>
          <w:sz w:val="20"/>
          <w:szCs w:val="20"/>
        </w:rPr>
        <w:t>obtained from cassava plants of the Bocou 1 and Yacé varieties,</w:t>
      </w:r>
      <w:r w:rsidR="00B55BCC" w:rsidRPr="00FD2B97">
        <w:rPr>
          <w:rFonts w:ascii="Arial" w:hAnsi="Arial" w:cs="Arial"/>
          <w:sz w:val="20"/>
          <w:szCs w:val="20"/>
        </w:rPr>
        <w:t xml:space="preserve"> grown on clay and sandy soils, </w:t>
      </w:r>
      <w:r w:rsidRPr="00FD2B97">
        <w:rPr>
          <w:rFonts w:ascii="Arial" w:hAnsi="Arial" w:cs="Arial"/>
          <w:sz w:val="20"/>
          <w:szCs w:val="20"/>
        </w:rPr>
        <w:t xml:space="preserve">are presented in Table </w:t>
      </w:r>
      <w:r w:rsidR="004C177F">
        <w:rPr>
          <w:rFonts w:ascii="Arial" w:hAnsi="Arial" w:cs="Arial"/>
          <w:sz w:val="20"/>
          <w:szCs w:val="20"/>
        </w:rPr>
        <w:t>2</w:t>
      </w:r>
      <w:r w:rsidRPr="00FD2B97">
        <w:rPr>
          <w:rFonts w:ascii="Arial" w:hAnsi="Arial" w:cs="Arial"/>
          <w:sz w:val="20"/>
          <w:szCs w:val="20"/>
        </w:rPr>
        <w:t>. Analysis of variance reveals highly significan</w:t>
      </w:r>
      <w:r w:rsidR="00B55BCC" w:rsidRPr="00FD2B97">
        <w:rPr>
          <w:rFonts w:ascii="Arial" w:hAnsi="Arial" w:cs="Arial"/>
          <w:sz w:val="20"/>
          <w:szCs w:val="20"/>
        </w:rPr>
        <w:t xml:space="preserve">t differences (p &lt; 0.05) </w:t>
      </w:r>
      <w:r w:rsidRPr="00FD2B97">
        <w:rPr>
          <w:rFonts w:ascii="Arial" w:hAnsi="Arial" w:cs="Arial"/>
          <w:sz w:val="20"/>
          <w:szCs w:val="20"/>
        </w:rPr>
        <w:t>between varieties depending on soil type for all parameters stu</w:t>
      </w:r>
      <w:r w:rsidR="00B55BCC" w:rsidRPr="00FD2B97">
        <w:rPr>
          <w:rFonts w:ascii="Arial" w:hAnsi="Arial" w:cs="Arial"/>
          <w:sz w:val="20"/>
          <w:szCs w:val="20"/>
        </w:rPr>
        <w:t xml:space="preserve">died, with the exception of the </w:t>
      </w:r>
      <w:r w:rsidRPr="00FD2B97">
        <w:rPr>
          <w:rFonts w:ascii="Arial" w:hAnsi="Arial" w:cs="Arial"/>
          <w:sz w:val="20"/>
          <w:szCs w:val="20"/>
        </w:rPr>
        <w:t>number of branches (p &gt; 0.05), which re</w:t>
      </w:r>
      <w:r w:rsidR="00B55BCC" w:rsidRPr="00FD2B97">
        <w:rPr>
          <w:rFonts w:ascii="Arial" w:hAnsi="Arial" w:cs="Arial"/>
          <w:sz w:val="20"/>
          <w:szCs w:val="20"/>
        </w:rPr>
        <w:t xml:space="preserve">mains statistically comparable. </w:t>
      </w:r>
      <w:r w:rsidRPr="00FD2B97">
        <w:rPr>
          <w:rFonts w:ascii="Arial" w:hAnsi="Arial" w:cs="Arial"/>
          <w:sz w:val="20"/>
          <w:szCs w:val="20"/>
        </w:rPr>
        <w:t>On clay soil, the Yacé variety has a significantly higher average</w:t>
      </w:r>
      <w:r w:rsidR="00B55BCC" w:rsidRPr="00FD2B97">
        <w:rPr>
          <w:rFonts w:ascii="Arial" w:hAnsi="Arial" w:cs="Arial"/>
          <w:sz w:val="20"/>
          <w:szCs w:val="20"/>
        </w:rPr>
        <w:t xml:space="preserve"> height (3.35 m) than the Bocou </w:t>
      </w:r>
      <w:r w:rsidRPr="00FD2B97">
        <w:rPr>
          <w:rFonts w:ascii="Arial" w:hAnsi="Arial" w:cs="Arial"/>
          <w:sz w:val="20"/>
          <w:szCs w:val="20"/>
        </w:rPr>
        <w:t>1 variety (2.88 ± 0.3 m). However, its average yield (36.64 t/</w:t>
      </w:r>
      <w:r w:rsidR="00B55BCC" w:rsidRPr="00FD2B97">
        <w:rPr>
          <w:rFonts w:ascii="Arial" w:hAnsi="Arial" w:cs="Arial"/>
          <w:sz w:val="20"/>
          <w:szCs w:val="20"/>
        </w:rPr>
        <w:t xml:space="preserve">ha) remains slightly lower than </w:t>
      </w:r>
      <w:r w:rsidRPr="00FD2B97">
        <w:rPr>
          <w:rFonts w:ascii="Arial" w:hAnsi="Arial" w:cs="Arial"/>
          <w:sz w:val="20"/>
          <w:szCs w:val="20"/>
        </w:rPr>
        <w:t>that recorded for Bocou 1 (38.76 t/ha). In contrast, on sandy soi</w:t>
      </w:r>
      <w:r w:rsidR="00B55BCC" w:rsidRPr="00FD2B97">
        <w:rPr>
          <w:rFonts w:ascii="Arial" w:hAnsi="Arial" w:cs="Arial"/>
          <w:sz w:val="20"/>
          <w:szCs w:val="20"/>
        </w:rPr>
        <w:t xml:space="preserve">l, the Bocou 1 variety recorded </w:t>
      </w:r>
      <w:r w:rsidRPr="00FD2B97">
        <w:rPr>
          <w:rFonts w:ascii="Arial" w:hAnsi="Arial" w:cs="Arial"/>
          <w:sz w:val="20"/>
          <w:szCs w:val="20"/>
        </w:rPr>
        <w:t>a significantly higher yield (45.39 t/ha) compared to the Yacé v</w:t>
      </w:r>
      <w:r w:rsidR="00B55BCC" w:rsidRPr="00FD2B97">
        <w:rPr>
          <w:rFonts w:ascii="Arial" w:hAnsi="Arial" w:cs="Arial"/>
          <w:sz w:val="20"/>
          <w:szCs w:val="20"/>
        </w:rPr>
        <w:t xml:space="preserve">ariety (26.61 t/ha), reflecting </w:t>
      </w:r>
      <w:r w:rsidRPr="00FD2B97">
        <w:rPr>
          <w:rFonts w:ascii="Arial" w:hAnsi="Arial" w:cs="Arial"/>
          <w:sz w:val="20"/>
          <w:szCs w:val="20"/>
        </w:rPr>
        <w:t>Bocou 1's better adaptation to this type of soil.</w:t>
      </w:r>
    </w:p>
    <w:p w14:paraId="688D2E2D" w14:textId="77777777" w:rsidR="007A783F" w:rsidRDefault="007A783F" w:rsidP="00B55BCC">
      <w:pPr>
        <w:jc w:val="both"/>
        <w:rPr>
          <w:rFonts w:ascii="Arial" w:hAnsi="Arial" w:cs="Arial"/>
          <w:sz w:val="20"/>
          <w:szCs w:val="20"/>
        </w:rPr>
      </w:pPr>
    </w:p>
    <w:p w14:paraId="0B315037" w14:textId="77777777" w:rsidR="00B61943" w:rsidRDefault="00B61943" w:rsidP="00B55BCC">
      <w:pPr>
        <w:jc w:val="both"/>
        <w:rPr>
          <w:rFonts w:ascii="Arial" w:hAnsi="Arial" w:cs="Arial"/>
          <w:sz w:val="20"/>
          <w:szCs w:val="20"/>
        </w:rPr>
      </w:pPr>
    </w:p>
    <w:p w14:paraId="7DDEF59D" w14:textId="77777777" w:rsidR="00B61943" w:rsidRPr="00FD2B97" w:rsidRDefault="00B61943" w:rsidP="00B55BCC">
      <w:pPr>
        <w:jc w:val="both"/>
        <w:rPr>
          <w:rFonts w:ascii="Arial" w:hAnsi="Arial" w:cs="Arial"/>
          <w:sz w:val="20"/>
          <w:szCs w:val="20"/>
        </w:rPr>
      </w:pPr>
    </w:p>
    <w:p w14:paraId="6D818B9B" w14:textId="77777777" w:rsidR="007A783F" w:rsidRPr="00FD2B97" w:rsidRDefault="007A783F" w:rsidP="00B55BCC">
      <w:pPr>
        <w:jc w:val="both"/>
        <w:rPr>
          <w:rFonts w:ascii="Arial" w:hAnsi="Arial" w:cs="Arial"/>
          <w:sz w:val="20"/>
          <w:szCs w:val="20"/>
        </w:rPr>
      </w:pPr>
    </w:p>
    <w:p w14:paraId="1DD5B804" w14:textId="77777777" w:rsidR="002611E1" w:rsidRPr="004C177F" w:rsidRDefault="002611E1" w:rsidP="004C177F">
      <w:pPr>
        <w:jc w:val="both"/>
        <w:rPr>
          <w:rFonts w:ascii="Arial" w:hAnsi="Arial" w:cs="Arial"/>
          <w:b/>
          <w:sz w:val="20"/>
          <w:szCs w:val="20"/>
        </w:rPr>
      </w:pPr>
      <w:r w:rsidRPr="004C177F">
        <w:rPr>
          <w:rFonts w:ascii="Arial" w:hAnsi="Arial" w:cs="Arial"/>
          <w:b/>
          <w:sz w:val="20"/>
          <w:szCs w:val="20"/>
        </w:rPr>
        <w:lastRenderedPageBreak/>
        <w:t xml:space="preserve">Table </w:t>
      </w:r>
      <w:r w:rsidR="004C177F">
        <w:rPr>
          <w:rFonts w:ascii="Arial" w:hAnsi="Arial" w:cs="Arial"/>
          <w:b/>
          <w:sz w:val="20"/>
          <w:szCs w:val="20"/>
        </w:rPr>
        <w:t>2</w:t>
      </w:r>
      <w:r w:rsidRPr="004C177F">
        <w:rPr>
          <w:rFonts w:ascii="Arial" w:hAnsi="Arial" w:cs="Arial"/>
          <w:b/>
          <w:sz w:val="20"/>
          <w:szCs w:val="20"/>
        </w:rPr>
        <w:t xml:space="preserve">: Effect of soil type on the agro-morphological </w:t>
      </w:r>
      <w:r w:rsidR="007A783F" w:rsidRPr="004C177F">
        <w:rPr>
          <w:rFonts w:ascii="Arial" w:hAnsi="Arial" w:cs="Arial"/>
          <w:b/>
          <w:sz w:val="20"/>
          <w:szCs w:val="20"/>
        </w:rPr>
        <w:t xml:space="preserve">parameters of different cassava </w:t>
      </w:r>
      <w:r w:rsidRPr="004C177F">
        <w:rPr>
          <w:rFonts w:ascii="Arial" w:hAnsi="Arial" w:cs="Arial"/>
          <w:b/>
          <w:sz w:val="20"/>
          <w:szCs w:val="20"/>
        </w:rPr>
        <w:t>varieties</w:t>
      </w:r>
    </w:p>
    <w:tbl>
      <w:tblPr>
        <w:tblW w:w="8930"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18"/>
        <w:gridCol w:w="1192"/>
        <w:gridCol w:w="1579"/>
        <w:gridCol w:w="1339"/>
        <w:gridCol w:w="1418"/>
        <w:gridCol w:w="850"/>
        <w:gridCol w:w="1134"/>
      </w:tblGrid>
      <w:tr w:rsidR="00C43017" w:rsidRPr="00FD2B97" w14:paraId="2C42D5DB" w14:textId="77777777" w:rsidTr="00B61943">
        <w:trPr>
          <w:trHeight w:val="340"/>
          <w:jc w:val="center"/>
        </w:trPr>
        <w:tc>
          <w:tcPr>
            <w:tcW w:w="1418" w:type="dxa"/>
            <w:noWrap/>
            <w:vAlign w:val="center"/>
            <w:hideMark/>
          </w:tcPr>
          <w:p w14:paraId="2B012AED" w14:textId="77777777" w:rsidR="00C43017" w:rsidRPr="00B61943" w:rsidRDefault="00C43017"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Soil type</w:t>
            </w:r>
          </w:p>
        </w:tc>
        <w:tc>
          <w:tcPr>
            <w:tcW w:w="2771" w:type="dxa"/>
            <w:gridSpan w:val="2"/>
            <w:noWrap/>
            <w:vAlign w:val="center"/>
            <w:hideMark/>
          </w:tcPr>
          <w:p w14:paraId="66D885C9" w14:textId="77777777"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SA (Lixisols)</w:t>
            </w:r>
          </w:p>
        </w:tc>
        <w:tc>
          <w:tcPr>
            <w:tcW w:w="2757" w:type="dxa"/>
            <w:gridSpan w:val="2"/>
            <w:noWrap/>
            <w:vAlign w:val="center"/>
            <w:hideMark/>
          </w:tcPr>
          <w:p w14:paraId="1B9158FF" w14:textId="77777777"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SS (Arenosols)</w:t>
            </w:r>
          </w:p>
        </w:tc>
        <w:tc>
          <w:tcPr>
            <w:tcW w:w="850" w:type="dxa"/>
            <w:vMerge w:val="restart"/>
            <w:noWrap/>
            <w:vAlign w:val="center"/>
            <w:hideMark/>
          </w:tcPr>
          <w:p w14:paraId="320FF479" w14:textId="77777777"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F</w:t>
            </w:r>
          </w:p>
        </w:tc>
        <w:tc>
          <w:tcPr>
            <w:tcW w:w="1134" w:type="dxa"/>
            <w:vMerge w:val="restart"/>
            <w:noWrap/>
            <w:vAlign w:val="center"/>
            <w:hideMark/>
          </w:tcPr>
          <w:p w14:paraId="29228486" w14:textId="77777777"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P &gt; F</w:t>
            </w:r>
          </w:p>
        </w:tc>
      </w:tr>
      <w:tr w:rsidR="00C43017" w:rsidRPr="00FD2B97" w14:paraId="7924BE3C" w14:textId="77777777" w:rsidTr="00B61943">
        <w:trPr>
          <w:trHeight w:val="340"/>
          <w:jc w:val="center"/>
        </w:trPr>
        <w:tc>
          <w:tcPr>
            <w:tcW w:w="1418" w:type="dxa"/>
            <w:tcBorders>
              <w:bottom w:val="single" w:sz="4" w:space="0" w:color="auto"/>
            </w:tcBorders>
            <w:noWrap/>
            <w:vAlign w:val="center"/>
            <w:hideMark/>
          </w:tcPr>
          <w:p w14:paraId="1B130FD9" w14:textId="77777777" w:rsidR="00C43017" w:rsidRPr="00B61943" w:rsidRDefault="00C43017"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Variety</w:t>
            </w:r>
          </w:p>
        </w:tc>
        <w:tc>
          <w:tcPr>
            <w:tcW w:w="1192" w:type="dxa"/>
            <w:tcBorders>
              <w:bottom w:val="single" w:sz="4" w:space="0" w:color="auto"/>
            </w:tcBorders>
            <w:noWrap/>
            <w:vAlign w:val="center"/>
            <w:hideMark/>
          </w:tcPr>
          <w:p w14:paraId="4553B0C7" w14:textId="77777777"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579" w:type="dxa"/>
            <w:tcBorders>
              <w:bottom w:val="single" w:sz="4" w:space="0" w:color="auto"/>
            </w:tcBorders>
            <w:noWrap/>
            <w:vAlign w:val="center"/>
            <w:hideMark/>
          </w:tcPr>
          <w:p w14:paraId="36B19DEE" w14:textId="77777777"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1339" w:type="dxa"/>
            <w:tcBorders>
              <w:bottom w:val="single" w:sz="4" w:space="0" w:color="auto"/>
            </w:tcBorders>
            <w:noWrap/>
            <w:vAlign w:val="center"/>
            <w:hideMark/>
          </w:tcPr>
          <w:p w14:paraId="570492EB" w14:textId="77777777"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418" w:type="dxa"/>
            <w:tcBorders>
              <w:bottom w:val="single" w:sz="4" w:space="0" w:color="auto"/>
            </w:tcBorders>
            <w:noWrap/>
            <w:vAlign w:val="center"/>
            <w:hideMark/>
          </w:tcPr>
          <w:p w14:paraId="65852AF1" w14:textId="77777777"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850" w:type="dxa"/>
            <w:vMerge/>
            <w:tcBorders>
              <w:bottom w:val="single" w:sz="4" w:space="0" w:color="auto"/>
            </w:tcBorders>
            <w:vAlign w:val="center"/>
            <w:hideMark/>
          </w:tcPr>
          <w:p w14:paraId="40CD5D22" w14:textId="77777777" w:rsidR="00C43017" w:rsidRPr="00FD2B97" w:rsidRDefault="00C43017" w:rsidP="00C43017">
            <w:pPr>
              <w:spacing w:line="240" w:lineRule="auto"/>
              <w:jc w:val="center"/>
              <w:rPr>
                <w:rFonts w:ascii="Arial" w:eastAsia="Times New Roman" w:hAnsi="Arial" w:cs="Arial"/>
                <w:sz w:val="20"/>
                <w:szCs w:val="20"/>
                <w:lang w:eastAsia="fr-FR"/>
              </w:rPr>
            </w:pPr>
          </w:p>
        </w:tc>
        <w:tc>
          <w:tcPr>
            <w:tcW w:w="1134" w:type="dxa"/>
            <w:vMerge/>
            <w:tcBorders>
              <w:bottom w:val="single" w:sz="4" w:space="0" w:color="auto"/>
            </w:tcBorders>
            <w:noWrap/>
            <w:vAlign w:val="center"/>
            <w:hideMark/>
          </w:tcPr>
          <w:p w14:paraId="217AA550" w14:textId="77777777" w:rsidR="00C43017" w:rsidRPr="00FD2B97" w:rsidRDefault="00C43017" w:rsidP="00C43017">
            <w:pPr>
              <w:spacing w:line="240" w:lineRule="auto"/>
              <w:jc w:val="center"/>
              <w:rPr>
                <w:rFonts w:ascii="Arial" w:eastAsia="Times New Roman" w:hAnsi="Arial" w:cs="Arial"/>
                <w:color w:val="000000"/>
                <w:sz w:val="20"/>
                <w:szCs w:val="20"/>
                <w:lang w:eastAsia="fr-FR"/>
              </w:rPr>
            </w:pPr>
          </w:p>
        </w:tc>
      </w:tr>
      <w:tr w:rsidR="007A783F" w:rsidRPr="00FD2B97" w14:paraId="536B58EF" w14:textId="77777777" w:rsidTr="00B61943">
        <w:trPr>
          <w:trHeight w:val="340"/>
          <w:jc w:val="center"/>
        </w:trPr>
        <w:tc>
          <w:tcPr>
            <w:tcW w:w="1418" w:type="dxa"/>
            <w:tcBorders>
              <w:bottom w:val="nil"/>
            </w:tcBorders>
            <w:noWrap/>
            <w:vAlign w:val="center"/>
            <w:hideMark/>
          </w:tcPr>
          <w:p w14:paraId="11A2EB47"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DC (cm)</w:t>
            </w:r>
          </w:p>
        </w:tc>
        <w:tc>
          <w:tcPr>
            <w:tcW w:w="1192" w:type="dxa"/>
            <w:tcBorders>
              <w:bottom w:val="nil"/>
            </w:tcBorders>
            <w:noWrap/>
            <w:vAlign w:val="center"/>
            <w:hideMark/>
          </w:tcPr>
          <w:p w14:paraId="3228B06D"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3.47a</w:t>
            </w:r>
          </w:p>
        </w:tc>
        <w:tc>
          <w:tcPr>
            <w:tcW w:w="1579" w:type="dxa"/>
            <w:tcBorders>
              <w:bottom w:val="nil"/>
            </w:tcBorders>
            <w:noWrap/>
            <w:vAlign w:val="center"/>
            <w:hideMark/>
          </w:tcPr>
          <w:p w14:paraId="5E0510D3"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4.39b</w:t>
            </w:r>
          </w:p>
        </w:tc>
        <w:tc>
          <w:tcPr>
            <w:tcW w:w="1339" w:type="dxa"/>
            <w:tcBorders>
              <w:bottom w:val="nil"/>
            </w:tcBorders>
            <w:noWrap/>
            <w:vAlign w:val="center"/>
            <w:hideMark/>
          </w:tcPr>
          <w:p w14:paraId="03635695"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3.09a</w:t>
            </w:r>
          </w:p>
        </w:tc>
        <w:tc>
          <w:tcPr>
            <w:tcW w:w="1418" w:type="dxa"/>
            <w:tcBorders>
              <w:bottom w:val="nil"/>
            </w:tcBorders>
            <w:noWrap/>
            <w:vAlign w:val="center"/>
            <w:hideMark/>
          </w:tcPr>
          <w:p w14:paraId="14FD4323"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3.27a</w:t>
            </w:r>
          </w:p>
        </w:tc>
        <w:tc>
          <w:tcPr>
            <w:tcW w:w="850" w:type="dxa"/>
            <w:tcBorders>
              <w:bottom w:val="nil"/>
            </w:tcBorders>
            <w:noWrap/>
            <w:vAlign w:val="center"/>
            <w:hideMark/>
          </w:tcPr>
          <w:p w14:paraId="5305413F"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53.46</w:t>
            </w:r>
          </w:p>
        </w:tc>
        <w:tc>
          <w:tcPr>
            <w:tcW w:w="1134" w:type="dxa"/>
            <w:tcBorders>
              <w:bottom w:val="nil"/>
            </w:tcBorders>
            <w:noWrap/>
            <w:vAlign w:val="center"/>
            <w:hideMark/>
          </w:tcPr>
          <w:p w14:paraId="0BA4FC2F"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14:paraId="2F1CF849" w14:textId="77777777" w:rsidTr="00B61943">
        <w:trPr>
          <w:trHeight w:val="340"/>
          <w:jc w:val="center"/>
        </w:trPr>
        <w:tc>
          <w:tcPr>
            <w:tcW w:w="1418" w:type="dxa"/>
            <w:tcBorders>
              <w:top w:val="nil"/>
              <w:bottom w:val="nil"/>
            </w:tcBorders>
            <w:noWrap/>
            <w:vAlign w:val="center"/>
            <w:hideMark/>
          </w:tcPr>
          <w:p w14:paraId="583FBC10"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H (m)</w:t>
            </w:r>
          </w:p>
        </w:tc>
        <w:tc>
          <w:tcPr>
            <w:tcW w:w="1192" w:type="dxa"/>
            <w:tcBorders>
              <w:top w:val="nil"/>
              <w:bottom w:val="nil"/>
            </w:tcBorders>
            <w:noWrap/>
            <w:vAlign w:val="center"/>
            <w:hideMark/>
          </w:tcPr>
          <w:p w14:paraId="201E9997"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2.88a</w:t>
            </w:r>
          </w:p>
        </w:tc>
        <w:tc>
          <w:tcPr>
            <w:tcW w:w="1579" w:type="dxa"/>
            <w:tcBorders>
              <w:top w:val="nil"/>
              <w:bottom w:val="nil"/>
            </w:tcBorders>
            <w:noWrap/>
            <w:vAlign w:val="center"/>
            <w:hideMark/>
          </w:tcPr>
          <w:p w14:paraId="50F6FF49"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3.35b</w:t>
            </w:r>
          </w:p>
        </w:tc>
        <w:tc>
          <w:tcPr>
            <w:tcW w:w="1339" w:type="dxa"/>
            <w:tcBorders>
              <w:top w:val="nil"/>
              <w:bottom w:val="nil"/>
            </w:tcBorders>
            <w:noWrap/>
            <w:vAlign w:val="center"/>
            <w:hideMark/>
          </w:tcPr>
          <w:p w14:paraId="2EAC6DA9"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2.65a</w:t>
            </w:r>
          </w:p>
        </w:tc>
        <w:tc>
          <w:tcPr>
            <w:tcW w:w="1418" w:type="dxa"/>
            <w:tcBorders>
              <w:top w:val="nil"/>
              <w:bottom w:val="nil"/>
            </w:tcBorders>
            <w:noWrap/>
            <w:vAlign w:val="center"/>
            <w:hideMark/>
          </w:tcPr>
          <w:p w14:paraId="27F7B394"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2.61a</w:t>
            </w:r>
          </w:p>
        </w:tc>
        <w:tc>
          <w:tcPr>
            <w:tcW w:w="850" w:type="dxa"/>
            <w:tcBorders>
              <w:top w:val="nil"/>
              <w:bottom w:val="nil"/>
            </w:tcBorders>
            <w:noWrap/>
            <w:vAlign w:val="center"/>
            <w:hideMark/>
          </w:tcPr>
          <w:p w14:paraId="64B0FDAB"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1.04</w:t>
            </w:r>
          </w:p>
        </w:tc>
        <w:tc>
          <w:tcPr>
            <w:tcW w:w="1134" w:type="dxa"/>
            <w:tcBorders>
              <w:top w:val="nil"/>
              <w:bottom w:val="nil"/>
            </w:tcBorders>
            <w:noWrap/>
            <w:vAlign w:val="center"/>
            <w:hideMark/>
          </w:tcPr>
          <w:p w14:paraId="75007F35"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14:paraId="62E282F2" w14:textId="77777777" w:rsidTr="00B61943">
        <w:trPr>
          <w:trHeight w:val="340"/>
          <w:jc w:val="center"/>
        </w:trPr>
        <w:tc>
          <w:tcPr>
            <w:tcW w:w="1418" w:type="dxa"/>
            <w:tcBorders>
              <w:top w:val="nil"/>
              <w:bottom w:val="nil"/>
            </w:tcBorders>
            <w:noWrap/>
            <w:vAlign w:val="center"/>
            <w:hideMark/>
          </w:tcPr>
          <w:p w14:paraId="056DCEE2"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NR</w:t>
            </w:r>
          </w:p>
        </w:tc>
        <w:tc>
          <w:tcPr>
            <w:tcW w:w="1192" w:type="dxa"/>
            <w:tcBorders>
              <w:top w:val="nil"/>
              <w:bottom w:val="nil"/>
            </w:tcBorders>
            <w:noWrap/>
            <w:vAlign w:val="center"/>
            <w:hideMark/>
          </w:tcPr>
          <w:p w14:paraId="60A656B7"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2.08a</w:t>
            </w:r>
          </w:p>
        </w:tc>
        <w:tc>
          <w:tcPr>
            <w:tcW w:w="1579" w:type="dxa"/>
            <w:tcBorders>
              <w:top w:val="nil"/>
              <w:bottom w:val="nil"/>
            </w:tcBorders>
            <w:noWrap/>
            <w:vAlign w:val="center"/>
            <w:hideMark/>
          </w:tcPr>
          <w:p w14:paraId="6859A789"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2.68a</w:t>
            </w:r>
          </w:p>
        </w:tc>
        <w:tc>
          <w:tcPr>
            <w:tcW w:w="1339" w:type="dxa"/>
            <w:tcBorders>
              <w:top w:val="nil"/>
              <w:bottom w:val="nil"/>
            </w:tcBorders>
            <w:noWrap/>
            <w:vAlign w:val="center"/>
            <w:hideMark/>
          </w:tcPr>
          <w:p w14:paraId="527D12AD"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2.62a</w:t>
            </w:r>
          </w:p>
        </w:tc>
        <w:tc>
          <w:tcPr>
            <w:tcW w:w="1418" w:type="dxa"/>
            <w:tcBorders>
              <w:top w:val="nil"/>
              <w:bottom w:val="nil"/>
            </w:tcBorders>
            <w:noWrap/>
            <w:vAlign w:val="center"/>
            <w:hideMark/>
          </w:tcPr>
          <w:p w14:paraId="234263DF"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2.53a</w:t>
            </w:r>
          </w:p>
        </w:tc>
        <w:tc>
          <w:tcPr>
            <w:tcW w:w="850" w:type="dxa"/>
            <w:tcBorders>
              <w:top w:val="nil"/>
              <w:bottom w:val="nil"/>
            </w:tcBorders>
            <w:noWrap/>
            <w:vAlign w:val="center"/>
            <w:hideMark/>
          </w:tcPr>
          <w:p w14:paraId="44FE2080"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5.67</w:t>
            </w:r>
          </w:p>
        </w:tc>
        <w:tc>
          <w:tcPr>
            <w:tcW w:w="1134" w:type="dxa"/>
            <w:tcBorders>
              <w:top w:val="nil"/>
              <w:bottom w:val="nil"/>
            </w:tcBorders>
            <w:noWrap/>
            <w:vAlign w:val="center"/>
            <w:hideMark/>
          </w:tcPr>
          <w:p w14:paraId="6431BB12"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0.374804</w:t>
            </w:r>
          </w:p>
        </w:tc>
      </w:tr>
      <w:tr w:rsidR="007A783F" w:rsidRPr="00FD2B97" w14:paraId="76F3DE02" w14:textId="77777777" w:rsidTr="00B61943">
        <w:trPr>
          <w:trHeight w:val="340"/>
          <w:jc w:val="center"/>
        </w:trPr>
        <w:tc>
          <w:tcPr>
            <w:tcW w:w="1418" w:type="dxa"/>
            <w:tcBorders>
              <w:top w:val="nil"/>
              <w:bottom w:val="nil"/>
            </w:tcBorders>
            <w:noWrap/>
            <w:vAlign w:val="center"/>
            <w:hideMark/>
          </w:tcPr>
          <w:p w14:paraId="26C65CDA"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NT</w:t>
            </w:r>
          </w:p>
        </w:tc>
        <w:tc>
          <w:tcPr>
            <w:tcW w:w="1192" w:type="dxa"/>
            <w:tcBorders>
              <w:top w:val="nil"/>
              <w:bottom w:val="nil"/>
            </w:tcBorders>
            <w:noWrap/>
            <w:vAlign w:val="center"/>
            <w:hideMark/>
          </w:tcPr>
          <w:p w14:paraId="22E4CFFE"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7.58ab</w:t>
            </w:r>
          </w:p>
        </w:tc>
        <w:tc>
          <w:tcPr>
            <w:tcW w:w="1579" w:type="dxa"/>
            <w:tcBorders>
              <w:top w:val="nil"/>
              <w:bottom w:val="nil"/>
            </w:tcBorders>
            <w:noWrap/>
            <w:vAlign w:val="center"/>
            <w:hideMark/>
          </w:tcPr>
          <w:p w14:paraId="3F0C10F9"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8.9b</w:t>
            </w:r>
          </w:p>
        </w:tc>
        <w:tc>
          <w:tcPr>
            <w:tcW w:w="1339" w:type="dxa"/>
            <w:tcBorders>
              <w:top w:val="nil"/>
              <w:bottom w:val="nil"/>
            </w:tcBorders>
            <w:noWrap/>
            <w:vAlign w:val="center"/>
            <w:hideMark/>
          </w:tcPr>
          <w:p w14:paraId="4CF40828"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6.88a</w:t>
            </w:r>
          </w:p>
        </w:tc>
        <w:tc>
          <w:tcPr>
            <w:tcW w:w="1418" w:type="dxa"/>
            <w:tcBorders>
              <w:top w:val="nil"/>
              <w:bottom w:val="nil"/>
            </w:tcBorders>
            <w:noWrap/>
            <w:vAlign w:val="center"/>
            <w:hideMark/>
          </w:tcPr>
          <w:p w14:paraId="48E9CF5B"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6.95a</w:t>
            </w:r>
          </w:p>
        </w:tc>
        <w:tc>
          <w:tcPr>
            <w:tcW w:w="850" w:type="dxa"/>
            <w:tcBorders>
              <w:top w:val="nil"/>
              <w:bottom w:val="nil"/>
            </w:tcBorders>
            <w:noWrap/>
            <w:vAlign w:val="center"/>
            <w:hideMark/>
          </w:tcPr>
          <w:p w14:paraId="4CC4B451"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8.02</w:t>
            </w:r>
          </w:p>
        </w:tc>
        <w:tc>
          <w:tcPr>
            <w:tcW w:w="1134" w:type="dxa"/>
            <w:tcBorders>
              <w:top w:val="nil"/>
              <w:bottom w:val="nil"/>
            </w:tcBorders>
            <w:noWrap/>
            <w:vAlign w:val="center"/>
            <w:hideMark/>
          </w:tcPr>
          <w:p w14:paraId="31467499"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0.001023</w:t>
            </w:r>
          </w:p>
        </w:tc>
      </w:tr>
      <w:tr w:rsidR="007A783F" w:rsidRPr="00FD2B97" w14:paraId="54926814" w14:textId="77777777" w:rsidTr="00B61943">
        <w:trPr>
          <w:trHeight w:val="340"/>
          <w:jc w:val="center"/>
        </w:trPr>
        <w:tc>
          <w:tcPr>
            <w:tcW w:w="1418" w:type="dxa"/>
            <w:tcBorders>
              <w:top w:val="nil"/>
              <w:bottom w:val="nil"/>
            </w:tcBorders>
            <w:noWrap/>
            <w:vAlign w:val="center"/>
            <w:hideMark/>
          </w:tcPr>
          <w:p w14:paraId="0498D70F"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LT (cm)</w:t>
            </w:r>
          </w:p>
        </w:tc>
        <w:tc>
          <w:tcPr>
            <w:tcW w:w="1192" w:type="dxa"/>
            <w:tcBorders>
              <w:top w:val="nil"/>
              <w:bottom w:val="nil"/>
            </w:tcBorders>
            <w:noWrap/>
            <w:vAlign w:val="center"/>
            <w:hideMark/>
          </w:tcPr>
          <w:p w14:paraId="767F1650"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32.83b</w:t>
            </w:r>
          </w:p>
        </w:tc>
        <w:tc>
          <w:tcPr>
            <w:tcW w:w="1579" w:type="dxa"/>
            <w:tcBorders>
              <w:top w:val="nil"/>
              <w:bottom w:val="nil"/>
            </w:tcBorders>
            <w:noWrap/>
            <w:vAlign w:val="center"/>
            <w:hideMark/>
          </w:tcPr>
          <w:p w14:paraId="0488004A"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35c</w:t>
            </w:r>
          </w:p>
        </w:tc>
        <w:tc>
          <w:tcPr>
            <w:tcW w:w="1339" w:type="dxa"/>
            <w:tcBorders>
              <w:top w:val="nil"/>
              <w:bottom w:val="nil"/>
            </w:tcBorders>
            <w:noWrap/>
            <w:vAlign w:val="center"/>
            <w:hideMark/>
          </w:tcPr>
          <w:p w14:paraId="707FC8DB"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32.4b</w:t>
            </w:r>
          </w:p>
        </w:tc>
        <w:tc>
          <w:tcPr>
            <w:tcW w:w="1418" w:type="dxa"/>
            <w:tcBorders>
              <w:top w:val="nil"/>
              <w:bottom w:val="nil"/>
            </w:tcBorders>
            <w:noWrap/>
            <w:vAlign w:val="center"/>
            <w:hideMark/>
          </w:tcPr>
          <w:p w14:paraId="71497FAD"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30.98a</w:t>
            </w:r>
          </w:p>
        </w:tc>
        <w:tc>
          <w:tcPr>
            <w:tcW w:w="850" w:type="dxa"/>
            <w:tcBorders>
              <w:top w:val="nil"/>
              <w:bottom w:val="nil"/>
            </w:tcBorders>
            <w:noWrap/>
            <w:vAlign w:val="center"/>
            <w:hideMark/>
          </w:tcPr>
          <w:p w14:paraId="2BB41572"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18.16</w:t>
            </w:r>
          </w:p>
        </w:tc>
        <w:tc>
          <w:tcPr>
            <w:tcW w:w="1134" w:type="dxa"/>
            <w:tcBorders>
              <w:top w:val="nil"/>
              <w:bottom w:val="nil"/>
            </w:tcBorders>
            <w:noWrap/>
            <w:vAlign w:val="center"/>
            <w:hideMark/>
          </w:tcPr>
          <w:p w14:paraId="36A78B29"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0.000052</w:t>
            </w:r>
          </w:p>
        </w:tc>
      </w:tr>
      <w:tr w:rsidR="007A783F" w:rsidRPr="00FD2B97" w14:paraId="31BF0C16" w14:textId="77777777" w:rsidTr="00B61943">
        <w:trPr>
          <w:trHeight w:val="340"/>
          <w:jc w:val="center"/>
        </w:trPr>
        <w:tc>
          <w:tcPr>
            <w:tcW w:w="1418" w:type="dxa"/>
            <w:tcBorders>
              <w:top w:val="nil"/>
              <w:bottom w:val="nil"/>
            </w:tcBorders>
            <w:noWrap/>
            <w:vAlign w:val="center"/>
            <w:hideMark/>
          </w:tcPr>
          <w:p w14:paraId="0FAFAC59"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PT (kg)</w:t>
            </w:r>
          </w:p>
        </w:tc>
        <w:tc>
          <w:tcPr>
            <w:tcW w:w="1192" w:type="dxa"/>
            <w:tcBorders>
              <w:top w:val="nil"/>
              <w:bottom w:val="nil"/>
            </w:tcBorders>
            <w:noWrap/>
            <w:vAlign w:val="center"/>
            <w:hideMark/>
          </w:tcPr>
          <w:p w14:paraId="61738714"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3.88b</w:t>
            </w:r>
          </w:p>
        </w:tc>
        <w:tc>
          <w:tcPr>
            <w:tcW w:w="1579" w:type="dxa"/>
            <w:tcBorders>
              <w:top w:val="nil"/>
              <w:bottom w:val="nil"/>
            </w:tcBorders>
            <w:noWrap/>
            <w:vAlign w:val="center"/>
            <w:hideMark/>
          </w:tcPr>
          <w:p w14:paraId="281205AD"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3.66b</w:t>
            </w:r>
          </w:p>
        </w:tc>
        <w:tc>
          <w:tcPr>
            <w:tcW w:w="1339" w:type="dxa"/>
            <w:tcBorders>
              <w:top w:val="nil"/>
              <w:bottom w:val="nil"/>
            </w:tcBorders>
            <w:noWrap/>
            <w:vAlign w:val="center"/>
            <w:hideMark/>
          </w:tcPr>
          <w:p w14:paraId="5670778B"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4.54c</w:t>
            </w:r>
          </w:p>
        </w:tc>
        <w:tc>
          <w:tcPr>
            <w:tcW w:w="1418" w:type="dxa"/>
            <w:tcBorders>
              <w:top w:val="nil"/>
              <w:bottom w:val="nil"/>
            </w:tcBorders>
            <w:noWrap/>
            <w:vAlign w:val="center"/>
            <w:hideMark/>
          </w:tcPr>
          <w:p w14:paraId="33A6E417"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2.66a</w:t>
            </w:r>
          </w:p>
        </w:tc>
        <w:tc>
          <w:tcPr>
            <w:tcW w:w="850" w:type="dxa"/>
            <w:tcBorders>
              <w:top w:val="nil"/>
              <w:bottom w:val="nil"/>
            </w:tcBorders>
            <w:noWrap/>
            <w:vAlign w:val="center"/>
            <w:hideMark/>
          </w:tcPr>
          <w:p w14:paraId="248922F8"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18.16</w:t>
            </w:r>
          </w:p>
        </w:tc>
        <w:tc>
          <w:tcPr>
            <w:tcW w:w="1134" w:type="dxa"/>
            <w:tcBorders>
              <w:top w:val="nil"/>
              <w:bottom w:val="nil"/>
            </w:tcBorders>
            <w:noWrap/>
            <w:vAlign w:val="center"/>
            <w:hideMark/>
          </w:tcPr>
          <w:p w14:paraId="3C0F4B0D"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14:paraId="0F2572FB" w14:textId="77777777" w:rsidTr="00B61943">
        <w:trPr>
          <w:trHeight w:val="340"/>
          <w:jc w:val="center"/>
        </w:trPr>
        <w:tc>
          <w:tcPr>
            <w:tcW w:w="1418" w:type="dxa"/>
            <w:tcBorders>
              <w:top w:val="nil"/>
            </w:tcBorders>
            <w:noWrap/>
            <w:vAlign w:val="center"/>
            <w:hideMark/>
          </w:tcPr>
          <w:p w14:paraId="093F8415"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Rd (t/ha)</w:t>
            </w:r>
          </w:p>
        </w:tc>
        <w:tc>
          <w:tcPr>
            <w:tcW w:w="1192" w:type="dxa"/>
            <w:tcBorders>
              <w:top w:val="nil"/>
            </w:tcBorders>
            <w:noWrap/>
            <w:vAlign w:val="center"/>
            <w:hideMark/>
          </w:tcPr>
          <w:p w14:paraId="64BAD62B"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38.76b</w:t>
            </w:r>
          </w:p>
        </w:tc>
        <w:tc>
          <w:tcPr>
            <w:tcW w:w="1579" w:type="dxa"/>
            <w:tcBorders>
              <w:top w:val="nil"/>
            </w:tcBorders>
            <w:noWrap/>
            <w:vAlign w:val="center"/>
            <w:hideMark/>
          </w:tcPr>
          <w:p w14:paraId="6EB726D4"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36.64ab</w:t>
            </w:r>
          </w:p>
        </w:tc>
        <w:tc>
          <w:tcPr>
            <w:tcW w:w="1339" w:type="dxa"/>
            <w:tcBorders>
              <w:top w:val="nil"/>
            </w:tcBorders>
            <w:noWrap/>
            <w:vAlign w:val="center"/>
            <w:hideMark/>
          </w:tcPr>
          <w:p w14:paraId="035992D9"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45.39c</w:t>
            </w:r>
          </w:p>
        </w:tc>
        <w:tc>
          <w:tcPr>
            <w:tcW w:w="1418" w:type="dxa"/>
            <w:tcBorders>
              <w:top w:val="nil"/>
            </w:tcBorders>
            <w:noWrap/>
            <w:vAlign w:val="center"/>
            <w:hideMark/>
          </w:tcPr>
          <w:p w14:paraId="1E633DD0"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26.61a</w:t>
            </w:r>
          </w:p>
        </w:tc>
        <w:tc>
          <w:tcPr>
            <w:tcW w:w="850" w:type="dxa"/>
            <w:tcBorders>
              <w:top w:val="nil"/>
            </w:tcBorders>
            <w:noWrap/>
            <w:vAlign w:val="center"/>
            <w:hideMark/>
          </w:tcPr>
          <w:p w14:paraId="60472A21"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31.38</w:t>
            </w:r>
          </w:p>
        </w:tc>
        <w:tc>
          <w:tcPr>
            <w:tcW w:w="1134" w:type="dxa"/>
            <w:tcBorders>
              <w:top w:val="nil"/>
            </w:tcBorders>
            <w:noWrap/>
            <w:vAlign w:val="center"/>
            <w:hideMark/>
          </w:tcPr>
          <w:p w14:paraId="25281E77"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bl>
    <w:p w14:paraId="2AB8C00E" w14:textId="77777777" w:rsidR="002611E1" w:rsidRPr="00FD2B97" w:rsidRDefault="002611E1" w:rsidP="007A783F">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w:t>
      </w:r>
      <w:r w:rsidR="007A783F" w:rsidRPr="00FD2B97">
        <w:rPr>
          <w:rFonts w:ascii="Arial" w:hAnsi="Arial" w:cs="Arial"/>
          <w:i/>
          <w:sz w:val="20"/>
          <w:szCs w:val="20"/>
        </w:rPr>
        <w:t xml:space="preserve"> </w:t>
      </w:r>
      <w:r w:rsidRPr="00FD2B97">
        <w:rPr>
          <w:rFonts w:ascii="Arial" w:hAnsi="Arial" w:cs="Arial"/>
          <w:i/>
          <w:sz w:val="20"/>
          <w:szCs w:val="20"/>
        </w:rPr>
        <w:t>: Yield.</w:t>
      </w:r>
    </w:p>
    <w:p w14:paraId="0CACADC2" w14:textId="77777777" w:rsidR="00B55BCC" w:rsidRPr="00FD2B97" w:rsidRDefault="00B55BCC" w:rsidP="00B55BCC">
      <w:pPr>
        <w:jc w:val="both"/>
        <w:rPr>
          <w:rFonts w:ascii="Arial" w:hAnsi="Arial" w:cs="Arial"/>
          <w:sz w:val="20"/>
          <w:szCs w:val="20"/>
        </w:rPr>
      </w:pPr>
    </w:p>
    <w:p w14:paraId="5792A8B1" w14:textId="77777777" w:rsidR="002611E1" w:rsidRDefault="002611E1" w:rsidP="00B61943">
      <w:pPr>
        <w:spacing w:line="240" w:lineRule="auto"/>
        <w:jc w:val="both"/>
        <w:rPr>
          <w:rFonts w:ascii="Arial" w:hAnsi="Arial" w:cs="Arial"/>
          <w:b/>
          <w:sz w:val="22"/>
        </w:rPr>
      </w:pPr>
      <w:r w:rsidRPr="00B61943">
        <w:rPr>
          <w:rFonts w:ascii="Arial" w:hAnsi="Arial" w:cs="Arial"/>
          <w:b/>
          <w:sz w:val="22"/>
        </w:rPr>
        <w:t>3.1.2.2. Evaluation of the influence of tillage methods on th</w:t>
      </w:r>
      <w:r w:rsidR="00B55BCC" w:rsidRPr="00B61943">
        <w:rPr>
          <w:rFonts w:ascii="Arial" w:hAnsi="Arial" w:cs="Arial"/>
          <w:b/>
          <w:sz w:val="22"/>
        </w:rPr>
        <w:t xml:space="preserve">e agro-morphological parameters </w:t>
      </w:r>
      <w:r w:rsidRPr="00B61943">
        <w:rPr>
          <w:rFonts w:ascii="Arial" w:hAnsi="Arial" w:cs="Arial"/>
          <w:b/>
          <w:sz w:val="22"/>
        </w:rPr>
        <w:t>of cassava varieties</w:t>
      </w:r>
    </w:p>
    <w:p w14:paraId="305E7780" w14:textId="77777777" w:rsidR="00B61943" w:rsidRPr="00B61943" w:rsidRDefault="00B61943" w:rsidP="00B61943">
      <w:pPr>
        <w:spacing w:line="240" w:lineRule="auto"/>
        <w:jc w:val="both"/>
        <w:rPr>
          <w:rFonts w:ascii="Arial" w:hAnsi="Arial" w:cs="Arial"/>
          <w:b/>
          <w:sz w:val="22"/>
        </w:rPr>
      </w:pPr>
    </w:p>
    <w:p w14:paraId="331B443D"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 xml:space="preserve">Table </w:t>
      </w:r>
      <w:r w:rsidR="004C177F">
        <w:rPr>
          <w:rFonts w:ascii="Arial" w:hAnsi="Arial" w:cs="Arial"/>
          <w:sz w:val="20"/>
          <w:szCs w:val="20"/>
        </w:rPr>
        <w:t>3</w:t>
      </w:r>
      <w:r w:rsidRPr="00FD2B97">
        <w:rPr>
          <w:rFonts w:ascii="Arial" w:hAnsi="Arial" w:cs="Arial"/>
          <w:sz w:val="20"/>
          <w:szCs w:val="20"/>
        </w:rPr>
        <w:t xml:space="preserve"> presents the agro-morphological parameters of cassava varieties according to tillage</w:t>
      </w:r>
      <w:r w:rsidR="00B55BCC" w:rsidRPr="00FD2B97">
        <w:rPr>
          <w:rFonts w:ascii="Arial" w:hAnsi="Arial" w:cs="Arial"/>
          <w:sz w:val="20"/>
          <w:szCs w:val="20"/>
        </w:rPr>
        <w:t xml:space="preserve"> </w:t>
      </w:r>
      <w:r w:rsidRPr="00FD2B97">
        <w:rPr>
          <w:rFonts w:ascii="Arial" w:hAnsi="Arial" w:cs="Arial"/>
          <w:sz w:val="20"/>
          <w:szCs w:val="20"/>
        </w:rPr>
        <w:t>method. These parameters include collar diameter (CD), he</w:t>
      </w:r>
      <w:r w:rsidR="00B55BCC" w:rsidRPr="00FD2B97">
        <w:rPr>
          <w:rFonts w:ascii="Arial" w:hAnsi="Arial" w:cs="Arial"/>
          <w:sz w:val="20"/>
          <w:szCs w:val="20"/>
        </w:rPr>
        <w:t xml:space="preserve">ight (H), number of branches or </w:t>
      </w:r>
      <w:r w:rsidRPr="00FD2B97">
        <w:rPr>
          <w:rFonts w:ascii="Arial" w:hAnsi="Arial" w:cs="Arial"/>
          <w:sz w:val="20"/>
          <w:szCs w:val="20"/>
        </w:rPr>
        <w:t>secondary stems (NR), number of tubers (NT), tuber length (TL), tuber we</w:t>
      </w:r>
      <w:r w:rsidR="00B55BCC" w:rsidRPr="00FD2B97">
        <w:rPr>
          <w:rFonts w:ascii="Arial" w:hAnsi="Arial" w:cs="Arial"/>
          <w:sz w:val="20"/>
          <w:szCs w:val="20"/>
        </w:rPr>
        <w:t xml:space="preserve">ight (TW), and yield </w:t>
      </w:r>
      <w:r w:rsidRPr="00FD2B97">
        <w:rPr>
          <w:rFonts w:ascii="Arial" w:hAnsi="Arial" w:cs="Arial"/>
          <w:sz w:val="20"/>
          <w:szCs w:val="20"/>
        </w:rPr>
        <w:t>(Y). Statistical analysis shows that, for most of these parameters</w:t>
      </w:r>
      <w:r w:rsidR="00B55BCC" w:rsidRPr="00FD2B97">
        <w:rPr>
          <w:rFonts w:ascii="Arial" w:hAnsi="Arial" w:cs="Arial"/>
          <w:sz w:val="20"/>
          <w:szCs w:val="20"/>
        </w:rPr>
        <w:t xml:space="preserve">, the averages observed for the </w:t>
      </w:r>
      <w:r w:rsidRPr="00FD2B97">
        <w:rPr>
          <w:rFonts w:ascii="Arial" w:hAnsi="Arial" w:cs="Arial"/>
          <w:sz w:val="20"/>
          <w:szCs w:val="20"/>
        </w:rPr>
        <w:t xml:space="preserve">Bocou 1 and Yacé varieties differ significantly depending on the </w:t>
      </w:r>
      <w:r w:rsidR="00B55BCC" w:rsidRPr="00FD2B97">
        <w:rPr>
          <w:rFonts w:ascii="Arial" w:hAnsi="Arial" w:cs="Arial"/>
          <w:sz w:val="20"/>
          <w:szCs w:val="20"/>
        </w:rPr>
        <w:t xml:space="preserve">tillage method (p &lt; 0.05), with </w:t>
      </w:r>
      <w:r w:rsidRPr="00FD2B97">
        <w:rPr>
          <w:rFonts w:ascii="Arial" w:hAnsi="Arial" w:cs="Arial"/>
          <w:sz w:val="20"/>
          <w:szCs w:val="20"/>
        </w:rPr>
        <w:t>the exception of the number of branches (p &gt; 0.05), which re</w:t>
      </w:r>
      <w:r w:rsidR="00B55BCC" w:rsidRPr="00FD2B97">
        <w:rPr>
          <w:rFonts w:ascii="Arial" w:hAnsi="Arial" w:cs="Arial"/>
          <w:sz w:val="20"/>
          <w:szCs w:val="20"/>
        </w:rPr>
        <w:t xml:space="preserve">mains statistically comparable. </w:t>
      </w:r>
      <w:r w:rsidRPr="00FD2B97">
        <w:rPr>
          <w:rFonts w:ascii="Arial" w:hAnsi="Arial" w:cs="Arial"/>
          <w:sz w:val="20"/>
          <w:szCs w:val="20"/>
        </w:rPr>
        <w:t>The ridge cultivation method resulted in a slightly higher yield</w:t>
      </w:r>
      <w:r w:rsidR="00B55BCC" w:rsidRPr="00FD2B97">
        <w:rPr>
          <w:rFonts w:ascii="Arial" w:hAnsi="Arial" w:cs="Arial"/>
          <w:sz w:val="20"/>
          <w:szCs w:val="20"/>
        </w:rPr>
        <w:t xml:space="preserve"> for the Bocou 1 variety (42.08 </w:t>
      </w:r>
      <w:r w:rsidRPr="00FD2B97">
        <w:rPr>
          <w:rFonts w:ascii="Arial" w:hAnsi="Arial" w:cs="Arial"/>
          <w:sz w:val="20"/>
          <w:szCs w:val="20"/>
        </w:rPr>
        <w:t>t/ha) compared to the flat land method (42.07 t/ha). In addition, th</w:t>
      </w:r>
      <w:r w:rsidR="00B55BCC" w:rsidRPr="00FD2B97">
        <w:rPr>
          <w:rFonts w:ascii="Arial" w:hAnsi="Arial" w:cs="Arial"/>
          <w:sz w:val="20"/>
          <w:szCs w:val="20"/>
        </w:rPr>
        <w:t xml:space="preserve">is variety had a higher average </w:t>
      </w:r>
      <w:r w:rsidRPr="00FD2B97">
        <w:rPr>
          <w:rFonts w:ascii="Arial" w:hAnsi="Arial" w:cs="Arial"/>
          <w:sz w:val="20"/>
          <w:szCs w:val="20"/>
        </w:rPr>
        <w:t>tuber weight under ridge cultivation (4.21 kg), suggesting better uti</w:t>
      </w:r>
      <w:r w:rsidR="00B55BCC" w:rsidRPr="00FD2B97">
        <w:rPr>
          <w:rFonts w:ascii="Arial" w:hAnsi="Arial" w:cs="Arial"/>
          <w:sz w:val="20"/>
          <w:szCs w:val="20"/>
        </w:rPr>
        <w:t xml:space="preserve">lization of the soil conditions </w:t>
      </w:r>
      <w:r w:rsidRPr="00FD2B97">
        <w:rPr>
          <w:rFonts w:ascii="Arial" w:hAnsi="Arial" w:cs="Arial"/>
          <w:sz w:val="20"/>
          <w:szCs w:val="20"/>
        </w:rPr>
        <w:t>associated with this cultivation method. On the other hand, the Y</w:t>
      </w:r>
      <w:r w:rsidR="00B55BCC" w:rsidRPr="00FD2B97">
        <w:rPr>
          <w:rFonts w:ascii="Arial" w:hAnsi="Arial" w:cs="Arial"/>
          <w:sz w:val="20"/>
          <w:szCs w:val="20"/>
        </w:rPr>
        <w:t xml:space="preserve">acé variety is characterized by </w:t>
      </w:r>
      <w:r w:rsidRPr="00FD2B97">
        <w:rPr>
          <w:rFonts w:ascii="Arial" w:hAnsi="Arial" w:cs="Arial"/>
          <w:sz w:val="20"/>
          <w:szCs w:val="20"/>
        </w:rPr>
        <w:t>greater stem height and tuber length in the ridge- t (3.04 m and 3</w:t>
      </w:r>
      <w:r w:rsidR="00B55BCC" w:rsidRPr="00FD2B97">
        <w:rPr>
          <w:rFonts w:ascii="Arial" w:hAnsi="Arial" w:cs="Arial"/>
          <w:sz w:val="20"/>
          <w:szCs w:val="20"/>
        </w:rPr>
        <w:t xml:space="preserve">4.38 cm, respectively) than the </w:t>
      </w:r>
      <w:r w:rsidRPr="00FD2B97">
        <w:rPr>
          <w:rFonts w:ascii="Arial" w:hAnsi="Arial" w:cs="Arial"/>
          <w:sz w:val="20"/>
          <w:szCs w:val="20"/>
        </w:rPr>
        <w:t>Bocou 1 variety, indicating a different morphological response depending on the tillage method.</w:t>
      </w:r>
    </w:p>
    <w:p w14:paraId="3815B0BA" w14:textId="77777777" w:rsidR="008A72EA" w:rsidRPr="00FD2B97" w:rsidRDefault="008A72EA">
      <w:pPr>
        <w:spacing w:after="160" w:line="259" w:lineRule="auto"/>
        <w:rPr>
          <w:rFonts w:ascii="Arial" w:hAnsi="Arial" w:cs="Arial"/>
          <w:sz w:val="20"/>
          <w:szCs w:val="20"/>
        </w:rPr>
      </w:pPr>
    </w:p>
    <w:p w14:paraId="33299DDF" w14:textId="77777777" w:rsidR="002611E1" w:rsidRPr="004C177F" w:rsidRDefault="002611E1" w:rsidP="004C177F">
      <w:pPr>
        <w:jc w:val="both"/>
        <w:rPr>
          <w:rFonts w:ascii="Arial" w:hAnsi="Arial" w:cs="Arial"/>
          <w:b/>
          <w:sz w:val="20"/>
          <w:szCs w:val="20"/>
        </w:rPr>
      </w:pPr>
      <w:r w:rsidRPr="004C177F">
        <w:rPr>
          <w:rFonts w:ascii="Arial" w:hAnsi="Arial" w:cs="Arial"/>
          <w:b/>
          <w:sz w:val="20"/>
          <w:szCs w:val="20"/>
        </w:rPr>
        <w:t xml:space="preserve">Table </w:t>
      </w:r>
      <w:r w:rsidR="004C177F">
        <w:rPr>
          <w:rFonts w:ascii="Arial" w:hAnsi="Arial" w:cs="Arial"/>
          <w:b/>
          <w:sz w:val="20"/>
          <w:szCs w:val="20"/>
        </w:rPr>
        <w:t>3</w:t>
      </w:r>
      <w:r w:rsidRPr="004C177F">
        <w:rPr>
          <w:rFonts w:ascii="Arial" w:hAnsi="Arial" w:cs="Arial"/>
          <w:b/>
          <w:sz w:val="20"/>
          <w:szCs w:val="20"/>
        </w:rPr>
        <w:t>: Effect of tillage method on the agronomic parameters of cassava varieties</w:t>
      </w:r>
    </w:p>
    <w:tbl>
      <w:tblPr>
        <w:tblW w:w="892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560"/>
        <w:gridCol w:w="1129"/>
        <w:gridCol w:w="1275"/>
        <w:gridCol w:w="1276"/>
        <w:gridCol w:w="1276"/>
        <w:gridCol w:w="992"/>
        <w:gridCol w:w="1418"/>
      </w:tblGrid>
      <w:tr w:rsidR="008A72EA" w:rsidRPr="00B61943" w14:paraId="299E2B96" w14:textId="77777777" w:rsidTr="00B61943">
        <w:trPr>
          <w:trHeight w:val="340"/>
          <w:jc w:val="center"/>
        </w:trPr>
        <w:tc>
          <w:tcPr>
            <w:tcW w:w="1560" w:type="dxa"/>
            <w:noWrap/>
            <w:vAlign w:val="center"/>
            <w:hideMark/>
          </w:tcPr>
          <w:p w14:paraId="5E9A46BB" w14:textId="77777777" w:rsidR="008A72EA" w:rsidRPr="00B61943" w:rsidRDefault="008A72EA"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Soil type</w:t>
            </w:r>
          </w:p>
        </w:tc>
        <w:tc>
          <w:tcPr>
            <w:tcW w:w="2404" w:type="dxa"/>
            <w:gridSpan w:val="2"/>
            <w:noWrap/>
            <w:vAlign w:val="center"/>
            <w:hideMark/>
          </w:tcPr>
          <w:p w14:paraId="5F986227" w14:textId="77777777"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SA (Lixisols)</w:t>
            </w:r>
          </w:p>
        </w:tc>
        <w:tc>
          <w:tcPr>
            <w:tcW w:w="2552" w:type="dxa"/>
            <w:gridSpan w:val="2"/>
            <w:noWrap/>
            <w:vAlign w:val="center"/>
            <w:hideMark/>
          </w:tcPr>
          <w:p w14:paraId="73FA536C" w14:textId="77777777"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SS (Arenosols)</w:t>
            </w:r>
          </w:p>
        </w:tc>
        <w:tc>
          <w:tcPr>
            <w:tcW w:w="992" w:type="dxa"/>
            <w:vMerge w:val="restart"/>
            <w:noWrap/>
            <w:vAlign w:val="center"/>
            <w:hideMark/>
          </w:tcPr>
          <w:p w14:paraId="655F4D98" w14:textId="77777777"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F</w:t>
            </w:r>
          </w:p>
        </w:tc>
        <w:tc>
          <w:tcPr>
            <w:tcW w:w="1418" w:type="dxa"/>
            <w:vMerge w:val="restart"/>
            <w:noWrap/>
            <w:vAlign w:val="center"/>
            <w:hideMark/>
          </w:tcPr>
          <w:p w14:paraId="1430A7B3" w14:textId="77777777"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P &gt; F</w:t>
            </w:r>
          </w:p>
        </w:tc>
      </w:tr>
      <w:tr w:rsidR="008A72EA" w:rsidRPr="00B61943" w14:paraId="647AD486" w14:textId="77777777" w:rsidTr="00B61943">
        <w:trPr>
          <w:trHeight w:val="340"/>
          <w:jc w:val="center"/>
        </w:trPr>
        <w:tc>
          <w:tcPr>
            <w:tcW w:w="1560" w:type="dxa"/>
            <w:tcBorders>
              <w:bottom w:val="single" w:sz="4" w:space="0" w:color="auto"/>
            </w:tcBorders>
            <w:noWrap/>
            <w:vAlign w:val="center"/>
            <w:hideMark/>
          </w:tcPr>
          <w:p w14:paraId="33FADDC1"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Variety</w:t>
            </w:r>
          </w:p>
        </w:tc>
        <w:tc>
          <w:tcPr>
            <w:tcW w:w="1129" w:type="dxa"/>
            <w:tcBorders>
              <w:bottom w:val="single" w:sz="4" w:space="0" w:color="auto"/>
            </w:tcBorders>
            <w:noWrap/>
            <w:vAlign w:val="center"/>
            <w:hideMark/>
          </w:tcPr>
          <w:p w14:paraId="3A19FACC" w14:textId="77777777"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275" w:type="dxa"/>
            <w:tcBorders>
              <w:bottom w:val="single" w:sz="4" w:space="0" w:color="auto"/>
            </w:tcBorders>
            <w:noWrap/>
            <w:vAlign w:val="center"/>
            <w:hideMark/>
          </w:tcPr>
          <w:p w14:paraId="11B73B1B" w14:textId="77777777" w:rsidR="008A72EA"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1276" w:type="dxa"/>
            <w:tcBorders>
              <w:bottom w:val="single" w:sz="4" w:space="0" w:color="auto"/>
            </w:tcBorders>
            <w:noWrap/>
            <w:vAlign w:val="center"/>
            <w:hideMark/>
          </w:tcPr>
          <w:p w14:paraId="3D6329DD" w14:textId="77777777"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276" w:type="dxa"/>
            <w:tcBorders>
              <w:bottom w:val="single" w:sz="4" w:space="0" w:color="auto"/>
            </w:tcBorders>
            <w:noWrap/>
            <w:vAlign w:val="center"/>
            <w:hideMark/>
          </w:tcPr>
          <w:p w14:paraId="2049DFD3" w14:textId="77777777" w:rsidR="008A72EA"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992" w:type="dxa"/>
            <w:vMerge/>
            <w:tcBorders>
              <w:bottom w:val="single" w:sz="4" w:space="0" w:color="auto"/>
            </w:tcBorders>
            <w:vAlign w:val="center"/>
            <w:hideMark/>
          </w:tcPr>
          <w:p w14:paraId="4D1C61A4" w14:textId="77777777" w:rsidR="008A72EA" w:rsidRPr="00B61943" w:rsidRDefault="008A72EA" w:rsidP="00C43017">
            <w:pPr>
              <w:spacing w:line="240" w:lineRule="auto"/>
              <w:jc w:val="center"/>
              <w:rPr>
                <w:rFonts w:ascii="Arial" w:eastAsia="Times New Roman" w:hAnsi="Arial" w:cs="Arial"/>
                <w:b/>
                <w:sz w:val="20"/>
                <w:szCs w:val="20"/>
                <w:lang w:eastAsia="fr-FR"/>
              </w:rPr>
            </w:pPr>
          </w:p>
        </w:tc>
        <w:tc>
          <w:tcPr>
            <w:tcW w:w="1418" w:type="dxa"/>
            <w:vMerge/>
            <w:tcBorders>
              <w:bottom w:val="single" w:sz="4" w:space="0" w:color="auto"/>
            </w:tcBorders>
            <w:vAlign w:val="center"/>
            <w:hideMark/>
          </w:tcPr>
          <w:p w14:paraId="54DAAF10" w14:textId="77777777" w:rsidR="008A72EA" w:rsidRPr="00B61943" w:rsidRDefault="008A72EA" w:rsidP="00C43017">
            <w:pPr>
              <w:spacing w:line="240" w:lineRule="auto"/>
              <w:jc w:val="center"/>
              <w:rPr>
                <w:rFonts w:ascii="Arial" w:eastAsia="Times New Roman" w:hAnsi="Arial" w:cs="Arial"/>
                <w:b/>
                <w:sz w:val="20"/>
                <w:szCs w:val="20"/>
                <w:lang w:eastAsia="fr-FR"/>
              </w:rPr>
            </w:pPr>
          </w:p>
        </w:tc>
      </w:tr>
      <w:tr w:rsidR="008A72EA" w:rsidRPr="00FD2B97" w14:paraId="17279866" w14:textId="77777777" w:rsidTr="00B61943">
        <w:trPr>
          <w:trHeight w:val="340"/>
          <w:jc w:val="center"/>
        </w:trPr>
        <w:tc>
          <w:tcPr>
            <w:tcW w:w="1560" w:type="dxa"/>
            <w:tcBorders>
              <w:bottom w:val="nil"/>
            </w:tcBorders>
            <w:noWrap/>
            <w:vAlign w:val="center"/>
            <w:hideMark/>
          </w:tcPr>
          <w:p w14:paraId="5737FF1B"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DC (cm)</w:t>
            </w:r>
          </w:p>
        </w:tc>
        <w:tc>
          <w:tcPr>
            <w:tcW w:w="1129" w:type="dxa"/>
            <w:tcBorders>
              <w:bottom w:val="nil"/>
            </w:tcBorders>
            <w:noWrap/>
            <w:vAlign w:val="center"/>
            <w:hideMark/>
          </w:tcPr>
          <w:p w14:paraId="1A429444"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3.23a</w:t>
            </w:r>
          </w:p>
        </w:tc>
        <w:tc>
          <w:tcPr>
            <w:tcW w:w="1275" w:type="dxa"/>
            <w:tcBorders>
              <w:bottom w:val="nil"/>
            </w:tcBorders>
            <w:noWrap/>
            <w:vAlign w:val="center"/>
            <w:hideMark/>
          </w:tcPr>
          <w:p w14:paraId="073EA5EF"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3.99b</w:t>
            </w:r>
          </w:p>
        </w:tc>
        <w:tc>
          <w:tcPr>
            <w:tcW w:w="1276" w:type="dxa"/>
            <w:tcBorders>
              <w:bottom w:val="nil"/>
            </w:tcBorders>
            <w:noWrap/>
            <w:vAlign w:val="center"/>
            <w:hideMark/>
          </w:tcPr>
          <w:p w14:paraId="09708244"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3.34a</w:t>
            </w:r>
          </w:p>
        </w:tc>
        <w:tc>
          <w:tcPr>
            <w:tcW w:w="1276" w:type="dxa"/>
            <w:tcBorders>
              <w:bottom w:val="nil"/>
            </w:tcBorders>
            <w:noWrap/>
            <w:vAlign w:val="center"/>
            <w:hideMark/>
          </w:tcPr>
          <w:p w14:paraId="3C422646"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3.67ab</w:t>
            </w:r>
          </w:p>
        </w:tc>
        <w:tc>
          <w:tcPr>
            <w:tcW w:w="992" w:type="dxa"/>
            <w:tcBorders>
              <w:bottom w:val="nil"/>
            </w:tcBorders>
            <w:noWrap/>
            <w:vAlign w:val="center"/>
            <w:hideMark/>
          </w:tcPr>
          <w:p w14:paraId="50C30E6A"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8.08</w:t>
            </w:r>
          </w:p>
        </w:tc>
        <w:tc>
          <w:tcPr>
            <w:tcW w:w="1418" w:type="dxa"/>
            <w:tcBorders>
              <w:bottom w:val="nil"/>
            </w:tcBorders>
            <w:noWrap/>
            <w:vAlign w:val="center"/>
            <w:hideMark/>
          </w:tcPr>
          <w:p w14:paraId="660CE12E"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r w:rsidR="008A72EA" w:rsidRPr="00FD2B97" w14:paraId="7F7CBF80" w14:textId="77777777" w:rsidTr="00B61943">
        <w:trPr>
          <w:trHeight w:val="340"/>
          <w:jc w:val="center"/>
        </w:trPr>
        <w:tc>
          <w:tcPr>
            <w:tcW w:w="1560" w:type="dxa"/>
            <w:tcBorders>
              <w:top w:val="nil"/>
              <w:bottom w:val="nil"/>
            </w:tcBorders>
            <w:noWrap/>
            <w:vAlign w:val="center"/>
            <w:hideMark/>
          </w:tcPr>
          <w:p w14:paraId="650E501A"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H (m)</w:t>
            </w:r>
          </w:p>
        </w:tc>
        <w:tc>
          <w:tcPr>
            <w:tcW w:w="1129" w:type="dxa"/>
            <w:tcBorders>
              <w:top w:val="nil"/>
              <w:bottom w:val="nil"/>
            </w:tcBorders>
            <w:noWrap/>
            <w:vAlign w:val="center"/>
            <w:hideMark/>
          </w:tcPr>
          <w:p w14:paraId="7123E77C"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2.79b</w:t>
            </w:r>
          </w:p>
        </w:tc>
        <w:tc>
          <w:tcPr>
            <w:tcW w:w="1275" w:type="dxa"/>
            <w:tcBorders>
              <w:top w:val="nil"/>
              <w:bottom w:val="nil"/>
            </w:tcBorders>
            <w:noWrap/>
            <w:vAlign w:val="center"/>
            <w:hideMark/>
          </w:tcPr>
          <w:p w14:paraId="09746B6C"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3.04b</w:t>
            </w:r>
          </w:p>
        </w:tc>
        <w:tc>
          <w:tcPr>
            <w:tcW w:w="1276" w:type="dxa"/>
            <w:tcBorders>
              <w:top w:val="nil"/>
              <w:bottom w:val="nil"/>
            </w:tcBorders>
            <w:noWrap/>
            <w:vAlign w:val="center"/>
            <w:hideMark/>
          </w:tcPr>
          <w:p w14:paraId="5249CCF3"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2.74a</w:t>
            </w:r>
          </w:p>
        </w:tc>
        <w:tc>
          <w:tcPr>
            <w:tcW w:w="1276" w:type="dxa"/>
            <w:tcBorders>
              <w:top w:val="nil"/>
              <w:bottom w:val="nil"/>
            </w:tcBorders>
            <w:noWrap/>
            <w:vAlign w:val="center"/>
            <w:hideMark/>
          </w:tcPr>
          <w:p w14:paraId="74486163"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2.91ab</w:t>
            </w:r>
          </w:p>
        </w:tc>
        <w:tc>
          <w:tcPr>
            <w:tcW w:w="992" w:type="dxa"/>
            <w:tcBorders>
              <w:top w:val="nil"/>
              <w:bottom w:val="nil"/>
            </w:tcBorders>
            <w:noWrap/>
            <w:vAlign w:val="center"/>
            <w:hideMark/>
          </w:tcPr>
          <w:p w14:paraId="17CD0E60"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4.63</w:t>
            </w:r>
          </w:p>
        </w:tc>
        <w:tc>
          <w:tcPr>
            <w:tcW w:w="1418" w:type="dxa"/>
            <w:tcBorders>
              <w:top w:val="nil"/>
              <w:bottom w:val="nil"/>
            </w:tcBorders>
            <w:noWrap/>
            <w:vAlign w:val="center"/>
            <w:hideMark/>
          </w:tcPr>
          <w:p w14:paraId="30AD32A5"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0.004</w:t>
            </w:r>
          </w:p>
        </w:tc>
      </w:tr>
      <w:tr w:rsidR="008A72EA" w:rsidRPr="00FD2B97" w14:paraId="089B5F24" w14:textId="77777777" w:rsidTr="00B61943">
        <w:trPr>
          <w:trHeight w:val="340"/>
          <w:jc w:val="center"/>
        </w:trPr>
        <w:tc>
          <w:tcPr>
            <w:tcW w:w="1560" w:type="dxa"/>
            <w:tcBorders>
              <w:top w:val="nil"/>
              <w:bottom w:val="nil"/>
            </w:tcBorders>
            <w:noWrap/>
            <w:vAlign w:val="center"/>
            <w:hideMark/>
          </w:tcPr>
          <w:p w14:paraId="6FCB905A"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NR</w:t>
            </w:r>
          </w:p>
        </w:tc>
        <w:tc>
          <w:tcPr>
            <w:tcW w:w="1129" w:type="dxa"/>
            <w:tcBorders>
              <w:top w:val="nil"/>
              <w:bottom w:val="nil"/>
            </w:tcBorders>
            <w:noWrap/>
            <w:vAlign w:val="center"/>
            <w:hideMark/>
          </w:tcPr>
          <w:p w14:paraId="6F6DBA76"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275" w:type="dxa"/>
            <w:tcBorders>
              <w:top w:val="nil"/>
              <w:bottom w:val="nil"/>
            </w:tcBorders>
            <w:noWrap/>
            <w:vAlign w:val="center"/>
            <w:hideMark/>
          </w:tcPr>
          <w:p w14:paraId="5F97451D"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2.73a</w:t>
            </w:r>
          </w:p>
        </w:tc>
        <w:tc>
          <w:tcPr>
            <w:tcW w:w="1276" w:type="dxa"/>
            <w:tcBorders>
              <w:top w:val="nil"/>
              <w:bottom w:val="nil"/>
            </w:tcBorders>
            <w:noWrap/>
            <w:vAlign w:val="center"/>
            <w:hideMark/>
          </w:tcPr>
          <w:p w14:paraId="49435A4D"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2.64a</w:t>
            </w:r>
          </w:p>
        </w:tc>
        <w:tc>
          <w:tcPr>
            <w:tcW w:w="1276" w:type="dxa"/>
            <w:tcBorders>
              <w:top w:val="nil"/>
              <w:bottom w:val="nil"/>
            </w:tcBorders>
            <w:noWrap/>
            <w:vAlign w:val="center"/>
            <w:hideMark/>
          </w:tcPr>
          <w:p w14:paraId="37EC23F9"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2.48a</w:t>
            </w:r>
          </w:p>
        </w:tc>
        <w:tc>
          <w:tcPr>
            <w:tcW w:w="992" w:type="dxa"/>
            <w:tcBorders>
              <w:top w:val="nil"/>
              <w:bottom w:val="nil"/>
            </w:tcBorders>
            <w:noWrap/>
            <w:vAlign w:val="center"/>
            <w:hideMark/>
          </w:tcPr>
          <w:p w14:paraId="792CE5CA"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1.27</w:t>
            </w:r>
          </w:p>
        </w:tc>
        <w:tc>
          <w:tcPr>
            <w:tcW w:w="1418" w:type="dxa"/>
            <w:tcBorders>
              <w:top w:val="nil"/>
              <w:bottom w:val="nil"/>
            </w:tcBorders>
            <w:noWrap/>
            <w:vAlign w:val="center"/>
            <w:hideMark/>
          </w:tcPr>
          <w:p w14:paraId="4A786A85"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0.284</w:t>
            </w:r>
          </w:p>
        </w:tc>
      </w:tr>
      <w:tr w:rsidR="008A72EA" w:rsidRPr="00FD2B97" w14:paraId="155C3912" w14:textId="77777777" w:rsidTr="00B61943">
        <w:trPr>
          <w:trHeight w:val="340"/>
          <w:jc w:val="center"/>
        </w:trPr>
        <w:tc>
          <w:tcPr>
            <w:tcW w:w="1560" w:type="dxa"/>
            <w:tcBorders>
              <w:top w:val="nil"/>
              <w:bottom w:val="nil"/>
            </w:tcBorders>
            <w:noWrap/>
            <w:vAlign w:val="center"/>
            <w:hideMark/>
          </w:tcPr>
          <w:p w14:paraId="4B9D8DFE"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NT</w:t>
            </w:r>
          </w:p>
        </w:tc>
        <w:tc>
          <w:tcPr>
            <w:tcW w:w="1129" w:type="dxa"/>
            <w:tcBorders>
              <w:top w:val="nil"/>
              <w:bottom w:val="nil"/>
            </w:tcBorders>
            <w:noWrap/>
            <w:vAlign w:val="center"/>
            <w:hideMark/>
          </w:tcPr>
          <w:p w14:paraId="765D1FAA"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7.35a</w:t>
            </w:r>
          </w:p>
        </w:tc>
        <w:tc>
          <w:tcPr>
            <w:tcW w:w="1275" w:type="dxa"/>
            <w:tcBorders>
              <w:top w:val="nil"/>
              <w:bottom w:val="nil"/>
            </w:tcBorders>
            <w:noWrap/>
            <w:vAlign w:val="center"/>
            <w:hideMark/>
          </w:tcPr>
          <w:p w14:paraId="6D94A727"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8.55a</w:t>
            </w:r>
          </w:p>
        </w:tc>
        <w:tc>
          <w:tcPr>
            <w:tcW w:w="1276" w:type="dxa"/>
            <w:tcBorders>
              <w:top w:val="nil"/>
              <w:bottom w:val="nil"/>
            </w:tcBorders>
            <w:noWrap/>
            <w:vAlign w:val="center"/>
            <w:hideMark/>
          </w:tcPr>
          <w:p w14:paraId="7ADD80AB"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7.1a</w:t>
            </w:r>
          </w:p>
        </w:tc>
        <w:tc>
          <w:tcPr>
            <w:tcW w:w="1276" w:type="dxa"/>
            <w:tcBorders>
              <w:top w:val="nil"/>
              <w:bottom w:val="nil"/>
            </w:tcBorders>
            <w:noWrap/>
            <w:vAlign w:val="center"/>
            <w:hideMark/>
          </w:tcPr>
          <w:p w14:paraId="1E9E29EB"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7.3a</w:t>
            </w:r>
          </w:p>
        </w:tc>
        <w:tc>
          <w:tcPr>
            <w:tcW w:w="992" w:type="dxa"/>
            <w:tcBorders>
              <w:top w:val="nil"/>
              <w:bottom w:val="nil"/>
            </w:tcBorders>
            <w:noWrap/>
            <w:vAlign w:val="center"/>
            <w:hideMark/>
          </w:tcPr>
          <w:p w14:paraId="34BAD159"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2.65</w:t>
            </w:r>
          </w:p>
        </w:tc>
        <w:tc>
          <w:tcPr>
            <w:tcW w:w="1418" w:type="dxa"/>
            <w:tcBorders>
              <w:top w:val="nil"/>
              <w:bottom w:val="nil"/>
            </w:tcBorders>
            <w:noWrap/>
            <w:vAlign w:val="center"/>
            <w:hideMark/>
          </w:tcPr>
          <w:p w14:paraId="7DFE06EA"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0.050</w:t>
            </w:r>
          </w:p>
        </w:tc>
      </w:tr>
      <w:tr w:rsidR="008A72EA" w:rsidRPr="00FD2B97" w14:paraId="337826F6" w14:textId="77777777" w:rsidTr="00B61943">
        <w:trPr>
          <w:trHeight w:val="340"/>
          <w:jc w:val="center"/>
        </w:trPr>
        <w:tc>
          <w:tcPr>
            <w:tcW w:w="1560" w:type="dxa"/>
            <w:tcBorders>
              <w:top w:val="nil"/>
              <w:bottom w:val="nil"/>
            </w:tcBorders>
            <w:noWrap/>
            <w:vAlign w:val="center"/>
            <w:hideMark/>
          </w:tcPr>
          <w:p w14:paraId="0E0616F9"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LT (cm)</w:t>
            </w:r>
          </w:p>
        </w:tc>
        <w:tc>
          <w:tcPr>
            <w:tcW w:w="1129" w:type="dxa"/>
            <w:tcBorders>
              <w:top w:val="nil"/>
              <w:bottom w:val="nil"/>
            </w:tcBorders>
            <w:noWrap/>
            <w:vAlign w:val="center"/>
            <w:hideMark/>
          </w:tcPr>
          <w:p w14:paraId="1AAC011C"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31.73a</w:t>
            </w:r>
          </w:p>
        </w:tc>
        <w:tc>
          <w:tcPr>
            <w:tcW w:w="1275" w:type="dxa"/>
            <w:tcBorders>
              <w:top w:val="nil"/>
              <w:bottom w:val="nil"/>
            </w:tcBorders>
            <w:noWrap/>
            <w:vAlign w:val="center"/>
            <w:hideMark/>
          </w:tcPr>
          <w:p w14:paraId="53B360EB"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34.38b</w:t>
            </w:r>
          </w:p>
        </w:tc>
        <w:tc>
          <w:tcPr>
            <w:tcW w:w="1276" w:type="dxa"/>
            <w:tcBorders>
              <w:top w:val="nil"/>
              <w:bottom w:val="nil"/>
            </w:tcBorders>
            <w:noWrap/>
            <w:vAlign w:val="center"/>
            <w:hideMark/>
          </w:tcPr>
          <w:p w14:paraId="2399F7BB"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33.5b</w:t>
            </w:r>
          </w:p>
        </w:tc>
        <w:tc>
          <w:tcPr>
            <w:tcW w:w="1276" w:type="dxa"/>
            <w:tcBorders>
              <w:top w:val="nil"/>
              <w:bottom w:val="nil"/>
            </w:tcBorders>
            <w:noWrap/>
            <w:vAlign w:val="center"/>
            <w:hideMark/>
          </w:tcPr>
          <w:p w14:paraId="64C18B09"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31.6a</w:t>
            </w:r>
          </w:p>
        </w:tc>
        <w:tc>
          <w:tcPr>
            <w:tcW w:w="992" w:type="dxa"/>
            <w:tcBorders>
              <w:top w:val="nil"/>
              <w:bottom w:val="nil"/>
            </w:tcBorders>
            <w:noWrap/>
            <w:vAlign w:val="center"/>
            <w:hideMark/>
          </w:tcPr>
          <w:p w14:paraId="6FFFCAC2"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5.10</w:t>
            </w:r>
          </w:p>
        </w:tc>
        <w:tc>
          <w:tcPr>
            <w:tcW w:w="1418" w:type="dxa"/>
            <w:tcBorders>
              <w:top w:val="nil"/>
              <w:bottom w:val="nil"/>
            </w:tcBorders>
            <w:noWrap/>
            <w:vAlign w:val="center"/>
            <w:hideMark/>
          </w:tcPr>
          <w:p w14:paraId="4312634C"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0.002</w:t>
            </w:r>
          </w:p>
        </w:tc>
      </w:tr>
      <w:tr w:rsidR="008A72EA" w:rsidRPr="00FD2B97" w14:paraId="408E3524" w14:textId="77777777" w:rsidTr="00B61943">
        <w:trPr>
          <w:trHeight w:val="340"/>
          <w:jc w:val="center"/>
        </w:trPr>
        <w:tc>
          <w:tcPr>
            <w:tcW w:w="1560" w:type="dxa"/>
            <w:tcBorders>
              <w:top w:val="nil"/>
              <w:bottom w:val="nil"/>
            </w:tcBorders>
            <w:noWrap/>
            <w:vAlign w:val="center"/>
            <w:hideMark/>
          </w:tcPr>
          <w:p w14:paraId="237B88BB"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PT (kg)</w:t>
            </w:r>
          </w:p>
        </w:tc>
        <w:tc>
          <w:tcPr>
            <w:tcW w:w="1129" w:type="dxa"/>
            <w:tcBorders>
              <w:top w:val="nil"/>
              <w:bottom w:val="nil"/>
            </w:tcBorders>
            <w:noWrap/>
            <w:vAlign w:val="center"/>
            <w:hideMark/>
          </w:tcPr>
          <w:p w14:paraId="55392DD9"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4.21b</w:t>
            </w:r>
          </w:p>
        </w:tc>
        <w:tc>
          <w:tcPr>
            <w:tcW w:w="1275" w:type="dxa"/>
            <w:tcBorders>
              <w:top w:val="nil"/>
              <w:bottom w:val="nil"/>
            </w:tcBorders>
            <w:noWrap/>
            <w:vAlign w:val="center"/>
            <w:hideMark/>
          </w:tcPr>
          <w:p w14:paraId="0DA0B55A"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3.51a</w:t>
            </w:r>
          </w:p>
        </w:tc>
        <w:tc>
          <w:tcPr>
            <w:tcW w:w="1276" w:type="dxa"/>
            <w:tcBorders>
              <w:top w:val="nil"/>
              <w:bottom w:val="nil"/>
            </w:tcBorders>
            <w:noWrap/>
            <w:vAlign w:val="center"/>
            <w:hideMark/>
          </w:tcPr>
          <w:p w14:paraId="6959F72A"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4.21b</w:t>
            </w:r>
          </w:p>
        </w:tc>
        <w:tc>
          <w:tcPr>
            <w:tcW w:w="1276" w:type="dxa"/>
            <w:tcBorders>
              <w:top w:val="nil"/>
              <w:bottom w:val="nil"/>
            </w:tcBorders>
            <w:noWrap/>
            <w:vAlign w:val="center"/>
            <w:hideMark/>
          </w:tcPr>
          <w:p w14:paraId="3B6BEC50"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2.82a</w:t>
            </w:r>
          </w:p>
        </w:tc>
        <w:tc>
          <w:tcPr>
            <w:tcW w:w="992" w:type="dxa"/>
            <w:tcBorders>
              <w:top w:val="nil"/>
              <w:bottom w:val="nil"/>
            </w:tcBorders>
            <w:noWrap/>
            <w:vAlign w:val="center"/>
            <w:hideMark/>
          </w:tcPr>
          <w:p w14:paraId="36557BAD"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12.19</w:t>
            </w:r>
          </w:p>
        </w:tc>
        <w:tc>
          <w:tcPr>
            <w:tcW w:w="1418" w:type="dxa"/>
            <w:tcBorders>
              <w:top w:val="nil"/>
              <w:bottom w:val="nil"/>
            </w:tcBorders>
            <w:noWrap/>
            <w:vAlign w:val="center"/>
            <w:hideMark/>
          </w:tcPr>
          <w:p w14:paraId="087661AF"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r w:rsidR="008A72EA" w:rsidRPr="00FD2B97" w14:paraId="422808AE" w14:textId="77777777" w:rsidTr="00B61943">
        <w:trPr>
          <w:trHeight w:val="340"/>
          <w:jc w:val="center"/>
        </w:trPr>
        <w:tc>
          <w:tcPr>
            <w:tcW w:w="1560" w:type="dxa"/>
            <w:tcBorders>
              <w:top w:val="nil"/>
            </w:tcBorders>
            <w:noWrap/>
            <w:vAlign w:val="center"/>
            <w:hideMark/>
          </w:tcPr>
          <w:p w14:paraId="2A997342"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Rd (t/ha)</w:t>
            </w:r>
          </w:p>
        </w:tc>
        <w:tc>
          <w:tcPr>
            <w:tcW w:w="1129" w:type="dxa"/>
            <w:tcBorders>
              <w:top w:val="nil"/>
            </w:tcBorders>
            <w:noWrap/>
            <w:vAlign w:val="center"/>
            <w:hideMark/>
          </w:tcPr>
          <w:p w14:paraId="5BE761E6"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44.30b</w:t>
            </w:r>
          </w:p>
        </w:tc>
        <w:tc>
          <w:tcPr>
            <w:tcW w:w="1275" w:type="dxa"/>
            <w:tcBorders>
              <w:top w:val="nil"/>
            </w:tcBorders>
            <w:noWrap/>
            <w:vAlign w:val="center"/>
            <w:hideMark/>
          </w:tcPr>
          <w:p w14:paraId="56A393DD"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35.09ab</w:t>
            </w:r>
          </w:p>
        </w:tc>
        <w:tc>
          <w:tcPr>
            <w:tcW w:w="1276" w:type="dxa"/>
            <w:tcBorders>
              <w:top w:val="nil"/>
            </w:tcBorders>
            <w:noWrap/>
            <w:vAlign w:val="center"/>
            <w:hideMark/>
          </w:tcPr>
          <w:p w14:paraId="5C6C60EC"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42.07b</w:t>
            </w:r>
          </w:p>
        </w:tc>
        <w:tc>
          <w:tcPr>
            <w:tcW w:w="1276" w:type="dxa"/>
            <w:tcBorders>
              <w:top w:val="nil"/>
            </w:tcBorders>
            <w:noWrap/>
            <w:vAlign w:val="center"/>
            <w:hideMark/>
          </w:tcPr>
          <w:p w14:paraId="44CF1D31"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28.16a</w:t>
            </w:r>
          </w:p>
        </w:tc>
        <w:tc>
          <w:tcPr>
            <w:tcW w:w="992" w:type="dxa"/>
            <w:tcBorders>
              <w:top w:val="nil"/>
            </w:tcBorders>
            <w:noWrap/>
            <w:vAlign w:val="center"/>
            <w:hideMark/>
          </w:tcPr>
          <w:p w14:paraId="589FCA60"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12.19</w:t>
            </w:r>
          </w:p>
        </w:tc>
        <w:tc>
          <w:tcPr>
            <w:tcW w:w="1418" w:type="dxa"/>
            <w:tcBorders>
              <w:top w:val="nil"/>
            </w:tcBorders>
            <w:noWrap/>
            <w:vAlign w:val="center"/>
            <w:hideMark/>
          </w:tcPr>
          <w:p w14:paraId="05239C18"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bl>
    <w:p w14:paraId="14E1CB63" w14:textId="77777777" w:rsidR="002611E1" w:rsidRPr="00FD2B97" w:rsidRDefault="002611E1" w:rsidP="008A72EA">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 Yield.</w:t>
      </w:r>
    </w:p>
    <w:p w14:paraId="35445614" w14:textId="77777777" w:rsidR="00B55BCC" w:rsidRDefault="00B55BCC" w:rsidP="00B55BCC">
      <w:pPr>
        <w:jc w:val="both"/>
        <w:rPr>
          <w:rFonts w:ascii="Arial" w:hAnsi="Arial" w:cs="Arial"/>
          <w:sz w:val="20"/>
          <w:szCs w:val="20"/>
        </w:rPr>
      </w:pPr>
    </w:p>
    <w:p w14:paraId="19A71130" w14:textId="77777777" w:rsidR="00B61943" w:rsidRPr="00FD2B97" w:rsidRDefault="00B61943" w:rsidP="00B55BCC">
      <w:pPr>
        <w:jc w:val="both"/>
        <w:rPr>
          <w:rFonts w:ascii="Arial" w:hAnsi="Arial" w:cs="Arial"/>
          <w:sz w:val="20"/>
          <w:szCs w:val="20"/>
        </w:rPr>
      </w:pPr>
    </w:p>
    <w:p w14:paraId="394B22B3" w14:textId="77777777" w:rsidR="002611E1" w:rsidRDefault="002611E1" w:rsidP="00B61943">
      <w:pPr>
        <w:spacing w:line="240" w:lineRule="auto"/>
        <w:jc w:val="both"/>
        <w:rPr>
          <w:rFonts w:ascii="Arial" w:hAnsi="Arial" w:cs="Arial"/>
          <w:b/>
          <w:sz w:val="22"/>
        </w:rPr>
      </w:pPr>
      <w:r w:rsidRPr="00B61943">
        <w:rPr>
          <w:rFonts w:ascii="Arial" w:hAnsi="Arial" w:cs="Arial"/>
          <w:b/>
          <w:sz w:val="22"/>
        </w:rPr>
        <w:lastRenderedPageBreak/>
        <w:t>3.1.2.3. Influence of soil type and tillage method, as well as va</w:t>
      </w:r>
      <w:r w:rsidR="00B55BCC" w:rsidRPr="00B61943">
        <w:rPr>
          <w:rFonts w:ascii="Arial" w:hAnsi="Arial" w:cs="Arial"/>
          <w:b/>
          <w:sz w:val="22"/>
        </w:rPr>
        <w:t xml:space="preserve">riety, on the agromorphological </w:t>
      </w:r>
      <w:r w:rsidRPr="00B61943">
        <w:rPr>
          <w:rFonts w:ascii="Arial" w:hAnsi="Arial" w:cs="Arial"/>
          <w:b/>
          <w:sz w:val="22"/>
        </w:rPr>
        <w:t>parameters of cassava</w:t>
      </w:r>
    </w:p>
    <w:p w14:paraId="127EF2B7" w14:textId="77777777" w:rsidR="00B61943" w:rsidRPr="00B61943" w:rsidRDefault="00B61943" w:rsidP="00B61943">
      <w:pPr>
        <w:spacing w:line="240" w:lineRule="auto"/>
        <w:jc w:val="both"/>
        <w:rPr>
          <w:rFonts w:ascii="Arial" w:hAnsi="Arial" w:cs="Arial"/>
          <w:b/>
          <w:sz w:val="22"/>
        </w:rPr>
      </w:pPr>
    </w:p>
    <w:p w14:paraId="2B32071C"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 xml:space="preserve">Table </w:t>
      </w:r>
      <w:r w:rsidR="004C177F">
        <w:rPr>
          <w:rFonts w:ascii="Arial" w:hAnsi="Arial" w:cs="Arial"/>
          <w:sz w:val="20"/>
          <w:szCs w:val="20"/>
        </w:rPr>
        <w:t>4</w:t>
      </w:r>
      <w:r w:rsidRPr="00FD2B97">
        <w:rPr>
          <w:rFonts w:ascii="Arial" w:hAnsi="Arial" w:cs="Arial"/>
          <w:sz w:val="20"/>
          <w:szCs w:val="20"/>
        </w:rPr>
        <w:t xml:space="preserve"> shows the combined effects of soil type and tillage method on the agro-morphological</w:t>
      </w:r>
      <w:r w:rsidR="00B55BCC" w:rsidRPr="00FD2B97">
        <w:rPr>
          <w:rFonts w:ascii="Arial" w:hAnsi="Arial" w:cs="Arial"/>
          <w:sz w:val="20"/>
          <w:szCs w:val="20"/>
        </w:rPr>
        <w:t xml:space="preserve"> </w:t>
      </w:r>
      <w:r w:rsidRPr="00FD2B97">
        <w:rPr>
          <w:rFonts w:ascii="Arial" w:hAnsi="Arial" w:cs="Arial"/>
          <w:sz w:val="20"/>
          <w:szCs w:val="20"/>
        </w:rPr>
        <w:t>parameters of cassava, depending on the variety. With the excep</w:t>
      </w:r>
      <w:r w:rsidR="00B55BCC" w:rsidRPr="00FD2B97">
        <w:rPr>
          <w:rFonts w:ascii="Arial" w:hAnsi="Arial" w:cs="Arial"/>
          <w:sz w:val="20"/>
          <w:szCs w:val="20"/>
        </w:rPr>
        <w:t xml:space="preserve">tion of the number of branches, </w:t>
      </w:r>
      <w:r w:rsidRPr="00FD2B97">
        <w:rPr>
          <w:rFonts w:ascii="Arial" w:hAnsi="Arial" w:cs="Arial"/>
          <w:sz w:val="20"/>
          <w:szCs w:val="20"/>
        </w:rPr>
        <w:t>statistical analysis reveals highly significant differences (p &lt; 0.</w:t>
      </w:r>
      <w:r w:rsidR="00B55BCC" w:rsidRPr="00FD2B97">
        <w:rPr>
          <w:rFonts w:ascii="Arial" w:hAnsi="Arial" w:cs="Arial"/>
          <w:sz w:val="20"/>
          <w:szCs w:val="20"/>
        </w:rPr>
        <w:t xml:space="preserve">05) between the average values </w:t>
      </w:r>
      <w:r w:rsidRPr="00FD2B97">
        <w:rPr>
          <w:rFonts w:ascii="Arial" w:hAnsi="Arial" w:cs="Arial"/>
          <w:sz w:val="20"/>
          <w:szCs w:val="20"/>
        </w:rPr>
        <w:t>observed for the two varieties. On clay soil, ridge cultivation res</w:t>
      </w:r>
      <w:r w:rsidR="00B55BCC" w:rsidRPr="00FD2B97">
        <w:rPr>
          <w:rFonts w:ascii="Arial" w:hAnsi="Arial" w:cs="Arial"/>
          <w:sz w:val="20"/>
          <w:szCs w:val="20"/>
        </w:rPr>
        <w:t xml:space="preserve">ulted in a higher yield for the </w:t>
      </w:r>
      <w:r w:rsidRPr="00FD2B97">
        <w:rPr>
          <w:rFonts w:ascii="Arial" w:hAnsi="Arial" w:cs="Arial"/>
          <w:sz w:val="20"/>
          <w:szCs w:val="20"/>
        </w:rPr>
        <w:t>Yacé variety (41.3 t/ha) and a higher average tuber weight (4</w:t>
      </w:r>
      <w:r w:rsidR="00B55BCC" w:rsidRPr="00FD2B97">
        <w:rPr>
          <w:rFonts w:ascii="Arial" w:hAnsi="Arial" w:cs="Arial"/>
          <w:sz w:val="20"/>
          <w:szCs w:val="20"/>
        </w:rPr>
        <w:t xml:space="preserve">.13 kg) compared to the Bocou 1 </w:t>
      </w:r>
      <w:r w:rsidRPr="00FD2B97">
        <w:rPr>
          <w:rFonts w:ascii="Arial" w:hAnsi="Arial" w:cs="Arial"/>
          <w:sz w:val="20"/>
          <w:szCs w:val="20"/>
        </w:rPr>
        <w:t>variety. On the other hand, on flat land, the Bocou 1 variety produ</w:t>
      </w:r>
      <w:r w:rsidR="00B55BCC" w:rsidRPr="00FD2B97">
        <w:rPr>
          <w:rFonts w:ascii="Arial" w:hAnsi="Arial" w:cs="Arial"/>
          <w:sz w:val="20"/>
          <w:szCs w:val="20"/>
        </w:rPr>
        <w:t xml:space="preserve">ced a higher yield (41.98 t/ha) </w:t>
      </w:r>
      <w:r w:rsidRPr="00FD2B97">
        <w:rPr>
          <w:rFonts w:ascii="Arial" w:hAnsi="Arial" w:cs="Arial"/>
          <w:sz w:val="20"/>
          <w:szCs w:val="20"/>
        </w:rPr>
        <w:t>than Yacé (31.97 t/ha), with a slightly higher average tube</w:t>
      </w:r>
      <w:r w:rsidR="00B55BCC" w:rsidRPr="00FD2B97">
        <w:rPr>
          <w:rFonts w:ascii="Arial" w:hAnsi="Arial" w:cs="Arial"/>
          <w:sz w:val="20"/>
          <w:szCs w:val="20"/>
        </w:rPr>
        <w:t xml:space="preserve">r weight (4.20 kg vs. 3.20 kg). </w:t>
      </w:r>
      <w:r w:rsidRPr="00FD2B97">
        <w:rPr>
          <w:rFonts w:ascii="Arial" w:hAnsi="Arial" w:cs="Arial"/>
          <w:sz w:val="20"/>
          <w:szCs w:val="20"/>
        </w:rPr>
        <w:t xml:space="preserve">However, the average plant height, average number of tubers, </w:t>
      </w:r>
      <w:r w:rsidR="00B55BCC" w:rsidRPr="00FD2B97">
        <w:rPr>
          <w:rFonts w:ascii="Arial" w:hAnsi="Arial" w:cs="Arial"/>
          <w:sz w:val="20"/>
          <w:szCs w:val="20"/>
        </w:rPr>
        <w:t xml:space="preserve">and average tuber length remain </w:t>
      </w:r>
      <w:r w:rsidRPr="00FD2B97">
        <w:rPr>
          <w:rFonts w:ascii="Arial" w:hAnsi="Arial" w:cs="Arial"/>
          <w:sz w:val="20"/>
          <w:szCs w:val="20"/>
        </w:rPr>
        <w:t>broadly similar between the two varieties on this type of soil. O</w:t>
      </w:r>
      <w:r w:rsidR="00B55BCC" w:rsidRPr="00FD2B97">
        <w:rPr>
          <w:rFonts w:ascii="Arial" w:hAnsi="Arial" w:cs="Arial"/>
          <w:sz w:val="20"/>
          <w:szCs w:val="20"/>
        </w:rPr>
        <w:t xml:space="preserve">n sandy soil, regardless of the </w:t>
      </w:r>
      <w:r w:rsidRPr="00FD2B97">
        <w:rPr>
          <w:rFonts w:ascii="Arial" w:hAnsi="Arial" w:cs="Arial"/>
          <w:sz w:val="20"/>
          <w:szCs w:val="20"/>
        </w:rPr>
        <w:t>tillage method (ridged or flat), the Bocou 1 variety stands out wit</w:t>
      </w:r>
      <w:r w:rsidR="00B55BCC" w:rsidRPr="00FD2B97">
        <w:rPr>
          <w:rFonts w:ascii="Arial" w:hAnsi="Arial" w:cs="Arial"/>
          <w:sz w:val="20"/>
          <w:szCs w:val="20"/>
        </w:rPr>
        <w:t xml:space="preserve">h yield values (48.62 and 42.15 </w:t>
      </w:r>
      <w:r w:rsidRPr="00FD2B97">
        <w:rPr>
          <w:rFonts w:ascii="Arial" w:hAnsi="Arial" w:cs="Arial"/>
          <w:sz w:val="20"/>
          <w:szCs w:val="20"/>
        </w:rPr>
        <w:t>t/ha, respectively) and average tuber weights (4.86 and 4.22 kg) t</w:t>
      </w:r>
      <w:r w:rsidR="00B55BCC" w:rsidRPr="00FD2B97">
        <w:rPr>
          <w:rFonts w:ascii="Arial" w:hAnsi="Arial" w:cs="Arial"/>
          <w:sz w:val="20"/>
          <w:szCs w:val="20"/>
        </w:rPr>
        <w:t xml:space="preserve">hat are significantly higher </w:t>
      </w:r>
      <w:r w:rsidRPr="00FD2B97">
        <w:rPr>
          <w:rFonts w:ascii="Arial" w:hAnsi="Arial" w:cs="Arial"/>
          <w:sz w:val="20"/>
          <w:szCs w:val="20"/>
        </w:rPr>
        <w:t>than those of the Yacé variety (28.87 and 24.35 t/ha; 2.89 and 2</w:t>
      </w:r>
      <w:r w:rsidR="00B55BCC" w:rsidRPr="00FD2B97">
        <w:rPr>
          <w:rFonts w:ascii="Arial" w:hAnsi="Arial" w:cs="Arial"/>
          <w:sz w:val="20"/>
          <w:szCs w:val="20"/>
        </w:rPr>
        <w:t xml:space="preserve">.44 kg, respectively). However, </w:t>
      </w:r>
      <w:r w:rsidRPr="00FD2B97">
        <w:rPr>
          <w:rFonts w:ascii="Arial" w:hAnsi="Arial" w:cs="Arial"/>
          <w:sz w:val="20"/>
          <w:szCs w:val="20"/>
        </w:rPr>
        <w:t xml:space="preserve">the average tuber length of the Bocou 1 variety in flat soil (34.25 </w:t>
      </w:r>
      <w:r w:rsidR="00B55BCC" w:rsidRPr="00FD2B97">
        <w:rPr>
          <w:rFonts w:ascii="Arial" w:hAnsi="Arial" w:cs="Arial"/>
          <w:sz w:val="20"/>
          <w:szCs w:val="20"/>
        </w:rPr>
        <w:t xml:space="preserve">cm) is greater than that of the </w:t>
      </w:r>
      <w:r w:rsidRPr="00FD2B97">
        <w:rPr>
          <w:rFonts w:ascii="Arial" w:hAnsi="Arial" w:cs="Arial"/>
          <w:sz w:val="20"/>
          <w:szCs w:val="20"/>
        </w:rPr>
        <w:t>Yacé variety, while in ridge cultivation it remains roughly equiva</w:t>
      </w:r>
      <w:r w:rsidR="00B55BCC" w:rsidRPr="00FD2B97">
        <w:rPr>
          <w:rFonts w:ascii="Arial" w:hAnsi="Arial" w:cs="Arial"/>
          <w:sz w:val="20"/>
          <w:szCs w:val="20"/>
        </w:rPr>
        <w:t xml:space="preserve">lent ( ). In general, the other </w:t>
      </w:r>
      <w:r w:rsidRPr="00FD2B97">
        <w:rPr>
          <w:rFonts w:ascii="Arial" w:hAnsi="Arial" w:cs="Arial"/>
          <w:sz w:val="20"/>
          <w:szCs w:val="20"/>
        </w:rPr>
        <w:t>parameters measured remain virtually the same, regardless of the tillage method.</w:t>
      </w:r>
    </w:p>
    <w:p w14:paraId="39479297" w14:textId="77777777" w:rsidR="00B55BCC" w:rsidRPr="00FD2B97" w:rsidRDefault="00B55BCC" w:rsidP="002611E1">
      <w:pPr>
        <w:rPr>
          <w:rFonts w:ascii="Arial" w:hAnsi="Arial" w:cs="Arial"/>
          <w:color w:val="FF0000"/>
          <w:sz w:val="20"/>
          <w:szCs w:val="20"/>
        </w:rPr>
      </w:pPr>
    </w:p>
    <w:p w14:paraId="09CF8765" w14:textId="77777777" w:rsidR="002611E1" w:rsidRPr="004C177F" w:rsidRDefault="002611E1" w:rsidP="00B61943">
      <w:pPr>
        <w:spacing w:after="160" w:line="259" w:lineRule="auto"/>
        <w:jc w:val="both"/>
        <w:rPr>
          <w:rFonts w:ascii="Arial" w:hAnsi="Arial" w:cs="Arial"/>
          <w:b/>
          <w:sz w:val="20"/>
          <w:szCs w:val="20"/>
        </w:rPr>
      </w:pPr>
      <w:r w:rsidRPr="004C177F">
        <w:rPr>
          <w:rFonts w:ascii="Arial" w:hAnsi="Arial" w:cs="Arial"/>
          <w:b/>
          <w:sz w:val="20"/>
          <w:szCs w:val="20"/>
        </w:rPr>
        <w:t xml:space="preserve">Table </w:t>
      </w:r>
      <w:r w:rsidR="004C177F">
        <w:rPr>
          <w:rFonts w:ascii="Arial" w:hAnsi="Arial" w:cs="Arial"/>
          <w:b/>
          <w:sz w:val="20"/>
          <w:szCs w:val="20"/>
        </w:rPr>
        <w:t xml:space="preserve">4 </w:t>
      </w:r>
      <w:r w:rsidRPr="004C177F">
        <w:rPr>
          <w:rFonts w:ascii="Arial" w:hAnsi="Arial" w:cs="Arial"/>
          <w:b/>
          <w:sz w:val="20"/>
          <w:szCs w:val="20"/>
        </w:rPr>
        <w:t>: Effect of tillage type and method on the agro-morphological parameters of cassava</w:t>
      </w:r>
      <w:r w:rsidR="008A72EA" w:rsidRPr="004C177F">
        <w:rPr>
          <w:rFonts w:ascii="Arial" w:hAnsi="Arial" w:cs="Arial"/>
          <w:b/>
          <w:sz w:val="20"/>
          <w:szCs w:val="20"/>
        </w:rPr>
        <w:t xml:space="preserve"> </w:t>
      </w:r>
      <w:r w:rsidRPr="004C177F">
        <w:rPr>
          <w:rFonts w:ascii="Arial" w:hAnsi="Arial" w:cs="Arial"/>
          <w:b/>
          <w:sz w:val="20"/>
          <w:szCs w:val="20"/>
        </w:rPr>
        <w:t>according to variety</w:t>
      </w:r>
    </w:p>
    <w:tbl>
      <w:tblPr>
        <w:tblW w:w="9351" w:type="dxa"/>
        <w:jc w:val="center"/>
        <w:tblCellMar>
          <w:left w:w="70" w:type="dxa"/>
          <w:right w:w="70" w:type="dxa"/>
        </w:tblCellMar>
        <w:tblLook w:val="04A0" w:firstRow="1" w:lastRow="0" w:firstColumn="1" w:lastColumn="0" w:noHBand="0" w:noVBand="1"/>
      </w:tblPr>
      <w:tblGrid>
        <w:gridCol w:w="567"/>
        <w:gridCol w:w="741"/>
        <w:gridCol w:w="955"/>
        <w:gridCol w:w="1148"/>
        <w:gridCol w:w="850"/>
        <w:gridCol w:w="851"/>
        <w:gridCol w:w="1040"/>
        <w:gridCol w:w="1073"/>
        <w:gridCol w:w="992"/>
        <w:gridCol w:w="1134"/>
      </w:tblGrid>
      <w:tr w:rsidR="008A72EA" w:rsidRPr="00B61943" w14:paraId="30506C4C" w14:textId="77777777" w:rsidTr="00B61943">
        <w:trPr>
          <w:trHeight w:val="340"/>
          <w:jc w:val="center"/>
        </w:trPr>
        <w:tc>
          <w:tcPr>
            <w:tcW w:w="567" w:type="dxa"/>
            <w:tcBorders>
              <w:top w:val="single" w:sz="4" w:space="0" w:color="auto"/>
              <w:bottom w:val="single" w:sz="4" w:space="0" w:color="auto"/>
            </w:tcBorders>
            <w:noWrap/>
            <w:vAlign w:val="center"/>
            <w:hideMark/>
          </w:tcPr>
          <w:p w14:paraId="7989EDAD"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TS</w:t>
            </w:r>
          </w:p>
        </w:tc>
        <w:tc>
          <w:tcPr>
            <w:tcW w:w="741" w:type="dxa"/>
            <w:tcBorders>
              <w:top w:val="single" w:sz="4" w:space="0" w:color="auto"/>
              <w:bottom w:val="single" w:sz="4" w:space="0" w:color="auto"/>
            </w:tcBorders>
            <w:noWrap/>
            <w:vAlign w:val="center"/>
            <w:hideMark/>
          </w:tcPr>
          <w:p w14:paraId="3B700AB2"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MT</w:t>
            </w:r>
          </w:p>
        </w:tc>
        <w:tc>
          <w:tcPr>
            <w:tcW w:w="955" w:type="dxa"/>
            <w:tcBorders>
              <w:top w:val="single" w:sz="4" w:space="0" w:color="auto"/>
              <w:bottom w:val="single" w:sz="4" w:space="0" w:color="auto"/>
            </w:tcBorders>
            <w:noWrap/>
            <w:vAlign w:val="center"/>
            <w:hideMark/>
          </w:tcPr>
          <w:p w14:paraId="54572A73"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Variety</w:t>
            </w:r>
          </w:p>
        </w:tc>
        <w:tc>
          <w:tcPr>
            <w:tcW w:w="1148" w:type="dxa"/>
            <w:tcBorders>
              <w:top w:val="single" w:sz="4" w:space="0" w:color="auto"/>
              <w:bottom w:val="single" w:sz="4" w:space="0" w:color="auto"/>
            </w:tcBorders>
            <w:noWrap/>
            <w:vAlign w:val="center"/>
            <w:hideMark/>
          </w:tcPr>
          <w:p w14:paraId="2F046B2D"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DC (cm)</w:t>
            </w:r>
          </w:p>
        </w:tc>
        <w:tc>
          <w:tcPr>
            <w:tcW w:w="850" w:type="dxa"/>
            <w:tcBorders>
              <w:top w:val="single" w:sz="4" w:space="0" w:color="auto"/>
              <w:bottom w:val="single" w:sz="4" w:space="0" w:color="auto"/>
            </w:tcBorders>
            <w:noWrap/>
            <w:vAlign w:val="center"/>
            <w:hideMark/>
          </w:tcPr>
          <w:p w14:paraId="57905851"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H (m)</w:t>
            </w:r>
          </w:p>
        </w:tc>
        <w:tc>
          <w:tcPr>
            <w:tcW w:w="851" w:type="dxa"/>
            <w:tcBorders>
              <w:top w:val="single" w:sz="4" w:space="0" w:color="auto"/>
              <w:bottom w:val="single" w:sz="4" w:space="0" w:color="auto"/>
            </w:tcBorders>
            <w:noWrap/>
            <w:vAlign w:val="center"/>
            <w:hideMark/>
          </w:tcPr>
          <w:p w14:paraId="5798F364"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NR</w:t>
            </w:r>
          </w:p>
        </w:tc>
        <w:tc>
          <w:tcPr>
            <w:tcW w:w="1040" w:type="dxa"/>
            <w:tcBorders>
              <w:top w:val="single" w:sz="4" w:space="0" w:color="auto"/>
              <w:bottom w:val="single" w:sz="4" w:space="0" w:color="auto"/>
            </w:tcBorders>
            <w:noWrap/>
            <w:vAlign w:val="center"/>
            <w:hideMark/>
          </w:tcPr>
          <w:p w14:paraId="21BE269C"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NT</w:t>
            </w:r>
          </w:p>
        </w:tc>
        <w:tc>
          <w:tcPr>
            <w:tcW w:w="1073" w:type="dxa"/>
            <w:tcBorders>
              <w:top w:val="single" w:sz="4" w:space="0" w:color="auto"/>
              <w:bottom w:val="single" w:sz="4" w:space="0" w:color="auto"/>
            </w:tcBorders>
            <w:noWrap/>
            <w:vAlign w:val="center"/>
            <w:hideMark/>
          </w:tcPr>
          <w:p w14:paraId="16DBFC00"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LT (cm)</w:t>
            </w:r>
          </w:p>
        </w:tc>
        <w:tc>
          <w:tcPr>
            <w:tcW w:w="992" w:type="dxa"/>
            <w:tcBorders>
              <w:top w:val="single" w:sz="4" w:space="0" w:color="auto"/>
              <w:bottom w:val="single" w:sz="4" w:space="0" w:color="auto"/>
            </w:tcBorders>
            <w:noWrap/>
            <w:vAlign w:val="center"/>
            <w:hideMark/>
          </w:tcPr>
          <w:p w14:paraId="105F50DD"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PT (kg)</w:t>
            </w:r>
          </w:p>
        </w:tc>
        <w:tc>
          <w:tcPr>
            <w:tcW w:w="1134" w:type="dxa"/>
            <w:tcBorders>
              <w:top w:val="single" w:sz="4" w:space="0" w:color="auto"/>
              <w:bottom w:val="single" w:sz="4" w:space="0" w:color="auto"/>
            </w:tcBorders>
            <w:noWrap/>
            <w:vAlign w:val="center"/>
            <w:hideMark/>
          </w:tcPr>
          <w:p w14:paraId="33ADDEFD"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Rd (t/ha)</w:t>
            </w:r>
          </w:p>
        </w:tc>
      </w:tr>
      <w:tr w:rsidR="008A72EA" w:rsidRPr="00FD2B97" w14:paraId="5F69C28C" w14:textId="77777777" w:rsidTr="00B61943">
        <w:trPr>
          <w:trHeight w:val="340"/>
          <w:jc w:val="center"/>
        </w:trPr>
        <w:tc>
          <w:tcPr>
            <w:tcW w:w="567" w:type="dxa"/>
            <w:vMerge w:val="restart"/>
            <w:tcBorders>
              <w:top w:val="nil"/>
              <w:bottom w:val="single" w:sz="4" w:space="0" w:color="auto"/>
            </w:tcBorders>
            <w:noWrap/>
            <w:vAlign w:val="center"/>
            <w:hideMark/>
          </w:tcPr>
          <w:p w14:paraId="18577807"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SA</w:t>
            </w:r>
          </w:p>
        </w:tc>
        <w:tc>
          <w:tcPr>
            <w:tcW w:w="741" w:type="dxa"/>
            <w:vMerge w:val="restart"/>
            <w:tcBorders>
              <w:top w:val="nil"/>
              <w:bottom w:val="single" w:sz="4" w:space="0" w:color="auto"/>
            </w:tcBorders>
            <w:noWrap/>
            <w:vAlign w:val="center"/>
            <w:hideMark/>
          </w:tcPr>
          <w:p w14:paraId="6EA464E7"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Billon</w:t>
            </w:r>
          </w:p>
        </w:tc>
        <w:tc>
          <w:tcPr>
            <w:tcW w:w="955" w:type="dxa"/>
            <w:tcBorders>
              <w:top w:val="single" w:sz="4" w:space="0" w:color="auto"/>
            </w:tcBorders>
            <w:noWrap/>
            <w:vAlign w:val="center"/>
            <w:hideMark/>
          </w:tcPr>
          <w:p w14:paraId="33BFF33F"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14:paraId="65E37F24"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3.11ab</w:t>
            </w:r>
          </w:p>
        </w:tc>
        <w:tc>
          <w:tcPr>
            <w:tcW w:w="850" w:type="dxa"/>
            <w:tcBorders>
              <w:top w:val="single" w:sz="4" w:space="0" w:color="auto"/>
            </w:tcBorders>
            <w:noWrap/>
            <w:vAlign w:val="center"/>
            <w:hideMark/>
          </w:tcPr>
          <w:p w14:paraId="63917E50"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2.78a</w:t>
            </w:r>
          </w:p>
        </w:tc>
        <w:tc>
          <w:tcPr>
            <w:tcW w:w="851" w:type="dxa"/>
            <w:tcBorders>
              <w:top w:val="single" w:sz="4" w:space="0" w:color="auto"/>
            </w:tcBorders>
            <w:noWrap/>
            <w:vAlign w:val="center"/>
            <w:hideMark/>
          </w:tcPr>
          <w:p w14:paraId="5FA7B507"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040" w:type="dxa"/>
            <w:tcBorders>
              <w:top w:val="single" w:sz="4" w:space="0" w:color="auto"/>
            </w:tcBorders>
            <w:noWrap/>
            <w:vAlign w:val="center"/>
            <w:hideMark/>
          </w:tcPr>
          <w:p w14:paraId="3FD8B1F2"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7.4ab</w:t>
            </w:r>
          </w:p>
        </w:tc>
        <w:tc>
          <w:tcPr>
            <w:tcW w:w="1073" w:type="dxa"/>
            <w:tcBorders>
              <w:top w:val="single" w:sz="4" w:space="0" w:color="auto"/>
            </w:tcBorders>
            <w:noWrap/>
            <w:vAlign w:val="center"/>
            <w:hideMark/>
          </w:tcPr>
          <w:p w14:paraId="772F7A09"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32.9ab</w:t>
            </w:r>
          </w:p>
        </w:tc>
        <w:tc>
          <w:tcPr>
            <w:tcW w:w="992" w:type="dxa"/>
            <w:tcBorders>
              <w:top w:val="single" w:sz="4" w:space="0" w:color="auto"/>
            </w:tcBorders>
            <w:noWrap/>
            <w:vAlign w:val="center"/>
            <w:hideMark/>
          </w:tcPr>
          <w:p w14:paraId="7369A566"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3.55ab</w:t>
            </w:r>
          </w:p>
        </w:tc>
        <w:tc>
          <w:tcPr>
            <w:tcW w:w="1134" w:type="dxa"/>
            <w:tcBorders>
              <w:top w:val="single" w:sz="4" w:space="0" w:color="auto"/>
            </w:tcBorders>
            <w:noWrap/>
            <w:vAlign w:val="center"/>
            <w:hideMark/>
          </w:tcPr>
          <w:p w14:paraId="36FB3D41"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35.52ab</w:t>
            </w:r>
          </w:p>
        </w:tc>
      </w:tr>
      <w:tr w:rsidR="008A72EA" w:rsidRPr="00FD2B97" w14:paraId="1F4FC4F2" w14:textId="77777777" w:rsidTr="00B61943">
        <w:trPr>
          <w:trHeight w:val="340"/>
          <w:jc w:val="center"/>
        </w:trPr>
        <w:tc>
          <w:tcPr>
            <w:tcW w:w="567" w:type="dxa"/>
            <w:vMerge/>
            <w:tcBorders>
              <w:top w:val="nil"/>
              <w:bottom w:val="single" w:sz="4" w:space="0" w:color="auto"/>
            </w:tcBorders>
            <w:vAlign w:val="center"/>
            <w:hideMark/>
          </w:tcPr>
          <w:p w14:paraId="77597030"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14:paraId="3D31E0E4"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14:paraId="3D8D639E" w14:textId="77777777"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1148" w:type="dxa"/>
            <w:tcBorders>
              <w:bottom w:val="single" w:sz="4" w:space="0" w:color="auto"/>
            </w:tcBorders>
            <w:noWrap/>
            <w:vAlign w:val="center"/>
            <w:hideMark/>
          </w:tcPr>
          <w:p w14:paraId="7433879A"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4.624b</w:t>
            </w:r>
          </w:p>
        </w:tc>
        <w:tc>
          <w:tcPr>
            <w:tcW w:w="850" w:type="dxa"/>
            <w:tcBorders>
              <w:bottom w:val="single" w:sz="4" w:space="0" w:color="auto"/>
            </w:tcBorders>
            <w:noWrap/>
            <w:vAlign w:val="center"/>
            <w:hideMark/>
          </w:tcPr>
          <w:p w14:paraId="77E60BAA"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3.55b</w:t>
            </w:r>
          </w:p>
        </w:tc>
        <w:tc>
          <w:tcPr>
            <w:tcW w:w="851" w:type="dxa"/>
            <w:tcBorders>
              <w:bottom w:val="single" w:sz="4" w:space="0" w:color="auto"/>
            </w:tcBorders>
            <w:noWrap/>
            <w:vAlign w:val="center"/>
            <w:hideMark/>
          </w:tcPr>
          <w:p w14:paraId="4F5A682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2.95a</w:t>
            </w:r>
          </w:p>
        </w:tc>
        <w:tc>
          <w:tcPr>
            <w:tcW w:w="1040" w:type="dxa"/>
            <w:tcBorders>
              <w:bottom w:val="single" w:sz="4" w:space="0" w:color="auto"/>
            </w:tcBorders>
            <w:noWrap/>
            <w:vAlign w:val="center"/>
            <w:hideMark/>
          </w:tcPr>
          <w:p w14:paraId="5A5B6415"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9.55bc</w:t>
            </w:r>
          </w:p>
        </w:tc>
        <w:tc>
          <w:tcPr>
            <w:tcW w:w="1073" w:type="dxa"/>
            <w:tcBorders>
              <w:bottom w:val="single" w:sz="4" w:space="0" w:color="auto"/>
            </w:tcBorders>
            <w:noWrap/>
            <w:vAlign w:val="center"/>
            <w:hideMark/>
          </w:tcPr>
          <w:p w14:paraId="7F1B5C62"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36.9cd</w:t>
            </w:r>
          </w:p>
        </w:tc>
        <w:tc>
          <w:tcPr>
            <w:tcW w:w="992" w:type="dxa"/>
            <w:tcBorders>
              <w:bottom w:val="single" w:sz="4" w:space="0" w:color="auto"/>
            </w:tcBorders>
            <w:noWrap/>
            <w:vAlign w:val="center"/>
            <w:hideMark/>
          </w:tcPr>
          <w:p w14:paraId="57B404E0"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4.13bc</w:t>
            </w:r>
          </w:p>
        </w:tc>
        <w:tc>
          <w:tcPr>
            <w:tcW w:w="1134" w:type="dxa"/>
            <w:tcBorders>
              <w:bottom w:val="single" w:sz="4" w:space="0" w:color="auto"/>
            </w:tcBorders>
            <w:noWrap/>
            <w:vAlign w:val="center"/>
            <w:hideMark/>
          </w:tcPr>
          <w:p w14:paraId="302BE728"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41.3bc</w:t>
            </w:r>
          </w:p>
        </w:tc>
      </w:tr>
      <w:tr w:rsidR="008A72EA" w:rsidRPr="00FD2B97" w14:paraId="1096C5AC" w14:textId="77777777" w:rsidTr="00B61943">
        <w:trPr>
          <w:trHeight w:val="340"/>
          <w:jc w:val="center"/>
        </w:trPr>
        <w:tc>
          <w:tcPr>
            <w:tcW w:w="567" w:type="dxa"/>
            <w:vMerge/>
            <w:tcBorders>
              <w:top w:val="nil"/>
              <w:bottom w:val="single" w:sz="4" w:space="0" w:color="auto"/>
            </w:tcBorders>
            <w:vAlign w:val="center"/>
            <w:hideMark/>
          </w:tcPr>
          <w:p w14:paraId="52434278"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val="restart"/>
            <w:tcBorders>
              <w:top w:val="nil"/>
              <w:bottom w:val="single" w:sz="4" w:space="0" w:color="auto"/>
            </w:tcBorders>
            <w:noWrap/>
            <w:vAlign w:val="center"/>
            <w:hideMark/>
          </w:tcPr>
          <w:p w14:paraId="7959C52A"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TP</w:t>
            </w:r>
          </w:p>
        </w:tc>
        <w:tc>
          <w:tcPr>
            <w:tcW w:w="955" w:type="dxa"/>
            <w:tcBorders>
              <w:top w:val="single" w:sz="4" w:space="0" w:color="auto"/>
            </w:tcBorders>
            <w:noWrap/>
            <w:vAlign w:val="center"/>
            <w:hideMark/>
          </w:tcPr>
          <w:p w14:paraId="03EDD8B8"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14:paraId="569FB314"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3.84ab</w:t>
            </w:r>
          </w:p>
        </w:tc>
        <w:tc>
          <w:tcPr>
            <w:tcW w:w="850" w:type="dxa"/>
            <w:tcBorders>
              <w:top w:val="single" w:sz="4" w:space="0" w:color="auto"/>
            </w:tcBorders>
            <w:noWrap/>
            <w:vAlign w:val="center"/>
            <w:hideMark/>
          </w:tcPr>
          <w:p w14:paraId="47A5F4DC"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2.99a</w:t>
            </w:r>
          </w:p>
        </w:tc>
        <w:tc>
          <w:tcPr>
            <w:tcW w:w="851" w:type="dxa"/>
            <w:tcBorders>
              <w:top w:val="single" w:sz="4" w:space="0" w:color="auto"/>
            </w:tcBorders>
            <w:noWrap/>
            <w:vAlign w:val="center"/>
            <w:hideMark/>
          </w:tcPr>
          <w:p w14:paraId="44AF79A8"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2.1a</w:t>
            </w:r>
          </w:p>
        </w:tc>
        <w:tc>
          <w:tcPr>
            <w:tcW w:w="1040" w:type="dxa"/>
            <w:tcBorders>
              <w:top w:val="single" w:sz="4" w:space="0" w:color="auto"/>
            </w:tcBorders>
            <w:noWrap/>
            <w:vAlign w:val="center"/>
            <w:hideMark/>
          </w:tcPr>
          <w:p w14:paraId="1ADB04CA"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7.75ab</w:t>
            </w:r>
          </w:p>
        </w:tc>
        <w:tc>
          <w:tcPr>
            <w:tcW w:w="1073" w:type="dxa"/>
            <w:tcBorders>
              <w:top w:val="single" w:sz="4" w:space="0" w:color="auto"/>
            </w:tcBorders>
            <w:noWrap/>
            <w:vAlign w:val="center"/>
            <w:hideMark/>
          </w:tcPr>
          <w:p w14:paraId="5F537C4B"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32.75ab</w:t>
            </w:r>
          </w:p>
        </w:tc>
        <w:tc>
          <w:tcPr>
            <w:tcW w:w="992" w:type="dxa"/>
            <w:tcBorders>
              <w:top w:val="single" w:sz="4" w:space="0" w:color="auto"/>
            </w:tcBorders>
            <w:noWrap/>
            <w:vAlign w:val="center"/>
            <w:hideMark/>
          </w:tcPr>
          <w:p w14:paraId="20D42AF4"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4.20bc</w:t>
            </w:r>
          </w:p>
        </w:tc>
        <w:tc>
          <w:tcPr>
            <w:tcW w:w="1134" w:type="dxa"/>
            <w:tcBorders>
              <w:top w:val="single" w:sz="4" w:space="0" w:color="auto"/>
            </w:tcBorders>
            <w:noWrap/>
            <w:vAlign w:val="center"/>
            <w:hideMark/>
          </w:tcPr>
          <w:p w14:paraId="0680A717"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41.98bc</w:t>
            </w:r>
          </w:p>
        </w:tc>
      </w:tr>
      <w:tr w:rsidR="008A72EA" w:rsidRPr="00FD2B97" w14:paraId="32AA4C42" w14:textId="77777777" w:rsidTr="00B61943">
        <w:trPr>
          <w:trHeight w:val="340"/>
          <w:jc w:val="center"/>
        </w:trPr>
        <w:tc>
          <w:tcPr>
            <w:tcW w:w="567" w:type="dxa"/>
            <w:vMerge/>
            <w:tcBorders>
              <w:top w:val="nil"/>
              <w:bottom w:val="single" w:sz="4" w:space="0" w:color="auto"/>
            </w:tcBorders>
            <w:vAlign w:val="center"/>
            <w:hideMark/>
          </w:tcPr>
          <w:p w14:paraId="032A0053"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14:paraId="7D5B2366"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14:paraId="2C6A098D"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14:paraId="7AFD3C9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4.16b</w:t>
            </w:r>
          </w:p>
        </w:tc>
        <w:tc>
          <w:tcPr>
            <w:tcW w:w="850" w:type="dxa"/>
            <w:tcBorders>
              <w:bottom w:val="single" w:sz="4" w:space="0" w:color="auto"/>
            </w:tcBorders>
            <w:noWrap/>
            <w:vAlign w:val="center"/>
            <w:hideMark/>
          </w:tcPr>
          <w:p w14:paraId="600B3D6F"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3.15b</w:t>
            </w:r>
          </w:p>
        </w:tc>
        <w:tc>
          <w:tcPr>
            <w:tcW w:w="851" w:type="dxa"/>
            <w:tcBorders>
              <w:bottom w:val="single" w:sz="4" w:space="0" w:color="auto"/>
            </w:tcBorders>
            <w:noWrap/>
            <w:vAlign w:val="center"/>
            <w:hideMark/>
          </w:tcPr>
          <w:p w14:paraId="2A40A278"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2.4a</w:t>
            </w:r>
          </w:p>
        </w:tc>
        <w:tc>
          <w:tcPr>
            <w:tcW w:w="1040" w:type="dxa"/>
            <w:tcBorders>
              <w:bottom w:val="single" w:sz="4" w:space="0" w:color="auto"/>
            </w:tcBorders>
            <w:noWrap/>
            <w:vAlign w:val="center"/>
            <w:hideMark/>
          </w:tcPr>
          <w:p w14:paraId="0CA59297"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8.25b</w:t>
            </w:r>
          </w:p>
        </w:tc>
        <w:tc>
          <w:tcPr>
            <w:tcW w:w="1073" w:type="dxa"/>
            <w:tcBorders>
              <w:bottom w:val="single" w:sz="4" w:space="0" w:color="auto"/>
            </w:tcBorders>
            <w:noWrap/>
            <w:vAlign w:val="center"/>
            <w:hideMark/>
          </w:tcPr>
          <w:p w14:paraId="46F558C9"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33.1bc</w:t>
            </w:r>
          </w:p>
        </w:tc>
        <w:tc>
          <w:tcPr>
            <w:tcW w:w="992" w:type="dxa"/>
            <w:tcBorders>
              <w:bottom w:val="single" w:sz="4" w:space="0" w:color="auto"/>
            </w:tcBorders>
            <w:noWrap/>
            <w:vAlign w:val="center"/>
            <w:hideMark/>
          </w:tcPr>
          <w:p w14:paraId="4D5BFE1F"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3.20ab</w:t>
            </w:r>
          </w:p>
        </w:tc>
        <w:tc>
          <w:tcPr>
            <w:tcW w:w="1134" w:type="dxa"/>
            <w:tcBorders>
              <w:bottom w:val="single" w:sz="4" w:space="0" w:color="auto"/>
            </w:tcBorders>
            <w:noWrap/>
            <w:vAlign w:val="center"/>
            <w:hideMark/>
          </w:tcPr>
          <w:p w14:paraId="5D30C2B4"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31.97ab</w:t>
            </w:r>
          </w:p>
        </w:tc>
      </w:tr>
      <w:tr w:rsidR="008A72EA" w:rsidRPr="00FD2B97" w14:paraId="7D331E6F" w14:textId="77777777" w:rsidTr="00B61943">
        <w:trPr>
          <w:trHeight w:val="340"/>
          <w:jc w:val="center"/>
        </w:trPr>
        <w:tc>
          <w:tcPr>
            <w:tcW w:w="567" w:type="dxa"/>
            <w:vMerge w:val="restart"/>
            <w:tcBorders>
              <w:top w:val="nil"/>
            </w:tcBorders>
            <w:noWrap/>
            <w:vAlign w:val="center"/>
            <w:hideMark/>
          </w:tcPr>
          <w:p w14:paraId="4A3C43C9"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SS</w:t>
            </w:r>
          </w:p>
          <w:p w14:paraId="05015EA0"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val="restart"/>
            <w:tcBorders>
              <w:top w:val="nil"/>
              <w:bottom w:val="single" w:sz="4" w:space="0" w:color="auto"/>
            </w:tcBorders>
            <w:noWrap/>
            <w:vAlign w:val="center"/>
            <w:hideMark/>
          </w:tcPr>
          <w:p w14:paraId="2097C31E"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Billon</w:t>
            </w:r>
          </w:p>
        </w:tc>
        <w:tc>
          <w:tcPr>
            <w:tcW w:w="955" w:type="dxa"/>
            <w:tcBorders>
              <w:top w:val="single" w:sz="4" w:space="0" w:color="auto"/>
            </w:tcBorders>
            <w:noWrap/>
            <w:vAlign w:val="center"/>
            <w:hideMark/>
          </w:tcPr>
          <w:p w14:paraId="79252911"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14:paraId="21A562D8"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3.34ab</w:t>
            </w:r>
          </w:p>
        </w:tc>
        <w:tc>
          <w:tcPr>
            <w:tcW w:w="850" w:type="dxa"/>
            <w:tcBorders>
              <w:top w:val="single" w:sz="4" w:space="0" w:color="auto"/>
            </w:tcBorders>
            <w:noWrap/>
            <w:vAlign w:val="center"/>
            <w:hideMark/>
          </w:tcPr>
          <w:p w14:paraId="60CDC113"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2.81a</w:t>
            </w:r>
          </w:p>
        </w:tc>
        <w:tc>
          <w:tcPr>
            <w:tcW w:w="851" w:type="dxa"/>
            <w:tcBorders>
              <w:top w:val="single" w:sz="4" w:space="0" w:color="auto"/>
            </w:tcBorders>
            <w:noWrap/>
            <w:vAlign w:val="center"/>
            <w:hideMark/>
          </w:tcPr>
          <w:p w14:paraId="5074D01E"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040" w:type="dxa"/>
            <w:tcBorders>
              <w:top w:val="single" w:sz="4" w:space="0" w:color="auto"/>
            </w:tcBorders>
            <w:noWrap/>
            <w:vAlign w:val="center"/>
            <w:hideMark/>
          </w:tcPr>
          <w:p w14:paraId="2C60DD0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7.3ab</w:t>
            </w:r>
          </w:p>
        </w:tc>
        <w:tc>
          <w:tcPr>
            <w:tcW w:w="1073" w:type="dxa"/>
            <w:tcBorders>
              <w:top w:val="single" w:sz="4" w:space="0" w:color="auto"/>
            </w:tcBorders>
            <w:noWrap/>
            <w:vAlign w:val="center"/>
            <w:hideMark/>
          </w:tcPr>
          <w:p w14:paraId="1B0D0082"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30.55a</w:t>
            </w:r>
          </w:p>
        </w:tc>
        <w:tc>
          <w:tcPr>
            <w:tcW w:w="992" w:type="dxa"/>
            <w:tcBorders>
              <w:top w:val="single" w:sz="4" w:space="0" w:color="auto"/>
            </w:tcBorders>
            <w:noWrap/>
            <w:vAlign w:val="center"/>
            <w:hideMark/>
          </w:tcPr>
          <w:p w14:paraId="5CD94B53"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4.86bc</w:t>
            </w:r>
          </w:p>
        </w:tc>
        <w:tc>
          <w:tcPr>
            <w:tcW w:w="1134" w:type="dxa"/>
            <w:tcBorders>
              <w:top w:val="single" w:sz="4" w:space="0" w:color="auto"/>
            </w:tcBorders>
            <w:noWrap/>
            <w:vAlign w:val="center"/>
            <w:hideMark/>
          </w:tcPr>
          <w:p w14:paraId="172B8FAA"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48.62d</w:t>
            </w:r>
          </w:p>
        </w:tc>
      </w:tr>
      <w:tr w:rsidR="008A72EA" w:rsidRPr="00FD2B97" w14:paraId="545D05AA" w14:textId="77777777" w:rsidTr="00B61943">
        <w:trPr>
          <w:trHeight w:val="340"/>
          <w:jc w:val="center"/>
        </w:trPr>
        <w:tc>
          <w:tcPr>
            <w:tcW w:w="567" w:type="dxa"/>
            <w:vMerge/>
            <w:noWrap/>
            <w:vAlign w:val="center"/>
            <w:hideMark/>
          </w:tcPr>
          <w:p w14:paraId="2D237293"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14:paraId="43EF3AC2"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14:paraId="4BADF7A6"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14:paraId="6C02669B"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3.36ab</w:t>
            </w:r>
          </w:p>
        </w:tc>
        <w:tc>
          <w:tcPr>
            <w:tcW w:w="850" w:type="dxa"/>
            <w:tcBorders>
              <w:bottom w:val="single" w:sz="4" w:space="0" w:color="auto"/>
            </w:tcBorders>
            <w:noWrap/>
            <w:vAlign w:val="center"/>
            <w:hideMark/>
          </w:tcPr>
          <w:p w14:paraId="33273734"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2.54a</w:t>
            </w:r>
          </w:p>
        </w:tc>
        <w:tc>
          <w:tcPr>
            <w:tcW w:w="851" w:type="dxa"/>
            <w:tcBorders>
              <w:bottom w:val="single" w:sz="4" w:space="0" w:color="auto"/>
            </w:tcBorders>
            <w:noWrap/>
            <w:vAlign w:val="center"/>
            <w:hideMark/>
          </w:tcPr>
          <w:p w14:paraId="027D9924"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2.5a</w:t>
            </w:r>
          </w:p>
        </w:tc>
        <w:tc>
          <w:tcPr>
            <w:tcW w:w="1040" w:type="dxa"/>
            <w:tcBorders>
              <w:bottom w:val="single" w:sz="4" w:space="0" w:color="auto"/>
            </w:tcBorders>
            <w:noWrap/>
            <w:vAlign w:val="center"/>
            <w:hideMark/>
          </w:tcPr>
          <w:p w14:paraId="2768A5F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7.55ab</w:t>
            </w:r>
          </w:p>
        </w:tc>
        <w:tc>
          <w:tcPr>
            <w:tcW w:w="1073" w:type="dxa"/>
            <w:tcBorders>
              <w:bottom w:val="single" w:sz="4" w:space="0" w:color="auto"/>
            </w:tcBorders>
            <w:noWrap/>
            <w:vAlign w:val="center"/>
            <w:hideMark/>
          </w:tcPr>
          <w:p w14:paraId="74B49F52"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31.85ab</w:t>
            </w:r>
          </w:p>
        </w:tc>
        <w:tc>
          <w:tcPr>
            <w:tcW w:w="992" w:type="dxa"/>
            <w:tcBorders>
              <w:bottom w:val="single" w:sz="4" w:space="0" w:color="auto"/>
            </w:tcBorders>
            <w:noWrap/>
            <w:vAlign w:val="center"/>
            <w:hideMark/>
          </w:tcPr>
          <w:p w14:paraId="5050F769"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2.89a</w:t>
            </w:r>
          </w:p>
        </w:tc>
        <w:tc>
          <w:tcPr>
            <w:tcW w:w="1134" w:type="dxa"/>
            <w:tcBorders>
              <w:bottom w:val="single" w:sz="4" w:space="0" w:color="auto"/>
            </w:tcBorders>
            <w:noWrap/>
            <w:vAlign w:val="center"/>
            <w:hideMark/>
          </w:tcPr>
          <w:p w14:paraId="4D306344"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28.87ab</w:t>
            </w:r>
          </w:p>
        </w:tc>
      </w:tr>
      <w:tr w:rsidR="008A72EA" w:rsidRPr="00FD2B97" w14:paraId="337D362B" w14:textId="77777777" w:rsidTr="00B61943">
        <w:trPr>
          <w:trHeight w:val="340"/>
          <w:jc w:val="center"/>
        </w:trPr>
        <w:tc>
          <w:tcPr>
            <w:tcW w:w="567" w:type="dxa"/>
            <w:vMerge/>
            <w:noWrap/>
            <w:vAlign w:val="center"/>
            <w:hideMark/>
          </w:tcPr>
          <w:p w14:paraId="0FAF1C0F" w14:textId="77777777" w:rsidR="008A72EA" w:rsidRPr="00B61943" w:rsidRDefault="008A72EA" w:rsidP="008A72EA">
            <w:pPr>
              <w:spacing w:line="240" w:lineRule="auto"/>
              <w:jc w:val="center"/>
              <w:rPr>
                <w:rFonts w:ascii="Arial" w:eastAsia="Times New Roman" w:hAnsi="Arial" w:cs="Arial"/>
                <w:b/>
                <w:color w:val="000000"/>
                <w:sz w:val="20"/>
                <w:szCs w:val="20"/>
                <w:lang w:eastAsia="fr-FR"/>
              </w:rPr>
            </w:pPr>
          </w:p>
        </w:tc>
        <w:tc>
          <w:tcPr>
            <w:tcW w:w="741" w:type="dxa"/>
            <w:vMerge w:val="restart"/>
            <w:tcBorders>
              <w:top w:val="nil"/>
              <w:bottom w:val="single" w:sz="4" w:space="0" w:color="auto"/>
            </w:tcBorders>
            <w:noWrap/>
            <w:vAlign w:val="center"/>
            <w:hideMark/>
          </w:tcPr>
          <w:p w14:paraId="4BD421FF"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TP</w:t>
            </w:r>
          </w:p>
        </w:tc>
        <w:tc>
          <w:tcPr>
            <w:tcW w:w="955" w:type="dxa"/>
            <w:tcBorders>
              <w:top w:val="single" w:sz="4" w:space="0" w:color="auto"/>
            </w:tcBorders>
            <w:noWrap/>
            <w:vAlign w:val="center"/>
            <w:hideMark/>
          </w:tcPr>
          <w:p w14:paraId="24291678"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14:paraId="574FC379"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2.84a</w:t>
            </w:r>
          </w:p>
        </w:tc>
        <w:tc>
          <w:tcPr>
            <w:tcW w:w="850" w:type="dxa"/>
            <w:tcBorders>
              <w:top w:val="single" w:sz="4" w:space="0" w:color="auto"/>
            </w:tcBorders>
            <w:noWrap/>
            <w:vAlign w:val="center"/>
            <w:hideMark/>
          </w:tcPr>
          <w:p w14:paraId="2A0AD68B"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2.49a</w:t>
            </w:r>
          </w:p>
        </w:tc>
        <w:tc>
          <w:tcPr>
            <w:tcW w:w="851" w:type="dxa"/>
            <w:tcBorders>
              <w:top w:val="single" w:sz="4" w:space="0" w:color="auto"/>
            </w:tcBorders>
            <w:noWrap/>
            <w:vAlign w:val="center"/>
            <w:hideMark/>
          </w:tcPr>
          <w:p w14:paraId="7CD56750"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3.21b</w:t>
            </w:r>
          </w:p>
        </w:tc>
        <w:tc>
          <w:tcPr>
            <w:tcW w:w="1040" w:type="dxa"/>
            <w:tcBorders>
              <w:top w:val="single" w:sz="4" w:space="0" w:color="auto"/>
            </w:tcBorders>
            <w:noWrap/>
            <w:vAlign w:val="center"/>
            <w:hideMark/>
          </w:tcPr>
          <w:p w14:paraId="21E95995"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6.45a</w:t>
            </w:r>
          </w:p>
        </w:tc>
        <w:tc>
          <w:tcPr>
            <w:tcW w:w="1073" w:type="dxa"/>
            <w:tcBorders>
              <w:top w:val="single" w:sz="4" w:space="0" w:color="auto"/>
            </w:tcBorders>
            <w:noWrap/>
            <w:vAlign w:val="center"/>
            <w:hideMark/>
          </w:tcPr>
          <w:p w14:paraId="101E63C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34.25bc</w:t>
            </w:r>
          </w:p>
        </w:tc>
        <w:tc>
          <w:tcPr>
            <w:tcW w:w="992" w:type="dxa"/>
            <w:tcBorders>
              <w:top w:val="single" w:sz="4" w:space="0" w:color="auto"/>
            </w:tcBorders>
            <w:noWrap/>
            <w:vAlign w:val="center"/>
            <w:hideMark/>
          </w:tcPr>
          <w:p w14:paraId="78E76B90"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4.22bc</w:t>
            </w:r>
          </w:p>
        </w:tc>
        <w:tc>
          <w:tcPr>
            <w:tcW w:w="1134" w:type="dxa"/>
            <w:tcBorders>
              <w:top w:val="single" w:sz="4" w:space="0" w:color="auto"/>
            </w:tcBorders>
            <w:noWrap/>
            <w:vAlign w:val="center"/>
            <w:hideMark/>
          </w:tcPr>
          <w:p w14:paraId="61166713"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42.15bc</w:t>
            </w:r>
          </w:p>
        </w:tc>
      </w:tr>
      <w:tr w:rsidR="008A72EA" w:rsidRPr="00FD2B97" w14:paraId="224BC117" w14:textId="77777777" w:rsidTr="00B61943">
        <w:trPr>
          <w:trHeight w:val="340"/>
          <w:jc w:val="center"/>
        </w:trPr>
        <w:tc>
          <w:tcPr>
            <w:tcW w:w="567" w:type="dxa"/>
            <w:vMerge/>
            <w:tcBorders>
              <w:bottom w:val="single" w:sz="4" w:space="0" w:color="auto"/>
            </w:tcBorders>
            <w:noWrap/>
            <w:vAlign w:val="center"/>
            <w:hideMark/>
          </w:tcPr>
          <w:p w14:paraId="6593E988" w14:textId="77777777" w:rsidR="008A72EA" w:rsidRPr="00B61943" w:rsidRDefault="008A72EA" w:rsidP="008A72EA">
            <w:pPr>
              <w:spacing w:line="240" w:lineRule="auto"/>
              <w:jc w:val="center"/>
              <w:rPr>
                <w:rFonts w:ascii="Arial" w:eastAsia="Times New Roman" w:hAnsi="Arial" w:cs="Arial"/>
                <w:b/>
                <w:color w:val="000000"/>
                <w:sz w:val="20"/>
                <w:szCs w:val="20"/>
                <w:lang w:eastAsia="fr-FR"/>
              </w:rPr>
            </w:pPr>
          </w:p>
        </w:tc>
        <w:tc>
          <w:tcPr>
            <w:tcW w:w="741" w:type="dxa"/>
            <w:vMerge/>
            <w:tcBorders>
              <w:top w:val="nil"/>
              <w:bottom w:val="single" w:sz="4" w:space="0" w:color="auto"/>
            </w:tcBorders>
            <w:vAlign w:val="center"/>
            <w:hideMark/>
          </w:tcPr>
          <w:p w14:paraId="76730568"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14:paraId="35A3626A" w14:textId="77777777" w:rsidR="008A72EA" w:rsidRPr="00B61943" w:rsidRDefault="00C43017"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14:paraId="58034B42"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3.18ab</w:t>
            </w:r>
          </w:p>
        </w:tc>
        <w:tc>
          <w:tcPr>
            <w:tcW w:w="850" w:type="dxa"/>
            <w:tcBorders>
              <w:bottom w:val="single" w:sz="4" w:space="0" w:color="auto"/>
            </w:tcBorders>
            <w:noWrap/>
            <w:vAlign w:val="center"/>
            <w:hideMark/>
          </w:tcPr>
          <w:p w14:paraId="116AF926"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2.68a</w:t>
            </w:r>
          </w:p>
        </w:tc>
        <w:tc>
          <w:tcPr>
            <w:tcW w:w="851" w:type="dxa"/>
            <w:tcBorders>
              <w:bottom w:val="single" w:sz="4" w:space="0" w:color="auto"/>
            </w:tcBorders>
            <w:noWrap/>
            <w:vAlign w:val="center"/>
            <w:hideMark/>
          </w:tcPr>
          <w:p w14:paraId="4FE4D5EF"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2.55a</w:t>
            </w:r>
          </w:p>
        </w:tc>
        <w:tc>
          <w:tcPr>
            <w:tcW w:w="1040" w:type="dxa"/>
            <w:tcBorders>
              <w:bottom w:val="single" w:sz="4" w:space="0" w:color="auto"/>
            </w:tcBorders>
            <w:noWrap/>
            <w:vAlign w:val="center"/>
            <w:hideMark/>
          </w:tcPr>
          <w:p w14:paraId="18F01555"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6.35a</w:t>
            </w:r>
          </w:p>
        </w:tc>
        <w:tc>
          <w:tcPr>
            <w:tcW w:w="1073" w:type="dxa"/>
            <w:tcBorders>
              <w:bottom w:val="single" w:sz="4" w:space="0" w:color="auto"/>
            </w:tcBorders>
            <w:noWrap/>
            <w:vAlign w:val="center"/>
            <w:hideMark/>
          </w:tcPr>
          <w:p w14:paraId="4D6F19BF"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30.1a</w:t>
            </w:r>
          </w:p>
        </w:tc>
        <w:tc>
          <w:tcPr>
            <w:tcW w:w="992" w:type="dxa"/>
            <w:tcBorders>
              <w:bottom w:val="single" w:sz="4" w:space="0" w:color="auto"/>
            </w:tcBorders>
            <w:noWrap/>
            <w:vAlign w:val="center"/>
            <w:hideMark/>
          </w:tcPr>
          <w:p w14:paraId="3A3B933F"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2.44a</w:t>
            </w:r>
          </w:p>
        </w:tc>
        <w:tc>
          <w:tcPr>
            <w:tcW w:w="1134" w:type="dxa"/>
            <w:tcBorders>
              <w:bottom w:val="single" w:sz="4" w:space="0" w:color="auto"/>
            </w:tcBorders>
            <w:noWrap/>
            <w:vAlign w:val="center"/>
            <w:hideMark/>
          </w:tcPr>
          <w:p w14:paraId="1A8CB014"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24.35a</w:t>
            </w:r>
          </w:p>
        </w:tc>
      </w:tr>
      <w:tr w:rsidR="008A72EA" w:rsidRPr="00FD2B97" w14:paraId="6B1217FD" w14:textId="77777777" w:rsidTr="00B61943">
        <w:trPr>
          <w:trHeight w:val="340"/>
          <w:jc w:val="center"/>
        </w:trPr>
        <w:tc>
          <w:tcPr>
            <w:tcW w:w="2263" w:type="dxa"/>
            <w:gridSpan w:val="3"/>
            <w:tcBorders>
              <w:top w:val="single" w:sz="4" w:space="0" w:color="auto"/>
            </w:tcBorders>
            <w:noWrap/>
            <w:vAlign w:val="center"/>
            <w:hideMark/>
          </w:tcPr>
          <w:p w14:paraId="4F3B5051"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F</w:t>
            </w:r>
          </w:p>
        </w:tc>
        <w:tc>
          <w:tcPr>
            <w:tcW w:w="1148" w:type="dxa"/>
            <w:tcBorders>
              <w:top w:val="nil"/>
            </w:tcBorders>
            <w:noWrap/>
            <w:vAlign w:val="center"/>
            <w:hideMark/>
          </w:tcPr>
          <w:p w14:paraId="31851FC6"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19.45</w:t>
            </w:r>
          </w:p>
        </w:tc>
        <w:tc>
          <w:tcPr>
            <w:tcW w:w="850" w:type="dxa"/>
            <w:tcBorders>
              <w:top w:val="nil"/>
            </w:tcBorders>
            <w:noWrap/>
            <w:vAlign w:val="center"/>
            <w:hideMark/>
          </w:tcPr>
          <w:p w14:paraId="5B20BB6E"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36.58</w:t>
            </w:r>
          </w:p>
        </w:tc>
        <w:tc>
          <w:tcPr>
            <w:tcW w:w="851" w:type="dxa"/>
            <w:tcBorders>
              <w:top w:val="nil"/>
            </w:tcBorders>
            <w:noWrap/>
            <w:vAlign w:val="center"/>
            <w:hideMark/>
          </w:tcPr>
          <w:p w14:paraId="11C35643"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1.27</w:t>
            </w:r>
          </w:p>
        </w:tc>
        <w:tc>
          <w:tcPr>
            <w:tcW w:w="1040" w:type="dxa"/>
            <w:tcBorders>
              <w:top w:val="nil"/>
            </w:tcBorders>
            <w:noWrap/>
            <w:vAlign w:val="center"/>
            <w:hideMark/>
          </w:tcPr>
          <w:p w14:paraId="0DD10004"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3.40</w:t>
            </w:r>
          </w:p>
        </w:tc>
        <w:tc>
          <w:tcPr>
            <w:tcW w:w="1073" w:type="dxa"/>
            <w:tcBorders>
              <w:top w:val="nil"/>
            </w:tcBorders>
            <w:noWrap/>
            <w:vAlign w:val="center"/>
            <w:hideMark/>
          </w:tcPr>
          <w:p w14:paraId="25FA4B5B"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7.59</w:t>
            </w:r>
          </w:p>
        </w:tc>
        <w:tc>
          <w:tcPr>
            <w:tcW w:w="992" w:type="dxa"/>
            <w:tcBorders>
              <w:top w:val="nil"/>
            </w:tcBorders>
            <w:noWrap/>
            <w:vAlign w:val="center"/>
            <w:hideMark/>
          </w:tcPr>
          <w:p w14:paraId="0E29BADA"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10.55</w:t>
            </w:r>
          </w:p>
        </w:tc>
        <w:tc>
          <w:tcPr>
            <w:tcW w:w="1134" w:type="dxa"/>
            <w:tcBorders>
              <w:top w:val="nil"/>
            </w:tcBorders>
            <w:noWrap/>
            <w:vAlign w:val="center"/>
            <w:hideMark/>
          </w:tcPr>
          <w:p w14:paraId="71F1FA09"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10.55</w:t>
            </w:r>
          </w:p>
        </w:tc>
      </w:tr>
      <w:tr w:rsidR="008A72EA" w:rsidRPr="00FD2B97" w14:paraId="21F14DE0" w14:textId="77777777" w:rsidTr="00B61943">
        <w:trPr>
          <w:trHeight w:val="340"/>
          <w:jc w:val="center"/>
        </w:trPr>
        <w:tc>
          <w:tcPr>
            <w:tcW w:w="2263" w:type="dxa"/>
            <w:gridSpan w:val="3"/>
            <w:tcBorders>
              <w:bottom w:val="single" w:sz="4" w:space="0" w:color="auto"/>
            </w:tcBorders>
            <w:noWrap/>
            <w:vAlign w:val="center"/>
            <w:hideMark/>
          </w:tcPr>
          <w:p w14:paraId="302F3454"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P &gt; F</w:t>
            </w:r>
          </w:p>
        </w:tc>
        <w:tc>
          <w:tcPr>
            <w:tcW w:w="1148" w:type="dxa"/>
            <w:tcBorders>
              <w:bottom w:val="single" w:sz="4" w:space="0" w:color="auto"/>
            </w:tcBorders>
            <w:noWrap/>
            <w:vAlign w:val="center"/>
            <w:hideMark/>
          </w:tcPr>
          <w:p w14:paraId="1DF75841"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850" w:type="dxa"/>
            <w:tcBorders>
              <w:bottom w:val="single" w:sz="4" w:space="0" w:color="auto"/>
            </w:tcBorders>
            <w:noWrap/>
            <w:vAlign w:val="center"/>
            <w:hideMark/>
          </w:tcPr>
          <w:p w14:paraId="35017202"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851" w:type="dxa"/>
            <w:tcBorders>
              <w:bottom w:val="single" w:sz="4" w:space="0" w:color="auto"/>
            </w:tcBorders>
            <w:noWrap/>
            <w:vAlign w:val="center"/>
            <w:hideMark/>
          </w:tcPr>
          <w:p w14:paraId="137F79A4"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0.26</w:t>
            </w:r>
          </w:p>
        </w:tc>
        <w:tc>
          <w:tcPr>
            <w:tcW w:w="1040" w:type="dxa"/>
            <w:tcBorders>
              <w:bottom w:val="single" w:sz="4" w:space="0" w:color="auto"/>
            </w:tcBorders>
            <w:noWrap/>
            <w:vAlign w:val="center"/>
            <w:hideMark/>
          </w:tcPr>
          <w:p w14:paraId="1C6A43E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0.002081</w:t>
            </w:r>
          </w:p>
        </w:tc>
        <w:tc>
          <w:tcPr>
            <w:tcW w:w="1073" w:type="dxa"/>
            <w:tcBorders>
              <w:bottom w:val="single" w:sz="4" w:space="0" w:color="auto"/>
            </w:tcBorders>
            <w:noWrap/>
            <w:vAlign w:val="center"/>
            <w:hideMark/>
          </w:tcPr>
          <w:p w14:paraId="33BC892E"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992" w:type="dxa"/>
            <w:tcBorders>
              <w:bottom w:val="single" w:sz="4" w:space="0" w:color="auto"/>
            </w:tcBorders>
            <w:noWrap/>
            <w:vAlign w:val="center"/>
            <w:hideMark/>
          </w:tcPr>
          <w:p w14:paraId="62E77862"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1134" w:type="dxa"/>
            <w:tcBorders>
              <w:bottom w:val="single" w:sz="4" w:space="0" w:color="auto"/>
            </w:tcBorders>
            <w:noWrap/>
            <w:vAlign w:val="center"/>
            <w:hideMark/>
          </w:tcPr>
          <w:p w14:paraId="65023D2A"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bl>
    <w:p w14:paraId="41454724" w14:textId="77777777" w:rsidR="002611E1" w:rsidRPr="00FD2B97" w:rsidRDefault="002611E1" w:rsidP="008A72EA">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 Yield.</w:t>
      </w:r>
      <w:r w:rsidR="00B55BCC" w:rsidRPr="00FD2B97">
        <w:rPr>
          <w:rFonts w:ascii="Arial" w:hAnsi="Arial" w:cs="Arial"/>
          <w:i/>
          <w:sz w:val="20"/>
          <w:szCs w:val="20"/>
        </w:rPr>
        <w:t xml:space="preserve"> </w:t>
      </w:r>
    </w:p>
    <w:p w14:paraId="19C715D5" w14:textId="77777777" w:rsidR="00B55BCC" w:rsidRPr="00FD2B97" w:rsidRDefault="00B55BCC" w:rsidP="00B55BCC">
      <w:pPr>
        <w:jc w:val="both"/>
        <w:rPr>
          <w:rFonts w:ascii="Arial" w:hAnsi="Arial" w:cs="Arial"/>
          <w:sz w:val="20"/>
          <w:szCs w:val="20"/>
        </w:rPr>
      </w:pPr>
    </w:p>
    <w:p w14:paraId="059D597C" w14:textId="77777777" w:rsidR="002611E1" w:rsidRPr="00B61943" w:rsidRDefault="002611E1" w:rsidP="002611E1">
      <w:pPr>
        <w:rPr>
          <w:rFonts w:ascii="Arial" w:hAnsi="Arial" w:cs="Arial"/>
          <w:b/>
          <w:sz w:val="22"/>
        </w:rPr>
      </w:pPr>
      <w:r w:rsidRPr="00B61943">
        <w:rPr>
          <w:rFonts w:ascii="Arial" w:hAnsi="Arial" w:cs="Arial"/>
          <w:b/>
          <w:sz w:val="22"/>
        </w:rPr>
        <w:t>3.2. DISCUSSION</w:t>
      </w:r>
    </w:p>
    <w:p w14:paraId="007E9A01"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soil profiles of the sandy and clay sites studied reveal notable differences, reflecting</w:t>
      </w:r>
      <w:r w:rsidR="00B55BCC" w:rsidRPr="00FD2B97">
        <w:rPr>
          <w:rFonts w:ascii="Arial" w:hAnsi="Arial" w:cs="Arial"/>
          <w:sz w:val="20"/>
          <w:szCs w:val="20"/>
        </w:rPr>
        <w:t xml:space="preserve"> </w:t>
      </w:r>
      <w:r w:rsidRPr="00FD2B97">
        <w:rPr>
          <w:rFonts w:ascii="Arial" w:hAnsi="Arial" w:cs="Arial"/>
          <w:sz w:val="20"/>
          <w:szCs w:val="20"/>
        </w:rPr>
        <w:t>pedogenetic processes specific to each environment. The soil of</w:t>
      </w:r>
      <w:r w:rsidR="00B55BCC" w:rsidRPr="00FD2B97">
        <w:rPr>
          <w:rFonts w:ascii="Arial" w:hAnsi="Arial" w:cs="Arial"/>
          <w:sz w:val="20"/>
          <w:szCs w:val="20"/>
        </w:rPr>
        <w:t xml:space="preserve"> the sandy site, located at the </w:t>
      </w:r>
      <w:r w:rsidRPr="00FD2B97">
        <w:rPr>
          <w:rFonts w:ascii="Arial" w:hAnsi="Arial" w:cs="Arial"/>
          <w:sz w:val="20"/>
          <w:szCs w:val="20"/>
        </w:rPr>
        <w:t>bottom of the slope, is characterized by a sandy texture on the s</w:t>
      </w:r>
      <w:r w:rsidR="00B55BCC" w:rsidRPr="00FD2B97">
        <w:rPr>
          <w:rFonts w:ascii="Arial" w:hAnsi="Arial" w:cs="Arial"/>
          <w:sz w:val="20"/>
          <w:szCs w:val="20"/>
        </w:rPr>
        <w:t xml:space="preserve">urface, high porosity promoting </w:t>
      </w:r>
      <w:r w:rsidRPr="00FD2B97">
        <w:rPr>
          <w:rFonts w:ascii="Arial" w:hAnsi="Arial" w:cs="Arial"/>
          <w:sz w:val="20"/>
          <w:szCs w:val="20"/>
        </w:rPr>
        <w:t>good aeration and efficient gas exchange, and low water retent</w:t>
      </w:r>
      <w:r w:rsidR="00B55BCC" w:rsidRPr="00FD2B97">
        <w:rPr>
          <w:rFonts w:ascii="Arial" w:hAnsi="Arial" w:cs="Arial"/>
          <w:sz w:val="20"/>
          <w:szCs w:val="20"/>
        </w:rPr>
        <w:t xml:space="preserve">ion capacity. The first horizon </w:t>
      </w:r>
      <w:r w:rsidRPr="00FD2B97">
        <w:rPr>
          <w:rFonts w:ascii="Arial" w:hAnsi="Arial" w:cs="Arial"/>
          <w:sz w:val="20"/>
          <w:szCs w:val="20"/>
        </w:rPr>
        <w:t>(0-3 cm) is grayish black-brown (10YR 3/2), rich in organic</w:t>
      </w:r>
      <w:r w:rsidR="00B55BCC" w:rsidRPr="00FD2B97">
        <w:rPr>
          <w:rFonts w:ascii="Arial" w:hAnsi="Arial" w:cs="Arial"/>
          <w:sz w:val="20"/>
          <w:szCs w:val="20"/>
        </w:rPr>
        <w:t xml:space="preserve"> matter, which gives the soil a </w:t>
      </w:r>
      <w:r w:rsidRPr="00FD2B97">
        <w:rPr>
          <w:rFonts w:ascii="Arial" w:hAnsi="Arial" w:cs="Arial"/>
          <w:sz w:val="20"/>
          <w:szCs w:val="20"/>
        </w:rPr>
        <w:t>certain surface fertility. Its lumpy structure, associated with the presence of fine roots and</w:t>
      </w:r>
      <w:r w:rsidR="00B55BCC" w:rsidRPr="00FD2B97">
        <w:rPr>
          <w:rFonts w:ascii="Arial" w:hAnsi="Arial" w:cs="Arial"/>
          <w:sz w:val="20"/>
          <w:szCs w:val="20"/>
        </w:rPr>
        <w:t xml:space="preserve"> </w:t>
      </w:r>
      <w:r w:rsidRPr="00FD2B97">
        <w:rPr>
          <w:rFonts w:ascii="Arial" w:hAnsi="Arial" w:cs="Arial"/>
          <w:sz w:val="20"/>
          <w:szCs w:val="20"/>
        </w:rPr>
        <w:t xml:space="preserve">galleries, indicates high biological </w:t>
      </w:r>
      <w:r w:rsidRPr="00A15179">
        <w:rPr>
          <w:rFonts w:ascii="Arial" w:hAnsi="Arial" w:cs="Arial"/>
          <w:sz w:val="20"/>
          <w:szCs w:val="20"/>
        </w:rPr>
        <w:t>activity (</w:t>
      </w:r>
      <w:r w:rsidR="00A15179" w:rsidRPr="00A15179">
        <w:rPr>
          <w:rFonts w:ascii="Arial" w:hAnsi="Arial" w:cs="Arial"/>
          <w:sz w:val="20"/>
          <w:szCs w:val="20"/>
        </w:rPr>
        <w:t>Hocine, 2017</w:t>
      </w:r>
      <w:r w:rsidRPr="00A15179">
        <w:rPr>
          <w:rFonts w:ascii="Arial" w:hAnsi="Arial" w:cs="Arial"/>
          <w:sz w:val="20"/>
          <w:szCs w:val="20"/>
        </w:rPr>
        <w:t>)</w:t>
      </w:r>
      <w:r w:rsidRPr="00FD2B97">
        <w:rPr>
          <w:rFonts w:ascii="Arial" w:hAnsi="Arial" w:cs="Arial"/>
          <w:sz w:val="20"/>
          <w:szCs w:val="20"/>
        </w:rPr>
        <w:t>. However, from horizon A1</w:t>
      </w:r>
      <w:r w:rsidR="00B55BCC" w:rsidRPr="00FD2B97">
        <w:rPr>
          <w:rFonts w:ascii="Arial" w:hAnsi="Arial" w:cs="Arial"/>
          <w:sz w:val="20"/>
          <w:szCs w:val="20"/>
        </w:rPr>
        <w:t xml:space="preserve">3 </w:t>
      </w:r>
      <w:r w:rsidRPr="00FD2B97">
        <w:rPr>
          <w:rFonts w:ascii="Arial" w:hAnsi="Arial" w:cs="Arial"/>
          <w:sz w:val="20"/>
          <w:szCs w:val="20"/>
        </w:rPr>
        <w:t>(27-75 cm) onwards, porosity decreases and the soi</w:t>
      </w:r>
      <w:r w:rsidR="00B55BCC" w:rsidRPr="00FD2B97">
        <w:rPr>
          <w:rFonts w:ascii="Arial" w:hAnsi="Arial" w:cs="Arial"/>
          <w:sz w:val="20"/>
          <w:szCs w:val="20"/>
        </w:rPr>
        <w:t xml:space="preserve">l becomes more compact and less </w:t>
      </w:r>
      <w:r w:rsidRPr="00FD2B97">
        <w:rPr>
          <w:rFonts w:ascii="Arial" w:hAnsi="Arial" w:cs="Arial"/>
          <w:sz w:val="20"/>
          <w:szCs w:val="20"/>
        </w:rPr>
        <w:t>permeable. This change is typical of soils subject to leaching, whe</w:t>
      </w:r>
      <w:r w:rsidR="00B55BCC" w:rsidRPr="00FD2B97">
        <w:rPr>
          <w:rFonts w:ascii="Arial" w:hAnsi="Arial" w:cs="Arial"/>
          <w:sz w:val="20"/>
          <w:szCs w:val="20"/>
        </w:rPr>
        <w:t xml:space="preserve">re water and nutrient retention </w:t>
      </w:r>
      <w:r w:rsidRPr="00FD2B97">
        <w:rPr>
          <w:rFonts w:ascii="Arial" w:hAnsi="Arial" w:cs="Arial"/>
          <w:sz w:val="20"/>
          <w:szCs w:val="20"/>
        </w:rPr>
        <w:t>capacity decreases with depth. The classification of this soil as Arenoso</w:t>
      </w:r>
      <w:r w:rsidR="00B55BCC" w:rsidRPr="00FD2B97">
        <w:rPr>
          <w:rFonts w:ascii="Arial" w:hAnsi="Arial" w:cs="Arial"/>
          <w:sz w:val="20"/>
          <w:szCs w:val="20"/>
        </w:rPr>
        <w:t xml:space="preserve">l according to the WRB </w:t>
      </w:r>
      <w:r w:rsidRPr="00FD2B97">
        <w:rPr>
          <w:rFonts w:ascii="Arial" w:hAnsi="Arial" w:cs="Arial"/>
          <w:sz w:val="20"/>
          <w:szCs w:val="20"/>
        </w:rPr>
        <w:t xml:space="preserve">and as depleted ferralitic soil according to the </w:t>
      </w:r>
      <w:r w:rsidR="00A15179" w:rsidRPr="00A15179">
        <w:rPr>
          <w:rFonts w:ascii="Arial" w:hAnsi="Arial" w:cs="Arial"/>
          <w:sz w:val="20"/>
          <w:szCs w:val="20"/>
        </w:rPr>
        <w:t>CPCS</w:t>
      </w:r>
      <w:r w:rsidRPr="00A15179">
        <w:rPr>
          <w:rFonts w:ascii="Arial" w:hAnsi="Arial" w:cs="Arial"/>
          <w:sz w:val="20"/>
          <w:szCs w:val="20"/>
        </w:rPr>
        <w:t xml:space="preserve"> </w:t>
      </w:r>
      <w:r w:rsidR="00B55BCC" w:rsidRPr="00FD2B97">
        <w:rPr>
          <w:rFonts w:ascii="Arial" w:hAnsi="Arial" w:cs="Arial"/>
          <w:sz w:val="20"/>
          <w:szCs w:val="20"/>
        </w:rPr>
        <w:t xml:space="preserve">reflects a soil that is poor in </w:t>
      </w:r>
      <w:r w:rsidRPr="00FD2B97">
        <w:rPr>
          <w:rFonts w:ascii="Arial" w:hAnsi="Arial" w:cs="Arial"/>
          <w:sz w:val="20"/>
          <w:szCs w:val="20"/>
        </w:rPr>
        <w:t>nutrients, while retaining some water retention capacity in t</w:t>
      </w:r>
      <w:r w:rsidR="00B55BCC" w:rsidRPr="00FD2B97">
        <w:rPr>
          <w:rFonts w:ascii="Arial" w:hAnsi="Arial" w:cs="Arial"/>
          <w:sz w:val="20"/>
          <w:szCs w:val="20"/>
        </w:rPr>
        <w:t xml:space="preserve">he upper </w:t>
      </w:r>
      <w:r w:rsidR="00B55BCC" w:rsidRPr="00A15179">
        <w:rPr>
          <w:rFonts w:ascii="Arial" w:hAnsi="Arial" w:cs="Arial"/>
          <w:sz w:val="20"/>
          <w:szCs w:val="20"/>
        </w:rPr>
        <w:t>horizons (</w:t>
      </w:r>
      <w:r w:rsidR="00A15179" w:rsidRPr="00A15179">
        <w:rPr>
          <w:rFonts w:ascii="Arial" w:hAnsi="Arial" w:cs="Arial"/>
          <w:sz w:val="20"/>
          <w:szCs w:val="20"/>
        </w:rPr>
        <w:t>Baize and Girard, 2009</w:t>
      </w:r>
      <w:r w:rsidRPr="00A15179">
        <w:rPr>
          <w:rFonts w:ascii="Arial" w:hAnsi="Arial" w:cs="Arial"/>
          <w:sz w:val="20"/>
          <w:szCs w:val="20"/>
        </w:rPr>
        <w:t>).</w:t>
      </w:r>
    </w:p>
    <w:p w14:paraId="13E6D56F" w14:textId="77777777"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clayey site, meanwhile, has a plateau soil 90 cm deep with a yellowish-red color, indicating</w:t>
      </w:r>
      <w:r w:rsidR="00B55BCC" w:rsidRPr="00FD2B97">
        <w:rPr>
          <w:rFonts w:ascii="Arial" w:hAnsi="Arial" w:cs="Arial"/>
          <w:sz w:val="20"/>
          <w:szCs w:val="20"/>
        </w:rPr>
        <w:t xml:space="preserve"> </w:t>
      </w:r>
      <w:r w:rsidRPr="00FD2B97">
        <w:rPr>
          <w:rFonts w:ascii="Arial" w:hAnsi="Arial" w:cs="Arial"/>
          <w:sz w:val="20"/>
          <w:szCs w:val="20"/>
        </w:rPr>
        <w:t>a high iron oxide content. The first horizon (0-23 cm) is loam</w:t>
      </w:r>
      <w:r w:rsidR="00B55BCC" w:rsidRPr="00FD2B97">
        <w:rPr>
          <w:rFonts w:ascii="Arial" w:hAnsi="Arial" w:cs="Arial"/>
          <w:sz w:val="20"/>
          <w:szCs w:val="20"/>
        </w:rPr>
        <w:t xml:space="preserve">y, slightly humic, and not very </w:t>
      </w:r>
      <w:r w:rsidRPr="00FD2B97">
        <w:rPr>
          <w:rFonts w:ascii="Arial" w:hAnsi="Arial" w:cs="Arial"/>
          <w:sz w:val="20"/>
          <w:szCs w:val="20"/>
        </w:rPr>
        <w:t xml:space="preserve">compact, providing good aeration and drainage conducive to </w:t>
      </w:r>
      <w:r w:rsidR="00B55BCC" w:rsidRPr="00FD2B97">
        <w:rPr>
          <w:rFonts w:ascii="Arial" w:hAnsi="Arial" w:cs="Arial"/>
          <w:sz w:val="20"/>
          <w:szCs w:val="20"/>
        </w:rPr>
        <w:t xml:space="preserve">root development. However, with </w:t>
      </w:r>
      <w:r w:rsidRPr="00FD2B97">
        <w:rPr>
          <w:rFonts w:ascii="Arial" w:hAnsi="Arial" w:cs="Arial"/>
          <w:sz w:val="20"/>
          <w:szCs w:val="20"/>
        </w:rPr>
        <w:t>depth, the texture becomes clayey and the sub-angular polyhedra</w:t>
      </w:r>
      <w:r w:rsidR="00B55BCC" w:rsidRPr="00FD2B97">
        <w:rPr>
          <w:rFonts w:ascii="Arial" w:hAnsi="Arial" w:cs="Arial"/>
          <w:sz w:val="20"/>
          <w:szCs w:val="20"/>
        </w:rPr>
        <w:t xml:space="preserve">l structure makes the soil more </w:t>
      </w:r>
      <w:r w:rsidRPr="00FD2B97">
        <w:rPr>
          <w:rFonts w:ascii="Arial" w:hAnsi="Arial" w:cs="Arial"/>
          <w:sz w:val="20"/>
          <w:szCs w:val="20"/>
        </w:rPr>
        <w:t xml:space="preserve">compact, limiting porosity and </w:t>
      </w:r>
      <w:r w:rsidRPr="00FD2B97">
        <w:rPr>
          <w:rFonts w:ascii="Arial" w:hAnsi="Arial" w:cs="Arial"/>
          <w:sz w:val="20"/>
          <w:szCs w:val="20"/>
        </w:rPr>
        <w:lastRenderedPageBreak/>
        <w:t>water exchange. Horizons A1</w:t>
      </w:r>
      <w:r w:rsidR="00B55BCC" w:rsidRPr="00FD2B97">
        <w:rPr>
          <w:rFonts w:ascii="Arial" w:hAnsi="Arial" w:cs="Arial"/>
          <w:sz w:val="20"/>
          <w:szCs w:val="20"/>
        </w:rPr>
        <w:t xml:space="preserve">2 (23-56 cm) and A13 (56-90 cm) </w:t>
      </w:r>
      <w:r w:rsidRPr="00FD2B97">
        <w:rPr>
          <w:rFonts w:ascii="Arial" w:hAnsi="Arial" w:cs="Arial"/>
          <w:sz w:val="20"/>
          <w:szCs w:val="20"/>
        </w:rPr>
        <w:t>show low biological activity and a deficit in organic matter. This</w:t>
      </w:r>
      <w:r w:rsidR="00B55BCC" w:rsidRPr="00FD2B97">
        <w:rPr>
          <w:rFonts w:ascii="Arial" w:hAnsi="Arial" w:cs="Arial"/>
          <w:sz w:val="20"/>
          <w:szCs w:val="20"/>
        </w:rPr>
        <w:t xml:space="preserve"> evolution is characteristic of </w:t>
      </w:r>
      <w:r w:rsidRPr="00FD2B97">
        <w:rPr>
          <w:rFonts w:ascii="Arial" w:hAnsi="Arial" w:cs="Arial"/>
          <w:sz w:val="20"/>
          <w:szCs w:val="20"/>
        </w:rPr>
        <w:t>ferralitic soils, which are rich in iron and aluminum but often</w:t>
      </w:r>
      <w:r w:rsidR="00B55BCC" w:rsidRPr="00FD2B97">
        <w:rPr>
          <w:rFonts w:ascii="Arial" w:hAnsi="Arial" w:cs="Arial"/>
          <w:sz w:val="20"/>
          <w:szCs w:val="20"/>
        </w:rPr>
        <w:t xml:space="preserve"> poor in nutrients available to </w:t>
      </w:r>
      <w:r w:rsidRPr="00A15179">
        <w:rPr>
          <w:rFonts w:ascii="Arial" w:hAnsi="Arial" w:cs="Arial"/>
          <w:sz w:val="20"/>
          <w:szCs w:val="20"/>
        </w:rPr>
        <w:t>plants (</w:t>
      </w:r>
      <w:r w:rsidR="00A15179" w:rsidRPr="00A15179">
        <w:rPr>
          <w:rFonts w:ascii="Arial" w:hAnsi="Arial" w:cs="Arial"/>
          <w:sz w:val="20"/>
          <w:szCs w:val="20"/>
        </w:rPr>
        <w:t>Widad, 2020</w:t>
      </w:r>
      <w:r w:rsidRPr="00A15179">
        <w:rPr>
          <w:rFonts w:ascii="Arial" w:hAnsi="Arial" w:cs="Arial"/>
          <w:sz w:val="20"/>
          <w:szCs w:val="20"/>
        </w:rPr>
        <w:t>).</w:t>
      </w:r>
      <w:r w:rsidRPr="00FD2B97">
        <w:rPr>
          <w:rFonts w:ascii="Arial" w:hAnsi="Arial" w:cs="Arial"/>
          <w:sz w:val="20"/>
          <w:szCs w:val="20"/>
        </w:rPr>
        <w:t xml:space="preserve"> The classification of this soil a</w:t>
      </w:r>
      <w:r w:rsidR="00B55BCC" w:rsidRPr="00FD2B97">
        <w:rPr>
          <w:rFonts w:ascii="Arial" w:hAnsi="Arial" w:cs="Arial"/>
          <w:sz w:val="20"/>
          <w:szCs w:val="20"/>
        </w:rPr>
        <w:t xml:space="preserve">s Lixisols according to the WRB </w:t>
      </w:r>
      <w:r w:rsidRPr="00FD2B97">
        <w:rPr>
          <w:rFonts w:ascii="Arial" w:hAnsi="Arial" w:cs="Arial"/>
          <w:sz w:val="20"/>
          <w:szCs w:val="20"/>
        </w:rPr>
        <w:t>and modal ferralitic soil according to the CPCS highlights the p</w:t>
      </w:r>
      <w:r w:rsidR="00B55BCC" w:rsidRPr="00FD2B97">
        <w:rPr>
          <w:rFonts w:ascii="Arial" w:hAnsi="Arial" w:cs="Arial"/>
          <w:sz w:val="20"/>
          <w:szCs w:val="20"/>
        </w:rPr>
        <w:t xml:space="preserve">resence of compact clay layers, </w:t>
      </w:r>
      <w:r w:rsidRPr="00FD2B97">
        <w:rPr>
          <w:rFonts w:ascii="Arial" w:hAnsi="Arial" w:cs="Arial"/>
          <w:sz w:val="20"/>
          <w:szCs w:val="20"/>
        </w:rPr>
        <w:t xml:space="preserve">with limitations in terms of permeability and </w:t>
      </w:r>
      <w:r w:rsidR="00B55BCC" w:rsidRPr="00FD2B97">
        <w:rPr>
          <w:rFonts w:ascii="Arial" w:hAnsi="Arial" w:cs="Arial"/>
          <w:sz w:val="20"/>
          <w:szCs w:val="20"/>
        </w:rPr>
        <w:t xml:space="preserve">fertility in the deep horizons. </w:t>
      </w:r>
    </w:p>
    <w:p w14:paraId="1996B83A"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Although very different in terms of texture and structur</w:t>
      </w:r>
      <w:r w:rsidR="00B55BCC" w:rsidRPr="00FD2B97">
        <w:rPr>
          <w:rFonts w:ascii="Arial" w:hAnsi="Arial" w:cs="Arial"/>
          <w:sz w:val="20"/>
          <w:szCs w:val="20"/>
        </w:rPr>
        <w:t xml:space="preserve">e, these two soils share common </w:t>
      </w:r>
      <w:r w:rsidRPr="00FD2B97">
        <w:rPr>
          <w:rFonts w:ascii="Arial" w:hAnsi="Arial" w:cs="Arial"/>
          <w:sz w:val="20"/>
          <w:szCs w:val="20"/>
        </w:rPr>
        <w:t xml:space="preserve">characteristics related to tropical pedogenic processes, such as </w:t>
      </w:r>
      <w:r w:rsidR="00B55BCC" w:rsidRPr="00FD2B97">
        <w:rPr>
          <w:rFonts w:ascii="Arial" w:hAnsi="Arial" w:cs="Arial"/>
          <w:sz w:val="20"/>
          <w:szCs w:val="20"/>
        </w:rPr>
        <w:t xml:space="preserve">leaching and mineral oxidation. </w:t>
      </w:r>
      <w:r w:rsidRPr="00FD2B97">
        <w:rPr>
          <w:rFonts w:ascii="Arial" w:hAnsi="Arial" w:cs="Arial"/>
          <w:sz w:val="20"/>
          <w:szCs w:val="20"/>
        </w:rPr>
        <w:t>Sandy soil is suitable for crops requiring good aeration, but i</w:t>
      </w:r>
      <w:r w:rsidR="00B55BCC" w:rsidRPr="00FD2B97">
        <w:rPr>
          <w:rFonts w:ascii="Arial" w:hAnsi="Arial" w:cs="Arial"/>
          <w:sz w:val="20"/>
          <w:szCs w:val="20"/>
        </w:rPr>
        <w:t xml:space="preserve">ts low water retention capacity </w:t>
      </w:r>
      <w:r w:rsidRPr="00FD2B97">
        <w:rPr>
          <w:rFonts w:ascii="Arial" w:hAnsi="Arial" w:cs="Arial"/>
          <w:sz w:val="20"/>
          <w:szCs w:val="20"/>
        </w:rPr>
        <w:t>limits its agricultural potential without appropriate interven</w:t>
      </w:r>
      <w:r w:rsidR="00B55BCC" w:rsidRPr="00FD2B97">
        <w:rPr>
          <w:rFonts w:ascii="Arial" w:hAnsi="Arial" w:cs="Arial"/>
          <w:sz w:val="20"/>
          <w:szCs w:val="20"/>
        </w:rPr>
        <w:t xml:space="preserve">tions. Clay soil, although more </w:t>
      </w:r>
      <w:r w:rsidRPr="00FD2B97">
        <w:rPr>
          <w:rFonts w:ascii="Arial" w:hAnsi="Arial" w:cs="Arial"/>
          <w:sz w:val="20"/>
          <w:szCs w:val="20"/>
        </w:rPr>
        <w:t xml:space="preserve">fertile on the surface, has more compact and </w:t>
      </w:r>
      <w:r w:rsidRPr="0074606C">
        <w:rPr>
          <w:rFonts w:ascii="Arial" w:hAnsi="Arial" w:cs="Arial"/>
          <w:sz w:val="20"/>
          <w:szCs w:val="20"/>
        </w:rPr>
        <w:t xml:space="preserve">less permeable </w:t>
      </w:r>
      <w:r w:rsidR="00B55BCC" w:rsidRPr="0074606C">
        <w:rPr>
          <w:rFonts w:ascii="Arial" w:hAnsi="Arial" w:cs="Arial"/>
          <w:sz w:val="20"/>
          <w:szCs w:val="20"/>
        </w:rPr>
        <w:t xml:space="preserve">horizons at depth, making water </w:t>
      </w:r>
      <w:r w:rsidRPr="0074606C">
        <w:rPr>
          <w:rFonts w:ascii="Arial" w:hAnsi="Arial" w:cs="Arial"/>
          <w:sz w:val="20"/>
          <w:szCs w:val="20"/>
        </w:rPr>
        <w:t>management and root development more complex (</w:t>
      </w:r>
      <w:r w:rsidR="00A15179" w:rsidRPr="0074606C">
        <w:rPr>
          <w:rFonts w:ascii="Arial" w:hAnsi="Arial" w:cs="Arial"/>
          <w:sz w:val="20"/>
          <w:szCs w:val="20"/>
        </w:rPr>
        <w:t>Roose</w:t>
      </w:r>
      <w:r w:rsidR="0074606C" w:rsidRPr="0074606C">
        <w:rPr>
          <w:rFonts w:ascii="Arial" w:hAnsi="Arial" w:cs="Arial"/>
          <w:sz w:val="20"/>
          <w:szCs w:val="20"/>
        </w:rPr>
        <w:t xml:space="preserve"> </w:t>
      </w:r>
      <w:commentRangeStart w:id="12"/>
      <w:r w:rsidR="0074606C" w:rsidRPr="0074606C">
        <w:rPr>
          <w:rFonts w:ascii="Arial" w:hAnsi="Arial" w:cs="Arial"/>
          <w:sz w:val="20"/>
          <w:szCs w:val="20"/>
        </w:rPr>
        <w:t xml:space="preserve">et al., </w:t>
      </w:r>
      <w:commentRangeEnd w:id="12"/>
      <w:r w:rsidR="007B42C6">
        <w:rPr>
          <w:rStyle w:val="CommentReference"/>
        </w:rPr>
        <w:commentReference w:id="12"/>
      </w:r>
      <w:r w:rsidR="00A15179" w:rsidRPr="0074606C">
        <w:rPr>
          <w:rFonts w:ascii="Arial" w:hAnsi="Arial" w:cs="Arial"/>
          <w:sz w:val="20"/>
          <w:szCs w:val="20"/>
        </w:rPr>
        <w:t>2010</w:t>
      </w:r>
      <w:r w:rsidR="00B55BCC" w:rsidRPr="0074606C">
        <w:rPr>
          <w:rFonts w:ascii="Arial" w:hAnsi="Arial" w:cs="Arial"/>
          <w:sz w:val="20"/>
          <w:szCs w:val="20"/>
        </w:rPr>
        <w:t xml:space="preserve">). Understanding these soil </w:t>
      </w:r>
      <w:r w:rsidRPr="0074606C">
        <w:rPr>
          <w:rFonts w:ascii="Arial" w:hAnsi="Arial" w:cs="Arial"/>
          <w:sz w:val="20"/>
          <w:szCs w:val="20"/>
        </w:rPr>
        <w:t>properties is therefore essential for effective natural reso</w:t>
      </w:r>
      <w:r w:rsidR="00B55BCC" w:rsidRPr="0074606C">
        <w:rPr>
          <w:rFonts w:ascii="Arial" w:hAnsi="Arial" w:cs="Arial"/>
          <w:sz w:val="20"/>
          <w:szCs w:val="20"/>
        </w:rPr>
        <w:t>urce management and sustainable</w:t>
      </w:r>
      <w:r w:rsidR="00B55BCC" w:rsidRPr="00FD2B97">
        <w:rPr>
          <w:rFonts w:ascii="Arial" w:hAnsi="Arial" w:cs="Arial"/>
          <w:sz w:val="20"/>
          <w:szCs w:val="20"/>
        </w:rPr>
        <w:t xml:space="preserve"> </w:t>
      </w:r>
      <w:r w:rsidRPr="00FD2B97">
        <w:rPr>
          <w:rFonts w:ascii="Arial" w:hAnsi="Arial" w:cs="Arial"/>
          <w:sz w:val="20"/>
          <w:szCs w:val="20"/>
        </w:rPr>
        <w:t>agriculture.</w:t>
      </w:r>
    </w:p>
    <w:p w14:paraId="46265130" w14:textId="77777777"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study of the effects of soil type and tillage methods on the agro-morphological parameters</w:t>
      </w:r>
      <w:r w:rsidR="00B55BCC" w:rsidRPr="00FD2B97">
        <w:rPr>
          <w:rFonts w:ascii="Arial" w:hAnsi="Arial" w:cs="Arial"/>
          <w:sz w:val="20"/>
          <w:szCs w:val="20"/>
        </w:rPr>
        <w:t xml:space="preserve"> </w:t>
      </w:r>
      <w:r w:rsidRPr="00FD2B97">
        <w:rPr>
          <w:rFonts w:ascii="Arial" w:hAnsi="Arial" w:cs="Arial"/>
          <w:sz w:val="20"/>
          <w:szCs w:val="20"/>
        </w:rPr>
        <w:t>of cassava varieties reveals interesting results in terms of plant gr</w:t>
      </w:r>
      <w:r w:rsidR="00B55BCC" w:rsidRPr="00FD2B97">
        <w:rPr>
          <w:rFonts w:ascii="Arial" w:hAnsi="Arial" w:cs="Arial"/>
          <w:sz w:val="20"/>
          <w:szCs w:val="20"/>
        </w:rPr>
        <w:t xml:space="preserve">owth, yield, and tuber </w:t>
      </w:r>
      <w:r w:rsidRPr="00FD2B97">
        <w:rPr>
          <w:rFonts w:ascii="Arial" w:hAnsi="Arial" w:cs="Arial"/>
          <w:sz w:val="20"/>
          <w:szCs w:val="20"/>
        </w:rPr>
        <w:t>characteristics. Soil type significantly influences several para</w:t>
      </w:r>
      <w:r w:rsidR="00B55BCC" w:rsidRPr="00FD2B97">
        <w:rPr>
          <w:rFonts w:ascii="Arial" w:hAnsi="Arial" w:cs="Arial"/>
          <w:sz w:val="20"/>
          <w:szCs w:val="20"/>
        </w:rPr>
        <w:t xml:space="preserve">meters, with marked differences </w:t>
      </w:r>
      <w:r w:rsidRPr="00FD2B97">
        <w:rPr>
          <w:rFonts w:ascii="Arial" w:hAnsi="Arial" w:cs="Arial"/>
          <w:sz w:val="20"/>
          <w:szCs w:val="20"/>
        </w:rPr>
        <w:t>between clay and sandy soils. On clay soil, cassava develops more</w:t>
      </w:r>
      <w:r w:rsidR="00B55BCC" w:rsidRPr="00FD2B97">
        <w:rPr>
          <w:rFonts w:ascii="Arial" w:hAnsi="Arial" w:cs="Arial"/>
          <w:sz w:val="20"/>
          <w:szCs w:val="20"/>
        </w:rPr>
        <w:t xml:space="preserve"> favorably, with larger tubers, </w:t>
      </w:r>
      <w:r w:rsidRPr="00FD2B97">
        <w:rPr>
          <w:rFonts w:ascii="Arial" w:hAnsi="Arial" w:cs="Arial"/>
          <w:sz w:val="20"/>
          <w:szCs w:val="20"/>
        </w:rPr>
        <w:t xml:space="preserve">greater plant height, an </w:t>
      </w:r>
      <w:r w:rsidRPr="0074606C">
        <w:rPr>
          <w:rFonts w:ascii="Arial" w:hAnsi="Arial" w:cs="Arial"/>
          <w:sz w:val="20"/>
          <w:szCs w:val="20"/>
        </w:rPr>
        <w:t>increased number of tubers, and greater t</w:t>
      </w:r>
      <w:r w:rsidR="00B55BCC" w:rsidRPr="0074606C">
        <w:rPr>
          <w:rFonts w:ascii="Arial" w:hAnsi="Arial" w:cs="Arial"/>
          <w:sz w:val="20"/>
          <w:szCs w:val="20"/>
        </w:rPr>
        <w:t xml:space="preserve">uber length than on sandy soil. </w:t>
      </w:r>
      <w:r w:rsidRPr="0074606C">
        <w:rPr>
          <w:rFonts w:ascii="Arial" w:hAnsi="Arial" w:cs="Arial"/>
          <w:sz w:val="20"/>
          <w:szCs w:val="20"/>
        </w:rPr>
        <w:t xml:space="preserve">These results corroborate the work of </w:t>
      </w:r>
      <w:r w:rsidR="0074606C" w:rsidRPr="0074606C">
        <w:rPr>
          <w:rFonts w:ascii="Arial" w:hAnsi="Arial" w:cs="Arial"/>
          <w:sz w:val="20"/>
          <w:szCs w:val="20"/>
        </w:rPr>
        <w:t>Ballot et al., 2016</w:t>
      </w:r>
      <w:r w:rsidRPr="0074606C">
        <w:rPr>
          <w:rFonts w:ascii="Arial" w:hAnsi="Arial" w:cs="Arial"/>
          <w:sz w:val="20"/>
          <w:szCs w:val="20"/>
        </w:rPr>
        <w:t xml:space="preserve">, who </w:t>
      </w:r>
      <w:r w:rsidR="00B55BCC" w:rsidRPr="0074606C">
        <w:rPr>
          <w:rFonts w:ascii="Arial" w:hAnsi="Arial" w:cs="Arial"/>
          <w:sz w:val="20"/>
          <w:szCs w:val="20"/>
        </w:rPr>
        <w:t xml:space="preserve">showed that clay soils, rich in </w:t>
      </w:r>
      <w:r w:rsidRPr="0074606C">
        <w:rPr>
          <w:rFonts w:ascii="Arial" w:hAnsi="Arial" w:cs="Arial"/>
          <w:sz w:val="20"/>
          <w:szCs w:val="20"/>
        </w:rPr>
        <w:t>minerals and water, promote root and tuber development in cassa</w:t>
      </w:r>
      <w:r w:rsidR="00C63B00" w:rsidRPr="0074606C">
        <w:rPr>
          <w:rFonts w:ascii="Arial" w:hAnsi="Arial" w:cs="Arial"/>
          <w:sz w:val="20"/>
          <w:szCs w:val="20"/>
        </w:rPr>
        <w:t>va</w:t>
      </w:r>
      <w:r w:rsidR="00C63B00" w:rsidRPr="00FD2B97">
        <w:rPr>
          <w:rFonts w:ascii="Arial" w:hAnsi="Arial" w:cs="Arial"/>
          <w:sz w:val="20"/>
          <w:szCs w:val="20"/>
        </w:rPr>
        <w:t xml:space="preserve">. This type of soil therefore </w:t>
      </w:r>
      <w:r w:rsidRPr="00FD2B97">
        <w:rPr>
          <w:rFonts w:ascii="Arial" w:hAnsi="Arial" w:cs="Arial"/>
          <w:sz w:val="20"/>
          <w:szCs w:val="20"/>
        </w:rPr>
        <w:t>seems particularly suitable for cassava cultivation, especially fo</w:t>
      </w:r>
      <w:r w:rsidR="00C63B00" w:rsidRPr="00FD2B97">
        <w:rPr>
          <w:rFonts w:ascii="Arial" w:hAnsi="Arial" w:cs="Arial"/>
          <w:sz w:val="20"/>
          <w:szCs w:val="20"/>
        </w:rPr>
        <w:t xml:space="preserve">r varieties that take advantage </w:t>
      </w:r>
      <w:r w:rsidRPr="00FD2B97">
        <w:rPr>
          <w:rFonts w:ascii="Arial" w:hAnsi="Arial" w:cs="Arial"/>
          <w:sz w:val="20"/>
          <w:szCs w:val="20"/>
        </w:rPr>
        <w:t>of its water a</w:t>
      </w:r>
      <w:r w:rsidR="008A72EA" w:rsidRPr="00FD2B97">
        <w:rPr>
          <w:rFonts w:ascii="Arial" w:hAnsi="Arial" w:cs="Arial"/>
          <w:sz w:val="20"/>
          <w:szCs w:val="20"/>
        </w:rPr>
        <w:t>nd nutrient retention capacity.</w:t>
      </w:r>
    </w:p>
    <w:p w14:paraId="470584E7" w14:textId="77777777"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However, certain parameters, such as the number of branches, tuber weight, and yield, do not</w:t>
      </w:r>
      <w:r w:rsidR="00C63B00" w:rsidRPr="00FD2B97">
        <w:rPr>
          <w:rFonts w:ascii="Arial" w:hAnsi="Arial" w:cs="Arial"/>
          <w:sz w:val="20"/>
          <w:szCs w:val="20"/>
        </w:rPr>
        <w:t xml:space="preserve"> </w:t>
      </w:r>
      <w:r w:rsidRPr="00FD2B97">
        <w:rPr>
          <w:rFonts w:ascii="Arial" w:hAnsi="Arial" w:cs="Arial"/>
          <w:sz w:val="20"/>
          <w:szCs w:val="20"/>
        </w:rPr>
        <w:t>show significant differences between soil types. These observati</w:t>
      </w:r>
      <w:r w:rsidR="00C63B00" w:rsidRPr="00FD2B97">
        <w:rPr>
          <w:rFonts w:ascii="Arial" w:hAnsi="Arial" w:cs="Arial"/>
          <w:sz w:val="20"/>
          <w:szCs w:val="20"/>
        </w:rPr>
        <w:t xml:space="preserve">ons suggest that, although clay </w:t>
      </w:r>
      <w:r w:rsidRPr="00FD2B97">
        <w:rPr>
          <w:rFonts w:ascii="Arial" w:hAnsi="Arial" w:cs="Arial"/>
          <w:sz w:val="20"/>
          <w:szCs w:val="20"/>
        </w:rPr>
        <w:t>soil offers better conditions for growth and development, other f</w:t>
      </w:r>
      <w:r w:rsidR="00C63B00" w:rsidRPr="00FD2B97">
        <w:rPr>
          <w:rFonts w:ascii="Arial" w:hAnsi="Arial" w:cs="Arial"/>
          <w:sz w:val="20"/>
          <w:szCs w:val="20"/>
        </w:rPr>
        <w:t xml:space="preserve">actors (the cassava variety and </w:t>
      </w:r>
      <w:r w:rsidRPr="00FD2B97">
        <w:rPr>
          <w:rFonts w:ascii="Arial" w:hAnsi="Arial" w:cs="Arial"/>
          <w:sz w:val="20"/>
          <w:szCs w:val="20"/>
        </w:rPr>
        <w:t xml:space="preserve">the method of soil cultivation) may play a decisive role in </w:t>
      </w:r>
      <w:r w:rsidRPr="00A15179">
        <w:rPr>
          <w:rFonts w:ascii="Arial" w:hAnsi="Arial" w:cs="Arial"/>
          <w:sz w:val="20"/>
          <w:szCs w:val="20"/>
        </w:rPr>
        <w:t>productivity (</w:t>
      </w:r>
      <w:r w:rsidR="00A15179" w:rsidRPr="00A15179">
        <w:rPr>
          <w:rFonts w:ascii="Arial" w:hAnsi="Arial" w:cs="Arial"/>
          <w:sz w:val="20"/>
          <w:szCs w:val="20"/>
        </w:rPr>
        <w:t>Pagnè, 2018 ; Garry et al., 2024</w:t>
      </w:r>
      <w:r w:rsidR="00C63B00" w:rsidRPr="00FD2B97">
        <w:rPr>
          <w:rFonts w:ascii="Arial" w:hAnsi="Arial" w:cs="Arial"/>
          <w:sz w:val="20"/>
          <w:szCs w:val="20"/>
        </w:rPr>
        <w:t xml:space="preserve">). </w:t>
      </w:r>
      <w:r w:rsidRPr="00FD2B97">
        <w:rPr>
          <w:rFonts w:ascii="Arial" w:hAnsi="Arial" w:cs="Arial"/>
          <w:sz w:val="20"/>
          <w:szCs w:val="20"/>
        </w:rPr>
        <w:t>With regard to tillage methods, the results indicate that no statis</w:t>
      </w:r>
      <w:r w:rsidR="00C63B00" w:rsidRPr="00FD2B97">
        <w:rPr>
          <w:rFonts w:ascii="Arial" w:hAnsi="Arial" w:cs="Arial"/>
          <w:sz w:val="20"/>
          <w:szCs w:val="20"/>
        </w:rPr>
        <w:t xml:space="preserve">tically significant differences </w:t>
      </w:r>
      <w:r w:rsidRPr="00FD2B97">
        <w:rPr>
          <w:rFonts w:ascii="Arial" w:hAnsi="Arial" w:cs="Arial"/>
          <w:sz w:val="20"/>
          <w:szCs w:val="20"/>
        </w:rPr>
        <w:t xml:space="preserve">were observed between ridge and flat land for morphological </w:t>
      </w:r>
      <w:r w:rsidR="00C63B00" w:rsidRPr="00FD2B97">
        <w:rPr>
          <w:rFonts w:ascii="Arial" w:hAnsi="Arial" w:cs="Arial"/>
          <w:sz w:val="20"/>
          <w:szCs w:val="20"/>
        </w:rPr>
        <w:t xml:space="preserve">parameters. Both methods appear </w:t>
      </w:r>
      <w:r w:rsidRPr="00FD2B97">
        <w:rPr>
          <w:rFonts w:ascii="Arial" w:hAnsi="Arial" w:cs="Arial"/>
          <w:sz w:val="20"/>
          <w:szCs w:val="20"/>
        </w:rPr>
        <w:t>to provide similar growing conditions for cassava, which is con</w:t>
      </w:r>
      <w:r w:rsidR="00C63B00" w:rsidRPr="00FD2B97">
        <w:rPr>
          <w:rFonts w:ascii="Arial" w:hAnsi="Arial" w:cs="Arial"/>
          <w:sz w:val="20"/>
          <w:szCs w:val="20"/>
        </w:rPr>
        <w:t xml:space="preserve">sistent with the conclusions </w:t>
      </w:r>
      <w:r w:rsidR="00C63B00" w:rsidRPr="0074606C">
        <w:rPr>
          <w:rFonts w:ascii="Arial" w:hAnsi="Arial" w:cs="Arial"/>
          <w:sz w:val="20"/>
          <w:szCs w:val="20"/>
        </w:rPr>
        <w:t xml:space="preserve">of </w:t>
      </w:r>
      <w:r w:rsidR="0074606C" w:rsidRPr="0074606C">
        <w:rPr>
          <w:rFonts w:ascii="Arial" w:hAnsi="Arial" w:cs="Arial"/>
          <w:sz w:val="20"/>
          <w:szCs w:val="20"/>
        </w:rPr>
        <w:t>Mahungu</w:t>
      </w:r>
      <w:r w:rsidRPr="0074606C">
        <w:rPr>
          <w:rFonts w:ascii="Arial" w:hAnsi="Arial" w:cs="Arial"/>
          <w:sz w:val="20"/>
          <w:szCs w:val="20"/>
        </w:rPr>
        <w:t xml:space="preserve"> </w:t>
      </w:r>
      <w:commentRangeStart w:id="13"/>
      <w:r w:rsidRPr="0074606C">
        <w:rPr>
          <w:rFonts w:ascii="Arial" w:hAnsi="Arial" w:cs="Arial"/>
          <w:sz w:val="20"/>
          <w:szCs w:val="20"/>
        </w:rPr>
        <w:t>et al. (</w:t>
      </w:r>
      <w:commentRangeEnd w:id="13"/>
      <w:r w:rsidR="007B42C6">
        <w:rPr>
          <w:rStyle w:val="CommentReference"/>
        </w:rPr>
        <w:commentReference w:id="13"/>
      </w:r>
      <w:r w:rsidRPr="0074606C">
        <w:rPr>
          <w:rFonts w:ascii="Arial" w:hAnsi="Arial" w:cs="Arial"/>
          <w:sz w:val="20"/>
          <w:szCs w:val="20"/>
        </w:rPr>
        <w:t xml:space="preserve">2014) that </w:t>
      </w:r>
      <w:r w:rsidRPr="00FD2B97">
        <w:rPr>
          <w:rFonts w:ascii="Arial" w:hAnsi="Arial" w:cs="Arial"/>
          <w:sz w:val="20"/>
          <w:szCs w:val="20"/>
        </w:rPr>
        <w:t>the differences between thes</w:t>
      </w:r>
      <w:r w:rsidR="00C63B00" w:rsidRPr="00FD2B97">
        <w:rPr>
          <w:rFonts w:ascii="Arial" w:hAnsi="Arial" w:cs="Arial"/>
          <w:sz w:val="20"/>
          <w:szCs w:val="20"/>
        </w:rPr>
        <w:t xml:space="preserve">e techniques are often minimal. </w:t>
      </w:r>
      <w:r w:rsidRPr="00FD2B97">
        <w:rPr>
          <w:rFonts w:ascii="Arial" w:hAnsi="Arial" w:cs="Arial"/>
          <w:sz w:val="20"/>
          <w:szCs w:val="20"/>
        </w:rPr>
        <w:t xml:space="preserve">Nevertheless, the results tend to show that ridge </w:t>
      </w:r>
      <w:r w:rsidRPr="0074606C">
        <w:rPr>
          <w:rFonts w:ascii="Arial" w:hAnsi="Arial" w:cs="Arial"/>
          <w:sz w:val="20"/>
          <w:szCs w:val="20"/>
        </w:rPr>
        <w:t>cultivation is s</w:t>
      </w:r>
      <w:r w:rsidR="00C63B00" w:rsidRPr="0074606C">
        <w:rPr>
          <w:rFonts w:ascii="Arial" w:hAnsi="Arial" w:cs="Arial"/>
          <w:sz w:val="20"/>
          <w:szCs w:val="20"/>
        </w:rPr>
        <w:t xml:space="preserve">lightly more efficient in terms </w:t>
      </w:r>
      <w:r w:rsidRPr="0074606C">
        <w:rPr>
          <w:rFonts w:ascii="Arial" w:hAnsi="Arial" w:cs="Arial"/>
          <w:sz w:val="20"/>
          <w:szCs w:val="20"/>
        </w:rPr>
        <w:t>of yield, particularly on clay soils, which is consistent with th</w:t>
      </w:r>
      <w:r w:rsidR="00C63B00" w:rsidRPr="0074606C">
        <w:rPr>
          <w:rFonts w:ascii="Arial" w:hAnsi="Arial" w:cs="Arial"/>
          <w:sz w:val="20"/>
          <w:szCs w:val="20"/>
        </w:rPr>
        <w:t xml:space="preserve">e observations of </w:t>
      </w:r>
      <w:r w:rsidR="0074606C" w:rsidRPr="0074606C">
        <w:rPr>
          <w:rFonts w:ascii="Arial" w:hAnsi="Arial" w:cs="Arial"/>
          <w:sz w:val="20"/>
          <w:szCs w:val="20"/>
        </w:rPr>
        <w:t xml:space="preserve">Muku </w:t>
      </w:r>
      <w:r w:rsidR="00C63B00" w:rsidRPr="0074606C">
        <w:rPr>
          <w:rFonts w:ascii="Arial" w:hAnsi="Arial" w:cs="Arial"/>
          <w:sz w:val="20"/>
          <w:szCs w:val="20"/>
        </w:rPr>
        <w:t xml:space="preserve">et al. </w:t>
      </w:r>
      <w:r w:rsidR="0074606C" w:rsidRPr="0074606C">
        <w:rPr>
          <w:rFonts w:ascii="Arial" w:hAnsi="Arial" w:cs="Arial"/>
          <w:sz w:val="20"/>
          <w:szCs w:val="20"/>
        </w:rPr>
        <w:t>(2020</w:t>
      </w:r>
      <w:r w:rsidRPr="0074606C">
        <w:rPr>
          <w:rFonts w:ascii="Arial" w:hAnsi="Arial" w:cs="Arial"/>
          <w:sz w:val="20"/>
          <w:szCs w:val="20"/>
        </w:rPr>
        <w:t xml:space="preserve">) regarding </w:t>
      </w:r>
      <w:r w:rsidRPr="00FD2B97">
        <w:rPr>
          <w:rFonts w:ascii="Arial" w:hAnsi="Arial" w:cs="Arial"/>
          <w:sz w:val="20"/>
          <w:szCs w:val="20"/>
        </w:rPr>
        <w:t>optimal moisture m</w:t>
      </w:r>
      <w:r w:rsidR="008A72EA" w:rsidRPr="00FD2B97">
        <w:rPr>
          <w:rFonts w:ascii="Arial" w:hAnsi="Arial" w:cs="Arial"/>
          <w:sz w:val="20"/>
          <w:szCs w:val="20"/>
        </w:rPr>
        <w:t>anagement in this type of soil.</w:t>
      </w:r>
    </w:p>
    <w:p w14:paraId="39C867A3"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Significant differences in growth and yield were observed between the cassava varieties Boco</w:t>
      </w:r>
      <w:r w:rsidR="00C63B00" w:rsidRPr="00FD2B97">
        <w:rPr>
          <w:rFonts w:ascii="Arial" w:hAnsi="Arial" w:cs="Arial"/>
          <w:sz w:val="20"/>
          <w:szCs w:val="20"/>
        </w:rPr>
        <w:t xml:space="preserve">u </w:t>
      </w:r>
      <w:r w:rsidRPr="00FD2B97">
        <w:rPr>
          <w:rFonts w:ascii="Arial" w:hAnsi="Arial" w:cs="Arial"/>
          <w:sz w:val="20"/>
          <w:szCs w:val="20"/>
        </w:rPr>
        <w:t xml:space="preserve">1 and </w:t>
      </w:r>
      <w:r w:rsidRPr="0074606C">
        <w:rPr>
          <w:rFonts w:ascii="Arial" w:hAnsi="Arial" w:cs="Arial"/>
          <w:sz w:val="20"/>
          <w:szCs w:val="20"/>
        </w:rPr>
        <w:t>Yacé. The Bocou 1 variety has a higher yield (42.0</w:t>
      </w:r>
      <w:r w:rsidR="00C63B00" w:rsidRPr="0074606C">
        <w:rPr>
          <w:rFonts w:ascii="Arial" w:hAnsi="Arial" w:cs="Arial"/>
          <w:sz w:val="20"/>
          <w:szCs w:val="20"/>
        </w:rPr>
        <w:t xml:space="preserve">7 t/ha) than Yacé (31.63 t/ha), </w:t>
      </w:r>
      <w:r w:rsidRPr="0074606C">
        <w:rPr>
          <w:rFonts w:ascii="Arial" w:hAnsi="Arial" w:cs="Arial"/>
          <w:sz w:val="20"/>
          <w:szCs w:val="20"/>
        </w:rPr>
        <w:t xml:space="preserve">confirming the results of </w:t>
      </w:r>
      <w:r w:rsidR="0074606C" w:rsidRPr="0074606C">
        <w:rPr>
          <w:rFonts w:ascii="Arial" w:hAnsi="Arial" w:cs="Arial"/>
          <w:sz w:val="20"/>
          <w:szCs w:val="20"/>
        </w:rPr>
        <w:t xml:space="preserve">Edoh </w:t>
      </w:r>
      <w:r w:rsidRPr="0074606C">
        <w:rPr>
          <w:rFonts w:ascii="Arial" w:hAnsi="Arial" w:cs="Arial"/>
          <w:sz w:val="20"/>
          <w:szCs w:val="20"/>
        </w:rPr>
        <w:t>et al. (201</w:t>
      </w:r>
      <w:r w:rsidR="0074606C" w:rsidRPr="0074606C">
        <w:rPr>
          <w:rFonts w:ascii="Arial" w:hAnsi="Arial" w:cs="Arial"/>
          <w:sz w:val="20"/>
          <w:szCs w:val="20"/>
        </w:rPr>
        <w:t>6</w:t>
      </w:r>
      <w:r w:rsidRPr="0074606C">
        <w:rPr>
          <w:rFonts w:ascii="Arial" w:hAnsi="Arial" w:cs="Arial"/>
          <w:sz w:val="20"/>
          <w:szCs w:val="20"/>
        </w:rPr>
        <w:t xml:space="preserve">), which </w:t>
      </w:r>
      <w:r w:rsidRPr="00FD2B97">
        <w:rPr>
          <w:rFonts w:ascii="Arial" w:hAnsi="Arial" w:cs="Arial"/>
          <w:sz w:val="20"/>
          <w:szCs w:val="20"/>
        </w:rPr>
        <w:t>indicate th</w:t>
      </w:r>
      <w:r w:rsidR="00C63B00" w:rsidRPr="00FD2B97">
        <w:rPr>
          <w:rFonts w:ascii="Arial" w:hAnsi="Arial" w:cs="Arial"/>
          <w:sz w:val="20"/>
          <w:szCs w:val="20"/>
        </w:rPr>
        <w:t xml:space="preserve">at certain varieties are better </w:t>
      </w:r>
      <w:r w:rsidRPr="00FD2B97">
        <w:rPr>
          <w:rFonts w:ascii="Arial" w:hAnsi="Arial" w:cs="Arial"/>
          <w:sz w:val="20"/>
          <w:szCs w:val="20"/>
        </w:rPr>
        <w:t>suited to certain soils and offer higher yields under optimized cond</w:t>
      </w:r>
      <w:r w:rsidR="00C63B00" w:rsidRPr="00FD2B97">
        <w:rPr>
          <w:rFonts w:ascii="Arial" w:hAnsi="Arial" w:cs="Arial"/>
          <w:sz w:val="20"/>
          <w:szCs w:val="20"/>
        </w:rPr>
        <w:t xml:space="preserve">itions. In contrast, Yacé is </w:t>
      </w:r>
      <w:r w:rsidRPr="00FD2B97">
        <w:rPr>
          <w:rFonts w:ascii="Arial" w:hAnsi="Arial" w:cs="Arial"/>
          <w:sz w:val="20"/>
          <w:szCs w:val="20"/>
        </w:rPr>
        <w:t>distinguished by its greater height and collar diameter, su</w:t>
      </w:r>
      <w:r w:rsidR="00C63B00" w:rsidRPr="00FD2B97">
        <w:rPr>
          <w:rFonts w:ascii="Arial" w:hAnsi="Arial" w:cs="Arial"/>
          <w:sz w:val="20"/>
          <w:szCs w:val="20"/>
        </w:rPr>
        <w:t xml:space="preserve">ggesting a greater capacity for </w:t>
      </w:r>
      <w:r w:rsidRPr="00FD2B97">
        <w:rPr>
          <w:rFonts w:ascii="Arial" w:hAnsi="Arial" w:cs="Arial"/>
          <w:sz w:val="20"/>
          <w:szCs w:val="20"/>
        </w:rPr>
        <w:t>vigorous growth, although its yield is lower. This variability betw</w:t>
      </w:r>
      <w:r w:rsidR="00C63B00" w:rsidRPr="00FD2B97">
        <w:rPr>
          <w:rFonts w:ascii="Arial" w:hAnsi="Arial" w:cs="Arial"/>
          <w:sz w:val="20"/>
          <w:szCs w:val="20"/>
        </w:rPr>
        <w:t xml:space="preserve">een varieties can be attributed </w:t>
      </w:r>
      <w:r w:rsidRPr="00FD2B97">
        <w:rPr>
          <w:rFonts w:ascii="Arial" w:hAnsi="Arial" w:cs="Arial"/>
          <w:sz w:val="20"/>
          <w:szCs w:val="20"/>
        </w:rPr>
        <w:t>to genetic differences, but also to complex interactions between t</w:t>
      </w:r>
      <w:r w:rsidR="00C63B00" w:rsidRPr="00FD2B97">
        <w:rPr>
          <w:rFonts w:ascii="Arial" w:hAnsi="Arial" w:cs="Arial"/>
          <w:sz w:val="20"/>
          <w:szCs w:val="20"/>
        </w:rPr>
        <w:t xml:space="preserve">he variety and soil and climate </w:t>
      </w:r>
      <w:r w:rsidRPr="00FD2B97">
        <w:rPr>
          <w:rFonts w:ascii="Arial" w:hAnsi="Arial" w:cs="Arial"/>
          <w:sz w:val="20"/>
          <w:szCs w:val="20"/>
        </w:rPr>
        <w:t>conditions.</w:t>
      </w:r>
    </w:p>
    <w:p w14:paraId="583CAA43" w14:textId="77777777" w:rsidR="00C63B00" w:rsidRPr="00FD2B97" w:rsidRDefault="00C63B00" w:rsidP="002611E1">
      <w:pPr>
        <w:rPr>
          <w:rFonts w:ascii="Arial" w:hAnsi="Arial" w:cs="Arial"/>
          <w:sz w:val="20"/>
          <w:szCs w:val="20"/>
        </w:rPr>
      </w:pPr>
    </w:p>
    <w:p w14:paraId="2A5CA236" w14:textId="77777777" w:rsidR="002611E1" w:rsidRPr="00B61943" w:rsidRDefault="002611E1" w:rsidP="002611E1">
      <w:pPr>
        <w:rPr>
          <w:rFonts w:ascii="Arial" w:hAnsi="Arial" w:cs="Arial"/>
          <w:b/>
          <w:sz w:val="22"/>
        </w:rPr>
      </w:pPr>
      <w:r w:rsidRPr="00B61943">
        <w:rPr>
          <w:rFonts w:ascii="Arial" w:hAnsi="Arial" w:cs="Arial"/>
          <w:b/>
          <w:sz w:val="22"/>
        </w:rPr>
        <w:t>4. CONCLUSION</w:t>
      </w:r>
    </w:p>
    <w:p w14:paraId="3EC7AB3D"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This study highlights the importance of soil characteristics and tillage methods in cassava</w:t>
      </w:r>
      <w:r w:rsidR="00C63B00" w:rsidRPr="00FD2B97">
        <w:rPr>
          <w:rFonts w:ascii="Arial" w:hAnsi="Arial" w:cs="Arial"/>
          <w:sz w:val="20"/>
          <w:szCs w:val="20"/>
        </w:rPr>
        <w:t xml:space="preserve"> </w:t>
      </w:r>
      <w:r w:rsidRPr="00FD2B97">
        <w:rPr>
          <w:rFonts w:ascii="Arial" w:hAnsi="Arial" w:cs="Arial"/>
          <w:sz w:val="20"/>
          <w:szCs w:val="20"/>
        </w:rPr>
        <w:t xml:space="preserve">growth and yield. Clay soils (Lixisols), </w:t>
      </w:r>
      <w:commentRangeStart w:id="14"/>
      <w:r w:rsidRPr="00FD2B97">
        <w:rPr>
          <w:rFonts w:ascii="Arial" w:hAnsi="Arial" w:cs="Arial"/>
          <w:sz w:val="20"/>
          <w:szCs w:val="20"/>
        </w:rPr>
        <w:t xml:space="preserve">thanks to their </w:t>
      </w:r>
      <w:commentRangeEnd w:id="14"/>
      <w:r w:rsidR="007B42C6">
        <w:rPr>
          <w:rStyle w:val="CommentReference"/>
        </w:rPr>
        <w:commentReference w:id="14"/>
      </w:r>
      <w:r w:rsidRPr="00FD2B97">
        <w:rPr>
          <w:rFonts w:ascii="Arial" w:hAnsi="Arial" w:cs="Arial"/>
          <w:sz w:val="20"/>
          <w:szCs w:val="20"/>
        </w:rPr>
        <w:t>water and nutrient r</w:t>
      </w:r>
      <w:r w:rsidR="00C63B00" w:rsidRPr="00FD2B97">
        <w:rPr>
          <w:rFonts w:ascii="Arial" w:hAnsi="Arial" w:cs="Arial"/>
          <w:sz w:val="20"/>
          <w:szCs w:val="20"/>
        </w:rPr>
        <w:t xml:space="preserve">etention capacity, </w:t>
      </w:r>
      <w:r w:rsidRPr="00FD2B97">
        <w:rPr>
          <w:rFonts w:ascii="Arial" w:hAnsi="Arial" w:cs="Arial"/>
          <w:sz w:val="20"/>
          <w:szCs w:val="20"/>
        </w:rPr>
        <w:t>promote better plant and tuber development, while sandy soils (A</w:t>
      </w:r>
      <w:r w:rsidR="00C63B00" w:rsidRPr="00FD2B97">
        <w:rPr>
          <w:rFonts w:ascii="Arial" w:hAnsi="Arial" w:cs="Arial"/>
          <w:sz w:val="20"/>
          <w:szCs w:val="20"/>
        </w:rPr>
        <w:t xml:space="preserve">renosols) offer better aeration </w:t>
      </w:r>
      <w:r w:rsidRPr="00FD2B97">
        <w:rPr>
          <w:rFonts w:ascii="Arial" w:hAnsi="Arial" w:cs="Arial"/>
          <w:sz w:val="20"/>
          <w:szCs w:val="20"/>
        </w:rPr>
        <w:t xml:space="preserve">but require specific management to optimize fertility and </w:t>
      </w:r>
      <w:r w:rsidR="00C63B00" w:rsidRPr="00FD2B97">
        <w:rPr>
          <w:rFonts w:ascii="Arial" w:hAnsi="Arial" w:cs="Arial"/>
          <w:sz w:val="20"/>
          <w:szCs w:val="20"/>
        </w:rPr>
        <w:t xml:space="preserve">moisture. The ridge cultivation </w:t>
      </w:r>
      <w:r w:rsidRPr="00FD2B97">
        <w:rPr>
          <w:rFonts w:ascii="Arial" w:hAnsi="Arial" w:cs="Arial"/>
          <w:sz w:val="20"/>
          <w:szCs w:val="20"/>
        </w:rPr>
        <w:t>method tends to improve production, particularly on clay so</w:t>
      </w:r>
      <w:r w:rsidR="00C63B00" w:rsidRPr="00FD2B97">
        <w:rPr>
          <w:rFonts w:ascii="Arial" w:hAnsi="Arial" w:cs="Arial"/>
          <w:sz w:val="20"/>
          <w:szCs w:val="20"/>
        </w:rPr>
        <w:t xml:space="preserve">ils, by optimizing aeration and </w:t>
      </w:r>
      <w:r w:rsidRPr="00FD2B97">
        <w:rPr>
          <w:rFonts w:ascii="Arial" w:hAnsi="Arial" w:cs="Arial"/>
          <w:sz w:val="20"/>
          <w:szCs w:val="20"/>
        </w:rPr>
        <w:t>moisture management. In terms of varieties, Bocou 1 stands out f</w:t>
      </w:r>
      <w:r w:rsidR="00C63B00" w:rsidRPr="00FD2B97">
        <w:rPr>
          <w:rFonts w:ascii="Arial" w:hAnsi="Arial" w:cs="Arial"/>
          <w:sz w:val="20"/>
          <w:szCs w:val="20"/>
        </w:rPr>
        <w:t xml:space="preserve">or its higher yield, while Yacé </w:t>
      </w:r>
      <w:r w:rsidRPr="00FD2B97">
        <w:rPr>
          <w:rFonts w:ascii="Arial" w:hAnsi="Arial" w:cs="Arial"/>
          <w:sz w:val="20"/>
          <w:szCs w:val="20"/>
        </w:rPr>
        <w:t>has greater height and collar diameter. These results highlight</w:t>
      </w:r>
      <w:r w:rsidR="00C63B00" w:rsidRPr="00FD2B97">
        <w:rPr>
          <w:rFonts w:ascii="Arial" w:hAnsi="Arial" w:cs="Arial"/>
          <w:sz w:val="20"/>
          <w:szCs w:val="20"/>
        </w:rPr>
        <w:t xml:space="preserve"> the need to choose the variety </w:t>
      </w:r>
      <w:r w:rsidRPr="00FD2B97">
        <w:rPr>
          <w:rFonts w:ascii="Arial" w:hAnsi="Arial" w:cs="Arial"/>
          <w:sz w:val="20"/>
          <w:szCs w:val="20"/>
        </w:rPr>
        <w:t>best suited to local soil conditions in order to maximize cassava production.</w:t>
      </w:r>
    </w:p>
    <w:p w14:paraId="0D0110CA" w14:textId="77777777" w:rsidR="00C63B00" w:rsidRPr="00FD2B97" w:rsidRDefault="00C63B00" w:rsidP="002611E1">
      <w:pPr>
        <w:rPr>
          <w:rFonts w:ascii="Arial" w:hAnsi="Arial" w:cs="Arial"/>
          <w:sz w:val="20"/>
          <w:szCs w:val="20"/>
        </w:rPr>
      </w:pPr>
    </w:p>
    <w:p w14:paraId="7CEDCFC0" w14:textId="77777777" w:rsidR="00B61943" w:rsidRPr="00FD2B97" w:rsidRDefault="00B61943" w:rsidP="002611E1">
      <w:pPr>
        <w:rPr>
          <w:rFonts w:ascii="Arial" w:hAnsi="Arial" w:cs="Arial"/>
          <w:sz w:val="20"/>
          <w:szCs w:val="20"/>
        </w:rPr>
      </w:pPr>
    </w:p>
    <w:p w14:paraId="4A47E5B2" w14:textId="77777777" w:rsidR="00C43017" w:rsidRPr="00B61943" w:rsidRDefault="00C43017" w:rsidP="00C43017">
      <w:pPr>
        <w:rPr>
          <w:rFonts w:ascii="Arial" w:hAnsi="Arial" w:cs="Arial"/>
          <w:b/>
          <w:sz w:val="22"/>
          <w:lang w:val="en-US"/>
        </w:rPr>
      </w:pPr>
      <w:commentRangeStart w:id="15"/>
      <w:r w:rsidRPr="00B61943">
        <w:rPr>
          <w:rFonts w:ascii="Arial" w:hAnsi="Arial" w:cs="Arial"/>
          <w:b/>
          <w:sz w:val="22"/>
          <w:lang w:val="en-US"/>
        </w:rPr>
        <w:t>REFERENCES</w:t>
      </w:r>
      <w:commentRangeEnd w:id="15"/>
      <w:r w:rsidR="00D65F4B">
        <w:rPr>
          <w:rStyle w:val="CommentReference"/>
        </w:rPr>
        <w:commentReference w:id="15"/>
      </w:r>
      <w:r w:rsidRPr="00B61943">
        <w:rPr>
          <w:rFonts w:ascii="Arial" w:hAnsi="Arial" w:cs="Arial"/>
          <w:b/>
          <w:sz w:val="22"/>
          <w:lang w:val="en-US"/>
        </w:rPr>
        <w:t xml:space="preserve"> </w:t>
      </w:r>
    </w:p>
    <w:p w14:paraId="4343BBB3" w14:textId="77777777" w:rsidR="00C43017" w:rsidRPr="00FD2B97" w:rsidRDefault="00C43017" w:rsidP="00C43017">
      <w:pPr>
        <w:ind w:left="567" w:hanging="567"/>
        <w:jc w:val="both"/>
        <w:rPr>
          <w:rFonts w:ascii="Arial" w:eastAsia="Calibri" w:hAnsi="Arial" w:cs="Arial"/>
          <w:sz w:val="20"/>
          <w:szCs w:val="20"/>
        </w:rPr>
      </w:pPr>
      <w:r w:rsidRPr="00FD2B97">
        <w:rPr>
          <w:rFonts w:ascii="Arial" w:eastAsia="Calibri" w:hAnsi="Arial" w:cs="Arial"/>
          <w:sz w:val="20"/>
          <w:szCs w:val="20"/>
        </w:rPr>
        <w:t>Aubert, G., Diedhiou, A., &amp; Kane, N. (2000). Caractéristiques pédologiques des sols en zone tropicale humide. Re</w:t>
      </w:r>
      <w:r w:rsidR="004C177F">
        <w:rPr>
          <w:rFonts w:ascii="Arial" w:eastAsia="Calibri" w:hAnsi="Arial" w:cs="Arial"/>
          <w:sz w:val="20"/>
          <w:szCs w:val="20"/>
        </w:rPr>
        <w:t xml:space="preserve">vue des Sciences du Sol, 47(3) : </w:t>
      </w:r>
      <w:r w:rsidRPr="00FD2B97">
        <w:rPr>
          <w:rFonts w:ascii="Arial" w:eastAsia="Calibri" w:hAnsi="Arial" w:cs="Arial"/>
          <w:sz w:val="20"/>
          <w:szCs w:val="20"/>
        </w:rPr>
        <w:t>221-234.</w:t>
      </w:r>
    </w:p>
    <w:p w14:paraId="18849A4C" w14:textId="77777777" w:rsidR="00C43017" w:rsidRPr="00FD2B97" w:rsidRDefault="00C43017" w:rsidP="00C43017">
      <w:pPr>
        <w:ind w:left="567" w:hanging="567"/>
        <w:jc w:val="both"/>
        <w:rPr>
          <w:rFonts w:ascii="Arial" w:eastAsia="Calibri" w:hAnsi="Arial" w:cs="Arial"/>
          <w:sz w:val="20"/>
          <w:szCs w:val="20"/>
        </w:rPr>
      </w:pPr>
      <w:r w:rsidRPr="00FD2B97">
        <w:rPr>
          <w:rFonts w:ascii="Arial" w:eastAsia="Calibri" w:hAnsi="Arial" w:cs="Arial"/>
          <w:sz w:val="20"/>
          <w:szCs w:val="20"/>
        </w:rPr>
        <w:t xml:space="preserve">Baize, D. (1988). Guide des analyses en pédologie : éléments d’interprétation. INRA Editions, </w:t>
      </w:r>
      <w:commentRangeStart w:id="16"/>
      <w:r w:rsidRPr="00FD2B97">
        <w:rPr>
          <w:rFonts w:ascii="Arial" w:eastAsia="Calibri" w:hAnsi="Arial" w:cs="Arial"/>
          <w:sz w:val="20"/>
          <w:szCs w:val="20"/>
        </w:rPr>
        <w:t>Paris</w:t>
      </w:r>
      <w:commentRangeEnd w:id="16"/>
      <w:r w:rsidR="007B42C6">
        <w:rPr>
          <w:rStyle w:val="CommentReference"/>
        </w:rPr>
        <w:commentReference w:id="16"/>
      </w:r>
      <w:r w:rsidRPr="00FD2B97">
        <w:rPr>
          <w:rFonts w:ascii="Arial" w:eastAsia="Calibri" w:hAnsi="Arial" w:cs="Arial"/>
          <w:sz w:val="20"/>
          <w:szCs w:val="20"/>
        </w:rPr>
        <w:t>.</w:t>
      </w:r>
    </w:p>
    <w:p w14:paraId="3220080A" w14:textId="77777777" w:rsidR="00C43017" w:rsidRPr="00FD2B97" w:rsidRDefault="00C43017" w:rsidP="00C43017">
      <w:pPr>
        <w:ind w:left="567" w:hanging="567"/>
        <w:jc w:val="both"/>
        <w:rPr>
          <w:rFonts w:ascii="Arial" w:hAnsi="Arial" w:cs="Arial"/>
          <w:sz w:val="20"/>
          <w:szCs w:val="20"/>
          <w:shd w:val="clear" w:color="auto" w:fill="FFFFFF"/>
        </w:rPr>
      </w:pPr>
      <w:r w:rsidRPr="00FD2B97">
        <w:rPr>
          <w:rFonts w:ascii="Arial" w:hAnsi="Arial" w:cs="Arial"/>
          <w:sz w:val="20"/>
          <w:szCs w:val="20"/>
          <w:shd w:val="clear" w:color="auto" w:fill="FFFFFF"/>
        </w:rPr>
        <w:t>Guillaumet, J. L., &amp; Adjanohoun, E. (1971). La végétation de la Côte d’Ivoire. In J. M. Avenard, M. Eldin et al. (Eds.), Le milieu naturel de la Côte d’Ivoire (No. 50, pp. 166-262). Paris: Mémoire ORSTOM.</w:t>
      </w:r>
    </w:p>
    <w:p w14:paraId="11E1247A" w14:textId="77777777" w:rsidR="009B215E" w:rsidRDefault="00C43017" w:rsidP="009B215E">
      <w:pPr>
        <w:ind w:left="567" w:hanging="567"/>
        <w:jc w:val="both"/>
        <w:rPr>
          <w:rFonts w:ascii="Arial" w:hAnsi="Arial" w:cs="Arial"/>
          <w:sz w:val="20"/>
          <w:szCs w:val="20"/>
        </w:rPr>
      </w:pPr>
      <w:r w:rsidRPr="00FD2B97">
        <w:rPr>
          <w:rFonts w:ascii="Arial" w:hAnsi="Arial" w:cs="Arial"/>
          <w:sz w:val="20"/>
          <w:szCs w:val="20"/>
        </w:rPr>
        <w:lastRenderedPageBreak/>
        <w:t>Perraud. 1971. Les sols de la Côte d’Ivoire. In Le Milieu Naturel de la Côte d'Ivoire, Perraud (ed). ORSTOM: Paris (France); 269-389.</w:t>
      </w:r>
    </w:p>
    <w:p w14:paraId="054122AF" w14:textId="77777777" w:rsidR="009B215E" w:rsidRDefault="009B215E" w:rsidP="009B215E">
      <w:pPr>
        <w:ind w:left="567" w:hanging="567"/>
        <w:jc w:val="both"/>
        <w:rPr>
          <w:rFonts w:ascii="Arial" w:hAnsi="Arial" w:cs="Arial"/>
          <w:sz w:val="20"/>
          <w:szCs w:val="20"/>
        </w:rPr>
      </w:pPr>
    </w:p>
    <w:p w14:paraId="2EDC3631"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Pagnè</w:t>
      </w:r>
      <w:r>
        <w:rPr>
          <w:rFonts w:ascii="Arial" w:hAnsi="Arial" w:cs="Arial"/>
          <w:sz w:val="20"/>
          <w:szCs w:val="20"/>
        </w:rPr>
        <w:t xml:space="preserve">, </w:t>
      </w:r>
      <w:r w:rsidRPr="009B215E">
        <w:rPr>
          <w:rFonts w:ascii="Arial" w:hAnsi="Arial" w:cs="Arial"/>
          <w:sz w:val="20"/>
          <w:szCs w:val="20"/>
        </w:rPr>
        <w:t>B. H. (2018). Effets de la gestion intégrée de la fertilité des sols sur les paramètres agronomiques et le rendement de l'igname (Dioscorea rotundata Poir) en milieu paysan dans le Centre-Ouest du Burkina Faso. Mémoire de fin de cycle, Université Nazi Boni (Burkina Faso), 58 p.</w:t>
      </w:r>
    </w:p>
    <w:p w14:paraId="5117CC7E"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Garry</w:t>
      </w:r>
      <w:r>
        <w:rPr>
          <w:rFonts w:ascii="Arial" w:hAnsi="Arial" w:cs="Arial"/>
          <w:sz w:val="20"/>
          <w:szCs w:val="20"/>
        </w:rPr>
        <w:t>,</w:t>
      </w:r>
      <w:r w:rsidRPr="009B215E">
        <w:rPr>
          <w:rFonts w:ascii="Arial" w:hAnsi="Arial" w:cs="Arial"/>
          <w:sz w:val="20"/>
          <w:szCs w:val="20"/>
        </w:rPr>
        <w:t xml:space="preserve"> A. P., Ewald A., Daniel</w:t>
      </w:r>
      <w:r>
        <w:rPr>
          <w:rFonts w:ascii="Arial" w:hAnsi="Arial" w:cs="Arial"/>
          <w:sz w:val="20"/>
          <w:szCs w:val="20"/>
        </w:rPr>
        <w:t>,</w:t>
      </w:r>
      <w:r w:rsidRPr="009B215E">
        <w:rPr>
          <w:rFonts w:ascii="Arial" w:hAnsi="Arial" w:cs="Arial"/>
          <w:sz w:val="20"/>
          <w:szCs w:val="20"/>
        </w:rPr>
        <w:t xml:space="preserve"> J. P., Fractyl</w:t>
      </w:r>
      <w:r>
        <w:rPr>
          <w:rFonts w:ascii="Arial" w:hAnsi="Arial" w:cs="Arial"/>
          <w:sz w:val="20"/>
          <w:szCs w:val="20"/>
        </w:rPr>
        <w:t>,</w:t>
      </w:r>
      <w:r w:rsidRPr="009B215E">
        <w:rPr>
          <w:rFonts w:ascii="Arial" w:hAnsi="Arial" w:cs="Arial"/>
          <w:sz w:val="20"/>
          <w:szCs w:val="20"/>
        </w:rPr>
        <w:t xml:space="preserve"> M. &amp; Mikerson</w:t>
      </w:r>
      <w:r>
        <w:rPr>
          <w:rFonts w:ascii="Arial" w:hAnsi="Arial" w:cs="Arial"/>
          <w:sz w:val="20"/>
          <w:szCs w:val="20"/>
        </w:rPr>
        <w:t>,</w:t>
      </w:r>
      <w:r w:rsidRPr="009B215E">
        <w:rPr>
          <w:rFonts w:ascii="Arial" w:hAnsi="Arial" w:cs="Arial"/>
          <w:sz w:val="20"/>
          <w:szCs w:val="20"/>
        </w:rPr>
        <w:t xml:space="preserve"> D. (2024). Innovations technologiques pour une agriculture plus résiliente et performante en Haïti : Bilan et perspectives de recherche. In Troisième édition des Journées Scientifiques du Programme d‘Innovation Technologique pour l’Agriculture et l’Agroforesterie, 398 p.</w:t>
      </w:r>
    </w:p>
    <w:p w14:paraId="190CDDAF" w14:textId="77777777" w:rsidR="009B215E" w:rsidRPr="009B215E" w:rsidRDefault="009B215E" w:rsidP="009B215E">
      <w:pPr>
        <w:ind w:left="567" w:hanging="567"/>
        <w:jc w:val="both"/>
        <w:rPr>
          <w:rFonts w:ascii="Arial" w:hAnsi="Arial" w:cs="Arial"/>
          <w:sz w:val="20"/>
          <w:szCs w:val="20"/>
        </w:rPr>
      </w:pPr>
      <w:r>
        <w:rPr>
          <w:rFonts w:ascii="Arial" w:hAnsi="Arial" w:cs="Arial"/>
          <w:sz w:val="20"/>
          <w:szCs w:val="20"/>
        </w:rPr>
        <w:t xml:space="preserve">Arguita, D. A. O., Bationo, </w:t>
      </w:r>
      <w:r w:rsidRPr="009B215E">
        <w:rPr>
          <w:rFonts w:ascii="Arial" w:hAnsi="Arial" w:cs="Arial"/>
          <w:sz w:val="20"/>
          <w:szCs w:val="20"/>
        </w:rPr>
        <w:t>B. A., Traore</w:t>
      </w:r>
      <w:r>
        <w:rPr>
          <w:rFonts w:ascii="Arial" w:hAnsi="Arial" w:cs="Arial"/>
          <w:sz w:val="20"/>
          <w:szCs w:val="20"/>
        </w:rPr>
        <w:t>,</w:t>
      </w:r>
      <w:r w:rsidRPr="009B215E">
        <w:rPr>
          <w:rFonts w:ascii="Arial" w:hAnsi="Arial" w:cs="Arial"/>
          <w:sz w:val="20"/>
          <w:szCs w:val="20"/>
        </w:rPr>
        <w:t xml:space="preserve"> S., Cisse</w:t>
      </w:r>
      <w:r>
        <w:rPr>
          <w:rFonts w:ascii="Arial" w:hAnsi="Arial" w:cs="Arial"/>
          <w:sz w:val="20"/>
          <w:szCs w:val="20"/>
        </w:rPr>
        <w:t>,</w:t>
      </w:r>
      <w:r w:rsidRPr="009B215E">
        <w:rPr>
          <w:rFonts w:ascii="Arial" w:hAnsi="Arial" w:cs="Arial"/>
          <w:sz w:val="20"/>
          <w:szCs w:val="20"/>
        </w:rPr>
        <w:t xml:space="preserve"> M. &amp; Thiombiano</w:t>
      </w:r>
      <w:r>
        <w:rPr>
          <w:rFonts w:ascii="Arial" w:hAnsi="Arial" w:cs="Arial"/>
          <w:sz w:val="20"/>
          <w:szCs w:val="20"/>
        </w:rPr>
        <w:t>,</w:t>
      </w:r>
      <w:r w:rsidRPr="009B215E">
        <w:rPr>
          <w:rFonts w:ascii="Arial" w:hAnsi="Arial" w:cs="Arial"/>
          <w:sz w:val="20"/>
          <w:szCs w:val="20"/>
        </w:rPr>
        <w:t xml:space="preserve"> A. (2022). Déterminants biophysiques et socioéconomiques de la gestion des parcs à anacardiers (Anacardium occidentale L.) et à manguiers (Mangifera indica L.) en zone sud soudanienne du Burkina Faso. </w:t>
      </w:r>
      <w:r w:rsidRPr="009B215E">
        <w:rPr>
          <w:rFonts w:ascii="Arial" w:hAnsi="Arial" w:cs="Arial"/>
          <w:iCs/>
          <w:sz w:val="20"/>
          <w:szCs w:val="20"/>
        </w:rPr>
        <w:t>Sciences Naturelles et Appliquées</w:t>
      </w:r>
      <w:r>
        <w:rPr>
          <w:rFonts w:ascii="Arial" w:hAnsi="Arial" w:cs="Arial"/>
          <w:sz w:val="20"/>
          <w:szCs w:val="20"/>
        </w:rPr>
        <w:t>, 41(2) :</w:t>
      </w:r>
      <w:r w:rsidRPr="009B215E">
        <w:rPr>
          <w:rFonts w:ascii="Arial" w:hAnsi="Arial" w:cs="Arial"/>
          <w:sz w:val="20"/>
          <w:szCs w:val="20"/>
        </w:rPr>
        <w:t xml:space="preserve"> 137-159.</w:t>
      </w:r>
    </w:p>
    <w:p w14:paraId="1DA1493C"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Hocine</w:t>
      </w:r>
      <w:r>
        <w:rPr>
          <w:rFonts w:ascii="Arial" w:hAnsi="Arial" w:cs="Arial"/>
          <w:sz w:val="20"/>
          <w:szCs w:val="20"/>
        </w:rPr>
        <w:t>,</w:t>
      </w:r>
      <w:r w:rsidRPr="009B215E">
        <w:rPr>
          <w:rFonts w:ascii="Arial" w:hAnsi="Arial" w:cs="Arial"/>
          <w:sz w:val="20"/>
          <w:szCs w:val="20"/>
        </w:rPr>
        <w:t xml:space="preserve"> F. (2017). Caractérisation physique et chimique des sols sous grenadier : cas d’une steppe dégradée mise en défens. Mémoire de Master en Sciences Agronomiques, Université Mouloud Mammeri (Algérie), 57 p.</w:t>
      </w:r>
    </w:p>
    <w:p w14:paraId="4F834149"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Widad</w:t>
      </w:r>
      <w:r>
        <w:rPr>
          <w:rFonts w:ascii="Arial" w:hAnsi="Arial" w:cs="Arial"/>
          <w:sz w:val="20"/>
          <w:szCs w:val="20"/>
        </w:rPr>
        <w:t>,</w:t>
      </w:r>
      <w:r w:rsidRPr="009B215E">
        <w:rPr>
          <w:rFonts w:ascii="Arial" w:hAnsi="Arial" w:cs="Arial"/>
          <w:sz w:val="20"/>
          <w:szCs w:val="20"/>
        </w:rPr>
        <w:t xml:space="preserve"> E. (2020). Caractérisation physico-chimiques de la qualité et de la pollution métallique des sols agricoles dans la partie nord-est de la plaine du Tadla–Bassin Oum Er Rbia–Maroc. Thèse de Doctorat, Université Sultan Moulay Slimane (Maroc), 167 p.</w:t>
      </w:r>
    </w:p>
    <w:p w14:paraId="796C7A16" w14:textId="77777777" w:rsidR="009B215E" w:rsidRDefault="009B215E" w:rsidP="009B215E">
      <w:pPr>
        <w:ind w:left="567" w:hanging="567"/>
        <w:jc w:val="both"/>
        <w:rPr>
          <w:rFonts w:ascii="Arial" w:eastAsia="Calibri" w:hAnsi="Arial" w:cs="Arial"/>
          <w:sz w:val="20"/>
          <w:szCs w:val="20"/>
        </w:rPr>
      </w:pPr>
      <w:r w:rsidRPr="009B215E">
        <w:rPr>
          <w:rFonts w:ascii="Arial" w:eastAsia="Calibri" w:hAnsi="Arial" w:cs="Arial"/>
          <w:sz w:val="20"/>
          <w:szCs w:val="20"/>
        </w:rPr>
        <w:t>CNRA (Centre national de Recherche Agronomique)</w:t>
      </w:r>
      <w:r w:rsidRPr="009B215E">
        <w:rPr>
          <w:rFonts w:ascii="Arial" w:eastAsia="Calibri" w:hAnsi="Arial" w:cs="Arial"/>
          <w:i/>
          <w:iCs/>
          <w:sz w:val="20"/>
          <w:szCs w:val="20"/>
        </w:rPr>
        <w:t>. (</w:t>
      </w:r>
      <w:r w:rsidRPr="009B215E">
        <w:rPr>
          <w:rFonts w:ascii="Arial" w:eastAsia="Calibri" w:hAnsi="Arial" w:cs="Arial"/>
          <w:sz w:val="20"/>
          <w:szCs w:val="20"/>
        </w:rPr>
        <w:t xml:space="preserve">2013). Bien cultiver le manioc en Côte d’Ivoire. 4 p. </w:t>
      </w:r>
      <w:hyperlink r:id="rId12" w:history="1">
        <w:r w:rsidRPr="009B215E">
          <w:rPr>
            <w:rStyle w:val="Hyperlink"/>
            <w:rFonts w:ascii="Arial" w:eastAsia="Calibri" w:hAnsi="Arial" w:cs="Arial"/>
            <w:sz w:val="20"/>
            <w:szCs w:val="20"/>
          </w:rPr>
          <w:t>https://cnra.ci/download/bien-cultiver-le-manioc-en-cote-divoire/</w:t>
        </w:r>
      </w:hyperlink>
    </w:p>
    <w:p w14:paraId="5194A5C3"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René</w:t>
      </w:r>
      <w:r>
        <w:rPr>
          <w:rFonts w:ascii="Arial" w:hAnsi="Arial" w:cs="Arial"/>
          <w:sz w:val="20"/>
          <w:szCs w:val="20"/>
        </w:rPr>
        <w:t>,</w:t>
      </w:r>
      <w:r w:rsidRPr="009B215E">
        <w:rPr>
          <w:rFonts w:ascii="Arial" w:hAnsi="Arial" w:cs="Arial"/>
          <w:sz w:val="20"/>
          <w:szCs w:val="20"/>
        </w:rPr>
        <w:t xml:space="preserve"> S. Y. (2020). Caractérisation des systèmes de production à base de manioc dans le centre de la Côte d’Ivoire. Mémoire de Master en Gestion Agropastorale, Université Peleforo Gon Coulibaly de Korhogo (Côte d’Ivoire), 64 p.</w:t>
      </w:r>
    </w:p>
    <w:p w14:paraId="4EA808C6"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Edoh</w:t>
      </w:r>
      <w:r>
        <w:rPr>
          <w:rFonts w:ascii="Arial" w:hAnsi="Arial" w:cs="Arial"/>
          <w:sz w:val="20"/>
          <w:szCs w:val="20"/>
        </w:rPr>
        <w:t>,</w:t>
      </w:r>
      <w:r w:rsidRPr="009B215E">
        <w:rPr>
          <w:rFonts w:ascii="Arial" w:hAnsi="Arial" w:cs="Arial"/>
          <w:sz w:val="20"/>
          <w:szCs w:val="20"/>
        </w:rPr>
        <w:t xml:space="preserve"> O. K., Kouakou J., Mazalo P. A., Nanga N. S. &amp; Plagne-Ismail C. (2016). Production et transformation du manioc. Centre technique de coopération agricole et rurale. Collection PRO-AGRO, 40 p.</w:t>
      </w:r>
    </w:p>
    <w:p w14:paraId="1F657317" w14:textId="77777777" w:rsidR="009B215E" w:rsidRPr="009B215E" w:rsidRDefault="009B215E" w:rsidP="009B215E">
      <w:pPr>
        <w:ind w:left="567" w:hanging="567"/>
        <w:jc w:val="both"/>
        <w:rPr>
          <w:rFonts w:ascii="Arial" w:hAnsi="Arial" w:cs="Arial"/>
          <w:sz w:val="20"/>
          <w:szCs w:val="20"/>
        </w:rPr>
      </w:pPr>
      <w:r>
        <w:rPr>
          <w:rFonts w:ascii="Arial" w:hAnsi="Arial" w:cs="Arial"/>
          <w:sz w:val="20"/>
          <w:szCs w:val="20"/>
        </w:rPr>
        <w:t xml:space="preserve">Ballot, </w:t>
      </w:r>
      <w:r w:rsidRPr="009B215E">
        <w:rPr>
          <w:rFonts w:ascii="Arial" w:hAnsi="Arial" w:cs="Arial"/>
          <w:sz w:val="20"/>
          <w:szCs w:val="20"/>
        </w:rPr>
        <w:t>C. S. A., Mawussi G., Atakpama, W., Moita-Nassy M., Yangakola T. M., Zinga I. &amp; Koffi A. (2016). Caractérisation physico-chimique des sols en vue de l’amélioration de la productivité du manioc (</w:t>
      </w:r>
      <w:r w:rsidRPr="009B215E">
        <w:rPr>
          <w:rFonts w:ascii="Arial" w:hAnsi="Arial" w:cs="Arial"/>
          <w:i/>
          <w:sz w:val="20"/>
          <w:szCs w:val="20"/>
        </w:rPr>
        <w:t>Manihot esculenta</w:t>
      </w:r>
      <w:r w:rsidRPr="009B215E">
        <w:rPr>
          <w:rFonts w:ascii="Arial" w:hAnsi="Arial" w:cs="Arial"/>
          <w:sz w:val="20"/>
          <w:szCs w:val="20"/>
        </w:rPr>
        <w:t xml:space="preserve"> Crantz) dans la région de Damara au centre-sud de Centrafrique. </w:t>
      </w:r>
      <w:r w:rsidRPr="009B215E">
        <w:rPr>
          <w:rFonts w:ascii="Arial" w:hAnsi="Arial" w:cs="Arial"/>
          <w:iCs/>
          <w:sz w:val="20"/>
          <w:szCs w:val="20"/>
        </w:rPr>
        <w:t>Agronomie Africaine</w:t>
      </w:r>
      <w:r w:rsidRPr="009B215E">
        <w:rPr>
          <w:rFonts w:ascii="Arial" w:hAnsi="Arial" w:cs="Arial"/>
          <w:sz w:val="20"/>
          <w:szCs w:val="20"/>
        </w:rPr>
        <w:t xml:space="preserve">, </w:t>
      </w:r>
      <w:r w:rsidRPr="009B215E">
        <w:rPr>
          <w:rFonts w:ascii="Arial" w:hAnsi="Arial" w:cs="Arial"/>
          <w:i/>
          <w:iCs/>
          <w:sz w:val="20"/>
          <w:szCs w:val="20"/>
        </w:rPr>
        <w:t>28</w:t>
      </w:r>
      <w:r w:rsidRPr="009B215E">
        <w:rPr>
          <w:rFonts w:ascii="Arial" w:hAnsi="Arial" w:cs="Arial"/>
          <w:sz w:val="20"/>
          <w:szCs w:val="20"/>
        </w:rPr>
        <w:t>(1)</w:t>
      </w:r>
      <w:r>
        <w:rPr>
          <w:rFonts w:ascii="Arial" w:hAnsi="Arial" w:cs="Arial"/>
          <w:sz w:val="20"/>
          <w:szCs w:val="20"/>
        </w:rPr>
        <w:t> :</w:t>
      </w:r>
      <w:r w:rsidRPr="009B215E">
        <w:rPr>
          <w:rFonts w:ascii="Arial" w:hAnsi="Arial" w:cs="Arial"/>
          <w:sz w:val="20"/>
          <w:szCs w:val="20"/>
        </w:rPr>
        <w:t xml:space="preserve"> 9-23.</w:t>
      </w:r>
    </w:p>
    <w:p w14:paraId="11FD070F"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Baize</w:t>
      </w:r>
      <w:r>
        <w:rPr>
          <w:rFonts w:ascii="Arial" w:hAnsi="Arial" w:cs="Arial"/>
          <w:sz w:val="20"/>
          <w:szCs w:val="20"/>
        </w:rPr>
        <w:t>,</w:t>
      </w:r>
      <w:r w:rsidRPr="009B215E">
        <w:rPr>
          <w:rFonts w:ascii="Arial" w:hAnsi="Arial" w:cs="Arial"/>
          <w:sz w:val="20"/>
          <w:szCs w:val="20"/>
        </w:rPr>
        <w:t xml:space="preserve"> D. &amp; Girard</w:t>
      </w:r>
      <w:r>
        <w:rPr>
          <w:rFonts w:ascii="Arial" w:hAnsi="Arial" w:cs="Arial"/>
          <w:sz w:val="20"/>
          <w:szCs w:val="20"/>
        </w:rPr>
        <w:t>,</w:t>
      </w:r>
      <w:r w:rsidRPr="009B215E">
        <w:rPr>
          <w:rFonts w:ascii="Arial" w:hAnsi="Arial" w:cs="Arial"/>
          <w:sz w:val="20"/>
          <w:szCs w:val="20"/>
        </w:rPr>
        <w:t xml:space="preserve"> M. C. (2009). </w:t>
      </w:r>
      <w:r w:rsidRPr="009B215E">
        <w:rPr>
          <w:rFonts w:ascii="Arial" w:hAnsi="Arial" w:cs="Arial"/>
          <w:i/>
          <w:iCs/>
          <w:sz w:val="20"/>
          <w:szCs w:val="20"/>
        </w:rPr>
        <w:t>Référentiel pédologique 2008</w:t>
      </w:r>
      <w:r w:rsidRPr="009B215E">
        <w:rPr>
          <w:rFonts w:ascii="Arial" w:hAnsi="Arial" w:cs="Arial"/>
          <w:sz w:val="20"/>
          <w:szCs w:val="20"/>
        </w:rPr>
        <w:t>. Editions Quae, 407 p.</w:t>
      </w:r>
    </w:p>
    <w:p w14:paraId="33048BCA" w14:textId="77777777" w:rsidR="009B215E" w:rsidRPr="009B215E" w:rsidRDefault="009B215E" w:rsidP="009B215E">
      <w:pPr>
        <w:ind w:left="567" w:hanging="567"/>
        <w:jc w:val="both"/>
        <w:rPr>
          <w:rFonts w:ascii="Arial" w:eastAsia="Calibri" w:hAnsi="Arial" w:cs="Arial"/>
          <w:sz w:val="20"/>
          <w:szCs w:val="20"/>
        </w:rPr>
      </w:pPr>
      <w:r w:rsidRPr="009B215E">
        <w:rPr>
          <w:rFonts w:ascii="Arial" w:eastAsia="Calibri" w:hAnsi="Arial" w:cs="Arial"/>
          <w:sz w:val="20"/>
          <w:szCs w:val="20"/>
        </w:rPr>
        <w:t>Kangah</w:t>
      </w:r>
      <w:r>
        <w:rPr>
          <w:rFonts w:ascii="Arial" w:eastAsia="Calibri" w:hAnsi="Arial" w:cs="Arial"/>
          <w:sz w:val="20"/>
          <w:szCs w:val="20"/>
        </w:rPr>
        <w:t>,</w:t>
      </w:r>
      <w:r w:rsidRPr="009B215E">
        <w:rPr>
          <w:rFonts w:ascii="Arial" w:eastAsia="Calibri" w:hAnsi="Arial" w:cs="Arial"/>
          <w:sz w:val="20"/>
          <w:szCs w:val="20"/>
        </w:rPr>
        <w:t xml:space="preserve"> A. (2023). Populations rurales et changements dans l’occupation des terres : cas de la sous-préfecture de Taabo (Cote d’Ivoire). Institut de Géographie Tropicale, Laboratoire d’Etude des Milieux Naturels Anthropisés, Université Félix Houphouët-Boigny Abidjan (Côte d’Ivoire), 22 p. </w:t>
      </w:r>
      <w:hyperlink r:id="rId13" w:history="1">
        <w:r w:rsidRPr="009B215E">
          <w:rPr>
            <w:rStyle w:val="Hyperlink"/>
            <w:rFonts w:ascii="Arial" w:eastAsia="Calibri" w:hAnsi="Arial" w:cs="Arial"/>
            <w:sz w:val="20"/>
            <w:szCs w:val="20"/>
          </w:rPr>
          <w:t>https://revues.acaref.net</w:t>
        </w:r>
      </w:hyperlink>
      <w:r w:rsidRPr="009B215E">
        <w:rPr>
          <w:rFonts w:ascii="Arial" w:eastAsia="Calibri" w:hAnsi="Arial" w:cs="Arial"/>
          <w:sz w:val="20"/>
          <w:szCs w:val="20"/>
        </w:rPr>
        <w:t xml:space="preserve"> </w:t>
      </w:r>
    </w:p>
    <w:p w14:paraId="507386D8"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lastRenderedPageBreak/>
        <w:t>Muku</w:t>
      </w:r>
      <w:r>
        <w:rPr>
          <w:rFonts w:ascii="Arial" w:hAnsi="Arial" w:cs="Arial"/>
          <w:sz w:val="20"/>
          <w:szCs w:val="20"/>
        </w:rPr>
        <w:t>,</w:t>
      </w:r>
      <w:r w:rsidRPr="009B215E">
        <w:rPr>
          <w:rFonts w:ascii="Arial" w:hAnsi="Arial" w:cs="Arial"/>
          <w:sz w:val="20"/>
          <w:szCs w:val="20"/>
        </w:rPr>
        <w:t xml:space="preserve"> T. M., Mbungu</w:t>
      </w:r>
      <w:r>
        <w:rPr>
          <w:rFonts w:ascii="Arial" w:hAnsi="Arial" w:cs="Arial"/>
          <w:sz w:val="20"/>
          <w:szCs w:val="20"/>
        </w:rPr>
        <w:t>,</w:t>
      </w:r>
      <w:r w:rsidRPr="009B215E">
        <w:rPr>
          <w:rFonts w:ascii="Arial" w:hAnsi="Arial" w:cs="Arial"/>
          <w:sz w:val="20"/>
          <w:szCs w:val="20"/>
        </w:rPr>
        <w:t xml:space="preserve"> P. M. &amp; Nkulukuta</w:t>
      </w:r>
      <w:r>
        <w:rPr>
          <w:rFonts w:ascii="Arial" w:hAnsi="Arial" w:cs="Arial"/>
          <w:sz w:val="20"/>
          <w:szCs w:val="20"/>
        </w:rPr>
        <w:t>,</w:t>
      </w:r>
      <w:r w:rsidRPr="009B215E">
        <w:rPr>
          <w:rFonts w:ascii="Arial" w:hAnsi="Arial" w:cs="Arial"/>
          <w:sz w:val="20"/>
          <w:szCs w:val="20"/>
        </w:rPr>
        <w:t xml:space="preserve"> E. B. (2020). Effets de différents modes de labour sur le rendement et la rentabilité de la culture du manioc (</w:t>
      </w:r>
      <w:r w:rsidRPr="009B215E">
        <w:rPr>
          <w:rFonts w:ascii="Arial" w:hAnsi="Arial" w:cs="Arial"/>
          <w:i/>
          <w:iCs/>
          <w:sz w:val="20"/>
          <w:szCs w:val="20"/>
        </w:rPr>
        <w:t xml:space="preserve">Manihot esculanta </w:t>
      </w:r>
      <w:r w:rsidRPr="009B215E">
        <w:rPr>
          <w:rFonts w:ascii="Arial" w:hAnsi="Arial" w:cs="Arial"/>
          <w:sz w:val="20"/>
          <w:szCs w:val="20"/>
        </w:rPr>
        <w:t xml:space="preserve">Crantz) à M’vuazi, RD Congo. </w:t>
      </w:r>
      <w:r w:rsidRPr="009B215E">
        <w:rPr>
          <w:rFonts w:ascii="Arial" w:hAnsi="Arial" w:cs="Arial"/>
          <w:iCs/>
          <w:sz w:val="20"/>
          <w:szCs w:val="20"/>
        </w:rPr>
        <w:t>International Journal of Biological and Chemical Sciences</w:t>
      </w:r>
      <w:r w:rsidRPr="009B215E">
        <w:rPr>
          <w:rFonts w:ascii="Arial" w:hAnsi="Arial" w:cs="Arial"/>
          <w:sz w:val="20"/>
          <w:szCs w:val="20"/>
        </w:rPr>
        <w:t>, 14(6)</w:t>
      </w:r>
      <w:r>
        <w:rPr>
          <w:rFonts w:ascii="Arial" w:hAnsi="Arial" w:cs="Arial"/>
          <w:sz w:val="20"/>
          <w:szCs w:val="20"/>
        </w:rPr>
        <w:t> :</w:t>
      </w:r>
      <w:r w:rsidRPr="009B215E">
        <w:rPr>
          <w:rFonts w:ascii="Arial" w:hAnsi="Arial" w:cs="Arial"/>
          <w:sz w:val="20"/>
          <w:szCs w:val="20"/>
        </w:rPr>
        <w:t xml:space="preserve"> 2112-2119.</w:t>
      </w:r>
    </w:p>
    <w:p w14:paraId="7B08EABA"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Roose</w:t>
      </w:r>
      <w:r>
        <w:rPr>
          <w:rFonts w:ascii="Arial" w:hAnsi="Arial" w:cs="Arial"/>
          <w:sz w:val="20"/>
          <w:szCs w:val="20"/>
        </w:rPr>
        <w:t>,</w:t>
      </w:r>
      <w:r w:rsidRPr="009B215E">
        <w:rPr>
          <w:rFonts w:ascii="Arial" w:hAnsi="Arial" w:cs="Arial"/>
          <w:sz w:val="20"/>
          <w:szCs w:val="20"/>
        </w:rPr>
        <w:t xml:space="preserve"> É., Sabir M. &amp; Laouina</w:t>
      </w:r>
      <w:r>
        <w:rPr>
          <w:rFonts w:ascii="Arial" w:hAnsi="Arial" w:cs="Arial"/>
          <w:sz w:val="20"/>
          <w:szCs w:val="20"/>
        </w:rPr>
        <w:t>,</w:t>
      </w:r>
      <w:r w:rsidRPr="009B215E">
        <w:rPr>
          <w:rFonts w:ascii="Arial" w:hAnsi="Arial" w:cs="Arial"/>
          <w:sz w:val="20"/>
          <w:szCs w:val="20"/>
        </w:rPr>
        <w:t xml:space="preserve"> A. (2010). Gestion durable des eaux et des sols au Maroc : valorisation des techniques traditionnelles méditerranéennes. IRD Editions, 344 p.</w:t>
      </w:r>
    </w:p>
    <w:p w14:paraId="2021CEBE"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René</w:t>
      </w:r>
      <w:r>
        <w:rPr>
          <w:rFonts w:ascii="Arial" w:hAnsi="Arial" w:cs="Arial"/>
          <w:sz w:val="20"/>
          <w:szCs w:val="20"/>
        </w:rPr>
        <w:t>,</w:t>
      </w:r>
      <w:r w:rsidRPr="009B215E">
        <w:rPr>
          <w:rFonts w:ascii="Arial" w:hAnsi="Arial" w:cs="Arial"/>
          <w:sz w:val="20"/>
          <w:szCs w:val="20"/>
        </w:rPr>
        <w:t xml:space="preserve"> S. Y. (2020). Caractérisation des systèmes de production à base de manioc dans le centre de la Côte d’Ivoire. Mémoire de Master en Gestion Agropastorale, Université Peleforo Gon Coulibaly de Korhogo (Côte d’Ivoire), 64 p.</w:t>
      </w:r>
    </w:p>
    <w:p w14:paraId="4C051B86"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Kosh-Komb</w:t>
      </w:r>
      <w:r>
        <w:rPr>
          <w:rFonts w:ascii="Arial" w:hAnsi="Arial" w:cs="Arial"/>
          <w:sz w:val="20"/>
          <w:szCs w:val="20"/>
        </w:rPr>
        <w:t>,</w:t>
      </w:r>
      <w:r w:rsidRPr="009B215E">
        <w:rPr>
          <w:rFonts w:ascii="Arial" w:hAnsi="Arial" w:cs="Arial"/>
          <w:sz w:val="20"/>
          <w:szCs w:val="20"/>
        </w:rPr>
        <w:t xml:space="preserve"> E., Zaman, M. &amp; Gougodo De Mon-Zoni</w:t>
      </w:r>
      <w:r>
        <w:rPr>
          <w:rFonts w:ascii="Arial" w:hAnsi="Arial" w:cs="Arial"/>
          <w:sz w:val="20"/>
          <w:szCs w:val="20"/>
        </w:rPr>
        <w:t>,</w:t>
      </w:r>
      <w:r w:rsidRPr="009B215E">
        <w:rPr>
          <w:rFonts w:ascii="Arial" w:hAnsi="Arial" w:cs="Arial"/>
          <w:sz w:val="20"/>
          <w:szCs w:val="20"/>
        </w:rPr>
        <w:t xml:space="preserve"> J. L. (2021). Les bonnes pratiques pour la production de manioc en République Centrafricaine, 27 p. </w:t>
      </w:r>
      <w:hyperlink r:id="rId14" w:history="1">
        <w:r w:rsidRPr="009B215E">
          <w:rPr>
            <w:rStyle w:val="Hyperlink"/>
            <w:rFonts w:ascii="Arial" w:hAnsi="Arial" w:cs="Arial"/>
            <w:sz w:val="20"/>
            <w:szCs w:val="20"/>
          </w:rPr>
          <w:t>https://7rxuh9xz7kx6-u1669.pressidiumcdn.com/wp-content/uploads/2022/05/Cassava-Final.pdf</w:t>
        </w:r>
      </w:hyperlink>
      <w:r w:rsidRPr="009B215E">
        <w:rPr>
          <w:rFonts w:ascii="Arial" w:hAnsi="Arial" w:cs="Arial"/>
          <w:sz w:val="20"/>
          <w:szCs w:val="20"/>
        </w:rPr>
        <w:t xml:space="preserve">  </w:t>
      </w:r>
    </w:p>
    <w:p w14:paraId="7AFDCEF9"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Mahungu</w:t>
      </w:r>
      <w:r>
        <w:rPr>
          <w:rFonts w:ascii="Arial" w:hAnsi="Arial" w:cs="Arial"/>
          <w:sz w:val="20"/>
          <w:szCs w:val="20"/>
        </w:rPr>
        <w:t>,</w:t>
      </w:r>
      <w:r w:rsidRPr="009B215E">
        <w:rPr>
          <w:rFonts w:ascii="Arial" w:hAnsi="Arial" w:cs="Arial"/>
          <w:sz w:val="20"/>
          <w:szCs w:val="20"/>
        </w:rPr>
        <w:t xml:space="preserve"> N. M., Ndonda</w:t>
      </w:r>
      <w:r>
        <w:rPr>
          <w:rFonts w:ascii="Arial" w:hAnsi="Arial" w:cs="Arial"/>
          <w:sz w:val="20"/>
          <w:szCs w:val="20"/>
        </w:rPr>
        <w:t>,</w:t>
      </w:r>
      <w:r w:rsidRPr="009B215E">
        <w:rPr>
          <w:rFonts w:ascii="Arial" w:hAnsi="Arial" w:cs="Arial"/>
          <w:sz w:val="20"/>
          <w:szCs w:val="20"/>
        </w:rPr>
        <w:t xml:space="preserve"> A., Frangoie</w:t>
      </w:r>
      <w:r>
        <w:rPr>
          <w:rFonts w:ascii="Arial" w:hAnsi="Arial" w:cs="Arial"/>
          <w:sz w:val="20"/>
          <w:szCs w:val="20"/>
        </w:rPr>
        <w:t>,</w:t>
      </w:r>
      <w:r w:rsidRPr="009B215E">
        <w:rPr>
          <w:rFonts w:ascii="Arial" w:hAnsi="Arial" w:cs="Arial"/>
          <w:sz w:val="20"/>
          <w:szCs w:val="20"/>
        </w:rPr>
        <w:t xml:space="preserve"> A. &amp; Moango</w:t>
      </w:r>
      <w:r>
        <w:rPr>
          <w:rFonts w:ascii="Arial" w:hAnsi="Arial" w:cs="Arial"/>
          <w:sz w:val="20"/>
          <w:szCs w:val="20"/>
        </w:rPr>
        <w:t>,</w:t>
      </w:r>
      <w:r w:rsidRPr="009B215E">
        <w:rPr>
          <w:rFonts w:ascii="Arial" w:hAnsi="Arial" w:cs="Arial"/>
          <w:sz w:val="20"/>
          <w:szCs w:val="20"/>
        </w:rPr>
        <w:t xml:space="preserve"> A. (2015). Effet du labour et du mode de bouturage sur les rendements en racines et en feuilles de manioc dans les zones de savane et de jacheres forestieres de la Republique Democratique du Congo. </w:t>
      </w:r>
      <w:r w:rsidRPr="009B215E">
        <w:rPr>
          <w:rFonts w:ascii="Arial" w:hAnsi="Arial" w:cs="Arial"/>
          <w:iCs/>
          <w:sz w:val="20"/>
          <w:szCs w:val="20"/>
        </w:rPr>
        <w:t>Tropicultura</w:t>
      </w:r>
      <w:r w:rsidRPr="009B215E">
        <w:rPr>
          <w:rFonts w:ascii="Arial" w:hAnsi="Arial" w:cs="Arial"/>
          <w:sz w:val="20"/>
          <w:szCs w:val="20"/>
        </w:rPr>
        <w:t>, 33(3)</w:t>
      </w:r>
      <w:r>
        <w:rPr>
          <w:rFonts w:ascii="Arial" w:hAnsi="Arial" w:cs="Arial"/>
          <w:sz w:val="20"/>
          <w:szCs w:val="20"/>
        </w:rPr>
        <w:t> :</w:t>
      </w:r>
      <w:r w:rsidRPr="009B215E">
        <w:rPr>
          <w:rFonts w:ascii="Arial" w:hAnsi="Arial" w:cs="Arial"/>
          <w:sz w:val="20"/>
          <w:szCs w:val="20"/>
        </w:rPr>
        <w:t xml:space="preserve"> 176-185.</w:t>
      </w:r>
    </w:p>
    <w:p w14:paraId="75FA2ADA" w14:textId="77777777" w:rsidR="009B215E" w:rsidRPr="009B215E" w:rsidRDefault="009B215E" w:rsidP="009B215E">
      <w:pPr>
        <w:ind w:left="567" w:hanging="567"/>
        <w:jc w:val="both"/>
        <w:rPr>
          <w:rFonts w:ascii="Arial" w:hAnsi="Arial" w:cs="Arial"/>
          <w:sz w:val="20"/>
          <w:szCs w:val="20"/>
        </w:rPr>
      </w:pPr>
      <w:r w:rsidRPr="009B215E">
        <w:rPr>
          <w:rFonts w:ascii="Arial" w:eastAsia="Calibri" w:hAnsi="Arial" w:cs="Arial"/>
          <w:sz w:val="20"/>
          <w:szCs w:val="20"/>
        </w:rPr>
        <w:t>Centre national de Recherche Agronomique (CNRA)</w:t>
      </w:r>
      <w:r w:rsidRPr="009B215E">
        <w:rPr>
          <w:rFonts w:ascii="Arial" w:eastAsia="Calibri" w:hAnsi="Arial" w:cs="Arial"/>
          <w:iCs/>
          <w:sz w:val="20"/>
          <w:szCs w:val="20"/>
        </w:rPr>
        <w:t xml:space="preserve">, </w:t>
      </w:r>
      <w:r w:rsidRPr="009B215E">
        <w:rPr>
          <w:rFonts w:ascii="Arial" w:eastAsia="Calibri" w:hAnsi="Arial" w:cs="Arial"/>
          <w:sz w:val="20"/>
          <w:szCs w:val="20"/>
        </w:rPr>
        <w:t xml:space="preserve">2013). Bien cultiver le manioc en Côte d’Ivoire, 4 p. </w:t>
      </w:r>
      <w:hyperlink r:id="rId15" w:history="1">
        <w:r w:rsidRPr="009B215E">
          <w:rPr>
            <w:rStyle w:val="Hyperlink"/>
            <w:rFonts w:ascii="Arial" w:eastAsia="Calibri" w:hAnsi="Arial" w:cs="Arial"/>
            <w:sz w:val="20"/>
            <w:szCs w:val="20"/>
          </w:rPr>
          <w:t>https://cnra.ci/download/bien-cultiver-le-manioc-en-cote-divoire/</w:t>
        </w:r>
      </w:hyperlink>
      <w:r w:rsidRPr="009B215E">
        <w:rPr>
          <w:rFonts w:ascii="Arial" w:eastAsia="Calibri" w:hAnsi="Arial" w:cs="Arial"/>
          <w:sz w:val="20"/>
          <w:szCs w:val="20"/>
        </w:rPr>
        <w:t>.</w:t>
      </w:r>
    </w:p>
    <w:p w14:paraId="194AEBE7" w14:textId="77777777" w:rsidR="009B215E" w:rsidRPr="006F3B4D" w:rsidRDefault="009B215E" w:rsidP="009B215E">
      <w:pPr>
        <w:spacing w:line="276" w:lineRule="auto"/>
        <w:jc w:val="both"/>
        <w:rPr>
          <w:rFonts w:cs="Times New Roman"/>
          <w:szCs w:val="24"/>
        </w:rPr>
      </w:pPr>
    </w:p>
    <w:p w14:paraId="6A48B663" w14:textId="77777777" w:rsidR="009B215E" w:rsidRDefault="009B215E" w:rsidP="009B215E">
      <w:pPr>
        <w:ind w:left="567" w:hanging="567"/>
        <w:jc w:val="both"/>
        <w:rPr>
          <w:rFonts w:cs="Times New Roman"/>
          <w:szCs w:val="24"/>
        </w:rPr>
      </w:pPr>
    </w:p>
    <w:p w14:paraId="0289DA05" w14:textId="77777777" w:rsidR="009B215E" w:rsidRPr="006F3B4D" w:rsidRDefault="009B215E" w:rsidP="009B215E">
      <w:pPr>
        <w:ind w:left="567" w:hanging="567"/>
        <w:jc w:val="both"/>
        <w:rPr>
          <w:rFonts w:cs="Times New Roman"/>
          <w:szCs w:val="24"/>
        </w:rPr>
      </w:pPr>
    </w:p>
    <w:p w14:paraId="7D7DB46D" w14:textId="77777777" w:rsidR="009B215E" w:rsidRPr="006F3B4D" w:rsidRDefault="009B215E" w:rsidP="009B215E">
      <w:pPr>
        <w:ind w:left="567" w:hanging="567"/>
        <w:jc w:val="both"/>
        <w:rPr>
          <w:rFonts w:cs="Times New Roman"/>
          <w:szCs w:val="24"/>
        </w:rPr>
      </w:pPr>
    </w:p>
    <w:p w14:paraId="5A7FA5CC" w14:textId="77777777" w:rsidR="009B215E" w:rsidRDefault="009B215E" w:rsidP="009B215E"/>
    <w:sectPr w:rsidR="009B215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YOTI PANDEY" w:date="2025-11-26T15:23:00Z" w:initials="JP">
    <w:p w14:paraId="7F2D7C88" w14:textId="77777777" w:rsidR="00A04630" w:rsidRDefault="00A04630">
      <w:pPr>
        <w:pStyle w:val="CommentText"/>
      </w:pPr>
      <w:r>
        <w:rPr>
          <w:rStyle w:val="CommentReference"/>
        </w:rPr>
        <w:annotationRef/>
      </w:r>
      <w:r>
        <w:t>Scientific name should be in Italics</w:t>
      </w:r>
    </w:p>
    <w:p w14:paraId="0F0F5CC1" w14:textId="77777777" w:rsidR="00A04630" w:rsidRDefault="00A04630">
      <w:pPr>
        <w:pStyle w:val="CommentText"/>
      </w:pPr>
    </w:p>
  </w:comment>
  <w:comment w:id="1" w:author="JYOTI PANDEY" w:date="2025-11-26T15:22:00Z" w:initials="JP">
    <w:p w14:paraId="5B660897" w14:textId="77777777" w:rsidR="00A04630" w:rsidRDefault="00A04630">
      <w:pPr>
        <w:pStyle w:val="CommentText"/>
      </w:pPr>
      <w:r>
        <w:rPr>
          <w:rStyle w:val="CommentReference"/>
        </w:rPr>
        <w:annotationRef/>
      </w:r>
      <w:r>
        <w:t>Add data here for production by each variety</w:t>
      </w:r>
    </w:p>
  </w:comment>
  <w:comment w:id="3" w:author="JYOTI PANDEY" w:date="2025-11-26T15:28:00Z" w:initials="JP">
    <w:p w14:paraId="746476B3" w14:textId="77777777" w:rsidR="00A04630" w:rsidRDefault="00A04630">
      <w:pPr>
        <w:pStyle w:val="CommentText"/>
      </w:pPr>
      <w:r>
        <w:rPr>
          <w:rStyle w:val="CommentReference"/>
        </w:rPr>
        <w:annotationRef/>
      </w:r>
      <w:r>
        <w:t>???</w:t>
      </w:r>
    </w:p>
  </w:comment>
  <w:comment w:id="4" w:author="JYOTI PANDEY" w:date="2025-11-26T16:06:00Z" w:initials="JP">
    <w:p w14:paraId="75C1E583" w14:textId="77777777" w:rsidR="007B42C6" w:rsidRDefault="007B42C6">
      <w:pPr>
        <w:pStyle w:val="CommentText"/>
      </w:pPr>
      <w:r>
        <w:rPr>
          <w:rStyle w:val="CommentReference"/>
        </w:rPr>
        <w:annotationRef/>
      </w:r>
      <w:r>
        <w:t>Rephrase it because this word is not recommended in a scientific paper</w:t>
      </w:r>
    </w:p>
  </w:comment>
  <w:comment w:id="5" w:author="JYOTI PANDEY" w:date="2025-11-26T15:30:00Z" w:initials="JP">
    <w:p w14:paraId="2A8EBF16" w14:textId="77777777" w:rsidR="000E0F5C" w:rsidRDefault="000E0F5C">
      <w:pPr>
        <w:pStyle w:val="CommentText"/>
      </w:pPr>
      <w:r>
        <w:rPr>
          <w:rStyle w:val="CommentReference"/>
        </w:rPr>
        <w:annotationRef/>
      </w:r>
      <w:r>
        <w:t>It should be in Italics everywhere</w:t>
      </w:r>
    </w:p>
    <w:p w14:paraId="4145896E" w14:textId="77777777" w:rsidR="000E0F5C" w:rsidRDefault="000E0F5C">
      <w:pPr>
        <w:pStyle w:val="CommentText"/>
      </w:pPr>
    </w:p>
  </w:comment>
  <w:comment w:id="6" w:author="JYOTI PANDEY" w:date="2025-11-26T15:36:00Z" w:initials="JP">
    <w:p w14:paraId="23B62405" w14:textId="77777777" w:rsidR="000E0F5C" w:rsidRDefault="000E0F5C">
      <w:pPr>
        <w:pStyle w:val="CommentText"/>
      </w:pPr>
      <w:r>
        <w:rPr>
          <w:rStyle w:val="CommentReference"/>
        </w:rPr>
        <w:annotationRef/>
      </w:r>
      <w:r>
        <w:t>??</w:t>
      </w:r>
    </w:p>
  </w:comment>
  <w:comment w:id="7" w:author="JYOTI PANDEY" w:date="2025-11-26T15:37:00Z" w:initials="JP">
    <w:p w14:paraId="1D908C3D" w14:textId="77777777" w:rsidR="000E0F5C" w:rsidRDefault="000E0F5C">
      <w:pPr>
        <w:pStyle w:val="CommentText"/>
      </w:pPr>
      <w:r>
        <w:rPr>
          <w:rStyle w:val="CommentReference"/>
        </w:rPr>
        <w:annotationRef/>
      </w:r>
      <w:r>
        <w:t>Italics</w:t>
      </w:r>
    </w:p>
    <w:p w14:paraId="4D60D162" w14:textId="77777777" w:rsidR="000E0F5C" w:rsidRDefault="000E0F5C">
      <w:pPr>
        <w:pStyle w:val="CommentText"/>
      </w:pPr>
    </w:p>
  </w:comment>
  <w:comment w:id="8" w:author="JYOTI PANDEY" w:date="2025-11-26T15:44:00Z" w:initials="JP">
    <w:p w14:paraId="164D728C" w14:textId="77777777" w:rsidR="002E54D7" w:rsidRDefault="002E54D7">
      <w:pPr>
        <w:pStyle w:val="CommentText"/>
      </w:pPr>
      <w:r>
        <w:rPr>
          <w:rStyle w:val="CommentReference"/>
        </w:rPr>
        <w:annotationRef/>
      </w:r>
      <w:r>
        <w:t>Italics</w:t>
      </w:r>
    </w:p>
  </w:comment>
  <w:comment w:id="9" w:author="JYOTI PANDEY" w:date="2025-11-26T15:44:00Z" w:initials="JP">
    <w:p w14:paraId="34302573" w14:textId="77777777" w:rsidR="002E54D7" w:rsidRDefault="002E54D7">
      <w:pPr>
        <w:pStyle w:val="CommentText"/>
      </w:pPr>
      <w:r>
        <w:rPr>
          <w:rStyle w:val="CommentReference"/>
        </w:rPr>
        <w:annotationRef/>
      </w:r>
      <w:r>
        <w:t xml:space="preserve">Why </w:t>
      </w:r>
    </w:p>
  </w:comment>
  <w:comment w:id="10" w:author="JYOTI PANDEY" w:date="2025-11-26T15:44:00Z" w:initials="JP">
    <w:p w14:paraId="36197648" w14:textId="77777777" w:rsidR="002E54D7" w:rsidRDefault="002E54D7">
      <w:pPr>
        <w:pStyle w:val="CommentText"/>
      </w:pPr>
      <w:r>
        <w:rPr>
          <w:rStyle w:val="CommentReference"/>
        </w:rPr>
        <w:annotationRef/>
      </w:r>
      <w:r>
        <w:t>Why have brackets ?</w:t>
      </w:r>
    </w:p>
    <w:p w14:paraId="09DB8944" w14:textId="77777777" w:rsidR="002E54D7" w:rsidRDefault="002E54D7">
      <w:pPr>
        <w:pStyle w:val="CommentText"/>
      </w:pPr>
    </w:p>
  </w:comment>
  <w:comment w:id="11" w:author="JYOTI PANDEY" w:date="2025-11-26T15:55:00Z" w:initials="JP">
    <w:p w14:paraId="462DB8C4" w14:textId="77777777" w:rsidR="005A795E" w:rsidRDefault="005A795E">
      <w:pPr>
        <w:pStyle w:val="CommentText"/>
      </w:pPr>
      <w:r>
        <w:rPr>
          <w:rStyle w:val="CommentReference"/>
        </w:rPr>
        <w:annotationRef/>
      </w:r>
      <w:r>
        <w:t>Why this bracket ?</w:t>
      </w:r>
    </w:p>
  </w:comment>
  <w:comment w:id="12" w:author="JYOTI PANDEY" w:date="2025-11-26T16:01:00Z" w:initials="JP">
    <w:p w14:paraId="6316007B" w14:textId="77777777" w:rsidR="007B42C6" w:rsidRDefault="007B42C6">
      <w:pPr>
        <w:pStyle w:val="CommentText"/>
      </w:pPr>
      <w:r>
        <w:rPr>
          <w:rStyle w:val="CommentReference"/>
        </w:rPr>
        <w:annotationRef/>
      </w:r>
      <w:proofErr w:type="gramStart"/>
      <w:r>
        <w:t>italic</w:t>
      </w:r>
      <w:proofErr w:type="gramEnd"/>
    </w:p>
  </w:comment>
  <w:comment w:id="13" w:author="JYOTI PANDEY" w:date="2025-11-26T16:02:00Z" w:initials="JP">
    <w:p w14:paraId="5E1D613F" w14:textId="77777777" w:rsidR="007B42C6" w:rsidRDefault="007B42C6">
      <w:pPr>
        <w:pStyle w:val="CommentText"/>
      </w:pPr>
      <w:r>
        <w:rPr>
          <w:rStyle w:val="CommentReference"/>
        </w:rPr>
        <w:annotationRef/>
      </w:r>
      <w:proofErr w:type="gramStart"/>
      <w:r>
        <w:t>italics</w:t>
      </w:r>
      <w:proofErr w:type="gramEnd"/>
    </w:p>
  </w:comment>
  <w:comment w:id="14" w:author="JYOTI PANDEY" w:date="2025-11-26T16:04:00Z" w:initials="JP">
    <w:p w14:paraId="2828A3AD" w14:textId="77777777" w:rsidR="007B42C6" w:rsidRDefault="007B42C6">
      <w:pPr>
        <w:pStyle w:val="CommentText"/>
      </w:pPr>
      <w:r>
        <w:rPr>
          <w:rStyle w:val="CommentReference"/>
        </w:rPr>
        <w:annotationRef/>
      </w:r>
      <w:r>
        <w:t>Rephrese it because in a scientific paper this word is not recommended</w:t>
      </w:r>
    </w:p>
  </w:comment>
  <w:comment w:id="15" w:author="JYOTI PANDEY" w:date="2025-11-26T16:11:00Z" w:initials="JP">
    <w:p w14:paraId="3A1BEC01" w14:textId="77777777" w:rsidR="00D65F4B" w:rsidRDefault="00D65F4B">
      <w:pPr>
        <w:pStyle w:val="CommentText"/>
      </w:pPr>
      <w:r>
        <w:rPr>
          <w:rStyle w:val="CommentReference"/>
        </w:rPr>
        <w:annotationRef/>
      </w:r>
      <w:r>
        <w:t>Arrange them alphabetically or yearly</w:t>
      </w:r>
    </w:p>
    <w:p w14:paraId="5C39B921" w14:textId="77777777" w:rsidR="00D65F4B" w:rsidRDefault="00D65F4B">
      <w:pPr>
        <w:pStyle w:val="CommentText"/>
      </w:pPr>
    </w:p>
  </w:comment>
  <w:comment w:id="16" w:author="JYOTI PANDEY" w:date="2025-11-26T16:09:00Z" w:initials="JP">
    <w:p w14:paraId="2D800DDE" w14:textId="77777777" w:rsidR="007B42C6" w:rsidRDefault="007B42C6">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0F5CC1" w15:done="0"/>
  <w15:commentEx w15:paraId="5B660897" w15:done="0"/>
  <w15:commentEx w15:paraId="746476B3" w15:done="0"/>
  <w15:commentEx w15:paraId="75C1E583" w15:done="0"/>
  <w15:commentEx w15:paraId="4145896E" w15:done="0"/>
  <w15:commentEx w15:paraId="23B62405" w15:done="0"/>
  <w15:commentEx w15:paraId="4D60D162" w15:done="0"/>
  <w15:commentEx w15:paraId="164D728C" w15:done="0"/>
  <w15:commentEx w15:paraId="34302573" w15:done="0"/>
  <w15:commentEx w15:paraId="09DB8944" w15:done="0"/>
  <w15:commentEx w15:paraId="462DB8C4" w15:done="0"/>
  <w15:commentEx w15:paraId="6316007B" w15:done="0"/>
  <w15:commentEx w15:paraId="5E1D613F" w15:done="0"/>
  <w15:commentEx w15:paraId="2828A3AD" w15:done="0"/>
  <w15:commentEx w15:paraId="5C39B921" w15:done="0"/>
  <w15:commentEx w15:paraId="2D800D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0F5CC1" w16cid:durableId="2CD2E831"/>
  <w16cid:commentId w16cid:paraId="5B660897" w16cid:durableId="2CD2E832"/>
  <w16cid:commentId w16cid:paraId="746476B3" w16cid:durableId="2CD2E833"/>
  <w16cid:commentId w16cid:paraId="75C1E583" w16cid:durableId="2CD2E835"/>
  <w16cid:commentId w16cid:paraId="4145896E" w16cid:durableId="2CD2E836"/>
  <w16cid:commentId w16cid:paraId="23B62405" w16cid:durableId="2CD2E837"/>
  <w16cid:commentId w16cid:paraId="4D60D162" w16cid:durableId="2CD2E838"/>
  <w16cid:commentId w16cid:paraId="164D728C" w16cid:durableId="2CD2E839"/>
  <w16cid:commentId w16cid:paraId="34302573" w16cid:durableId="2CD2E83A"/>
  <w16cid:commentId w16cid:paraId="09DB8944" w16cid:durableId="2CD2E83B"/>
  <w16cid:commentId w16cid:paraId="462DB8C4" w16cid:durableId="2CD2E83C"/>
  <w16cid:commentId w16cid:paraId="6316007B" w16cid:durableId="2CD2E83D"/>
  <w16cid:commentId w16cid:paraId="5E1D613F" w16cid:durableId="2CD2E83E"/>
  <w16cid:commentId w16cid:paraId="2828A3AD" w16cid:durableId="2CD2E83F"/>
  <w16cid:commentId w16cid:paraId="5C39B921" w16cid:durableId="2CD2E840"/>
  <w16cid:commentId w16cid:paraId="2D800DDE" w16cid:durableId="2CD2E8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F8937" w14:textId="77777777" w:rsidR="006A4A53" w:rsidRDefault="006A4A53" w:rsidP="00972C4C">
      <w:pPr>
        <w:spacing w:line="240" w:lineRule="auto"/>
      </w:pPr>
      <w:r>
        <w:separator/>
      </w:r>
    </w:p>
  </w:endnote>
  <w:endnote w:type="continuationSeparator" w:id="0">
    <w:p w14:paraId="4652A4E4" w14:textId="77777777" w:rsidR="006A4A53" w:rsidRDefault="006A4A53" w:rsidP="00972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DEBB" w14:textId="77777777" w:rsidR="00972C4C" w:rsidRDefault="00972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A1F1" w14:textId="77777777" w:rsidR="00972C4C" w:rsidRDefault="00972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2D8C" w14:textId="77777777" w:rsidR="00972C4C" w:rsidRDefault="00972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68509" w14:textId="77777777" w:rsidR="006A4A53" w:rsidRDefault="006A4A53" w:rsidP="00972C4C">
      <w:pPr>
        <w:spacing w:line="240" w:lineRule="auto"/>
      </w:pPr>
      <w:r>
        <w:separator/>
      </w:r>
    </w:p>
  </w:footnote>
  <w:footnote w:type="continuationSeparator" w:id="0">
    <w:p w14:paraId="523310AC" w14:textId="77777777" w:rsidR="006A4A53" w:rsidRDefault="006A4A53" w:rsidP="00972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3CBB" w14:textId="77777777" w:rsidR="00972C4C" w:rsidRDefault="006A4A53">
    <w:pPr>
      <w:pStyle w:val="Header"/>
    </w:pPr>
    <w:r>
      <w:rPr>
        <w:noProof/>
      </w:rPr>
      <w:pict w14:anchorId="16D3D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7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B35F4" w14:textId="77777777" w:rsidR="00972C4C" w:rsidRDefault="006A4A53">
    <w:pPr>
      <w:pStyle w:val="Header"/>
    </w:pPr>
    <w:r>
      <w:rPr>
        <w:noProof/>
      </w:rPr>
      <w:pict w14:anchorId="58005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8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B07EB" w14:textId="77777777" w:rsidR="00972C4C" w:rsidRDefault="006A4A53">
    <w:pPr>
      <w:pStyle w:val="Header"/>
    </w:pPr>
    <w:r>
      <w:rPr>
        <w:noProof/>
      </w:rPr>
      <w:pict w14:anchorId="20585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7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YOTI PANDEY">
    <w15:presenceInfo w15:providerId="Windows Live" w15:userId="7f19388d02e62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proofState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1E1"/>
    <w:rsid w:val="000E0F5C"/>
    <w:rsid w:val="002611E1"/>
    <w:rsid w:val="002E54D7"/>
    <w:rsid w:val="004C177F"/>
    <w:rsid w:val="00524187"/>
    <w:rsid w:val="005A795E"/>
    <w:rsid w:val="00624D9D"/>
    <w:rsid w:val="006A4A53"/>
    <w:rsid w:val="007442E5"/>
    <w:rsid w:val="0074606C"/>
    <w:rsid w:val="007A783F"/>
    <w:rsid w:val="007B42C6"/>
    <w:rsid w:val="008610F0"/>
    <w:rsid w:val="008A72EA"/>
    <w:rsid w:val="00972C4C"/>
    <w:rsid w:val="009B215E"/>
    <w:rsid w:val="00A04630"/>
    <w:rsid w:val="00A15179"/>
    <w:rsid w:val="00B55BCC"/>
    <w:rsid w:val="00B61943"/>
    <w:rsid w:val="00C43017"/>
    <w:rsid w:val="00C63B00"/>
    <w:rsid w:val="00D65F4B"/>
    <w:rsid w:val="00EF5B29"/>
    <w:rsid w:val="00F76889"/>
    <w:rsid w:val="00F9306C"/>
    <w:rsid w:val="00FD2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9CD362"/>
  <w15:chartTrackingRefBased/>
  <w15:docId w15:val="{D4AC48CE-539A-4AE7-B097-D27B5BD6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1E1"/>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B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63B00"/>
    <w:pPr>
      <w:spacing w:before="100" w:beforeAutospacing="1" w:after="100" w:afterAutospacing="1" w:line="240" w:lineRule="auto"/>
    </w:pPr>
    <w:rPr>
      <w:rFonts w:eastAsia="Times New Roman" w:cs="Times New Roman"/>
      <w:color w:val="000000" w:themeColor="text1"/>
      <w:szCs w:val="24"/>
      <w:lang w:eastAsia="fr-FR"/>
    </w:rPr>
  </w:style>
  <w:style w:type="paragraph" w:styleId="ListParagraph">
    <w:name w:val="List Paragraph"/>
    <w:basedOn w:val="Normal"/>
    <w:uiPriority w:val="34"/>
    <w:qFormat/>
    <w:rsid w:val="00FD2B97"/>
    <w:pPr>
      <w:ind w:left="720"/>
      <w:contextualSpacing/>
    </w:pPr>
  </w:style>
  <w:style w:type="character" w:styleId="Hyperlink">
    <w:name w:val="Hyperlink"/>
    <w:basedOn w:val="DefaultParagraphFont"/>
    <w:uiPriority w:val="99"/>
    <w:unhideWhenUsed/>
    <w:rsid w:val="009B215E"/>
    <w:rPr>
      <w:color w:val="0563C1" w:themeColor="hyperlink"/>
      <w:u w:val="single"/>
    </w:rPr>
  </w:style>
  <w:style w:type="paragraph" w:styleId="Header">
    <w:name w:val="header"/>
    <w:basedOn w:val="Normal"/>
    <w:link w:val="HeaderChar"/>
    <w:uiPriority w:val="99"/>
    <w:unhideWhenUsed/>
    <w:rsid w:val="00972C4C"/>
    <w:pPr>
      <w:tabs>
        <w:tab w:val="center" w:pos="4680"/>
        <w:tab w:val="right" w:pos="9360"/>
      </w:tabs>
      <w:spacing w:line="240" w:lineRule="auto"/>
    </w:pPr>
  </w:style>
  <w:style w:type="character" w:customStyle="1" w:styleId="HeaderChar">
    <w:name w:val="Header Char"/>
    <w:basedOn w:val="DefaultParagraphFont"/>
    <w:link w:val="Header"/>
    <w:uiPriority w:val="99"/>
    <w:rsid w:val="00972C4C"/>
    <w:rPr>
      <w:rFonts w:ascii="Times New Roman" w:hAnsi="Times New Roman"/>
      <w:sz w:val="24"/>
    </w:rPr>
  </w:style>
  <w:style w:type="paragraph" w:styleId="Footer">
    <w:name w:val="footer"/>
    <w:basedOn w:val="Normal"/>
    <w:link w:val="FooterChar"/>
    <w:uiPriority w:val="99"/>
    <w:unhideWhenUsed/>
    <w:rsid w:val="00972C4C"/>
    <w:pPr>
      <w:tabs>
        <w:tab w:val="center" w:pos="4680"/>
        <w:tab w:val="right" w:pos="9360"/>
      </w:tabs>
      <w:spacing w:line="240" w:lineRule="auto"/>
    </w:pPr>
  </w:style>
  <w:style w:type="character" w:customStyle="1" w:styleId="FooterChar">
    <w:name w:val="Footer Char"/>
    <w:basedOn w:val="DefaultParagraphFont"/>
    <w:link w:val="Footer"/>
    <w:uiPriority w:val="99"/>
    <w:rsid w:val="00972C4C"/>
    <w:rPr>
      <w:rFonts w:ascii="Times New Roman" w:hAnsi="Times New Roman"/>
      <w:sz w:val="24"/>
    </w:rPr>
  </w:style>
  <w:style w:type="character" w:styleId="CommentReference">
    <w:name w:val="annotation reference"/>
    <w:basedOn w:val="DefaultParagraphFont"/>
    <w:uiPriority w:val="99"/>
    <w:semiHidden/>
    <w:unhideWhenUsed/>
    <w:rsid w:val="00A04630"/>
    <w:rPr>
      <w:sz w:val="16"/>
      <w:szCs w:val="16"/>
    </w:rPr>
  </w:style>
  <w:style w:type="paragraph" w:styleId="CommentText">
    <w:name w:val="annotation text"/>
    <w:basedOn w:val="Normal"/>
    <w:link w:val="CommentTextChar"/>
    <w:uiPriority w:val="99"/>
    <w:semiHidden/>
    <w:unhideWhenUsed/>
    <w:rsid w:val="00A04630"/>
    <w:pPr>
      <w:spacing w:line="240" w:lineRule="auto"/>
    </w:pPr>
    <w:rPr>
      <w:sz w:val="20"/>
      <w:szCs w:val="20"/>
    </w:rPr>
  </w:style>
  <w:style w:type="character" w:customStyle="1" w:styleId="CommentTextChar">
    <w:name w:val="Comment Text Char"/>
    <w:basedOn w:val="DefaultParagraphFont"/>
    <w:link w:val="CommentText"/>
    <w:uiPriority w:val="99"/>
    <w:semiHidden/>
    <w:rsid w:val="00A0463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04630"/>
    <w:rPr>
      <w:b/>
      <w:bCs/>
    </w:rPr>
  </w:style>
  <w:style w:type="character" w:customStyle="1" w:styleId="CommentSubjectChar">
    <w:name w:val="Comment Subject Char"/>
    <w:basedOn w:val="CommentTextChar"/>
    <w:link w:val="CommentSubject"/>
    <w:uiPriority w:val="99"/>
    <w:semiHidden/>
    <w:rsid w:val="00A04630"/>
    <w:rPr>
      <w:rFonts w:ascii="Times New Roman" w:hAnsi="Times New Roman"/>
      <w:b/>
      <w:bCs/>
      <w:sz w:val="20"/>
      <w:szCs w:val="20"/>
    </w:rPr>
  </w:style>
  <w:style w:type="paragraph" w:styleId="BalloonText">
    <w:name w:val="Balloon Text"/>
    <w:basedOn w:val="Normal"/>
    <w:link w:val="BalloonTextChar"/>
    <w:uiPriority w:val="99"/>
    <w:semiHidden/>
    <w:unhideWhenUsed/>
    <w:rsid w:val="00A046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revues.acaref.net"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hyperlink" Target="https://cnra.ci/download/bien-cultiver-le-manioc-en-cote-divoire/"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nra.ci/download/bien-cultiver-le-manioc-en-cote-divoire/" TargetMode="External"/><Relationship Id="rId23" Type="http://schemas.microsoft.com/office/2011/relationships/people" Target="people.xm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7rxuh9xz7kx6-u1669.pressidiumcdn.com/wp-content/uploads/2022/05/Cassava-Final.pd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10</Pages>
  <Words>4852</Words>
  <Characters>27661</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TOURE BESSIMORY</dc:creator>
  <cp:keywords/>
  <dc:description/>
  <cp:lastModifiedBy>SDI 1167</cp:lastModifiedBy>
  <cp:revision>9</cp:revision>
  <dcterms:created xsi:type="dcterms:W3CDTF">2025-11-12T18:16:00Z</dcterms:created>
  <dcterms:modified xsi:type="dcterms:W3CDTF">2025-11-27T09:40:00Z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4fd4d6f9-46bf-45c5-a51b-9e4e8950d852</vt:lpwstr>
  </property>
</Properties>
</file>