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A303" w14:textId="77777777" w:rsidR="00D66283" w:rsidRPr="00EE70C0" w:rsidRDefault="00D66283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6465"/>
      </w:tblGrid>
      <w:tr w:rsidR="00D66283" w:rsidRPr="00EE70C0" w14:paraId="54F700B6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5309191" w14:textId="77777777" w:rsidR="00D66283" w:rsidRPr="00EE70C0" w:rsidRDefault="00C07ACC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Journal</w:t>
            </w:r>
            <w:r w:rsidRPr="00EE70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465" w:type="dxa"/>
            <w:tcBorders>
              <w:left w:val="single" w:sz="4" w:space="0" w:color="000000"/>
            </w:tcBorders>
          </w:tcPr>
          <w:p w14:paraId="534D3BAB" w14:textId="77777777" w:rsidR="00D66283" w:rsidRPr="00EE70C0" w:rsidRDefault="00C07ACC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EE70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E70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E70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E70C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EE70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EE70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E70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Pr="00EE70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E70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EE70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E70C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D66283" w:rsidRPr="00EE70C0" w14:paraId="054148B0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2E32E0B" w14:textId="77777777" w:rsidR="00D66283" w:rsidRPr="00EE70C0" w:rsidRDefault="00C07ACC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EE70C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465" w:type="dxa"/>
            <w:tcBorders>
              <w:left w:val="single" w:sz="4" w:space="0" w:color="000000"/>
            </w:tcBorders>
          </w:tcPr>
          <w:p w14:paraId="006A335E" w14:textId="77777777" w:rsidR="00D66283" w:rsidRPr="00EE70C0" w:rsidRDefault="00C07ACC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Ms_JACSI_14002</w:t>
            </w:r>
          </w:p>
        </w:tc>
      </w:tr>
      <w:tr w:rsidR="00D66283" w:rsidRPr="00EE70C0" w14:paraId="0F70A761" w14:textId="77777777">
        <w:trPr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348E2982" w14:textId="77777777" w:rsidR="00D66283" w:rsidRPr="00EE70C0" w:rsidRDefault="00C07ACC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Title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6465" w:type="dxa"/>
            <w:tcBorders>
              <w:left w:val="single" w:sz="4" w:space="0" w:color="000000"/>
            </w:tcBorders>
          </w:tcPr>
          <w:p w14:paraId="4CDB2D96" w14:textId="77777777" w:rsidR="00D66283" w:rsidRPr="00EE70C0" w:rsidRDefault="00C07ACC">
            <w:pPr>
              <w:pStyle w:val="TableParagraph"/>
              <w:spacing w:before="22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Kinetic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Degradation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Methyl</w:t>
            </w:r>
            <w:r w:rsidRPr="00EE70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Orange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Dye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E70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E70C0">
              <w:rPr>
                <w:rFonts w:ascii="Arial" w:hAnsi="Arial" w:cs="Arial"/>
                <w:b/>
                <w:sz w:val="20"/>
                <w:szCs w:val="20"/>
              </w:rPr>
              <w:t>CuO</w:t>
            </w:r>
            <w:proofErr w:type="spellEnd"/>
            <w:r w:rsidRPr="00EE70C0">
              <w:rPr>
                <w:rFonts w:ascii="Arial" w:hAnsi="Arial" w:cs="Arial"/>
                <w:b/>
                <w:sz w:val="20"/>
                <w:szCs w:val="20"/>
              </w:rPr>
              <w:t>-Clay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Composite</w:t>
            </w:r>
          </w:p>
        </w:tc>
      </w:tr>
      <w:tr w:rsidR="00D66283" w:rsidRPr="00EE70C0" w14:paraId="0683E946" w14:textId="77777777">
        <w:trPr>
          <w:trHeight w:val="43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6FD1E1CB" w14:textId="77777777" w:rsidR="00D66283" w:rsidRPr="00EE70C0" w:rsidRDefault="00C07ACC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Type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465" w:type="dxa"/>
            <w:tcBorders>
              <w:left w:val="single" w:sz="4" w:space="0" w:color="000000"/>
            </w:tcBorders>
          </w:tcPr>
          <w:p w14:paraId="61D0135E" w14:textId="77777777" w:rsidR="00D66283" w:rsidRPr="00EE70C0" w:rsidRDefault="00C07ACC">
            <w:pPr>
              <w:pStyle w:val="TableParagraph"/>
              <w:spacing w:before="152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E70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D98DA08" w14:textId="77777777" w:rsidR="00D66283" w:rsidRPr="00EE70C0" w:rsidRDefault="00D66283">
      <w:pPr>
        <w:pStyle w:val="BodyText"/>
        <w:rPr>
          <w:rFonts w:ascii="Arial" w:hAnsi="Arial" w:cs="Arial"/>
          <w:b w:val="0"/>
        </w:rPr>
      </w:pPr>
    </w:p>
    <w:p w14:paraId="3BF10FD7" w14:textId="77777777" w:rsidR="00D66283" w:rsidRPr="00EE70C0" w:rsidRDefault="00D66283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66283" w:rsidRPr="00EE70C0" w14:paraId="64E3E448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9F98805" w14:textId="77777777" w:rsidR="00D66283" w:rsidRPr="00EE70C0" w:rsidRDefault="00C07AC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E70C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66283" w:rsidRPr="00EE70C0" w14:paraId="21426A37" w14:textId="77777777">
        <w:trPr>
          <w:trHeight w:val="688"/>
        </w:trPr>
        <w:tc>
          <w:tcPr>
            <w:tcW w:w="3334" w:type="dxa"/>
          </w:tcPr>
          <w:p w14:paraId="15B98E67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0A98BCA5" w14:textId="77777777" w:rsidR="00D66283" w:rsidRPr="00EE70C0" w:rsidRDefault="00C07AC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E70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089B466" w14:textId="77777777" w:rsidR="00D66283" w:rsidRPr="00EE70C0" w:rsidRDefault="00C07A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E70C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E70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5DDA7835" w14:textId="77777777" w:rsidR="00D66283" w:rsidRPr="00EE70C0" w:rsidRDefault="00C07ACC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E70C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EE70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should</w:t>
            </w:r>
            <w:r w:rsidRPr="00EE70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write</w:t>
            </w:r>
            <w:r w:rsidRPr="00EE70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his/her</w:t>
            </w:r>
            <w:r w:rsidRPr="00EE70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feedback</w:t>
            </w:r>
            <w:r w:rsidRPr="00EE70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66283" w:rsidRPr="00EE70C0" w14:paraId="38DA2656" w14:textId="77777777">
        <w:trPr>
          <w:trHeight w:val="2071"/>
        </w:trPr>
        <w:tc>
          <w:tcPr>
            <w:tcW w:w="3334" w:type="dxa"/>
          </w:tcPr>
          <w:p w14:paraId="0BF1751C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EE70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EE70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E70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49265E55" w14:textId="77777777" w:rsidR="00D66283" w:rsidRPr="00EE70C0" w:rsidRDefault="00C07AC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This manuscript is highly relevant to the field of environmental remediation and sustainable chemistry. It addresses the critical issue of industrial dye pollution using a cost-effective and environmentally friendly composite material (</w:t>
            </w:r>
            <w:proofErr w:type="spellStart"/>
            <w:r w:rsidRPr="00EE70C0">
              <w:rPr>
                <w:rFonts w:ascii="Arial" w:hAnsi="Arial" w:cs="Arial"/>
                <w:b/>
                <w:sz w:val="20"/>
                <w:szCs w:val="20"/>
              </w:rPr>
              <w:t>CuO</w:t>
            </w:r>
            <w:proofErr w:type="spellEnd"/>
            <w:r w:rsidRPr="00EE70C0">
              <w:rPr>
                <w:rFonts w:ascii="Arial" w:hAnsi="Arial" w:cs="Arial"/>
                <w:b/>
                <w:sz w:val="20"/>
                <w:szCs w:val="20"/>
              </w:rPr>
              <w:t>-Clay). The study's main strength lies in its detailed kinetic analysis, which provides quantitative insight into the degradation mechanism, moving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beyond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EE70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reporting.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crucial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</w:p>
          <w:p w14:paraId="5FFDAE54" w14:textId="77777777" w:rsidR="00D66283" w:rsidRPr="00EE70C0" w:rsidRDefault="00C07ACC">
            <w:pPr>
              <w:pStyle w:val="TableParagraph"/>
              <w:spacing w:line="230" w:lineRule="atLeast"/>
              <w:ind w:right="229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rational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scale-up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photocatalytic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wastewater treatment systems.</w:t>
            </w:r>
          </w:p>
        </w:tc>
        <w:tc>
          <w:tcPr>
            <w:tcW w:w="4014" w:type="dxa"/>
          </w:tcPr>
          <w:p w14:paraId="2215C959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83" w:rsidRPr="00EE70C0" w14:paraId="0F3BBF44" w14:textId="77777777">
        <w:trPr>
          <w:trHeight w:val="1262"/>
        </w:trPr>
        <w:tc>
          <w:tcPr>
            <w:tcW w:w="3334" w:type="dxa"/>
          </w:tcPr>
          <w:p w14:paraId="23FD8444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E70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E70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FC7E212" w14:textId="77777777" w:rsidR="00D66283" w:rsidRPr="00EE70C0" w:rsidRDefault="00C07ACC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E70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E70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E70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E70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42389D50" w14:textId="77777777" w:rsidR="00D66283" w:rsidRPr="00EE70C0" w:rsidRDefault="00C07ACC">
            <w:pPr>
              <w:pStyle w:val="TableParagraph"/>
              <w:ind w:left="468"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The title, "Kinetic Degradation</w:t>
            </w:r>
            <w:r w:rsidRPr="00EE70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 Methyl</w:t>
            </w:r>
            <w:r w:rsidRPr="00EE70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 xml:space="preserve">Orange Dye Using </w:t>
            </w:r>
            <w:proofErr w:type="spellStart"/>
            <w:r w:rsidRPr="00EE70C0">
              <w:rPr>
                <w:rFonts w:ascii="Arial" w:hAnsi="Arial" w:cs="Arial"/>
                <w:b/>
                <w:sz w:val="20"/>
                <w:szCs w:val="20"/>
              </w:rPr>
              <w:t>CuO</w:t>
            </w:r>
            <w:proofErr w:type="spellEnd"/>
            <w:r w:rsidRPr="00EE70C0">
              <w:rPr>
                <w:rFonts w:ascii="Arial" w:hAnsi="Arial" w:cs="Arial"/>
                <w:b/>
                <w:sz w:val="20"/>
                <w:szCs w:val="20"/>
              </w:rPr>
              <w:t>-Clay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Composite,"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EE70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 scope and focus of the research.</w:t>
            </w:r>
          </w:p>
        </w:tc>
        <w:tc>
          <w:tcPr>
            <w:tcW w:w="4014" w:type="dxa"/>
          </w:tcPr>
          <w:p w14:paraId="10F7D890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83" w:rsidRPr="00EE70C0" w14:paraId="314E9E53" w14:textId="77777777">
        <w:trPr>
          <w:trHeight w:val="1610"/>
        </w:trPr>
        <w:tc>
          <w:tcPr>
            <w:tcW w:w="3334" w:type="dxa"/>
          </w:tcPr>
          <w:p w14:paraId="02255AF7" w14:textId="77777777" w:rsidR="00D66283" w:rsidRPr="00EE70C0" w:rsidRDefault="00C07ACC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6E1F5F3D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44959921" w14:textId="77777777" w:rsidR="00D66283" w:rsidRPr="00EE70C0" w:rsidRDefault="00C07AC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The abstract is comprehensive and well-structured, covering the synthesis, characterization, experimental results, and kinetic findings. Suggestion for Addition: While the abstract mentions the pseudo-second-order model has a higher R² (0.804),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beneficial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calculated rate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constants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($k_1$</w:t>
            </w:r>
            <w:r w:rsidRPr="00EE70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$k_2$)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E70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complete</w:t>
            </w:r>
          </w:p>
          <w:p w14:paraId="3A205C08" w14:textId="77777777" w:rsidR="00D66283" w:rsidRPr="00EE70C0" w:rsidRDefault="00C07ACC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kinetic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4014" w:type="dxa"/>
          </w:tcPr>
          <w:p w14:paraId="06777EF8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83" w:rsidRPr="00EE70C0" w14:paraId="368E4FCB" w14:textId="77777777">
        <w:trPr>
          <w:trHeight w:val="1380"/>
        </w:trPr>
        <w:tc>
          <w:tcPr>
            <w:tcW w:w="3334" w:type="dxa"/>
          </w:tcPr>
          <w:p w14:paraId="301CB2C4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5802D029" w14:textId="77777777" w:rsidR="00D66283" w:rsidRPr="00EE70C0" w:rsidRDefault="00C07ACC">
            <w:pPr>
              <w:pStyle w:val="TableParagraph"/>
              <w:ind w:right="229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The manuscript is scientifically sound and technically robust. The synthesis procedure is clearly described, and the application of pseudo-first and pseudo-second-order kinetic models is appropriate for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this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type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of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heterogeneous</w:t>
            </w:r>
            <w:r w:rsidRPr="00EE70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catalysis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study.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conclusion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drawn from the kinetic data (i.e., the importance of surface processes) is</w:t>
            </w:r>
          </w:p>
          <w:p w14:paraId="7EF88F41" w14:textId="77777777" w:rsidR="00D66283" w:rsidRPr="00EE70C0" w:rsidRDefault="00C07AC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well-supported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by</w:t>
            </w:r>
            <w:r w:rsidRPr="00EE70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4014" w:type="dxa"/>
          </w:tcPr>
          <w:p w14:paraId="209CB311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83" w:rsidRPr="00EE70C0" w14:paraId="09C63167" w14:textId="77777777">
        <w:trPr>
          <w:trHeight w:val="1151"/>
        </w:trPr>
        <w:tc>
          <w:tcPr>
            <w:tcW w:w="3334" w:type="dxa"/>
          </w:tcPr>
          <w:p w14:paraId="0C97F691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14:paraId="3CDAC7A8" w14:textId="77777777" w:rsidR="00D66283" w:rsidRPr="00EE70C0" w:rsidRDefault="00C07ACC">
            <w:pPr>
              <w:pStyle w:val="TableParagraph"/>
              <w:spacing w:line="228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302A4D9A" w14:textId="77777777" w:rsidR="00D66283" w:rsidRPr="00EE70C0" w:rsidRDefault="00C07ACC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The references are sufficient and recent, demonstrating that the authors are aware of the latest literature in the field. No additional references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are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strictly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necessary,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but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authors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might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consider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citing</w:t>
            </w:r>
          </w:p>
          <w:p w14:paraId="61EFD10E" w14:textId="77777777" w:rsidR="00D66283" w:rsidRPr="00EE70C0" w:rsidRDefault="00C07ACC">
            <w:pPr>
              <w:pStyle w:val="TableParagraph"/>
              <w:spacing w:line="228" w:lineRule="exact"/>
              <w:ind w:right="229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a</w:t>
            </w:r>
            <w:r w:rsidRPr="00EE70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EE70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review</w:t>
            </w:r>
            <w:r w:rsidRPr="00EE70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on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Langmuir-Hinshelwood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model application in photocatalysis, given the kinetic focus.</w:t>
            </w:r>
          </w:p>
        </w:tc>
        <w:tc>
          <w:tcPr>
            <w:tcW w:w="4014" w:type="dxa"/>
          </w:tcPr>
          <w:p w14:paraId="4833E432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1EABA" w14:textId="77777777" w:rsidR="00D66283" w:rsidRPr="00EE70C0" w:rsidRDefault="00D66283">
      <w:pPr>
        <w:pStyle w:val="TableParagraph"/>
        <w:rPr>
          <w:rFonts w:ascii="Arial" w:hAnsi="Arial" w:cs="Arial"/>
          <w:sz w:val="20"/>
          <w:szCs w:val="20"/>
        </w:rPr>
        <w:sectPr w:rsidR="00D66283" w:rsidRPr="00EE70C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E769ECA" w14:textId="77777777" w:rsidR="00D66283" w:rsidRPr="00EE70C0" w:rsidRDefault="00D66283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66283" w:rsidRPr="00EE70C0" w14:paraId="6A492F76" w14:textId="77777777">
        <w:trPr>
          <w:trHeight w:val="1151"/>
        </w:trPr>
        <w:tc>
          <w:tcPr>
            <w:tcW w:w="3334" w:type="dxa"/>
          </w:tcPr>
          <w:p w14:paraId="17B66E39" w14:textId="77777777" w:rsidR="00D66283" w:rsidRPr="00EE70C0" w:rsidRDefault="00C07AC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E70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4CAF3515" w14:textId="77777777" w:rsidR="00D66283" w:rsidRPr="00EE70C0" w:rsidRDefault="00C07ACC">
            <w:pPr>
              <w:pStyle w:val="TableParagraph"/>
              <w:spacing w:line="230" w:lineRule="atLeast"/>
              <w:ind w:right="229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sz w:val="20"/>
                <w:szCs w:val="20"/>
              </w:rPr>
              <w:t>The English language quality is generally suitable for scholarly communication. However, a final proofread by a native speaker or professional editing service is recommended to correct minor grammatical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and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improve</w:t>
            </w:r>
            <w:r w:rsidRPr="00EE70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flow</w:t>
            </w:r>
            <w:r w:rsidRPr="00EE70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in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certain</w:t>
            </w:r>
            <w:r w:rsidRPr="00EE70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sections</w:t>
            </w:r>
            <w:r w:rsidRPr="00EE70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z w:val="20"/>
                <w:szCs w:val="20"/>
              </w:rPr>
              <w:t>of the Discussion.</w:t>
            </w:r>
          </w:p>
        </w:tc>
        <w:tc>
          <w:tcPr>
            <w:tcW w:w="4014" w:type="dxa"/>
          </w:tcPr>
          <w:p w14:paraId="78943F31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83" w:rsidRPr="00EE70C0" w14:paraId="5F46E8B5" w14:textId="77777777">
        <w:trPr>
          <w:trHeight w:val="1380"/>
        </w:trPr>
        <w:tc>
          <w:tcPr>
            <w:tcW w:w="3334" w:type="dxa"/>
          </w:tcPr>
          <w:p w14:paraId="14AEBB07" w14:textId="77777777" w:rsidR="00D66283" w:rsidRPr="00EE70C0" w:rsidRDefault="00C07A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E70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0E49CA5F" w14:textId="77777777" w:rsidR="00D66283" w:rsidRPr="00EE70C0" w:rsidRDefault="00C07ACC">
            <w:pPr>
              <w:pStyle w:val="TableParagraph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This is a well-executed study that provides valuable data on the photocatalytic degradation of Methyl Orange. The detailed kinetic analysis is a significant contribution. The authors should ensure that all figures and tables mentioned in the text (e.g., Figure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3,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2,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3)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EE70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EE70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14:paraId="3FE55549" w14:textId="77777777" w:rsidR="00D66283" w:rsidRPr="00EE70C0" w:rsidRDefault="00C07AC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E70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z w:val="20"/>
                <w:szCs w:val="20"/>
              </w:rPr>
              <w:t>final</w:t>
            </w:r>
            <w:r w:rsidRPr="00EE70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E70C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014" w:type="dxa"/>
          </w:tcPr>
          <w:p w14:paraId="5C05A2E4" w14:textId="77777777" w:rsidR="00D66283" w:rsidRPr="00EE70C0" w:rsidRDefault="00D662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D4BA4" w14:textId="77777777" w:rsidR="00D66283" w:rsidRPr="00EE70C0" w:rsidRDefault="00D66283">
      <w:pPr>
        <w:pStyle w:val="BodyText"/>
        <w:rPr>
          <w:rFonts w:ascii="Arial" w:hAnsi="Arial" w:cs="Arial"/>
          <w:b w:val="0"/>
        </w:rPr>
      </w:pPr>
    </w:p>
    <w:p w14:paraId="0C2BBA22" w14:textId="77777777" w:rsidR="00D66283" w:rsidRPr="00EE70C0" w:rsidRDefault="00D66283">
      <w:pPr>
        <w:pStyle w:val="BodyText"/>
        <w:rPr>
          <w:rFonts w:ascii="Arial" w:hAnsi="Arial" w:cs="Arial"/>
          <w:b w:val="0"/>
        </w:rPr>
      </w:pPr>
    </w:p>
    <w:tbl>
      <w:tblPr>
        <w:tblW w:w="489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26"/>
        <w:gridCol w:w="4619"/>
      </w:tblGrid>
      <w:tr w:rsidR="00A94B85" w:rsidRPr="00EE70C0" w14:paraId="0A065A95" w14:textId="77777777" w:rsidTr="00C01DC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5F08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E70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E70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9A5D9F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4B85" w:rsidRPr="00EE70C0" w14:paraId="55B71A91" w14:textId="77777777" w:rsidTr="00C01DC1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B3FC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AAAE" w14:textId="77777777" w:rsidR="00A94B85" w:rsidRPr="00EE70C0" w:rsidRDefault="00A94B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70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0C6" w14:textId="77777777" w:rsidR="00A94B85" w:rsidRPr="00EE70C0" w:rsidRDefault="00A94B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70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70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98746B" w14:textId="77777777" w:rsidR="00A94B85" w:rsidRPr="00EE70C0" w:rsidRDefault="00A94B8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4B85" w:rsidRPr="00EE70C0" w14:paraId="75F91AB1" w14:textId="77777777" w:rsidTr="00C01DC1">
        <w:trPr>
          <w:trHeight w:val="89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0384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E70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2ACCCB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9309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70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E70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E70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CB8B3E2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96E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11631F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144DCB" w14:textId="77777777" w:rsidR="00A94B85" w:rsidRPr="00EE70C0" w:rsidRDefault="00A94B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081F01C" w14:textId="77777777" w:rsidR="00A94B85" w:rsidRPr="00EE70C0" w:rsidRDefault="00A94B85" w:rsidP="00A94B85">
      <w:pPr>
        <w:rPr>
          <w:rFonts w:ascii="Arial" w:hAnsi="Arial" w:cs="Arial"/>
          <w:sz w:val="20"/>
          <w:szCs w:val="20"/>
        </w:rPr>
      </w:pPr>
    </w:p>
    <w:p w14:paraId="43E54D18" w14:textId="77777777" w:rsidR="00A94B85" w:rsidRPr="00EE70C0" w:rsidRDefault="00A94B85" w:rsidP="00A94B85">
      <w:pPr>
        <w:rPr>
          <w:rFonts w:ascii="Arial" w:hAnsi="Arial" w:cs="Arial"/>
          <w:sz w:val="20"/>
          <w:szCs w:val="20"/>
        </w:rPr>
      </w:pPr>
    </w:p>
    <w:p w14:paraId="4ECB735A" w14:textId="77777777" w:rsidR="00A94B85" w:rsidRPr="00EE70C0" w:rsidRDefault="00A94B85" w:rsidP="00A94B8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4F42256" w14:textId="77777777" w:rsidR="00C01DC1" w:rsidRPr="00EE70C0" w:rsidRDefault="00C01DC1" w:rsidP="00C01D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70C0">
        <w:rPr>
          <w:rFonts w:ascii="Arial" w:hAnsi="Arial" w:cs="Arial"/>
        </w:rPr>
        <w:t xml:space="preserve">    </w:t>
      </w:r>
      <w:r w:rsidRPr="00EE70C0">
        <w:rPr>
          <w:rFonts w:ascii="Arial" w:hAnsi="Arial" w:cs="Arial"/>
          <w:b/>
          <w:u w:val="single"/>
        </w:rPr>
        <w:t>Reviewer details:</w:t>
      </w:r>
    </w:p>
    <w:p w14:paraId="04D6391A" w14:textId="2DE89047" w:rsidR="00C01DC1" w:rsidRPr="00EE70C0" w:rsidRDefault="00EE70C0" w:rsidP="00C01DC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C01DC1" w:rsidRPr="00EE70C0">
        <w:rPr>
          <w:rFonts w:ascii="Arial" w:hAnsi="Arial" w:cs="Arial"/>
          <w:b/>
          <w:color w:val="000000"/>
        </w:rPr>
        <w:t>Sura Hamid Kathim, Wasit University, Iraq</w:t>
      </w:r>
    </w:p>
    <w:p w14:paraId="6E15112B" w14:textId="29595797" w:rsidR="00A94B85" w:rsidRPr="00EE70C0" w:rsidRDefault="00A94B85" w:rsidP="00A94B85">
      <w:pPr>
        <w:rPr>
          <w:rFonts w:ascii="Arial" w:hAnsi="Arial" w:cs="Arial"/>
          <w:sz w:val="20"/>
          <w:szCs w:val="20"/>
        </w:rPr>
      </w:pPr>
    </w:p>
    <w:p w14:paraId="394097C8" w14:textId="77777777" w:rsidR="00C07ACC" w:rsidRPr="00EE70C0" w:rsidRDefault="00C07ACC" w:rsidP="00A94B85">
      <w:pPr>
        <w:pStyle w:val="BodyText"/>
        <w:rPr>
          <w:rFonts w:ascii="Arial" w:hAnsi="Arial" w:cs="Arial"/>
        </w:rPr>
      </w:pPr>
    </w:p>
    <w:sectPr w:rsidR="00C07ACC" w:rsidRPr="00EE70C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283"/>
    <w:rsid w:val="00335D08"/>
    <w:rsid w:val="006F41B1"/>
    <w:rsid w:val="00A94B85"/>
    <w:rsid w:val="00C01DC1"/>
    <w:rsid w:val="00C07ACC"/>
    <w:rsid w:val="00D66283"/>
    <w:rsid w:val="00DA6EB6"/>
    <w:rsid w:val="00E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1979"/>
  <w15:docId w15:val="{10920C8C-CEC8-4A09-84FC-4D06B8F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35D08"/>
    <w:rPr>
      <w:color w:val="0000FF"/>
      <w:u w:val="single"/>
    </w:rPr>
  </w:style>
  <w:style w:type="paragraph" w:customStyle="1" w:styleId="Affiliation">
    <w:name w:val="Affiliation"/>
    <w:basedOn w:val="Normal"/>
    <w:rsid w:val="00C01DC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AC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2025-11-22T07:44:00Z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for Microsoft 365</vt:lpwstr>
  </property>
</Properties>
</file>