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3C6DEC" w14:textId="77777777" w:rsidR="002E3BDF" w:rsidRPr="006D641C" w:rsidRDefault="002E3BDF" w:rsidP="002E3BDF">
      <w:pPr>
        <w:pStyle w:val="Author"/>
        <w:spacing w:line="240" w:lineRule="auto"/>
        <w:outlineLvl w:val="0"/>
        <w:rPr>
          <w:rFonts w:ascii="Arial" w:hAnsi="Arial" w:cs="Arial"/>
          <w:bCs/>
          <w:i/>
          <w:iCs/>
          <w:kern w:val="28"/>
          <w:sz w:val="36"/>
          <w:u w:val="single"/>
        </w:rPr>
      </w:pPr>
      <w:bookmarkStart w:id="0" w:name="_Toc110097851"/>
      <w:r w:rsidRPr="006D641C">
        <w:rPr>
          <w:rFonts w:ascii="Arial" w:hAnsi="Arial" w:cs="Arial"/>
          <w:bCs/>
          <w:i/>
          <w:iCs/>
          <w:kern w:val="28"/>
          <w:sz w:val="36"/>
          <w:u w:val="single"/>
        </w:rPr>
        <w:t xml:space="preserve">Original Research </w:t>
      </w:r>
      <w:r>
        <w:rPr>
          <w:rFonts w:ascii="Arial" w:hAnsi="Arial" w:cs="Arial"/>
          <w:bCs/>
          <w:i/>
          <w:iCs/>
          <w:kern w:val="28"/>
          <w:sz w:val="36"/>
          <w:u w:val="single"/>
        </w:rPr>
        <w:t>Article</w:t>
      </w:r>
    </w:p>
    <w:p w14:paraId="3F51A770" w14:textId="77777777" w:rsidR="002E3BDF" w:rsidRDefault="002E3BDF">
      <w:pPr>
        <w:spacing w:after="0" w:line="360" w:lineRule="auto"/>
        <w:jc w:val="center"/>
        <w:rPr>
          <w:rFonts w:ascii="Times New Roman" w:hAnsi="Times New Roman" w:cs="Times New Roman"/>
          <w:b/>
          <w:iCs/>
          <w:sz w:val="28"/>
          <w:szCs w:val="28"/>
        </w:rPr>
      </w:pPr>
    </w:p>
    <w:p w14:paraId="3A915013" w14:textId="77777777" w:rsidR="006A1FD7" w:rsidRDefault="00466E7F">
      <w:pPr>
        <w:spacing w:after="0" w:line="360" w:lineRule="auto"/>
        <w:jc w:val="center"/>
        <w:rPr>
          <w:rFonts w:ascii="Times New Roman" w:hAnsi="Times New Roman" w:cs="Times New Roman"/>
          <w:b/>
          <w:iCs/>
          <w:sz w:val="28"/>
          <w:szCs w:val="28"/>
        </w:rPr>
      </w:pPr>
      <w:r>
        <w:rPr>
          <w:rFonts w:ascii="Times New Roman" w:hAnsi="Times New Roman" w:cs="Times New Roman"/>
          <w:b/>
          <w:iCs/>
          <w:sz w:val="28"/>
          <w:szCs w:val="28"/>
        </w:rPr>
        <w:t xml:space="preserve">Effect of Foliar Application of Glycine Betaine on immature </w:t>
      </w:r>
    </w:p>
    <w:p w14:paraId="73B9C151" w14:textId="77777777" w:rsidR="006A1FD7" w:rsidRDefault="00466E7F">
      <w:pPr>
        <w:spacing w:after="0" w:line="360" w:lineRule="auto"/>
        <w:jc w:val="center"/>
        <w:rPr>
          <w:rFonts w:ascii="Times New Roman" w:hAnsi="Times New Roman" w:cs="Times New Roman"/>
          <w:b/>
          <w:bCs/>
          <w:sz w:val="24"/>
          <w:szCs w:val="24"/>
          <w:lang w:bidi="si-LK"/>
        </w:rPr>
      </w:pPr>
      <w:r>
        <w:rPr>
          <w:rFonts w:ascii="Times New Roman" w:hAnsi="Times New Roman" w:cs="Times New Roman"/>
          <w:b/>
          <w:iCs/>
          <w:sz w:val="28"/>
          <w:szCs w:val="28"/>
        </w:rPr>
        <w:t xml:space="preserve">Tea </w:t>
      </w:r>
      <w:r>
        <w:rPr>
          <w:rFonts w:ascii="Times New Roman" w:eastAsia="Times New Roman" w:hAnsi="Times New Roman" w:cs="Times New Roman"/>
          <w:b/>
          <w:sz w:val="24"/>
          <w:szCs w:val="24"/>
        </w:rPr>
        <w:t>(</w:t>
      </w:r>
      <w:r>
        <w:rPr>
          <w:rFonts w:ascii="Times New Roman" w:eastAsia="Times New Roman" w:hAnsi="Times New Roman" w:cs="Times New Roman"/>
          <w:b/>
          <w:i/>
          <w:iCs/>
          <w:sz w:val="24"/>
          <w:szCs w:val="24"/>
        </w:rPr>
        <w:t xml:space="preserve">Camellia sinensis </w:t>
      </w:r>
      <w:r>
        <w:rPr>
          <w:rFonts w:ascii="Times New Roman" w:eastAsia="Times New Roman" w:hAnsi="Times New Roman" w:cs="Times New Roman"/>
          <w:b/>
          <w:bCs/>
          <w:sz w:val="24"/>
          <w:szCs w:val="24"/>
        </w:rPr>
        <w:t>(L.)</w:t>
      </w:r>
      <w:r>
        <w:rPr>
          <w:rFonts w:ascii="Times New Roman" w:eastAsia="Times New Roman" w:hAnsi="Times New Roman" w:cs="Times New Roman"/>
          <w:b/>
          <w:bCs/>
          <w:sz w:val="28"/>
          <w:szCs w:val="28"/>
        </w:rPr>
        <w:t xml:space="preserve"> p</w:t>
      </w:r>
      <w:r>
        <w:rPr>
          <w:rFonts w:ascii="Times New Roman" w:eastAsia="Times New Roman" w:hAnsi="Times New Roman" w:cs="Times New Roman"/>
          <w:b/>
          <w:sz w:val="28"/>
          <w:szCs w:val="28"/>
        </w:rPr>
        <w:t>lants during</w:t>
      </w:r>
      <w:r>
        <w:rPr>
          <w:rFonts w:ascii="Times New Roman" w:eastAsia="Times New Roman" w:hAnsi="Times New Roman" w:cs="Times New Roman"/>
          <w:b/>
          <w:sz w:val="24"/>
          <w:szCs w:val="24"/>
        </w:rPr>
        <w:t xml:space="preserve"> </w:t>
      </w:r>
      <w:r>
        <w:rPr>
          <w:rFonts w:ascii="Times New Roman" w:hAnsi="Times New Roman" w:cs="Times New Roman"/>
          <w:b/>
          <w:iCs/>
          <w:sz w:val="28"/>
          <w:szCs w:val="28"/>
        </w:rPr>
        <w:t>drought</w:t>
      </w:r>
    </w:p>
    <w:p w14:paraId="383A2727" w14:textId="77777777" w:rsidR="006A1FD7" w:rsidRDefault="006A1FD7">
      <w:pPr>
        <w:spacing w:after="0" w:line="360" w:lineRule="auto"/>
        <w:jc w:val="center"/>
        <w:rPr>
          <w:rFonts w:ascii="Times New Roman" w:hAnsi="Times New Roman"/>
          <w:b/>
          <w:bCs/>
          <w:sz w:val="24"/>
          <w:lang w:bidi="si-LK"/>
        </w:rPr>
      </w:pPr>
    </w:p>
    <w:p w14:paraId="29FCDE35" w14:textId="77777777" w:rsidR="006A1FD7" w:rsidRDefault="00466E7F">
      <w:pPr>
        <w:tabs>
          <w:tab w:val="left" w:pos="3780"/>
        </w:tabs>
        <w:spacing w:line="240" w:lineRule="exact"/>
        <w:jc w:val="center"/>
        <w:rPr>
          <w:rFonts w:ascii="Times New Roman" w:hAnsi="Times New Roman" w:cs="Times New Roman"/>
          <w:b/>
          <w:color w:val="000000"/>
        </w:rPr>
      </w:pPr>
      <w:r>
        <w:rPr>
          <w:rFonts w:ascii="Times New Roman" w:hAnsi="Times New Roman" w:cs="Times New Roman"/>
          <w:b/>
          <w:color w:val="000000"/>
        </w:rPr>
        <w:t>ABSTRACT</w:t>
      </w:r>
    </w:p>
    <w:p w14:paraId="64E56554" w14:textId="77777777" w:rsidR="006A1FD7" w:rsidRDefault="00466E7F">
      <w:pPr>
        <w:spacing w:line="240" w:lineRule="exact"/>
        <w:jc w:val="both"/>
        <w:rPr>
          <w:rFonts w:ascii="Times New Roman" w:hAnsi="Times New Roman" w:cs="Times New Roman"/>
          <w:sz w:val="24"/>
          <w:szCs w:val="24"/>
        </w:rPr>
      </w:pPr>
      <w:r>
        <w:rPr>
          <w:rFonts w:ascii="Times New Roman" w:hAnsi="Times New Roman" w:cs="Times New Roman"/>
          <w:sz w:val="24"/>
          <w:szCs w:val="24"/>
        </w:rPr>
        <w:t>Changes in temperature, rainfall, and the occurrence of extreme weather events have been adversely affecting the tea sector. Drought effects on tea (</w:t>
      </w:r>
      <w:r>
        <w:rPr>
          <w:rFonts w:ascii="Times New Roman" w:hAnsi="Times New Roman" w:cs="Times New Roman"/>
          <w:i/>
          <w:iCs/>
          <w:sz w:val="24"/>
          <w:szCs w:val="24"/>
        </w:rPr>
        <w:t>Camellia sinensis</w:t>
      </w:r>
      <w:r>
        <w:rPr>
          <w:rFonts w:ascii="Times New Roman" w:hAnsi="Times New Roman" w:cs="Times New Roman"/>
          <w:sz w:val="24"/>
          <w:szCs w:val="24"/>
        </w:rPr>
        <w:t>) plants can be seen as an alteration of many physiological and biochemical processes. Apart from the agronomic and cultivar aspects, drought tolerance ability and the drought stress mitigation ability can be improved by the application of some mineral nutrients soon after drought sets in.  Due to unpredictable weather pattern in tea growing regions, it has become difficult to determine the correct application time of these minerals. Therefore, exploring the capability of using osmolytes to address the short-term drought effects in young tea is a timely need for the sustainability of the tea industry. Hence, drought stress mitigation strategy was tested with the foliar application of three concentrations of Glycine Betaine (GB) (4, 12, 20 g/L) including Water Spray (WS) and No Spray (NS) treatments for one-year-old potted tea plants of TRI 2025 (drought tolerant) and TRI 2023 (drought susceptible) tea cultivars under glasshouse conditions. Measurements were taken on physiological parameters such as photosynthetic rates, stomatal conductance, transpiration rate, temperature, relative water content (RWC) as well as proline and sugar content were taken as biochemical parameters of tea plants exposed to drought stress. There is a difference in response of different tea cultivars to the exogenous application of Glycine Betaine during a short-term drought. A significantly higher (p &lt; 0.05) photosynthesis rate was recorded in 12 g/L GB treatment for cultivar TRI 2025 and no clear pattern of variation was observed in TRI 2023. Further investigation is necessary to make a firm conclusion.</w:t>
      </w:r>
    </w:p>
    <w:p w14:paraId="4F6D2BB2" w14:textId="77777777" w:rsidR="006A1FD7" w:rsidRDefault="00466E7F">
      <w:pPr>
        <w:tabs>
          <w:tab w:val="left" w:pos="3780"/>
        </w:tabs>
        <w:spacing w:line="240" w:lineRule="exact"/>
        <w:jc w:val="both"/>
        <w:rPr>
          <w:rFonts w:ascii="Times New Roman" w:hAnsi="Times New Roman" w:cs="Times New Roman"/>
          <w:b/>
          <w:color w:val="000000"/>
        </w:rPr>
      </w:pPr>
      <w:r>
        <w:rPr>
          <w:rFonts w:ascii="Times New Roman" w:hAnsi="Times New Roman" w:cs="Times New Roman"/>
          <w:b/>
          <w:bCs/>
          <w:sz w:val="24"/>
          <w:szCs w:val="24"/>
        </w:rPr>
        <w:t>Keywords</w:t>
      </w:r>
      <w:r>
        <w:rPr>
          <w:rFonts w:ascii="Times New Roman" w:hAnsi="Times New Roman" w:cs="Times New Roman"/>
          <w:sz w:val="24"/>
          <w:szCs w:val="24"/>
        </w:rPr>
        <w:t>: Tea, drought mitigation, foliar application of Glycine Betaine, physiological and biochemical parameters</w:t>
      </w:r>
    </w:p>
    <w:bookmarkEnd w:id="0"/>
    <w:p w14:paraId="2A321FE3" w14:textId="77777777" w:rsidR="006A1FD7" w:rsidRDefault="006A1FD7">
      <w:pPr>
        <w:pStyle w:val="Subtitle1"/>
        <w:spacing w:line="240" w:lineRule="exact"/>
      </w:pPr>
    </w:p>
    <w:p w14:paraId="5FFE013C" w14:textId="77777777" w:rsidR="006A1FD7" w:rsidRDefault="00466E7F">
      <w:pPr>
        <w:pStyle w:val="Subtitle1"/>
        <w:spacing w:line="240" w:lineRule="exact"/>
      </w:pPr>
      <w:r>
        <w:t>Introduction</w:t>
      </w:r>
    </w:p>
    <w:p w14:paraId="2E82365C" w14:textId="77777777" w:rsidR="006A1FD7" w:rsidRDefault="00466E7F">
      <w:pPr>
        <w:spacing w:after="120" w:line="24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Tea (</w:t>
      </w:r>
      <w:r>
        <w:rPr>
          <w:rFonts w:ascii="Times New Roman" w:eastAsia="Times New Roman" w:hAnsi="Times New Roman" w:cs="Times New Roman"/>
          <w:i/>
          <w:sz w:val="24"/>
          <w:szCs w:val="24"/>
        </w:rPr>
        <w:t>Camellia sinensis</w:t>
      </w:r>
      <w:r>
        <w:rPr>
          <w:rFonts w:ascii="Times New Roman" w:eastAsia="Times New Roman" w:hAnsi="Times New Roman" w:cs="Times New Roman"/>
          <w:sz w:val="24"/>
          <w:szCs w:val="24"/>
        </w:rPr>
        <w:t xml:space="preserve"> L.) produced in Sri Lanka, is popular as “Ceylon Tea” and has higher demand as the best quality tea in international trade </w:t>
      </w:r>
      <w:r w:rsidR="00EA42D8">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{"citationItems":[{"id":"ITEM-1","itemData":{"author":[{"dropping-particle":"","family":"Anonymous","given":"","non-dropping-particle":"","parse-names":false,"suffix":""}],"id":"ITEM-1","issued":{"date-parts":[["2019"]]},"title":"Central Bank Report of Sri Lanka,2019","type":"book"},"uris":["http://www.mendeley.com/documents/?uuid=8453d2cb-36d5-40d8-bdc3-b3815bbb189b"]}],"mendeley":{"formattedCitation":"(Anonymous, 2019b)","manualFormatting":"(Anon, 2019a)","plainTextFormattedCitation":"(Anonymous, 2019b)","previouslyFormattedCitation":"(Anonymous, 2019b)"},"properties":{"noteIndex":0},"schema":"https://github.com/citation-style-language/schema/raw/master/csl-citation.json"}</w:instrText>
      </w:r>
      <w:r w:rsidR="00EA42D8">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t>(Anon., 2019a)</w:t>
      </w:r>
      <w:r w:rsidR="00EA42D8">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Most of the tea plantations are adversely affected by moisture stress conditions due to uneven distribution of rainfall within the year. Drought effects on tea plants can be seen as an alteration of many physiological and biochemical processes such as photosynthetic rate, stomatal conductance, water use efficiency, transpiration rate, relative water content, chlorophyll content, differential biomass partitioning and accumulation of abscisic acid and proline </w:t>
      </w:r>
      <w:r w:rsidR="00EA42D8">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{"citationItems":[{"id":"ITEM-1","itemData":{"DOI":"10.1007/s00299-010-0958-x","ISSN":"07217714","PMID":"21153899","abstract":"Drought stress affects the growth and productivity of the tea plant. However, the damage caused is not permanent. The present investigation studies the effect of CaCl2 on antioxidative responses of tea during post-drought recovery. Increase in dry mass, proline and phenolic content of leaf with decrease in H2O2 and lipid peroxidation and increased activities of enzymes such as SOD, CAT, POX and GR in response to increased foliar CaCl2 concentration are indications for the recovery of stress-induced oxidative damage and thus improving post-stress recovery potential of Camellia sinensis genotypes. © 2010 Springer-Verlag.","author":[{"dropping-particle":"","family":"Upadhyaya","given":"Hrishikesh","non-dropping-particle":"","parse-names":false,"suffix":""},{"dropping-particle":"","family":"Panda","given":"Sanjib Kumar","non-dropping-particle":"","parse-names":false,"suffix":""},{"dropping-particle":"","family":"Dutta","given":"Biman Kumar","non-dropping-particle":"","parse-names":false,"suffix":""}],"container-title":"Plant Cell Reports","id":"ITEM-1","issue":"4","issued":{"date-parts":[["2011"]]},"page":"495-503","title":"CaCl2 improves post-drought recovery potential in Camellia sinensis (L) O. Kuntze","type":"article-journal","volume":"30"},"uris":["http://www.mendeley.com/documents/?uuid=c86cda7e-3153-46d0-843d-e1451736a1dc"]}],"mendeley":{"formattedCitation":"(Upadhyaya et al., 2011)","plainTextFormattedCitation":"(Upadhyaya et al., 2011)","previouslyFormattedCitation":"(Upadhyaya et al., 2011)"},"properties":{"noteIndex":0},"schema":"https://github.com/citation-style-language/schema/raw/master/csl-citation.json"}</w:instrText>
      </w:r>
      <w:r w:rsidR="00EA42D8">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t xml:space="preserve">(Upadhyaya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2011)</w:t>
      </w:r>
      <w:r w:rsidR="00EA42D8">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Thus, apart from the agronomic and cultivar properties, drought tolerance ability and the drought stress mitigation ability can be improved by the application of some mineral nutrients such as potassium, calcium, zinc and boron etc. (Upadhyaya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2011). Tea Research Institute of Sri Lanka (TRISL) recommended spraying of 2% Sulphate of Potash or Muriate of Potash at a rate of 2 kg per hectare in 100 L of water during the 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year, 4 kg per hectare in 200 L of water during 2</w:t>
      </w:r>
      <w:r>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year and 8 kg per hectare in 400 L of water during 3</w:t>
      </w:r>
      <w:r>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year and onwards before drought as a protective strategy.</w:t>
      </w:r>
      <w:commentRangeStart w:id="1"/>
      <w:r>
        <w:rPr>
          <w:rFonts w:ascii="Times New Roman" w:eastAsia="Times New Roman" w:hAnsi="Times New Roman" w:cs="Times New Roman"/>
          <w:sz w:val="24"/>
          <w:szCs w:val="24"/>
        </w:rPr>
        <w:t xml:space="preserve"> Spraying should be commenced at least a month prior to the onset of drought and continued at 2-4-week intervals </w:t>
      </w:r>
      <w:commentRangeEnd w:id="1"/>
      <w:r w:rsidR="00691342">
        <w:rPr>
          <w:rStyle w:val="Refdecomentario"/>
        </w:rPr>
        <w:commentReference w:id="1"/>
      </w:r>
      <w:r>
        <w:rPr>
          <w:rFonts w:ascii="Times New Roman" w:eastAsia="Times New Roman" w:hAnsi="Times New Roman" w:cs="Times New Roman"/>
          <w:sz w:val="24"/>
          <w:szCs w:val="24"/>
        </w:rPr>
        <w:t>depending on the severity of drought. Urea can also be mixed (2 kg/ha) with potassium sulphate to enhance the absorption of K</w:t>
      </w: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Spraying of Kaolin (5-10 kg of Kaolin in 100 L of water) on to the leaves of young tea plants reduces heat and water loss by transpiration. Spraying should be done soon after the drought setting in (Anon., 2011). However, based on recent experiences, </w:t>
      </w:r>
      <w:r>
        <w:rPr>
          <w:rFonts w:ascii="Times New Roman" w:eastAsia="Times New Roman" w:hAnsi="Times New Roman" w:cs="Times New Roman"/>
          <w:sz w:val="24"/>
          <w:szCs w:val="24"/>
        </w:rPr>
        <w:lastRenderedPageBreak/>
        <w:t>predicting the onset of drought is getting difficult due to climate change and thereby performing this recommendation becomes more and more difficult. Due to erratic weather pattern in tea growing regions, it has become difficult to determine the correct application time of these chemicals. The current climate change impacts directly affect the productivity of the tea crop and causing negative impacts to the economy. Further, the current placement of Sri Lanka at the 2</w:t>
      </w:r>
      <w:r>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place in global climate risk index 2019 (</w:t>
      </w:r>
      <w:proofErr w:type="spellStart"/>
      <w:r>
        <w:rPr>
          <w:rFonts w:ascii="Times New Roman" w:eastAsia="Times New Roman" w:hAnsi="Times New Roman" w:cs="Times New Roman"/>
          <w:color w:val="000000" w:themeColor="text1"/>
          <w:sz w:val="24"/>
          <w:szCs w:val="24"/>
        </w:rPr>
        <w:t>Samarawickrama</w:t>
      </w:r>
      <w:proofErr w:type="spellEnd"/>
      <w:r>
        <w:rPr>
          <w:rFonts w:ascii="Times New Roman" w:eastAsia="Times New Roman" w:hAnsi="Times New Roman" w:cs="Times New Roman"/>
          <w:color w:val="000000" w:themeColor="text1"/>
          <w:sz w:val="24"/>
          <w:szCs w:val="24"/>
        </w:rPr>
        <w:t>, 2018</w:t>
      </w:r>
      <w:r>
        <w:rPr>
          <w:rFonts w:ascii="Times New Roman" w:eastAsia="Times New Roman" w:hAnsi="Times New Roman" w:cs="Times New Roman"/>
          <w:sz w:val="24"/>
          <w:szCs w:val="24"/>
        </w:rPr>
        <w:t xml:space="preserve">) indicates that there is a high probability to occur climate related disasters such as frequent dry conditions in Sri Lanka. A convenient drought stress mitigation strategy is important for sustainable tea production in Sri Lanka. </w:t>
      </w:r>
      <w:commentRangeStart w:id="2"/>
      <w:r>
        <w:rPr>
          <w:rFonts w:ascii="Times New Roman" w:eastAsia="Times New Roman" w:hAnsi="Times New Roman" w:cs="Times New Roman"/>
          <w:sz w:val="24"/>
          <w:szCs w:val="24"/>
        </w:rPr>
        <w:t xml:space="preserve">Therefore, taking timely precautionary measures would be highly important to prevent negative impacts of climate change on the tea industry. </w:t>
      </w:r>
      <w:commentRangeEnd w:id="2"/>
      <w:r w:rsidR="00691342">
        <w:rPr>
          <w:rStyle w:val="Refdecomentario"/>
        </w:rPr>
        <w:commentReference w:id="2"/>
      </w:r>
      <w:r>
        <w:rPr>
          <w:rFonts w:ascii="Times New Roman" w:eastAsia="Times New Roman" w:hAnsi="Times New Roman" w:cs="Times New Roman"/>
          <w:sz w:val="24"/>
          <w:szCs w:val="24"/>
        </w:rPr>
        <w:t>Although there are many strategies to mitigate the long-term drought stress in tea, the use of anti-</w:t>
      </w:r>
      <w:proofErr w:type="spellStart"/>
      <w:r>
        <w:rPr>
          <w:rFonts w:ascii="Times New Roman" w:eastAsia="Times New Roman" w:hAnsi="Times New Roman" w:cs="Times New Roman"/>
          <w:sz w:val="24"/>
          <w:szCs w:val="24"/>
        </w:rPr>
        <w:t>transpirants</w:t>
      </w:r>
      <w:proofErr w:type="spellEnd"/>
      <w:r>
        <w:rPr>
          <w:rFonts w:ascii="Times New Roman" w:eastAsia="Times New Roman" w:hAnsi="Times New Roman" w:cs="Times New Roman"/>
          <w:sz w:val="24"/>
          <w:szCs w:val="24"/>
        </w:rPr>
        <w:t xml:space="preserve"> and stress alleviators to mitigate the short-term drought stress has been very scarce. Therefore, many chemicals are emerging in the market as anti-</w:t>
      </w:r>
      <w:proofErr w:type="spellStart"/>
      <w:r>
        <w:rPr>
          <w:rFonts w:ascii="Times New Roman" w:eastAsia="Times New Roman" w:hAnsi="Times New Roman" w:cs="Times New Roman"/>
          <w:sz w:val="24"/>
          <w:szCs w:val="24"/>
        </w:rPr>
        <w:t>transpirants</w:t>
      </w:r>
      <w:proofErr w:type="spellEnd"/>
      <w:r>
        <w:rPr>
          <w:rFonts w:ascii="Times New Roman" w:eastAsia="Times New Roman" w:hAnsi="Times New Roman" w:cs="Times New Roman"/>
          <w:sz w:val="24"/>
          <w:szCs w:val="24"/>
        </w:rPr>
        <w:t>. However, tea being a beverage, it has to comply with a lot of standards. Therefore, exploring the possibilities of using osmolytes to address the short-term drought effects in tea is a timely need for the sustainability of the tea industry which would help to reduce the ad-hoc usage of chemicals and thereby to protect the name of “Pure Ceylon Tea” in the international market.</w:t>
      </w:r>
    </w:p>
    <w:p w14:paraId="546C3FE9" w14:textId="77777777" w:rsidR="006A1FD7" w:rsidRDefault="00466E7F">
      <w:pPr>
        <w:pStyle w:val="CHAPTERSTYLE"/>
        <w:jc w:val="both"/>
        <w:rPr>
          <w:rFonts w:eastAsia="Times New Roman"/>
          <w:sz w:val="24"/>
          <w:szCs w:val="24"/>
          <w:lang w:val="en-US"/>
        </w:rPr>
      </w:pPr>
      <w:r>
        <w:rPr>
          <w:rFonts w:eastAsia="Times New Roman"/>
          <w:sz w:val="24"/>
          <w:szCs w:val="24"/>
          <w:lang w:val="en-US"/>
        </w:rPr>
        <w:t>Materials and Methods</w:t>
      </w:r>
    </w:p>
    <w:p w14:paraId="57DCBB57" w14:textId="77777777" w:rsidR="006A1FD7" w:rsidRDefault="00466E7F">
      <w:pPr>
        <w:pStyle w:val="Subtitle1"/>
        <w:spacing w:line="240" w:lineRule="exact"/>
        <w:rPr>
          <w:color w:val="4F81BD"/>
        </w:rPr>
      </w:pPr>
      <w:bookmarkStart w:id="3" w:name="_Toc110097877"/>
      <w:bookmarkStart w:id="4" w:name="_Toc83106647"/>
      <w:r>
        <w:t>Location</w:t>
      </w:r>
      <w:bookmarkEnd w:id="3"/>
      <w:bookmarkEnd w:id="4"/>
    </w:p>
    <w:p w14:paraId="4A0BCF72" w14:textId="77777777" w:rsidR="006A1FD7" w:rsidRDefault="00466E7F">
      <w:pPr>
        <w:spacing w:after="0" w:line="24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present study was conducted in a glasshouse of the Plant Physiology Division of Tea Research Institute of Sri Lanka (TRISL), </w:t>
      </w:r>
      <w:proofErr w:type="spellStart"/>
      <w:r>
        <w:rPr>
          <w:rFonts w:ascii="Times New Roman" w:eastAsia="Times New Roman" w:hAnsi="Times New Roman" w:cs="Times New Roman"/>
          <w:sz w:val="24"/>
          <w:szCs w:val="24"/>
        </w:rPr>
        <w:t>Talawakelle</w:t>
      </w:r>
      <w:proofErr w:type="spellEnd"/>
      <w:r>
        <w:rPr>
          <w:rFonts w:ascii="Times New Roman" w:eastAsia="Times New Roman" w:hAnsi="Times New Roman" w:cs="Times New Roman"/>
          <w:sz w:val="24"/>
          <w:szCs w:val="24"/>
        </w:rPr>
        <w:t xml:space="preserve"> (elevation 1376 m, above mean sea level (</w:t>
      </w:r>
      <w:proofErr w:type="spellStart"/>
      <w:r>
        <w:rPr>
          <w:rFonts w:ascii="Times New Roman" w:eastAsia="Times New Roman" w:hAnsi="Times New Roman" w:cs="Times New Roman"/>
          <w:sz w:val="24"/>
          <w:szCs w:val="24"/>
        </w:rPr>
        <w:t>amsl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agro</w:t>
      </w:r>
      <w:proofErr w:type="spellEnd"/>
      <w:r>
        <w:rPr>
          <w:rFonts w:ascii="Times New Roman" w:eastAsia="Times New Roman" w:hAnsi="Times New Roman" w:cs="Times New Roman"/>
          <w:sz w:val="24"/>
          <w:szCs w:val="24"/>
        </w:rPr>
        <w:t xml:space="preserve"> ecological region of WU2a). The average annual rainfall of the area is 2250 mm and average minimum and maximum temperatures are 14.2 </w:t>
      </w:r>
      <w:r>
        <w:rPr>
          <w:rFonts w:ascii="Times New Roman" w:eastAsia="Times New Roman" w:hAnsi="Times New Roman" w:cs="Times New Roman"/>
          <w:sz w:val="24"/>
          <w:szCs w:val="24"/>
          <w:shd w:val="clear" w:color="auto" w:fill="FFFFFF"/>
        </w:rPr>
        <w:t>°C</w:t>
      </w:r>
      <w:r>
        <w:rPr>
          <w:rFonts w:ascii="Times New Roman" w:eastAsia="Times New Roman" w:hAnsi="Times New Roman" w:cs="Times New Roman"/>
          <w:sz w:val="24"/>
          <w:szCs w:val="24"/>
        </w:rPr>
        <w:t xml:space="preserve"> and 22.8 </w:t>
      </w:r>
      <w:r>
        <w:rPr>
          <w:rFonts w:ascii="Times New Roman" w:eastAsia="Times New Roman" w:hAnsi="Times New Roman" w:cs="Times New Roman"/>
          <w:sz w:val="24"/>
          <w:szCs w:val="24"/>
          <w:shd w:val="clear" w:color="auto" w:fill="FFFFFF"/>
        </w:rPr>
        <w:t>°C</w:t>
      </w:r>
      <w:r>
        <w:rPr>
          <w:rFonts w:ascii="Times New Roman" w:eastAsia="Times New Roman" w:hAnsi="Times New Roman" w:cs="Times New Roman"/>
          <w:sz w:val="24"/>
          <w:szCs w:val="24"/>
        </w:rPr>
        <w:t xml:space="preserve"> respectively. </w:t>
      </w:r>
    </w:p>
    <w:p w14:paraId="42223642" w14:textId="77777777" w:rsidR="006A1FD7" w:rsidRDefault="006A1FD7">
      <w:pPr>
        <w:spacing w:after="0" w:line="240" w:lineRule="exact"/>
        <w:jc w:val="both"/>
        <w:rPr>
          <w:rFonts w:ascii="Times New Roman" w:eastAsia="Times New Roman" w:hAnsi="Times New Roman" w:cs="Times New Roman"/>
          <w:sz w:val="24"/>
          <w:szCs w:val="24"/>
        </w:rPr>
      </w:pPr>
    </w:p>
    <w:p w14:paraId="358866C2" w14:textId="77777777" w:rsidR="006A1FD7" w:rsidRDefault="00466E7F">
      <w:pPr>
        <w:pStyle w:val="Subtitle1"/>
        <w:spacing w:line="240" w:lineRule="exact"/>
        <w:rPr>
          <w:color w:val="4F81BD"/>
        </w:rPr>
      </w:pPr>
      <w:bookmarkStart w:id="5" w:name="_Toc110097878"/>
      <w:bookmarkStart w:id="6" w:name="_Toc83106648"/>
      <w:r>
        <w:t>Experimental setup</w:t>
      </w:r>
      <w:bookmarkEnd w:id="5"/>
      <w:bookmarkEnd w:id="6"/>
    </w:p>
    <w:p w14:paraId="4CDADFB7" w14:textId="77777777" w:rsidR="006A1FD7" w:rsidRDefault="00466E7F">
      <w:pPr>
        <w:spacing w:line="240" w:lineRule="exact"/>
        <w:jc w:val="both"/>
        <w:rPr>
          <w:rFonts w:ascii="Times New Roman" w:eastAsia="Times New Roman" w:hAnsi="Times New Roman" w:cs="Times New Roman"/>
          <w:sz w:val="24"/>
          <w:szCs w:val="24"/>
          <w:lang w:bidi="ta-IN"/>
        </w:rPr>
      </w:pPr>
      <w:r>
        <w:rPr>
          <w:rFonts w:ascii="Times New Roman" w:eastAsia="Times New Roman" w:hAnsi="Times New Roman" w:cs="Times New Roman"/>
          <w:sz w:val="24"/>
          <w:szCs w:val="24"/>
          <w:lang w:bidi="ta-IN"/>
        </w:rPr>
        <w:t>Nursery plants of TRI 2023 (drought susceptible) and TRI 2025 (drought tolerant) cultivars were transferred to plastic pots of approximately 0.30 m diameter and maintained under the glasshouse. All the plants were maintained and fertilized according to the recommendations of the TRISL and under similar conditions. All the plants were brought to field capacity and the watering was stopped for all the plants. Stimulated drought stress was provided by withholding the water application to the potted plants. Once the soil moisture content of the watering withheld plants was reduced up to about 50% of the field capacity, different concentrations of GB was applied to the plants as per the rates given in the Table 1.</w:t>
      </w:r>
    </w:p>
    <w:p w14:paraId="03C55503" w14:textId="77777777" w:rsidR="006A1FD7" w:rsidRDefault="00466E7F">
      <w:pPr>
        <w:spacing w:line="240" w:lineRule="exact"/>
        <w:rPr>
          <w:rFonts w:ascii="Times New Roman" w:eastAsia="Times New Roman" w:hAnsi="Times New Roman" w:cs="Times New Roman"/>
          <w:b/>
          <w:bCs/>
          <w:color w:val="4F81BD"/>
          <w:lang w:bidi="ta-IN"/>
        </w:rPr>
      </w:pPr>
      <w:r>
        <w:rPr>
          <w:rFonts w:ascii="Times New Roman" w:eastAsia="Times New Roman" w:hAnsi="Times New Roman" w:cs="Times New Roman"/>
          <w:lang w:bidi="ta-IN"/>
        </w:rPr>
        <w:t xml:space="preserve"> </w:t>
      </w:r>
      <w:r>
        <w:rPr>
          <w:rFonts w:ascii="Times New Roman" w:eastAsia="Times New Roman" w:hAnsi="Times New Roman" w:cs="Times New Roman"/>
          <w:b/>
          <w:bCs/>
          <w:lang w:bidi="ta-IN"/>
        </w:rPr>
        <w:t xml:space="preserve">Table 1. </w:t>
      </w:r>
      <w:r>
        <w:rPr>
          <w:rFonts w:ascii="Times New Roman" w:eastAsia="Times New Roman" w:hAnsi="Times New Roman" w:cs="Times New Roman"/>
          <w:lang w:bidi="ta-IN"/>
        </w:rPr>
        <w:t>Layout of</w:t>
      </w:r>
      <w:r>
        <w:rPr>
          <w:rFonts w:ascii="Times New Roman" w:eastAsia="Times New Roman" w:hAnsi="Times New Roman" w:cs="Times New Roman"/>
          <w:b/>
          <w:bCs/>
          <w:lang w:bidi="ta-IN"/>
        </w:rPr>
        <w:t xml:space="preserve"> </w:t>
      </w:r>
      <w:r>
        <w:rPr>
          <w:rFonts w:ascii="Times New Roman" w:eastAsia="Times New Roman" w:hAnsi="Times New Roman" w:cs="Times New Roman"/>
          <w:bCs/>
          <w:lang w:bidi="ta-IN"/>
        </w:rPr>
        <w:t>Treatments</w:t>
      </w:r>
    </w:p>
    <w:tbl>
      <w:tblPr>
        <w:tblpPr w:leftFromText="180" w:rightFromText="180" w:vertAnchor="text" w:horzAnchor="margin" w:tblpXSpec="center" w:tblpY="1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7"/>
        <w:gridCol w:w="1463"/>
      </w:tblGrid>
      <w:tr w:rsidR="006A1FD7" w14:paraId="536699D5" w14:textId="77777777">
        <w:trPr>
          <w:trHeight w:val="385"/>
        </w:trPr>
        <w:tc>
          <w:tcPr>
            <w:tcW w:w="0" w:type="auto"/>
          </w:tcPr>
          <w:p w14:paraId="445B0C49" w14:textId="77777777" w:rsidR="006A1FD7" w:rsidRDefault="00466E7F">
            <w:pPr>
              <w:spacing w:after="0" w:line="240" w:lineRule="exact"/>
              <w:jc w:val="center"/>
              <w:rPr>
                <w:rFonts w:ascii="Times New Roman" w:eastAsia="Times New Roman" w:hAnsi="Times New Roman" w:cs="Times New Roman"/>
                <w:b/>
                <w:bCs/>
                <w:lang w:bidi="si-LK"/>
              </w:rPr>
            </w:pPr>
            <w:r>
              <w:rPr>
                <w:rFonts w:ascii="Times New Roman" w:eastAsia="Times New Roman" w:hAnsi="Times New Roman" w:cs="Times New Roman"/>
                <w:b/>
                <w:bCs/>
                <w:lang w:bidi="si-LK"/>
              </w:rPr>
              <w:t>Treatment Description</w:t>
            </w:r>
          </w:p>
        </w:tc>
        <w:tc>
          <w:tcPr>
            <w:tcW w:w="0" w:type="auto"/>
          </w:tcPr>
          <w:p w14:paraId="73F32F32" w14:textId="77777777" w:rsidR="006A1FD7" w:rsidRDefault="00466E7F">
            <w:pPr>
              <w:spacing w:after="0" w:line="240" w:lineRule="exact"/>
              <w:jc w:val="center"/>
              <w:rPr>
                <w:rFonts w:ascii="Times New Roman" w:eastAsia="Times New Roman" w:hAnsi="Times New Roman" w:cs="Times New Roman"/>
                <w:b/>
                <w:bCs/>
                <w:lang w:bidi="si-LK"/>
              </w:rPr>
            </w:pPr>
            <w:r>
              <w:rPr>
                <w:rFonts w:ascii="Times New Roman" w:eastAsia="Times New Roman" w:hAnsi="Times New Roman" w:cs="Times New Roman"/>
                <w:b/>
                <w:bCs/>
                <w:lang w:bidi="si-LK"/>
              </w:rPr>
              <w:t>Abbreviation</w:t>
            </w:r>
          </w:p>
        </w:tc>
      </w:tr>
      <w:tr w:rsidR="006A1FD7" w14:paraId="45E8E959" w14:textId="77777777">
        <w:tc>
          <w:tcPr>
            <w:tcW w:w="0" w:type="auto"/>
            <w:shd w:val="clear" w:color="auto" w:fill="auto"/>
          </w:tcPr>
          <w:p w14:paraId="22286635" w14:textId="77777777" w:rsidR="006A1FD7" w:rsidRDefault="00466E7F">
            <w:pPr>
              <w:spacing w:after="0" w:line="240" w:lineRule="exact"/>
              <w:jc w:val="center"/>
              <w:rPr>
                <w:rFonts w:ascii="Times New Roman" w:eastAsia="Times New Roman" w:hAnsi="Times New Roman" w:cs="Times New Roman"/>
                <w:b/>
                <w:bCs/>
                <w:lang w:bidi="si-LK"/>
              </w:rPr>
            </w:pPr>
            <w:r>
              <w:rPr>
                <w:rFonts w:ascii="Times New Roman" w:eastAsia="Calibri" w:hAnsi="Times New Roman" w:cs="Times New Roman"/>
                <w:lang w:bidi="si-LK"/>
              </w:rPr>
              <w:t>Water-spray</w:t>
            </w:r>
          </w:p>
        </w:tc>
        <w:tc>
          <w:tcPr>
            <w:tcW w:w="0" w:type="auto"/>
            <w:shd w:val="clear" w:color="auto" w:fill="auto"/>
          </w:tcPr>
          <w:p w14:paraId="02E5D354" w14:textId="77777777" w:rsidR="006A1FD7" w:rsidRDefault="00466E7F">
            <w:pPr>
              <w:spacing w:after="0" w:line="240" w:lineRule="exact"/>
              <w:jc w:val="center"/>
              <w:rPr>
                <w:rFonts w:ascii="Times New Roman" w:eastAsia="Calibri" w:hAnsi="Times New Roman" w:cs="Times New Roman"/>
                <w:lang w:bidi="si-LK"/>
              </w:rPr>
            </w:pPr>
            <w:r>
              <w:rPr>
                <w:rFonts w:ascii="Times New Roman" w:eastAsia="Calibri" w:hAnsi="Times New Roman" w:cs="Times New Roman"/>
                <w:lang w:bidi="si-LK"/>
              </w:rPr>
              <w:t>WS</w:t>
            </w:r>
          </w:p>
        </w:tc>
      </w:tr>
      <w:tr w:rsidR="006A1FD7" w14:paraId="6C64E42C" w14:textId="77777777">
        <w:tc>
          <w:tcPr>
            <w:tcW w:w="0" w:type="auto"/>
            <w:shd w:val="clear" w:color="auto" w:fill="auto"/>
          </w:tcPr>
          <w:p w14:paraId="134CDF24" w14:textId="77777777" w:rsidR="006A1FD7" w:rsidRDefault="00466E7F">
            <w:pPr>
              <w:spacing w:after="0" w:line="240" w:lineRule="exact"/>
              <w:jc w:val="center"/>
              <w:rPr>
                <w:rFonts w:ascii="Times New Roman" w:eastAsia="Times New Roman" w:hAnsi="Times New Roman" w:cs="Times New Roman"/>
                <w:b/>
                <w:bCs/>
                <w:lang w:bidi="si-LK"/>
              </w:rPr>
            </w:pPr>
            <w:r>
              <w:rPr>
                <w:rFonts w:ascii="Times New Roman" w:eastAsia="Calibri" w:hAnsi="Times New Roman" w:cs="Times New Roman"/>
                <w:lang w:bidi="si-LK"/>
              </w:rPr>
              <w:t>No-spray</w:t>
            </w:r>
          </w:p>
        </w:tc>
        <w:tc>
          <w:tcPr>
            <w:tcW w:w="0" w:type="auto"/>
            <w:shd w:val="clear" w:color="auto" w:fill="auto"/>
          </w:tcPr>
          <w:p w14:paraId="07193076" w14:textId="77777777" w:rsidR="006A1FD7" w:rsidRDefault="00466E7F">
            <w:pPr>
              <w:spacing w:after="0" w:line="240" w:lineRule="exact"/>
              <w:jc w:val="center"/>
              <w:rPr>
                <w:rFonts w:ascii="Times New Roman" w:eastAsia="Calibri" w:hAnsi="Times New Roman" w:cs="Times New Roman"/>
                <w:lang w:bidi="si-LK"/>
              </w:rPr>
            </w:pPr>
            <w:r>
              <w:rPr>
                <w:rFonts w:ascii="Times New Roman" w:eastAsia="Calibri" w:hAnsi="Times New Roman" w:cs="Times New Roman"/>
                <w:lang w:bidi="si-LK"/>
              </w:rPr>
              <w:t>NS</w:t>
            </w:r>
          </w:p>
        </w:tc>
      </w:tr>
      <w:tr w:rsidR="006A1FD7" w14:paraId="47F4A7A7" w14:textId="77777777">
        <w:tc>
          <w:tcPr>
            <w:tcW w:w="0" w:type="auto"/>
            <w:shd w:val="clear" w:color="auto" w:fill="auto"/>
          </w:tcPr>
          <w:p w14:paraId="75926CDC" w14:textId="77777777" w:rsidR="006A1FD7" w:rsidRDefault="00466E7F">
            <w:pPr>
              <w:spacing w:after="0" w:line="240" w:lineRule="exact"/>
              <w:jc w:val="center"/>
              <w:rPr>
                <w:rFonts w:ascii="Times New Roman" w:eastAsia="Times New Roman" w:hAnsi="Times New Roman" w:cs="Times New Roman"/>
                <w:lang w:bidi="si-LK"/>
              </w:rPr>
            </w:pPr>
            <w:r>
              <w:rPr>
                <w:rFonts w:ascii="Times New Roman" w:eastAsia="Times New Roman" w:hAnsi="Times New Roman" w:cs="Times New Roman"/>
                <w:lang w:bidi="si-LK"/>
              </w:rPr>
              <w:t>Glycine Betaine 4 g/L of water</w:t>
            </w:r>
          </w:p>
        </w:tc>
        <w:tc>
          <w:tcPr>
            <w:tcW w:w="0" w:type="auto"/>
            <w:shd w:val="clear" w:color="auto" w:fill="auto"/>
          </w:tcPr>
          <w:p w14:paraId="0D671DF3" w14:textId="77777777" w:rsidR="006A1FD7" w:rsidRDefault="00466E7F">
            <w:pPr>
              <w:spacing w:after="0" w:line="240" w:lineRule="exact"/>
              <w:jc w:val="center"/>
              <w:rPr>
                <w:rFonts w:ascii="Times New Roman" w:eastAsia="Calibri" w:hAnsi="Times New Roman" w:cs="Times New Roman"/>
                <w:lang w:bidi="si-LK"/>
              </w:rPr>
            </w:pPr>
            <w:r>
              <w:rPr>
                <w:rFonts w:ascii="Times New Roman" w:eastAsia="Calibri" w:hAnsi="Times New Roman" w:cs="Times New Roman"/>
                <w:lang w:bidi="si-LK"/>
              </w:rPr>
              <w:t>GB4</w:t>
            </w:r>
          </w:p>
        </w:tc>
      </w:tr>
      <w:tr w:rsidR="006A1FD7" w14:paraId="04E207CF" w14:textId="77777777">
        <w:tc>
          <w:tcPr>
            <w:tcW w:w="0" w:type="auto"/>
            <w:shd w:val="clear" w:color="auto" w:fill="auto"/>
          </w:tcPr>
          <w:p w14:paraId="0FD08A3D" w14:textId="77777777" w:rsidR="006A1FD7" w:rsidRDefault="00466E7F">
            <w:pPr>
              <w:spacing w:after="0" w:line="240" w:lineRule="exact"/>
              <w:jc w:val="center"/>
              <w:rPr>
                <w:rFonts w:ascii="Times New Roman" w:eastAsia="Times New Roman" w:hAnsi="Times New Roman" w:cs="Times New Roman"/>
                <w:lang w:bidi="si-LK"/>
              </w:rPr>
            </w:pPr>
            <w:r>
              <w:rPr>
                <w:rFonts w:ascii="Times New Roman" w:eastAsia="Times New Roman" w:hAnsi="Times New Roman" w:cs="Times New Roman"/>
                <w:lang w:bidi="si-LK"/>
              </w:rPr>
              <w:t>Glycine Betaine 12 g/L of water</w:t>
            </w:r>
          </w:p>
        </w:tc>
        <w:tc>
          <w:tcPr>
            <w:tcW w:w="0" w:type="auto"/>
            <w:shd w:val="clear" w:color="auto" w:fill="auto"/>
          </w:tcPr>
          <w:p w14:paraId="4E53EE19" w14:textId="77777777" w:rsidR="006A1FD7" w:rsidRDefault="00466E7F">
            <w:pPr>
              <w:spacing w:after="0" w:line="240" w:lineRule="exact"/>
              <w:jc w:val="center"/>
              <w:rPr>
                <w:rFonts w:ascii="Times New Roman" w:eastAsia="Calibri" w:hAnsi="Times New Roman" w:cs="Times New Roman"/>
                <w:lang w:bidi="si-LK"/>
              </w:rPr>
            </w:pPr>
            <w:r>
              <w:rPr>
                <w:rFonts w:ascii="Times New Roman" w:eastAsia="Calibri" w:hAnsi="Times New Roman" w:cs="Times New Roman"/>
                <w:lang w:bidi="si-LK"/>
              </w:rPr>
              <w:t>GB12</w:t>
            </w:r>
          </w:p>
        </w:tc>
      </w:tr>
      <w:tr w:rsidR="006A1FD7" w14:paraId="2D722319" w14:textId="77777777">
        <w:tc>
          <w:tcPr>
            <w:tcW w:w="0" w:type="auto"/>
            <w:shd w:val="clear" w:color="auto" w:fill="auto"/>
          </w:tcPr>
          <w:p w14:paraId="6E5231B1" w14:textId="77777777" w:rsidR="006A1FD7" w:rsidRDefault="00466E7F">
            <w:pPr>
              <w:spacing w:after="0" w:line="240" w:lineRule="exact"/>
              <w:jc w:val="center"/>
              <w:rPr>
                <w:rFonts w:ascii="Times New Roman" w:eastAsia="Times New Roman" w:hAnsi="Times New Roman" w:cs="Times New Roman"/>
                <w:lang w:bidi="si-LK"/>
              </w:rPr>
            </w:pPr>
            <w:r>
              <w:rPr>
                <w:rFonts w:ascii="Times New Roman" w:eastAsia="Times New Roman" w:hAnsi="Times New Roman" w:cs="Times New Roman"/>
                <w:lang w:bidi="si-LK"/>
              </w:rPr>
              <w:t>Glycine Betaine 20 g/L of water</w:t>
            </w:r>
          </w:p>
        </w:tc>
        <w:tc>
          <w:tcPr>
            <w:tcW w:w="0" w:type="auto"/>
            <w:shd w:val="clear" w:color="auto" w:fill="auto"/>
          </w:tcPr>
          <w:p w14:paraId="6249348E" w14:textId="77777777" w:rsidR="006A1FD7" w:rsidRDefault="00466E7F">
            <w:pPr>
              <w:spacing w:after="0" w:line="240" w:lineRule="exact"/>
              <w:jc w:val="center"/>
              <w:rPr>
                <w:rFonts w:ascii="Times New Roman" w:eastAsia="Calibri" w:hAnsi="Times New Roman" w:cs="Times New Roman"/>
                <w:lang w:bidi="si-LK"/>
              </w:rPr>
            </w:pPr>
            <w:r>
              <w:rPr>
                <w:rFonts w:ascii="Times New Roman" w:eastAsia="Calibri" w:hAnsi="Times New Roman" w:cs="Times New Roman"/>
                <w:lang w:bidi="si-LK"/>
              </w:rPr>
              <w:t>GB20</w:t>
            </w:r>
          </w:p>
        </w:tc>
      </w:tr>
    </w:tbl>
    <w:p w14:paraId="0EB9450F" w14:textId="77777777" w:rsidR="006A1FD7" w:rsidRDefault="006A1FD7">
      <w:pPr>
        <w:jc w:val="both"/>
        <w:rPr>
          <w:rFonts w:ascii="Times New Roman" w:eastAsia="Times New Roman" w:hAnsi="Times New Roman" w:cs="Times New Roman"/>
          <w:b/>
          <w:sz w:val="24"/>
          <w:szCs w:val="24"/>
        </w:rPr>
      </w:pPr>
    </w:p>
    <w:p w14:paraId="749B1528" w14:textId="77777777" w:rsidR="006A1FD7" w:rsidRDefault="006A1FD7">
      <w:pPr>
        <w:pStyle w:val="Subtitle1"/>
      </w:pPr>
      <w:bookmarkStart w:id="7" w:name="_Toc83106650"/>
      <w:bookmarkStart w:id="8" w:name="_Toc110097879"/>
    </w:p>
    <w:p w14:paraId="7C878F05" w14:textId="77777777" w:rsidR="006A1FD7" w:rsidRDefault="006A1FD7">
      <w:pPr>
        <w:pStyle w:val="Subtitle1"/>
      </w:pPr>
    </w:p>
    <w:p w14:paraId="7786BDCE" w14:textId="77777777" w:rsidR="006A1FD7" w:rsidRDefault="006A1FD7">
      <w:pPr>
        <w:pStyle w:val="Subtitle1"/>
      </w:pPr>
    </w:p>
    <w:p w14:paraId="072C85F2" w14:textId="77777777" w:rsidR="006A1FD7" w:rsidRDefault="006A1FD7">
      <w:pPr>
        <w:pStyle w:val="Subtitle1"/>
        <w:spacing w:line="240" w:lineRule="exact"/>
      </w:pPr>
    </w:p>
    <w:p w14:paraId="521B3D00" w14:textId="77777777" w:rsidR="006A1FD7" w:rsidRDefault="00466E7F">
      <w:pPr>
        <w:pStyle w:val="Subtitle1"/>
        <w:spacing w:line="240" w:lineRule="exact"/>
        <w:rPr>
          <w:color w:val="4F81BD"/>
        </w:rPr>
      </w:pPr>
      <w:r>
        <w:t>Experimental design</w:t>
      </w:r>
      <w:bookmarkEnd w:id="7"/>
      <w:bookmarkEnd w:id="8"/>
    </w:p>
    <w:p w14:paraId="7A0009A7" w14:textId="77777777" w:rsidR="006A1FD7" w:rsidRDefault="00466E7F">
      <w:pPr>
        <w:spacing w:after="120" w:line="24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experiment was arranged according to Randomized Complete Block Design (RCBD). </w:t>
      </w:r>
      <w:commentRangeStart w:id="9"/>
      <w:r>
        <w:rPr>
          <w:rFonts w:ascii="Times New Roman" w:eastAsia="Times New Roman" w:hAnsi="Times New Roman" w:cs="Times New Roman"/>
          <w:sz w:val="24"/>
          <w:szCs w:val="24"/>
        </w:rPr>
        <w:t>Each treatment consisted of ten replicate plants per each cultivar.</w:t>
      </w:r>
      <w:commentRangeEnd w:id="9"/>
      <w:r w:rsidR="00691342">
        <w:rPr>
          <w:rStyle w:val="Refdecomentario"/>
        </w:rPr>
        <w:commentReference w:id="9"/>
      </w:r>
    </w:p>
    <w:p w14:paraId="6E7F5802" w14:textId="77777777" w:rsidR="006A1FD7" w:rsidRDefault="00466E7F">
      <w:pPr>
        <w:pStyle w:val="Subtitle1"/>
        <w:spacing w:line="240" w:lineRule="exact"/>
      </w:pPr>
      <w:bookmarkStart w:id="10" w:name="_Toc110097880"/>
      <w:bookmarkStart w:id="11" w:name="_Toc83106651"/>
      <w:r>
        <w:t>Measurements</w:t>
      </w:r>
      <w:bookmarkEnd w:id="10"/>
      <w:bookmarkEnd w:id="11"/>
    </w:p>
    <w:p w14:paraId="266026CF" w14:textId="77777777" w:rsidR="006A1FD7" w:rsidRDefault="00466E7F">
      <w:pPr>
        <w:spacing w:after="120" w:line="24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Both physiological and biochemical parameters were measured to study the effect of application of GB on drought stress reduction in immature tea using recently fully matured leaves. </w:t>
      </w:r>
      <w:commentRangeStart w:id="12"/>
      <w:r>
        <w:rPr>
          <w:rFonts w:ascii="Times New Roman" w:eastAsia="Times New Roman" w:hAnsi="Times New Roman" w:cs="Times New Roman"/>
          <w:sz w:val="24"/>
          <w:szCs w:val="24"/>
        </w:rPr>
        <w:t>The measurements were taken after 14 days and 21 days from applying the treatments.</w:t>
      </w:r>
      <w:commentRangeEnd w:id="12"/>
      <w:r w:rsidR="00691342">
        <w:rPr>
          <w:rStyle w:val="Refdecomentario"/>
        </w:rPr>
        <w:commentReference w:id="12"/>
      </w:r>
    </w:p>
    <w:p w14:paraId="51BDA432" w14:textId="77777777" w:rsidR="006A1FD7" w:rsidRDefault="00466E7F">
      <w:pPr>
        <w:pStyle w:val="Subsubtitle"/>
        <w:spacing w:line="240" w:lineRule="exact"/>
      </w:pPr>
      <w:bookmarkStart w:id="13" w:name="_Toc110097881"/>
      <w:bookmarkStart w:id="14" w:name="_Toc83106652"/>
      <w:r>
        <w:lastRenderedPageBreak/>
        <w:t>Physiological parameters</w:t>
      </w:r>
      <w:bookmarkEnd w:id="13"/>
      <w:bookmarkEnd w:id="14"/>
    </w:p>
    <w:p w14:paraId="7350F990" w14:textId="77777777" w:rsidR="006A1FD7" w:rsidRDefault="00466E7F">
      <w:pPr>
        <w:pStyle w:val="Subsubtitle"/>
        <w:spacing w:line="240" w:lineRule="exact"/>
        <w:rPr>
          <w:color w:val="4F81BD"/>
        </w:rPr>
      </w:pPr>
      <w:bookmarkStart w:id="15" w:name="_Toc110097882"/>
      <w:bookmarkStart w:id="16" w:name="_Toc83106653"/>
      <w:r>
        <w:t>Gas exchange parameters</w:t>
      </w:r>
      <w:bookmarkEnd w:id="15"/>
      <w:bookmarkEnd w:id="16"/>
    </w:p>
    <w:p w14:paraId="0482FCA2" w14:textId="77777777" w:rsidR="006A1FD7" w:rsidRDefault="00466E7F">
      <w:pPr>
        <w:spacing w:after="120" w:line="24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gas exchange parameters (net photosynthetic rate (</w:t>
      </w:r>
      <w:proofErr w:type="spellStart"/>
      <w:r>
        <w:rPr>
          <w:rFonts w:ascii="Times New Roman" w:eastAsia="Times New Roman" w:hAnsi="Times New Roman" w:cs="Times New Roman"/>
          <w:sz w:val="24"/>
          <w:szCs w:val="24"/>
        </w:rPr>
        <w:t>Pn</w:t>
      </w:r>
      <w:proofErr w:type="spellEnd"/>
      <w:r>
        <w:rPr>
          <w:rFonts w:ascii="Times New Roman" w:eastAsia="Times New Roman" w:hAnsi="Times New Roman" w:cs="Times New Roman"/>
          <w:sz w:val="24"/>
          <w:szCs w:val="24"/>
        </w:rPr>
        <w:t>), stomatal conductance (Gs), and rate of transpiration (E)) were measured on recently fully matured tea leaves using a Portable Infrared Gas Analyzer (CIRAS 3, PP Systems, USA). All measurements were conducted from 9.00 to 13.00 h. All gas exchange measurements were carried out using an artificial light source (Light Emitting Diode-LED), at saturated photosynthetically active radiation (PAR) of 1200 µmol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and leaf area 4.5 cm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at ambient CO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concentration.</w:t>
      </w:r>
    </w:p>
    <w:p w14:paraId="302274F2" w14:textId="77777777" w:rsidR="006A1FD7" w:rsidRDefault="00466E7F">
      <w:pPr>
        <w:pStyle w:val="Subsubtitle"/>
        <w:spacing w:line="240" w:lineRule="exact"/>
        <w:rPr>
          <w:color w:val="4F81BD"/>
        </w:rPr>
      </w:pPr>
      <w:bookmarkStart w:id="17" w:name="_Toc83106654"/>
      <w:bookmarkStart w:id="18" w:name="_Toc110097883"/>
      <w:r>
        <w:t>Relative Water Content</w:t>
      </w:r>
      <w:bookmarkEnd w:id="17"/>
      <w:r>
        <w:t xml:space="preserve"> (RWC)</w:t>
      </w:r>
      <w:bookmarkEnd w:id="18"/>
    </w:p>
    <w:p w14:paraId="34ED3431" w14:textId="77777777" w:rsidR="006A1FD7" w:rsidRDefault="00466E7F">
      <w:pPr>
        <w:spacing w:after="120" w:line="24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Leaves were collected from potted plants and their individual fresh mass (FM) was taken immediately using a four decimal analytical balance (Model-Mettler RADWAG, Poland). These leaf samples were then immersed in distilled water in covered flasks and kept for 24 hours. Then the leaves were taken separately, wiped the water from leaf surface with tissue paper gently and their turgid mass (TM) was taken using the same balance mentioned previously. Thereafter these leaf samples were placed in a pre-heated oven at 85 </w:t>
      </w:r>
      <w:r>
        <w:rPr>
          <w:rFonts w:ascii="Times New Roman" w:eastAsia="Times New Roman" w:hAnsi="Times New Roman" w:cs="Times New Roman"/>
          <w:sz w:val="24"/>
          <w:szCs w:val="24"/>
          <w:shd w:val="clear" w:color="auto" w:fill="FFFFFF"/>
        </w:rPr>
        <w:t>°C</w:t>
      </w:r>
      <w:r>
        <w:rPr>
          <w:rFonts w:ascii="Times New Roman" w:eastAsia="Times New Roman" w:hAnsi="Times New Roman" w:cs="Times New Roman"/>
          <w:sz w:val="24"/>
          <w:szCs w:val="24"/>
        </w:rPr>
        <w:t xml:space="preserve"> and were dried until a constant weight was received, following which their dry mass (DM) were taken using the same balance described previously. RWC was calculated using the following equation </w:t>
      </w:r>
      <w:r w:rsidR="00EA42D8">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{"citationItems":[{"id":"ITEM-1","itemData":{"abstract":"Measurements of relative water content (RWC) in leaf tissues are commonly used to assess the water status of plants. Despite its simplicity, this technique needs to be adjusted for each plant material. Adjustments are mainly related to the length and environmental conditions of the imbibition period, needed to obtain the turgid mass. In this study, the effects of light, temperature and leaf position, during imbibition, on measurements of RWC in Araucaria angustifolia (Bert.) O. Ktze leaves were tested. Additionally, we compared the patterns of water absorption between hydrated and water-stressed leaves. Measurements of leaf relative water content in araucaria angustifolia","author":[{"dropping-particle":"","family":"Dillenburg","given":"Simone Yamasaki and Lucia Rebello","non-dropping-particle":"","parse-names":false,"suffix":""}],"container-title":"Revista Brasilleira de Fisiologia vegetal","id":"ITEM-1","issue":"2","issued":{"date-parts":[["1999"]]},"page":"69-75","title":"Measurements of Leaf Relative Water Content in Araucaria Angustifolia 1","type":"article-journal","volume":"11"},"uris":["http://www.mendeley.com/documents/?uuid=98beb976-9458-4d10-a212-e4ecfc20b6ab"]}],"mendeley":{"formattedCitation":"(Dillenburg, 1999)","manualFormatting":"(Simon et al., 1999)","plainTextFormattedCitation":"(Dillenburg, 1999)","previouslyFormattedCitation":"(Dillenburg, 1999)"},"properties":{"noteIndex":0},"schema":"https://github.com/citation-style-language/schema/raw/master/csl-citation.json"}</w:instrText>
      </w:r>
      <w:r w:rsidR="00EA42D8">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t xml:space="preserve">(Simon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1999)</w:t>
      </w:r>
      <w:r w:rsidR="00EA42D8">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0AF81232" w14:textId="77777777" w:rsidR="006A1FD7" w:rsidRDefault="006A1FD7">
      <w:pPr>
        <w:spacing w:after="120" w:line="240" w:lineRule="exact"/>
        <w:jc w:val="both"/>
        <w:rPr>
          <w:rFonts w:ascii="Times New Roman" w:eastAsia="Times New Roman" w:hAnsi="Times New Roman" w:cs="Times New Roman"/>
          <w:sz w:val="24"/>
          <w:szCs w:val="24"/>
        </w:rPr>
      </w:pPr>
    </w:p>
    <w:p w14:paraId="69DECC32" w14:textId="77777777" w:rsidR="006A1FD7" w:rsidRDefault="00466E7F">
      <w:pPr>
        <w:spacing w:line="24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RWC = [(FM – DM) / (TM - DM] * 100</w:t>
      </w:r>
      <w:bookmarkStart w:id="19" w:name="_Toc83106655"/>
      <w:bookmarkStart w:id="20" w:name="_Toc54100338"/>
    </w:p>
    <w:p w14:paraId="234C97AC" w14:textId="77777777" w:rsidR="006A1FD7" w:rsidRDefault="006A1FD7">
      <w:pPr>
        <w:spacing w:line="240" w:lineRule="exact"/>
        <w:jc w:val="center"/>
        <w:rPr>
          <w:rFonts w:ascii="Times New Roman" w:eastAsia="Times New Roman" w:hAnsi="Times New Roman" w:cs="Times New Roman"/>
          <w:b/>
          <w:bCs/>
          <w:sz w:val="24"/>
          <w:szCs w:val="24"/>
        </w:rPr>
      </w:pPr>
    </w:p>
    <w:p w14:paraId="4C635E7A" w14:textId="77777777" w:rsidR="006A1FD7" w:rsidRDefault="00466E7F">
      <w:pPr>
        <w:pStyle w:val="Subsubtitle"/>
        <w:spacing w:line="240" w:lineRule="exact"/>
      </w:pPr>
      <w:bookmarkStart w:id="21" w:name="_Toc110097884"/>
      <w:r>
        <w:t>Soil Moisture Content (VWC %)</w:t>
      </w:r>
      <w:bookmarkEnd w:id="19"/>
      <w:bookmarkEnd w:id="20"/>
      <w:bookmarkEnd w:id="21"/>
    </w:p>
    <w:p w14:paraId="1B2C429E" w14:textId="77777777" w:rsidR="006A1FD7" w:rsidRDefault="00466E7F">
      <w:pPr>
        <w:spacing w:after="120" w:line="24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Soil moisture content of the active root zone depth i.e. 7.5 cm depth was measured using a digital soil moisture meter (Field scout TDR 150, USA).</w:t>
      </w:r>
    </w:p>
    <w:p w14:paraId="0C046824" w14:textId="77777777" w:rsidR="006A1FD7" w:rsidRDefault="006A1FD7">
      <w:pPr>
        <w:pStyle w:val="Subsubtitle"/>
        <w:spacing w:line="240" w:lineRule="exact"/>
      </w:pPr>
      <w:bookmarkStart w:id="22" w:name="_Toc110097885"/>
      <w:bookmarkStart w:id="23" w:name="_Toc83106656"/>
    </w:p>
    <w:p w14:paraId="201BDE29" w14:textId="77777777" w:rsidR="006A1FD7" w:rsidRDefault="00466E7F">
      <w:pPr>
        <w:pStyle w:val="Subsubtitle"/>
        <w:spacing w:line="240" w:lineRule="exact"/>
      </w:pPr>
      <w:r>
        <w:t>Biochemical parameters</w:t>
      </w:r>
      <w:bookmarkEnd w:id="22"/>
      <w:bookmarkEnd w:id="23"/>
    </w:p>
    <w:p w14:paraId="68267D65" w14:textId="77777777" w:rsidR="006A1FD7" w:rsidRDefault="00466E7F">
      <w:pPr>
        <w:pStyle w:val="Subsubtitle"/>
        <w:spacing w:line="240" w:lineRule="exact"/>
      </w:pPr>
      <w:bookmarkStart w:id="24" w:name="_Toc83106657"/>
      <w:bookmarkStart w:id="25" w:name="_Toc110097886"/>
      <w:r>
        <w:t>Leaf proline content</w:t>
      </w:r>
      <w:bookmarkEnd w:id="24"/>
      <w:bookmarkEnd w:id="25"/>
    </w:p>
    <w:p w14:paraId="27A575DE" w14:textId="77777777" w:rsidR="006A1FD7" w:rsidRDefault="00466E7F">
      <w:pPr>
        <w:spacing w:after="120" w:line="24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Leaf samples were collected and oven dried for 72 hours at 50 </w:t>
      </w:r>
      <w:r>
        <w:rPr>
          <w:rFonts w:ascii="Times New Roman" w:eastAsia="Times New Roman" w:hAnsi="Times New Roman" w:cs="Times New Roman"/>
          <w:sz w:val="24"/>
          <w:szCs w:val="24"/>
          <w:shd w:val="clear" w:color="auto" w:fill="FFFFFF"/>
        </w:rPr>
        <w:t>°C</w:t>
      </w:r>
      <w:r>
        <w:rPr>
          <w:rFonts w:ascii="Times New Roman" w:eastAsia="Times New Roman" w:hAnsi="Times New Roman" w:cs="Times New Roman"/>
          <w:sz w:val="24"/>
          <w:szCs w:val="24"/>
        </w:rPr>
        <w:t xml:space="preserve"> using a hot air oven (MEMMERT, ULM 800, Germany). Thereafter the leaf samples were finely powdered, a sample of 500 mg was mixed with 10 mL of 80% ethanol and placed for 15 minutes in a water bath (MEMMERT, WNB22, Germany) at 60 </w:t>
      </w:r>
      <w:r>
        <w:rPr>
          <w:rFonts w:ascii="Times New Roman" w:eastAsia="Times New Roman" w:hAnsi="Times New Roman" w:cs="Times New Roman"/>
          <w:sz w:val="24"/>
          <w:szCs w:val="24"/>
          <w:shd w:val="clear" w:color="auto" w:fill="FFFFFF"/>
        </w:rPr>
        <w:t>°C</w:t>
      </w:r>
      <w:r>
        <w:rPr>
          <w:rFonts w:ascii="Times New Roman" w:eastAsia="Times New Roman" w:hAnsi="Times New Roman" w:cs="Times New Roman"/>
          <w:sz w:val="24"/>
          <w:szCs w:val="24"/>
        </w:rPr>
        <w:t xml:space="preserve">. Then it was transferred to a centrifuge tube and centrifuged for 10 minutes at 3500 rpm and the supernatant was decanted. The residue was treated with 5 mL of 80% ethanol followed by keeping for 10 minutes in the water bath maintained at 60 </w:t>
      </w:r>
      <w:r>
        <w:rPr>
          <w:rFonts w:ascii="Times New Roman" w:eastAsia="Times New Roman" w:hAnsi="Times New Roman" w:cs="Times New Roman"/>
          <w:sz w:val="24"/>
          <w:szCs w:val="24"/>
          <w:shd w:val="clear" w:color="auto" w:fill="FFFFFF"/>
        </w:rPr>
        <w:t>°C</w:t>
      </w:r>
      <w:r>
        <w:rPr>
          <w:rFonts w:ascii="Times New Roman" w:eastAsia="Times New Roman" w:hAnsi="Times New Roman" w:cs="Times New Roman"/>
          <w:sz w:val="24"/>
          <w:szCs w:val="24"/>
        </w:rPr>
        <w:t xml:space="preserve"> and then was centrifuged for 10 minutes at 3500 rpm. The supernatant was mixed with the previously collected supernatant. The consolidated supernatant was mixed with 5 mL of chloroform and 10 mL of distilled water. Then it was shaken well and kept for 10 minutes for separation of the aqueous layer and the organic layer. The organic layer was discarded and the aqueous layer was selected for proline assay. The total volume of the aqueous layer was measured. Then, 200 µL of prepared leaf extraction was diluted with 800 µL of distilled water to make a sample of 1 mL and was reacted with 1 mL of Glacial Acetic acid and 1 mL of Ninhydrin regent for 45 minutes in a boiling water bath. The solution was allowed to cool to room temperature. Exactly 3 mL of Toluene was added to the reaction mixture and the leaf proline was extracted to the organic layer by shaking thoroughly. The pink colored Toluene phase was used to measure the absorbance at 520 nm to determine the proline content (</w:t>
      </w:r>
      <w:proofErr w:type="spellStart"/>
      <w:r>
        <w:rPr>
          <w:rFonts w:ascii="Times New Roman" w:eastAsia="Times New Roman" w:hAnsi="Times New Roman" w:cs="Times New Roman"/>
          <w:sz w:val="24"/>
          <w:szCs w:val="24"/>
        </w:rPr>
        <w:t>Jenway</w:t>
      </w:r>
      <w:proofErr w:type="spellEnd"/>
      <w:r>
        <w:rPr>
          <w:rFonts w:ascii="Times New Roman" w:eastAsia="Times New Roman" w:hAnsi="Times New Roman" w:cs="Times New Roman"/>
          <w:sz w:val="24"/>
          <w:szCs w:val="24"/>
        </w:rPr>
        <w:t xml:space="preserve"> 6715 UV/VIS Spectrophotometer). This was expressed in dry weight basis using a standard curve, using standard DL - proline </w:t>
      </w:r>
      <w:r w:rsidR="00EA42D8">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{"citationItems":[{"id":"ITEM-1","itemData":{"author":[{"dropping-particle":"","family":"Nisha Shabnam, Indu Tripathi","given":"P. Sharmila &amp; P. Pardha-Saradhi","non-dropping-particle":"","parse-names":false,"suffix":""}],"container-title":"New Methods in Cell Biology","id":"ITEM-1","issued":{"date-parts":[["2015"]]},"page":"1577-1582","title":"A rapid, ideal, and eco-friendlier protocol for quantifying proline","type":"article-journal","volume":"253"},"uris":["http://www.mendeley.com/documents/?uuid=efc55126-21c9-4f56-a94d-2d7221a33415"]}],"mendeley":{"formattedCitation":"(Nisha Shabnam, Indu Tripathi, 2015)","manualFormatting":"(Nisha Shabnam and Indu Tripathi, 2015)","plainTextFormattedCitation":"(Nisha Shabnam, Indu Tripathi, 2015)","previouslyFormattedCitation":"(Nisha Shabnam, Indu Tripathi, 2015)"},"properties":{"noteIndex":0},"schema":"https://github.com/citation-style-language/schema/raw/master/csl-citation.json"}</w:instrText>
      </w:r>
      <w:r w:rsidR="00EA42D8">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t xml:space="preserve">(Shabnam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2015)</w:t>
      </w:r>
      <w:r w:rsidR="00EA42D8">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11A787E3" w14:textId="77777777" w:rsidR="006A1FD7" w:rsidRDefault="00466E7F">
      <w:pPr>
        <w:pStyle w:val="Subsubtitle"/>
        <w:spacing w:line="240" w:lineRule="exact"/>
      </w:pPr>
      <w:bookmarkStart w:id="26" w:name="_Toc83106658"/>
      <w:bookmarkStart w:id="27" w:name="_Toc110097887"/>
      <w:r>
        <w:t>Leaf Total Soluble Sugar (TSS) content</w:t>
      </w:r>
      <w:bookmarkEnd w:id="26"/>
      <w:bookmarkEnd w:id="27"/>
    </w:p>
    <w:p w14:paraId="6314D8D1" w14:textId="77777777" w:rsidR="006A1FD7" w:rsidRDefault="00466E7F">
      <w:pPr>
        <w:spacing w:after="120" w:line="24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 µL of the prepared leaf extraction was diluted with 960 µL of distilled water to make a sample of 1 mL and reacted with 1 mL of 5% phenol and 5 mL concentrated 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SO</w:t>
      </w:r>
      <w:r>
        <w:rPr>
          <w:rFonts w:ascii="Times New Roman" w:eastAsia="Times New Roman" w:hAnsi="Times New Roman" w:cs="Times New Roman"/>
          <w:sz w:val="24"/>
          <w:szCs w:val="24"/>
          <w:vertAlign w:val="subscript"/>
        </w:rPr>
        <w:t xml:space="preserve">4 </w:t>
      </w:r>
      <w:r>
        <w:rPr>
          <w:rFonts w:ascii="Times New Roman" w:eastAsia="Times New Roman" w:hAnsi="Times New Roman" w:cs="Times New Roman"/>
          <w:sz w:val="24"/>
          <w:szCs w:val="24"/>
        </w:rPr>
        <w:t>and left to cool at room temperature. The soluble carbohydrate content (</w:t>
      </w:r>
      <w:r>
        <w:rPr>
          <w:rFonts w:ascii="Times New Roman" w:eastAsia="Times New Roman" w:hAnsi="Times New Roman" w:cs="Times New Roman"/>
          <w:i/>
          <w:iCs/>
          <w:sz w:val="24"/>
          <w:szCs w:val="24"/>
        </w:rPr>
        <w:t>SC</w:t>
      </w:r>
      <w:r>
        <w:rPr>
          <w:rFonts w:ascii="Times New Roman" w:eastAsia="Times New Roman" w:hAnsi="Times New Roman" w:cs="Times New Roman"/>
          <w:sz w:val="24"/>
          <w:szCs w:val="24"/>
        </w:rPr>
        <w:t>, mg g</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dry wt.) was determined by measuring the absorbance at 490 nm and expressed in dry weight basis </w:t>
      </w:r>
      <w:r>
        <w:rPr>
          <w:rFonts w:ascii="Times New Roman" w:eastAsia="Times New Roman" w:hAnsi="Times New Roman" w:cs="Times New Roman"/>
          <w:sz w:val="24"/>
          <w:szCs w:val="24"/>
        </w:rPr>
        <w:lastRenderedPageBreak/>
        <w:t xml:space="preserve">from a standard curve, using sucrose standards, according to the method of </w:t>
      </w:r>
      <w:r w:rsidR="00EA42D8">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{"citationItems":[{"id":"ITEM-1","itemData":{"author":[{"dropping-particle":"","family":"P. Agastian","given":"S.J. Kingsley &amp; M. Vivekanandan","non-dropping-particle":"","parse-names":false,"suffix":""}],"container-title":"Photosynthetica volume","id":"ITEM-1","issued":{"date-parts":[["2000"]]},"page":"287-290","title":"Effect of Salinity on Photosynthesis and Biochemical Characteristics in Mulberry Genotypes","type":"article-journal","volume":"38"},"uris":["http://www.mendeley.com/documents/?uuid=0b6c5cc1-39c4-41ca-81bf-63c0e256c986"]}],"mendeley":{"formattedCitation":"(P. Agastian, 2000)","plainTextFormattedCitation":"(P. Agastian, 2000)","previouslyFormattedCitation":"(P. Agastian, 2000)"},"properties":{"noteIndex":0},"schema":"https://github.com/citation-style-language/schema/raw/master/csl-citation.json"}</w:instrText>
      </w:r>
      <w:r w:rsidR="00EA42D8">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t xml:space="preserve">Agastian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(2000)</w:t>
      </w:r>
      <w:r w:rsidR="00EA42D8">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31CEC376" w14:textId="77777777" w:rsidR="006A1FD7" w:rsidRDefault="00466E7F">
      <w:pPr>
        <w:pStyle w:val="Subtitle1"/>
        <w:spacing w:line="240" w:lineRule="exact"/>
      </w:pPr>
      <w:bookmarkStart w:id="28" w:name="_Toc83106659"/>
      <w:bookmarkStart w:id="29" w:name="_Toc110097888"/>
      <w:r>
        <w:t>Statistical analysis</w:t>
      </w:r>
      <w:bookmarkEnd w:id="28"/>
      <w:bookmarkEnd w:id="29"/>
    </w:p>
    <w:p w14:paraId="642D512B" w14:textId="77777777" w:rsidR="006A1FD7" w:rsidRDefault="00466E7F">
      <w:pPr>
        <w:spacing w:after="120" w:line="24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data were tabulated and analyzed by using GLM procedure in SAS V9 package to determine the effect of application of GB on short term drought stress mitigation of immature tea. Mean separation was done by using Duncan’s New Multiple Range test at </w:t>
      </w:r>
    </w:p>
    <w:p w14:paraId="398FCD84" w14:textId="77777777" w:rsidR="006A1FD7" w:rsidRDefault="00466E7F">
      <w:pPr>
        <w:spacing w:after="120" w:line="240" w:lineRule="exact"/>
        <w:jc w:val="both"/>
        <w:rPr>
          <w:rFonts w:ascii="Times New Roman" w:hAnsi="Times New Roman" w:cs="Times New Roman"/>
          <w:b/>
          <w:sz w:val="24"/>
          <w:szCs w:val="24"/>
          <w:lang w:val="en-GB"/>
        </w:rPr>
      </w:pPr>
      <w:r>
        <w:rPr>
          <w:rFonts w:ascii="Times New Roman" w:eastAsia="Times New Roman" w:hAnsi="Times New Roman" w:cs="Times New Roman"/>
          <w:sz w:val="24"/>
          <w:szCs w:val="24"/>
        </w:rPr>
        <w:t>p = 0.05.</w:t>
      </w:r>
    </w:p>
    <w:p w14:paraId="5CCC1432" w14:textId="77777777" w:rsidR="006A1FD7" w:rsidRDefault="00466E7F">
      <w:pPr>
        <w:pStyle w:val="CHAPTERSTYLE"/>
        <w:spacing w:line="240" w:lineRule="exact"/>
        <w:jc w:val="both"/>
        <w:rPr>
          <w:sz w:val="24"/>
          <w:szCs w:val="24"/>
          <w:lang w:val="en-US"/>
        </w:rPr>
      </w:pPr>
      <w:r>
        <w:rPr>
          <w:sz w:val="24"/>
          <w:szCs w:val="24"/>
          <w:lang w:val="en-US"/>
        </w:rPr>
        <w:t>Results and Discussion</w:t>
      </w:r>
    </w:p>
    <w:p w14:paraId="1C2FBACD" w14:textId="77777777" w:rsidR="006A1FD7" w:rsidRDefault="006A1FD7">
      <w:pPr>
        <w:spacing w:after="0" w:line="240" w:lineRule="exact"/>
        <w:jc w:val="center"/>
        <w:rPr>
          <w:rFonts w:ascii="Times New Roman" w:hAnsi="Times New Roman" w:cs="Times New Roman"/>
          <w:b/>
          <w:sz w:val="24"/>
          <w:szCs w:val="24"/>
          <w:lang w:val="en-GB"/>
        </w:rPr>
      </w:pPr>
    </w:p>
    <w:p w14:paraId="6E1E0EE1" w14:textId="77777777" w:rsidR="006A1FD7" w:rsidRDefault="00466E7F">
      <w:pPr>
        <w:pStyle w:val="Subtitle1"/>
        <w:spacing w:line="240" w:lineRule="exact"/>
        <w:rPr>
          <w:lang w:val="en-GB"/>
        </w:rPr>
      </w:pPr>
      <w:bookmarkStart w:id="30" w:name="_Toc110097890"/>
      <w:bookmarkStart w:id="31" w:name="_Hlk106565523"/>
      <w:r>
        <w:t xml:space="preserve">Relative Water Content </w:t>
      </w:r>
      <w:r>
        <w:rPr>
          <w:lang w:val="en-GB"/>
        </w:rPr>
        <w:t>(RWC)</w:t>
      </w:r>
      <w:bookmarkEnd w:id="30"/>
    </w:p>
    <w:bookmarkEnd w:id="31"/>
    <w:p w14:paraId="122DC7BA" w14:textId="77777777" w:rsidR="006A1FD7" w:rsidRDefault="00466E7F">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Results revealed that the RWC is significantly (p &lt; 0.0001) decreased with the progress</w:t>
      </w:r>
      <w:r w:rsidR="002E3BDF">
        <w:rPr>
          <w:rFonts w:ascii="Times New Roman" w:hAnsi="Times New Roman" w:cs="Times New Roman"/>
          <w:sz w:val="24"/>
          <w:szCs w:val="24"/>
        </w:rPr>
        <w:t xml:space="preserve">ion of drought stress (Figure </w:t>
      </w:r>
      <w:r>
        <w:rPr>
          <w:rFonts w:ascii="Times New Roman" w:hAnsi="Times New Roman" w:cs="Times New Roman"/>
          <w:sz w:val="24"/>
          <w:szCs w:val="24"/>
        </w:rPr>
        <w:t xml:space="preserve">1). </w:t>
      </w:r>
    </w:p>
    <w:p w14:paraId="0153D2F6" w14:textId="77777777" w:rsidR="006A1FD7" w:rsidRDefault="006A1FD7">
      <w:pPr>
        <w:spacing w:after="0" w:line="240" w:lineRule="exact"/>
        <w:jc w:val="both"/>
        <w:rPr>
          <w:rFonts w:ascii="Times New Roman" w:hAnsi="Times New Roman" w:cs="Times New Roman"/>
          <w:sz w:val="24"/>
          <w:szCs w:val="24"/>
        </w:rPr>
      </w:pPr>
    </w:p>
    <w:p w14:paraId="07D0D72D" w14:textId="77777777" w:rsidR="006A1FD7" w:rsidRDefault="00466E7F">
      <w:pPr>
        <w:spacing w:line="480" w:lineRule="auto"/>
        <w:jc w:val="center"/>
        <w:rPr>
          <w:rFonts w:ascii="Times New Roman" w:hAnsi="Times New Roman" w:cs="Times New Roman"/>
          <w:sz w:val="24"/>
          <w:szCs w:val="24"/>
        </w:rPr>
      </w:pPr>
      <w:r>
        <w:rPr>
          <w:rFonts w:ascii="Times New Roman" w:hAnsi="Times New Roman" w:cs="Times New Roman"/>
          <w:noProof/>
        </w:rPr>
        <w:drawing>
          <wp:inline distT="0" distB="0" distL="0" distR="0" wp14:anchorId="1338D9D6" wp14:editId="0709913B">
            <wp:extent cx="3256915" cy="1561465"/>
            <wp:effectExtent l="4445" t="4445" r="15240" b="889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1DB887A" w14:textId="77777777" w:rsidR="006A1FD7" w:rsidRDefault="002E3BDF">
      <w:pPr>
        <w:jc w:val="center"/>
        <w:rPr>
          <w:rFonts w:ascii="Times New Roman" w:hAnsi="Times New Roman" w:cs="Times New Roman"/>
          <w:b/>
          <w:bCs/>
          <w:kern w:val="3"/>
          <w:sz w:val="20"/>
          <w:szCs w:val="20"/>
        </w:rPr>
      </w:pPr>
      <w:r>
        <w:rPr>
          <w:rFonts w:ascii="Times New Roman" w:hAnsi="Times New Roman" w:cs="Times New Roman"/>
          <w:b/>
          <w:bCs/>
          <w:kern w:val="3"/>
          <w:sz w:val="20"/>
          <w:szCs w:val="20"/>
        </w:rPr>
        <w:t xml:space="preserve">Figure </w:t>
      </w:r>
      <w:r w:rsidR="00466E7F">
        <w:rPr>
          <w:rFonts w:ascii="Times New Roman" w:hAnsi="Times New Roman" w:cs="Times New Roman"/>
          <w:b/>
          <w:bCs/>
          <w:kern w:val="3"/>
          <w:sz w:val="20"/>
          <w:szCs w:val="20"/>
        </w:rPr>
        <w:t>1. Variation of Relative Water Content with the progression of drought stress in tea plants (bars with the same letter are not significantly different at p = 0.05)</w:t>
      </w:r>
    </w:p>
    <w:p w14:paraId="0E0F9F54" w14:textId="77777777" w:rsidR="006A1FD7" w:rsidRDefault="00466E7F">
      <w:pPr>
        <w:spacing w:after="0" w:line="240" w:lineRule="exact"/>
        <w:jc w:val="both"/>
        <w:rPr>
          <w:rFonts w:ascii="Times New Roman" w:hAnsi="Times New Roman" w:cs="Times New Roman"/>
          <w:color w:val="000000"/>
          <w:kern w:val="3"/>
          <w:sz w:val="24"/>
          <w:szCs w:val="24"/>
        </w:rPr>
      </w:pPr>
      <w:r>
        <w:rPr>
          <w:rFonts w:ascii="Times New Roman" w:hAnsi="Times New Roman" w:cs="Times New Roman"/>
          <w:sz w:val="24"/>
          <w:szCs w:val="24"/>
        </w:rPr>
        <w:t xml:space="preserve">However, there were no significant differences of relative water content among the different treatments (p = 0.4298) or between cultivars </w:t>
      </w:r>
      <w:bookmarkStart w:id="32" w:name="_Hlk109589877"/>
      <w:r>
        <w:rPr>
          <w:rFonts w:ascii="Times New Roman" w:hAnsi="Times New Roman" w:cs="Times New Roman"/>
          <w:sz w:val="24"/>
          <w:szCs w:val="24"/>
        </w:rPr>
        <w:t xml:space="preserve">(p = 0.1317) tested </w:t>
      </w:r>
      <w:r>
        <w:rPr>
          <w:rFonts w:ascii="Times New Roman" w:hAnsi="Times New Roman" w:cs="Times New Roman"/>
          <w:sz w:val="24"/>
          <w:szCs w:val="24"/>
          <w:lang w:val="en-GB"/>
        </w:rPr>
        <w:t>(</w:t>
      </w:r>
      <w:r w:rsidR="002E3BDF">
        <w:rPr>
          <w:rFonts w:ascii="Times New Roman" w:hAnsi="Times New Roman" w:cs="Times New Roman"/>
          <w:sz w:val="24"/>
          <w:szCs w:val="24"/>
          <w:lang w:val="en-GB"/>
        </w:rPr>
        <w:t xml:space="preserve">Figure </w:t>
      </w:r>
      <w:r>
        <w:rPr>
          <w:rFonts w:ascii="Times New Roman" w:hAnsi="Times New Roman" w:cs="Times New Roman"/>
          <w:sz w:val="24"/>
          <w:szCs w:val="24"/>
          <w:lang w:val="en-GB"/>
        </w:rPr>
        <w:t>2)</w:t>
      </w:r>
      <w:bookmarkEnd w:id="32"/>
      <w:r>
        <w:rPr>
          <w:rFonts w:ascii="Times New Roman" w:hAnsi="Times New Roman" w:cs="Times New Roman"/>
          <w:color w:val="000000"/>
          <w:kern w:val="3"/>
          <w:sz w:val="24"/>
          <w:szCs w:val="24"/>
        </w:rPr>
        <w:t>.</w:t>
      </w:r>
    </w:p>
    <w:p w14:paraId="08602413" w14:textId="77777777" w:rsidR="006A1FD7" w:rsidRDefault="006A1FD7">
      <w:pPr>
        <w:spacing w:after="0" w:line="240" w:lineRule="exact"/>
        <w:jc w:val="both"/>
        <w:rPr>
          <w:rFonts w:ascii="Times New Roman" w:hAnsi="Times New Roman" w:cs="Times New Roman"/>
          <w:color w:val="000000"/>
          <w:kern w:val="3"/>
          <w:sz w:val="24"/>
          <w:szCs w:val="24"/>
        </w:rPr>
      </w:pPr>
    </w:p>
    <w:p w14:paraId="6B54961C" w14:textId="77777777" w:rsidR="006A1FD7" w:rsidRDefault="00466E7F">
      <w:pPr>
        <w:spacing w:line="480" w:lineRule="auto"/>
        <w:jc w:val="center"/>
        <w:rPr>
          <w:rFonts w:ascii="Times New Roman" w:hAnsi="Times New Roman" w:cs="Times New Roman"/>
          <w:lang w:val="en-GB"/>
        </w:rPr>
      </w:pPr>
      <w:r>
        <w:rPr>
          <w:rFonts w:ascii="Times New Roman" w:hAnsi="Times New Roman" w:cs="Times New Roman"/>
          <w:noProof/>
        </w:rPr>
        <w:drawing>
          <wp:inline distT="0" distB="0" distL="0" distR="0" wp14:anchorId="1515378A" wp14:editId="6A0057F6">
            <wp:extent cx="4044950" cy="2190115"/>
            <wp:effectExtent l="4445" t="4445" r="14605" b="1524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70FACA1" w14:textId="77777777" w:rsidR="006A1FD7" w:rsidRDefault="002E3BDF">
      <w:pPr>
        <w:jc w:val="center"/>
        <w:rPr>
          <w:rFonts w:ascii="Times New Roman" w:hAnsi="Times New Roman" w:cs="Times New Roman"/>
          <w:b/>
          <w:bCs/>
          <w:kern w:val="3"/>
          <w:sz w:val="20"/>
          <w:szCs w:val="20"/>
        </w:rPr>
      </w:pPr>
      <w:r>
        <w:rPr>
          <w:rFonts w:ascii="Times New Roman" w:hAnsi="Times New Roman" w:cs="Times New Roman"/>
          <w:b/>
          <w:bCs/>
          <w:kern w:val="3"/>
          <w:sz w:val="20"/>
          <w:szCs w:val="20"/>
        </w:rPr>
        <w:t xml:space="preserve">Figure </w:t>
      </w:r>
      <w:r w:rsidR="00466E7F">
        <w:rPr>
          <w:rFonts w:ascii="Times New Roman" w:hAnsi="Times New Roman" w:cs="Times New Roman"/>
          <w:b/>
          <w:bCs/>
          <w:kern w:val="3"/>
          <w:sz w:val="20"/>
          <w:szCs w:val="20"/>
        </w:rPr>
        <w:t>2. Variation of Relative Water Content with the progression of drought stress in tea plants for treatment groups (similar patterned bars with the same letter are not significantly  different at p = 0.05)</w:t>
      </w:r>
    </w:p>
    <w:p w14:paraId="1F5E6B17" w14:textId="77777777" w:rsidR="006A1FD7" w:rsidRDefault="00466E7F">
      <w:pPr>
        <w:spacing w:after="120" w:line="240" w:lineRule="exact"/>
        <w:jc w:val="both"/>
        <w:rPr>
          <w:rFonts w:ascii="Times New Roman" w:hAnsi="Times New Roman" w:cs="Times New Roman"/>
          <w:lang w:val="en-GB"/>
        </w:rPr>
      </w:pPr>
      <w:r>
        <w:rPr>
          <w:rFonts w:ascii="Times New Roman" w:hAnsi="Times New Roman" w:cs="Times New Roman"/>
          <w:sz w:val="24"/>
          <w:szCs w:val="24"/>
          <w:lang w:val="en-GB"/>
        </w:rPr>
        <w:t>The RWC is a parameter that is considered when determining the levels of stress due to water deficit in plants.</w:t>
      </w:r>
      <w:r>
        <w:rPr>
          <w:rFonts w:ascii="Times New Roman" w:hAnsi="Times New Roman" w:cs="Times New Roman"/>
          <w:lang w:val="en-GB"/>
        </w:rPr>
        <w:t xml:space="preserve"> </w:t>
      </w:r>
      <w:r>
        <w:rPr>
          <w:rFonts w:ascii="Times New Roman" w:hAnsi="Times New Roman" w:cs="Times New Roman"/>
          <w:sz w:val="24"/>
          <w:szCs w:val="24"/>
          <w:lang w:val="en-GB"/>
        </w:rPr>
        <w:t xml:space="preserve">According to a previous study, if high soil moisture content was being maintained in the soil, relative water content </w:t>
      </w:r>
      <w:bookmarkStart w:id="33" w:name="_Hlk106571605"/>
      <w:r>
        <w:rPr>
          <w:rFonts w:ascii="Times New Roman" w:hAnsi="Times New Roman" w:cs="Times New Roman"/>
          <w:sz w:val="24"/>
          <w:szCs w:val="24"/>
          <w:lang w:val="en-GB"/>
        </w:rPr>
        <w:t xml:space="preserve">(RWC) </w:t>
      </w:r>
      <w:bookmarkEnd w:id="33"/>
      <w:r>
        <w:rPr>
          <w:rFonts w:ascii="Times New Roman" w:hAnsi="Times New Roman" w:cs="Times New Roman"/>
          <w:sz w:val="24"/>
          <w:szCs w:val="24"/>
          <w:lang w:val="en-GB"/>
        </w:rPr>
        <w:t>did not vary significantly among the cultivars. However, with the reduction of soil moisture content, RWC have been declined rapidly (</w:t>
      </w:r>
      <w:proofErr w:type="spellStart"/>
      <w:r>
        <w:rPr>
          <w:rFonts w:ascii="Times New Roman" w:hAnsi="Times New Roman" w:cs="Times New Roman"/>
          <w:sz w:val="24"/>
          <w:szCs w:val="24"/>
          <w:lang w:val="en-GB"/>
        </w:rPr>
        <w:t>Damayanthi</w:t>
      </w:r>
      <w:proofErr w:type="spellEnd"/>
      <w:r>
        <w:rPr>
          <w:rFonts w:ascii="Times New Roman" w:hAnsi="Times New Roman" w:cs="Times New Roman"/>
          <w:sz w:val="24"/>
          <w:szCs w:val="24"/>
          <w:lang w:val="en-GB"/>
        </w:rPr>
        <w:t xml:space="preserve"> </w:t>
      </w:r>
      <w:r>
        <w:rPr>
          <w:rFonts w:ascii="Times New Roman" w:hAnsi="Times New Roman" w:cs="Times New Roman"/>
          <w:i/>
          <w:iCs/>
          <w:sz w:val="24"/>
          <w:szCs w:val="24"/>
          <w:lang w:val="en-GB"/>
        </w:rPr>
        <w:t>et al.</w:t>
      </w:r>
      <w:r>
        <w:rPr>
          <w:rFonts w:ascii="Times New Roman" w:hAnsi="Times New Roman" w:cs="Times New Roman"/>
          <w:sz w:val="24"/>
          <w:szCs w:val="24"/>
          <w:lang w:val="en-GB"/>
        </w:rPr>
        <w:t xml:space="preserve">, 2010). </w:t>
      </w:r>
    </w:p>
    <w:p w14:paraId="043F1997" w14:textId="77777777" w:rsidR="006A1FD7" w:rsidRDefault="00466E7F">
      <w:pPr>
        <w:pStyle w:val="Subtitle1"/>
        <w:spacing w:line="240" w:lineRule="exact"/>
      </w:pPr>
      <w:bookmarkStart w:id="34" w:name="_Toc110097891"/>
      <w:r>
        <w:lastRenderedPageBreak/>
        <w:t>Gas exchange parameters</w:t>
      </w:r>
      <w:bookmarkEnd w:id="34"/>
      <w:r>
        <w:t xml:space="preserve"> </w:t>
      </w:r>
    </w:p>
    <w:p w14:paraId="03C56D3B" w14:textId="77777777" w:rsidR="006A1FD7" w:rsidRDefault="00466E7F">
      <w:pPr>
        <w:pStyle w:val="Subsubtitle"/>
        <w:spacing w:line="240" w:lineRule="exact"/>
      </w:pPr>
      <w:bookmarkStart w:id="35" w:name="_Toc110097892"/>
      <w:r>
        <w:t>Photosynthesis</w:t>
      </w:r>
      <w:bookmarkEnd w:id="35"/>
    </w:p>
    <w:p w14:paraId="47FC2CD3" w14:textId="77777777" w:rsidR="006A1FD7" w:rsidRDefault="00466E7F">
      <w:pPr>
        <w:spacing w:after="120" w:line="240" w:lineRule="exact"/>
        <w:jc w:val="both"/>
        <w:rPr>
          <w:rFonts w:ascii="Times New Roman" w:hAnsi="Times New Roman" w:cs="Times New Roman"/>
          <w:sz w:val="24"/>
          <w:szCs w:val="24"/>
          <w:lang w:val="en-GB"/>
        </w:rPr>
      </w:pPr>
      <w:r>
        <w:rPr>
          <w:rFonts w:ascii="Times New Roman" w:hAnsi="Times New Roman" w:cs="Times New Roman"/>
          <w:kern w:val="3"/>
          <w:sz w:val="24"/>
          <w:szCs w:val="24"/>
        </w:rPr>
        <w:t>Results clearly indicated that significantly the highest photosynthetic rate was observed in treatment GB12 in both cultiv</w:t>
      </w:r>
      <w:r w:rsidR="002E3BDF">
        <w:rPr>
          <w:rFonts w:ascii="Times New Roman" w:hAnsi="Times New Roman" w:cs="Times New Roman"/>
          <w:kern w:val="3"/>
          <w:sz w:val="24"/>
          <w:szCs w:val="24"/>
        </w:rPr>
        <w:t xml:space="preserve">ars tested (p &lt; 0.05) (Figure </w:t>
      </w:r>
      <w:r>
        <w:rPr>
          <w:rFonts w:ascii="Times New Roman" w:hAnsi="Times New Roman" w:cs="Times New Roman"/>
          <w:kern w:val="3"/>
          <w:sz w:val="24"/>
          <w:szCs w:val="24"/>
        </w:rPr>
        <w:t>3)</w:t>
      </w:r>
      <w:r>
        <w:rPr>
          <w:rFonts w:ascii="Times New Roman" w:hAnsi="Times New Roman" w:cs="Times New Roman"/>
          <w:sz w:val="24"/>
          <w:szCs w:val="24"/>
          <w:lang w:val="en-GB"/>
        </w:rPr>
        <w:t xml:space="preserve">. </w:t>
      </w:r>
    </w:p>
    <w:p w14:paraId="305083EE" w14:textId="77777777" w:rsidR="006A1FD7" w:rsidRDefault="00466E7F">
      <w:pPr>
        <w:spacing w:after="120" w:line="360" w:lineRule="auto"/>
        <w:jc w:val="center"/>
        <w:rPr>
          <w:rFonts w:ascii="Times New Roman" w:hAnsi="Times New Roman" w:cs="Times New Roman"/>
          <w:sz w:val="24"/>
          <w:szCs w:val="24"/>
          <w:lang w:val="en-GB"/>
        </w:rPr>
      </w:pPr>
      <w:r>
        <w:rPr>
          <w:noProof/>
        </w:rPr>
        <w:drawing>
          <wp:inline distT="0" distB="0" distL="0" distR="0" wp14:anchorId="2A3B665D" wp14:editId="43D2CA23">
            <wp:extent cx="4083685" cy="2165985"/>
            <wp:effectExtent l="5080" t="4445" r="13335" b="1397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BE1FCCF" w14:textId="77777777" w:rsidR="006A1FD7" w:rsidRDefault="002E3BDF">
      <w:pPr>
        <w:jc w:val="center"/>
        <w:rPr>
          <w:rFonts w:ascii="Times New Roman" w:hAnsi="Times New Roman" w:cs="Times New Roman"/>
          <w:b/>
          <w:bCs/>
          <w:kern w:val="3"/>
          <w:sz w:val="20"/>
          <w:szCs w:val="20"/>
        </w:rPr>
      </w:pPr>
      <w:r>
        <w:rPr>
          <w:rFonts w:ascii="Times New Roman" w:hAnsi="Times New Roman" w:cs="Times New Roman"/>
          <w:b/>
          <w:bCs/>
          <w:kern w:val="3"/>
          <w:sz w:val="20"/>
          <w:szCs w:val="20"/>
        </w:rPr>
        <w:t xml:space="preserve">Figure </w:t>
      </w:r>
      <w:r w:rsidR="00466E7F">
        <w:rPr>
          <w:rFonts w:ascii="Times New Roman" w:hAnsi="Times New Roman" w:cs="Times New Roman"/>
          <w:b/>
          <w:bCs/>
          <w:kern w:val="3"/>
          <w:sz w:val="20"/>
          <w:szCs w:val="20"/>
        </w:rPr>
        <w:t>3. Variation of Rate of Photosynthesis among different treatments in general at 14 days after applying treatments (bars with the same letter are not significantly different at p = 0.05)</w:t>
      </w:r>
    </w:p>
    <w:p w14:paraId="47AC3F48" w14:textId="77777777" w:rsidR="006A1FD7" w:rsidRDefault="00466E7F">
      <w:pPr>
        <w:spacing w:after="120" w:line="240" w:lineRule="exact"/>
        <w:jc w:val="both"/>
        <w:rPr>
          <w:rFonts w:ascii="Times New Roman" w:hAnsi="Times New Roman" w:cs="Times New Roman"/>
          <w:sz w:val="24"/>
          <w:szCs w:val="24"/>
          <w:lang w:val="en-GB"/>
        </w:rPr>
      </w:pPr>
      <w:r>
        <w:rPr>
          <w:rFonts w:ascii="Times New Roman" w:hAnsi="Times New Roman" w:cs="Times New Roman"/>
          <w:sz w:val="24"/>
          <w:szCs w:val="24"/>
          <w:lang w:val="en-GB"/>
        </w:rPr>
        <w:t>However, the interaction effect between the treatment and cultivar was significant.  Therefore, the effect of exogenous application of Glycine Betaine was evaluated for the different cultivars separately. Accordingly, in TRI 2023, the drought susceptible cultivar, the highest rate of photosynthesis observed in GB12 was not significantly different to that of GB4 or NS treatment</w:t>
      </w:r>
      <w:r>
        <w:rPr>
          <w:rFonts w:ascii="Times New Roman" w:hAnsi="Times New Roman" w:cs="Times New Roman"/>
          <w:kern w:val="3"/>
          <w:sz w:val="24"/>
          <w:szCs w:val="24"/>
        </w:rPr>
        <w:t xml:space="preserve"> where as in drought tolerant cultivar TRI 2025 the GB12 treatment resulted the highest rate of photosynthesis rate to that of all other treatments </w:t>
      </w:r>
      <w:r>
        <w:rPr>
          <w:rFonts w:ascii="Times New Roman" w:hAnsi="Times New Roman" w:cs="Times New Roman"/>
          <w:color w:val="000000"/>
          <w:kern w:val="3"/>
          <w:sz w:val="24"/>
          <w:szCs w:val="24"/>
        </w:rPr>
        <w:t>(</w:t>
      </w:r>
      <w:r w:rsidR="002E3BDF">
        <w:rPr>
          <w:rFonts w:ascii="Times New Roman" w:hAnsi="Times New Roman" w:cs="Times New Roman"/>
          <w:sz w:val="24"/>
          <w:szCs w:val="24"/>
          <w:lang w:val="en-GB"/>
        </w:rPr>
        <w:t>Figure 4</w:t>
      </w:r>
      <w:r>
        <w:rPr>
          <w:rFonts w:ascii="Times New Roman" w:hAnsi="Times New Roman" w:cs="Times New Roman"/>
          <w:sz w:val="24"/>
          <w:szCs w:val="24"/>
          <w:lang w:val="en-GB"/>
        </w:rPr>
        <w:t>).</w:t>
      </w:r>
    </w:p>
    <w:p w14:paraId="36047BD5" w14:textId="77777777" w:rsidR="006A1FD7" w:rsidRDefault="00466E7F">
      <w:pPr>
        <w:spacing w:line="480" w:lineRule="auto"/>
        <w:jc w:val="center"/>
        <w:rPr>
          <w:rFonts w:ascii="Times New Roman" w:hAnsi="Times New Roman" w:cs="Times New Roman"/>
          <w:sz w:val="24"/>
          <w:szCs w:val="24"/>
          <w:lang w:val="en-GB"/>
        </w:rPr>
      </w:pPr>
      <w:r>
        <w:rPr>
          <w:rFonts w:ascii="Times New Roman" w:hAnsi="Times New Roman" w:cs="Times New Roman"/>
          <w:noProof/>
        </w:rPr>
        <w:drawing>
          <wp:inline distT="0" distB="0" distL="0" distR="0" wp14:anchorId="08A17E14" wp14:editId="366E852E">
            <wp:extent cx="4020185" cy="1934845"/>
            <wp:effectExtent l="4445" t="4445" r="13970" b="165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50F6994" w14:textId="77777777" w:rsidR="006A1FD7" w:rsidRDefault="002E3BDF">
      <w:pPr>
        <w:jc w:val="center"/>
        <w:rPr>
          <w:rFonts w:ascii="Times New Roman" w:hAnsi="Times New Roman" w:cs="Times New Roman"/>
          <w:b/>
          <w:bCs/>
          <w:kern w:val="3"/>
          <w:sz w:val="20"/>
          <w:szCs w:val="20"/>
        </w:rPr>
      </w:pPr>
      <w:r>
        <w:rPr>
          <w:rFonts w:ascii="Times New Roman" w:hAnsi="Times New Roman" w:cs="Times New Roman"/>
          <w:b/>
          <w:bCs/>
          <w:kern w:val="3"/>
          <w:sz w:val="20"/>
          <w:szCs w:val="20"/>
        </w:rPr>
        <w:t xml:space="preserve">Figure </w:t>
      </w:r>
      <w:r w:rsidR="00466E7F">
        <w:rPr>
          <w:rFonts w:ascii="Times New Roman" w:hAnsi="Times New Roman" w:cs="Times New Roman"/>
          <w:b/>
          <w:bCs/>
          <w:kern w:val="3"/>
          <w:sz w:val="20"/>
          <w:szCs w:val="20"/>
        </w:rPr>
        <w:t xml:space="preserve">4. Variation of Rate of Photosynthesis </w:t>
      </w:r>
      <w:bookmarkStart w:id="36" w:name="_Hlk109925070"/>
      <w:r w:rsidR="00466E7F">
        <w:rPr>
          <w:rFonts w:ascii="Times New Roman" w:hAnsi="Times New Roman" w:cs="Times New Roman"/>
          <w:b/>
          <w:bCs/>
          <w:kern w:val="3"/>
          <w:sz w:val="20"/>
          <w:szCs w:val="20"/>
        </w:rPr>
        <w:t>among different treatments in TRI 2023 and TRI 2025</w:t>
      </w:r>
      <w:r w:rsidR="00466E7F">
        <w:rPr>
          <w:rFonts w:ascii="Times New Roman" w:hAnsi="Times New Roman" w:cs="Times New Roman"/>
          <w:b/>
          <w:bCs/>
          <w:sz w:val="20"/>
          <w:szCs w:val="20"/>
        </w:rPr>
        <w:t xml:space="preserve"> at 14 days after applying treatments </w:t>
      </w:r>
      <w:r w:rsidR="00466E7F">
        <w:rPr>
          <w:rFonts w:ascii="Times New Roman" w:hAnsi="Times New Roman" w:cs="Times New Roman"/>
          <w:b/>
          <w:bCs/>
          <w:kern w:val="3"/>
          <w:sz w:val="20"/>
          <w:szCs w:val="20"/>
        </w:rPr>
        <w:t>(similar patterned bars with the same letter are not significantly different at p = 0.05)</w:t>
      </w:r>
      <w:bookmarkEnd w:id="36"/>
    </w:p>
    <w:p w14:paraId="1B522C62" w14:textId="77777777" w:rsidR="006A1FD7" w:rsidRDefault="00466E7F">
      <w:pPr>
        <w:spacing w:after="120" w:line="240" w:lineRule="exact"/>
        <w:jc w:val="both"/>
        <w:rPr>
          <w:rFonts w:ascii="Times New Roman" w:hAnsi="Times New Roman" w:cs="Times New Roman"/>
          <w:sz w:val="24"/>
          <w:szCs w:val="24"/>
          <w:lang w:val="en-GB"/>
        </w:rPr>
      </w:pPr>
      <w:r>
        <w:rPr>
          <w:rFonts w:ascii="Times New Roman" w:hAnsi="Times New Roman" w:cs="Times New Roman"/>
          <w:sz w:val="24"/>
          <w:szCs w:val="24"/>
          <w:lang w:val="en-GB"/>
        </w:rPr>
        <w:t>Under normal ambient atmospheric conditions, a lower rate of photosynthesis (2-14 µmol m</w:t>
      </w:r>
      <w:r>
        <w:rPr>
          <w:rFonts w:ascii="Times New Roman" w:hAnsi="Times New Roman" w:cs="Times New Roman"/>
          <w:sz w:val="24"/>
          <w:szCs w:val="24"/>
          <w:vertAlign w:val="superscript"/>
          <w:lang w:val="en-GB"/>
        </w:rPr>
        <w:t>-2</w:t>
      </w:r>
      <w:r>
        <w:rPr>
          <w:rFonts w:ascii="Times New Roman" w:hAnsi="Times New Roman" w:cs="Times New Roman"/>
          <w:sz w:val="24"/>
          <w:szCs w:val="24"/>
          <w:lang w:val="en-GB"/>
        </w:rPr>
        <w:t xml:space="preserve"> s</w:t>
      </w:r>
      <w:r>
        <w:rPr>
          <w:rFonts w:ascii="Times New Roman" w:hAnsi="Times New Roman" w:cs="Times New Roman"/>
          <w:sz w:val="24"/>
          <w:szCs w:val="24"/>
          <w:vertAlign w:val="superscript"/>
          <w:lang w:val="en-GB"/>
        </w:rPr>
        <w:t>-1</w:t>
      </w:r>
      <w:r>
        <w:rPr>
          <w:rFonts w:ascii="Times New Roman" w:hAnsi="Times New Roman" w:cs="Times New Roman"/>
          <w:sz w:val="24"/>
          <w:szCs w:val="24"/>
          <w:lang w:val="en-GB"/>
        </w:rPr>
        <w:t>) can be observed in tea in comparison to the photosynthesis of the most tropical plants (20-40 µmol m</w:t>
      </w:r>
      <w:r>
        <w:rPr>
          <w:rFonts w:ascii="Times New Roman" w:hAnsi="Times New Roman" w:cs="Times New Roman"/>
          <w:sz w:val="24"/>
          <w:szCs w:val="24"/>
          <w:vertAlign w:val="superscript"/>
          <w:lang w:val="en-GB"/>
        </w:rPr>
        <w:t>-2</w:t>
      </w:r>
      <w:r>
        <w:rPr>
          <w:rFonts w:ascii="Times New Roman" w:hAnsi="Times New Roman" w:cs="Times New Roman"/>
          <w:sz w:val="24"/>
          <w:szCs w:val="24"/>
          <w:lang w:val="en-GB"/>
        </w:rPr>
        <w:t xml:space="preserve"> s</w:t>
      </w:r>
      <w:r>
        <w:rPr>
          <w:rFonts w:ascii="Times New Roman" w:hAnsi="Times New Roman" w:cs="Times New Roman"/>
          <w:sz w:val="24"/>
          <w:szCs w:val="24"/>
          <w:vertAlign w:val="superscript"/>
          <w:lang w:val="en-GB"/>
        </w:rPr>
        <w:t>-1</w:t>
      </w:r>
      <w:bookmarkStart w:id="37" w:name="_Hlk106651698"/>
      <w:r>
        <w:rPr>
          <w:rFonts w:ascii="Times New Roman" w:hAnsi="Times New Roman" w:cs="Times New Roman"/>
          <w:sz w:val="24"/>
          <w:szCs w:val="24"/>
          <w:lang w:val="en-GB"/>
        </w:rPr>
        <w:t>)</w:t>
      </w:r>
      <w:bookmarkEnd w:id="37"/>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Mohotti</w:t>
      </w:r>
      <w:proofErr w:type="spellEnd"/>
      <w:r>
        <w:rPr>
          <w:rFonts w:ascii="Times New Roman" w:hAnsi="Times New Roman" w:cs="Times New Roman"/>
          <w:sz w:val="24"/>
          <w:szCs w:val="24"/>
          <w:lang w:val="en-GB"/>
        </w:rPr>
        <w:t xml:space="preserve"> </w:t>
      </w:r>
      <w:r>
        <w:rPr>
          <w:rFonts w:ascii="Times New Roman" w:hAnsi="Times New Roman" w:cs="Times New Roman"/>
          <w:i/>
          <w:iCs/>
          <w:sz w:val="24"/>
          <w:szCs w:val="24"/>
          <w:lang w:val="en-GB"/>
        </w:rPr>
        <w:t>et al</w:t>
      </w:r>
      <w:r>
        <w:rPr>
          <w:rFonts w:ascii="Times New Roman" w:hAnsi="Times New Roman" w:cs="Times New Roman"/>
          <w:sz w:val="24"/>
          <w:szCs w:val="24"/>
          <w:lang w:val="en-GB"/>
        </w:rPr>
        <w:t>., 2000). However, the efficiency of CO</w:t>
      </w:r>
      <w:r>
        <w:rPr>
          <w:rFonts w:ascii="Times New Roman" w:hAnsi="Times New Roman" w:cs="Times New Roman"/>
          <w:sz w:val="24"/>
          <w:szCs w:val="24"/>
          <w:vertAlign w:val="subscript"/>
          <w:lang w:val="en-GB"/>
        </w:rPr>
        <w:t>2</w:t>
      </w:r>
      <w:r>
        <w:rPr>
          <w:rFonts w:ascii="Times New Roman" w:hAnsi="Times New Roman" w:cs="Times New Roman"/>
          <w:sz w:val="24"/>
          <w:szCs w:val="24"/>
          <w:lang w:val="en-GB"/>
        </w:rPr>
        <w:t xml:space="preserve"> fixation by photosynthesis process depends on both internal plant anatomical, physiological, biochemical factors and the external environmental factors. In addition to the internal factors, the external factors are influencing photosynthesis of tea leaves of different cultivars. Light, water and nutrition are the major external environmental factors affecting photosynthesis of tea </w:t>
      </w:r>
      <w:bookmarkStart w:id="38" w:name="_Hlk106654442"/>
      <w:r>
        <w:rPr>
          <w:rFonts w:ascii="Times New Roman" w:hAnsi="Times New Roman" w:cs="Times New Roman"/>
          <w:sz w:val="24"/>
          <w:szCs w:val="24"/>
          <w:lang w:val="en-GB"/>
        </w:rPr>
        <w:t xml:space="preserve">(De Costa </w:t>
      </w:r>
      <w:r>
        <w:rPr>
          <w:rFonts w:ascii="Times New Roman" w:hAnsi="Times New Roman" w:cs="Times New Roman"/>
          <w:i/>
          <w:iCs/>
          <w:sz w:val="24"/>
          <w:szCs w:val="24"/>
          <w:lang w:val="en-GB"/>
        </w:rPr>
        <w:t>et al.</w:t>
      </w:r>
      <w:r>
        <w:rPr>
          <w:rFonts w:ascii="Times New Roman" w:hAnsi="Times New Roman" w:cs="Times New Roman"/>
          <w:sz w:val="24"/>
          <w:szCs w:val="24"/>
          <w:lang w:val="en-GB"/>
        </w:rPr>
        <w:t>, 2007)</w:t>
      </w:r>
      <w:bookmarkEnd w:id="38"/>
      <w:r>
        <w:rPr>
          <w:rFonts w:ascii="Times New Roman" w:hAnsi="Times New Roman" w:cs="Times New Roman"/>
          <w:sz w:val="24"/>
          <w:szCs w:val="24"/>
          <w:lang w:val="en-GB"/>
        </w:rPr>
        <w:t xml:space="preserve">. Therefore, the observed lower rates of </w:t>
      </w:r>
      <w:r>
        <w:rPr>
          <w:rFonts w:ascii="Times New Roman" w:hAnsi="Times New Roman" w:cs="Times New Roman"/>
          <w:sz w:val="24"/>
          <w:szCs w:val="24"/>
          <w:lang w:val="en-GB"/>
        </w:rPr>
        <w:lastRenderedPageBreak/>
        <w:t>photosynthesis are justifiable in this experiment as this study was conducted under moisture stressed conditions.</w:t>
      </w:r>
    </w:p>
    <w:p w14:paraId="3A7D685E" w14:textId="77777777" w:rsidR="006A1FD7" w:rsidRDefault="00466E7F">
      <w:pPr>
        <w:pStyle w:val="Subsubtitle"/>
        <w:spacing w:line="240" w:lineRule="exact"/>
        <w:rPr>
          <w:color w:val="000000"/>
          <w:kern w:val="3"/>
        </w:rPr>
      </w:pPr>
      <w:bookmarkStart w:id="39" w:name="_Toc110097893"/>
      <w:r>
        <w:t>Stomatal conductance</w:t>
      </w:r>
      <w:bookmarkEnd w:id="39"/>
      <w:r>
        <w:t xml:space="preserve"> </w:t>
      </w:r>
      <w:r>
        <w:rPr>
          <w:color w:val="000000"/>
          <w:kern w:val="3"/>
        </w:rPr>
        <w:t xml:space="preserve"> </w:t>
      </w:r>
    </w:p>
    <w:p w14:paraId="7819C3E6" w14:textId="77777777" w:rsidR="006A1FD7" w:rsidRDefault="00466E7F">
      <w:pPr>
        <w:spacing w:after="120" w:line="240" w:lineRule="exact"/>
        <w:jc w:val="both"/>
        <w:rPr>
          <w:rFonts w:ascii="Times New Roman" w:hAnsi="Times New Roman" w:cs="Times New Roman"/>
          <w:color w:val="000000"/>
          <w:kern w:val="3"/>
          <w:sz w:val="24"/>
          <w:szCs w:val="24"/>
        </w:rPr>
      </w:pPr>
      <w:r>
        <w:rPr>
          <w:rFonts w:ascii="Times New Roman" w:hAnsi="Times New Roman" w:cs="Times New Roman"/>
          <w:color w:val="000000"/>
          <w:kern w:val="3"/>
          <w:sz w:val="24"/>
          <w:szCs w:val="24"/>
        </w:rPr>
        <w:t>Results clearly indicated that the highest stomatal conductance was observed in GB20 treatment in both cultivars (p &lt; 0.05) tested with no significant diffe</w:t>
      </w:r>
      <w:r w:rsidR="002E3BDF">
        <w:rPr>
          <w:rFonts w:ascii="Times New Roman" w:hAnsi="Times New Roman" w:cs="Times New Roman"/>
          <w:color w:val="000000"/>
          <w:kern w:val="3"/>
          <w:sz w:val="24"/>
          <w:szCs w:val="24"/>
        </w:rPr>
        <w:t xml:space="preserve">rence to that of GB12 (Figure </w:t>
      </w:r>
      <w:r>
        <w:rPr>
          <w:rFonts w:ascii="Times New Roman" w:hAnsi="Times New Roman" w:cs="Times New Roman"/>
          <w:color w:val="000000"/>
          <w:kern w:val="3"/>
          <w:sz w:val="24"/>
          <w:szCs w:val="24"/>
        </w:rPr>
        <w:t xml:space="preserve">5). </w:t>
      </w:r>
    </w:p>
    <w:p w14:paraId="0F7D4206" w14:textId="77777777" w:rsidR="006A1FD7" w:rsidRDefault="00466E7F">
      <w:pPr>
        <w:spacing w:after="120" w:line="360" w:lineRule="auto"/>
        <w:jc w:val="center"/>
        <w:rPr>
          <w:rFonts w:ascii="Times New Roman" w:hAnsi="Times New Roman" w:cs="Times New Roman"/>
          <w:color w:val="000000"/>
          <w:kern w:val="3"/>
          <w:sz w:val="24"/>
          <w:szCs w:val="24"/>
        </w:rPr>
      </w:pPr>
      <w:r>
        <w:rPr>
          <w:noProof/>
        </w:rPr>
        <w:drawing>
          <wp:inline distT="0" distB="0" distL="0" distR="0" wp14:anchorId="48F80D3A" wp14:editId="6F2049E7">
            <wp:extent cx="4196080" cy="2491740"/>
            <wp:effectExtent l="4445" t="4445" r="15875" b="571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35A9035" w14:textId="77777777" w:rsidR="006A1FD7" w:rsidRDefault="002E3BDF">
      <w:pPr>
        <w:jc w:val="center"/>
        <w:rPr>
          <w:rFonts w:ascii="Times New Roman" w:hAnsi="Times New Roman" w:cs="Times New Roman"/>
          <w:sz w:val="20"/>
          <w:szCs w:val="20"/>
          <w:lang w:val="en-GB"/>
        </w:rPr>
      </w:pPr>
      <w:r>
        <w:rPr>
          <w:rFonts w:ascii="Times New Roman" w:hAnsi="Times New Roman" w:cs="Times New Roman"/>
          <w:b/>
          <w:bCs/>
          <w:kern w:val="3"/>
          <w:sz w:val="20"/>
          <w:szCs w:val="20"/>
        </w:rPr>
        <w:t xml:space="preserve">Figure </w:t>
      </w:r>
      <w:r w:rsidR="00466E7F">
        <w:rPr>
          <w:rFonts w:ascii="Times New Roman" w:hAnsi="Times New Roman" w:cs="Times New Roman"/>
          <w:b/>
          <w:bCs/>
          <w:kern w:val="3"/>
          <w:sz w:val="20"/>
          <w:szCs w:val="20"/>
        </w:rPr>
        <w:t xml:space="preserve">5. Variation of </w:t>
      </w:r>
      <w:r w:rsidR="00466E7F">
        <w:rPr>
          <w:rFonts w:ascii="Times New Roman" w:hAnsi="Times New Roman" w:cs="Times New Roman"/>
          <w:b/>
          <w:bCs/>
          <w:sz w:val="20"/>
          <w:szCs w:val="20"/>
          <w:lang w:val="en-GB"/>
        </w:rPr>
        <w:t>Stomatal Conductance</w:t>
      </w:r>
      <w:r w:rsidR="00466E7F">
        <w:rPr>
          <w:rFonts w:ascii="Times New Roman" w:hAnsi="Times New Roman" w:cs="Times New Roman"/>
          <w:b/>
          <w:bCs/>
          <w:kern w:val="3"/>
          <w:sz w:val="20"/>
          <w:szCs w:val="20"/>
        </w:rPr>
        <w:t xml:space="preserve"> among different treatments in general at 14 days after applying treatments (bars with the same letter are not significantly different at p = 0.05)</w:t>
      </w:r>
    </w:p>
    <w:p w14:paraId="545B2BA7" w14:textId="77777777" w:rsidR="006A1FD7" w:rsidRDefault="00466E7F">
      <w:pPr>
        <w:spacing w:after="120" w:line="240" w:lineRule="exact"/>
        <w:jc w:val="both"/>
        <w:rPr>
          <w:rFonts w:ascii="Times New Roman" w:hAnsi="Times New Roman" w:cs="Times New Roman"/>
          <w:color w:val="000000"/>
          <w:kern w:val="3"/>
          <w:sz w:val="24"/>
          <w:szCs w:val="24"/>
        </w:rPr>
      </w:pPr>
      <w:r>
        <w:rPr>
          <w:rFonts w:ascii="Times New Roman" w:hAnsi="Times New Roman" w:cs="Times New Roman"/>
          <w:color w:val="000000"/>
          <w:kern w:val="3"/>
          <w:sz w:val="24"/>
          <w:szCs w:val="24"/>
        </w:rPr>
        <w:t xml:space="preserve">Similarly, that of rate of photosynthesis, the interaction effect of cultivar and treatment was significant.  Therefore, the effect of Glycine Betaine application was evaluated for different cultivars separately. Accordingly, in treatment TRI 2023, the drought susceptible cultivar the highest stomatal conductance observed in GB12 and GB20 treatments were not significantly different to that of WS. Further, in TRI 2025, the drought tolerant cultivar, there was no significant difference of highest stomatal conductance observed in GB20 to that of NS treatment </w:t>
      </w:r>
      <w:bookmarkStart w:id="40" w:name="_Hlk109590227"/>
      <w:r>
        <w:rPr>
          <w:rFonts w:ascii="Times New Roman" w:hAnsi="Times New Roman" w:cs="Times New Roman"/>
          <w:color w:val="000000"/>
          <w:kern w:val="3"/>
          <w:sz w:val="24"/>
          <w:szCs w:val="24"/>
        </w:rPr>
        <w:t>(</w:t>
      </w:r>
      <w:r w:rsidR="002E3BDF">
        <w:rPr>
          <w:rFonts w:ascii="Times New Roman" w:hAnsi="Times New Roman" w:cs="Times New Roman"/>
          <w:sz w:val="24"/>
          <w:szCs w:val="24"/>
          <w:lang w:val="en-GB"/>
        </w:rPr>
        <w:t xml:space="preserve">Figure </w:t>
      </w:r>
      <w:r>
        <w:rPr>
          <w:rFonts w:ascii="Times New Roman" w:hAnsi="Times New Roman" w:cs="Times New Roman"/>
          <w:sz w:val="24"/>
          <w:szCs w:val="24"/>
          <w:lang w:val="en-GB"/>
        </w:rPr>
        <w:t>6).</w:t>
      </w:r>
      <w:bookmarkEnd w:id="40"/>
    </w:p>
    <w:p w14:paraId="48A67CCF" w14:textId="77777777" w:rsidR="006A1FD7" w:rsidRDefault="00466E7F">
      <w:pPr>
        <w:spacing w:line="480" w:lineRule="auto"/>
        <w:jc w:val="center"/>
        <w:rPr>
          <w:rFonts w:ascii="Times New Roman" w:hAnsi="Times New Roman" w:cs="Times New Roman"/>
          <w:color w:val="000000"/>
          <w:kern w:val="3"/>
          <w:sz w:val="24"/>
          <w:szCs w:val="24"/>
        </w:rPr>
      </w:pPr>
      <w:r>
        <w:rPr>
          <w:rFonts w:ascii="Times New Roman" w:hAnsi="Times New Roman" w:cs="Times New Roman"/>
          <w:noProof/>
        </w:rPr>
        <w:drawing>
          <wp:inline distT="0" distB="0" distL="0" distR="0" wp14:anchorId="44C008F8" wp14:editId="1624FB39">
            <wp:extent cx="4678680" cy="2223135"/>
            <wp:effectExtent l="4445" t="4445" r="15875" b="762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60EF48E" w14:textId="77777777" w:rsidR="006A1FD7" w:rsidRDefault="002E3BDF">
      <w:pPr>
        <w:jc w:val="center"/>
        <w:rPr>
          <w:rFonts w:ascii="Times New Roman" w:hAnsi="Times New Roman" w:cs="Times New Roman"/>
          <w:sz w:val="20"/>
          <w:szCs w:val="20"/>
          <w:lang w:val="en-GB"/>
        </w:rPr>
      </w:pPr>
      <w:r>
        <w:rPr>
          <w:rFonts w:ascii="Times New Roman" w:hAnsi="Times New Roman" w:cs="Times New Roman"/>
          <w:b/>
          <w:bCs/>
          <w:kern w:val="3"/>
          <w:sz w:val="20"/>
          <w:szCs w:val="20"/>
        </w:rPr>
        <w:t xml:space="preserve">Figure </w:t>
      </w:r>
      <w:r w:rsidR="00466E7F">
        <w:rPr>
          <w:rFonts w:ascii="Times New Roman" w:hAnsi="Times New Roman" w:cs="Times New Roman"/>
          <w:b/>
          <w:bCs/>
          <w:kern w:val="3"/>
          <w:sz w:val="20"/>
          <w:szCs w:val="20"/>
        </w:rPr>
        <w:t xml:space="preserve">6. Variation of </w:t>
      </w:r>
      <w:r w:rsidR="00466E7F">
        <w:rPr>
          <w:rFonts w:ascii="Times New Roman" w:hAnsi="Times New Roman" w:cs="Times New Roman"/>
          <w:b/>
          <w:bCs/>
          <w:sz w:val="20"/>
          <w:szCs w:val="20"/>
          <w:lang w:val="en-GB"/>
        </w:rPr>
        <w:t>Stomatal Conductance</w:t>
      </w:r>
      <w:r w:rsidR="00466E7F">
        <w:rPr>
          <w:rFonts w:ascii="Times New Roman" w:hAnsi="Times New Roman" w:cs="Times New Roman"/>
          <w:b/>
          <w:bCs/>
          <w:kern w:val="3"/>
          <w:sz w:val="20"/>
          <w:szCs w:val="20"/>
        </w:rPr>
        <w:t xml:space="preserve"> among different treatments in TRI 2023 and TRI 2025 at 14 days after applying treatments (similar patterned bars with the same letter are not significantly different at p = 0.05)</w:t>
      </w:r>
    </w:p>
    <w:p w14:paraId="76C8BFE1" w14:textId="77777777" w:rsidR="006A1FD7" w:rsidRDefault="00466E7F">
      <w:pPr>
        <w:spacing w:after="120" w:line="240" w:lineRule="exact"/>
        <w:jc w:val="both"/>
        <w:rPr>
          <w:rFonts w:ascii="Times New Roman" w:hAnsi="Times New Roman" w:cs="Times New Roman"/>
          <w:lang w:val="en-GB"/>
        </w:rPr>
      </w:pPr>
      <w:r>
        <w:rPr>
          <w:rFonts w:ascii="Times New Roman" w:hAnsi="Times New Roman" w:cs="Times New Roman"/>
          <w:sz w:val="24"/>
          <w:szCs w:val="24"/>
          <w:lang w:val="en-GB"/>
        </w:rPr>
        <w:t xml:space="preserve">Decrease of photosynthesis during water stress is a consequence of both stomatal closures causing increased constraints on carbon dioxide diffusion and decreased chloroplast activity (De Costa </w:t>
      </w:r>
      <w:r>
        <w:rPr>
          <w:rFonts w:ascii="Times New Roman" w:hAnsi="Times New Roman" w:cs="Times New Roman"/>
          <w:i/>
          <w:iCs/>
          <w:sz w:val="24"/>
          <w:szCs w:val="24"/>
          <w:lang w:val="en-GB"/>
        </w:rPr>
        <w:t>et al.</w:t>
      </w:r>
      <w:r>
        <w:rPr>
          <w:rFonts w:ascii="Times New Roman" w:hAnsi="Times New Roman" w:cs="Times New Roman"/>
          <w:sz w:val="24"/>
          <w:szCs w:val="24"/>
          <w:lang w:val="en-GB"/>
        </w:rPr>
        <w:t xml:space="preserve">, 2007). </w:t>
      </w:r>
    </w:p>
    <w:p w14:paraId="0E7601D8" w14:textId="77777777" w:rsidR="006A1FD7" w:rsidRDefault="006A1FD7">
      <w:pPr>
        <w:pStyle w:val="Subsubtitle"/>
        <w:spacing w:line="240" w:lineRule="exact"/>
      </w:pPr>
      <w:bookmarkStart w:id="41" w:name="_Toc110097894"/>
    </w:p>
    <w:p w14:paraId="60316C8C" w14:textId="77777777" w:rsidR="006A1FD7" w:rsidRDefault="00466E7F">
      <w:pPr>
        <w:pStyle w:val="Subsubtitle"/>
        <w:spacing w:line="240" w:lineRule="exact"/>
      </w:pPr>
      <w:r>
        <w:t>Transpiration rate</w:t>
      </w:r>
      <w:bookmarkEnd w:id="41"/>
    </w:p>
    <w:p w14:paraId="631E0FB9" w14:textId="77777777" w:rsidR="006A1FD7" w:rsidRDefault="00466E7F">
      <w:pPr>
        <w:spacing w:after="120" w:line="240" w:lineRule="exact"/>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According to De Costa </w:t>
      </w:r>
      <w:r>
        <w:rPr>
          <w:rFonts w:ascii="Times New Roman" w:hAnsi="Times New Roman" w:cs="Times New Roman"/>
          <w:i/>
          <w:iCs/>
          <w:sz w:val="24"/>
          <w:szCs w:val="24"/>
          <w:lang w:val="en-GB"/>
        </w:rPr>
        <w:t>et al.,</w:t>
      </w:r>
      <w:r>
        <w:rPr>
          <w:rFonts w:ascii="Times New Roman" w:hAnsi="Times New Roman" w:cs="Times New Roman"/>
          <w:sz w:val="24"/>
          <w:szCs w:val="24"/>
          <w:lang w:val="en-GB"/>
        </w:rPr>
        <w:t xml:space="preserve"> (2007), both hourly and daily transpiration rates of tea plants were highly sensitive to soil water availability. Results clearly indicated that highest transpiration rate was observed in treatment GB20 treatment in both cultivars (p &lt; 0.05) </w:t>
      </w:r>
      <w:r>
        <w:rPr>
          <w:rFonts w:ascii="Times New Roman" w:hAnsi="Times New Roman" w:cs="Times New Roman"/>
          <w:color w:val="000000"/>
          <w:kern w:val="3"/>
          <w:sz w:val="24"/>
          <w:szCs w:val="24"/>
        </w:rPr>
        <w:t>(</w:t>
      </w:r>
      <w:r w:rsidR="002E3BDF">
        <w:rPr>
          <w:rFonts w:ascii="Times New Roman" w:hAnsi="Times New Roman" w:cs="Times New Roman"/>
          <w:sz w:val="24"/>
          <w:szCs w:val="24"/>
          <w:lang w:val="en-GB"/>
        </w:rPr>
        <w:t xml:space="preserve">Figure </w:t>
      </w:r>
      <w:r>
        <w:rPr>
          <w:rFonts w:ascii="Times New Roman" w:hAnsi="Times New Roman" w:cs="Times New Roman"/>
          <w:sz w:val="24"/>
          <w:szCs w:val="24"/>
          <w:lang w:val="en-GB"/>
        </w:rPr>
        <w:t>7).</w:t>
      </w:r>
    </w:p>
    <w:p w14:paraId="134E1662" w14:textId="77777777" w:rsidR="006A1FD7" w:rsidRDefault="00466E7F">
      <w:pPr>
        <w:spacing w:after="120" w:line="360" w:lineRule="auto"/>
        <w:jc w:val="center"/>
        <w:rPr>
          <w:rFonts w:ascii="Times New Roman" w:hAnsi="Times New Roman" w:cs="Times New Roman"/>
          <w:sz w:val="24"/>
          <w:szCs w:val="24"/>
          <w:lang w:val="en-GB"/>
        </w:rPr>
      </w:pPr>
      <w:r>
        <w:rPr>
          <w:noProof/>
        </w:rPr>
        <w:drawing>
          <wp:inline distT="0" distB="0" distL="0" distR="0" wp14:anchorId="23C6671E" wp14:editId="0D6EA03A">
            <wp:extent cx="4114800" cy="2344420"/>
            <wp:effectExtent l="4445" t="4445" r="8255" b="1333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5BD6FD7" w14:textId="77777777" w:rsidR="006A1FD7" w:rsidRDefault="002E3BDF">
      <w:pPr>
        <w:jc w:val="center"/>
        <w:rPr>
          <w:rFonts w:ascii="Times New Roman" w:hAnsi="Times New Roman" w:cs="Times New Roman"/>
          <w:b/>
          <w:bCs/>
          <w:kern w:val="3"/>
          <w:sz w:val="20"/>
          <w:szCs w:val="20"/>
        </w:rPr>
      </w:pPr>
      <w:r>
        <w:rPr>
          <w:rFonts w:ascii="Times New Roman" w:hAnsi="Times New Roman" w:cs="Times New Roman"/>
          <w:b/>
          <w:bCs/>
          <w:kern w:val="3"/>
          <w:sz w:val="20"/>
          <w:szCs w:val="20"/>
        </w:rPr>
        <w:t xml:space="preserve">Figure </w:t>
      </w:r>
      <w:r w:rsidR="00466E7F">
        <w:rPr>
          <w:rFonts w:ascii="Times New Roman" w:hAnsi="Times New Roman" w:cs="Times New Roman"/>
          <w:b/>
          <w:bCs/>
          <w:kern w:val="3"/>
          <w:sz w:val="20"/>
          <w:szCs w:val="20"/>
        </w:rPr>
        <w:t xml:space="preserve">7. Variation of </w:t>
      </w:r>
      <w:r w:rsidR="00466E7F">
        <w:rPr>
          <w:rFonts w:ascii="Times New Roman" w:hAnsi="Times New Roman" w:cs="Times New Roman"/>
          <w:b/>
          <w:bCs/>
          <w:sz w:val="20"/>
          <w:szCs w:val="20"/>
          <w:lang w:val="en-GB"/>
        </w:rPr>
        <w:t>Transpiration Rate</w:t>
      </w:r>
      <w:r w:rsidR="00466E7F">
        <w:rPr>
          <w:rFonts w:ascii="Times New Roman" w:hAnsi="Times New Roman" w:cs="Times New Roman"/>
          <w:b/>
          <w:bCs/>
          <w:kern w:val="3"/>
          <w:sz w:val="20"/>
          <w:szCs w:val="20"/>
        </w:rPr>
        <w:t xml:space="preserve"> among different treatments in general at 14 days after applying treatments (bars with the same letter are not significantly different at p = 0.05)</w:t>
      </w:r>
    </w:p>
    <w:p w14:paraId="3F785476" w14:textId="77777777" w:rsidR="006A1FD7" w:rsidRDefault="00466E7F">
      <w:pPr>
        <w:spacing w:after="120" w:line="240" w:lineRule="exact"/>
        <w:jc w:val="both"/>
        <w:rPr>
          <w:rFonts w:ascii="Times New Roman" w:hAnsi="Times New Roman" w:cs="Times New Roman"/>
          <w:sz w:val="24"/>
          <w:szCs w:val="24"/>
          <w:lang w:val="en-GB"/>
        </w:rPr>
      </w:pPr>
      <w:r>
        <w:rPr>
          <w:rFonts w:ascii="Times New Roman" w:hAnsi="Times New Roman" w:cs="Times New Roman"/>
          <w:sz w:val="24"/>
          <w:szCs w:val="24"/>
          <w:lang w:val="en-GB"/>
        </w:rPr>
        <w:t>Here again, the interaction effect of cultivar and treatment was significant.  Therefore, the effect of Glycine Betaine application was evaluated for different cultivars separately. It clearly showed that the application of GB12 and GB20 in drought susceptible TRI 2023 was significantly highest with no significant difference to that of WS treatment. In drought tolerant TRI 2025, the significantly the highest transpiration rate resulted in GB20 treatment was not significantly different to</w:t>
      </w:r>
      <w:r w:rsidR="002E3BDF">
        <w:rPr>
          <w:rFonts w:ascii="Times New Roman" w:hAnsi="Times New Roman" w:cs="Times New Roman"/>
          <w:sz w:val="24"/>
          <w:szCs w:val="24"/>
          <w:lang w:val="en-GB"/>
        </w:rPr>
        <w:t xml:space="preserve"> that of NS treatment (Figure </w:t>
      </w:r>
      <w:r>
        <w:rPr>
          <w:rFonts w:ascii="Times New Roman" w:hAnsi="Times New Roman" w:cs="Times New Roman"/>
          <w:sz w:val="24"/>
          <w:szCs w:val="24"/>
          <w:lang w:val="en-GB"/>
        </w:rPr>
        <w:t>8).</w:t>
      </w:r>
    </w:p>
    <w:p w14:paraId="064D060B" w14:textId="77777777" w:rsidR="006A1FD7" w:rsidRDefault="00466E7F">
      <w:pPr>
        <w:spacing w:line="480" w:lineRule="auto"/>
        <w:jc w:val="center"/>
        <w:rPr>
          <w:rFonts w:ascii="Times New Roman" w:hAnsi="Times New Roman" w:cs="Times New Roman"/>
          <w:sz w:val="24"/>
          <w:szCs w:val="24"/>
          <w:lang w:val="en-GB"/>
        </w:rPr>
      </w:pPr>
      <w:r>
        <w:rPr>
          <w:rFonts w:ascii="Times New Roman" w:hAnsi="Times New Roman" w:cs="Times New Roman"/>
          <w:noProof/>
        </w:rPr>
        <w:drawing>
          <wp:inline distT="0" distB="0" distL="0" distR="0" wp14:anchorId="680578A1" wp14:editId="34F1B518">
            <wp:extent cx="4330700" cy="2170430"/>
            <wp:effectExtent l="4445" t="5080" r="8255" b="889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3ED78EF" w14:textId="77777777" w:rsidR="006A1FD7" w:rsidRDefault="002E3BDF">
      <w:pPr>
        <w:jc w:val="center"/>
        <w:rPr>
          <w:rFonts w:ascii="Times New Roman" w:hAnsi="Times New Roman" w:cs="Times New Roman"/>
          <w:b/>
          <w:bCs/>
          <w:kern w:val="3"/>
          <w:sz w:val="20"/>
          <w:szCs w:val="20"/>
        </w:rPr>
      </w:pPr>
      <w:r>
        <w:rPr>
          <w:rFonts w:ascii="Times New Roman" w:hAnsi="Times New Roman" w:cs="Times New Roman"/>
          <w:b/>
          <w:bCs/>
          <w:kern w:val="3"/>
          <w:sz w:val="20"/>
          <w:szCs w:val="20"/>
        </w:rPr>
        <w:t xml:space="preserve">Figure </w:t>
      </w:r>
      <w:r w:rsidR="00466E7F">
        <w:rPr>
          <w:rFonts w:ascii="Times New Roman" w:hAnsi="Times New Roman" w:cs="Times New Roman"/>
          <w:b/>
          <w:bCs/>
          <w:kern w:val="3"/>
          <w:sz w:val="20"/>
          <w:szCs w:val="20"/>
        </w:rPr>
        <w:t xml:space="preserve">8. Variation of </w:t>
      </w:r>
      <w:r w:rsidR="00466E7F">
        <w:rPr>
          <w:rFonts w:ascii="Times New Roman" w:hAnsi="Times New Roman" w:cs="Times New Roman"/>
          <w:b/>
          <w:bCs/>
          <w:sz w:val="20"/>
          <w:szCs w:val="20"/>
          <w:lang w:val="en-GB"/>
        </w:rPr>
        <w:t>Transpiration Rate</w:t>
      </w:r>
      <w:r w:rsidR="00466E7F">
        <w:rPr>
          <w:rFonts w:ascii="Times New Roman" w:hAnsi="Times New Roman" w:cs="Times New Roman"/>
          <w:b/>
          <w:bCs/>
          <w:kern w:val="3"/>
          <w:sz w:val="20"/>
          <w:szCs w:val="20"/>
        </w:rPr>
        <w:t xml:space="preserve"> among different treatments in TRI 2023 and TRI 2025 at 14 days after applying treatments (similar patterned bars with the same letter are not significantly different at p = 0.05)</w:t>
      </w:r>
    </w:p>
    <w:p w14:paraId="584557B8" w14:textId="77777777" w:rsidR="006A1FD7" w:rsidRDefault="00466E7F">
      <w:pPr>
        <w:spacing w:after="120" w:line="240" w:lineRule="exact"/>
        <w:jc w:val="both"/>
        <w:rPr>
          <w:rFonts w:ascii="Times New Roman" w:hAnsi="Times New Roman" w:cs="Times New Roman"/>
          <w:b/>
          <w:bCs/>
          <w:sz w:val="24"/>
          <w:szCs w:val="24"/>
          <w:lang w:val="en-GB"/>
        </w:rPr>
      </w:pPr>
      <w:r>
        <w:rPr>
          <w:rFonts w:ascii="Times New Roman" w:hAnsi="Times New Roman" w:cs="Times New Roman"/>
          <w:sz w:val="24"/>
          <w:szCs w:val="24"/>
          <w:lang w:val="en-GB"/>
        </w:rPr>
        <w:t xml:space="preserve">The results are in agreement with </w:t>
      </w:r>
      <w:proofErr w:type="spellStart"/>
      <w:r>
        <w:rPr>
          <w:rFonts w:ascii="Times New Roman" w:hAnsi="Times New Roman" w:cs="Times New Roman"/>
          <w:sz w:val="24"/>
          <w:szCs w:val="24"/>
          <w:lang w:val="en-GB"/>
        </w:rPr>
        <w:t>Damayanthi</w:t>
      </w:r>
      <w:proofErr w:type="spellEnd"/>
      <w:r>
        <w:rPr>
          <w:rFonts w:ascii="Times New Roman" w:hAnsi="Times New Roman" w:cs="Times New Roman"/>
          <w:sz w:val="24"/>
          <w:szCs w:val="24"/>
          <w:lang w:val="en-GB"/>
        </w:rPr>
        <w:t xml:space="preserve"> </w:t>
      </w:r>
      <w:r>
        <w:rPr>
          <w:rFonts w:ascii="Times New Roman" w:hAnsi="Times New Roman" w:cs="Times New Roman"/>
          <w:i/>
          <w:iCs/>
          <w:sz w:val="24"/>
          <w:szCs w:val="24"/>
          <w:lang w:val="en-GB"/>
        </w:rPr>
        <w:t>et al.,</w:t>
      </w:r>
      <w:r>
        <w:rPr>
          <w:rFonts w:ascii="Times New Roman" w:hAnsi="Times New Roman" w:cs="Times New Roman"/>
          <w:sz w:val="24"/>
          <w:szCs w:val="24"/>
          <w:lang w:val="en-GB"/>
        </w:rPr>
        <w:t xml:space="preserve"> 2010, where it was emphasized that the mean transpiration rate was significantly (p &lt; 0.05) different amongst different cultivars and different soil moisture levels (p &lt; 0.05). </w:t>
      </w:r>
    </w:p>
    <w:p w14:paraId="77430116" w14:textId="77777777" w:rsidR="006A1FD7" w:rsidRDefault="00466E7F">
      <w:pPr>
        <w:pStyle w:val="Subsubtitle"/>
        <w:spacing w:line="240" w:lineRule="exact"/>
      </w:pPr>
      <w:bookmarkStart w:id="42" w:name="_Toc110097895"/>
      <w:bookmarkStart w:id="43" w:name="_Hlk106749761"/>
      <w:r>
        <w:lastRenderedPageBreak/>
        <w:t>Leaf Temperature</w:t>
      </w:r>
      <w:bookmarkEnd w:id="42"/>
      <w:r>
        <w:t xml:space="preserve"> </w:t>
      </w:r>
      <w:bookmarkEnd w:id="43"/>
    </w:p>
    <w:p w14:paraId="608DA1A0" w14:textId="77777777" w:rsidR="006A1FD7" w:rsidRDefault="00466E7F">
      <w:pPr>
        <w:spacing w:after="120" w:line="240" w:lineRule="exact"/>
        <w:jc w:val="both"/>
        <w:rPr>
          <w:rFonts w:ascii="Times New Roman" w:hAnsi="Times New Roman" w:cs="Times New Roman"/>
          <w:lang w:val="en-GB"/>
        </w:rPr>
      </w:pPr>
      <w:r>
        <w:rPr>
          <w:rFonts w:ascii="Times New Roman" w:hAnsi="Times New Roman" w:cs="Times New Roman"/>
          <w:sz w:val="24"/>
          <w:szCs w:val="24"/>
          <w:lang w:val="en-GB"/>
        </w:rPr>
        <w:t>Results clearly indicated that the application of GB12, GB20 or WS resulted the lowest leaf temperature in both cultivars tested. Further, the highest leaf temperature observed in GB4 treatment was not significantly different to that of NS treatment in cultivar TRI 2023. In cultivar TRI 2025, significantly the highest leaf temperature was obs</w:t>
      </w:r>
      <w:r w:rsidR="002E3BDF">
        <w:rPr>
          <w:rFonts w:ascii="Times New Roman" w:hAnsi="Times New Roman" w:cs="Times New Roman"/>
          <w:sz w:val="24"/>
          <w:szCs w:val="24"/>
          <w:lang w:val="en-GB"/>
        </w:rPr>
        <w:t xml:space="preserve">erved in NS treatment (Figure </w:t>
      </w:r>
      <w:r>
        <w:rPr>
          <w:rFonts w:ascii="Times New Roman" w:hAnsi="Times New Roman" w:cs="Times New Roman"/>
          <w:sz w:val="24"/>
          <w:szCs w:val="24"/>
          <w:lang w:val="en-GB"/>
        </w:rPr>
        <w:t>9).</w:t>
      </w:r>
      <w:r>
        <w:rPr>
          <w:rFonts w:ascii="Times New Roman" w:hAnsi="Times New Roman" w:cs="Times New Roman"/>
          <w:color w:val="1C1D1E"/>
          <w:shd w:val="clear" w:color="auto" w:fill="FFFFFF"/>
          <w:lang w:val="en-GB"/>
        </w:rPr>
        <w:t xml:space="preserve"> </w:t>
      </w:r>
    </w:p>
    <w:p w14:paraId="347E620C" w14:textId="77777777" w:rsidR="006A1FD7" w:rsidRDefault="00466E7F">
      <w:pPr>
        <w:spacing w:line="480" w:lineRule="auto"/>
        <w:jc w:val="center"/>
        <w:rPr>
          <w:rFonts w:ascii="Times New Roman" w:hAnsi="Times New Roman" w:cs="Times New Roman"/>
          <w:sz w:val="24"/>
          <w:szCs w:val="24"/>
          <w:lang w:val="en-GB"/>
        </w:rPr>
      </w:pPr>
      <w:r>
        <w:rPr>
          <w:rFonts w:ascii="Times New Roman" w:hAnsi="Times New Roman" w:cs="Times New Roman"/>
          <w:noProof/>
        </w:rPr>
        <w:drawing>
          <wp:inline distT="0" distB="0" distL="0" distR="0" wp14:anchorId="37BD362E" wp14:editId="70D46218">
            <wp:extent cx="4076700" cy="2146300"/>
            <wp:effectExtent l="4445" t="4445" r="8255" b="8255"/>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F8447EA" w14:textId="77777777" w:rsidR="006A1FD7" w:rsidRDefault="002E3BDF">
      <w:pPr>
        <w:jc w:val="center"/>
        <w:rPr>
          <w:rFonts w:ascii="Times New Roman" w:hAnsi="Times New Roman" w:cs="Times New Roman"/>
          <w:sz w:val="20"/>
          <w:szCs w:val="20"/>
          <w:lang w:val="en-GB"/>
        </w:rPr>
      </w:pPr>
      <w:r>
        <w:rPr>
          <w:rFonts w:ascii="Times New Roman" w:hAnsi="Times New Roman" w:cs="Times New Roman"/>
          <w:b/>
          <w:bCs/>
          <w:kern w:val="3"/>
          <w:sz w:val="20"/>
          <w:szCs w:val="20"/>
        </w:rPr>
        <w:t xml:space="preserve">Figure </w:t>
      </w:r>
      <w:r w:rsidR="00466E7F">
        <w:rPr>
          <w:rFonts w:ascii="Times New Roman" w:hAnsi="Times New Roman" w:cs="Times New Roman"/>
          <w:b/>
          <w:bCs/>
          <w:kern w:val="3"/>
          <w:sz w:val="20"/>
          <w:szCs w:val="20"/>
        </w:rPr>
        <w:t>9. Variation of Leaf</w:t>
      </w:r>
      <w:r w:rsidR="00466E7F">
        <w:rPr>
          <w:rFonts w:ascii="Times New Roman" w:hAnsi="Times New Roman" w:cs="Times New Roman"/>
          <w:b/>
          <w:bCs/>
          <w:sz w:val="20"/>
          <w:szCs w:val="20"/>
          <w:lang w:val="en-GB"/>
        </w:rPr>
        <w:t xml:space="preserve"> Temperature among different treatments in TRI 2023 and TRI 2025 at 14 days after applying treatments (similar patterned bars with the same letter are not significantly different at p = 0.05)</w:t>
      </w:r>
    </w:p>
    <w:p w14:paraId="40C7C8E1" w14:textId="77777777" w:rsidR="006A1FD7" w:rsidRDefault="00466E7F">
      <w:pPr>
        <w:spacing w:after="120" w:line="240" w:lineRule="exact"/>
        <w:jc w:val="both"/>
        <w:rPr>
          <w:rFonts w:ascii="Times New Roman" w:hAnsi="Times New Roman" w:cs="Times New Roman"/>
          <w:color w:val="1C1D1E"/>
          <w:sz w:val="24"/>
          <w:szCs w:val="24"/>
          <w:shd w:val="clear" w:color="auto" w:fill="FFFFFF"/>
          <w:lang w:val="en-GB"/>
        </w:rPr>
      </w:pPr>
      <w:bookmarkStart w:id="44" w:name="_Hlk106752620"/>
      <w:r>
        <w:rPr>
          <w:rFonts w:ascii="Times New Roman" w:hAnsi="Times New Roman" w:cs="Times New Roman"/>
          <w:color w:val="1C1D1E"/>
          <w:sz w:val="24"/>
          <w:szCs w:val="24"/>
          <w:shd w:val="clear" w:color="auto" w:fill="FFFFFF"/>
          <w:lang w:val="en-GB"/>
        </w:rPr>
        <w:t xml:space="preserve">According to De Costa </w:t>
      </w:r>
      <w:r>
        <w:rPr>
          <w:rFonts w:ascii="Times New Roman" w:hAnsi="Times New Roman" w:cs="Times New Roman"/>
          <w:i/>
          <w:iCs/>
          <w:color w:val="1C1D1E"/>
          <w:sz w:val="24"/>
          <w:szCs w:val="24"/>
          <w:shd w:val="clear" w:color="auto" w:fill="FFFFFF"/>
          <w:lang w:val="en-GB"/>
        </w:rPr>
        <w:t>et al.,</w:t>
      </w:r>
      <w:r>
        <w:rPr>
          <w:rFonts w:ascii="Times New Roman" w:hAnsi="Times New Roman" w:cs="Times New Roman"/>
          <w:color w:val="1C1D1E"/>
          <w:sz w:val="24"/>
          <w:szCs w:val="24"/>
          <w:shd w:val="clear" w:color="auto" w:fill="FFFFFF"/>
          <w:lang w:val="en-GB"/>
        </w:rPr>
        <w:t xml:space="preserve"> (2007), the optimum leaf temperature for maximum rate of photosynthesis differs depending on the soil moisture status. Accordingly, under poorly irrigated conditions, the optimum leaf temperature varies in a narrow range of 20-24 </w:t>
      </w:r>
      <w:r>
        <w:rPr>
          <w:rFonts w:ascii="Times New Roman" w:hAnsi="Times New Roman" w:cs="Times New Roman"/>
          <w:color w:val="1C1D1E"/>
          <w:sz w:val="24"/>
          <w:szCs w:val="24"/>
          <w:shd w:val="clear" w:color="auto" w:fill="FFFFFF"/>
          <w:lang w:val="en-GB"/>
        </w:rPr>
        <w:sym w:font="Symbol" w:char="F0B0"/>
      </w:r>
      <w:r>
        <w:rPr>
          <w:rFonts w:ascii="Times New Roman" w:hAnsi="Times New Roman" w:cs="Times New Roman"/>
          <w:color w:val="1C1D1E"/>
          <w:sz w:val="24"/>
          <w:szCs w:val="24"/>
          <w:shd w:val="clear" w:color="auto" w:fill="FFFFFF"/>
          <w:lang w:val="en-GB"/>
        </w:rPr>
        <w:t xml:space="preserve">C compared to that of 20-30 </w:t>
      </w:r>
      <w:r>
        <w:rPr>
          <w:rFonts w:ascii="Times New Roman" w:hAnsi="Times New Roman" w:cs="Times New Roman"/>
          <w:color w:val="1C1D1E"/>
          <w:sz w:val="24"/>
          <w:szCs w:val="24"/>
          <w:shd w:val="clear" w:color="auto" w:fill="FFFFFF"/>
          <w:lang w:val="en-GB"/>
        </w:rPr>
        <w:sym w:font="Symbol" w:char="F0B0"/>
      </w:r>
      <w:r>
        <w:rPr>
          <w:rFonts w:ascii="Times New Roman" w:hAnsi="Times New Roman" w:cs="Times New Roman"/>
          <w:color w:val="1C1D1E"/>
          <w:sz w:val="24"/>
          <w:szCs w:val="24"/>
          <w:shd w:val="clear" w:color="auto" w:fill="FFFFFF"/>
          <w:lang w:val="en-GB"/>
        </w:rPr>
        <w:t>C under well irrigated conditions. The observed leaf temperature values under this study were far above these reported values and therefore, reducing leaf temperature by exogenous application of anything suitable such as GB12, GB20 or WS would benefit the tea plants to have a favourable rate of photosynthesis. Plants rely on transpiration and evaporative cooling to prevent thermal damage, but little is known about the direct effect of temperature on stomata and stomatal conductance. The dynamic behaviour of stomata in regulating water loss dictates the rate of plant dehydration as soil water availability declines, so understanding the high-temperature response of stomata is essential for predicting tree death from hotter droughts (</w:t>
      </w:r>
      <w:proofErr w:type="spellStart"/>
      <w:r>
        <w:rPr>
          <w:rFonts w:ascii="Times New Roman" w:hAnsi="Times New Roman" w:cs="Times New Roman"/>
          <w:color w:val="1C1D1E"/>
          <w:sz w:val="24"/>
          <w:szCs w:val="24"/>
          <w:shd w:val="clear" w:color="auto" w:fill="FFFFFF"/>
          <w:lang w:val="en-GB"/>
        </w:rPr>
        <w:t>Schymanski</w:t>
      </w:r>
      <w:proofErr w:type="spellEnd"/>
      <w:r>
        <w:rPr>
          <w:rFonts w:ascii="Times New Roman" w:hAnsi="Times New Roman" w:cs="Times New Roman"/>
          <w:color w:val="1C1D1E"/>
          <w:sz w:val="24"/>
          <w:szCs w:val="24"/>
          <w:shd w:val="clear" w:color="auto" w:fill="FFFFFF"/>
          <w:lang w:val="en-GB"/>
        </w:rPr>
        <w:t xml:space="preserve"> </w:t>
      </w:r>
      <w:r>
        <w:rPr>
          <w:rFonts w:ascii="Times New Roman" w:hAnsi="Times New Roman" w:cs="Times New Roman"/>
          <w:i/>
          <w:iCs/>
          <w:color w:val="1C1D1E"/>
          <w:sz w:val="24"/>
          <w:szCs w:val="24"/>
          <w:shd w:val="clear" w:color="auto" w:fill="FFFFFF"/>
          <w:lang w:val="en-GB"/>
        </w:rPr>
        <w:t>et al</w:t>
      </w:r>
      <w:r>
        <w:rPr>
          <w:rFonts w:ascii="Times New Roman" w:hAnsi="Times New Roman" w:cs="Times New Roman"/>
          <w:color w:val="1C1D1E"/>
          <w:sz w:val="24"/>
          <w:szCs w:val="24"/>
          <w:shd w:val="clear" w:color="auto" w:fill="FFFFFF"/>
          <w:lang w:val="en-GB"/>
        </w:rPr>
        <w:t xml:space="preserve">., </w:t>
      </w:r>
      <w:hyperlink r:id="rId21" w:anchor="gcb15976-bib-0057" w:history="1">
        <w:r>
          <w:rPr>
            <w:rStyle w:val="Hipervnculo"/>
            <w:rFonts w:ascii="Times New Roman" w:hAnsi="Times New Roman" w:cs="Times New Roman"/>
            <w:color w:val="000000"/>
            <w:sz w:val="24"/>
            <w:szCs w:val="24"/>
            <w:u w:val="none"/>
            <w:lang w:val="en-GB"/>
          </w:rPr>
          <w:t>2013</w:t>
        </w:r>
      </w:hyperlink>
      <w:r>
        <w:rPr>
          <w:rFonts w:ascii="Times New Roman" w:hAnsi="Times New Roman" w:cs="Times New Roman"/>
          <w:color w:val="1C1D1E"/>
          <w:sz w:val="24"/>
          <w:szCs w:val="24"/>
          <w:shd w:val="clear" w:color="auto" w:fill="FFFFFF"/>
          <w:lang w:val="en-GB"/>
        </w:rPr>
        <w:t>). Further, it would be beneficial to study the correlations between the leaf temperature and these factors in future to come up with better drought mitigation packages in tea.</w:t>
      </w:r>
    </w:p>
    <w:p w14:paraId="4B7236BB" w14:textId="77777777" w:rsidR="006A1FD7" w:rsidRDefault="00466E7F">
      <w:pPr>
        <w:pStyle w:val="Subtitle1"/>
        <w:spacing w:line="240" w:lineRule="exact"/>
      </w:pPr>
      <w:bookmarkStart w:id="45" w:name="_Toc110097896"/>
      <w:bookmarkEnd w:id="44"/>
      <w:r>
        <w:t xml:space="preserve">4.3 Leaf Total Soluble Sugar (TSS) content </w:t>
      </w:r>
      <w:bookmarkEnd w:id="45"/>
    </w:p>
    <w:p w14:paraId="77AA7959" w14:textId="77777777" w:rsidR="006A1FD7" w:rsidRDefault="00466E7F">
      <w:pPr>
        <w:spacing w:after="120" w:line="240" w:lineRule="exact"/>
        <w:jc w:val="both"/>
        <w:rPr>
          <w:rFonts w:ascii="Times New Roman" w:hAnsi="Times New Roman" w:cs="Times New Roman"/>
          <w:sz w:val="24"/>
          <w:szCs w:val="24"/>
        </w:rPr>
      </w:pPr>
      <w:r>
        <w:rPr>
          <w:rFonts w:ascii="Times New Roman" w:hAnsi="Times New Roman" w:cs="Times New Roman"/>
          <w:sz w:val="24"/>
          <w:szCs w:val="24"/>
        </w:rPr>
        <w:t>The models of the TSS were not statistically significant. Therefore, it was not possible to comment on the impact of the TSS accumulation in response to the exogenous application of GB in immature tea plants under this study.</w:t>
      </w:r>
    </w:p>
    <w:p w14:paraId="61FE4E3B" w14:textId="77777777" w:rsidR="006A1FD7" w:rsidRDefault="00466E7F">
      <w:pPr>
        <w:pStyle w:val="Subtitle1"/>
        <w:spacing w:line="240" w:lineRule="exact"/>
      </w:pPr>
      <w:bookmarkStart w:id="46" w:name="_Toc110097897"/>
      <w:r>
        <w:t>4.4 Leaf proline content</w:t>
      </w:r>
      <w:bookmarkEnd w:id="46"/>
      <w:r>
        <w:t xml:space="preserve"> </w:t>
      </w:r>
    </w:p>
    <w:p w14:paraId="740C13DC" w14:textId="77777777" w:rsidR="006A1FD7" w:rsidRDefault="00466E7F">
      <w:pPr>
        <w:spacing w:after="120" w:line="240" w:lineRule="exact"/>
        <w:jc w:val="both"/>
        <w:rPr>
          <w:rFonts w:ascii="Times New Roman" w:hAnsi="Times New Roman" w:cs="Times New Roman"/>
          <w:sz w:val="24"/>
          <w:szCs w:val="24"/>
        </w:rPr>
      </w:pPr>
      <w:r>
        <w:rPr>
          <w:rFonts w:ascii="Times New Roman" w:hAnsi="Times New Roman" w:cs="Times New Roman"/>
          <w:sz w:val="24"/>
          <w:szCs w:val="24"/>
        </w:rPr>
        <w:t>Similarly, the models of the leaf proline content were not statistically significant. Therefore, it was not possible to comment on the impact of the leaf proline accumulation in response to the exogenous application of GB in immature tea plants under this study.</w:t>
      </w:r>
    </w:p>
    <w:p w14:paraId="0E62C461" w14:textId="77777777" w:rsidR="006A1FD7" w:rsidRDefault="00466E7F">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14:paraId="7E146E9D" w14:textId="77777777" w:rsidR="006A1FD7" w:rsidRDefault="00466E7F">
      <w:pPr>
        <w:pStyle w:val="CHAPTERSTYLE"/>
        <w:jc w:val="both"/>
        <w:rPr>
          <w:lang w:val="en-US"/>
        </w:rPr>
      </w:pPr>
      <w:r>
        <w:rPr>
          <w:lang w:val="en-US"/>
        </w:rPr>
        <w:lastRenderedPageBreak/>
        <w:t>Conclusion</w:t>
      </w:r>
    </w:p>
    <w:p w14:paraId="70E471C5" w14:textId="77777777" w:rsidR="006A1FD7" w:rsidRDefault="00466E7F">
      <w:pPr>
        <w:spacing w:line="240" w:lineRule="exact"/>
        <w:jc w:val="both"/>
        <w:rPr>
          <w:rFonts w:ascii="Times New Roman" w:hAnsi="Times New Roman" w:cs="Times New Roman"/>
          <w:bCs/>
          <w:sz w:val="24"/>
          <w:szCs w:val="24"/>
          <w:lang w:val="en-GB"/>
        </w:rPr>
      </w:pPr>
      <w:r>
        <w:rPr>
          <w:rFonts w:ascii="Times New Roman" w:hAnsi="Times New Roman" w:cs="Times New Roman"/>
          <w:bCs/>
          <w:sz w:val="24"/>
          <w:szCs w:val="24"/>
          <w:lang w:val="en-GB"/>
        </w:rPr>
        <w:t>The results of t</w:t>
      </w:r>
      <w:r>
        <w:rPr>
          <w:rFonts w:ascii="Times New Roman" w:hAnsi="Times New Roman" w:cs="Times New Roman"/>
          <w:bCs/>
          <w:sz w:val="24"/>
          <w:szCs w:val="24"/>
        </w:rPr>
        <w:t>he present</w:t>
      </w:r>
      <w:r>
        <w:rPr>
          <w:rFonts w:ascii="Times New Roman" w:hAnsi="Times New Roman" w:cs="Times New Roman"/>
          <w:bCs/>
          <w:sz w:val="24"/>
          <w:szCs w:val="24"/>
          <w:lang w:val="en-GB"/>
        </w:rPr>
        <w:t xml:space="preserve"> study </w:t>
      </w:r>
      <w:r>
        <w:rPr>
          <w:rFonts w:ascii="Times New Roman" w:hAnsi="Times New Roman" w:cs="Times New Roman"/>
          <w:bCs/>
          <w:sz w:val="24"/>
          <w:szCs w:val="24"/>
        </w:rPr>
        <w:t xml:space="preserve">clearly revealed </w:t>
      </w:r>
      <w:r>
        <w:rPr>
          <w:rFonts w:ascii="Times New Roman" w:hAnsi="Times New Roman" w:cs="Times New Roman"/>
          <w:bCs/>
          <w:sz w:val="24"/>
          <w:szCs w:val="24"/>
          <w:lang w:val="en-GB"/>
        </w:rPr>
        <w:t xml:space="preserve">that the exogenous application of Glycine Betaine does not improve the Relative Water Content of immature tea plants during a short-term drought stress. There is a difference in response of different tea cultivars to the exogenous application of Glycine Betaine during a short-term drought. Further, it enhances the rate of photosynthesis when sprayed at a concentration of 12 g/L of water, to a drought tolerant cultivar such as TRI 2025. </w:t>
      </w:r>
      <w:commentRangeStart w:id="47"/>
      <w:r>
        <w:rPr>
          <w:rFonts w:ascii="Times New Roman" w:hAnsi="Times New Roman" w:cs="Times New Roman"/>
          <w:bCs/>
          <w:sz w:val="24"/>
          <w:szCs w:val="24"/>
          <w:lang w:val="en-GB"/>
        </w:rPr>
        <w:t xml:space="preserve">However, </w:t>
      </w:r>
      <w:r>
        <w:rPr>
          <w:rFonts w:ascii="Times New Roman" w:hAnsi="Times New Roman" w:cs="Times New Roman"/>
          <w:bCs/>
          <w:sz w:val="24"/>
          <w:szCs w:val="24"/>
        </w:rPr>
        <w:t xml:space="preserve">among different parameters tested, there is </w:t>
      </w:r>
      <w:r>
        <w:rPr>
          <w:rFonts w:ascii="Times New Roman" w:hAnsi="Times New Roman" w:cs="Times New Roman"/>
          <w:bCs/>
          <w:sz w:val="24"/>
          <w:szCs w:val="24"/>
          <w:lang w:val="en-GB"/>
        </w:rPr>
        <w:t xml:space="preserve">no clear pattern of variation was observed in </w:t>
      </w:r>
      <w:r>
        <w:rPr>
          <w:rFonts w:ascii="Times New Roman" w:hAnsi="Times New Roman" w:cs="Times New Roman"/>
          <w:bCs/>
          <w:sz w:val="24"/>
          <w:szCs w:val="24"/>
        </w:rPr>
        <w:t xml:space="preserve">the </w:t>
      </w:r>
      <w:r>
        <w:rPr>
          <w:rFonts w:ascii="Times New Roman" w:hAnsi="Times New Roman" w:cs="Times New Roman"/>
          <w:bCs/>
          <w:sz w:val="24"/>
          <w:szCs w:val="24"/>
          <w:lang w:val="en-GB"/>
        </w:rPr>
        <w:t>drought susceptible cultivar</w:t>
      </w:r>
      <w:r>
        <w:rPr>
          <w:rFonts w:ascii="Times New Roman" w:hAnsi="Times New Roman" w:cs="Times New Roman"/>
          <w:bCs/>
          <w:sz w:val="24"/>
          <w:szCs w:val="24"/>
        </w:rPr>
        <w:t xml:space="preserve">, i.e. </w:t>
      </w:r>
      <w:r>
        <w:rPr>
          <w:rFonts w:ascii="Times New Roman" w:hAnsi="Times New Roman" w:cs="Times New Roman"/>
          <w:bCs/>
          <w:sz w:val="24"/>
          <w:szCs w:val="24"/>
          <w:lang w:val="en-GB"/>
        </w:rPr>
        <w:t>TRI 2023.</w:t>
      </w:r>
      <w:r>
        <w:rPr>
          <w:rFonts w:ascii="Times New Roman" w:hAnsi="Times New Roman" w:cs="Times New Roman"/>
          <w:bCs/>
          <w:sz w:val="24"/>
          <w:szCs w:val="24"/>
        </w:rPr>
        <w:t xml:space="preserve"> </w:t>
      </w:r>
      <w:commentRangeEnd w:id="47"/>
      <w:r w:rsidR="00691342">
        <w:rPr>
          <w:rStyle w:val="Refdecomentario"/>
        </w:rPr>
        <w:commentReference w:id="47"/>
      </w:r>
      <w:r>
        <w:rPr>
          <w:rFonts w:ascii="Times New Roman" w:hAnsi="Times New Roman" w:cs="Times New Roman"/>
          <w:bCs/>
          <w:sz w:val="24"/>
          <w:szCs w:val="24"/>
        </w:rPr>
        <w:t xml:space="preserve">Therefore, it </w:t>
      </w:r>
      <w:r>
        <w:rPr>
          <w:rFonts w:ascii="Times New Roman" w:hAnsi="Times New Roman" w:cs="Times New Roman"/>
          <w:bCs/>
          <w:sz w:val="24"/>
          <w:szCs w:val="24"/>
          <w:lang w:val="en-GB"/>
        </w:rPr>
        <w:t>is necessary to further investigate the impact of application of Glycine Betaine during drought stress before making a final conclusion.</w:t>
      </w:r>
    </w:p>
    <w:p w14:paraId="06ED92C6" w14:textId="77777777" w:rsidR="006A1FD7" w:rsidRDefault="006A1FD7">
      <w:pPr>
        <w:keepNext/>
        <w:keepLines/>
        <w:spacing w:before="240" w:after="0" w:line="240" w:lineRule="exact"/>
        <w:jc w:val="center"/>
        <w:outlineLvl w:val="0"/>
        <w:rPr>
          <w:rFonts w:ascii="Times New Roman" w:eastAsia="Times New Roman" w:hAnsi="Times New Roman" w:cs="Times New Roman"/>
          <w:b/>
          <w:bCs/>
          <w:color w:val="000000" w:themeColor="text1"/>
          <w:sz w:val="28"/>
          <w:szCs w:val="28"/>
          <w:lang w:bidi="ta-IN"/>
        </w:rPr>
      </w:pPr>
    </w:p>
    <w:p w14:paraId="63246150" w14:textId="77777777" w:rsidR="006A1FD7" w:rsidRDefault="00466E7F">
      <w:pPr>
        <w:widowControl w:val="0"/>
        <w:autoSpaceDE w:val="0"/>
        <w:autoSpaceDN w:val="0"/>
        <w:adjustRightInd w:val="0"/>
        <w:spacing w:after="120" w:line="240" w:lineRule="exact"/>
        <w:jc w:val="both"/>
        <w:rPr>
          <w:rFonts w:ascii="Times New Roman" w:eastAsia="Times New Roman" w:hAnsi="Times New Roman" w:cs="Times New Roman"/>
          <w:b/>
          <w:bCs/>
          <w:color w:val="000000" w:themeColor="text1"/>
          <w:sz w:val="28"/>
          <w:szCs w:val="28"/>
          <w:lang w:bidi="ta-IN"/>
        </w:rPr>
      </w:pPr>
      <w:r>
        <w:rPr>
          <w:rFonts w:ascii="Times New Roman" w:eastAsia="Times New Roman" w:hAnsi="Times New Roman" w:cs="Times New Roman"/>
          <w:b/>
          <w:bCs/>
          <w:color w:val="000000" w:themeColor="text1"/>
          <w:sz w:val="28"/>
          <w:szCs w:val="28"/>
          <w:lang w:bidi="ta-IN"/>
        </w:rPr>
        <w:t>References</w:t>
      </w:r>
    </w:p>
    <w:p w14:paraId="05B61A6D" w14:textId="77777777" w:rsidR="006A1FD7" w:rsidRDefault="00466E7F">
      <w:pPr>
        <w:widowControl w:val="0"/>
        <w:autoSpaceDE w:val="0"/>
        <w:autoSpaceDN w:val="0"/>
        <w:adjustRightInd w:val="0"/>
        <w:spacing w:after="120" w:line="240" w:lineRule="exact"/>
        <w:jc w:val="both"/>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Agstian</w:t>
      </w:r>
      <w:proofErr w:type="spellEnd"/>
      <w:r>
        <w:rPr>
          <w:rFonts w:ascii="Times New Roman" w:eastAsia="Times New Roman" w:hAnsi="Times New Roman" w:cs="Times New Roman"/>
          <w:color w:val="000000" w:themeColor="text1"/>
          <w:sz w:val="24"/>
          <w:szCs w:val="24"/>
        </w:rPr>
        <w:t xml:space="preserve">, P., Kingsley, S.J., </w:t>
      </w:r>
      <w:proofErr w:type="spellStart"/>
      <w:r>
        <w:rPr>
          <w:rFonts w:ascii="Times New Roman" w:eastAsia="Times New Roman" w:hAnsi="Times New Roman" w:cs="Times New Roman"/>
          <w:color w:val="000000" w:themeColor="text1"/>
          <w:sz w:val="24"/>
          <w:szCs w:val="24"/>
        </w:rPr>
        <w:t>Vivekanandan</w:t>
      </w:r>
      <w:proofErr w:type="spellEnd"/>
      <w:r>
        <w:rPr>
          <w:rFonts w:ascii="Times New Roman" w:eastAsia="Times New Roman" w:hAnsi="Times New Roman" w:cs="Times New Roman"/>
          <w:color w:val="000000" w:themeColor="text1"/>
          <w:sz w:val="24"/>
          <w:szCs w:val="24"/>
        </w:rPr>
        <w:t xml:space="preserve">, M. (2000). Effect of Salinity on Photosynthesis </w:t>
      </w:r>
      <w:proofErr w:type="spellStart"/>
      <w:r>
        <w:rPr>
          <w:rFonts w:ascii="Times New Roman" w:eastAsia="Times New Roman" w:hAnsi="Times New Roman" w:cs="Times New Roman"/>
          <w:color w:val="000000" w:themeColor="text1"/>
          <w:sz w:val="24"/>
          <w:szCs w:val="24"/>
        </w:rPr>
        <w:t>amd</w:t>
      </w:r>
      <w:proofErr w:type="spellEnd"/>
      <w:r>
        <w:rPr>
          <w:rFonts w:ascii="Times New Roman" w:eastAsia="Times New Roman" w:hAnsi="Times New Roman" w:cs="Times New Roman"/>
          <w:color w:val="000000" w:themeColor="text1"/>
          <w:sz w:val="24"/>
          <w:szCs w:val="24"/>
        </w:rPr>
        <w:t xml:space="preserve"> Biochemical Characteristics in Mulberry Genotypes. </w:t>
      </w:r>
      <w:proofErr w:type="spellStart"/>
      <w:r>
        <w:rPr>
          <w:rFonts w:ascii="Times New Roman" w:eastAsia="Times New Roman" w:hAnsi="Times New Roman" w:cs="Times New Roman"/>
          <w:i/>
          <w:iCs/>
          <w:color w:val="000000" w:themeColor="text1"/>
          <w:sz w:val="24"/>
          <w:szCs w:val="24"/>
        </w:rPr>
        <w:t>Photosynthetica</w:t>
      </w:r>
      <w:proofErr w:type="spellEnd"/>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b/>
          <w:bCs/>
          <w:color w:val="000000" w:themeColor="text1"/>
          <w:sz w:val="24"/>
          <w:szCs w:val="24"/>
        </w:rPr>
        <w:t>38</w:t>
      </w:r>
      <w:r>
        <w:rPr>
          <w:rFonts w:ascii="Times New Roman" w:eastAsia="Times New Roman" w:hAnsi="Times New Roman" w:cs="Times New Roman"/>
          <w:color w:val="000000" w:themeColor="text1"/>
          <w:sz w:val="24"/>
          <w:szCs w:val="24"/>
        </w:rPr>
        <w:t>,287-290.</w:t>
      </w:r>
    </w:p>
    <w:p w14:paraId="36206B57" w14:textId="77777777" w:rsidR="006A1FD7" w:rsidRDefault="00466E7F">
      <w:pPr>
        <w:widowControl w:val="0"/>
        <w:autoSpaceDE w:val="0"/>
        <w:autoSpaceDN w:val="0"/>
        <w:adjustRightInd w:val="0"/>
        <w:spacing w:after="120" w:line="240" w:lineRule="exact"/>
        <w:jc w:val="both"/>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Amarakoon</w:t>
      </w:r>
      <w:proofErr w:type="spellEnd"/>
      <w:r>
        <w:rPr>
          <w:rFonts w:ascii="Times New Roman" w:eastAsia="Times New Roman" w:hAnsi="Times New Roman" w:cs="Times New Roman"/>
          <w:color w:val="000000" w:themeColor="text1"/>
          <w:sz w:val="24"/>
          <w:szCs w:val="24"/>
        </w:rPr>
        <w:t xml:space="preserve">, A.M.T. (2008). Health benefits of tea. In. </w:t>
      </w:r>
      <w:proofErr w:type="spellStart"/>
      <w:r>
        <w:rPr>
          <w:rFonts w:ascii="Times New Roman" w:eastAsia="Times New Roman" w:hAnsi="Times New Roman" w:cs="Times New Roman"/>
          <w:color w:val="000000" w:themeColor="text1"/>
          <w:sz w:val="24"/>
          <w:szCs w:val="24"/>
        </w:rPr>
        <w:t>A.K.N.Zoysa</w:t>
      </w:r>
      <w:proofErr w:type="spellEnd"/>
      <w:r>
        <w:rPr>
          <w:rFonts w:ascii="Times New Roman" w:eastAsia="Times New Roman" w:hAnsi="Times New Roman" w:cs="Times New Roman"/>
          <w:color w:val="000000" w:themeColor="text1"/>
          <w:sz w:val="24"/>
          <w:szCs w:val="24"/>
        </w:rPr>
        <w:t xml:space="preserve"> (Ed.). </w:t>
      </w:r>
      <w:r>
        <w:rPr>
          <w:rFonts w:ascii="Times New Roman" w:eastAsia="Times New Roman" w:hAnsi="Times New Roman" w:cs="Times New Roman"/>
          <w:i/>
          <w:iCs/>
          <w:color w:val="000000" w:themeColor="text1"/>
          <w:sz w:val="24"/>
          <w:szCs w:val="24"/>
        </w:rPr>
        <w:t xml:space="preserve">Handbook on Tea, </w:t>
      </w:r>
      <w:r>
        <w:rPr>
          <w:rFonts w:ascii="Times New Roman" w:eastAsia="Times New Roman" w:hAnsi="Times New Roman" w:cs="Times New Roman"/>
          <w:color w:val="000000" w:themeColor="text1"/>
          <w:sz w:val="24"/>
          <w:szCs w:val="24"/>
        </w:rPr>
        <w:t>Tea Research Institute of Sri Lanka, Sri Lanka. 331-343.</w:t>
      </w:r>
    </w:p>
    <w:p w14:paraId="14C2B4BC" w14:textId="77777777" w:rsidR="006A1FD7" w:rsidRDefault="00466E7F">
      <w:pPr>
        <w:spacing w:after="120" w:line="240" w:lineRule="exac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Anonymous (2011). Drought Mitigation in Tea Plantations. </w:t>
      </w:r>
      <w:r>
        <w:rPr>
          <w:rFonts w:ascii="Times New Roman" w:eastAsia="Times New Roman" w:hAnsi="Times New Roman" w:cs="Times New Roman"/>
          <w:iCs/>
          <w:color w:val="000000" w:themeColor="text1"/>
          <w:sz w:val="24"/>
          <w:szCs w:val="24"/>
        </w:rPr>
        <w:t>Advisory Circular</w:t>
      </w:r>
      <w:r>
        <w:rPr>
          <w:rFonts w:ascii="Times New Roman" w:eastAsia="Times New Roman" w:hAnsi="Times New Roman" w:cs="Times New Roman"/>
          <w:i/>
          <w:color w:val="000000" w:themeColor="text1"/>
          <w:sz w:val="24"/>
          <w:szCs w:val="24"/>
        </w:rPr>
        <w:t>-02/11</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iCs/>
          <w:color w:val="000000" w:themeColor="text1"/>
          <w:sz w:val="24"/>
          <w:szCs w:val="24"/>
        </w:rPr>
        <w:t>Tea Research Institute, Sri Lanka, Issued in: January 2011.</w:t>
      </w:r>
    </w:p>
    <w:p w14:paraId="0C9C58C2" w14:textId="77777777" w:rsidR="006A1FD7" w:rsidRDefault="00466E7F">
      <w:pPr>
        <w:widowControl w:val="0"/>
        <w:autoSpaceDE w:val="0"/>
        <w:autoSpaceDN w:val="0"/>
        <w:adjustRightInd w:val="0"/>
        <w:spacing w:after="120" w:line="240" w:lineRule="exact"/>
        <w:jc w:val="both"/>
        <w:rPr>
          <w:rFonts w:ascii="Times New Roman" w:eastAsia="Times New Roman" w:hAnsi="Times New Roman" w:cs="Times New Roman"/>
          <w:color w:val="000000" w:themeColor="text1"/>
          <w:sz w:val="24"/>
          <w:szCs w:val="24"/>
          <w:shd w:val="clear" w:color="auto" w:fill="FFFFFF"/>
        </w:rPr>
      </w:pPr>
      <w:r>
        <w:rPr>
          <w:rFonts w:ascii="Times New Roman" w:eastAsia="Times New Roman" w:hAnsi="Times New Roman" w:cs="Times New Roman"/>
          <w:color w:val="000000" w:themeColor="text1"/>
          <w:sz w:val="24"/>
          <w:szCs w:val="24"/>
        </w:rPr>
        <w:t xml:space="preserve">Anonymous </w:t>
      </w:r>
      <w:r>
        <w:rPr>
          <w:rFonts w:ascii="Times New Roman" w:eastAsia="Times New Roman" w:hAnsi="Times New Roman" w:cs="Times New Roman"/>
          <w:color w:val="000000" w:themeColor="text1"/>
          <w:sz w:val="24"/>
          <w:szCs w:val="24"/>
          <w:shd w:val="clear" w:color="auto" w:fill="FFFFFF"/>
        </w:rPr>
        <w:t xml:space="preserve">(2019a). </w:t>
      </w:r>
      <w:r>
        <w:rPr>
          <w:rFonts w:ascii="Times New Roman" w:eastAsia="Times New Roman" w:hAnsi="Times New Roman" w:cs="Times New Roman"/>
          <w:color w:val="000000" w:themeColor="text1"/>
          <w:sz w:val="24"/>
          <w:szCs w:val="24"/>
        </w:rPr>
        <w:t>“Bulletin of Statistics”. International Tea Committee</w:t>
      </w:r>
      <w:r>
        <w:rPr>
          <w:rFonts w:ascii="Times New Roman" w:eastAsia="Times New Roman" w:hAnsi="Times New Roman" w:cs="Times New Roman"/>
          <w:i/>
          <w:iCs/>
          <w:color w:val="000000" w:themeColor="text1"/>
          <w:sz w:val="24"/>
          <w:szCs w:val="24"/>
          <w:shd w:val="clear" w:color="auto" w:fill="FFFFFF"/>
        </w:rPr>
        <w:t>.</w:t>
      </w:r>
    </w:p>
    <w:p w14:paraId="6505B063" w14:textId="77777777" w:rsidR="006A1FD7" w:rsidRDefault="00466E7F">
      <w:pPr>
        <w:widowControl w:val="0"/>
        <w:autoSpaceDE w:val="0"/>
        <w:autoSpaceDN w:val="0"/>
        <w:adjustRightInd w:val="0"/>
        <w:spacing w:after="120" w:line="240" w:lineRule="exac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Anonymous (2019b). Annual Report, Central Bank of Sri Lanka, 21-22.</w:t>
      </w:r>
    </w:p>
    <w:p w14:paraId="264CC2B9" w14:textId="77777777" w:rsidR="006A1FD7" w:rsidRDefault="00466E7F">
      <w:pPr>
        <w:spacing w:after="120" w:line="240" w:lineRule="exact"/>
        <w:jc w:val="both"/>
        <w:rPr>
          <w:rFonts w:ascii="Times New Roman" w:eastAsia="Times New Roman" w:hAnsi="Times New Roman" w:cs="Times New Roman"/>
          <w:color w:val="000000" w:themeColor="text1"/>
          <w:sz w:val="24"/>
          <w:szCs w:val="24"/>
          <w:shd w:val="clear" w:color="auto" w:fill="FCFCFC"/>
        </w:rPr>
      </w:pPr>
      <w:r>
        <w:rPr>
          <w:rFonts w:ascii="Times New Roman" w:eastAsia="Times New Roman" w:hAnsi="Times New Roman" w:cs="Times New Roman"/>
          <w:color w:val="000000" w:themeColor="text1"/>
          <w:sz w:val="24"/>
          <w:szCs w:val="24"/>
          <w:shd w:val="clear" w:color="auto" w:fill="FFFFFF"/>
        </w:rPr>
        <w:t xml:space="preserve">Asian Development Bank </w:t>
      </w:r>
      <w:r>
        <w:rPr>
          <w:rFonts w:ascii="Times New Roman" w:eastAsia="Times New Roman" w:hAnsi="Times New Roman" w:cs="Times New Roman"/>
          <w:color w:val="000000" w:themeColor="text1"/>
          <w:sz w:val="24"/>
          <w:szCs w:val="24"/>
          <w:shd w:val="clear" w:color="auto" w:fill="FCFCFC"/>
        </w:rPr>
        <w:t>(1994). Climate Change in Asia: Sri Lanka Country Report, Asian Development Bank, Colombo, Sri Lanka.</w:t>
      </w:r>
    </w:p>
    <w:p w14:paraId="69D6F73D" w14:textId="77777777" w:rsidR="006A1FD7" w:rsidRDefault="00466E7F">
      <w:pPr>
        <w:spacing w:line="240" w:lineRule="exac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Chang, H.T and Bartholomew, B. (1984). Camellias, B.T. </w:t>
      </w:r>
      <w:proofErr w:type="spellStart"/>
      <w:r>
        <w:rPr>
          <w:rFonts w:ascii="Times New Roman" w:eastAsia="Times New Roman" w:hAnsi="Times New Roman" w:cs="Times New Roman"/>
          <w:color w:val="000000" w:themeColor="text1"/>
          <w:sz w:val="24"/>
          <w:szCs w:val="24"/>
        </w:rPr>
        <w:t>Badsfort</w:t>
      </w:r>
      <w:proofErr w:type="spellEnd"/>
      <w:r>
        <w:rPr>
          <w:rFonts w:ascii="Times New Roman" w:eastAsia="Times New Roman" w:hAnsi="Times New Roman" w:cs="Times New Roman"/>
          <w:color w:val="000000" w:themeColor="text1"/>
          <w:sz w:val="24"/>
          <w:szCs w:val="24"/>
        </w:rPr>
        <w:t xml:space="preserve"> Ltd.; London.</w:t>
      </w:r>
    </w:p>
    <w:p w14:paraId="76D7DCA9" w14:textId="77777777" w:rsidR="006A1FD7" w:rsidRDefault="00466E7F">
      <w:pPr>
        <w:widowControl w:val="0"/>
        <w:autoSpaceDE w:val="0"/>
        <w:autoSpaceDN w:val="0"/>
        <w:adjustRightInd w:val="0"/>
        <w:spacing w:after="120" w:line="240" w:lineRule="exac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shd w:val="clear" w:color="auto" w:fill="FFFFFF"/>
        </w:rPr>
        <w:t xml:space="preserve">Chen, T.H.H. and Murata, N. (2011). Glycine Betaine protects plants against abiotic stress: mechanisms and biotechnological applications. </w:t>
      </w:r>
      <w:r>
        <w:rPr>
          <w:rFonts w:ascii="Times New Roman" w:eastAsia="Times New Roman" w:hAnsi="Times New Roman" w:cs="Times New Roman"/>
          <w:i/>
          <w:iCs/>
          <w:color w:val="000000" w:themeColor="text1"/>
          <w:sz w:val="24"/>
          <w:szCs w:val="24"/>
          <w:shd w:val="clear" w:color="auto" w:fill="FFFFFF"/>
        </w:rPr>
        <w:t>Plant, Cell and Environment</w:t>
      </w:r>
      <w:r>
        <w:rPr>
          <w:rFonts w:ascii="Times New Roman" w:eastAsia="Times New Roman" w:hAnsi="Times New Roman" w:cs="Times New Roman"/>
          <w:color w:val="000000" w:themeColor="text1"/>
          <w:sz w:val="24"/>
          <w:szCs w:val="24"/>
          <w:shd w:val="clear" w:color="auto" w:fill="FFFFFF"/>
        </w:rPr>
        <w:t xml:space="preserve"> </w:t>
      </w:r>
      <w:r>
        <w:rPr>
          <w:rFonts w:ascii="Times New Roman" w:eastAsia="Times New Roman" w:hAnsi="Times New Roman" w:cs="Times New Roman"/>
          <w:b/>
          <w:bCs/>
          <w:color w:val="000000" w:themeColor="text1"/>
          <w:sz w:val="24"/>
          <w:szCs w:val="24"/>
          <w:shd w:val="clear" w:color="auto" w:fill="FFFFFF"/>
        </w:rPr>
        <w:t>34</w:t>
      </w:r>
      <w:r>
        <w:rPr>
          <w:rFonts w:ascii="Times New Roman" w:eastAsia="Times New Roman" w:hAnsi="Times New Roman" w:cs="Times New Roman"/>
          <w:color w:val="000000" w:themeColor="text1"/>
          <w:sz w:val="24"/>
          <w:szCs w:val="24"/>
          <w:shd w:val="clear" w:color="auto" w:fill="FFFFFF"/>
        </w:rPr>
        <w:t>(1), 1-20.</w:t>
      </w:r>
    </w:p>
    <w:p w14:paraId="5239491D" w14:textId="77777777" w:rsidR="006A1FD7" w:rsidRDefault="00466E7F">
      <w:pPr>
        <w:pStyle w:val="nova-legacy-e-listitem"/>
        <w:shd w:val="clear" w:color="auto" w:fill="FFFFFF"/>
        <w:spacing w:before="0" w:after="120" w:line="240" w:lineRule="exact"/>
        <w:jc w:val="both"/>
        <w:rPr>
          <w:color w:val="000000" w:themeColor="text1"/>
          <w:lang w:val="en-US" w:eastAsia="en-US"/>
        </w:rPr>
      </w:pPr>
      <w:proofErr w:type="spellStart"/>
      <w:r>
        <w:rPr>
          <w:color w:val="000000" w:themeColor="text1"/>
          <w:lang w:val="en-US" w:eastAsia="en-US"/>
        </w:rPr>
        <w:t>Damayanthi</w:t>
      </w:r>
      <w:proofErr w:type="spellEnd"/>
      <w:r>
        <w:rPr>
          <w:color w:val="000000" w:themeColor="text1"/>
          <w:lang w:val="en-US" w:eastAsia="en-US"/>
        </w:rPr>
        <w:t xml:space="preserve">, M. M., </w:t>
      </w:r>
      <w:proofErr w:type="spellStart"/>
      <w:r>
        <w:rPr>
          <w:color w:val="000000" w:themeColor="text1"/>
          <w:lang w:val="en-US" w:eastAsia="en-US"/>
        </w:rPr>
        <w:t>Mohotti</w:t>
      </w:r>
      <w:proofErr w:type="spellEnd"/>
      <w:r>
        <w:rPr>
          <w:color w:val="000000" w:themeColor="text1"/>
          <w:lang w:val="en-US" w:eastAsia="en-US"/>
        </w:rPr>
        <w:t xml:space="preserve">, A.J., </w:t>
      </w:r>
      <w:proofErr w:type="spellStart"/>
      <w:r>
        <w:rPr>
          <w:color w:val="000000" w:themeColor="text1"/>
          <w:lang w:val="en-US" w:eastAsia="en-US"/>
        </w:rPr>
        <w:t>Nissanka,P.S</w:t>
      </w:r>
      <w:proofErr w:type="spellEnd"/>
      <w:r>
        <w:rPr>
          <w:color w:val="000000" w:themeColor="text1"/>
          <w:lang w:val="en-US" w:eastAsia="en-US"/>
        </w:rPr>
        <w:t>.(2010). Comparison of Tolerant Ability of Mature Field Grown Tea (</w:t>
      </w:r>
      <w:r>
        <w:rPr>
          <w:i/>
          <w:iCs/>
          <w:color w:val="000000" w:themeColor="text1"/>
          <w:lang w:val="en-US" w:eastAsia="en-US"/>
        </w:rPr>
        <w:t>Camellia sinensis</w:t>
      </w:r>
      <w:r>
        <w:rPr>
          <w:color w:val="000000" w:themeColor="text1"/>
          <w:lang w:val="en-US" w:eastAsia="en-US"/>
        </w:rPr>
        <w:t xml:space="preserve"> L.) Cultivars Exposed to a Drought Stress in </w:t>
      </w:r>
      <w:proofErr w:type="spellStart"/>
      <w:r>
        <w:rPr>
          <w:color w:val="000000" w:themeColor="text1"/>
          <w:lang w:val="en-US" w:eastAsia="en-US"/>
        </w:rPr>
        <w:t>Passara</w:t>
      </w:r>
      <w:proofErr w:type="spellEnd"/>
      <w:r>
        <w:rPr>
          <w:color w:val="000000" w:themeColor="text1"/>
          <w:lang w:val="en-US" w:eastAsia="en-US"/>
        </w:rPr>
        <w:t xml:space="preserve"> Area. </w:t>
      </w:r>
      <w:hyperlink r:id="rId22" w:history="1">
        <w:r>
          <w:rPr>
            <w:i/>
            <w:iCs/>
            <w:color w:val="000000" w:themeColor="text1"/>
            <w:lang w:val="en-US" w:eastAsia="en-US"/>
          </w:rPr>
          <w:t>Tropical Agricultural Research</w:t>
        </w:r>
      </w:hyperlink>
      <w:r>
        <w:rPr>
          <w:color w:val="000000" w:themeColor="text1"/>
          <w:lang w:val="en-US" w:eastAsia="en-US"/>
        </w:rPr>
        <w:t> </w:t>
      </w:r>
      <w:r>
        <w:rPr>
          <w:b/>
          <w:bCs/>
          <w:color w:val="000000" w:themeColor="text1"/>
          <w:lang w:val="en-US" w:eastAsia="en-US"/>
        </w:rPr>
        <w:t>22</w:t>
      </w:r>
      <w:r>
        <w:rPr>
          <w:color w:val="000000" w:themeColor="text1"/>
          <w:lang w:val="en-US" w:eastAsia="en-US"/>
        </w:rPr>
        <w:t>(1),66-75.</w:t>
      </w:r>
    </w:p>
    <w:p w14:paraId="7AB6B1FA" w14:textId="77777777" w:rsidR="006A1FD7" w:rsidRDefault="00466E7F">
      <w:pPr>
        <w:widowControl w:val="0"/>
        <w:autoSpaceDE w:val="0"/>
        <w:autoSpaceDN w:val="0"/>
        <w:adjustRightInd w:val="0"/>
        <w:spacing w:after="120" w:line="240" w:lineRule="exact"/>
        <w:jc w:val="both"/>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Damayanthi</w:t>
      </w:r>
      <w:proofErr w:type="spellEnd"/>
      <w:r>
        <w:rPr>
          <w:rFonts w:ascii="Times New Roman" w:eastAsia="Times New Roman" w:hAnsi="Times New Roman" w:cs="Times New Roman"/>
          <w:color w:val="000000" w:themeColor="text1"/>
          <w:sz w:val="24"/>
          <w:szCs w:val="24"/>
        </w:rPr>
        <w:t xml:space="preserve">, M.M.N., </w:t>
      </w:r>
      <w:proofErr w:type="spellStart"/>
      <w:r>
        <w:rPr>
          <w:rFonts w:ascii="Times New Roman" w:eastAsia="Times New Roman" w:hAnsi="Times New Roman" w:cs="Times New Roman"/>
          <w:color w:val="000000" w:themeColor="text1"/>
          <w:sz w:val="24"/>
          <w:szCs w:val="24"/>
        </w:rPr>
        <w:t>Ranaweera</w:t>
      </w:r>
      <w:proofErr w:type="spellEnd"/>
      <w:r>
        <w:rPr>
          <w:rFonts w:ascii="Times New Roman" w:eastAsia="Times New Roman" w:hAnsi="Times New Roman" w:cs="Times New Roman"/>
          <w:color w:val="000000" w:themeColor="text1"/>
          <w:sz w:val="24"/>
          <w:szCs w:val="24"/>
        </w:rPr>
        <w:t xml:space="preserve">, K.K., </w:t>
      </w:r>
      <w:proofErr w:type="spellStart"/>
      <w:r>
        <w:rPr>
          <w:rFonts w:ascii="Times New Roman" w:eastAsia="Times New Roman" w:hAnsi="Times New Roman" w:cs="Times New Roman"/>
          <w:color w:val="000000" w:themeColor="text1"/>
          <w:sz w:val="24"/>
          <w:szCs w:val="24"/>
        </w:rPr>
        <w:t>Kottawa-arachchi</w:t>
      </w:r>
      <w:proofErr w:type="spellEnd"/>
      <w:r>
        <w:rPr>
          <w:rFonts w:ascii="Times New Roman" w:eastAsia="Times New Roman" w:hAnsi="Times New Roman" w:cs="Times New Roman"/>
          <w:color w:val="000000" w:themeColor="text1"/>
          <w:sz w:val="24"/>
          <w:szCs w:val="24"/>
        </w:rPr>
        <w:t>, J.D. and Ranatunga, M.A.B. (2017). Screening of new tea (</w:t>
      </w:r>
      <w:r>
        <w:rPr>
          <w:rFonts w:ascii="Times New Roman" w:eastAsia="Times New Roman" w:hAnsi="Times New Roman" w:cs="Times New Roman"/>
          <w:i/>
          <w:iCs/>
          <w:color w:val="000000" w:themeColor="text1"/>
          <w:sz w:val="24"/>
          <w:szCs w:val="24"/>
        </w:rPr>
        <w:t xml:space="preserve">Camellia sinensis </w:t>
      </w:r>
      <w:r>
        <w:rPr>
          <w:rFonts w:ascii="Times New Roman" w:eastAsia="Times New Roman" w:hAnsi="Times New Roman" w:cs="Times New Roman"/>
          <w:color w:val="000000" w:themeColor="text1"/>
          <w:sz w:val="24"/>
          <w:szCs w:val="24"/>
        </w:rPr>
        <w:t xml:space="preserve">L.) accessions for drought tolerance in </w:t>
      </w:r>
      <w:proofErr w:type="spellStart"/>
      <w:r>
        <w:rPr>
          <w:rFonts w:ascii="Times New Roman" w:eastAsia="Times New Roman" w:hAnsi="Times New Roman" w:cs="Times New Roman"/>
          <w:color w:val="000000" w:themeColor="text1"/>
          <w:sz w:val="24"/>
          <w:szCs w:val="24"/>
        </w:rPr>
        <w:t>Uva</w:t>
      </w:r>
      <w:proofErr w:type="spellEnd"/>
      <w:r>
        <w:rPr>
          <w:rFonts w:ascii="Times New Roman" w:eastAsia="Times New Roman" w:hAnsi="Times New Roman" w:cs="Times New Roman"/>
          <w:color w:val="000000" w:themeColor="text1"/>
          <w:sz w:val="24"/>
          <w:szCs w:val="24"/>
        </w:rPr>
        <w:t xml:space="preserve"> region of Sri Lanka. In: </w:t>
      </w:r>
      <w:r>
        <w:rPr>
          <w:rFonts w:ascii="Times New Roman" w:eastAsia="Times New Roman" w:hAnsi="Times New Roman" w:cs="Times New Roman"/>
          <w:i/>
          <w:iCs/>
          <w:color w:val="000000" w:themeColor="text1"/>
          <w:sz w:val="24"/>
          <w:szCs w:val="24"/>
        </w:rPr>
        <w:t>Proceedings of the 1</w:t>
      </w:r>
      <w:r>
        <w:rPr>
          <w:rFonts w:ascii="Times New Roman" w:eastAsia="Times New Roman" w:hAnsi="Times New Roman" w:cs="Times New Roman"/>
          <w:i/>
          <w:iCs/>
          <w:color w:val="000000" w:themeColor="text1"/>
          <w:sz w:val="24"/>
          <w:szCs w:val="24"/>
          <w:vertAlign w:val="superscript"/>
        </w:rPr>
        <w:t>st</w:t>
      </w:r>
      <w:r>
        <w:rPr>
          <w:rFonts w:ascii="Times New Roman" w:eastAsia="Times New Roman" w:hAnsi="Times New Roman" w:cs="Times New Roman"/>
          <w:i/>
          <w:iCs/>
          <w:color w:val="000000" w:themeColor="text1"/>
          <w:sz w:val="24"/>
          <w:szCs w:val="24"/>
        </w:rPr>
        <w:t xml:space="preserve"> International Symposium on Agriculture</w:t>
      </w:r>
      <w:r>
        <w:rPr>
          <w:rFonts w:ascii="Times New Roman" w:eastAsia="Times New Roman" w:hAnsi="Times New Roman" w:cs="Times New Roman"/>
          <w:color w:val="000000" w:themeColor="text1"/>
          <w:sz w:val="24"/>
          <w:szCs w:val="24"/>
        </w:rPr>
        <w:t>, Eastern University of Sri Lanka.</w:t>
      </w:r>
    </w:p>
    <w:p w14:paraId="4DD6B8DC" w14:textId="77777777" w:rsidR="006A1FD7" w:rsidRDefault="00466E7F">
      <w:pPr>
        <w:spacing w:after="120" w:line="240" w:lineRule="exac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De Costa, W.A.J.M., </w:t>
      </w:r>
      <w:proofErr w:type="spellStart"/>
      <w:r>
        <w:rPr>
          <w:rFonts w:ascii="Times New Roman" w:eastAsia="Times New Roman" w:hAnsi="Times New Roman" w:cs="Times New Roman"/>
          <w:color w:val="000000" w:themeColor="text1"/>
          <w:sz w:val="24"/>
          <w:szCs w:val="24"/>
        </w:rPr>
        <w:t>Mohotti</w:t>
      </w:r>
      <w:proofErr w:type="spellEnd"/>
      <w:r>
        <w:rPr>
          <w:rFonts w:ascii="Times New Roman" w:eastAsia="Times New Roman" w:hAnsi="Times New Roman" w:cs="Times New Roman"/>
          <w:color w:val="000000" w:themeColor="text1"/>
          <w:sz w:val="24"/>
          <w:szCs w:val="24"/>
        </w:rPr>
        <w:t xml:space="preserve">, A.J. and Wijeratne, M.A. (2007). Eco-physiology of tea. </w:t>
      </w:r>
      <w:r>
        <w:rPr>
          <w:rFonts w:ascii="Times New Roman" w:eastAsia="Times New Roman" w:hAnsi="Times New Roman" w:cs="Times New Roman"/>
          <w:i/>
          <w:iCs/>
          <w:color w:val="000000" w:themeColor="text1"/>
          <w:sz w:val="24"/>
          <w:szCs w:val="24"/>
        </w:rPr>
        <w:t>Brazilian Journal of Plant Physiology</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b/>
          <w:bCs/>
          <w:color w:val="000000" w:themeColor="text1"/>
          <w:sz w:val="24"/>
          <w:szCs w:val="24"/>
        </w:rPr>
        <w:t>19</w:t>
      </w:r>
      <w:r>
        <w:rPr>
          <w:rFonts w:ascii="Times New Roman" w:eastAsia="Times New Roman" w:hAnsi="Times New Roman" w:cs="Times New Roman"/>
          <w:color w:val="000000" w:themeColor="text1"/>
          <w:sz w:val="24"/>
          <w:szCs w:val="24"/>
        </w:rPr>
        <w:t>(4), 299-332.</w:t>
      </w:r>
    </w:p>
    <w:p w14:paraId="417E9F45" w14:textId="77777777" w:rsidR="006A1FD7" w:rsidRDefault="00466E7F">
      <w:pPr>
        <w:widowControl w:val="0"/>
        <w:autoSpaceDE w:val="0"/>
        <w:autoSpaceDN w:val="0"/>
        <w:adjustRightInd w:val="0"/>
        <w:spacing w:after="120" w:line="240" w:lineRule="exac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shd w:val="clear" w:color="auto" w:fill="FFFFFF"/>
        </w:rPr>
        <w:t xml:space="preserve">De Costa, W.A.J.M. (2010). Adaptation of agricultural crop production to climate change: A policy framework for Sri Lanka. </w:t>
      </w:r>
      <w:r>
        <w:rPr>
          <w:rFonts w:ascii="Times New Roman" w:eastAsia="Times New Roman" w:hAnsi="Times New Roman" w:cs="Times New Roman"/>
          <w:i/>
          <w:iCs/>
          <w:color w:val="000000" w:themeColor="text1"/>
          <w:sz w:val="24"/>
          <w:szCs w:val="24"/>
          <w:shd w:val="clear" w:color="auto" w:fill="FFFFFF"/>
        </w:rPr>
        <w:t>Journal of the National Science Foundation of Sri Lanka</w:t>
      </w:r>
      <w:r>
        <w:rPr>
          <w:rFonts w:ascii="Times New Roman" w:eastAsia="Times New Roman" w:hAnsi="Times New Roman" w:cs="Times New Roman"/>
          <w:color w:val="000000" w:themeColor="text1"/>
          <w:sz w:val="24"/>
          <w:szCs w:val="24"/>
          <w:shd w:val="clear" w:color="auto" w:fill="FFFFFF"/>
        </w:rPr>
        <w:t xml:space="preserve"> </w:t>
      </w:r>
      <w:r>
        <w:rPr>
          <w:rFonts w:ascii="Times New Roman" w:eastAsia="Times New Roman" w:hAnsi="Times New Roman" w:cs="Times New Roman"/>
          <w:b/>
          <w:bCs/>
          <w:color w:val="000000" w:themeColor="text1"/>
          <w:sz w:val="24"/>
          <w:szCs w:val="24"/>
          <w:shd w:val="clear" w:color="auto" w:fill="FFFFFF"/>
        </w:rPr>
        <w:t>38</w:t>
      </w:r>
      <w:r>
        <w:rPr>
          <w:rFonts w:ascii="Times New Roman" w:eastAsia="Times New Roman" w:hAnsi="Times New Roman" w:cs="Times New Roman"/>
          <w:color w:val="000000" w:themeColor="text1"/>
          <w:sz w:val="24"/>
          <w:szCs w:val="24"/>
          <w:shd w:val="clear" w:color="auto" w:fill="FFFFFF"/>
        </w:rPr>
        <w:t>(2).</w:t>
      </w:r>
    </w:p>
    <w:p w14:paraId="31B1019E" w14:textId="77777777" w:rsidR="006A1FD7" w:rsidRDefault="00466E7F">
      <w:pPr>
        <w:spacing w:after="120" w:line="240" w:lineRule="exact"/>
        <w:jc w:val="both"/>
        <w:rPr>
          <w:rFonts w:ascii="Times New Roman" w:eastAsia="Times New Roman" w:hAnsi="Times New Roman" w:cs="Times New Roman"/>
          <w:color w:val="000000" w:themeColor="text1"/>
          <w:sz w:val="24"/>
          <w:szCs w:val="24"/>
          <w:shd w:val="clear" w:color="auto" w:fill="FFFFFF"/>
        </w:rPr>
      </w:pPr>
      <w:proofErr w:type="spellStart"/>
      <w:r>
        <w:rPr>
          <w:rFonts w:ascii="Times New Roman" w:eastAsia="Times New Roman" w:hAnsi="Times New Roman" w:cs="Times New Roman"/>
          <w:color w:val="000000" w:themeColor="text1"/>
          <w:sz w:val="24"/>
          <w:szCs w:val="24"/>
          <w:shd w:val="clear" w:color="auto" w:fill="FFFFFF"/>
        </w:rPr>
        <w:t>Fariduddin</w:t>
      </w:r>
      <w:proofErr w:type="spellEnd"/>
      <w:r>
        <w:rPr>
          <w:rFonts w:ascii="Times New Roman" w:eastAsia="Times New Roman" w:hAnsi="Times New Roman" w:cs="Times New Roman"/>
          <w:color w:val="000000" w:themeColor="text1"/>
          <w:sz w:val="24"/>
          <w:szCs w:val="24"/>
          <w:shd w:val="clear" w:color="auto" w:fill="FFFFFF"/>
        </w:rPr>
        <w:t xml:space="preserve">, Q., Varshney, P., Yusuf, M., Ali, A. and Ahmad, A. (2013). Dissecting the role of Glycine Betaine in plants under abiotic stress. </w:t>
      </w:r>
      <w:r>
        <w:rPr>
          <w:rFonts w:ascii="Times New Roman" w:eastAsia="Times New Roman" w:hAnsi="Times New Roman" w:cs="Times New Roman"/>
          <w:i/>
          <w:iCs/>
          <w:color w:val="000000" w:themeColor="text1"/>
          <w:sz w:val="24"/>
          <w:szCs w:val="24"/>
          <w:shd w:val="clear" w:color="auto" w:fill="FFFFFF"/>
        </w:rPr>
        <w:t>Plant Stress</w:t>
      </w:r>
      <w:r>
        <w:rPr>
          <w:rFonts w:ascii="Times New Roman" w:eastAsia="Times New Roman" w:hAnsi="Times New Roman" w:cs="Times New Roman"/>
          <w:color w:val="000000" w:themeColor="text1"/>
          <w:sz w:val="24"/>
          <w:szCs w:val="24"/>
          <w:shd w:val="clear" w:color="auto" w:fill="FFFFFF"/>
        </w:rPr>
        <w:t xml:space="preserve"> </w:t>
      </w:r>
      <w:r>
        <w:rPr>
          <w:rFonts w:ascii="Times New Roman" w:eastAsia="Times New Roman" w:hAnsi="Times New Roman" w:cs="Times New Roman"/>
          <w:b/>
          <w:bCs/>
          <w:color w:val="000000" w:themeColor="text1"/>
          <w:sz w:val="24"/>
          <w:szCs w:val="24"/>
          <w:shd w:val="clear" w:color="auto" w:fill="FFFFFF"/>
        </w:rPr>
        <w:t>7</w:t>
      </w:r>
      <w:r>
        <w:rPr>
          <w:rFonts w:ascii="Times New Roman" w:eastAsia="Times New Roman" w:hAnsi="Times New Roman" w:cs="Times New Roman"/>
          <w:color w:val="000000" w:themeColor="text1"/>
          <w:sz w:val="24"/>
          <w:szCs w:val="24"/>
          <w:shd w:val="clear" w:color="auto" w:fill="FFFFFF"/>
        </w:rPr>
        <w:t>(1), 8-18.</w:t>
      </w:r>
    </w:p>
    <w:p w14:paraId="6E97E549" w14:textId="77777777" w:rsidR="006A1FD7" w:rsidRDefault="00466E7F">
      <w:pPr>
        <w:widowControl w:val="0"/>
        <w:autoSpaceDE w:val="0"/>
        <w:autoSpaceDN w:val="0"/>
        <w:adjustRightInd w:val="0"/>
        <w:spacing w:after="120" w:line="240" w:lineRule="exact"/>
        <w:jc w:val="both"/>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Gunathilaka</w:t>
      </w:r>
      <w:proofErr w:type="spellEnd"/>
      <w:r>
        <w:rPr>
          <w:rFonts w:ascii="Times New Roman" w:eastAsia="Times New Roman" w:hAnsi="Times New Roman" w:cs="Times New Roman"/>
          <w:color w:val="000000" w:themeColor="text1"/>
          <w:sz w:val="24"/>
          <w:szCs w:val="24"/>
        </w:rPr>
        <w:t xml:space="preserve">, R.P.D., Smart, J.C.R. and Fleming, C.M. (2017). The impact of changing climate on perennial crops: the case of tea production in Sri Lanka. </w:t>
      </w:r>
      <w:r>
        <w:rPr>
          <w:rFonts w:ascii="Times New Roman" w:eastAsia="Times New Roman" w:hAnsi="Times New Roman" w:cs="Times New Roman"/>
          <w:i/>
          <w:iCs/>
          <w:color w:val="000000" w:themeColor="text1"/>
          <w:sz w:val="24"/>
          <w:szCs w:val="24"/>
        </w:rPr>
        <w:t>Climatic Change</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b/>
          <w:bCs/>
          <w:color w:val="000000" w:themeColor="text1"/>
          <w:sz w:val="24"/>
          <w:szCs w:val="24"/>
        </w:rPr>
        <w:t>140</w:t>
      </w:r>
      <w:r>
        <w:rPr>
          <w:rFonts w:ascii="Times New Roman" w:eastAsia="Times New Roman" w:hAnsi="Times New Roman" w:cs="Times New Roman"/>
          <w:color w:val="000000" w:themeColor="text1"/>
          <w:sz w:val="24"/>
          <w:szCs w:val="24"/>
        </w:rPr>
        <w:t xml:space="preserve">(3-4), 577-592. </w:t>
      </w:r>
    </w:p>
    <w:p w14:paraId="54440805" w14:textId="77777777" w:rsidR="006A1FD7" w:rsidRDefault="00466E7F">
      <w:pPr>
        <w:spacing w:line="240" w:lineRule="exact"/>
        <w:jc w:val="both"/>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Hassing</w:t>
      </w:r>
      <w:proofErr w:type="spellEnd"/>
      <w:r>
        <w:rPr>
          <w:rFonts w:ascii="Times New Roman" w:eastAsia="Times New Roman" w:hAnsi="Times New Roman" w:cs="Times New Roman"/>
          <w:color w:val="000000" w:themeColor="text1"/>
          <w:sz w:val="24"/>
          <w:szCs w:val="24"/>
        </w:rPr>
        <w:t xml:space="preserve">, P., </w:t>
      </w:r>
      <w:proofErr w:type="spellStart"/>
      <w:r>
        <w:rPr>
          <w:rFonts w:ascii="Times New Roman" w:eastAsia="Times New Roman" w:hAnsi="Times New Roman" w:cs="Times New Roman"/>
          <w:color w:val="000000" w:themeColor="text1"/>
          <w:sz w:val="24"/>
          <w:szCs w:val="24"/>
        </w:rPr>
        <w:t>Mendis</w:t>
      </w:r>
      <w:proofErr w:type="spellEnd"/>
      <w:r>
        <w:rPr>
          <w:rFonts w:ascii="Times New Roman" w:eastAsia="Times New Roman" w:hAnsi="Times New Roman" w:cs="Times New Roman"/>
          <w:color w:val="000000" w:themeColor="text1"/>
          <w:sz w:val="24"/>
          <w:szCs w:val="24"/>
        </w:rPr>
        <w:t xml:space="preserve">, M.S., Menezes, L.M. and Gowen, M.M. (1996). The framework </w:t>
      </w:r>
      <w:proofErr w:type="spellStart"/>
      <w:r>
        <w:rPr>
          <w:rFonts w:ascii="Times New Roman" w:eastAsia="Times New Roman" w:hAnsi="Times New Roman" w:cs="Times New Roman"/>
          <w:color w:val="000000" w:themeColor="text1"/>
          <w:sz w:val="24"/>
          <w:szCs w:val="24"/>
        </w:rPr>
        <w:t>convnetion</w:t>
      </w:r>
      <w:proofErr w:type="spellEnd"/>
      <w:r>
        <w:rPr>
          <w:rFonts w:ascii="Times New Roman" w:eastAsia="Times New Roman" w:hAnsi="Times New Roman" w:cs="Times New Roman"/>
          <w:color w:val="000000" w:themeColor="text1"/>
          <w:sz w:val="24"/>
          <w:szCs w:val="24"/>
        </w:rPr>
        <w:t xml:space="preserve"> on climate change: A </w:t>
      </w:r>
      <w:proofErr w:type="spellStart"/>
      <w:r>
        <w:rPr>
          <w:rFonts w:ascii="Times New Roman" w:eastAsia="Times New Roman" w:hAnsi="Times New Roman" w:cs="Times New Roman"/>
          <w:color w:val="000000" w:themeColor="text1"/>
          <w:sz w:val="24"/>
          <w:szCs w:val="24"/>
        </w:rPr>
        <w:t>covention</w:t>
      </w:r>
      <w:proofErr w:type="spellEnd"/>
      <w:r>
        <w:rPr>
          <w:rFonts w:ascii="Times New Roman" w:eastAsia="Times New Roman" w:hAnsi="Times New Roman" w:cs="Times New Roman"/>
          <w:color w:val="000000" w:themeColor="text1"/>
          <w:sz w:val="24"/>
          <w:szCs w:val="24"/>
        </w:rPr>
        <w:t xml:space="preserve"> for </w:t>
      </w:r>
      <w:proofErr w:type="spellStart"/>
      <w:r>
        <w:rPr>
          <w:rFonts w:ascii="Times New Roman" w:eastAsia="Times New Roman" w:hAnsi="Times New Roman" w:cs="Times New Roman"/>
          <w:color w:val="000000" w:themeColor="text1"/>
          <w:sz w:val="24"/>
          <w:szCs w:val="24"/>
        </w:rPr>
        <w:t>sustainble</w:t>
      </w:r>
      <w:proofErr w:type="spellEnd"/>
      <w:r>
        <w:rPr>
          <w:rFonts w:ascii="Times New Roman" w:eastAsia="Times New Roman" w:hAnsi="Times New Roman" w:cs="Times New Roman"/>
          <w:color w:val="000000" w:themeColor="text1"/>
          <w:sz w:val="24"/>
          <w:szCs w:val="24"/>
        </w:rPr>
        <w:t xml:space="preserve"> energy development. CON: </w:t>
      </w:r>
      <w:r>
        <w:rPr>
          <w:rFonts w:ascii="Times New Roman" w:eastAsia="Times New Roman" w:hAnsi="Times New Roman" w:cs="Times New Roman"/>
          <w:i/>
          <w:iCs/>
          <w:color w:val="000000" w:themeColor="text1"/>
          <w:sz w:val="24"/>
          <w:szCs w:val="24"/>
        </w:rPr>
        <w:t>International Workshop on Greenhouse Gas Mitigation Technologies and Measures</w:t>
      </w:r>
      <w:r>
        <w:rPr>
          <w:rFonts w:ascii="Times New Roman" w:eastAsia="Times New Roman" w:hAnsi="Times New Roman" w:cs="Times New Roman"/>
          <w:color w:val="000000" w:themeColor="text1"/>
          <w:sz w:val="24"/>
          <w:szCs w:val="24"/>
        </w:rPr>
        <w:t>, Beijing, China.</w:t>
      </w:r>
    </w:p>
    <w:p w14:paraId="50F4943D" w14:textId="77777777" w:rsidR="006A1FD7" w:rsidRDefault="00466E7F">
      <w:pPr>
        <w:widowControl w:val="0"/>
        <w:autoSpaceDE w:val="0"/>
        <w:autoSpaceDN w:val="0"/>
        <w:adjustRightInd w:val="0"/>
        <w:spacing w:after="120" w:line="240" w:lineRule="exact"/>
        <w:jc w:val="both"/>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lastRenderedPageBreak/>
        <w:t>Moharramnejad</w:t>
      </w:r>
      <w:proofErr w:type="spellEnd"/>
      <w:r>
        <w:rPr>
          <w:rFonts w:ascii="Times New Roman" w:eastAsia="Times New Roman" w:hAnsi="Times New Roman" w:cs="Times New Roman"/>
          <w:color w:val="000000" w:themeColor="text1"/>
          <w:sz w:val="24"/>
          <w:szCs w:val="24"/>
        </w:rPr>
        <w:t xml:space="preserve">, S., </w:t>
      </w:r>
      <w:proofErr w:type="spellStart"/>
      <w:r>
        <w:rPr>
          <w:rFonts w:ascii="Times New Roman" w:eastAsia="Times New Roman" w:hAnsi="Times New Roman" w:cs="Times New Roman"/>
          <w:color w:val="000000" w:themeColor="text1"/>
          <w:sz w:val="24"/>
          <w:szCs w:val="24"/>
        </w:rPr>
        <w:t>Sofalian</w:t>
      </w:r>
      <w:proofErr w:type="spellEnd"/>
      <w:r>
        <w:rPr>
          <w:rFonts w:ascii="Times New Roman" w:eastAsia="Times New Roman" w:hAnsi="Times New Roman" w:cs="Times New Roman"/>
          <w:color w:val="000000" w:themeColor="text1"/>
          <w:sz w:val="24"/>
          <w:szCs w:val="24"/>
        </w:rPr>
        <w:t xml:space="preserve">, O., </w:t>
      </w:r>
      <w:proofErr w:type="spellStart"/>
      <w:r>
        <w:rPr>
          <w:rFonts w:ascii="Times New Roman" w:eastAsia="Times New Roman" w:hAnsi="Times New Roman" w:cs="Times New Roman"/>
          <w:color w:val="000000" w:themeColor="text1"/>
          <w:sz w:val="24"/>
          <w:szCs w:val="24"/>
        </w:rPr>
        <w:t>Valizadeh</w:t>
      </w:r>
      <w:proofErr w:type="spellEnd"/>
      <w:r>
        <w:rPr>
          <w:rFonts w:ascii="Times New Roman" w:eastAsia="Times New Roman" w:hAnsi="Times New Roman" w:cs="Times New Roman"/>
          <w:color w:val="000000" w:themeColor="text1"/>
          <w:sz w:val="24"/>
          <w:szCs w:val="24"/>
        </w:rPr>
        <w:t xml:space="preserve">, M., </w:t>
      </w:r>
      <w:proofErr w:type="spellStart"/>
      <w:r>
        <w:rPr>
          <w:rFonts w:ascii="Times New Roman" w:eastAsia="Times New Roman" w:hAnsi="Times New Roman" w:cs="Times New Roman"/>
          <w:color w:val="000000" w:themeColor="text1"/>
          <w:sz w:val="24"/>
          <w:szCs w:val="24"/>
        </w:rPr>
        <w:t>Asgari</w:t>
      </w:r>
      <w:proofErr w:type="spellEnd"/>
      <w:r>
        <w:rPr>
          <w:rFonts w:ascii="Times New Roman" w:eastAsia="Times New Roman" w:hAnsi="Times New Roman" w:cs="Times New Roman"/>
          <w:color w:val="000000" w:themeColor="text1"/>
          <w:sz w:val="24"/>
          <w:szCs w:val="24"/>
        </w:rPr>
        <w:t xml:space="preserve">, A. and Shiri, M. (2015). Proline, glycine Betaine, total phenolics and pigment contents in response to osmotic stress in maize seedlings. </w:t>
      </w:r>
      <w:r>
        <w:rPr>
          <w:rFonts w:ascii="Times New Roman" w:eastAsia="Times New Roman" w:hAnsi="Times New Roman" w:cs="Times New Roman"/>
          <w:i/>
          <w:iCs/>
          <w:color w:val="000000" w:themeColor="text1"/>
          <w:sz w:val="24"/>
          <w:szCs w:val="24"/>
        </w:rPr>
        <w:t>Journal of Bio Science and Biotechnology</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b/>
          <w:bCs/>
          <w:color w:val="000000" w:themeColor="text1"/>
          <w:sz w:val="24"/>
          <w:szCs w:val="24"/>
        </w:rPr>
        <w:t>4</w:t>
      </w:r>
      <w:r>
        <w:rPr>
          <w:rFonts w:ascii="Times New Roman" w:eastAsia="Times New Roman" w:hAnsi="Times New Roman" w:cs="Times New Roman"/>
          <w:color w:val="000000" w:themeColor="text1"/>
          <w:sz w:val="24"/>
          <w:szCs w:val="24"/>
        </w:rPr>
        <w:t>(3), 313-319.</w:t>
      </w:r>
    </w:p>
    <w:p w14:paraId="51E7BBA1" w14:textId="77777777" w:rsidR="006A1FD7" w:rsidRDefault="00466E7F">
      <w:pPr>
        <w:widowControl w:val="0"/>
        <w:autoSpaceDE w:val="0"/>
        <w:autoSpaceDN w:val="0"/>
        <w:adjustRightInd w:val="0"/>
        <w:spacing w:after="120" w:line="240" w:lineRule="exact"/>
        <w:jc w:val="both"/>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Mohotti</w:t>
      </w:r>
      <w:proofErr w:type="spellEnd"/>
      <w:r>
        <w:rPr>
          <w:rFonts w:ascii="Times New Roman" w:eastAsia="Times New Roman" w:hAnsi="Times New Roman" w:cs="Times New Roman"/>
          <w:color w:val="000000" w:themeColor="text1"/>
          <w:sz w:val="24"/>
          <w:szCs w:val="24"/>
        </w:rPr>
        <w:t xml:space="preserve"> A. J., Dennett M. D. and Lawlor, D. W. (2000). Electron Transport as a limitation to photosynthesis of tea (</w:t>
      </w:r>
      <w:r>
        <w:rPr>
          <w:rFonts w:ascii="Times New Roman" w:eastAsia="Times New Roman" w:hAnsi="Times New Roman" w:cs="Times New Roman"/>
          <w:i/>
          <w:iCs/>
          <w:color w:val="000000" w:themeColor="text1"/>
          <w:sz w:val="24"/>
          <w:szCs w:val="24"/>
        </w:rPr>
        <w:t>Camellia sinensis</w:t>
      </w:r>
      <w:r>
        <w:rPr>
          <w:rFonts w:ascii="Times New Roman" w:eastAsia="Times New Roman" w:hAnsi="Times New Roman" w:cs="Times New Roman"/>
          <w:color w:val="000000" w:themeColor="text1"/>
          <w:sz w:val="24"/>
          <w:szCs w:val="24"/>
        </w:rPr>
        <w:t xml:space="preserve"> (L.) O. </w:t>
      </w:r>
      <w:proofErr w:type="spellStart"/>
      <w:r>
        <w:rPr>
          <w:rFonts w:ascii="Times New Roman" w:eastAsia="Times New Roman" w:hAnsi="Times New Roman" w:cs="Times New Roman"/>
          <w:color w:val="000000" w:themeColor="text1"/>
          <w:sz w:val="24"/>
          <w:szCs w:val="24"/>
        </w:rPr>
        <w:t>Kuntze</w:t>
      </w:r>
      <w:proofErr w:type="spellEnd"/>
      <w:r>
        <w:rPr>
          <w:rFonts w:ascii="Times New Roman" w:eastAsia="Times New Roman" w:hAnsi="Times New Roman" w:cs="Times New Roman"/>
          <w:color w:val="000000" w:themeColor="text1"/>
          <w:sz w:val="24"/>
          <w:szCs w:val="24"/>
        </w:rPr>
        <w:t>); a comparison with sunflower (</w:t>
      </w:r>
      <w:r>
        <w:rPr>
          <w:rFonts w:ascii="Times New Roman" w:eastAsia="Times New Roman" w:hAnsi="Times New Roman" w:cs="Times New Roman"/>
          <w:i/>
          <w:iCs/>
          <w:color w:val="000000" w:themeColor="text1"/>
          <w:sz w:val="24"/>
          <w:szCs w:val="24"/>
        </w:rPr>
        <w:t>Helianthus annus</w:t>
      </w:r>
      <w:r>
        <w:rPr>
          <w:rFonts w:ascii="Times New Roman" w:eastAsia="Times New Roman" w:hAnsi="Times New Roman" w:cs="Times New Roman"/>
          <w:color w:val="000000" w:themeColor="text1"/>
          <w:sz w:val="24"/>
          <w:szCs w:val="24"/>
        </w:rPr>
        <w:t xml:space="preserve"> L.) with special reference to irradiance. </w:t>
      </w:r>
      <w:r>
        <w:rPr>
          <w:rFonts w:ascii="Times New Roman" w:eastAsia="Times New Roman" w:hAnsi="Times New Roman" w:cs="Times New Roman"/>
          <w:i/>
          <w:iCs/>
          <w:color w:val="000000" w:themeColor="text1"/>
          <w:sz w:val="24"/>
          <w:szCs w:val="24"/>
        </w:rPr>
        <w:t>Tropical Agricultural Research</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b/>
          <w:bCs/>
          <w:color w:val="000000" w:themeColor="text1"/>
          <w:sz w:val="24"/>
          <w:szCs w:val="24"/>
        </w:rPr>
        <w:t>12</w:t>
      </w:r>
      <w:r>
        <w:rPr>
          <w:rFonts w:ascii="Times New Roman" w:eastAsia="Times New Roman" w:hAnsi="Times New Roman" w:cs="Times New Roman"/>
          <w:color w:val="000000" w:themeColor="text1"/>
          <w:sz w:val="24"/>
          <w:szCs w:val="24"/>
        </w:rPr>
        <w:t>, 1-10.</w:t>
      </w:r>
    </w:p>
    <w:p w14:paraId="4215F6AA" w14:textId="77777777" w:rsidR="006A1FD7" w:rsidRDefault="00466E7F">
      <w:pPr>
        <w:widowControl w:val="0"/>
        <w:autoSpaceDE w:val="0"/>
        <w:autoSpaceDN w:val="0"/>
        <w:adjustRightInd w:val="0"/>
        <w:spacing w:after="120" w:line="240" w:lineRule="exac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Mondal, T.K., Bhattacharya, A., </w:t>
      </w:r>
      <w:proofErr w:type="spellStart"/>
      <w:r>
        <w:rPr>
          <w:rFonts w:ascii="Times New Roman" w:eastAsia="Times New Roman" w:hAnsi="Times New Roman" w:cs="Times New Roman"/>
          <w:color w:val="000000" w:themeColor="text1"/>
          <w:sz w:val="24"/>
          <w:szCs w:val="24"/>
        </w:rPr>
        <w:t>Laxmikumaran</w:t>
      </w:r>
      <w:proofErr w:type="spellEnd"/>
      <w:r>
        <w:rPr>
          <w:rFonts w:ascii="Times New Roman" w:eastAsia="Times New Roman" w:hAnsi="Times New Roman" w:cs="Times New Roman"/>
          <w:color w:val="000000" w:themeColor="text1"/>
          <w:sz w:val="24"/>
          <w:szCs w:val="24"/>
        </w:rPr>
        <w:t>, M. and Ahuja, P.S. (2004). Recent advances of tea (</w:t>
      </w:r>
      <w:r>
        <w:rPr>
          <w:rFonts w:ascii="Times New Roman" w:eastAsia="Times New Roman" w:hAnsi="Times New Roman" w:cs="Times New Roman"/>
          <w:i/>
          <w:iCs/>
          <w:color w:val="000000" w:themeColor="text1"/>
          <w:sz w:val="24"/>
          <w:szCs w:val="24"/>
        </w:rPr>
        <w:t>Camellia sinensis</w:t>
      </w:r>
      <w:r>
        <w:rPr>
          <w:rFonts w:ascii="Times New Roman" w:eastAsia="Times New Roman" w:hAnsi="Times New Roman" w:cs="Times New Roman"/>
          <w:color w:val="000000" w:themeColor="text1"/>
          <w:sz w:val="24"/>
          <w:szCs w:val="24"/>
        </w:rPr>
        <w:t xml:space="preserve">) biotechnology. </w:t>
      </w:r>
      <w:r>
        <w:rPr>
          <w:rFonts w:ascii="Times New Roman" w:eastAsia="Times New Roman" w:hAnsi="Times New Roman" w:cs="Times New Roman"/>
          <w:i/>
          <w:iCs/>
          <w:color w:val="000000" w:themeColor="text1"/>
          <w:sz w:val="24"/>
          <w:szCs w:val="24"/>
        </w:rPr>
        <w:t>Plant Cell, Tissue and Organ Culture</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b/>
          <w:bCs/>
          <w:color w:val="000000" w:themeColor="text1"/>
          <w:sz w:val="24"/>
          <w:szCs w:val="24"/>
        </w:rPr>
        <w:t>76</w:t>
      </w:r>
      <w:r>
        <w:rPr>
          <w:rFonts w:ascii="Times New Roman" w:eastAsia="Times New Roman" w:hAnsi="Times New Roman" w:cs="Times New Roman"/>
          <w:color w:val="000000" w:themeColor="text1"/>
          <w:sz w:val="24"/>
          <w:szCs w:val="24"/>
        </w:rPr>
        <w:t>,195-254.</w:t>
      </w:r>
    </w:p>
    <w:p w14:paraId="5FA4B62A" w14:textId="77777777" w:rsidR="006A1FD7" w:rsidRDefault="00466E7F">
      <w:pPr>
        <w:spacing w:line="240" w:lineRule="exact"/>
        <w:jc w:val="both"/>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Samarawickrama</w:t>
      </w:r>
      <w:proofErr w:type="spellEnd"/>
      <w:r>
        <w:rPr>
          <w:rFonts w:ascii="Times New Roman" w:eastAsia="Times New Roman" w:hAnsi="Times New Roman" w:cs="Times New Roman"/>
          <w:color w:val="000000" w:themeColor="text1"/>
          <w:sz w:val="24"/>
          <w:szCs w:val="24"/>
        </w:rPr>
        <w:t>, C. (2018). Sri Lanka ranked second in the Global Climatic Index 2019 Daily Mirror [online]. Available at https://www.dailymirror.lk/article/SL-ranked-second-in-the-Global-Climate-Risk-Index--159427.html [Accessed 17 February 2022].</w:t>
      </w:r>
    </w:p>
    <w:p w14:paraId="4CED645D" w14:textId="77777777" w:rsidR="006A1FD7" w:rsidRDefault="00466E7F">
      <w:pPr>
        <w:widowControl w:val="0"/>
        <w:autoSpaceDE w:val="0"/>
        <w:spacing w:after="120" w:line="240" w:lineRule="exact"/>
        <w:jc w:val="both"/>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Schymanski</w:t>
      </w:r>
      <w:proofErr w:type="spellEnd"/>
      <w:r>
        <w:rPr>
          <w:rFonts w:ascii="Times New Roman" w:eastAsia="Times New Roman" w:hAnsi="Times New Roman" w:cs="Times New Roman"/>
          <w:color w:val="000000" w:themeColor="text1"/>
          <w:sz w:val="24"/>
          <w:szCs w:val="24"/>
        </w:rPr>
        <w:t xml:space="preserve">, S. J., Or, D. and </w:t>
      </w:r>
      <w:proofErr w:type="spellStart"/>
      <w:r>
        <w:rPr>
          <w:rFonts w:ascii="Times New Roman" w:eastAsia="Times New Roman" w:hAnsi="Times New Roman" w:cs="Times New Roman"/>
          <w:color w:val="000000" w:themeColor="text1"/>
          <w:sz w:val="24"/>
          <w:szCs w:val="24"/>
        </w:rPr>
        <w:t>Zwieniecki</w:t>
      </w:r>
      <w:proofErr w:type="spellEnd"/>
      <w:r>
        <w:rPr>
          <w:rFonts w:ascii="Times New Roman" w:eastAsia="Times New Roman" w:hAnsi="Times New Roman" w:cs="Times New Roman"/>
          <w:color w:val="000000" w:themeColor="text1"/>
          <w:sz w:val="24"/>
          <w:szCs w:val="24"/>
        </w:rPr>
        <w:t xml:space="preserve">, M. (2013). Stomatal control and leaf thermal and hydraulic capacitances under rapid environmental fluctuations. </w:t>
      </w:r>
      <w:proofErr w:type="spellStart"/>
      <w:r>
        <w:rPr>
          <w:rFonts w:ascii="Times New Roman" w:eastAsia="Times New Roman" w:hAnsi="Times New Roman" w:cs="Times New Roman"/>
          <w:color w:val="000000" w:themeColor="text1"/>
          <w:sz w:val="24"/>
          <w:szCs w:val="24"/>
        </w:rPr>
        <w:t>PLoS</w:t>
      </w:r>
      <w:proofErr w:type="spellEnd"/>
      <w:r>
        <w:rPr>
          <w:rFonts w:ascii="Times New Roman" w:eastAsia="Times New Roman" w:hAnsi="Times New Roman" w:cs="Times New Roman"/>
          <w:color w:val="000000" w:themeColor="text1"/>
          <w:sz w:val="24"/>
          <w:szCs w:val="24"/>
        </w:rPr>
        <w:t xml:space="preserve"> One, </w:t>
      </w:r>
      <w:r>
        <w:rPr>
          <w:rFonts w:ascii="Times New Roman" w:eastAsia="Times New Roman" w:hAnsi="Times New Roman" w:cs="Times New Roman"/>
          <w:b/>
          <w:bCs/>
          <w:color w:val="000000" w:themeColor="text1"/>
          <w:sz w:val="24"/>
          <w:szCs w:val="24"/>
        </w:rPr>
        <w:t>8</w:t>
      </w:r>
      <w:r>
        <w:rPr>
          <w:rFonts w:ascii="Times New Roman" w:eastAsia="Times New Roman" w:hAnsi="Times New Roman" w:cs="Times New Roman"/>
          <w:color w:val="000000" w:themeColor="text1"/>
          <w:sz w:val="24"/>
          <w:szCs w:val="24"/>
        </w:rPr>
        <w:t xml:space="preserve">(1). </w:t>
      </w:r>
      <w:hyperlink r:id="rId23" w:history="1">
        <w:r>
          <w:rPr>
            <w:rFonts w:ascii="Times New Roman" w:eastAsia="Times New Roman" w:hAnsi="Times New Roman" w:cs="Times New Roman"/>
            <w:color w:val="000000" w:themeColor="text1"/>
            <w:sz w:val="24"/>
            <w:szCs w:val="24"/>
          </w:rPr>
          <w:t>https://doi.org/10.1371/journal.pone.0054231</w:t>
        </w:r>
      </w:hyperlink>
      <w:r>
        <w:rPr>
          <w:rFonts w:ascii="Times New Roman" w:eastAsia="Times New Roman" w:hAnsi="Times New Roman" w:cs="Times New Roman"/>
          <w:color w:val="000000" w:themeColor="text1"/>
          <w:sz w:val="24"/>
          <w:szCs w:val="24"/>
        </w:rPr>
        <w:t>.</w:t>
      </w:r>
    </w:p>
    <w:p w14:paraId="4A302E55" w14:textId="77777777" w:rsidR="006A1FD7" w:rsidRDefault="00466E7F">
      <w:pPr>
        <w:spacing w:after="120" w:line="240" w:lineRule="exac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Shabnam, N., Tripathi, I., Sharmila, </w:t>
      </w:r>
      <w:proofErr w:type="spellStart"/>
      <w:r>
        <w:rPr>
          <w:rFonts w:ascii="Times New Roman" w:eastAsia="Times New Roman" w:hAnsi="Times New Roman" w:cs="Times New Roman"/>
          <w:color w:val="000000" w:themeColor="text1"/>
          <w:sz w:val="24"/>
          <w:szCs w:val="24"/>
        </w:rPr>
        <w:t>P.and</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Pardha-Saradhi</w:t>
      </w:r>
      <w:proofErr w:type="spellEnd"/>
      <w:r>
        <w:rPr>
          <w:rFonts w:ascii="Times New Roman" w:eastAsia="Times New Roman" w:hAnsi="Times New Roman" w:cs="Times New Roman"/>
          <w:color w:val="000000" w:themeColor="text1"/>
          <w:sz w:val="24"/>
          <w:szCs w:val="24"/>
        </w:rPr>
        <w:t xml:space="preserve">, P. (2015). A rapid, ideal, and eco-friendlier protocol for quantifying proline. </w:t>
      </w:r>
      <w:r>
        <w:rPr>
          <w:rFonts w:ascii="Times New Roman" w:eastAsia="Times New Roman" w:hAnsi="Times New Roman" w:cs="Times New Roman"/>
          <w:i/>
          <w:iCs/>
          <w:color w:val="000000" w:themeColor="text1"/>
          <w:sz w:val="24"/>
          <w:szCs w:val="24"/>
        </w:rPr>
        <w:t>New Methods in Cell Biology</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b/>
          <w:bCs/>
          <w:color w:val="000000" w:themeColor="text1"/>
          <w:sz w:val="24"/>
          <w:szCs w:val="24"/>
        </w:rPr>
        <w:t>253</w:t>
      </w:r>
      <w:r>
        <w:rPr>
          <w:rFonts w:ascii="Times New Roman" w:eastAsia="Times New Roman" w:hAnsi="Times New Roman" w:cs="Times New Roman"/>
          <w:color w:val="000000" w:themeColor="text1"/>
          <w:sz w:val="24"/>
          <w:szCs w:val="24"/>
        </w:rPr>
        <w:t>(6), 1577-1582.</w:t>
      </w:r>
    </w:p>
    <w:p w14:paraId="356E57F5" w14:textId="77777777" w:rsidR="006A1FD7" w:rsidRDefault="00466E7F">
      <w:pPr>
        <w:widowControl w:val="0"/>
        <w:autoSpaceDE w:val="0"/>
        <w:autoSpaceDN w:val="0"/>
        <w:adjustRightInd w:val="0"/>
        <w:spacing w:after="120" w:line="240" w:lineRule="exact"/>
        <w:jc w:val="both"/>
        <w:rPr>
          <w:rFonts w:ascii="Times New Roman" w:eastAsia="Times New Roman" w:hAnsi="Times New Roman" w:cs="Times New Roman"/>
          <w:color w:val="000000" w:themeColor="text1"/>
          <w:sz w:val="24"/>
          <w:szCs w:val="24"/>
          <w:shd w:val="clear" w:color="auto" w:fill="FFFFFF"/>
        </w:rPr>
      </w:pPr>
      <w:r>
        <w:rPr>
          <w:rFonts w:ascii="Times New Roman" w:eastAsia="Times New Roman" w:hAnsi="Times New Roman" w:cs="Times New Roman"/>
          <w:color w:val="000000" w:themeColor="text1"/>
          <w:sz w:val="24"/>
          <w:szCs w:val="24"/>
          <w:shd w:val="clear" w:color="auto" w:fill="FFFFFF"/>
        </w:rPr>
        <w:t xml:space="preserve">Simon, G., Huang, H., Penner-Hahn, J.E., Kesler, S.E. and Kao, L.S. (1999). Oxidation state of gold and arsenic in gold-bearing arsenian pyrite. </w:t>
      </w:r>
      <w:r>
        <w:rPr>
          <w:rFonts w:ascii="Times New Roman" w:eastAsia="Times New Roman" w:hAnsi="Times New Roman" w:cs="Times New Roman"/>
          <w:i/>
          <w:iCs/>
          <w:color w:val="000000" w:themeColor="text1"/>
          <w:sz w:val="24"/>
          <w:szCs w:val="24"/>
          <w:shd w:val="clear" w:color="auto" w:fill="FFFFFF"/>
        </w:rPr>
        <w:t>American Mineralogist</w:t>
      </w:r>
      <w:r>
        <w:rPr>
          <w:rFonts w:ascii="Times New Roman" w:eastAsia="Times New Roman" w:hAnsi="Times New Roman" w:cs="Times New Roman"/>
          <w:color w:val="000000" w:themeColor="text1"/>
          <w:sz w:val="24"/>
          <w:szCs w:val="24"/>
          <w:shd w:val="clear" w:color="auto" w:fill="FFFFFF"/>
        </w:rPr>
        <w:t xml:space="preserve"> </w:t>
      </w:r>
      <w:r>
        <w:rPr>
          <w:rFonts w:ascii="Times New Roman" w:eastAsia="Times New Roman" w:hAnsi="Times New Roman" w:cs="Times New Roman"/>
          <w:b/>
          <w:bCs/>
          <w:color w:val="000000" w:themeColor="text1"/>
          <w:sz w:val="24"/>
          <w:szCs w:val="24"/>
          <w:shd w:val="clear" w:color="auto" w:fill="FFFFFF"/>
        </w:rPr>
        <w:t>84</w:t>
      </w:r>
      <w:r>
        <w:rPr>
          <w:rFonts w:ascii="Times New Roman" w:eastAsia="Times New Roman" w:hAnsi="Times New Roman" w:cs="Times New Roman"/>
          <w:color w:val="000000" w:themeColor="text1"/>
          <w:sz w:val="24"/>
          <w:szCs w:val="24"/>
          <w:shd w:val="clear" w:color="auto" w:fill="FFFFFF"/>
        </w:rPr>
        <w:t>(7-8), 1071-1079.</w:t>
      </w:r>
    </w:p>
    <w:p w14:paraId="65312D1D" w14:textId="77777777" w:rsidR="006A1FD7" w:rsidRDefault="00466E7F">
      <w:pPr>
        <w:widowControl w:val="0"/>
        <w:autoSpaceDE w:val="0"/>
        <w:autoSpaceDN w:val="0"/>
        <w:adjustRightInd w:val="0"/>
        <w:spacing w:after="120" w:line="240" w:lineRule="exac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shd w:val="clear" w:color="auto" w:fill="FFFFFF"/>
        </w:rPr>
        <w:t>Sri Lanka Export Development Board (2014). Industry Capability Report: Tea Sector. Export Development Board (EDB). Sri Lanka.</w:t>
      </w:r>
    </w:p>
    <w:p w14:paraId="2A9CACF2" w14:textId="77777777" w:rsidR="006A1FD7" w:rsidRDefault="00466E7F">
      <w:pPr>
        <w:widowControl w:val="0"/>
        <w:autoSpaceDE w:val="0"/>
        <w:autoSpaceDN w:val="0"/>
        <w:adjustRightInd w:val="0"/>
        <w:spacing w:after="120" w:line="240" w:lineRule="exac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Upadhyaya, H., Panda, S.K. and Dutta, B.K. (2011). CaCl</w:t>
      </w:r>
      <w:r>
        <w:rPr>
          <w:rFonts w:ascii="Times New Roman" w:eastAsia="Times New Roman" w:hAnsi="Times New Roman" w:cs="Times New Roman"/>
          <w:color w:val="000000" w:themeColor="text1"/>
          <w:sz w:val="24"/>
          <w:szCs w:val="24"/>
          <w:vertAlign w:val="subscript"/>
        </w:rPr>
        <w:t xml:space="preserve">2 </w:t>
      </w:r>
      <w:r>
        <w:rPr>
          <w:rFonts w:ascii="Times New Roman" w:eastAsia="Times New Roman" w:hAnsi="Times New Roman" w:cs="Times New Roman"/>
          <w:color w:val="000000" w:themeColor="text1"/>
          <w:sz w:val="24"/>
          <w:szCs w:val="24"/>
        </w:rPr>
        <w:t xml:space="preserve">improves post-drought recovery potential in </w:t>
      </w:r>
      <w:r>
        <w:rPr>
          <w:rFonts w:ascii="Times New Roman" w:eastAsia="Times New Roman" w:hAnsi="Times New Roman" w:cs="Times New Roman"/>
          <w:i/>
          <w:iCs/>
          <w:color w:val="000000" w:themeColor="text1"/>
          <w:sz w:val="24"/>
          <w:szCs w:val="24"/>
        </w:rPr>
        <w:t>Camellia sinensis</w:t>
      </w:r>
      <w:r>
        <w:rPr>
          <w:rFonts w:ascii="Times New Roman" w:eastAsia="Times New Roman" w:hAnsi="Times New Roman" w:cs="Times New Roman"/>
          <w:color w:val="000000" w:themeColor="text1"/>
          <w:sz w:val="24"/>
          <w:szCs w:val="24"/>
        </w:rPr>
        <w:t xml:space="preserve"> (L) O. </w:t>
      </w:r>
      <w:proofErr w:type="spellStart"/>
      <w:r>
        <w:rPr>
          <w:rFonts w:ascii="Times New Roman" w:eastAsia="Times New Roman" w:hAnsi="Times New Roman" w:cs="Times New Roman"/>
          <w:color w:val="000000" w:themeColor="text1"/>
          <w:sz w:val="24"/>
          <w:szCs w:val="24"/>
        </w:rPr>
        <w:t>Kuntze</w:t>
      </w:r>
      <w:proofErr w:type="spellEnd"/>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i/>
          <w:iCs/>
          <w:color w:val="000000" w:themeColor="text1"/>
          <w:sz w:val="24"/>
          <w:szCs w:val="24"/>
        </w:rPr>
        <w:t>Plant Cell Reports</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b/>
          <w:bCs/>
          <w:color w:val="000000" w:themeColor="text1"/>
          <w:sz w:val="24"/>
          <w:szCs w:val="24"/>
        </w:rPr>
        <w:t>30</w:t>
      </w:r>
      <w:r>
        <w:rPr>
          <w:rFonts w:ascii="Times New Roman" w:eastAsia="Times New Roman" w:hAnsi="Times New Roman" w:cs="Times New Roman"/>
          <w:color w:val="000000" w:themeColor="text1"/>
          <w:sz w:val="24"/>
          <w:szCs w:val="24"/>
        </w:rPr>
        <w:t xml:space="preserve">(4), 495-503. https://doi.org/10.1007/s00299-010-0958-x. </w:t>
      </w:r>
    </w:p>
    <w:p w14:paraId="57A3799C" w14:textId="77777777" w:rsidR="006A1FD7" w:rsidRDefault="00466E7F">
      <w:pPr>
        <w:widowControl w:val="0"/>
        <w:autoSpaceDE w:val="0"/>
        <w:autoSpaceDN w:val="0"/>
        <w:adjustRightInd w:val="0"/>
        <w:spacing w:after="120" w:line="240" w:lineRule="exact"/>
        <w:jc w:val="both"/>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Vieitez</w:t>
      </w:r>
      <w:proofErr w:type="spellEnd"/>
      <w:r>
        <w:rPr>
          <w:rFonts w:ascii="Times New Roman" w:eastAsia="Times New Roman" w:hAnsi="Times New Roman" w:cs="Times New Roman"/>
          <w:color w:val="000000" w:themeColor="text1"/>
          <w:sz w:val="24"/>
          <w:szCs w:val="24"/>
        </w:rPr>
        <w:t>, A.M., San-</w:t>
      </w:r>
      <w:proofErr w:type="spellStart"/>
      <w:r>
        <w:rPr>
          <w:rFonts w:ascii="Times New Roman" w:eastAsia="Times New Roman" w:hAnsi="Times New Roman" w:cs="Times New Roman"/>
          <w:color w:val="000000" w:themeColor="text1"/>
          <w:sz w:val="24"/>
          <w:szCs w:val="24"/>
        </w:rPr>
        <w:t>josé</w:t>
      </w:r>
      <w:proofErr w:type="spellEnd"/>
      <w:r>
        <w:rPr>
          <w:rFonts w:ascii="Times New Roman" w:eastAsia="Times New Roman" w:hAnsi="Times New Roman" w:cs="Times New Roman"/>
          <w:color w:val="000000" w:themeColor="text1"/>
          <w:sz w:val="24"/>
          <w:szCs w:val="24"/>
        </w:rPr>
        <w:t xml:space="preserve">, C., </w:t>
      </w:r>
      <w:proofErr w:type="spellStart"/>
      <w:r>
        <w:rPr>
          <w:rFonts w:ascii="Times New Roman" w:eastAsia="Times New Roman" w:hAnsi="Times New Roman" w:cs="Times New Roman"/>
          <w:color w:val="000000" w:themeColor="text1"/>
          <w:sz w:val="24"/>
          <w:szCs w:val="24"/>
        </w:rPr>
        <w:t>Vieitez</w:t>
      </w:r>
      <w:proofErr w:type="spellEnd"/>
      <w:r>
        <w:rPr>
          <w:rFonts w:ascii="Times New Roman" w:eastAsia="Times New Roman" w:hAnsi="Times New Roman" w:cs="Times New Roman"/>
          <w:color w:val="000000" w:themeColor="text1"/>
          <w:sz w:val="24"/>
          <w:szCs w:val="24"/>
        </w:rPr>
        <w:t xml:space="preserve">, F.J. and </w:t>
      </w:r>
      <w:proofErr w:type="spellStart"/>
      <w:r>
        <w:rPr>
          <w:rFonts w:ascii="Times New Roman" w:eastAsia="Times New Roman" w:hAnsi="Times New Roman" w:cs="Times New Roman"/>
          <w:color w:val="000000" w:themeColor="text1"/>
          <w:sz w:val="24"/>
          <w:szCs w:val="24"/>
        </w:rPr>
        <w:t>Ballester</w:t>
      </w:r>
      <w:proofErr w:type="spellEnd"/>
      <w:r>
        <w:rPr>
          <w:rFonts w:ascii="Times New Roman" w:eastAsia="Times New Roman" w:hAnsi="Times New Roman" w:cs="Times New Roman"/>
          <w:color w:val="000000" w:themeColor="text1"/>
          <w:sz w:val="24"/>
          <w:szCs w:val="24"/>
        </w:rPr>
        <w:t xml:space="preserve">, A. (1991). Somatic embryogenesis from roots of </w:t>
      </w:r>
      <w:r>
        <w:rPr>
          <w:rFonts w:ascii="Times New Roman" w:eastAsia="Times New Roman" w:hAnsi="Times New Roman" w:cs="Times New Roman"/>
          <w:i/>
          <w:iCs/>
          <w:color w:val="000000" w:themeColor="text1"/>
          <w:sz w:val="24"/>
          <w:szCs w:val="24"/>
        </w:rPr>
        <w:t>Camellia japonica</w:t>
      </w:r>
      <w:r>
        <w:rPr>
          <w:rFonts w:ascii="Times New Roman" w:eastAsia="Times New Roman" w:hAnsi="Times New Roman" w:cs="Times New Roman"/>
          <w:color w:val="000000" w:themeColor="text1"/>
          <w:sz w:val="24"/>
          <w:szCs w:val="24"/>
        </w:rPr>
        <w:t xml:space="preserve"> plantlets cultured in-vitro. </w:t>
      </w:r>
      <w:r>
        <w:rPr>
          <w:rFonts w:ascii="Times New Roman" w:eastAsia="Times New Roman" w:hAnsi="Times New Roman" w:cs="Times New Roman"/>
          <w:i/>
          <w:iCs/>
          <w:color w:val="000000" w:themeColor="text1"/>
          <w:sz w:val="24"/>
          <w:szCs w:val="24"/>
        </w:rPr>
        <w:t xml:space="preserve">Journal of the American Society for Horticultural Science </w:t>
      </w:r>
      <w:r>
        <w:rPr>
          <w:rFonts w:ascii="Times New Roman" w:eastAsia="Times New Roman" w:hAnsi="Times New Roman" w:cs="Times New Roman"/>
          <w:b/>
          <w:bCs/>
          <w:color w:val="000000" w:themeColor="text1"/>
          <w:sz w:val="24"/>
          <w:szCs w:val="24"/>
        </w:rPr>
        <w:t>116</w:t>
      </w:r>
      <w:r>
        <w:rPr>
          <w:rFonts w:ascii="Times New Roman" w:eastAsia="Times New Roman" w:hAnsi="Times New Roman" w:cs="Times New Roman"/>
          <w:color w:val="000000" w:themeColor="text1"/>
          <w:sz w:val="24"/>
          <w:szCs w:val="24"/>
        </w:rPr>
        <w:t>(4), 753-757.</w:t>
      </w:r>
    </w:p>
    <w:p w14:paraId="357D2A44" w14:textId="77777777" w:rsidR="006A1FD7" w:rsidRDefault="00466E7F">
      <w:pPr>
        <w:widowControl w:val="0"/>
        <w:autoSpaceDE w:val="0"/>
        <w:autoSpaceDN w:val="0"/>
        <w:adjustRightInd w:val="0"/>
        <w:spacing w:after="120" w:line="240" w:lineRule="exac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Watson, M. (2008). Climatic requirements and soil. In. A.K.N. </w:t>
      </w:r>
      <w:proofErr w:type="spellStart"/>
      <w:r>
        <w:rPr>
          <w:rFonts w:ascii="Times New Roman" w:eastAsia="Times New Roman" w:hAnsi="Times New Roman" w:cs="Times New Roman"/>
          <w:color w:val="000000" w:themeColor="text1"/>
          <w:sz w:val="24"/>
          <w:szCs w:val="24"/>
        </w:rPr>
        <w:t>Zoysa</w:t>
      </w:r>
      <w:proofErr w:type="spellEnd"/>
      <w:r>
        <w:rPr>
          <w:rFonts w:ascii="Times New Roman" w:eastAsia="Times New Roman" w:hAnsi="Times New Roman" w:cs="Times New Roman"/>
          <w:color w:val="000000" w:themeColor="text1"/>
          <w:sz w:val="24"/>
          <w:szCs w:val="24"/>
        </w:rPr>
        <w:t xml:space="preserve"> (Ed.). </w:t>
      </w:r>
      <w:r>
        <w:rPr>
          <w:rFonts w:ascii="Times New Roman" w:eastAsia="Times New Roman" w:hAnsi="Times New Roman" w:cs="Times New Roman"/>
          <w:i/>
          <w:iCs/>
          <w:color w:val="000000" w:themeColor="text1"/>
          <w:sz w:val="24"/>
          <w:szCs w:val="24"/>
        </w:rPr>
        <w:t>Handbook on Tea</w:t>
      </w:r>
      <w:r>
        <w:rPr>
          <w:rFonts w:ascii="Times New Roman" w:eastAsia="Times New Roman" w:hAnsi="Times New Roman" w:cs="Times New Roman"/>
          <w:color w:val="000000" w:themeColor="text1"/>
          <w:sz w:val="24"/>
          <w:szCs w:val="24"/>
        </w:rPr>
        <w:t xml:space="preserve">. Tea Research Institute of Sri Lanka, </w:t>
      </w:r>
      <w:proofErr w:type="spellStart"/>
      <w:r>
        <w:rPr>
          <w:rFonts w:ascii="Times New Roman" w:eastAsia="Times New Roman" w:hAnsi="Times New Roman" w:cs="Times New Roman"/>
          <w:color w:val="000000" w:themeColor="text1"/>
          <w:sz w:val="24"/>
          <w:szCs w:val="24"/>
        </w:rPr>
        <w:t>Talawakele</w:t>
      </w:r>
      <w:proofErr w:type="spellEnd"/>
      <w:r>
        <w:rPr>
          <w:rFonts w:ascii="Times New Roman" w:eastAsia="Times New Roman" w:hAnsi="Times New Roman" w:cs="Times New Roman"/>
          <w:color w:val="000000" w:themeColor="text1"/>
          <w:sz w:val="24"/>
          <w:szCs w:val="24"/>
        </w:rPr>
        <w:t>. 10-15.</w:t>
      </w:r>
    </w:p>
    <w:p w14:paraId="1DCB4F51" w14:textId="77777777" w:rsidR="006A1FD7" w:rsidRDefault="00466E7F">
      <w:pPr>
        <w:widowControl w:val="0"/>
        <w:autoSpaceDE w:val="0"/>
        <w:autoSpaceDN w:val="0"/>
        <w:adjustRightInd w:val="0"/>
        <w:spacing w:after="120" w:line="240" w:lineRule="exac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Wijeratne, M.A., Fordham, R. and </w:t>
      </w:r>
      <w:proofErr w:type="spellStart"/>
      <w:r>
        <w:rPr>
          <w:rFonts w:ascii="Times New Roman" w:eastAsia="Times New Roman" w:hAnsi="Times New Roman" w:cs="Times New Roman"/>
          <w:color w:val="000000" w:themeColor="text1"/>
          <w:sz w:val="24"/>
          <w:szCs w:val="24"/>
        </w:rPr>
        <w:t>Anandacumaraswamy</w:t>
      </w:r>
      <w:proofErr w:type="spellEnd"/>
      <w:r>
        <w:rPr>
          <w:rFonts w:ascii="Times New Roman" w:eastAsia="Times New Roman" w:hAnsi="Times New Roman" w:cs="Times New Roman"/>
          <w:color w:val="000000" w:themeColor="text1"/>
          <w:sz w:val="24"/>
          <w:szCs w:val="24"/>
        </w:rPr>
        <w:t>, A. (1998). Water relations of clonal tea (</w:t>
      </w:r>
      <w:r>
        <w:rPr>
          <w:rFonts w:ascii="Times New Roman" w:eastAsia="Times New Roman" w:hAnsi="Times New Roman" w:cs="Times New Roman"/>
          <w:i/>
          <w:iCs/>
          <w:color w:val="000000" w:themeColor="text1"/>
          <w:sz w:val="24"/>
          <w:szCs w:val="24"/>
        </w:rPr>
        <w:t xml:space="preserve">Camellia sinensis </w:t>
      </w:r>
      <w:r>
        <w:rPr>
          <w:rFonts w:ascii="Times New Roman" w:eastAsia="Times New Roman" w:hAnsi="Times New Roman" w:cs="Times New Roman"/>
          <w:color w:val="000000" w:themeColor="text1"/>
          <w:sz w:val="24"/>
          <w:szCs w:val="24"/>
        </w:rPr>
        <w:t xml:space="preserve">L.) with reference to drought resistance: II. Effect of water stress. </w:t>
      </w:r>
      <w:r>
        <w:rPr>
          <w:rFonts w:ascii="Times New Roman" w:eastAsia="Times New Roman" w:hAnsi="Times New Roman" w:cs="Times New Roman"/>
          <w:i/>
          <w:iCs/>
          <w:color w:val="000000" w:themeColor="text1"/>
          <w:sz w:val="24"/>
          <w:szCs w:val="24"/>
        </w:rPr>
        <w:t>Tropical Agricultural Research and Extension</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b/>
          <w:bCs/>
          <w:color w:val="000000" w:themeColor="text1"/>
          <w:sz w:val="24"/>
          <w:szCs w:val="24"/>
        </w:rPr>
        <w:t>1</w:t>
      </w:r>
      <w:r>
        <w:rPr>
          <w:rFonts w:ascii="Times New Roman" w:eastAsia="Times New Roman" w:hAnsi="Times New Roman" w:cs="Times New Roman"/>
          <w:color w:val="000000" w:themeColor="text1"/>
          <w:sz w:val="24"/>
          <w:szCs w:val="24"/>
        </w:rPr>
        <w:t>(2), 74-80.</w:t>
      </w:r>
    </w:p>
    <w:p w14:paraId="1BAE9D63" w14:textId="77777777" w:rsidR="006A1FD7" w:rsidRDefault="00466E7F">
      <w:pPr>
        <w:spacing w:line="240" w:lineRule="exac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Wijeratne, M.A., </w:t>
      </w:r>
      <w:proofErr w:type="spellStart"/>
      <w:r>
        <w:rPr>
          <w:rFonts w:ascii="Times New Roman" w:eastAsia="Times New Roman" w:hAnsi="Times New Roman" w:cs="Times New Roman"/>
          <w:color w:val="000000" w:themeColor="text1"/>
          <w:sz w:val="24"/>
          <w:szCs w:val="24"/>
        </w:rPr>
        <w:t>Anandacoomaraswamy</w:t>
      </w:r>
      <w:proofErr w:type="spellEnd"/>
      <w:r>
        <w:rPr>
          <w:rFonts w:ascii="Times New Roman" w:eastAsia="Times New Roman" w:hAnsi="Times New Roman" w:cs="Times New Roman"/>
          <w:color w:val="000000" w:themeColor="text1"/>
          <w:sz w:val="24"/>
          <w:szCs w:val="24"/>
        </w:rPr>
        <w:t xml:space="preserve">, A., </w:t>
      </w:r>
      <w:proofErr w:type="spellStart"/>
      <w:r>
        <w:rPr>
          <w:rFonts w:ascii="Times New Roman" w:eastAsia="Times New Roman" w:hAnsi="Times New Roman" w:cs="Times New Roman"/>
          <w:color w:val="000000" w:themeColor="text1"/>
          <w:sz w:val="24"/>
          <w:szCs w:val="24"/>
        </w:rPr>
        <w:t>Amarathunga</w:t>
      </w:r>
      <w:proofErr w:type="spellEnd"/>
      <w:r>
        <w:rPr>
          <w:rFonts w:ascii="Times New Roman" w:eastAsia="Times New Roman" w:hAnsi="Times New Roman" w:cs="Times New Roman"/>
          <w:color w:val="000000" w:themeColor="text1"/>
          <w:sz w:val="24"/>
          <w:szCs w:val="24"/>
        </w:rPr>
        <w:t xml:space="preserve">, M.K.S.L.D., </w:t>
      </w:r>
      <w:proofErr w:type="spellStart"/>
      <w:r>
        <w:rPr>
          <w:rFonts w:ascii="Times New Roman" w:eastAsia="Times New Roman" w:hAnsi="Times New Roman" w:cs="Times New Roman"/>
          <w:color w:val="000000" w:themeColor="text1"/>
          <w:sz w:val="24"/>
          <w:szCs w:val="24"/>
        </w:rPr>
        <w:t>Ratnasiri</w:t>
      </w:r>
      <w:proofErr w:type="spellEnd"/>
      <w:r>
        <w:rPr>
          <w:rFonts w:ascii="Times New Roman" w:eastAsia="Times New Roman" w:hAnsi="Times New Roman" w:cs="Times New Roman"/>
          <w:color w:val="000000" w:themeColor="text1"/>
          <w:sz w:val="24"/>
          <w:szCs w:val="24"/>
        </w:rPr>
        <w:t>, J., Basnayake, B.R.S.B. and Kalra, N. (2007). Assessment of impact of climate change on productivity of tea (</w:t>
      </w:r>
      <w:r>
        <w:rPr>
          <w:rFonts w:ascii="Times New Roman" w:eastAsia="Times New Roman" w:hAnsi="Times New Roman" w:cs="Times New Roman"/>
          <w:i/>
          <w:iCs/>
          <w:color w:val="000000" w:themeColor="text1"/>
          <w:sz w:val="24"/>
          <w:szCs w:val="24"/>
        </w:rPr>
        <w:t>Camellia sinensis</w:t>
      </w:r>
      <w:r>
        <w:rPr>
          <w:rFonts w:ascii="Times New Roman" w:eastAsia="Times New Roman" w:hAnsi="Times New Roman" w:cs="Times New Roman"/>
          <w:color w:val="000000" w:themeColor="text1"/>
          <w:sz w:val="24"/>
          <w:szCs w:val="24"/>
        </w:rPr>
        <w:t xml:space="preserve"> L.) plantations in Sri Lanka. </w:t>
      </w:r>
      <w:r>
        <w:rPr>
          <w:rFonts w:ascii="Times New Roman" w:eastAsia="Times New Roman" w:hAnsi="Times New Roman" w:cs="Times New Roman"/>
          <w:i/>
          <w:iCs/>
          <w:color w:val="000000" w:themeColor="text1"/>
          <w:sz w:val="24"/>
          <w:szCs w:val="24"/>
        </w:rPr>
        <w:t>Journal of the National Science Foundation of Sri Lanka</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b/>
          <w:bCs/>
          <w:color w:val="000000" w:themeColor="text1"/>
          <w:sz w:val="24"/>
          <w:szCs w:val="24"/>
        </w:rPr>
        <w:t>35</w:t>
      </w:r>
      <w:r>
        <w:rPr>
          <w:rFonts w:ascii="Times New Roman" w:eastAsia="Times New Roman" w:hAnsi="Times New Roman" w:cs="Times New Roman"/>
          <w:color w:val="000000" w:themeColor="text1"/>
          <w:sz w:val="24"/>
          <w:szCs w:val="24"/>
        </w:rPr>
        <w:t>,(2).</w:t>
      </w:r>
    </w:p>
    <w:p w14:paraId="14D892F8" w14:textId="77777777" w:rsidR="006A1FD7" w:rsidRDefault="00466E7F">
      <w:pPr>
        <w:widowControl w:val="0"/>
        <w:autoSpaceDE w:val="0"/>
        <w:autoSpaceDN w:val="0"/>
        <w:adjustRightInd w:val="0"/>
        <w:spacing w:after="120" w:line="240" w:lineRule="exac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Wijeratne, M.A. and </w:t>
      </w:r>
      <w:proofErr w:type="spellStart"/>
      <w:r>
        <w:rPr>
          <w:rFonts w:ascii="Times New Roman" w:eastAsia="Times New Roman" w:hAnsi="Times New Roman" w:cs="Times New Roman"/>
          <w:color w:val="000000" w:themeColor="text1"/>
          <w:sz w:val="24"/>
          <w:szCs w:val="24"/>
        </w:rPr>
        <w:t>Chandrapala</w:t>
      </w:r>
      <w:proofErr w:type="spellEnd"/>
      <w:r>
        <w:rPr>
          <w:rFonts w:ascii="Times New Roman" w:eastAsia="Times New Roman" w:hAnsi="Times New Roman" w:cs="Times New Roman"/>
          <w:color w:val="000000" w:themeColor="text1"/>
          <w:sz w:val="24"/>
          <w:szCs w:val="24"/>
        </w:rPr>
        <w:t xml:space="preserve">, L. (2014). Climatic variations in tea growing regions and vulnerability of tea plantations to climate change. In: </w:t>
      </w:r>
      <w:r>
        <w:rPr>
          <w:rFonts w:ascii="Times New Roman" w:eastAsia="Times New Roman" w:hAnsi="Times New Roman" w:cs="Times New Roman"/>
          <w:i/>
          <w:iCs/>
          <w:color w:val="000000" w:themeColor="text1"/>
          <w:sz w:val="24"/>
          <w:szCs w:val="24"/>
        </w:rPr>
        <w:t>Proceedings of the 228</w:t>
      </w:r>
      <w:r>
        <w:rPr>
          <w:rFonts w:ascii="Times New Roman" w:eastAsia="Times New Roman" w:hAnsi="Times New Roman" w:cs="Times New Roman"/>
          <w:i/>
          <w:iCs/>
          <w:color w:val="000000" w:themeColor="text1"/>
          <w:sz w:val="24"/>
          <w:szCs w:val="24"/>
          <w:vertAlign w:val="superscript"/>
        </w:rPr>
        <w:t>th</w:t>
      </w:r>
      <w:r>
        <w:rPr>
          <w:rFonts w:ascii="Times New Roman" w:eastAsia="Times New Roman" w:hAnsi="Times New Roman" w:cs="Times New Roman"/>
          <w:i/>
          <w:iCs/>
          <w:color w:val="000000" w:themeColor="text1"/>
          <w:sz w:val="24"/>
          <w:szCs w:val="24"/>
        </w:rPr>
        <w:t xml:space="preserve"> experiment and extension forum of the Tea Research Institute of Sri Lanka, </w:t>
      </w:r>
      <w:r>
        <w:rPr>
          <w:rFonts w:ascii="Times New Roman" w:eastAsia="Times New Roman" w:hAnsi="Times New Roman" w:cs="Times New Roman"/>
          <w:color w:val="000000" w:themeColor="text1"/>
          <w:sz w:val="24"/>
          <w:szCs w:val="24"/>
        </w:rPr>
        <w:t>Colombo, Sri Lanka. 31 January 2014.</w:t>
      </w:r>
    </w:p>
    <w:p w14:paraId="538AE9D1" w14:textId="77777777" w:rsidR="006A1FD7" w:rsidRDefault="00466E7F">
      <w:pPr>
        <w:spacing w:after="120" w:line="240" w:lineRule="exact"/>
        <w:jc w:val="both"/>
        <w:rPr>
          <w:rFonts w:ascii="Times New Roman" w:eastAsia="Times New Roman" w:hAnsi="Times New Roman" w:cs="Times New Roman"/>
          <w:color w:val="000000" w:themeColor="text1"/>
          <w:sz w:val="24"/>
          <w:szCs w:val="24"/>
          <w:shd w:val="clear" w:color="auto" w:fill="FFFFFF"/>
        </w:rPr>
      </w:pPr>
      <w:r>
        <w:rPr>
          <w:rFonts w:ascii="Times New Roman" w:eastAsia="Times New Roman" w:hAnsi="Times New Roman" w:cs="Times New Roman"/>
          <w:color w:val="000000" w:themeColor="text1"/>
          <w:sz w:val="24"/>
          <w:szCs w:val="24"/>
          <w:shd w:val="clear" w:color="auto" w:fill="FFFFFF"/>
        </w:rPr>
        <w:t xml:space="preserve">Wijeratne, M.A., (2018). Planting and cultivation of tea. </w:t>
      </w:r>
      <w:r>
        <w:rPr>
          <w:rFonts w:ascii="Times New Roman" w:eastAsia="Times New Roman" w:hAnsi="Times New Roman" w:cs="Times New Roman"/>
          <w:color w:val="000000" w:themeColor="text1"/>
          <w:sz w:val="24"/>
          <w:szCs w:val="24"/>
        </w:rPr>
        <w:t xml:space="preserve">In. V.S. Sharma and M.T.K. </w:t>
      </w:r>
      <w:proofErr w:type="spellStart"/>
      <w:r>
        <w:rPr>
          <w:rFonts w:ascii="Times New Roman" w:eastAsia="Times New Roman" w:hAnsi="Times New Roman" w:cs="Times New Roman"/>
          <w:color w:val="000000" w:themeColor="text1"/>
          <w:sz w:val="24"/>
          <w:szCs w:val="24"/>
        </w:rPr>
        <w:t>Gunasekera</w:t>
      </w:r>
      <w:proofErr w:type="spellEnd"/>
      <w:r>
        <w:rPr>
          <w:rFonts w:ascii="Times New Roman" w:eastAsia="Times New Roman" w:hAnsi="Times New Roman" w:cs="Times New Roman"/>
          <w:color w:val="000000" w:themeColor="text1"/>
          <w:sz w:val="24"/>
          <w:szCs w:val="24"/>
        </w:rPr>
        <w:t xml:space="preserve"> (Eds.). </w:t>
      </w:r>
      <w:r>
        <w:rPr>
          <w:rFonts w:ascii="Times New Roman" w:eastAsia="Times New Roman" w:hAnsi="Times New Roman" w:cs="Times New Roman"/>
          <w:i/>
          <w:iCs/>
          <w:color w:val="000000" w:themeColor="text1"/>
          <w:sz w:val="24"/>
          <w:szCs w:val="24"/>
        </w:rPr>
        <w:t>Global Tea Science: Current Status and Future Needs</w:t>
      </w:r>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Swaston</w:t>
      </w:r>
      <w:proofErr w:type="spellEnd"/>
      <w:r>
        <w:rPr>
          <w:rFonts w:ascii="Times New Roman" w:eastAsia="Times New Roman" w:hAnsi="Times New Roman" w:cs="Times New Roman"/>
          <w:color w:val="000000" w:themeColor="text1"/>
          <w:sz w:val="24"/>
          <w:szCs w:val="24"/>
        </w:rPr>
        <w:t xml:space="preserve">, Cambridge, </w:t>
      </w:r>
      <w:r>
        <w:rPr>
          <w:rFonts w:ascii="Times New Roman" w:eastAsia="Times New Roman" w:hAnsi="Times New Roman" w:cs="Times New Roman"/>
          <w:color w:val="000000" w:themeColor="text1"/>
          <w:sz w:val="24"/>
          <w:szCs w:val="24"/>
          <w:shd w:val="clear" w:color="auto" w:fill="FFFFFF"/>
        </w:rPr>
        <w:t xml:space="preserve">Burleigh </w:t>
      </w:r>
      <w:proofErr w:type="spellStart"/>
      <w:r>
        <w:rPr>
          <w:rFonts w:ascii="Times New Roman" w:eastAsia="Times New Roman" w:hAnsi="Times New Roman" w:cs="Times New Roman"/>
          <w:color w:val="000000" w:themeColor="text1"/>
          <w:sz w:val="24"/>
          <w:szCs w:val="24"/>
          <w:shd w:val="clear" w:color="auto" w:fill="FFFFFF"/>
        </w:rPr>
        <w:t>Dodds</w:t>
      </w:r>
      <w:proofErr w:type="spellEnd"/>
      <w:r>
        <w:rPr>
          <w:rFonts w:ascii="Times New Roman" w:eastAsia="Times New Roman" w:hAnsi="Times New Roman" w:cs="Times New Roman"/>
          <w:color w:val="000000" w:themeColor="text1"/>
          <w:sz w:val="24"/>
          <w:szCs w:val="24"/>
          <w:shd w:val="clear" w:color="auto" w:fill="FFFFFF"/>
        </w:rPr>
        <w:t xml:space="preserve"> Science Publishing Limited, UK. ISBN - print 978-1-78676-160-6. 73-104.</w:t>
      </w:r>
    </w:p>
    <w:sectPr w:rsidR="006A1FD7" w:rsidSect="006A1FD7">
      <w:headerReference w:type="even" r:id="rId24"/>
      <w:headerReference w:type="default" r:id="rId25"/>
      <w:footerReference w:type="even" r:id="rId26"/>
      <w:footerReference w:type="default" r:id="rId27"/>
      <w:headerReference w:type="first" r:id="rId28"/>
      <w:footerReference w:type="first" r:id="rId29"/>
      <w:pgSz w:w="11907" w:h="16839"/>
      <w:pgMar w:top="1426" w:right="1282" w:bottom="1138" w:left="2131"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andres maria-ramirez" w:date="2022-08-25T12:31:00Z" w:initials="amr">
    <w:p w14:paraId="74727931" w14:textId="4A41DBC5" w:rsidR="00691342" w:rsidRDefault="00691342">
      <w:pPr>
        <w:pStyle w:val="Textocomentario"/>
      </w:pPr>
      <w:r>
        <w:rPr>
          <w:rStyle w:val="Refdecomentario"/>
        </w:rPr>
        <w:annotationRef/>
      </w:r>
      <w:r w:rsidRPr="00691342">
        <w:t>Is it assumed that when tea is grown in the open field, you know when there will be and when the drought starts?</w:t>
      </w:r>
    </w:p>
  </w:comment>
  <w:comment w:id="2" w:author="andres maria-ramirez" w:date="2022-08-25T12:33:00Z" w:initials="amr">
    <w:p w14:paraId="44BDE87B" w14:textId="622448F6" w:rsidR="00691342" w:rsidRDefault="00691342">
      <w:pPr>
        <w:pStyle w:val="Textocomentario"/>
      </w:pPr>
      <w:r>
        <w:rPr>
          <w:rStyle w:val="Refdecomentario"/>
        </w:rPr>
        <w:annotationRef/>
      </w:r>
      <w:r w:rsidRPr="00691342">
        <w:t>It is necessary to mention the main production system or form of production of the crop.</w:t>
      </w:r>
    </w:p>
  </w:comment>
  <w:comment w:id="9" w:author="andres maria-ramirez" w:date="2022-08-25T12:35:00Z" w:initials="amr">
    <w:p w14:paraId="7A13E77C" w14:textId="558803E8" w:rsidR="00691342" w:rsidRDefault="00691342">
      <w:pPr>
        <w:pStyle w:val="Textocomentario"/>
      </w:pPr>
      <w:r>
        <w:rPr>
          <w:rStyle w:val="Refdecomentario"/>
        </w:rPr>
        <w:annotationRef/>
      </w:r>
      <w:r w:rsidRPr="00691342">
        <w:t>How many replications were established?</w:t>
      </w:r>
    </w:p>
  </w:comment>
  <w:comment w:id="12" w:author="andres maria-ramirez" w:date="2022-08-25T12:35:00Z" w:initials="amr">
    <w:p w14:paraId="4785345C" w14:textId="24373481" w:rsidR="00691342" w:rsidRDefault="00691342">
      <w:pPr>
        <w:pStyle w:val="Textocomentario"/>
      </w:pPr>
      <w:r>
        <w:rPr>
          <w:rStyle w:val="Refdecomentario"/>
        </w:rPr>
        <w:annotationRef/>
      </w:r>
      <w:r w:rsidRPr="00691342">
        <w:t>why were the 14 and 21 days after the application of the treatments taken?</w:t>
      </w:r>
    </w:p>
  </w:comment>
  <w:comment w:id="47" w:author="andres maria-ramirez" w:date="2022-08-25T12:37:00Z" w:initials="amr">
    <w:p w14:paraId="21FC900C" w14:textId="4F58F8F8" w:rsidR="00691342" w:rsidRDefault="00691342">
      <w:pPr>
        <w:pStyle w:val="Textocomentario"/>
      </w:pPr>
      <w:r>
        <w:rPr>
          <w:rStyle w:val="Refdecomentario"/>
        </w:rPr>
        <w:annotationRef/>
      </w:r>
      <w:r w:rsidRPr="00691342">
        <w:t>It is necessary to specify whether drought tolerant varieties are commercially available and used by producers, or to give figures in this respect, in order to dimension the problem referred to in the last part of the conclusion.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4727931" w15:done="0"/>
  <w15:commentEx w15:paraId="44BDE87B" w15:done="0"/>
  <w15:commentEx w15:paraId="7A13E77C" w15:done="0"/>
  <w15:commentEx w15:paraId="4785345C" w15:done="0"/>
  <w15:commentEx w15:paraId="21FC90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6B1EA39" w16cex:dateUtc="2022-08-25T17:31:00Z"/>
  <w16cex:commentExtensible w16cex:durableId="26B1EAB4" w16cex:dateUtc="2022-08-25T17:33:00Z"/>
  <w16cex:commentExtensible w16cex:durableId="26B1EAF8" w16cex:dateUtc="2022-08-25T17:35:00Z"/>
  <w16cex:commentExtensible w16cex:durableId="26B1EB1D" w16cex:dateUtc="2022-08-25T17:35:00Z"/>
  <w16cex:commentExtensible w16cex:durableId="26B1EB6F" w16cex:dateUtc="2022-08-25T17: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4727931" w16cid:durableId="26B1EA39"/>
  <w16cid:commentId w16cid:paraId="44BDE87B" w16cid:durableId="26B1EAB4"/>
  <w16cid:commentId w16cid:paraId="7A13E77C" w16cid:durableId="26B1EAF8"/>
  <w16cid:commentId w16cid:paraId="4785345C" w16cid:durableId="26B1EB1D"/>
  <w16cid:commentId w16cid:paraId="21FC900C" w16cid:durableId="26B1EB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CF2CE4" w14:textId="77777777" w:rsidR="00CB311B" w:rsidRDefault="00CB311B" w:rsidP="006A1FD7">
      <w:pPr>
        <w:spacing w:after="0" w:line="240" w:lineRule="auto"/>
      </w:pPr>
      <w:r>
        <w:separator/>
      </w:r>
    </w:p>
  </w:endnote>
  <w:endnote w:type="continuationSeparator" w:id="0">
    <w:p w14:paraId="32FBFFB4" w14:textId="77777777" w:rsidR="00CB311B" w:rsidRDefault="00CB311B" w:rsidP="006A1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596B5" w14:textId="77777777" w:rsidR="009E20CD" w:rsidRDefault="009E20C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0699068"/>
    </w:sdtPr>
    <w:sdtEndPr/>
    <w:sdtContent>
      <w:p w14:paraId="03E3A846" w14:textId="77777777" w:rsidR="006A1FD7" w:rsidRDefault="00EA42D8">
        <w:pPr>
          <w:pStyle w:val="Piedepgina"/>
          <w:jc w:val="center"/>
        </w:pPr>
        <w:r>
          <w:fldChar w:fldCharType="begin"/>
        </w:r>
        <w:r w:rsidR="00466E7F">
          <w:instrText xml:space="preserve"> PAGE   \* MERGEFORMAT </w:instrText>
        </w:r>
        <w:r>
          <w:fldChar w:fldCharType="separate"/>
        </w:r>
        <w:r w:rsidR="009E20CD">
          <w:rPr>
            <w:noProof/>
          </w:rPr>
          <w:t>1</w:t>
        </w:r>
        <w:r>
          <w:fldChar w:fldCharType="end"/>
        </w:r>
      </w:p>
    </w:sdtContent>
  </w:sdt>
  <w:p w14:paraId="4FBB2580" w14:textId="77777777" w:rsidR="006A1FD7" w:rsidRDefault="006A1FD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93789" w14:textId="77777777" w:rsidR="009E20CD" w:rsidRDefault="009E20C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0EEE6D" w14:textId="77777777" w:rsidR="00CB311B" w:rsidRDefault="00CB311B" w:rsidP="006A1FD7">
      <w:pPr>
        <w:spacing w:after="0" w:line="240" w:lineRule="auto"/>
      </w:pPr>
      <w:r>
        <w:separator/>
      </w:r>
    </w:p>
  </w:footnote>
  <w:footnote w:type="continuationSeparator" w:id="0">
    <w:p w14:paraId="519ACD84" w14:textId="77777777" w:rsidR="00CB311B" w:rsidRDefault="00CB311B" w:rsidP="006A1F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B58B5" w14:textId="77777777" w:rsidR="009E20CD" w:rsidRDefault="00CB311B">
    <w:pPr>
      <w:pStyle w:val="Encabezado"/>
    </w:pPr>
    <w:r>
      <w:rPr>
        <w:noProof/>
      </w:rPr>
      <w:pict w14:anchorId="55FF7D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63016" o:spid="_x0000_s2050" type="#_x0000_t136" style="position:absolute;margin-left:0;margin-top:0;width:504.2pt;height:94.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57DC36" w14:textId="77777777" w:rsidR="009E20CD" w:rsidRDefault="00CB311B">
    <w:pPr>
      <w:pStyle w:val="Encabezado"/>
    </w:pPr>
    <w:r>
      <w:rPr>
        <w:noProof/>
      </w:rPr>
      <w:pict w14:anchorId="4578E7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63017" o:spid="_x0000_s2051" type="#_x0000_t136" style="position:absolute;margin-left:0;margin-top:0;width:504.2pt;height:94.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2615A" w14:textId="77777777" w:rsidR="009E20CD" w:rsidRDefault="00CB311B">
    <w:pPr>
      <w:pStyle w:val="Encabezado"/>
    </w:pPr>
    <w:r>
      <w:rPr>
        <w:noProof/>
      </w:rPr>
      <w:pict w14:anchorId="4A5D77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63015" o:spid="_x0000_s2049" type="#_x0000_t136" style="position:absolute;margin-left:0;margin-top:0;width:504.2pt;height:94.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dres maria-ramirez">
    <w15:presenceInfo w15:providerId="Windows Live" w15:userId="6e832cd2e39476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20"/>
  <w:hyphenationZone w:val="425"/>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62"/>
    <w:rsid w:val="0001603B"/>
    <w:rsid w:val="00022DAD"/>
    <w:rsid w:val="00023952"/>
    <w:rsid w:val="00025102"/>
    <w:rsid w:val="00026360"/>
    <w:rsid w:val="0003377B"/>
    <w:rsid w:val="00053F93"/>
    <w:rsid w:val="0009630B"/>
    <w:rsid w:val="000A07AA"/>
    <w:rsid w:val="000A54A1"/>
    <w:rsid w:val="000B0A1C"/>
    <w:rsid w:val="000C06D9"/>
    <w:rsid w:val="000C2DCC"/>
    <w:rsid w:val="000D240F"/>
    <w:rsid w:val="000D673A"/>
    <w:rsid w:val="000E062D"/>
    <w:rsid w:val="000E25AC"/>
    <w:rsid w:val="000F0762"/>
    <w:rsid w:val="000F0771"/>
    <w:rsid w:val="000F4B5D"/>
    <w:rsid w:val="0010139C"/>
    <w:rsid w:val="00103FFA"/>
    <w:rsid w:val="00105BA7"/>
    <w:rsid w:val="001106C8"/>
    <w:rsid w:val="001343E0"/>
    <w:rsid w:val="00135A49"/>
    <w:rsid w:val="001361B5"/>
    <w:rsid w:val="001375F5"/>
    <w:rsid w:val="00140E44"/>
    <w:rsid w:val="0015502F"/>
    <w:rsid w:val="001648A1"/>
    <w:rsid w:val="00165DD1"/>
    <w:rsid w:val="00171DFA"/>
    <w:rsid w:val="00185E7E"/>
    <w:rsid w:val="001B6B0D"/>
    <w:rsid w:val="001C2760"/>
    <w:rsid w:val="001C2AD0"/>
    <w:rsid w:val="001E464F"/>
    <w:rsid w:val="001F6D42"/>
    <w:rsid w:val="00203576"/>
    <w:rsid w:val="002101CD"/>
    <w:rsid w:val="002168E2"/>
    <w:rsid w:val="0021747B"/>
    <w:rsid w:val="00235FB8"/>
    <w:rsid w:val="00257EAC"/>
    <w:rsid w:val="002648A7"/>
    <w:rsid w:val="00272EA5"/>
    <w:rsid w:val="00285BDA"/>
    <w:rsid w:val="00294E8D"/>
    <w:rsid w:val="002A046E"/>
    <w:rsid w:val="002A2CA5"/>
    <w:rsid w:val="002A2D62"/>
    <w:rsid w:val="002B7FF1"/>
    <w:rsid w:val="002E3BDF"/>
    <w:rsid w:val="002E5BA9"/>
    <w:rsid w:val="002F7087"/>
    <w:rsid w:val="003156D7"/>
    <w:rsid w:val="00316677"/>
    <w:rsid w:val="003176A5"/>
    <w:rsid w:val="00323849"/>
    <w:rsid w:val="00324153"/>
    <w:rsid w:val="00325C1B"/>
    <w:rsid w:val="00334DB2"/>
    <w:rsid w:val="00342126"/>
    <w:rsid w:val="0034757F"/>
    <w:rsid w:val="00352348"/>
    <w:rsid w:val="00366E60"/>
    <w:rsid w:val="00370DB1"/>
    <w:rsid w:val="00383517"/>
    <w:rsid w:val="00386BD9"/>
    <w:rsid w:val="00396371"/>
    <w:rsid w:val="003B1E7F"/>
    <w:rsid w:val="003C2E43"/>
    <w:rsid w:val="003D63BF"/>
    <w:rsid w:val="003E33FA"/>
    <w:rsid w:val="003F3548"/>
    <w:rsid w:val="003F78A7"/>
    <w:rsid w:val="00400AB5"/>
    <w:rsid w:val="00411D28"/>
    <w:rsid w:val="00414034"/>
    <w:rsid w:val="004178D1"/>
    <w:rsid w:val="0044604F"/>
    <w:rsid w:val="004542F4"/>
    <w:rsid w:val="00462415"/>
    <w:rsid w:val="004645E9"/>
    <w:rsid w:val="00466E7F"/>
    <w:rsid w:val="0048640F"/>
    <w:rsid w:val="004A442E"/>
    <w:rsid w:val="004B3985"/>
    <w:rsid w:val="004D1833"/>
    <w:rsid w:val="004D4740"/>
    <w:rsid w:val="004F315C"/>
    <w:rsid w:val="004F39EC"/>
    <w:rsid w:val="005166B0"/>
    <w:rsid w:val="00516AB8"/>
    <w:rsid w:val="00532E03"/>
    <w:rsid w:val="00533216"/>
    <w:rsid w:val="0054319F"/>
    <w:rsid w:val="0056528F"/>
    <w:rsid w:val="00570792"/>
    <w:rsid w:val="005748CE"/>
    <w:rsid w:val="00575D87"/>
    <w:rsid w:val="00593F34"/>
    <w:rsid w:val="00596340"/>
    <w:rsid w:val="005A4487"/>
    <w:rsid w:val="005B4009"/>
    <w:rsid w:val="005E4E05"/>
    <w:rsid w:val="005E51A4"/>
    <w:rsid w:val="005F0F5D"/>
    <w:rsid w:val="005F363C"/>
    <w:rsid w:val="005F46D5"/>
    <w:rsid w:val="005F7C06"/>
    <w:rsid w:val="006033A3"/>
    <w:rsid w:val="006079E2"/>
    <w:rsid w:val="006149B9"/>
    <w:rsid w:val="006231BB"/>
    <w:rsid w:val="00625614"/>
    <w:rsid w:val="00633AB9"/>
    <w:rsid w:val="0063608B"/>
    <w:rsid w:val="0064479A"/>
    <w:rsid w:val="00667F1F"/>
    <w:rsid w:val="00685708"/>
    <w:rsid w:val="00691342"/>
    <w:rsid w:val="00693719"/>
    <w:rsid w:val="006A1FD7"/>
    <w:rsid w:val="006B311A"/>
    <w:rsid w:val="006B6702"/>
    <w:rsid w:val="006C0349"/>
    <w:rsid w:val="006D13EA"/>
    <w:rsid w:val="006D27F2"/>
    <w:rsid w:val="006D45D8"/>
    <w:rsid w:val="006F5977"/>
    <w:rsid w:val="00703047"/>
    <w:rsid w:val="00717E33"/>
    <w:rsid w:val="00721D7D"/>
    <w:rsid w:val="00727E83"/>
    <w:rsid w:val="00731810"/>
    <w:rsid w:val="0073217C"/>
    <w:rsid w:val="007368AB"/>
    <w:rsid w:val="00740335"/>
    <w:rsid w:val="00744EBD"/>
    <w:rsid w:val="00744F22"/>
    <w:rsid w:val="007553B0"/>
    <w:rsid w:val="00755EAC"/>
    <w:rsid w:val="00761E65"/>
    <w:rsid w:val="00775329"/>
    <w:rsid w:val="00777041"/>
    <w:rsid w:val="007873AD"/>
    <w:rsid w:val="007B0A8F"/>
    <w:rsid w:val="007C2812"/>
    <w:rsid w:val="007C330C"/>
    <w:rsid w:val="007D36AC"/>
    <w:rsid w:val="00803198"/>
    <w:rsid w:val="00807C39"/>
    <w:rsid w:val="00814D42"/>
    <w:rsid w:val="00827CDC"/>
    <w:rsid w:val="008368D3"/>
    <w:rsid w:val="008668DA"/>
    <w:rsid w:val="008A32CC"/>
    <w:rsid w:val="008A6877"/>
    <w:rsid w:val="008A7275"/>
    <w:rsid w:val="008B370D"/>
    <w:rsid w:val="008D34A2"/>
    <w:rsid w:val="008E249D"/>
    <w:rsid w:val="008F00C4"/>
    <w:rsid w:val="0090111E"/>
    <w:rsid w:val="00904DC7"/>
    <w:rsid w:val="00907BC6"/>
    <w:rsid w:val="00910C1B"/>
    <w:rsid w:val="00935E62"/>
    <w:rsid w:val="009362A9"/>
    <w:rsid w:val="00943BD6"/>
    <w:rsid w:val="00954BE6"/>
    <w:rsid w:val="00954F48"/>
    <w:rsid w:val="00957E0B"/>
    <w:rsid w:val="00960346"/>
    <w:rsid w:val="0096339F"/>
    <w:rsid w:val="00984FC7"/>
    <w:rsid w:val="00997BA1"/>
    <w:rsid w:val="009A11A6"/>
    <w:rsid w:val="009B08FE"/>
    <w:rsid w:val="009C735D"/>
    <w:rsid w:val="009E20CD"/>
    <w:rsid w:val="009E3A17"/>
    <w:rsid w:val="009F16CE"/>
    <w:rsid w:val="009F5A78"/>
    <w:rsid w:val="00A30F2D"/>
    <w:rsid w:val="00A31B2B"/>
    <w:rsid w:val="00A40EF9"/>
    <w:rsid w:val="00A47F82"/>
    <w:rsid w:val="00A5548F"/>
    <w:rsid w:val="00A675EA"/>
    <w:rsid w:val="00A74F50"/>
    <w:rsid w:val="00A80E19"/>
    <w:rsid w:val="00A812C4"/>
    <w:rsid w:val="00A84A41"/>
    <w:rsid w:val="00A87D29"/>
    <w:rsid w:val="00A9102C"/>
    <w:rsid w:val="00AB0EC4"/>
    <w:rsid w:val="00AB2716"/>
    <w:rsid w:val="00AB2A01"/>
    <w:rsid w:val="00AB5A01"/>
    <w:rsid w:val="00AC78A9"/>
    <w:rsid w:val="00AD4221"/>
    <w:rsid w:val="00AF1541"/>
    <w:rsid w:val="00B112A0"/>
    <w:rsid w:val="00B12775"/>
    <w:rsid w:val="00B127B0"/>
    <w:rsid w:val="00B17925"/>
    <w:rsid w:val="00B2145E"/>
    <w:rsid w:val="00B220ED"/>
    <w:rsid w:val="00B3285C"/>
    <w:rsid w:val="00B346C8"/>
    <w:rsid w:val="00B42962"/>
    <w:rsid w:val="00B569EA"/>
    <w:rsid w:val="00B6443E"/>
    <w:rsid w:val="00B751D8"/>
    <w:rsid w:val="00BA26C9"/>
    <w:rsid w:val="00BB2E2D"/>
    <w:rsid w:val="00BD4934"/>
    <w:rsid w:val="00BE53B1"/>
    <w:rsid w:val="00C04401"/>
    <w:rsid w:val="00C12FF9"/>
    <w:rsid w:val="00C1653E"/>
    <w:rsid w:val="00C17177"/>
    <w:rsid w:val="00C35796"/>
    <w:rsid w:val="00C5167C"/>
    <w:rsid w:val="00C651E4"/>
    <w:rsid w:val="00C65FBF"/>
    <w:rsid w:val="00C76163"/>
    <w:rsid w:val="00C9689F"/>
    <w:rsid w:val="00CA03F3"/>
    <w:rsid w:val="00CA2F48"/>
    <w:rsid w:val="00CB2AB3"/>
    <w:rsid w:val="00CB311B"/>
    <w:rsid w:val="00CB4726"/>
    <w:rsid w:val="00CC28A9"/>
    <w:rsid w:val="00CE1F08"/>
    <w:rsid w:val="00CE4D8B"/>
    <w:rsid w:val="00CE5BB4"/>
    <w:rsid w:val="00CF40D2"/>
    <w:rsid w:val="00CF44F0"/>
    <w:rsid w:val="00D008D4"/>
    <w:rsid w:val="00D13C06"/>
    <w:rsid w:val="00D14A08"/>
    <w:rsid w:val="00D2208A"/>
    <w:rsid w:val="00D27A5A"/>
    <w:rsid w:val="00D73E78"/>
    <w:rsid w:val="00D76FD4"/>
    <w:rsid w:val="00D907F0"/>
    <w:rsid w:val="00D94723"/>
    <w:rsid w:val="00D96D94"/>
    <w:rsid w:val="00DC3605"/>
    <w:rsid w:val="00DC5AAB"/>
    <w:rsid w:val="00DF33D1"/>
    <w:rsid w:val="00E023BB"/>
    <w:rsid w:val="00E0428B"/>
    <w:rsid w:val="00E05D06"/>
    <w:rsid w:val="00E207D1"/>
    <w:rsid w:val="00E307A1"/>
    <w:rsid w:val="00E316B1"/>
    <w:rsid w:val="00E36FD8"/>
    <w:rsid w:val="00E631D1"/>
    <w:rsid w:val="00EA42D8"/>
    <w:rsid w:val="00EA5808"/>
    <w:rsid w:val="00EA744F"/>
    <w:rsid w:val="00EB1FD8"/>
    <w:rsid w:val="00ED3633"/>
    <w:rsid w:val="00ED41B0"/>
    <w:rsid w:val="00EE2357"/>
    <w:rsid w:val="00EF09D6"/>
    <w:rsid w:val="00F06BF1"/>
    <w:rsid w:val="00F44828"/>
    <w:rsid w:val="00F77A39"/>
    <w:rsid w:val="00F876E5"/>
    <w:rsid w:val="00FA54B7"/>
    <w:rsid w:val="00FC07AF"/>
    <w:rsid w:val="00FD7EA6"/>
    <w:rsid w:val="00FF0D92"/>
    <w:rsid w:val="02190713"/>
    <w:rsid w:val="07401761"/>
    <w:rsid w:val="09452D5F"/>
    <w:rsid w:val="189155F3"/>
    <w:rsid w:val="1DFB0602"/>
    <w:rsid w:val="26394CB3"/>
    <w:rsid w:val="2A9876C0"/>
    <w:rsid w:val="2ECE6BE8"/>
    <w:rsid w:val="31B61FF9"/>
    <w:rsid w:val="37D01841"/>
    <w:rsid w:val="3B0F00DD"/>
    <w:rsid w:val="3B2E217E"/>
    <w:rsid w:val="422E2C60"/>
    <w:rsid w:val="4B04720B"/>
    <w:rsid w:val="4D672E1C"/>
    <w:rsid w:val="4D8966EC"/>
    <w:rsid w:val="4E3442DA"/>
    <w:rsid w:val="4F1800D3"/>
    <w:rsid w:val="50166DE8"/>
    <w:rsid w:val="61783B37"/>
    <w:rsid w:val="65B6532D"/>
    <w:rsid w:val="729B06FB"/>
    <w:rsid w:val="7D1F0927"/>
    <w:rsid w:val="7FBA12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3C2C900F"/>
  <w15:docId w15:val="{54236180-6BDD-4391-8823-58D48D172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FD7"/>
    <w:pPr>
      <w:spacing w:after="200" w:line="276" w:lineRule="auto"/>
    </w:pPr>
    <w:rPr>
      <w:rFonts w:asciiTheme="minorHAnsi" w:eastAsiaTheme="minorEastAsia" w:hAnsiTheme="minorHAnsi" w:cstheme="minorBidi"/>
      <w:sz w:val="22"/>
      <w:szCs w:val="22"/>
    </w:rPr>
  </w:style>
  <w:style w:type="paragraph" w:styleId="Ttulo1">
    <w:name w:val="heading 1"/>
    <w:basedOn w:val="Normal"/>
    <w:next w:val="Normal"/>
    <w:link w:val="Ttulo1Car"/>
    <w:uiPriority w:val="9"/>
    <w:qFormat/>
    <w:rsid w:val="006A1FD7"/>
    <w:pPr>
      <w:keepNext/>
      <w:keepLines/>
      <w:spacing w:before="240" w:after="0" w:line="259" w:lineRule="auto"/>
      <w:outlineLvl w:val="0"/>
    </w:pPr>
    <w:rPr>
      <w:rFonts w:ascii="Cambria" w:eastAsia="Times New Roman" w:hAnsi="Cambria" w:cs="Latha"/>
      <w:color w:val="365F91"/>
      <w:sz w:val="32"/>
      <w:szCs w:val="32"/>
      <w:lang w:bidi="ta-IN"/>
    </w:rPr>
  </w:style>
  <w:style w:type="paragraph" w:styleId="Ttulo2">
    <w:name w:val="heading 2"/>
    <w:basedOn w:val="Normal"/>
    <w:next w:val="Normal"/>
    <w:link w:val="Ttulo2Car"/>
    <w:uiPriority w:val="9"/>
    <w:semiHidden/>
    <w:unhideWhenUsed/>
    <w:qFormat/>
    <w:rsid w:val="006A1FD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6A1FD7"/>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Ttulo7">
    <w:name w:val="heading 7"/>
    <w:basedOn w:val="Normal"/>
    <w:next w:val="Normal"/>
    <w:link w:val="Ttulo7Car"/>
    <w:uiPriority w:val="9"/>
    <w:semiHidden/>
    <w:unhideWhenUsed/>
    <w:qFormat/>
    <w:rsid w:val="006A1FD7"/>
    <w:pPr>
      <w:keepNext/>
      <w:keepLines/>
      <w:spacing w:before="40" w:after="0"/>
      <w:outlineLvl w:val="6"/>
    </w:pPr>
    <w:rPr>
      <w:rFonts w:asciiTheme="majorHAnsi" w:eastAsiaTheme="majorEastAsia" w:hAnsiTheme="majorHAnsi" w:cstheme="majorBidi"/>
      <w:i/>
      <w:iCs/>
      <w:color w:val="244061"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A1FD7"/>
    <w:pPr>
      <w:spacing w:after="0" w:line="240" w:lineRule="auto"/>
    </w:pPr>
    <w:rPr>
      <w:rFonts w:ascii="Tahoma" w:hAnsi="Tahoma" w:cs="Tahoma"/>
      <w:sz w:val="16"/>
      <w:szCs w:val="16"/>
    </w:rPr>
  </w:style>
  <w:style w:type="paragraph" w:styleId="Textocomentario">
    <w:name w:val="annotation text"/>
    <w:basedOn w:val="Normal"/>
    <w:link w:val="TextocomentarioCar"/>
    <w:uiPriority w:val="99"/>
    <w:semiHidden/>
    <w:unhideWhenUsed/>
    <w:rsid w:val="006A1FD7"/>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rsid w:val="006A1FD7"/>
    <w:rPr>
      <w:b/>
      <w:bCs/>
    </w:rPr>
  </w:style>
  <w:style w:type="paragraph" w:styleId="Piedepgina">
    <w:name w:val="footer"/>
    <w:basedOn w:val="Normal"/>
    <w:link w:val="PiedepginaCar"/>
    <w:uiPriority w:val="99"/>
    <w:unhideWhenUsed/>
    <w:qFormat/>
    <w:rsid w:val="006A1FD7"/>
    <w:pPr>
      <w:tabs>
        <w:tab w:val="center" w:pos="4680"/>
        <w:tab w:val="right" w:pos="9360"/>
      </w:tabs>
      <w:spacing w:after="0" w:line="240" w:lineRule="auto"/>
    </w:pPr>
    <w:rPr>
      <w:rFonts w:eastAsiaTheme="minorHAnsi"/>
      <w:lang w:bidi="si-LK"/>
    </w:rPr>
  </w:style>
  <w:style w:type="paragraph" w:styleId="Encabezado">
    <w:name w:val="header"/>
    <w:basedOn w:val="Normal"/>
    <w:link w:val="EncabezadoCar"/>
    <w:uiPriority w:val="99"/>
    <w:unhideWhenUsed/>
    <w:qFormat/>
    <w:rsid w:val="006A1FD7"/>
    <w:pPr>
      <w:tabs>
        <w:tab w:val="center" w:pos="4680"/>
        <w:tab w:val="right" w:pos="9360"/>
      </w:tabs>
      <w:spacing w:after="0" w:line="240" w:lineRule="auto"/>
    </w:pPr>
  </w:style>
  <w:style w:type="paragraph" w:styleId="TDC1">
    <w:name w:val="toc 1"/>
    <w:basedOn w:val="Normal"/>
    <w:next w:val="Normal"/>
    <w:uiPriority w:val="39"/>
    <w:unhideWhenUsed/>
    <w:rsid w:val="006A1FD7"/>
    <w:pPr>
      <w:spacing w:after="100"/>
    </w:pPr>
  </w:style>
  <w:style w:type="paragraph" w:styleId="TDC2">
    <w:name w:val="toc 2"/>
    <w:basedOn w:val="Normal"/>
    <w:next w:val="Normal"/>
    <w:uiPriority w:val="39"/>
    <w:unhideWhenUsed/>
    <w:qFormat/>
    <w:rsid w:val="006A1FD7"/>
    <w:pPr>
      <w:tabs>
        <w:tab w:val="right" w:leader="dot" w:pos="8778"/>
      </w:tabs>
      <w:spacing w:after="100"/>
    </w:pPr>
  </w:style>
  <w:style w:type="paragraph" w:styleId="TDC3">
    <w:name w:val="toc 3"/>
    <w:basedOn w:val="Normal"/>
    <w:next w:val="Normal"/>
    <w:uiPriority w:val="39"/>
    <w:unhideWhenUsed/>
    <w:qFormat/>
    <w:rsid w:val="006A1FD7"/>
    <w:pPr>
      <w:tabs>
        <w:tab w:val="right" w:leader="dot" w:pos="8778"/>
      </w:tabs>
      <w:spacing w:after="100"/>
      <w:ind w:left="720"/>
    </w:pPr>
  </w:style>
  <w:style w:type="character" w:styleId="Refdecomentario">
    <w:name w:val="annotation reference"/>
    <w:basedOn w:val="Fuentedeprrafopredeter"/>
    <w:uiPriority w:val="99"/>
    <w:semiHidden/>
    <w:unhideWhenUsed/>
    <w:qFormat/>
    <w:rsid w:val="006A1FD7"/>
    <w:rPr>
      <w:sz w:val="16"/>
      <w:szCs w:val="16"/>
    </w:rPr>
  </w:style>
  <w:style w:type="character" w:styleId="Hipervnculo">
    <w:name w:val="Hyperlink"/>
    <w:uiPriority w:val="99"/>
    <w:unhideWhenUsed/>
    <w:qFormat/>
    <w:rsid w:val="006A1FD7"/>
    <w:rPr>
      <w:color w:val="0000FF"/>
      <w:u w:val="single"/>
    </w:rPr>
  </w:style>
  <w:style w:type="table" w:styleId="Tablaconcuadrcula">
    <w:name w:val="Table Grid"/>
    <w:basedOn w:val="Tablanormal"/>
    <w:uiPriority w:val="59"/>
    <w:qFormat/>
    <w:rsid w:val="006A1FD7"/>
    <w:rPr>
      <w:rFonts w:ascii="Calibri" w:hAnsi="Calibri" w:cs="Lath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basedOn w:val="Fuentedeprrafopredeter"/>
    <w:link w:val="Ttulo1"/>
    <w:uiPriority w:val="9"/>
    <w:qFormat/>
    <w:rsid w:val="006A1FD7"/>
    <w:rPr>
      <w:rFonts w:ascii="Cambria" w:eastAsia="Times New Roman" w:hAnsi="Cambria" w:cs="Latha"/>
      <w:color w:val="365F91"/>
      <w:sz w:val="32"/>
      <w:szCs w:val="32"/>
      <w:lang w:bidi="ta-IN"/>
    </w:rPr>
  </w:style>
  <w:style w:type="paragraph" w:customStyle="1" w:styleId="Default">
    <w:name w:val="Default"/>
    <w:qFormat/>
    <w:rsid w:val="006A1FD7"/>
    <w:pPr>
      <w:autoSpaceDE w:val="0"/>
      <w:autoSpaceDN w:val="0"/>
      <w:adjustRightInd w:val="0"/>
    </w:pPr>
    <w:rPr>
      <w:color w:val="000000"/>
      <w:sz w:val="24"/>
      <w:szCs w:val="24"/>
    </w:rPr>
  </w:style>
  <w:style w:type="character" w:customStyle="1" w:styleId="TextodegloboCar">
    <w:name w:val="Texto de globo Car"/>
    <w:basedOn w:val="Fuentedeprrafopredeter"/>
    <w:link w:val="Textodeglobo"/>
    <w:uiPriority w:val="99"/>
    <w:semiHidden/>
    <w:rsid w:val="006A1FD7"/>
    <w:rPr>
      <w:rFonts w:ascii="Tahoma" w:hAnsi="Tahoma" w:cs="Tahoma"/>
      <w:sz w:val="16"/>
      <w:szCs w:val="16"/>
    </w:rPr>
  </w:style>
  <w:style w:type="paragraph" w:customStyle="1" w:styleId="Revision1">
    <w:name w:val="Revision1"/>
    <w:hidden/>
    <w:uiPriority w:val="99"/>
    <w:semiHidden/>
    <w:qFormat/>
    <w:rsid w:val="006A1FD7"/>
    <w:rPr>
      <w:rFonts w:asciiTheme="minorHAnsi" w:eastAsiaTheme="minorEastAsia" w:hAnsiTheme="minorHAnsi" w:cstheme="minorBidi"/>
      <w:sz w:val="22"/>
      <w:szCs w:val="22"/>
    </w:rPr>
  </w:style>
  <w:style w:type="character" w:customStyle="1" w:styleId="Ttulo2Car">
    <w:name w:val="Título 2 Car"/>
    <w:basedOn w:val="Fuentedeprrafopredeter"/>
    <w:link w:val="Ttulo2"/>
    <w:uiPriority w:val="9"/>
    <w:semiHidden/>
    <w:qFormat/>
    <w:rsid w:val="006A1FD7"/>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semiHidden/>
    <w:qFormat/>
    <w:rsid w:val="006A1FD7"/>
    <w:rPr>
      <w:rFonts w:asciiTheme="majorHAnsi" w:eastAsiaTheme="majorEastAsia" w:hAnsiTheme="majorHAnsi" w:cstheme="majorBidi"/>
      <w:color w:val="244061" w:themeColor="accent1" w:themeShade="80"/>
      <w:sz w:val="24"/>
      <w:szCs w:val="24"/>
    </w:rPr>
  </w:style>
  <w:style w:type="character" w:customStyle="1" w:styleId="Ttulo7Car">
    <w:name w:val="Título 7 Car"/>
    <w:basedOn w:val="Fuentedeprrafopredeter"/>
    <w:link w:val="Ttulo7"/>
    <w:uiPriority w:val="9"/>
    <w:semiHidden/>
    <w:qFormat/>
    <w:rsid w:val="006A1FD7"/>
    <w:rPr>
      <w:rFonts w:asciiTheme="majorHAnsi" w:eastAsiaTheme="majorEastAsia" w:hAnsiTheme="majorHAnsi" w:cstheme="majorBidi"/>
      <w:i/>
      <w:iCs/>
      <w:color w:val="244061" w:themeColor="accent1" w:themeShade="80"/>
    </w:rPr>
  </w:style>
  <w:style w:type="paragraph" w:styleId="Prrafodelista">
    <w:name w:val="List Paragraph"/>
    <w:basedOn w:val="Normal"/>
    <w:uiPriority w:val="34"/>
    <w:qFormat/>
    <w:rsid w:val="006A1FD7"/>
    <w:pPr>
      <w:ind w:left="720"/>
      <w:contextualSpacing/>
    </w:pPr>
  </w:style>
  <w:style w:type="character" w:customStyle="1" w:styleId="PiedepginaCar">
    <w:name w:val="Pie de página Car"/>
    <w:basedOn w:val="Fuentedeprrafopredeter"/>
    <w:link w:val="Piedepgina"/>
    <w:uiPriority w:val="99"/>
    <w:rsid w:val="006A1FD7"/>
    <w:rPr>
      <w:rFonts w:eastAsiaTheme="minorHAnsi"/>
      <w:lang w:bidi="si-LK"/>
    </w:rPr>
  </w:style>
  <w:style w:type="character" w:customStyle="1" w:styleId="EncabezadoCar">
    <w:name w:val="Encabezado Car"/>
    <w:basedOn w:val="Fuentedeprrafopredeter"/>
    <w:link w:val="Encabezado"/>
    <w:uiPriority w:val="99"/>
    <w:qFormat/>
    <w:rsid w:val="006A1FD7"/>
  </w:style>
  <w:style w:type="paragraph" w:customStyle="1" w:styleId="nova-legacy-e-listitem">
    <w:name w:val="nova-legacy-e-list__item"/>
    <w:basedOn w:val="Normal"/>
    <w:qFormat/>
    <w:rsid w:val="006A1FD7"/>
    <w:pPr>
      <w:suppressAutoHyphens/>
      <w:autoSpaceDN w:val="0"/>
      <w:spacing w:before="100" w:after="100" w:line="240" w:lineRule="auto"/>
    </w:pPr>
    <w:rPr>
      <w:rFonts w:ascii="Times New Roman" w:eastAsia="Times New Roman" w:hAnsi="Times New Roman" w:cs="Times New Roman"/>
      <w:sz w:val="24"/>
      <w:szCs w:val="24"/>
      <w:lang w:val="de-AT" w:eastAsia="de-AT"/>
    </w:rPr>
  </w:style>
  <w:style w:type="paragraph" w:customStyle="1" w:styleId="CHAPTERHEADING">
    <w:name w:val="CHAPTER HEADING"/>
    <w:basedOn w:val="Normal"/>
    <w:link w:val="CHAPTERHEADINGChar"/>
    <w:qFormat/>
    <w:rsid w:val="006A1FD7"/>
    <w:pPr>
      <w:keepNext/>
      <w:keepLines/>
      <w:spacing w:before="240" w:after="0"/>
      <w:jc w:val="center"/>
      <w:outlineLvl w:val="0"/>
    </w:pPr>
    <w:rPr>
      <w:rFonts w:ascii="Times New Roman" w:eastAsia="Times New Roman" w:hAnsi="Times New Roman" w:cs="Times New Roman"/>
      <w:b/>
      <w:bCs/>
      <w:color w:val="000000" w:themeColor="text1"/>
      <w:sz w:val="28"/>
      <w:szCs w:val="28"/>
      <w:lang w:bidi="ta-IN"/>
    </w:rPr>
  </w:style>
  <w:style w:type="paragraph" w:customStyle="1" w:styleId="CHAPTERSTYLE">
    <w:name w:val="CHAPTER STYLE"/>
    <w:basedOn w:val="Normal"/>
    <w:link w:val="CHAPTERSTYLEChar"/>
    <w:qFormat/>
    <w:rsid w:val="006A1FD7"/>
    <w:pPr>
      <w:tabs>
        <w:tab w:val="left" w:pos="4560"/>
      </w:tabs>
      <w:spacing w:before="100" w:after="100" w:line="240" w:lineRule="auto"/>
      <w:jc w:val="center"/>
    </w:pPr>
    <w:rPr>
      <w:rFonts w:ascii="Times New Roman" w:hAnsi="Times New Roman" w:cs="Times New Roman"/>
      <w:b/>
      <w:sz w:val="28"/>
      <w:szCs w:val="28"/>
      <w:lang w:val="en-GB"/>
    </w:rPr>
  </w:style>
  <w:style w:type="character" w:customStyle="1" w:styleId="CHAPTERHEADINGChar">
    <w:name w:val="CHAPTER HEADING Char"/>
    <w:basedOn w:val="Fuentedeprrafopredeter"/>
    <w:link w:val="CHAPTERHEADING"/>
    <w:qFormat/>
    <w:rsid w:val="006A1FD7"/>
    <w:rPr>
      <w:rFonts w:ascii="Times New Roman" w:eastAsia="Times New Roman" w:hAnsi="Times New Roman" w:cs="Times New Roman"/>
      <w:b/>
      <w:bCs/>
      <w:color w:val="000000" w:themeColor="text1"/>
      <w:sz w:val="28"/>
      <w:szCs w:val="28"/>
      <w:lang w:bidi="ta-IN"/>
    </w:rPr>
  </w:style>
  <w:style w:type="paragraph" w:customStyle="1" w:styleId="Subtitle1">
    <w:name w:val="Sub title 1"/>
    <w:basedOn w:val="Normal"/>
    <w:link w:val="Subtitle1Char"/>
    <w:qFormat/>
    <w:rsid w:val="006A1FD7"/>
    <w:pPr>
      <w:keepNext/>
      <w:keepLines/>
      <w:spacing w:after="0" w:line="360" w:lineRule="auto"/>
      <w:outlineLvl w:val="1"/>
    </w:pPr>
    <w:rPr>
      <w:rFonts w:ascii="Times New Roman" w:eastAsia="Times New Roman" w:hAnsi="Times New Roman" w:cs="Times New Roman"/>
      <w:b/>
      <w:bCs/>
      <w:sz w:val="24"/>
      <w:szCs w:val="24"/>
      <w:lang w:bidi="ta-IN"/>
    </w:rPr>
  </w:style>
  <w:style w:type="character" w:customStyle="1" w:styleId="CHAPTERSTYLEChar">
    <w:name w:val="CHAPTER STYLE Char"/>
    <w:basedOn w:val="Fuentedeprrafopredeter"/>
    <w:link w:val="CHAPTERSTYLE"/>
    <w:qFormat/>
    <w:rsid w:val="006A1FD7"/>
    <w:rPr>
      <w:rFonts w:ascii="Times New Roman" w:hAnsi="Times New Roman" w:cs="Times New Roman"/>
      <w:b/>
      <w:sz w:val="28"/>
      <w:szCs w:val="28"/>
      <w:lang w:val="en-GB"/>
    </w:rPr>
  </w:style>
  <w:style w:type="paragraph" w:customStyle="1" w:styleId="Subsubtitle">
    <w:name w:val="Sub sub title"/>
    <w:basedOn w:val="Subtitle1"/>
    <w:link w:val="SubsubtitleChar"/>
    <w:qFormat/>
    <w:rsid w:val="006A1FD7"/>
  </w:style>
  <w:style w:type="character" w:customStyle="1" w:styleId="Subtitle1Char">
    <w:name w:val="Sub title 1 Char"/>
    <w:basedOn w:val="Fuentedeprrafopredeter"/>
    <w:link w:val="Subtitle1"/>
    <w:rsid w:val="006A1FD7"/>
    <w:rPr>
      <w:rFonts w:ascii="Times New Roman" w:eastAsia="Times New Roman" w:hAnsi="Times New Roman" w:cs="Times New Roman"/>
      <w:b/>
      <w:bCs/>
      <w:sz w:val="24"/>
      <w:szCs w:val="24"/>
      <w:lang w:bidi="ta-IN"/>
    </w:rPr>
  </w:style>
  <w:style w:type="paragraph" w:customStyle="1" w:styleId="TOCHeading1">
    <w:name w:val="TOC Heading1"/>
    <w:basedOn w:val="Ttulo1"/>
    <w:next w:val="Normal"/>
    <w:uiPriority w:val="39"/>
    <w:unhideWhenUsed/>
    <w:qFormat/>
    <w:rsid w:val="006A1FD7"/>
    <w:pPr>
      <w:outlineLvl w:val="9"/>
    </w:pPr>
    <w:rPr>
      <w:rFonts w:asciiTheme="majorHAnsi" w:eastAsiaTheme="majorEastAsia" w:hAnsiTheme="majorHAnsi" w:cstheme="majorBidi"/>
      <w:color w:val="365F91" w:themeColor="accent1" w:themeShade="BF"/>
      <w:lang w:bidi="ar-SA"/>
    </w:rPr>
  </w:style>
  <w:style w:type="character" w:customStyle="1" w:styleId="SubsubtitleChar">
    <w:name w:val="Sub sub title Char"/>
    <w:basedOn w:val="Subtitle1Char"/>
    <w:link w:val="Subsubtitle"/>
    <w:rsid w:val="006A1FD7"/>
    <w:rPr>
      <w:rFonts w:ascii="Times New Roman" w:eastAsia="Times New Roman" w:hAnsi="Times New Roman" w:cs="Times New Roman"/>
      <w:b/>
      <w:bCs/>
      <w:sz w:val="24"/>
      <w:szCs w:val="24"/>
      <w:lang w:bidi="ta-IN"/>
    </w:rPr>
  </w:style>
  <w:style w:type="character" w:customStyle="1" w:styleId="TextocomentarioCar">
    <w:name w:val="Texto comentario Car"/>
    <w:basedOn w:val="Fuentedeprrafopredeter"/>
    <w:link w:val="Textocomentario"/>
    <w:uiPriority w:val="99"/>
    <w:semiHidden/>
    <w:rsid w:val="006A1FD7"/>
    <w:rPr>
      <w:sz w:val="20"/>
      <w:szCs w:val="20"/>
    </w:rPr>
  </w:style>
  <w:style w:type="character" w:customStyle="1" w:styleId="AsuntodelcomentarioCar">
    <w:name w:val="Asunto del comentario Car"/>
    <w:basedOn w:val="TextocomentarioCar"/>
    <w:link w:val="Asuntodelcomentario"/>
    <w:uiPriority w:val="99"/>
    <w:semiHidden/>
    <w:rsid w:val="006A1FD7"/>
    <w:rPr>
      <w:b/>
      <w:bCs/>
      <w:sz w:val="20"/>
      <w:szCs w:val="20"/>
    </w:rPr>
  </w:style>
  <w:style w:type="paragraph" w:customStyle="1" w:styleId="Author">
    <w:name w:val="Author"/>
    <w:basedOn w:val="Normal"/>
    <w:rsid w:val="002E3BDF"/>
    <w:pPr>
      <w:spacing w:after="0" w:line="280" w:lineRule="exact"/>
      <w:jc w:val="right"/>
    </w:pPr>
    <w:rPr>
      <w:rFonts w:ascii="Helvetica" w:eastAsia="Times New Roman" w:hAnsi="Helvetica"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onlinelibrary.wiley.com/doi/full/10.1111/gcb.15976" TargetMode="Externa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hyperlink" Target="https://doi.org/10.1371/journal.pone.0054231" TargetMode="External"/><Relationship Id="rId28" Type="http://schemas.openxmlformats.org/officeDocument/2006/relationships/header" Target="header3.xml"/><Relationship Id="rId10" Type="http://schemas.microsoft.com/office/2016/09/relationships/commentsIds" Target="commentsIds.xml"/><Relationship Id="rId19" Type="http://schemas.openxmlformats.org/officeDocument/2006/relationships/chart" Target="charts/chart8.xml"/><Relationship Id="rId31"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3.xml"/><Relationship Id="rId22" Type="http://schemas.openxmlformats.org/officeDocument/2006/relationships/hyperlink" Target="https://www.researchgate.net/journal/Tropical-Agricultural-Research-1016-1422" TargetMode="External"/><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Thushari\Downloads\Relative%20water%20content.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3.xml.rels><?xml version="1.0" encoding="UTF-8" standalone="yes"?>
<Relationships xmlns="http://schemas.openxmlformats.org/package/2006/relationships"><Relationship Id="rId1" Type="http://schemas.openxmlformats.org/officeDocument/2006/relationships/oleObject" Target="file:///D:\Plant%20Physiology%20Division\Staff\MV\Open%20Uni\data\Photosynthesis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Thushari\Downloads\Photosynthesis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Plant%20Physiology%20Division\Staff\MV\Open%20Uni\data\Stomatal%20conductance.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Thushari\Downloads\Stomatal%20conductance.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Plant%20Physiology%20Division\Staff\MV\Open%20Uni\data\Transpiration.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Thushari\Downloads\Transpiration%20-%20Copy%20(2)%20(Recovered).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Plant%20Physiology%20Division\Staff\MV\Open%20Uni\data\Leaf%20temperatur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293003420670011"/>
          <c:y val="0.15240332566270812"/>
          <c:w val="0.5627451805022744"/>
          <c:h val="0.59172694067655607"/>
        </c:manualLayout>
      </c:layout>
      <c:barChart>
        <c:barDir val="col"/>
        <c:grouping val="clustered"/>
        <c:varyColors val="0"/>
        <c:ser>
          <c:idx val="0"/>
          <c:order val="0"/>
          <c:spPr>
            <a:pattFill prst="ltHorz">
              <a:fgClr>
                <a:schemeClr val="tx1"/>
              </a:fgClr>
              <a:bgClr>
                <a:schemeClr val="bg1"/>
              </a:bgClr>
            </a:pattFill>
            <a:ln>
              <a:solidFill>
                <a:schemeClr val="tx1"/>
              </a:solidFill>
            </a:ln>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DAEE-4DFF-B1B1-2406067FA955}"/>
                </c:ext>
              </c:extLst>
            </c:dLbl>
            <c:dLbl>
              <c:idx val="1"/>
              <c:layout>
                <c:manualLayout>
                  <c:x val="-7.7972733487662134E-3"/>
                  <c:y val="0"/>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DAEE-4DFF-B1B1-2406067FA955}"/>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summary!$G$10:$G$11</c:f>
              <c:strCache>
                <c:ptCount val="2"/>
                <c:pt idx="0">
                  <c:v>14DAS</c:v>
                </c:pt>
                <c:pt idx="1">
                  <c:v>21DAS</c:v>
                </c:pt>
              </c:strCache>
            </c:strRef>
          </c:cat>
          <c:val>
            <c:numRef>
              <c:f>summary!$H$10:$H$11</c:f>
              <c:numCache>
                <c:formatCode>General</c:formatCode>
                <c:ptCount val="2"/>
                <c:pt idx="0">
                  <c:v>75.768000000000001</c:v>
                </c:pt>
                <c:pt idx="1">
                  <c:v>52.042000000000002</c:v>
                </c:pt>
              </c:numCache>
            </c:numRef>
          </c:val>
          <c:extLst>
            <c:ext xmlns:c16="http://schemas.microsoft.com/office/drawing/2014/chart" uri="{C3380CC4-5D6E-409C-BE32-E72D297353CC}">
              <c16:uniqueId val="{00000002-DAEE-4DFF-B1B1-2406067FA955}"/>
            </c:ext>
          </c:extLst>
        </c:ser>
        <c:dLbls>
          <c:showLegendKey val="0"/>
          <c:showVal val="1"/>
          <c:showCatName val="0"/>
          <c:showSerName val="0"/>
          <c:showPercent val="0"/>
          <c:showBubbleSize val="0"/>
        </c:dLbls>
        <c:gapWidth val="150"/>
        <c:axId val="168761984"/>
        <c:axId val="168852864"/>
      </c:barChart>
      <c:catAx>
        <c:axId val="168761984"/>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mn-ea"/>
                    <a:cs typeface="Times New Roman" panose="02020603050405020304" charset="0"/>
                  </a:defRPr>
                </a:pPr>
                <a:r>
                  <a:rPr lang="en-US"/>
                  <a:t>Measurement</a:t>
                </a:r>
                <a:r>
                  <a:rPr lang="en-US" baseline="0"/>
                  <a:t> Frequency</a:t>
                </a:r>
                <a:endParaRPr lang="en-US"/>
              </a:p>
            </c:rich>
          </c:tx>
          <c:layout>
            <c:manualLayout>
              <c:xMode val="edge"/>
              <c:yMode val="edge"/>
              <c:x val="0.30882384096606835"/>
              <c:y val="0.87245755010176296"/>
            </c:manualLayout>
          </c:layout>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s-MX"/>
          </a:p>
        </c:txPr>
        <c:crossAx val="168852864"/>
        <c:crosses val="autoZero"/>
        <c:auto val="1"/>
        <c:lblAlgn val="ctr"/>
        <c:lblOffset val="100"/>
        <c:noMultiLvlLbl val="0"/>
      </c:catAx>
      <c:valAx>
        <c:axId val="168852864"/>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mn-ea"/>
                    <a:cs typeface="Times New Roman" panose="02020603050405020304" charset="0"/>
                  </a:defRPr>
                </a:pPr>
                <a:r>
                  <a:rPr lang="en-GB"/>
                  <a:t>Relative Water Content (%)</a:t>
                </a:r>
              </a:p>
            </c:rich>
          </c:tx>
          <c:layout>
            <c:manualLayout>
              <c:xMode val="edge"/>
              <c:yMode val="edge"/>
              <c:x val="7.2619334554325218E-2"/>
              <c:y val="9.5411798233114742E-2"/>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s-MX"/>
          </a:p>
        </c:txPr>
        <c:crossAx val="168761984"/>
        <c:crosses val="autoZero"/>
        <c:crossBetween val="between"/>
      </c:valAx>
    </c:plotArea>
    <c:plotVisOnly val="1"/>
    <c:dispBlanksAs val="gap"/>
    <c:showDLblsOverMax val="0"/>
  </c:chart>
  <c:spPr>
    <a:ln w="9525" cap="flat" cmpd="sng" algn="ctr">
      <a:solidFill>
        <a:schemeClr val="bg1">
          <a:lumMod val="65000"/>
        </a:schemeClr>
      </a:solidFill>
      <a:prstDash val="solid"/>
      <a:round/>
    </a:ln>
  </c:spPr>
  <c:txPr>
    <a:bodyPr/>
    <a:lstStyle/>
    <a:p>
      <a:pPr>
        <a:defRPr lang="en-US" sz="1000">
          <a:latin typeface="Times New Roman" panose="02020603050405020304" charset="0"/>
          <a:cs typeface="Times New Roman" panose="0202060305040502030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5043963254593"/>
          <c:y val="0.19480351414406497"/>
          <c:w val="0.74702690288713902"/>
          <c:h val="0.5701662292213453"/>
        </c:manualLayout>
      </c:layout>
      <c:barChart>
        <c:barDir val="col"/>
        <c:grouping val="clustered"/>
        <c:varyColors val="0"/>
        <c:ser>
          <c:idx val="1"/>
          <c:order val="0"/>
          <c:tx>
            <c:strRef>
              <c:f>14DAS</c:f>
              <c:strCache>
                <c:ptCount val="1"/>
                <c:pt idx="0">
                  <c:v>14DAS</c:v>
                </c:pt>
              </c:strCache>
            </c:strRef>
          </c:tx>
          <c:spPr>
            <a:pattFill prst="pct50">
              <a:fgClr>
                <a:schemeClr val="tx1"/>
              </a:fgClr>
              <a:bgClr>
                <a:schemeClr val="bg1"/>
              </a:bgClr>
            </a:pattFill>
            <a:ln>
              <a:solidFill>
                <a:schemeClr val="tx1"/>
              </a:solidFill>
            </a:ln>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4495-47DC-B74A-D3A14FFEB994}"/>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4495-47DC-B74A-D3A14FFEB994}"/>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4495-47DC-B74A-D3A14FFEB994}"/>
                </c:ext>
              </c:extLst>
            </c:dLbl>
            <c:dLbl>
              <c:idx val="3"/>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4495-47DC-B74A-D3A14FFEB994}"/>
                </c:ext>
              </c:extLst>
            </c:dLbl>
            <c:dLbl>
              <c:idx val="4"/>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4495-47DC-B74A-D3A14FFEB994}"/>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summary!$P$10:$P$14</c:f>
              <c:numCache>
                <c:formatCode>General</c:formatCode>
                <c:ptCount val="5"/>
                <c:pt idx="0">
                  <c:v>81.988</c:v>
                </c:pt>
                <c:pt idx="1">
                  <c:v>68.099999999999994</c:v>
                </c:pt>
                <c:pt idx="2">
                  <c:v>78.813000000000002</c:v>
                </c:pt>
                <c:pt idx="3">
                  <c:v>72.063000000000002</c:v>
                </c:pt>
                <c:pt idx="4">
                  <c:v>77.874999999999986</c:v>
                </c:pt>
              </c:numCache>
            </c:numRef>
          </c:val>
          <c:extLst>
            <c:ext xmlns:c16="http://schemas.microsoft.com/office/drawing/2014/chart" uri="{C3380CC4-5D6E-409C-BE32-E72D297353CC}">
              <c16:uniqueId val="{00000005-4495-47DC-B74A-D3A14FFEB994}"/>
            </c:ext>
          </c:extLst>
        </c:ser>
        <c:ser>
          <c:idx val="0"/>
          <c:order val="1"/>
          <c:tx>
            <c:strRef>
              <c:f>21DAS</c:f>
              <c:strCache>
                <c:ptCount val="1"/>
                <c:pt idx="0">
                  <c:v>21DAS</c:v>
                </c:pt>
              </c:strCache>
            </c:strRef>
          </c:tx>
          <c:spPr>
            <a:pattFill prst="pct5">
              <a:fgClr>
                <a:schemeClr val="tx1"/>
              </a:fgClr>
              <a:bgClr>
                <a:schemeClr val="bg1"/>
              </a:bgClr>
            </a:pattFill>
            <a:ln>
              <a:solidFill>
                <a:schemeClr val="tx1"/>
              </a:solidFill>
            </a:ln>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4495-47DC-B74A-D3A14FFEB994}"/>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4495-47DC-B74A-D3A14FFEB994}"/>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4495-47DC-B74A-D3A14FFEB994}"/>
                </c:ext>
              </c:extLst>
            </c:dLbl>
            <c:dLbl>
              <c:idx val="3"/>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4495-47DC-B74A-D3A14FFEB994}"/>
                </c:ext>
              </c:extLst>
            </c:dLbl>
            <c:dLbl>
              <c:idx val="4"/>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4495-47DC-B74A-D3A14FFEB994}"/>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summary!$V$10:$V$14</c:f>
              <c:strCache>
                <c:ptCount val="5"/>
                <c:pt idx="0">
                  <c:v>GB4</c:v>
                </c:pt>
                <c:pt idx="1">
                  <c:v>GB12</c:v>
                </c:pt>
                <c:pt idx="2">
                  <c:v>GB20</c:v>
                </c:pt>
                <c:pt idx="3">
                  <c:v>WS</c:v>
                </c:pt>
                <c:pt idx="4">
                  <c:v>NS</c:v>
                </c:pt>
              </c:strCache>
            </c:strRef>
          </c:cat>
          <c:val>
            <c:numRef>
              <c:f>summary!$W$10:$W$14</c:f>
              <c:numCache>
                <c:formatCode>General</c:formatCode>
                <c:ptCount val="5"/>
                <c:pt idx="0">
                  <c:v>53.897000000000006</c:v>
                </c:pt>
                <c:pt idx="1">
                  <c:v>48.844999999999999</c:v>
                </c:pt>
                <c:pt idx="2">
                  <c:v>51.805</c:v>
                </c:pt>
                <c:pt idx="3">
                  <c:v>55.853999999999992</c:v>
                </c:pt>
                <c:pt idx="4">
                  <c:v>49.807000000000002</c:v>
                </c:pt>
              </c:numCache>
            </c:numRef>
          </c:val>
          <c:extLst>
            <c:ext xmlns:c16="http://schemas.microsoft.com/office/drawing/2014/chart" uri="{C3380CC4-5D6E-409C-BE32-E72D297353CC}">
              <c16:uniqueId val="{0000000B-4495-47DC-B74A-D3A14FFEB994}"/>
            </c:ext>
          </c:extLst>
        </c:ser>
        <c:dLbls>
          <c:showLegendKey val="0"/>
          <c:showVal val="1"/>
          <c:showCatName val="0"/>
          <c:showSerName val="0"/>
          <c:showPercent val="0"/>
          <c:showBubbleSize val="0"/>
        </c:dLbls>
        <c:gapWidth val="150"/>
        <c:axId val="225387648"/>
        <c:axId val="225389568"/>
      </c:barChart>
      <c:catAx>
        <c:axId val="225387648"/>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mn-ea"/>
                    <a:cs typeface="Times New Roman" panose="02020603050405020304" charset="0"/>
                  </a:defRPr>
                </a:pPr>
                <a:r>
                  <a:rPr lang="en-GB"/>
                  <a:t>Treatment</a:t>
                </a:r>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s-MX"/>
          </a:p>
        </c:txPr>
        <c:crossAx val="225389568"/>
        <c:crosses val="autoZero"/>
        <c:auto val="1"/>
        <c:lblAlgn val="ctr"/>
        <c:lblOffset val="100"/>
        <c:noMultiLvlLbl val="0"/>
      </c:catAx>
      <c:valAx>
        <c:axId val="225389568"/>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mn-ea"/>
                    <a:cs typeface="Times New Roman" panose="02020603050405020304" charset="0"/>
                  </a:defRPr>
                </a:pPr>
                <a:r>
                  <a:rPr lang="en-US"/>
                  <a:t>Relative Water Content (%)</a:t>
                </a:r>
              </a:p>
            </c:rich>
          </c:tx>
          <c:layout>
            <c:manualLayout>
              <c:xMode val="edge"/>
              <c:yMode val="edge"/>
              <c:x val="4.5263779527559105E-2"/>
              <c:y val="0.15944096278190026"/>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s-MX"/>
          </a:p>
        </c:txPr>
        <c:crossAx val="225387648"/>
        <c:crosses val="autoZero"/>
        <c:crossBetween val="between"/>
      </c:valAx>
    </c:plotArea>
    <c:legend>
      <c:legendPos val="r"/>
      <c:layout>
        <c:manualLayout>
          <c:xMode val="edge"/>
          <c:yMode val="edge"/>
          <c:x val="0.85651509186351704"/>
          <c:y val="7.5338453566552818E-2"/>
          <c:w val="0.12126268591426108"/>
          <c:h val="0.18265576340402601"/>
        </c:manualLayout>
      </c:layout>
      <c:overlay val="0"/>
      <c:txPr>
        <a:bodyPr rot="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s-MX"/>
        </a:p>
      </c:txPr>
    </c:legend>
    <c:plotVisOnly val="1"/>
    <c:dispBlanksAs val="gap"/>
    <c:showDLblsOverMax val="0"/>
  </c:chart>
  <c:spPr>
    <a:ln w="9525" cap="flat" cmpd="sng" algn="ctr">
      <a:solidFill>
        <a:schemeClr val="bg1">
          <a:lumMod val="65000"/>
        </a:schemeClr>
      </a:solidFill>
      <a:prstDash val="solid"/>
      <a:round/>
    </a:ln>
  </c:spPr>
  <c:txPr>
    <a:bodyPr/>
    <a:lstStyle/>
    <a:p>
      <a:pPr>
        <a:defRPr lang="en-US" sz="1000">
          <a:latin typeface="Times New Roman" panose="02020603050405020304" charset="0"/>
          <a:cs typeface="Times New Roman" panose="0202060305040502030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816885389326412"/>
          <c:y val="5.1400554097404495E-2"/>
          <c:w val="0.68269356955380844"/>
          <c:h val="0.70005358705161858"/>
        </c:manualLayout>
      </c:layout>
      <c:barChart>
        <c:barDir val="col"/>
        <c:grouping val="clustered"/>
        <c:varyColors val="0"/>
        <c:ser>
          <c:idx val="0"/>
          <c:order val="0"/>
          <c:spPr>
            <a:pattFill prst="ltDnDiag">
              <a:fgClr>
                <a:sysClr val="windowText" lastClr="000000"/>
              </a:fgClr>
              <a:bgClr>
                <a:schemeClr val="bg1"/>
              </a:bgClr>
            </a:pattFill>
            <a:ln>
              <a:solidFill>
                <a:schemeClr val="tx1"/>
              </a:solidFill>
            </a:ln>
          </c:spPr>
          <c:invertIfNegative val="0"/>
          <c:dLbls>
            <c:dLbl>
              <c:idx val="0"/>
              <c:layout>
                <c:manualLayout>
                  <c:x val="-5.5555555555555601E-3"/>
                  <c:y val="0"/>
                </c:manualLayout>
              </c:layout>
              <c:tx>
                <c:rich>
                  <a:bodyPr/>
                  <a:lstStyle/>
                  <a:p>
                    <a:r>
                      <a:rPr lang="en-US"/>
                      <a:t>cb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DABD-4CAB-80FB-F289D9078880}"/>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DABD-4CAB-80FB-F289D9078880}"/>
                </c:ext>
              </c:extLst>
            </c:dLbl>
            <c:dLbl>
              <c:idx val="2"/>
              <c:tx>
                <c:rich>
                  <a:bodyPr/>
                  <a:lstStyle/>
                  <a:p>
                    <a:r>
                      <a:rPr lang="en-US"/>
                      <a:t>cb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DABD-4CAB-80FB-F289D9078880}"/>
                </c:ext>
              </c:extLst>
            </c:dLbl>
            <c:dLbl>
              <c:idx val="3"/>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DABD-4CAB-80FB-F289D9078880}"/>
                </c:ext>
              </c:extLst>
            </c:dLbl>
            <c:dLbl>
              <c:idx val="4"/>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DABD-4CAB-80FB-F289D9078880}"/>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summary!$A$6:$A$10</c:f>
              <c:strCache>
                <c:ptCount val="5"/>
                <c:pt idx="0">
                  <c:v>GB4</c:v>
                </c:pt>
                <c:pt idx="1">
                  <c:v>GB12</c:v>
                </c:pt>
                <c:pt idx="2">
                  <c:v>GB20</c:v>
                </c:pt>
                <c:pt idx="3">
                  <c:v>WS</c:v>
                </c:pt>
                <c:pt idx="4">
                  <c:v>NS</c:v>
                </c:pt>
              </c:strCache>
            </c:strRef>
          </c:cat>
          <c:val>
            <c:numRef>
              <c:f>summary!$B$6:$B$10</c:f>
              <c:numCache>
                <c:formatCode>General</c:formatCode>
                <c:ptCount val="5"/>
                <c:pt idx="0">
                  <c:v>0.87590000000000046</c:v>
                </c:pt>
                <c:pt idx="1">
                  <c:v>1.6117999999999992</c:v>
                </c:pt>
                <c:pt idx="2">
                  <c:v>0.99490000000000001</c:v>
                </c:pt>
                <c:pt idx="3">
                  <c:v>0.61790000000000045</c:v>
                </c:pt>
                <c:pt idx="4">
                  <c:v>1.1096999999999992</c:v>
                </c:pt>
              </c:numCache>
            </c:numRef>
          </c:val>
          <c:extLst>
            <c:ext xmlns:c16="http://schemas.microsoft.com/office/drawing/2014/chart" uri="{C3380CC4-5D6E-409C-BE32-E72D297353CC}">
              <c16:uniqueId val="{00000005-DABD-4CAB-80FB-F289D9078880}"/>
            </c:ext>
          </c:extLst>
        </c:ser>
        <c:dLbls>
          <c:showLegendKey val="0"/>
          <c:showVal val="1"/>
          <c:showCatName val="0"/>
          <c:showSerName val="0"/>
          <c:showPercent val="0"/>
          <c:showBubbleSize val="0"/>
        </c:dLbls>
        <c:gapWidth val="150"/>
        <c:axId val="225401856"/>
        <c:axId val="225457280"/>
      </c:barChart>
      <c:catAx>
        <c:axId val="225401856"/>
        <c:scaling>
          <c:orientation val="minMax"/>
        </c:scaling>
        <c:delete val="0"/>
        <c:axPos val="b"/>
        <c:title>
          <c:tx>
            <c:rich>
              <a:bodyPr rot="0" spcFirstLastPara="0" vertOverflow="ellipsis" vert="horz" wrap="square" anchor="ctr" anchorCtr="1"/>
              <a:lstStyle/>
              <a:p>
                <a:pPr>
                  <a:defRPr lang="en-US" sz="10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a:t>Treatment</a:t>
                </a:r>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s-MX"/>
          </a:p>
        </c:txPr>
        <c:crossAx val="225457280"/>
        <c:crosses val="autoZero"/>
        <c:auto val="1"/>
        <c:lblAlgn val="ctr"/>
        <c:lblOffset val="100"/>
        <c:noMultiLvlLbl val="0"/>
      </c:catAx>
      <c:valAx>
        <c:axId val="225457280"/>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sz="1000" b="1" i="0" baseline="0">
                    <a:effectLst/>
                  </a:rPr>
                  <a:t>Photosynthetic Rate (µmol m</a:t>
                </a:r>
                <a:r>
                  <a:rPr lang="en-US" sz="1000" b="1" i="0" baseline="30000">
                    <a:effectLst/>
                  </a:rPr>
                  <a:t>-2</a:t>
                </a:r>
                <a:r>
                  <a:rPr lang="en-US" sz="1000" b="1" i="0" baseline="0">
                    <a:effectLst/>
                  </a:rPr>
                  <a:t> s</a:t>
                </a:r>
                <a:r>
                  <a:rPr lang="en-US" sz="1000" b="1" i="0" baseline="30000">
                    <a:effectLst/>
                  </a:rPr>
                  <a:t>-1</a:t>
                </a:r>
                <a:r>
                  <a:rPr lang="en-US" sz="1000" b="1" i="0" baseline="0">
                    <a:effectLst/>
                  </a:rPr>
                  <a:t>)</a:t>
                </a:r>
                <a:endParaRPr lang="en-US" sz="1000">
                  <a:effectLst/>
                </a:endParaRP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s-MX"/>
          </a:p>
        </c:txPr>
        <c:crossAx val="225401856"/>
        <c:crosses val="autoZero"/>
        <c:crossBetween val="between"/>
      </c:valAx>
    </c:plotArea>
    <c:plotVisOnly val="1"/>
    <c:dispBlanksAs val="gap"/>
    <c:showDLblsOverMax val="0"/>
  </c:chart>
  <c:spPr>
    <a:ln w="9525" cap="flat" cmpd="sng" algn="ctr">
      <a:solidFill>
        <a:schemeClr val="bg1">
          <a:lumMod val="65000"/>
        </a:schemeClr>
      </a:solidFill>
      <a:prstDash val="solid"/>
      <a:round/>
    </a:ln>
  </c:spPr>
  <c:txPr>
    <a:bodyPr/>
    <a:lstStyle/>
    <a:p>
      <a:pPr>
        <a:defRPr lang="en-US">
          <a:solidFill>
            <a:sysClr val="windowText" lastClr="000000"/>
          </a:solidFill>
          <a:latin typeface="Times New Roman" panose="02020603050405020304" charset="0"/>
          <a:cs typeface="Times New Roman" panose="0202060305040502030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761329833770811"/>
          <c:y val="0.10695610965296"/>
          <c:w val="0.65269356955380875"/>
          <c:h val="0.691743584135316"/>
        </c:manualLayout>
      </c:layout>
      <c:barChart>
        <c:barDir val="col"/>
        <c:grouping val="clustered"/>
        <c:varyColors val="0"/>
        <c:ser>
          <c:idx val="0"/>
          <c:order val="0"/>
          <c:tx>
            <c:strRef>
              <c:f>TRI2023</c:f>
              <c:strCache>
                <c:ptCount val="1"/>
                <c:pt idx="0">
                  <c:v>TRI2023</c:v>
                </c:pt>
              </c:strCache>
            </c:strRef>
          </c:tx>
          <c:spPr>
            <a:pattFill prst="wdDnDiag">
              <a:fgClr>
                <a:schemeClr val="tx1"/>
              </a:fgClr>
              <a:bgClr>
                <a:schemeClr val="bg1"/>
              </a:bgClr>
            </a:pattFill>
            <a:ln>
              <a:solidFill>
                <a:schemeClr val="tx1"/>
              </a:solidFill>
            </a:ln>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C43B-4496-B558-7D63A7800945}"/>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C43B-4496-B558-7D63A7800945}"/>
                </c:ext>
              </c:extLst>
            </c:dLbl>
            <c:dLbl>
              <c:idx val="2"/>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C43B-4496-B558-7D63A7800945}"/>
                </c:ext>
              </c:extLst>
            </c:dLbl>
            <c:dLbl>
              <c:idx val="3"/>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C43B-4496-B558-7D63A7800945}"/>
                </c:ext>
              </c:extLst>
            </c:dLbl>
            <c:dLbl>
              <c:idx val="4"/>
              <c:tx>
                <c:rich>
                  <a:bodyPr/>
                  <a:lstStyle/>
                  <a:p>
                    <a:r>
                      <a:rPr lang="en-US"/>
                      <a:t>ba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C43B-4496-B558-7D63A7800945}"/>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summary!$A$15:$A$19</c:f>
              <c:strCache>
                <c:ptCount val="5"/>
                <c:pt idx="0">
                  <c:v>GB4</c:v>
                </c:pt>
                <c:pt idx="1">
                  <c:v>GB12</c:v>
                </c:pt>
                <c:pt idx="2">
                  <c:v>GB20</c:v>
                </c:pt>
                <c:pt idx="3">
                  <c:v>WS</c:v>
                </c:pt>
                <c:pt idx="4">
                  <c:v>NS</c:v>
                </c:pt>
              </c:strCache>
            </c:strRef>
          </c:cat>
          <c:val>
            <c:numRef>
              <c:f>summary!$B$15:$B$19</c:f>
              <c:numCache>
                <c:formatCode>General</c:formatCode>
                <c:ptCount val="5"/>
                <c:pt idx="0">
                  <c:v>1.35</c:v>
                </c:pt>
                <c:pt idx="1">
                  <c:v>1.5526</c:v>
                </c:pt>
                <c:pt idx="2">
                  <c:v>0.7000000000000004</c:v>
                </c:pt>
                <c:pt idx="3">
                  <c:v>0.5091</c:v>
                </c:pt>
                <c:pt idx="4">
                  <c:v>1.1333</c:v>
                </c:pt>
              </c:numCache>
            </c:numRef>
          </c:val>
          <c:extLst>
            <c:ext xmlns:c16="http://schemas.microsoft.com/office/drawing/2014/chart" uri="{C3380CC4-5D6E-409C-BE32-E72D297353CC}">
              <c16:uniqueId val="{00000005-C43B-4496-B558-7D63A7800945}"/>
            </c:ext>
          </c:extLst>
        </c:ser>
        <c:ser>
          <c:idx val="1"/>
          <c:order val="1"/>
          <c:tx>
            <c:strRef>
              <c:f>TRI2025</c:f>
              <c:strCache>
                <c:ptCount val="1"/>
                <c:pt idx="0">
                  <c:v>TRI2025</c:v>
                </c:pt>
              </c:strCache>
            </c:strRef>
          </c:tx>
          <c:spPr>
            <a:pattFill prst="narVert">
              <a:fgClr>
                <a:schemeClr val="tx1"/>
              </a:fgClr>
              <a:bgClr>
                <a:schemeClr val="bg1"/>
              </a:bgClr>
            </a:pattFill>
            <a:ln w="12700">
              <a:solidFill>
                <a:schemeClr val="tx1"/>
              </a:solidFill>
            </a:ln>
          </c:spPr>
          <c:invertIfNegative val="0"/>
          <c:dLbls>
            <c:dLbl>
              <c:idx val="0"/>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C43B-4496-B558-7D63A7800945}"/>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C43B-4496-B558-7D63A7800945}"/>
                </c:ext>
              </c:extLst>
            </c:dLbl>
            <c:dLbl>
              <c:idx val="2"/>
              <c:tx>
                <c:rich>
                  <a:bodyPr/>
                  <a:lstStyle/>
                  <a:p>
                    <a:r>
                      <a:rPr lang="en-US"/>
                      <a:t>ba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C43B-4496-B558-7D63A7800945}"/>
                </c:ext>
              </c:extLst>
            </c:dLbl>
            <c:dLbl>
              <c:idx val="3"/>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C43B-4496-B558-7D63A7800945}"/>
                </c:ext>
              </c:extLst>
            </c:dLbl>
            <c:dLbl>
              <c:idx val="4"/>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C43B-4496-B558-7D63A7800945}"/>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summary!$A$15:$A$19</c:f>
              <c:strCache>
                <c:ptCount val="5"/>
                <c:pt idx="0">
                  <c:v>GB4</c:v>
                </c:pt>
                <c:pt idx="1">
                  <c:v>GB12</c:v>
                </c:pt>
                <c:pt idx="2">
                  <c:v>GB20</c:v>
                </c:pt>
                <c:pt idx="3">
                  <c:v>WS</c:v>
                </c:pt>
                <c:pt idx="4">
                  <c:v>NS</c:v>
                </c:pt>
              </c:strCache>
            </c:strRef>
          </c:cat>
          <c:val>
            <c:numRef>
              <c:f>summary!$C$15:$C$19</c:f>
              <c:numCache>
                <c:formatCode>General</c:formatCode>
                <c:ptCount val="5"/>
                <c:pt idx="0">
                  <c:v>0.54120000000000001</c:v>
                </c:pt>
                <c:pt idx="1">
                  <c:v>1.6867000000000001</c:v>
                </c:pt>
                <c:pt idx="2">
                  <c:v>1.2475999999999992</c:v>
                </c:pt>
                <c:pt idx="3">
                  <c:v>0.68820000000000003</c:v>
                </c:pt>
                <c:pt idx="4">
                  <c:v>1.0874999999999992</c:v>
                </c:pt>
              </c:numCache>
            </c:numRef>
          </c:val>
          <c:extLst>
            <c:ext xmlns:c16="http://schemas.microsoft.com/office/drawing/2014/chart" uri="{C3380CC4-5D6E-409C-BE32-E72D297353CC}">
              <c16:uniqueId val="{0000000B-C43B-4496-B558-7D63A7800945}"/>
            </c:ext>
          </c:extLst>
        </c:ser>
        <c:dLbls>
          <c:showLegendKey val="0"/>
          <c:showVal val="1"/>
          <c:showCatName val="0"/>
          <c:showSerName val="0"/>
          <c:showPercent val="0"/>
          <c:showBubbleSize val="0"/>
        </c:dLbls>
        <c:gapWidth val="150"/>
        <c:axId val="225486720"/>
        <c:axId val="225501184"/>
      </c:barChart>
      <c:catAx>
        <c:axId val="225486720"/>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mn-ea"/>
                    <a:cs typeface="Times New Roman" panose="02020603050405020304" charset="0"/>
                  </a:defRPr>
                </a:pPr>
                <a:r>
                  <a:rPr lang="en-US"/>
                  <a:t>Treatment</a:t>
                </a:r>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s-MX"/>
          </a:p>
        </c:txPr>
        <c:crossAx val="225501184"/>
        <c:crosses val="autoZero"/>
        <c:auto val="1"/>
        <c:lblAlgn val="ctr"/>
        <c:lblOffset val="100"/>
        <c:noMultiLvlLbl val="0"/>
      </c:catAx>
      <c:valAx>
        <c:axId val="225501184"/>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mn-ea"/>
                    <a:cs typeface="Times New Roman" panose="02020603050405020304" charset="0"/>
                  </a:defRPr>
                </a:pPr>
                <a:r>
                  <a:rPr lang="en-US" sz="1000" b="1" i="0" u="none" strike="noStrike" baseline="0">
                    <a:effectLst/>
                  </a:rPr>
                  <a:t>Photosynthetic Rate (µmol m</a:t>
                </a:r>
                <a:r>
                  <a:rPr lang="en-US" sz="1000" b="1" i="0" u="none" strike="noStrike" baseline="30000">
                    <a:effectLst/>
                  </a:rPr>
                  <a:t>-2</a:t>
                </a:r>
                <a:r>
                  <a:rPr lang="en-US" sz="1000" b="1" i="0" u="none" strike="noStrike" baseline="0">
                    <a:effectLst/>
                  </a:rPr>
                  <a:t> s</a:t>
                </a:r>
                <a:r>
                  <a:rPr lang="en-US" sz="1000" b="1" i="0" u="none" strike="noStrike" baseline="30000">
                    <a:effectLst/>
                  </a:rPr>
                  <a:t>-1</a:t>
                </a:r>
                <a:r>
                  <a:rPr lang="en-US" sz="1000" b="1" i="0" u="none" strike="noStrike" baseline="0">
                    <a:effectLst/>
                  </a:rPr>
                  <a:t>)</a:t>
                </a:r>
                <a:endParaRPr lang="en-US"/>
              </a:p>
            </c:rich>
          </c:tx>
          <c:layout>
            <c:manualLayout>
              <c:xMode val="edge"/>
              <c:yMode val="edge"/>
              <c:x val="5.5370297462817228E-2"/>
              <c:y val="0.10427275088907408"/>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s-MX"/>
          </a:p>
        </c:txPr>
        <c:crossAx val="225486720"/>
        <c:crosses val="autoZero"/>
        <c:crossBetween val="between"/>
      </c:valAx>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s-MX"/>
        </a:p>
      </c:txPr>
    </c:legend>
    <c:plotVisOnly val="1"/>
    <c:dispBlanksAs val="gap"/>
    <c:showDLblsOverMax val="0"/>
  </c:chart>
  <c:spPr>
    <a:ln w="9525" cap="flat" cmpd="sng" algn="ctr">
      <a:solidFill>
        <a:schemeClr val="bg1">
          <a:lumMod val="65000"/>
        </a:schemeClr>
      </a:solidFill>
      <a:prstDash val="solid"/>
      <a:round/>
    </a:ln>
  </c:spPr>
  <c:txPr>
    <a:bodyPr/>
    <a:lstStyle/>
    <a:p>
      <a:pPr>
        <a:defRPr lang="en-US">
          <a:latin typeface="Times New Roman" panose="02020603050405020304" charset="0"/>
          <a:cs typeface="Times New Roman" panose="0202060305040502030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339490545943411"/>
          <c:y val="0.112098378140979"/>
          <c:w val="0.62836554521593857"/>
          <c:h val="0.57193420543547746"/>
        </c:manualLayout>
      </c:layout>
      <c:barChart>
        <c:barDir val="col"/>
        <c:grouping val="clustered"/>
        <c:varyColors val="0"/>
        <c:ser>
          <c:idx val="0"/>
          <c:order val="0"/>
          <c:tx>
            <c:strRef>
              <c:f>Gs</c:f>
              <c:strCache>
                <c:ptCount val="1"/>
                <c:pt idx="0">
                  <c:v>Gs</c:v>
                </c:pt>
              </c:strCache>
            </c:strRef>
          </c:tx>
          <c:spPr>
            <a:pattFill prst="ltDnDiag">
              <a:fgClr>
                <a:sysClr val="windowText" lastClr="000000"/>
              </a:fgClr>
              <a:bgClr>
                <a:schemeClr val="bg1"/>
              </a:bgClr>
            </a:pattFill>
            <a:ln>
              <a:solidFill>
                <a:schemeClr val="tx1"/>
              </a:solidFill>
            </a:ln>
          </c:spPr>
          <c:invertIfNegative val="0"/>
          <c:dLbls>
            <c:dLbl>
              <c:idx val="0"/>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F0F3-4AA5-A655-DE2531FB977D}"/>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F0F3-4AA5-A655-DE2531FB977D}"/>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F0F3-4AA5-A655-DE2531FB977D}"/>
                </c:ext>
              </c:extLst>
            </c:dLbl>
            <c:dLbl>
              <c:idx val="3"/>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F0F3-4AA5-A655-DE2531FB977D}"/>
                </c:ext>
              </c:extLst>
            </c:dLbl>
            <c:dLbl>
              <c:idx val="4"/>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F0F3-4AA5-A655-DE2531FB977D}"/>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summary!$A$7:$A$11</c:f>
              <c:strCache>
                <c:ptCount val="5"/>
                <c:pt idx="0">
                  <c:v>GB4</c:v>
                </c:pt>
                <c:pt idx="1">
                  <c:v>GB12</c:v>
                </c:pt>
                <c:pt idx="2">
                  <c:v>GB20</c:v>
                </c:pt>
                <c:pt idx="3">
                  <c:v>WS</c:v>
                </c:pt>
                <c:pt idx="4">
                  <c:v>NS</c:v>
                </c:pt>
              </c:strCache>
            </c:strRef>
          </c:cat>
          <c:val>
            <c:numRef>
              <c:f>summary!$B$7:$B$11</c:f>
              <c:numCache>
                <c:formatCode>General</c:formatCode>
                <c:ptCount val="5"/>
                <c:pt idx="0">
                  <c:v>14.931000000000001</c:v>
                </c:pt>
                <c:pt idx="1">
                  <c:v>26.911999999999999</c:v>
                </c:pt>
                <c:pt idx="2">
                  <c:v>29.564</c:v>
                </c:pt>
                <c:pt idx="3">
                  <c:v>18.321000000000005</c:v>
                </c:pt>
                <c:pt idx="4">
                  <c:v>17.355</c:v>
                </c:pt>
              </c:numCache>
            </c:numRef>
          </c:val>
          <c:extLst>
            <c:ext xmlns:c16="http://schemas.microsoft.com/office/drawing/2014/chart" uri="{C3380CC4-5D6E-409C-BE32-E72D297353CC}">
              <c16:uniqueId val="{00000005-F0F3-4AA5-A655-DE2531FB977D}"/>
            </c:ext>
          </c:extLst>
        </c:ser>
        <c:dLbls>
          <c:showLegendKey val="0"/>
          <c:showVal val="1"/>
          <c:showCatName val="0"/>
          <c:showSerName val="0"/>
          <c:showPercent val="0"/>
          <c:showBubbleSize val="0"/>
        </c:dLbls>
        <c:gapWidth val="150"/>
        <c:axId val="225542144"/>
        <c:axId val="225544064"/>
      </c:barChart>
      <c:catAx>
        <c:axId val="225542144"/>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mn-ea"/>
                    <a:cs typeface="Times New Roman" panose="02020603050405020304" charset="0"/>
                  </a:defRPr>
                </a:pPr>
                <a:r>
                  <a:rPr lang="en-US"/>
                  <a:t>Treatment</a:t>
                </a:r>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s-MX"/>
          </a:p>
        </c:txPr>
        <c:crossAx val="225544064"/>
        <c:crosses val="autoZero"/>
        <c:auto val="1"/>
        <c:lblAlgn val="ctr"/>
        <c:lblOffset val="100"/>
        <c:noMultiLvlLbl val="0"/>
      </c:catAx>
      <c:valAx>
        <c:axId val="225544064"/>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mn-ea"/>
                    <a:cs typeface="Times New Roman" panose="02020603050405020304" charset="0"/>
                  </a:defRPr>
                </a:pPr>
                <a:r>
                  <a:rPr lang="en-US" sz="1000" b="1" i="0" baseline="0">
                    <a:effectLst/>
                  </a:rPr>
                  <a:t>Stomatal Conductance (mmol H</a:t>
                </a:r>
                <a:r>
                  <a:rPr lang="en-US" sz="1000" b="1" i="0" baseline="-25000">
                    <a:effectLst/>
                  </a:rPr>
                  <a:t>2</a:t>
                </a:r>
                <a:r>
                  <a:rPr lang="en-US" sz="1000" b="1" i="0" baseline="0">
                    <a:effectLst/>
                  </a:rPr>
                  <a:t>O m</a:t>
                </a:r>
                <a:r>
                  <a:rPr lang="en-US" sz="1000" b="1" i="0" baseline="30000">
                    <a:effectLst/>
                  </a:rPr>
                  <a:t>-2</a:t>
                </a:r>
                <a:r>
                  <a:rPr lang="en-US" sz="1000" b="1" i="0" baseline="0">
                    <a:effectLst/>
                  </a:rPr>
                  <a:t> s</a:t>
                </a:r>
                <a:r>
                  <a:rPr lang="en-US" sz="1000" b="1" i="0" baseline="30000">
                    <a:effectLst/>
                  </a:rPr>
                  <a:t>-1</a:t>
                </a:r>
                <a:r>
                  <a:rPr lang="en-US" sz="1000" b="1" i="0" baseline="0">
                    <a:effectLst/>
                  </a:rPr>
                  <a:t>)</a:t>
                </a:r>
                <a:endParaRPr lang="en-US" sz="1000">
                  <a:effectLst/>
                </a:endParaRPr>
              </a:p>
            </c:rich>
          </c:tx>
          <c:layout>
            <c:manualLayout>
              <c:xMode val="edge"/>
              <c:yMode val="edge"/>
              <c:x val="7.9551652495766192E-2"/>
              <c:y val="1.800078133945832E-2"/>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s-MX"/>
          </a:p>
        </c:txPr>
        <c:crossAx val="225542144"/>
        <c:crosses val="autoZero"/>
        <c:crossBetween val="between"/>
      </c:valAx>
    </c:plotArea>
    <c:plotVisOnly val="1"/>
    <c:dispBlanksAs val="gap"/>
    <c:showDLblsOverMax val="0"/>
  </c:chart>
  <c:spPr>
    <a:ln w="9525" cap="flat" cmpd="sng" algn="ctr">
      <a:solidFill>
        <a:schemeClr val="bg1">
          <a:lumMod val="65000"/>
        </a:schemeClr>
      </a:solidFill>
      <a:prstDash val="solid"/>
      <a:round/>
    </a:ln>
  </c:spPr>
  <c:txPr>
    <a:bodyPr/>
    <a:lstStyle/>
    <a:p>
      <a:pPr>
        <a:defRPr lang="en-US">
          <a:latin typeface="Times New Roman" panose="02020603050405020304" charset="0"/>
          <a:cs typeface="Times New Roman" panose="0202060305040502030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172462817147911"/>
          <c:y val="0.171770924467775"/>
          <c:w val="0.67024890638670476"/>
          <c:h val="0.65375729075532341"/>
        </c:manualLayout>
      </c:layout>
      <c:barChart>
        <c:barDir val="col"/>
        <c:grouping val="clustered"/>
        <c:varyColors val="0"/>
        <c:ser>
          <c:idx val="0"/>
          <c:order val="0"/>
          <c:tx>
            <c:strRef>
              <c:f>TRI2023</c:f>
              <c:strCache>
                <c:ptCount val="1"/>
                <c:pt idx="0">
                  <c:v>TRI2023</c:v>
                </c:pt>
              </c:strCache>
            </c:strRef>
          </c:tx>
          <c:spPr>
            <a:pattFill prst="wdDnDiag">
              <a:fgClr>
                <a:schemeClr val="tx1"/>
              </a:fgClr>
              <a:bgClr>
                <a:schemeClr val="bg1"/>
              </a:bgClr>
            </a:pattFill>
            <a:ln>
              <a:solidFill>
                <a:schemeClr val="tx1"/>
              </a:solidFill>
            </a:ln>
          </c:spPr>
          <c:invertIfNegative val="0"/>
          <c:dLbls>
            <c:dLbl>
              <c:idx val="0"/>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AA56-4A8B-A9DE-56414C97ABDB}"/>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AA56-4A8B-A9DE-56414C97ABDB}"/>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AA56-4A8B-A9DE-56414C97ABDB}"/>
                </c:ext>
              </c:extLst>
            </c:dLbl>
            <c:dLbl>
              <c:idx val="3"/>
              <c:tx>
                <c:rich>
                  <a:bodyPr/>
                  <a:lstStyle/>
                  <a:p>
                    <a:r>
                      <a:rPr lang="en-US"/>
                      <a:t>ba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AA56-4A8B-A9DE-56414C97ABDB}"/>
                </c:ext>
              </c:extLst>
            </c:dLbl>
            <c:dLbl>
              <c:idx val="4"/>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AA56-4A8B-A9DE-56414C97ABDB}"/>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summary!$A$15:$A$19</c:f>
              <c:strCache>
                <c:ptCount val="5"/>
                <c:pt idx="0">
                  <c:v>GB4</c:v>
                </c:pt>
                <c:pt idx="1">
                  <c:v>GB12</c:v>
                </c:pt>
                <c:pt idx="2">
                  <c:v>GB20</c:v>
                </c:pt>
                <c:pt idx="3">
                  <c:v>WS</c:v>
                </c:pt>
                <c:pt idx="4">
                  <c:v>NS</c:v>
                </c:pt>
              </c:strCache>
            </c:strRef>
          </c:cat>
          <c:val>
            <c:numRef>
              <c:f>summary!$B$15:$B$19</c:f>
              <c:numCache>
                <c:formatCode>General</c:formatCode>
                <c:ptCount val="5"/>
                <c:pt idx="0">
                  <c:v>17.582999999999981</c:v>
                </c:pt>
                <c:pt idx="1">
                  <c:v>31</c:v>
                </c:pt>
                <c:pt idx="2">
                  <c:v>31.167000000000005</c:v>
                </c:pt>
                <c:pt idx="3">
                  <c:v>24.818000000000001</c:v>
                </c:pt>
                <c:pt idx="4">
                  <c:v>11.067</c:v>
                </c:pt>
              </c:numCache>
            </c:numRef>
          </c:val>
          <c:extLst>
            <c:ext xmlns:c16="http://schemas.microsoft.com/office/drawing/2014/chart" uri="{C3380CC4-5D6E-409C-BE32-E72D297353CC}">
              <c16:uniqueId val="{00000005-AA56-4A8B-A9DE-56414C97ABDB}"/>
            </c:ext>
          </c:extLst>
        </c:ser>
        <c:ser>
          <c:idx val="1"/>
          <c:order val="1"/>
          <c:tx>
            <c:strRef>
              <c:f>TRI2025</c:f>
              <c:strCache>
                <c:ptCount val="1"/>
                <c:pt idx="0">
                  <c:v>TRI2025</c:v>
                </c:pt>
              </c:strCache>
            </c:strRef>
          </c:tx>
          <c:spPr>
            <a:pattFill prst="narVert">
              <a:fgClr>
                <a:schemeClr val="tx1"/>
              </a:fgClr>
              <a:bgClr>
                <a:schemeClr val="bg1"/>
              </a:bgClr>
            </a:pattFill>
            <a:ln>
              <a:solidFill>
                <a:schemeClr val="tx1"/>
              </a:solidFill>
            </a:ln>
          </c:spPr>
          <c:invertIfNegative val="0"/>
          <c:dLbls>
            <c:dLbl>
              <c:idx val="0"/>
              <c:layout>
                <c:manualLayout>
                  <c:x val="0"/>
                  <c:y val="-9.2592592592593316E-3"/>
                </c:manualLayout>
              </c:layout>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AA56-4A8B-A9DE-56414C97ABDB}"/>
                </c:ext>
              </c:extLst>
            </c:dLbl>
            <c:dLbl>
              <c:idx val="1"/>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AA56-4A8B-A9DE-56414C97ABDB}"/>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AA56-4A8B-A9DE-56414C97ABDB}"/>
                </c:ext>
              </c:extLst>
            </c:dLbl>
            <c:dLbl>
              <c:idx val="3"/>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AA56-4A8B-A9DE-56414C97ABDB}"/>
                </c:ext>
              </c:extLst>
            </c:dLbl>
            <c:dLbl>
              <c:idx val="4"/>
              <c:tx>
                <c:rich>
                  <a:bodyPr/>
                  <a:lstStyle/>
                  <a:p>
                    <a:r>
                      <a:rPr lang="en-US"/>
                      <a:t>ba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AA56-4A8B-A9DE-56414C97ABDB}"/>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summary!$A$15:$A$19</c:f>
              <c:strCache>
                <c:ptCount val="5"/>
                <c:pt idx="0">
                  <c:v>GB4</c:v>
                </c:pt>
                <c:pt idx="1">
                  <c:v>GB12</c:v>
                </c:pt>
                <c:pt idx="2">
                  <c:v>GB20</c:v>
                </c:pt>
                <c:pt idx="3">
                  <c:v>WS</c:v>
                </c:pt>
                <c:pt idx="4">
                  <c:v>NS</c:v>
                </c:pt>
              </c:strCache>
            </c:strRef>
          </c:cat>
          <c:val>
            <c:numRef>
              <c:f>summary!$C$15:$C$19</c:f>
              <c:numCache>
                <c:formatCode>General</c:formatCode>
                <c:ptCount val="5"/>
                <c:pt idx="0">
                  <c:v>13.059000000000006</c:v>
                </c:pt>
                <c:pt idx="1">
                  <c:v>21.733000000000001</c:v>
                </c:pt>
                <c:pt idx="2">
                  <c:v>28.19</c:v>
                </c:pt>
                <c:pt idx="3">
                  <c:v>14.118</c:v>
                </c:pt>
                <c:pt idx="4">
                  <c:v>23.25</c:v>
                </c:pt>
              </c:numCache>
            </c:numRef>
          </c:val>
          <c:extLst>
            <c:ext xmlns:c16="http://schemas.microsoft.com/office/drawing/2014/chart" uri="{C3380CC4-5D6E-409C-BE32-E72D297353CC}">
              <c16:uniqueId val="{0000000B-AA56-4A8B-A9DE-56414C97ABDB}"/>
            </c:ext>
          </c:extLst>
        </c:ser>
        <c:dLbls>
          <c:showLegendKey val="0"/>
          <c:showVal val="1"/>
          <c:showCatName val="0"/>
          <c:showSerName val="0"/>
          <c:showPercent val="0"/>
          <c:showBubbleSize val="0"/>
        </c:dLbls>
        <c:gapWidth val="150"/>
        <c:axId val="225565312"/>
        <c:axId val="225665792"/>
      </c:barChart>
      <c:catAx>
        <c:axId val="225565312"/>
        <c:scaling>
          <c:orientation val="minMax"/>
        </c:scaling>
        <c:delete val="0"/>
        <c:axPos val="b"/>
        <c:title>
          <c:tx>
            <c:rich>
              <a:bodyPr rot="0" spcFirstLastPara="0" vertOverflow="ellipsis" vert="horz" wrap="square" anchor="ctr" anchorCtr="1"/>
              <a:lstStyle/>
              <a:p>
                <a:pPr>
                  <a:defRPr lang="en-US" sz="10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a:t>Treatment</a:t>
                </a:r>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s-MX"/>
          </a:p>
        </c:txPr>
        <c:crossAx val="225665792"/>
        <c:crosses val="autoZero"/>
        <c:auto val="1"/>
        <c:lblAlgn val="ctr"/>
        <c:lblOffset val="100"/>
        <c:noMultiLvlLbl val="0"/>
      </c:catAx>
      <c:valAx>
        <c:axId val="225665792"/>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sz="1000" b="1" i="0" u="none" strike="noStrike" baseline="0">
                    <a:effectLst/>
                  </a:rPr>
                  <a:t>Stomatal Conductance (mmol H</a:t>
                </a:r>
                <a:r>
                  <a:rPr lang="en-US" sz="1000" b="1" i="0" u="none" strike="noStrike" baseline="-25000">
                    <a:effectLst/>
                  </a:rPr>
                  <a:t>2</a:t>
                </a:r>
                <a:r>
                  <a:rPr lang="en-US" sz="1000" b="1" i="0" u="none" strike="noStrike" baseline="0">
                    <a:effectLst/>
                  </a:rPr>
                  <a:t>O m</a:t>
                </a:r>
                <a:r>
                  <a:rPr lang="en-US" sz="1000" b="1" i="0" u="none" strike="noStrike" baseline="30000">
                    <a:effectLst/>
                  </a:rPr>
                  <a:t>-2</a:t>
                </a:r>
                <a:r>
                  <a:rPr lang="en-US" sz="1000" b="1" i="0" u="none" strike="noStrike" baseline="0">
                    <a:effectLst/>
                  </a:rPr>
                  <a:t> s</a:t>
                </a:r>
                <a:r>
                  <a:rPr lang="en-US" sz="1000" b="1" i="0" u="none" strike="noStrike" baseline="30000">
                    <a:effectLst/>
                  </a:rPr>
                  <a:t>-1</a:t>
                </a:r>
                <a:r>
                  <a:rPr lang="en-US" sz="1000" b="1" i="0" u="none" strike="noStrike" baseline="0">
                    <a:effectLst/>
                  </a:rPr>
                  <a:t>)</a:t>
                </a:r>
                <a:endParaRPr lang="en-US"/>
              </a:p>
            </c:rich>
          </c:tx>
          <c:layout>
            <c:manualLayout>
              <c:xMode val="edge"/>
              <c:yMode val="edge"/>
              <c:x val="3.9659763960981115E-2"/>
              <c:y val="0.16109479642446811"/>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s-MX"/>
          </a:p>
        </c:txPr>
        <c:crossAx val="225565312"/>
        <c:crosses val="autoZero"/>
        <c:crossBetween val="between"/>
      </c:valAx>
    </c:plotArea>
    <c:legend>
      <c:legendPos val="r"/>
      <c:overlay val="0"/>
      <c:txPr>
        <a:bodyPr rot="0" spcFirstLastPara="0" vertOverflow="ellipsis" vert="horz" wrap="square" anchor="ctr" anchorCtr="1"/>
        <a:lstStyle/>
        <a:p>
          <a:pPr>
            <a:defRPr lang="en-US" sz="10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s-MX"/>
        </a:p>
      </c:txPr>
    </c:legend>
    <c:plotVisOnly val="1"/>
    <c:dispBlanksAs val="gap"/>
    <c:showDLblsOverMax val="0"/>
  </c:chart>
  <c:spPr>
    <a:ln w="9525" cap="flat" cmpd="sng" algn="ctr">
      <a:solidFill>
        <a:schemeClr val="bg1">
          <a:lumMod val="65000"/>
        </a:schemeClr>
      </a:solidFill>
      <a:prstDash val="solid"/>
      <a:round/>
    </a:ln>
  </c:spPr>
  <c:txPr>
    <a:bodyPr/>
    <a:lstStyle/>
    <a:p>
      <a:pPr>
        <a:defRPr lang="en-US">
          <a:solidFill>
            <a:sysClr val="windowText" lastClr="000000"/>
          </a:solidFill>
          <a:latin typeface="Times New Roman" panose="02020603050405020304" charset="0"/>
          <a:cs typeface="Times New Roman" panose="0202060305040502030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650218722659711"/>
          <c:y val="5.1400554097404495E-2"/>
          <c:w val="0.67158245844269504"/>
          <c:h val="0.70005358705161858"/>
        </c:manualLayout>
      </c:layout>
      <c:barChart>
        <c:barDir val="col"/>
        <c:grouping val="clustered"/>
        <c:varyColors val="0"/>
        <c:ser>
          <c:idx val="0"/>
          <c:order val="0"/>
          <c:spPr>
            <a:pattFill prst="ltDnDiag">
              <a:fgClr>
                <a:sysClr val="windowText" lastClr="000000"/>
              </a:fgClr>
              <a:bgClr>
                <a:schemeClr val="bg1"/>
              </a:bgClr>
            </a:pattFill>
            <a:ln>
              <a:solidFill>
                <a:schemeClr val="tx1"/>
              </a:solidFill>
            </a:ln>
          </c:spPr>
          <c:invertIfNegative val="0"/>
          <c:dLbls>
            <c:dLbl>
              <c:idx val="0"/>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CE05-4C71-8BE8-CB879BD61B35}"/>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CE05-4C71-8BE8-CB879BD61B35}"/>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CE05-4C71-8BE8-CB879BD61B35}"/>
                </c:ext>
              </c:extLst>
            </c:dLbl>
            <c:dLbl>
              <c:idx val="3"/>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CE05-4C71-8BE8-CB879BD61B35}"/>
                </c:ext>
              </c:extLst>
            </c:dLbl>
            <c:dLbl>
              <c:idx val="4"/>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CE05-4C71-8BE8-CB879BD61B35}"/>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summary!$A$6:$A$10</c:f>
              <c:strCache>
                <c:ptCount val="5"/>
                <c:pt idx="0">
                  <c:v>GB4</c:v>
                </c:pt>
                <c:pt idx="1">
                  <c:v>GB12</c:v>
                </c:pt>
                <c:pt idx="2">
                  <c:v>GB20</c:v>
                </c:pt>
                <c:pt idx="3">
                  <c:v>WS</c:v>
                </c:pt>
                <c:pt idx="4">
                  <c:v>NS</c:v>
                </c:pt>
              </c:strCache>
            </c:strRef>
          </c:cat>
          <c:val>
            <c:numRef>
              <c:f>summary!$B$6:$B$10</c:f>
              <c:numCache>
                <c:formatCode>General</c:formatCode>
                <c:ptCount val="5"/>
                <c:pt idx="0">
                  <c:v>0.63000000000000045</c:v>
                </c:pt>
                <c:pt idx="1">
                  <c:v>0.98119999999999996</c:v>
                </c:pt>
                <c:pt idx="2">
                  <c:v>1.1114999999999993</c:v>
                </c:pt>
                <c:pt idx="3">
                  <c:v>0.70110000000000039</c:v>
                </c:pt>
                <c:pt idx="4">
                  <c:v>0.69970000000000043</c:v>
                </c:pt>
              </c:numCache>
            </c:numRef>
          </c:val>
          <c:extLst>
            <c:ext xmlns:c16="http://schemas.microsoft.com/office/drawing/2014/chart" uri="{C3380CC4-5D6E-409C-BE32-E72D297353CC}">
              <c16:uniqueId val="{00000005-CE05-4C71-8BE8-CB879BD61B35}"/>
            </c:ext>
          </c:extLst>
        </c:ser>
        <c:dLbls>
          <c:showLegendKey val="0"/>
          <c:showVal val="1"/>
          <c:showCatName val="0"/>
          <c:showSerName val="0"/>
          <c:showPercent val="0"/>
          <c:showBubbleSize val="0"/>
        </c:dLbls>
        <c:gapWidth val="150"/>
        <c:axId val="225686272"/>
        <c:axId val="225688192"/>
      </c:barChart>
      <c:catAx>
        <c:axId val="225686272"/>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mn-ea"/>
                    <a:cs typeface="Times New Roman" panose="02020603050405020304" charset="0"/>
                  </a:defRPr>
                </a:pPr>
                <a:r>
                  <a:rPr lang="en-US"/>
                  <a:t>Treatment</a:t>
                </a:r>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s-MX"/>
          </a:p>
        </c:txPr>
        <c:crossAx val="225688192"/>
        <c:crosses val="autoZero"/>
        <c:auto val="1"/>
        <c:lblAlgn val="ctr"/>
        <c:lblOffset val="100"/>
        <c:noMultiLvlLbl val="0"/>
      </c:catAx>
      <c:valAx>
        <c:axId val="225688192"/>
        <c:scaling>
          <c:orientation val="minMax"/>
        </c:scaling>
        <c:delete val="0"/>
        <c:axPos val="l"/>
        <c:title>
          <c:tx>
            <c:rich>
              <a:bodyPr rot="-5400000" spcFirstLastPara="0" vertOverflow="ellipsis" vert="horz" wrap="square" anchor="ctr" anchorCtr="1"/>
              <a:lstStyle/>
              <a:p>
                <a:pPr algn="ctr" rtl="0">
                  <a:defRPr lang="en-US" sz="1000" b="1" i="0" u="none" strike="noStrike" kern="1200" baseline="0">
                    <a:solidFill>
                      <a:schemeClr val="tx1"/>
                    </a:solidFill>
                    <a:latin typeface="Times New Roman" panose="02020603050405020304" charset="0"/>
                    <a:ea typeface="+mn-ea"/>
                    <a:cs typeface="Times New Roman" panose="02020603050405020304" charset="0"/>
                  </a:defRPr>
                </a:pPr>
                <a:r>
                  <a:rPr lang="en-US"/>
                  <a:t>Transpiration Rate (mmol H</a:t>
                </a:r>
                <a:r>
                  <a:rPr lang="en-US" baseline="-25000"/>
                  <a:t>2</a:t>
                </a:r>
                <a:r>
                  <a:rPr lang="en-US"/>
                  <a:t>O m</a:t>
                </a:r>
                <a:r>
                  <a:rPr lang="en-US" baseline="30000"/>
                  <a:t>-2</a:t>
                </a:r>
                <a:r>
                  <a:rPr lang="en-US"/>
                  <a:t> s</a:t>
                </a:r>
                <a:r>
                  <a:rPr lang="en-US" baseline="30000"/>
                  <a:t>-1</a:t>
                </a:r>
                <a:r>
                  <a:rPr lang="en-US"/>
                  <a:t>)</a:t>
                </a:r>
              </a:p>
              <a:p>
                <a:pPr algn="ctr" rtl="0">
                  <a:defRPr lang="en-US" sz="1000" b="1" i="0" u="none" strike="noStrike" kern="1200" baseline="0">
                    <a:solidFill>
                      <a:schemeClr val="tx1"/>
                    </a:solidFill>
                    <a:latin typeface="Times New Roman" panose="02020603050405020304" charset="0"/>
                    <a:ea typeface="+mn-ea"/>
                    <a:cs typeface="Times New Roman" panose="02020603050405020304" charset="0"/>
                  </a:defRPr>
                </a:pPr>
                <a:endParaRPr lang="en-US"/>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s-MX"/>
          </a:p>
        </c:txPr>
        <c:crossAx val="225686272"/>
        <c:crosses val="autoZero"/>
        <c:crossBetween val="between"/>
      </c:valAx>
    </c:plotArea>
    <c:plotVisOnly val="1"/>
    <c:dispBlanksAs val="gap"/>
    <c:showDLblsOverMax val="0"/>
  </c:chart>
  <c:spPr>
    <a:ln w="9525" cap="flat" cmpd="sng" algn="ctr">
      <a:solidFill>
        <a:schemeClr val="bg1">
          <a:lumMod val="65000"/>
        </a:schemeClr>
      </a:solidFill>
      <a:prstDash val="solid"/>
      <a:round/>
    </a:ln>
  </c:spPr>
  <c:txPr>
    <a:bodyPr/>
    <a:lstStyle/>
    <a:p>
      <a:pPr>
        <a:defRPr lang="en-US">
          <a:latin typeface="Times New Roman" panose="02020603050405020304" charset="0"/>
          <a:cs typeface="Times New Roman" panose="0202060305040502030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761329833770811"/>
          <c:y val="0.16739923526272321"/>
          <c:w val="0.6493602362204739"/>
          <c:h val="0.6266967151390207"/>
        </c:manualLayout>
      </c:layout>
      <c:barChart>
        <c:barDir val="col"/>
        <c:grouping val="clustered"/>
        <c:varyColors val="0"/>
        <c:ser>
          <c:idx val="0"/>
          <c:order val="0"/>
          <c:tx>
            <c:strRef>
              <c:f>summary!$B$14</c:f>
              <c:strCache>
                <c:ptCount val="1"/>
                <c:pt idx="0">
                  <c:v>TRI2023</c:v>
                </c:pt>
              </c:strCache>
            </c:strRef>
          </c:tx>
          <c:spPr>
            <a:pattFill prst="wdDnDiag">
              <a:fgClr>
                <a:schemeClr val="tx1"/>
              </a:fgClr>
              <a:bgClr>
                <a:schemeClr val="bg1"/>
              </a:bgClr>
            </a:pattFill>
            <a:ln>
              <a:solidFill>
                <a:schemeClr val="tx1"/>
              </a:solidFill>
            </a:ln>
          </c:spPr>
          <c:invertIfNegative val="0"/>
          <c:dLbls>
            <c:dLbl>
              <c:idx val="0"/>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A25B-4ADD-BFF8-BB7B73B7AE5F}"/>
                </c:ext>
              </c:extLst>
            </c:dLbl>
            <c:dLbl>
              <c:idx val="1"/>
              <c:tx>
                <c:rich>
                  <a:bodyPr/>
                  <a:lstStyle/>
                  <a:p>
                    <a:r>
                      <a:rPr lang="en-US"/>
                      <a:t>ba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A25B-4ADD-BFF8-BB7B73B7AE5F}"/>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A25B-4ADD-BFF8-BB7B73B7AE5F}"/>
                </c:ext>
              </c:extLst>
            </c:dLbl>
            <c:dLbl>
              <c:idx val="3"/>
              <c:tx>
                <c:rich>
                  <a:bodyPr/>
                  <a:lstStyle/>
                  <a:p>
                    <a:r>
                      <a:rPr lang="en-US"/>
                      <a:t>ba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A25B-4ADD-BFF8-BB7B73B7AE5F}"/>
                </c:ext>
              </c:extLst>
            </c:dLbl>
            <c:dLbl>
              <c:idx val="4"/>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A25B-4ADD-BFF8-BB7B73B7AE5F}"/>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summary!$A$15:$A$19</c:f>
              <c:strCache>
                <c:ptCount val="5"/>
                <c:pt idx="0">
                  <c:v>GB4</c:v>
                </c:pt>
                <c:pt idx="1">
                  <c:v>GB12</c:v>
                </c:pt>
                <c:pt idx="2">
                  <c:v>GB20</c:v>
                </c:pt>
                <c:pt idx="3">
                  <c:v>WS</c:v>
                </c:pt>
                <c:pt idx="4">
                  <c:v>NS</c:v>
                </c:pt>
              </c:strCache>
            </c:strRef>
          </c:cat>
          <c:val>
            <c:numRef>
              <c:f>summary!$B$15:$B$19</c:f>
              <c:numCache>
                <c:formatCode>General</c:formatCode>
                <c:ptCount val="5"/>
                <c:pt idx="0">
                  <c:v>0.73670000000000047</c:v>
                </c:pt>
                <c:pt idx="1">
                  <c:v>1.0936999999999992</c:v>
                </c:pt>
                <c:pt idx="2">
                  <c:v>1.2138999999999986</c:v>
                </c:pt>
                <c:pt idx="3">
                  <c:v>0.94360000000000044</c:v>
                </c:pt>
                <c:pt idx="4">
                  <c:v>0.45670000000000005</c:v>
                </c:pt>
              </c:numCache>
            </c:numRef>
          </c:val>
          <c:extLst>
            <c:ext xmlns:c16="http://schemas.microsoft.com/office/drawing/2014/chart" uri="{C3380CC4-5D6E-409C-BE32-E72D297353CC}">
              <c16:uniqueId val="{00000005-A25B-4ADD-BFF8-BB7B73B7AE5F}"/>
            </c:ext>
          </c:extLst>
        </c:ser>
        <c:ser>
          <c:idx val="1"/>
          <c:order val="1"/>
          <c:tx>
            <c:strRef>
              <c:f>summary!$C$14</c:f>
              <c:strCache>
                <c:ptCount val="1"/>
                <c:pt idx="0">
                  <c:v>TRI2025</c:v>
                </c:pt>
              </c:strCache>
            </c:strRef>
          </c:tx>
          <c:spPr>
            <a:pattFill prst="narVert">
              <a:fgClr>
                <a:schemeClr val="tx1"/>
              </a:fgClr>
              <a:bgClr>
                <a:schemeClr val="bg1"/>
              </a:bgClr>
            </a:pattFill>
            <a:ln>
              <a:solidFill>
                <a:schemeClr val="tx1"/>
              </a:solidFill>
            </a:ln>
          </c:spPr>
          <c:invertIfNegative val="0"/>
          <c:dLbls>
            <c:dLbl>
              <c:idx val="0"/>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A25B-4ADD-BFF8-BB7B73B7AE5F}"/>
                </c:ext>
              </c:extLst>
            </c:dLbl>
            <c:dLbl>
              <c:idx val="1"/>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A25B-4ADD-BFF8-BB7B73B7AE5F}"/>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A25B-4ADD-BFF8-BB7B73B7AE5F}"/>
                </c:ext>
              </c:extLst>
            </c:dLbl>
            <c:dLbl>
              <c:idx val="3"/>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A25B-4ADD-BFF8-BB7B73B7AE5F}"/>
                </c:ext>
              </c:extLst>
            </c:dLbl>
            <c:dLbl>
              <c:idx val="4"/>
              <c:tx>
                <c:rich>
                  <a:bodyPr/>
                  <a:lstStyle/>
                  <a:p>
                    <a:r>
                      <a:rPr lang="en-US"/>
                      <a:t>ba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A25B-4ADD-BFF8-BB7B73B7AE5F}"/>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summary!$A$15:$A$19</c:f>
              <c:strCache>
                <c:ptCount val="5"/>
                <c:pt idx="0">
                  <c:v>GB4</c:v>
                </c:pt>
                <c:pt idx="1">
                  <c:v>GB12</c:v>
                </c:pt>
                <c:pt idx="2">
                  <c:v>GB20</c:v>
                </c:pt>
                <c:pt idx="3">
                  <c:v>WS</c:v>
                </c:pt>
                <c:pt idx="4">
                  <c:v>NS</c:v>
                </c:pt>
              </c:strCache>
            </c:strRef>
          </c:cat>
          <c:val>
            <c:numRef>
              <c:f>summary!$C$15:$C$19</c:f>
              <c:numCache>
                <c:formatCode>General</c:formatCode>
                <c:ptCount val="5"/>
                <c:pt idx="0">
                  <c:v>0.55471000000000004</c:v>
                </c:pt>
                <c:pt idx="1">
                  <c:v>0.83867000000000058</c:v>
                </c:pt>
                <c:pt idx="2">
                  <c:v>1.0238099999999992</c:v>
                </c:pt>
                <c:pt idx="3">
                  <c:v>0.54412000000000005</c:v>
                </c:pt>
                <c:pt idx="4">
                  <c:v>0.92749999999999999</c:v>
                </c:pt>
              </c:numCache>
            </c:numRef>
          </c:val>
          <c:extLst>
            <c:ext xmlns:c16="http://schemas.microsoft.com/office/drawing/2014/chart" uri="{C3380CC4-5D6E-409C-BE32-E72D297353CC}">
              <c16:uniqueId val="{0000000B-A25B-4ADD-BFF8-BB7B73B7AE5F}"/>
            </c:ext>
          </c:extLst>
        </c:ser>
        <c:dLbls>
          <c:showLegendKey val="0"/>
          <c:showVal val="1"/>
          <c:showCatName val="0"/>
          <c:showSerName val="0"/>
          <c:showPercent val="0"/>
          <c:showBubbleSize val="0"/>
        </c:dLbls>
        <c:gapWidth val="150"/>
        <c:axId val="225811840"/>
        <c:axId val="225830400"/>
      </c:barChart>
      <c:catAx>
        <c:axId val="225811840"/>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mn-ea"/>
                    <a:cs typeface="Times New Roman" panose="02020603050405020304" charset="0"/>
                  </a:defRPr>
                </a:pPr>
                <a:r>
                  <a:rPr lang="en-GB"/>
                  <a:t>Treatment</a:t>
                </a:r>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s-MX"/>
          </a:p>
        </c:txPr>
        <c:crossAx val="225830400"/>
        <c:crosses val="autoZero"/>
        <c:auto val="1"/>
        <c:lblAlgn val="ctr"/>
        <c:lblOffset val="100"/>
        <c:noMultiLvlLbl val="0"/>
      </c:catAx>
      <c:valAx>
        <c:axId val="225830400"/>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mn-ea"/>
                    <a:cs typeface="Times New Roman" panose="02020603050405020304" charset="0"/>
                  </a:defRPr>
                </a:pPr>
                <a:r>
                  <a:rPr lang="en-GB"/>
                  <a:t>Rate of Transpiration </a:t>
                </a:r>
              </a:p>
              <a:p>
                <a:pPr>
                  <a:defRPr lang="en-US" sz="1000" b="1" i="0" u="none" strike="noStrike" kern="1200" baseline="0">
                    <a:solidFill>
                      <a:schemeClr val="tx1"/>
                    </a:solidFill>
                    <a:latin typeface="Times New Roman" panose="02020603050405020304" charset="0"/>
                    <a:ea typeface="+mn-ea"/>
                    <a:cs typeface="Times New Roman" panose="02020603050405020304" charset="0"/>
                  </a:defRPr>
                </a:pPr>
                <a:r>
                  <a:rPr lang="en-GB"/>
                  <a:t>(µmol m-2 s-1)</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s-MX"/>
          </a:p>
        </c:txPr>
        <c:crossAx val="225811840"/>
        <c:crosses val="autoZero"/>
        <c:crossBetween val="between"/>
      </c:valAx>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s-MX"/>
        </a:p>
      </c:txPr>
    </c:legend>
    <c:plotVisOnly val="1"/>
    <c:dispBlanksAs val="gap"/>
    <c:showDLblsOverMax val="0"/>
  </c:chart>
  <c:spPr>
    <a:ln w="9525" cap="flat" cmpd="sng" algn="ctr">
      <a:solidFill>
        <a:schemeClr val="bg1">
          <a:lumMod val="65000"/>
        </a:schemeClr>
      </a:solidFill>
      <a:prstDash val="solid"/>
      <a:round/>
    </a:ln>
  </c:spPr>
  <c:txPr>
    <a:bodyPr/>
    <a:lstStyle/>
    <a:p>
      <a:pPr>
        <a:defRPr lang="en-US" sz="1000">
          <a:latin typeface="Times New Roman" panose="02020603050405020304" charset="0"/>
          <a:cs typeface="Times New Roman" panose="02020603050405020304" charset="0"/>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393307086614222"/>
          <c:y val="6.9919072615922992E-2"/>
          <c:w val="0.65748490813648341"/>
          <c:h val="0.67690543890347232"/>
        </c:manualLayout>
      </c:layout>
      <c:barChart>
        <c:barDir val="col"/>
        <c:grouping val="clustered"/>
        <c:varyColors val="0"/>
        <c:ser>
          <c:idx val="0"/>
          <c:order val="0"/>
          <c:tx>
            <c:strRef>
              <c:f>TRI2023</c:f>
              <c:strCache>
                <c:ptCount val="1"/>
                <c:pt idx="0">
                  <c:v>TRI2023</c:v>
                </c:pt>
              </c:strCache>
            </c:strRef>
          </c:tx>
          <c:spPr>
            <a:pattFill prst="wdDnDiag">
              <a:fgClr>
                <a:schemeClr val="tx1"/>
              </a:fgClr>
              <a:bgClr>
                <a:schemeClr val="bg1"/>
              </a:bgClr>
            </a:pattFill>
            <a:ln>
              <a:solidFill>
                <a:schemeClr val="tx1"/>
              </a:solidFill>
            </a:ln>
          </c:spPr>
          <c:invertIfNegative val="0"/>
          <c:dLbls>
            <c:dLbl>
              <c:idx val="0"/>
              <c:layout>
                <c:manualLayout>
                  <c:x val="-8.3333333333333523E-3"/>
                  <c:y val="0"/>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DBE4-44CB-B0A2-900F10EF66B8}"/>
                </c:ext>
              </c:extLst>
            </c:dLbl>
            <c:dLbl>
              <c:idx val="1"/>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DBE4-44CB-B0A2-900F10EF66B8}"/>
                </c:ext>
              </c:extLst>
            </c:dLbl>
            <c:dLbl>
              <c:idx val="2"/>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DBE4-44CB-B0A2-900F10EF66B8}"/>
                </c:ext>
              </c:extLst>
            </c:dLbl>
            <c:dLbl>
              <c:idx val="3"/>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DBE4-44CB-B0A2-900F10EF66B8}"/>
                </c:ext>
              </c:extLst>
            </c:dLbl>
            <c:dLbl>
              <c:idx val="4"/>
              <c:tx>
                <c:rich>
                  <a:bodyPr/>
                  <a:lstStyle/>
                  <a:p>
                    <a:r>
                      <a:rPr lang="en-US"/>
                      <a:t>ba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DBE4-44CB-B0A2-900F10EF66B8}"/>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summary!$A$14:$A$18</c:f>
              <c:strCache>
                <c:ptCount val="5"/>
                <c:pt idx="0">
                  <c:v>GB4</c:v>
                </c:pt>
                <c:pt idx="1">
                  <c:v>GB12</c:v>
                </c:pt>
                <c:pt idx="2">
                  <c:v>GB20</c:v>
                </c:pt>
                <c:pt idx="3">
                  <c:v>WS</c:v>
                </c:pt>
                <c:pt idx="4">
                  <c:v>NS</c:v>
                </c:pt>
              </c:strCache>
            </c:strRef>
          </c:cat>
          <c:val>
            <c:numRef>
              <c:f>summary!$B$14:$B$18</c:f>
              <c:numCache>
                <c:formatCode>General</c:formatCode>
                <c:ptCount val="5"/>
                <c:pt idx="0">
                  <c:v>34.058300000000003</c:v>
                </c:pt>
                <c:pt idx="1">
                  <c:v>33.447400000000002</c:v>
                </c:pt>
                <c:pt idx="2">
                  <c:v>33.4056</c:v>
                </c:pt>
                <c:pt idx="3">
                  <c:v>33.427300000000002</c:v>
                </c:pt>
                <c:pt idx="4">
                  <c:v>33.82</c:v>
                </c:pt>
              </c:numCache>
            </c:numRef>
          </c:val>
          <c:extLst>
            <c:ext xmlns:c16="http://schemas.microsoft.com/office/drawing/2014/chart" uri="{C3380CC4-5D6E-409C-BE32-E72D297353CC}">
              <c16:uniqueId val="{00000005-DBE4-44CB-B0A2-900F10EF66B8}"/>
            </c:ext>
          </c:extLst>
        </c:ser>
        <c:ser>
          <c:idx val="1"/>
          <c:order val="1"/>
          <c:tx>
            <c:strRef>
              <c:f>TRI2025</c:f>
              <c:strCache>
                <c:ptCount val="1"/>
                <c:pt idx="0">
                  <c:v>TRI2025</c:v>
                </c:pt>
              </c:strCache>
            </c:strRef>
          </c:tx>
          <c:spPr>
            <a:pattFill prst="narVert">
              <a:fgClr>
                <a:schemeClr val="tx1"/>
              </a:fgClr>
              <a:bgClr>
                <a:schemeClr val="bg1"/>
              </a:bgClr>
            </a:pattFill>
            <a:ln>
              <a:solidFill>
                <a:schemeClr val="tx1"/>
              </a:solidFill>
            </a:ln>
          </c:spPr>
          <c:invertIfNegative val="0"/>
          <c:dLbls>
            <c:dLbl>
              <c:idx val="0"/>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DBE4-44CB-B0A2-900F10EF66B8}"/>
                </c:ext>
              </c:extLst>
            </c:dLbl>
            <c:dLbl>
              <c:idx val="1"/>
              <c:tx>
                <c:rich>
                  <a:bodyPr/>
                  <a:lstStyle/>
                  <a:p>
                    <a:r>
                      <a:rPr lang="en-US"/>
                      <a:t>cb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DBE4-44CB-B0A2-900F10EF66B8}"/>
                </c:ext>
              </c:extLst>
            </c:dLbl>
            <c:dLbl>
              <c:idx val="2"/>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DBE4-44CB-B0A2-900F10EF66B8}"/>
                </c:ext>
              </c:extLst>
            </c:dLbl>
            <c:dLbl>
              <c:idx val="3"/>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DBE4-44CB-B0A2-900F10EF66B8}"/>
                </c:ext>
              </c:extLst>
            </c:dLbl>
            <c:dLbl>
              <c:idx val="4"/>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DBE4-44CB-B0A2-900F10EF66B8}"/>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summary!$A$14:$A$18</c:f>
              <c:strCache>
                <c:ptCount val="5"/>
                <c:pt idx="0">
                  <c:v>GB4</c:v>
                </c:pt>
                <c:pt idx="1">
                  <c:v>GB12</c:v>
                </c:pt>
                <c:pt idx="2">
                  <c:v>GB20</c:v>
                </c:pt>
                <c:pt idx="3">
                  <c:v>WS</c:v>
                </c:pt>
                <c:pt idx="4">
                  <c:v>NS</c:v>
                </c:pt>
              </c:strCache>
            </c:strRef>
          </c:cat>
          <c:val>
            <c:numRef>
              <c:f>summary!$C$14:$C$18</c:f>
              <c:numCache>
                <c:formatCode>General</c:formatCode>
                <c:ptCount val="5"/>
                <c:pt idx="0">
                  <c:v>33.8765</c:v>
                </c:pt>
                <c:pt idx="1">
                  <c:v>33.386699999999998</c:v>
                </c:pt>
                <c:pt idx="2">
                  <c:v>33.233300000000028</c:v>
                </c:pt>
                <c:pt idx="3">
                  <c:v>33.088200000000001</c:v>
                </c:pt>
                <c:pt idx="4">
                  <c:v>34.462500000000013</c:v>
                </c:pt>
              </c:numCache>
            </c:numRef>
          </c:val>
          <c:extLst>
            <c:ext xmlns:c16="http://schemas.microsoft.com/office/drawing/2014/chart" uri="{C3380CC4-5D6E-409C-BE32-E72D297353CC}">
              <c16:uniqueId val="{0000000B-DBE4-44CB-B0A2-900F10EF66B8}"/>
            </c:ext>
          </c:extLst>
        </c:ser>
        <c:dLbls>
          <c:showLegendKey val="0"/>
          <c:showVal val="1"/>
          <c:showCatName val="0"/>
          <c:showSerName val="0"/>
          <c:showPercent val="0"/>
          <c:showBubbleSize val="0"/>
        </c:dLbls>
        <c:gapWidth val="150"/>
        <c:axId val="225942144"/>
        <c:axId val="225972992"/>
      </c:barChart>
      <c:catAx>
        <c:axId val="225942144"/>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mn-ea"/>
                    <a:cs typeface="Times New Roman" panose="02020603050405020304" charset="0"/>
                  </a:defRPr>
                </a:pPr>
                <a:r>
                  <a:rPr lang="en-US"/>
                  <a:t>Treatment</a:t>
                </a:r>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s-MX"/>
          </a:p>
        </c:txPr>
        <c:crossAx val="225972992"/>
        <c:crosses val="autoZero"/>
        <c:auto val="1"/>
        <c:lblAlgn val="ctr"/>
        <c:lblOffset val="100"/>
        <c:noMultiLvlLbl val="0"/>
      </c:catAx>
      <c:valAx>
        <c:axId val="225972992"/>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mn-ea"/>
                    <a:cs typeface="Times New Roman" panose="02020603050405020304" charset="0"/>
                  </a:defRPr>
                </a:pPr>
                <a:r>
                  <a:rPr lang="en-US"/>
                  <a:t>Leaf Temperature (</a:t>
                </a:r>
                <a:r>
                  <a:rPr lang="en-US">
                    <a:sym typeface="Symbol" panose="05050102010706020507" pitchFamily="1" charset="2"/>
                  </a:rPr>
                  <a:t></a:t>
                </a:r>
                <a:r>
                  <a:rPr lang="en-US"/>
                  <a:t>C)</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s-MX"/>
          </a:p>
        </c:txPr>
        <c:crossAx val="225942144"/>
        <c:crosses val="autoZero"/>
        <c:crossBetween val="between"/>
      </c:valAx>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s-MX"/>
        </a:p>
      </c:txPr>
    </c:legend>
    <c:plotVisOnly val="1"/>
    <c:dispBlanksAs val="gap"/>
    <c:showDLblsOverMax val="0"/>
  </c:chart>
  <c:spPr>
    <a:ln w="9525" cap="flat" cmpd="sng" algn="ctr">
      <a:solidFill>
        <a:schemeClr val="bg1">
          <a:lumMod val="65000"/>
        </a:schemeClr>
      </a:solidFill>
      <a:prstDash val="solid"/>
      <a:round/>
    </a:ln>
  </c:spPr>
  <c:txPr>
    <a:bodyPr/>
    <a:lstStyle/>
    <a:p>
      <a:pPr>
        <a:defRPr lang="en-US">
          <a:latin typeface="Times New Roman" panose="02020603050405020304" charset="0"/>
          <a:cs typeface="Times New Roman" panose="02020603050405020304" charset="0"/>
        </a:defRPr>
      </a:pPr>
      <a:endParaRPr lang="es-MX"/>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6B6016DF-2D4E-4570-B960-C4EC8F3D7E7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4978</Words>
  <Characters>27384</Characters>
  <Application>Microsoft Office Word</Application>
  <DocSecurity>0</DocSecurity>
  <Lines>228</Lines>
  <Paragraphs>64</Paragraphs>
  <ScaleCrop>false</ScaleCrop>
  <Company/>
  <LinksUpToDate>false</LinksUpToDate>
  <CharactersWithSpaces>32298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Nimesh</dc:creator>
  <cp:lastModifiedBy>andres maria-ramirez</cp:lastModifiedBy>
  <cp:revision>2</cp:revision>
  <cp:lastPrinted>2022-08-03T15:13:00Z</cp:lastPrinted>
  <dcterms:created xsi:type="dcterms:W3CDTF">2022-08-25T17:37:00Z</dcterms:created>
  <dcterms:modified xsi:type="dcterms:W3CDTF">2022-08-25T17:37:00Z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1033-11.2.0.9669</vt:lpwstr>
  </property>
</Properties>
</file>