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B72AB" w14:textId="081699FA" w:rsidR="00274A64" w:rsidRPr="00DC2891" w:rsidRDefault="00274A64" w:rsidP="00E1224A">
      <w:pPr>
        <w:spacing w:line="360" w:lineRule="auto"/>
        <w:ind w:left="360"/>
        <w:jc w:val="center"/>
        <w:rPr>
          <w:rFonts w:ascii="Times New Roman" w:hAnsi="Times New Roman" w:cs="Times New Roman"/>
          <w:b/>
          <w:bCs/>
          <w:sz w:val="32"/>
          <w:szCs w:val="32"/>
        </w:rPr>
      </w:pPr>
      <w:r w:rsidRPr="00DC2891">
        <w:rPr>
          <w:rFonts w:ascii="Times New Roman" w:hAnsi="Times New Roman" w:cs="Times New Roman"/>
          <w:b/>
          <w:bCs/>
          <w:sz w:val="32"/>
          <w:szCs w:val="32"/>
        </w:rPr>
        <w:t>Review Article</w:t>
      </w:r>
    </w:p>
    <w:p w14:paraId="5544EEF1" w14:textId="3D81C0BA" w:rsidR="00E1224A" w:rsidRPr="00DC2891" w:rsidRDefault="00E1224A" w:rsidP="00E1224A">
      <w:pPr>
        <w:spacing w:line="360" w:lineRule="auto"/>
        <w:ind w:left="360"/>
        <w:jc w:val="center"/>
        <w:rPr>
          <w:rFonts w:ascii="Times New Roman" w:hAnsi="Times New Roman" w:cs="Times New Roman"/>
          <w:b/>
          <w:bCs/>
          <w:sz w:val="32"/>
          <w:szCs w:val="32"/>
        </w:rPr>
      </w:pPr>
      <w:r w:rsidRPr="00DC2891">
        <w:rPr>
          <w:rFonts w:ascii="Times New Roman" w:hAnsi="Times New Roman" w:cs="Times New Roman"/>
          <w:b/>
          <w:bCs/>
          <w:sz w:val="32"/>
          <w:szCs w:val="32"/>
        </w:rPr>
        <w:t>The emerging role of phytohormone crosstalk in orchestrating plant stress tolerance</w:t>
      </w:r>
    </w:p>
    <w:p w14:paraId="49B929F8" w14:textId="77777777" w:rsidR="009F7621" w:rsidRDefault="009F7621" w:rsidP="00971963">
      <w:pPr>
        <w:spacing w:line="360" w:lineRule="auto"/>
        <w:ind w:left="360"/>
        <w:jc w:val="both"/>
        <w:rPr>
          <w:rFonts w:ascii="Times New Roman" w:hAnsi="Times New Roman" w:cs="Times New Roman"/>
          <w:b/>
          <w:bCs/>
          <w:sz w:val="24"/>
          <w:szCs w:val="24"/>
        </w:rPr>
      </w:pPr>
    </w:p>
    <w:p w14:paraId="030875B9" w14:textId="267AA282" w:rsidR="00971963" w:rsidRPr="00DC2891" w:rsidRDefault="00971963" w:rsidP="00971963">
      <w:pPr>
        <w:spacing w:line="360" w:lineRule="auto"/>
        <w:ind w:left="360"/>
        <w:jc w:val="both"/>
        <w:rPr>
          <w:rFonts w:ascii="Times New Roman" w:hAnsi="Times New Roman" w:cs="Times New Roman"/>
          <w:b/>
          <w:bCs/>
          <w:sz w:val="24"/>
          <w:szCs w:val="24"/>
        </w:rPr>
      </w:pPr>
      <w:bookmarkStart w:id="0" w:name="_GoBack"/>
      <w:bookmarkEnd w:id="0"/>
      <w:r w:rsidRPr="00DC2891">
        <w:rPr>
          <w:rFonts w:ascii="Times New Roman" w:hAnsi="Times New Roman" w:cs="Times New Roman"/>
          <w:b/>
          <w:bCs/>
          <w:sz w:val="24"/>
          <w:szCs w:val="24"/>
        </w:rPr>
        <w:t>Abstract</w:t>
      </w:r>
    </w:p>
    <w:p w14:paraId="745D79D1" w14:textId="4F8E7BE1" w:rsidR="007162B3" w:rsidRPr="00DC2891" w:rsidRDefault="004D371B" w:rsidP="007966C1">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To</w:t>
      </w:r>
      <w:r w:rsidR="007162B3" w:rsidRPr="00DC2891">
        <w:rPr>
          <w:rFonts w:ascii="Times New Roman" w:hAnsi="Times New Roman" w:cs="Times New Roman"/>
          <w:sz w:val="24"/>
          <w:szCs w:val="24"/>
        </w:rPr>
        <w:t xml:space="preserve"> integrate many environmental inputs into precisely calibrated physiological responses, plants rely on a highly interconnected hormonal network. Recent mechanistic evidence shows that these signalling modules function as an integrated system shaped by extensive crosstalk, </w:t>
      </w:r>
      <w:r w:rsidRPr="00DC2891">
        <w:rPr>
          <w:rFonts w:ascii="Times New Roman" w:hAnsi="Times New Roman" w:cs="Times New Roman"/>
          <w:sz w:val="24"/>
          <w:szCs w:val="24"/>
        </w:rPr>
        <w:t>even though</w:t>
      </w:r>
      <w:r w:rsidR="007162B3" w:rsidRPr="00DC2891">
        <w:rPr>
          <w:rFonts w:ascii="Times New Roman" w:hAnsi="Times New Roman" w:cs="Times New Roman"/>
          <w:sz w:val="24"/>
          <w:szCs w:val="24"/>
        </w:rPr>
        <w:t xml:space="preserve"> individual phytohormones like abscisic acid, auxin, </w:t>
      </w:r>
      <w:proofErr w:type="spellStart"/>
      <w:r w:rsidR="007162B3" w:rsidRPr="00DC2891">
        <w:rPr>
          <w:rFonts w:ascii="Times New Roman" w:hAnsi="Times New Roman" w:cs="Times New Roman"/>
          <w:sz w:val="24"/>
          <w:szCs w:val="24"/>
        </w:rPr>
        <w:t>jasmonates</w:t>
      </w:r>
      <w:proofErr w:type="spellEnd"/>
      <w:r w:rsidR="007162B3" w:rsidRPr="00DC2891">
        <w:rPr>
          <w:rFonts w:ascii="Times New Roman" w:hAnsi="Times New Roman" w:cs="Times New Roman"/>
          <w:sz w:val="24"/>
          <w:szCs w:val="24"/>
        </w:rPr>
        <w:t xml:space="preserve">, salicylic acid, </w:t>
      </w:r>
      <w:proofErr w:type="spellStart"/>
      <w:r w:rsidR="007162B3" w:rsidRPr="00DC2891">
        <w:rPr>
          <w:rFonts w:ascii="Times New Roman" w:hAnsi="Times New Roman" w:cs="Times New Roman"/>
          <w:sz w:val="24"/>
          <w:szCs w:val="24"/>
        </w:rPr>
        <w:t>cytokinins</w:t>
      </w:r>
      <w:proofErr w:type="spellEnd"/>
      <w:r w:rsidR="007162B3" w:rsidRPr="00DC2891">
        <w:rPr>
          <w:rFonts w:ascii="Times New Roman" w:hAnsi="Times New Roman" w:cs="Times New Roman"/>
          <w:sz w:val="24"/>
          <w:szCs w:val="24"/>
        </w:rPr>
        <w:t xml:space="preserve">, ethylene, gibberellins, and </w:t>
      </w:r>
      <w:proofErr w:type="spellStart"/>
      <w:r w:rsidR="007162B3" w:rsidRPr="00DC2891">
        <w:rPr>
          <w:rFonts w:ascii="Times New Roman" w:hAnsi="Times New Roman" w:cs="Times New Roman"/>
          <w:sz w:val="24"/>
          <w:szCs w:val="24"/>
        </w:rPr>
        <w:t>brassinosteroids</w:t>
      </w:r>
      <w:proofErr w:type="spellEnd"/>
      <w:r w:rsidR="007162B3" w:rsidRPr="00DC2891">
        <w:rPr>
          <w:rFonts w:ascii="Times New Roman" w:hAnsi="Times New Roman" w:cs="Times New Roman"/>
          <w:sz w:val="24"/>
          <w:szCs w:val="24"/>
        </w:rPr>
        <w:t xml:space="preserve"> have historically been studied as distinct pathways. Starting with shared sensing mechanisms, secondary messengers, transcriptional regulators, and biosynthetic interdependencies that provide recurring integration nodes, this review summarises current knowledge of phytohormone crosstalk from a network-centric perspective. In addition to mediating context-dependent immune outputs against biotrophic, necrotrophic, and viral pathogens, we investigate how these molecular intersections coordinate plant responses to drought, salinity, severe temperatures, and flooding.</w:t>
      </w:r>
      <w:r w:rsidR="00971963" w:rsidRPr="00DC2891">
        <w:rPr>
          <w:rFonts w:ascii="Times New Roman" w:hAnsi="Times New Roman" w:cs="Times New Roman"/>
          <w:sz w:val="24"/>
          <w:szCs w:val="24"/>
        </w:rPr>
        <w:t xml:space="preserve"> The dynamic rewiring of SA–JA–ET immunological networks, </w:t>
      </w:r>
      <w:r w:rsidRPr="00DC2891">
        <w:rPr>
          <w:rFonts w:ascii="Times New Roman" w:hAnsi="Times New Roman" w:cs="Times New Roman"/>
          <w:sz w:val="24"/>
          <w:szCs w:val="24"/>
        </w:rPr>
        <w:t>ABA-centred</w:t>
      </w:r>
      <w:r w:rsidR="00971963" w:rsidRPr="00DC2891">
        <w:rPr>
          <w:rFonts w:ascii="Times New Roman" w:hAnsi="Times New Roman" w:cs="Times New Roman"/>
          <w:sz w:val="24"/>
          <w:szCs w:val="24"/>
        </w:rPr>
        <w:t xml:space="preserve"> abiotic stress responses, and growth–stress trade-offs</w:t>
      </w:r>
      <w:r w:rsidRPr="00DC2891">
        <w:rPr>
          <w:rFonts w:ascii="Times New Roman" w:hAnsi="Times New Roman" w:cs="Times New Roman"/>
          <w:sz w:val="24"/>
          <w:szCs w:val="24"/>
        </w:rPr>
        <w:t>, mediated by GA, BR, and DELLA hubs, is</w:t>
      </w:r>
      <w:r w:rsidR="00971963" w:rsidRPr="00DC2891">
        <w:rPr>
          <w:rFonts w:ascii="Times New Roman" w:hAnsi="Times New Roman" w:cs="Times New Roman"/>
          <w:sz w:val="24"/>
          <w:szCs w:val="24"/>
        </w:rPr>
        <w:t xml:space="preserve"> also highlighted. The paper also emphasises how infections depress host immunity by </w:t>
      </w:r>
      <w:r w:rsidRPr="00DC2891">
        <w:rPr>
          <w:rFonts w:ascii="Times New Roman" w:hAnsi="Times New Roman" w:cs="Times New Roman"/>
          <w:sz w:val="24"/>
          <w:szCs w:val="24"/>
        </w:rPr>
        <w:t>exploiting</w:t>
      </w:r>
      <w:r w:rsidR="00971963" w:rsidRPr="00DC2891">
        <w:rPr>
          <w:rFonts w:ascii="Times New Roman" w:hAnsi="Times New Roman" w:cs="Times New Roman"/>
          <w:sz w:val="24"/>
          <w:szCs w:val="24"/>
        </w:rPr>
        <w:t xml:space="preserve"> hormonal interplay. Lastly, we go over translational approaches to creating climate-resilient crops via precision </w:t>
      </w:r>
      <w:proofErr w:type="spellStart"/>
      <w:r w:rsidR="00971963" w:rsidRPr="00DC2891">
        <w:rPr>
          <w:rFonts w:ascii="Times New Roman" w:hAnsi="Times New Roman" w:cs="Times New Roman"/>
          <w:sz w:val="24"/>
          <w:szCs w:val="24"/>
        </w:rPr>
        <w:t>nanodelivery</w:t>
      </w:r>
      <w:proofErr w:type="spellEnd"/>
      <w:r w:rsidR="00971963" w:rsidRPr="00DC2891">
        <w:rPr>
          <w:rFonts w:ascii="Times New Roman" w:hAnsi="Times New Roman" w:cs="Times New Roman"/>
          <w:sz w:val="24"/>
          <w:szCs w:val="24"/>
        </w:rPr>
        <w:t xml:space="preserve"> of hormone modulators, programmable synthetic circuits, and CRISPR-mediated mutation of signalling hubs. This synthesis presents a cohesive framework for </w:t>
      </w:r>
      <w:r w:rsidRPr="00DC2891">
        <w:rPr>
          <w:rFonts w:ascii="Times New Roman" w:hAnsi="Times New Roman" w:cs="Times New Roman"/>
          <w:sz w:val="24"/>
          <w:szCs w:val="24"/>
        </w:rPr>
        <w:t>understanding how phytohormone crosstalk determines plant stress resilience and how manipulating it offers new prospects for crop improvement, integrating</w:t>
      </w:r>
      <w:r w:rsidR="00971963" w:rsidRPr="00DC2891">
        <w:rPr>
          <w:rFonts w:ascii="Times New Roman" w:hAnsi="Times New Roman" w:cs="Times New Roman"/>
          <w:sz w:val="24"/>
          <w:szCs w:val="24"/>
        </w:rPr>
        <w:t xml:space="preserve"> multi-omics evidence and recent mechanistic discoveries.</w:t>
      </w:r>
    </w:p>
    <w:p w14:paraId="73A3A9A4" w14:textId="4C3B777C" w:rsidR="005173C4" w:rsidRPr="00DC2891" w:rsidRDefault="005173C4" w:rsidP="007C1CEF">
      <w:pPr>
        <w:pStyle w:val="ListParagraph"/>
        <w:numPr>
          <w:ilvl w:val="0"/>
          <w:numId w:val="1"/>
        </w:numPr>
        <w:spacing w:line="360" w:lineRule="auto"/>
        <w:jc w:val="both"/>
        <w:rPr>
          <w:rFonts w:ascii="Times New Roman" w:hAnsi="Times New Roman" w:cs="Times New Roman"/>
          <w:b/>
          <w:bCs/>
          <w:sz w:val="24"/>
          <w:szCs w:val="24"/>
        </w:rPr>
      </w:pPr>
      <w:r w:rsidRPr="00DC2891">
        <w:rPr>
          <w:rFonts w:ascii="Times New Roman" w:hAnsi="Times New Roman" w:cs="Times New Roman"/>
          <w:b/>
          <w:bCs/>
          <w:sz w:val="24"/>
          <w:szCs w:val="24"/>
        </w:rPr>
        <w:t>Introduction</w:t>
      </w:r>
    </w:p>
    <w:p w14:paraId="14AB52DD" w14:textId="523228ED" w:rsidR="008B4467" w:rsidRPr="00DC2891" w:rsidRDefault="008B4467" w:rsidP="008B4467">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Plants rely on a highly synchronised signalling network to transform external inputs into adaptive changes in growth, metabolism, and defence</w:t>
      </w:r>
      <w:r w:rsidR="004D371B" w:rsidRPr="00DC2891">
        <w:rPr>
          <w:rFonts w:ascii="Times New Roman" w:hAnsi="Times New Roman" w:cs="Times New Roman"/>
          <w:sz w:val="24"/>
          <w:szCs w:val="24"/>
        </w:rPr>
        <w:t xml:space="preserve"> in response to a continuously</w:t>
      </w:r>
      <w:r w:rsidRPr="00DC2891">
        <w:rPr>
          <w:rFonts w:ascii="Times New Roman" w:hAnsi="Times New Roman" w:cs="Times New Roman"/>
          <w:sz w:val="24"/>
          <w:szCs w:val="24"/>
        </w:rPr>
        <w:t xml:space="preserve"> changing environment. Phytohormones, which are small-molecule regulators like abscisic acid (ABA), </w:t>
      </w:r>
      <w:proofErr w:type="spellStart"/>
      <w:r w:rsidRPr="00DC2891">
        <w:rPr>
          <w:rFonts w:ascii="Times New Roman" w:hAnsi="Times New Roman" w:cs="Times New Roman"/>
          <w:sz w:val="24"/>
          <w:szCs w:val="24"/>
        </w:rPr>
        <w:t>jasmonates</w:t>
      </w:r>
      <w:proofErr w:type="spellEnd"/>
      <w:r w:rsidRPr="00DC2891">
        <w:rPr>
          <w:rFonts w:ascii="Times New Roman" w:hAnsi="Times New Roman" w:cs="Times New Roman"/>
          <w:sz w:val="24"/>
          <w:szCs w:val="24"/>
        </w:rPr>
        <w:t xml:space="preserve"> (JA), salicylic acid (SA), auxin, gibberellins (GA), </w:t>
      </w:r>
      <w:proofErr w:type="spellStart"/>
      <w:r w:rsidRPr="00DC2891">
        <w:rPr>
          <w:rFonts w:ascii="Times New Roman" w:hAnsi="Times New Roman" w:cs="Times New Roman"/>
          <w:sz w:val="24"/>
          <w:szCs w:val="24"/>
        </w:rPr>
        <w:t>cytokinins</w:t>
      </w:r>
      <w:proofErr w:type="spellEnd"/>
      <w:r w:rsidRPr="00DC2891">
        <w:rPr>
          <w:rFonts w:ascii="Times New Roman" w:hAnsi="Times New Roman" w:cs="Times New Roman"/>
          <w:sz w:val="24"/>
          <w:szCs w:val="24"/>
        </w:rPr>
        <w:t xml:space="preserve"> (CK), ethylene (ET), </w:t>
      </w:r>
      <w:proofErr w:type="spellStart"/>
      <w:r w:rsidRPr="00DC2891">
        <w:rPr>
          <w:rFonts w:ascii="Times New Roman" w:hAnsi="Times New Roman" w:cs="Times New Roman"/>
          <w:sz w:val="24"/>
          <w:szCs w:val="24"/>
        </w:rPr>
        <w:lastRenderedPageBreak/>
        <w:t>brassinosteroids</w:t>
      </w:r>
      <w:proofErr w:type="spellEnd"/>
      <w:r w:rsidRPr="00DC2891">
        <w:rPr>
          <w:rFonts w:ascii="Times New Roman" w:hAnsi="Times New Roman" w:cs="Times New Roman"/>
          <w:sz w:val="24"/>
          <w:szCs w:val="24"/>
        </w:rPr>
        <w:t xml:space="preserve"> (BR), and others, are at the centre of this network. Historically, each of these regulators has been studied as an independent pathway that regulates specific physiological outputs (Khan </w:t>
      </w:r>
      <w:r w:rsidRPr="00DC2891">
        <w:rPr>
          <w:rFonts w:ascii="Times New Roman" w:hAnsi="Times New Roman" w:cs="Times New Roman"/>
          <w:i/>
          <w:iCs/>
          <w:sz w:val="24"/>
          <w:szCs w:val="24"/>
        </w:rPr>
        <w:t>et al</w:t>
      </w:r>
      <w:r w:rsidRPr="00DC2891">
        <w:rPr>
          <w:rFonts w:ascii="Times New Roman" w:hAnsi="Times New Roman" w:cs="Times New Roman"/>
          <w:sz w:val="24"/>
          <w:szCs w:val="24"/>
        </w:rPr>
        <w:t xml:space="preserve">., 2020). Growing evidence, however, indicates that hormone action during stress is not the consequence of isolated, linear pathways; </w:t>
      </w:r>
      <w:r w:rsidR="004D371B" w:rsidRPr="00DC2891">
        <w:rPr>
          <w:rFonts w:ascii="Times New Roman" w:hAnsi="Times New Roman" w:cs="Times New Roman"/>
          <w:sz w:val="24"/>
          <w:szCs w:val="24"/>
        </w:rPr>
        <w:t>instead</w:t>
      </w:r>
      <w:r w:rsidRPr="00DC2891">
        <w:rPr>
          <w:rFonts w:ascii="Times New Roman" w:hAnsi="Times New Roman" w:cs="Times New Roman"/>
          <w:sz w:val="24"/>
          <w:szCs w:val="24"/>
        </w:rPr>
        <w:t xml:space="preserve">, hormones operate within a highly interconnected web of context-dependent modulation, signal integration, and reciprocal regulation known as "hormonal crosstalk." Through this crosstalk, plants </w:t>
      </w:r>
      <w:r w:rsidR="004D371B" w:rsidRPr="00DC2891">
        <w:rPr>
          <w:rFonts w:ascii="Times New Roman" w:hAnsi="Times New Roman" w:cs="Times New Roman"/>
          <w:sz w:val="24"/>
          <w:szCs w:val="24"/>
        </w:rPr>
        <w:t>can mount responses that are specific to the type, severity, and developmental stage of stress, as well as resolve complex</w:t>
      </w:r>
      <w:r w:rsidRPr="00DC2891">
        <w:rPr>
          <w:rFonts w:ascii="Times New Roman" w:hAnsi="Times New Roman" w:cs="Times New Roman"/>
          <w:sz w:val="24"/>
          <w:szCs w:val="24"/>
        </w:rPr>
        <w:t xml:space="preserve"> trade-offs (such as growth vs defence). Therefore, when explaining stress tolerance, current reviews and experimental research prioritise network-level viewpoints over single-hormone narratives (</w:t>
      </w:r>
      <w:r w:rsidR="005173C4" w:rsidRPr="00DC2891">
        <w:rPr>
          <w:rFonts w:ascii="Times New Roman" w:hAnsi="Times New Roman" w:cs="Times New Roman"/>
          <w:sz w:val="24"/>
          <w:szCs w:val="24"/>
        </w:rPr>
        <w:t>Aloo</w:t>
      </w:r>
      <w:r w:rsidRPr="00DC2891">
        <w:rPr>
          <w:rFonts w:ascii="Times New Roman" w:hAnsi="Times New Roman" w:cs="Times New Roman"/>
          <w:sz w:val="24"/>
          <w:szCs w:val="24"/>
        </w:rPr>
        <w:t xml:space="preserve"> </w:t>
      </w:r>
      <w:r w:rsidRPr="00DC2891">
        <w:rPr>
          <w:rFonts w:ascii="Times New Roman" w:hAnsi="Times New Roman" w:cs="Times New Roman"/>
          <w:i/>
          <w:iCs/>
          <w:sz w:val="24"/>
          <w:szCs w:val="24"/>
        </w:rPr>
        <w:t>et al</w:t>
      </w:r>
      <w:r w:rsidRPr="00DC2891">
        <w:rPr>
          <w:rFonts w:ascii="Times New Roman" w:hAnsi="Times New Roman" w:cs="Times New Roman"/>
          <w:sz w:val="24"/>
          <w:szCs w:val="24"/>
        </w:rPr>
        <w:t>., 202</w:t>
      </w:r>
      <w:r w:rsidR="005173C4" w:rsidRPr="00DC2891">
        <w:rPr>
          <w:rFonts w:ascii="Times New Roman" w:hAnsi="Times New Roman" w:cs="Times New Roman"/>
          <w:sz w:val="24"/>
          <w:szCs w:val="24"/>
        </w:rPr>
        <w:t>3</w:t>
      </w:r>
      <w:r w:rsidRPr="00DC2891">
        <w:rPr>
          <w:rFonts w:ascii="Times New Roman" w:hAnsi="Times New Roman" w:cs="Times New Roman"/>
          <w:sz w:val="24"/>
          <w:szCs w:val="24"/>
        </w:rPr>
        <w:t>).</w:t>
      </w:r>
    </w:p>
    <w:p w14:paraId="5BEC6238" w14:textId="62A93C4A" w:rsidR="008B4467" w:rsidRPr="00DC2891" w:rsidRDefault="008B4467" w:rsidP="008B4467">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 xml:space="preserve">Hormone crosstalk </w:t>
      </w:r>
      <w:r w:rsidR="004D371B" w:rsidRPr="00DC2891">
        <w:rPr>
          <w:rFonts w:ascii="Times New Roman" w:hAnsi="Times New Roman" w:cs="Times New Roman"/>
          <w:sz w:val="24"/>
          <w:szCs w:val="24"/>
        </w:rPr>
        <w:t>operates at multiple</w:t>
      </w:r>
      <w:r w:rsidRPr="00DC2891">
        <w:rPr>
          <w:rFonts w:ascii="Times New Roman" w:hAnsi="Times New Roman" w:cs="Times New Roman"/>
          <w:sz w:val="24"/>
          <w:szCs w:val="24"/>
        </w:rPr>
        <w:t xml:space="preserve"> hierarchical levels. More significantly, crosstalk is mediated by shared signalling components</w:t>
      </w:r>
      <w:r w:rsidR="004D371B" w:rsidRPr="00DC2891">
        <w:rPr>
          <w:rFonts w:ascii="Times New Roman" w:hAnsi="Times New Roman" w:cs="Times New Roman"/>
          <w:sz w:val="24"/>
          <w:szCs w:val="24"/>
        </w:rPr>
        <w:t>, including</w:t>
      </w:r>
      <w:r w:rsidRPr="00DC2891">
        <w:rPr>
          <w:rFonts w:ascii="Times New Roman" w:hAnsi="Times New Roman" w:cs="Times New Roman"/>
          <w:sz w:val="24"/>
          <w:szCs w:val="24"/>
        </w:rPr>
        <w:t xml:space="preserve"> receptor complexes, post-translational modifiers, second messengers (Ca2+, ROS, nitric oxide), and conserved transcriptional regulators that act as integration hubs. Crosstalk can also result from shared biosynthetic precursors or co-regulation of biosynthesis and catabolism</w:t>
      </w:r>
      <w:r w:rsidR="005173C4" w:rsidRPr="00DC2891">
        <w:rPr>
          <w:rFonts w:ascii="Times New Roman" w:hAnsi="Times New Roman" w:cs="Times New Roman"/>
          <w:sz w:val="24"/>
          <w:szCs w:val="24"/>
        </w:rPr>
        <w:t xml:space="preserve"> (Zhu </w:t>
      </w:r>
      <w:r w:rsidR="005173C4" w:rsidRPr="00DC2891">
        <w:rPr>
          <w:rFonts w:ascii="Times New Roman" w:hAnsi="Times New Roman" w:cs="Times New Roman"/>
          <w:i/>
          <w:iCs/>
          <w:sz w:val="24"/>
          <w:szCs w:val="24"/>
        </w:rPr>
        <w:t>et al</w:t>
      </w:r>
      <w:r w:rsidR="005173C4" w:rsidRPr="00DC2891">
        <w:rPr>
          <w:rFonts w:ascii="Times New Roman" w:hAnsi="Times New Roman" w:cs="Times New Roman"/>
          <w:sz w:val="24"/>
          <w:szCs w:val="24"/>
        </w:rPr>
        <w:t>., 2024)</w:t>
      </w:r>
      <w:r w:rsidRPr="00DC2891">
        <w:rPr>
          <w:rFonts w:ascii="Times New Roman" w:hAnsi="Times New Roman" w:cs="Times New Roman"/>
          <w:sz w:val="24"/>
          <w:szCs w:val="24"/>
        </w:rPr>
        <w:t>. For instance, DELLA proteins connect GA sensing to numerous other pathways and coordinate growth restraint under stress</w:t>
      </w:r>
      <w:r w:rsidR="004D371B" w:rsidRPr="00DC2891">
        <w:rPr>
          <w:rFonts w:ascii="Times New Roman" w:hAnsi="Times New Roman" w:cs="Times New Roman"/>
          <w:sz w:val="24"/>
          <w:szCs w:val="24"/>
        </w:rPr>
        <w:t>. In contrast, transcription</w:t>
      </w:r>
      <w:r w:rsidRPr="00DC2891">
        <w:rPr>
          <w:rFonts w:ascii="Times New Roman" w:hAnsi="Times New Roman" w:cs="Times New Roman"/>
          <w:sz w:val="24"/>
          <w:szCs w:val="24"/>
        </w:rPr>
        <w:t xml:space="preserve"> factors </w:t>
      </w:r>
      <w:r w:rsidR="004D371B" w:rsidRPr="00DC2891">
        <w:rPr>
          <w:rFonts w:ascii="Times New Roman" w:hAnsi="Times New Roman" w:cs="Times New Roman"/>
          <w:sz w:val="24"/>
          <w:szCs w:val="24"/>
        </w:rPr>
        <w:t>such as MYC2 and its family serve as nodal points that integrate</w:t>
      </w:r>
      <w:r w:rsidRPr="00DC2891">
        <w:rPr>
          <w:rFonts w:ascii="Times New Roman" w:hAnsi="Times New Roman" w:cs="Times New Roman"/>
          <w:sz w:val="24"/>
          <w:szCs w:val="24"/>
        </w:rPr>
        <w:t xml:space="preserve"> JA with ABA and other signals </w:t>
      </w:r>
      <w:r w:rsidR="005173C4" w:rsidRPr="00DC2891">
        <w:rPr>
          <w:rFonts w:ascii="Times New Roman" w:hAnsi="Times New Roman" w:cs="Times New Roman"/>
          <w:sz w:val="24"/>
          <w:szCs w:val="24"/>
        </w:rPr>
        <w:t>(</w:t>
      </w:r>
      <w:proofErr w:type="spellStart"/>
      <w:r w:rsidR="005173C4" w:rsidRPr="00DC2891">
        <w:rPr>
          <w:rFonts w:ascii="Times New Roman" w:hAnsi="Times New Roman" w:cs="Times New Roman"/>
          <w:sz w:val="24"/>
          <w:szCs w:val="24"/>
        </w:rPr>
        <w:t>Xiong</w:t>
      </w:r>
      <w:proofErr w:type="spellEnd"/>
      <w:r w:rsidR="005173C4" w:rsidRPr="00DC2891">
        <w:rPr>
          <w:rFonts w:ascii="Times New Roman" w:hAnsi="Times New Roman" w:cs="Times New Roman"/>
          <w:sz w:val="24"/>
          <w:szCs w:val="24"/>
        </w:rPr>
        <w:t xml:space="preserve"> </w:t>
      </w:r>
      <w:r w:rsidR="005173C4" w:rsidRPr="00DC2891">
        <w:rPr>
          <w:rFonts w:ascii="Times New Roman" w:hAnsi="Times New Roman" w:cs="Times New Roman"/>
          <w:i/>
          <w:iCs/>
          <w:sz w:val="24"/>
          <w:szCs w:val="24"/>
        </w:rPr>
        <w:t>et al</w:t>
      </w:r>
      <w:r w:rsidR="005173C4" w:rsidRPr="00DC2891">
        <w:rPr>
          <w:rFonts w:ascii="Times New Roman" w:hAnsi="Times New Roman" w:cs="Times New Roman"/>
          <w:sz w:val="24"/>
          <w:szCs w:val="24"/>
        </w:rPr>
        <w:t>., 2023)</w:t>
      </w:r>
      <w:r w:rsidRPr="00DC2891">
        <w:rPr>
          <w:rFonts w:ascii="Times New Roman" w:hAnsi="Times New Roman" w:cs="Times New Roman"/>
          <w:sz w:val="24"/>
          <w:szCs w:val="24"/>
        </w:rPr>
        <w:t xml:space="preserve">. In the last ten years, developments in structural biology, proteomics, and genetic dissection have clarified these mechanistic intersections, showing how competitive promoter occupancy, targeted degradation (such as through the ubiquitin-proteasome system), and physical protein–protein interactions produce emergent behaviours in hormone networks. The reason why the same hormone pair can be antagonistic in one situation (e.g., JA–SA in pathogen responses) and synergistic in another (e.g., ABA–JA in stomatal regulation) depends on these mechanistic discoveries (Luo </w:t>
      </w:r>
      <w:r w:rsidRPr="00DC2891">
        <w:rPr>
          <w:rFonts w:ascii="Times New Roman" w:hAnsi="Times New Roman" w:cs="Times New Roman"/>
          <w:i/>
          <w:iCs/>
          <w:sz w:val="24"/>
          <w:szCs w:val="24"/>
        </w:rPr>
        <w:t>et al</w:t>
      </w:r>
      <w:r w:rsidRPr="00DC2891">
        <w:rPr>
          <w:rFonts w:ascii="Times New Roman" w:hAnsi="Times New Roman" w:cs="Times New Roman"/>
          <w:sz w:val="24"/>
          <w:szCs w:val="24"/>
        </w:rPr>
        <w:t>., 2023).</w:t>
      </w:r>
    </w:p>
    <w:p w14:paraId="69E914B2" w14:textId="5BFEE2B7" w:rsidR="008B4467" w:rsidRPr="00DC2891" w:rsidRDefault="008B4467" w:rsidP="008B4467">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 xml:space="preserve">Hormone crosstalk </w:t>
      </w:r>
      <w:r w:rsidR="004D371B" w:rsidRPr="00DC2891">
        <w:rPr>
          <w:rFonts w:ascii="Times New Roman" w:hAnsi="Times New Roman" w:cs="Times New Roman"/>
          <w:sz w:val="24"/>
          <w:szCs w:val="24"/>
        </w:rPr>
        <w:t>influences how plants respond</w:t>
      </w:r>
      <w:r w:rsidRPr="00DC2891">
        <w:rPr>
          <w:rFonts w:ascii="Times New Roman" w:hAnsi="Times New Roman" w:cs="Times New Roman"/>
          <w:sz w:val="24"/>
          <w:szCs w:val="24"/>
        </w:rPr>
        <w:t xml:space="preserve"> to a wide range of biotic and abiotic stressors. ABA's crucial function in water conservation and </w:t>
      </w:r>
      <w:r w:rsidR="004D371B" w:rsidRPr="00DC2891">
        <w:rPr>
          <w:rFonts w:ascii="Times New Roman" w:hAnsi="Times New Roman" w:cs="Times New Roman"/>
          <w:sz w:val="24"/>
          <w:szCs w:val="24"/>
        </w:rPr>
        <w:t xml:space="preserve">in activating the </w:t>
      </w:r>
      <w:proofErr w:type="spellStart"/>
      <w:r w:rsidR="004D371B" w:rsidRPr="00DC2891">
        <w:rPr>
          <w:rFonts w:ascii="Times New Roman" w:hAnsi="Times New Roman" w:cs="Times New Roman"/>
          <w:sz w:val="24"/>
          <w:szCs w:val="24"/>
        </w:rPr>
        <w:t>osmoprotectant</w:t>
      </w:r>
      <w:proofErr w:type="spellEnd"/>
      <w:r w:rsidR="004D371B" w:rsidRPr="00DC2891">
        <w:rPr>
          <w:rFonts w:ascii="Times New Roman" w:hAnsi="Times New Roman" w:cs="Times New Roman"/>
          <w:sz w:val="24"/>
          <w:szCs w:val="24"/>
        </w:rPr>
        <w:t xml:space="preserve"> pathway </w:t>
      </w:r>
      <w:r w:rsidRPr="00DC2891">
        <w:rPr>
          <w:rFonts w:ascii="Times New Roman" w:hAnsi="Times New Roman" w:cs="Times New Roman"/>
          <w:sz w:val="24"/>
          <w:szCs w:val="24"/>
        </w:rPr>
        <w:t xml:space="preserve">during drought and salinity is regulated by interactions with ethylene, </w:t>
      </w:r>
      <w:proofErr w:type="spellStart"/>
      <w:r w:rsidRPr="00DC2891">
        <w:rPr>
          <w:rFonts w:ascii="Times New Roman" w:hAnsi="Times New Roman" w:cs="Times New Roman"/>
          <w:sz w:val="24"/>
          <w:szCs w:val="24"/>
        </w:rPr>
        <w:t>cytokinins</w:t>
      </w:r>
      <w:proofErr w:type="spellEnd"/>
      <w:r w:rsidRPr="00DC2891">
        <w:rPr>
          <w:rFonts w:ascii="Times New Roman" w:hAnsi="Times New Roman" w:cs="Times New Roman"/>
          <w:sz w:val="24"/>
          <w:szCs w:val="24"/>
        </w:rPr>
        <w:t xml:space="preserve">, and </w:t>
      </w:r>
      <w:proofErr w:type="spellStart"/>
      <w:r w:rsidRPr="00DC2891">
        <w:rPr>
          <w:rFonts w:ascii="Times New Roman" w:hAnsi="Times New Roman" w:cs="Times New Roman"/>
          <w:sz w:val="24"/>
          <w:szCs w:val="24"/>
        </w:rPr>
        <w:t>brassinosteroids</w:t>
      </w:r>
      <w:proofErr w:type="spellEnd"/>
      <w:r w:rsidR="004D371B" w:rsidRPr="00DC2891">
        <w:rPr>
          <w:rFonts w:ascii="Times New Roman" w:hAnsi="Times New Roman" w:cs="Times New Roman"/>
          <w:sz w:val="24"/>
          <w:szCs w:val="24"/>
        </w:rPr>
        <w:t>, thereby maintaining</w:t>
      </w:r>
      <w:r w:rsidRPr="00DC2891">
        <w:rPr>
          <w:rFonts w:ascii="Times New Roman" w:hAnsi="Times New Roman" w:cs="Times New Roman"/>
          <w:sz w:val="24"/>
          <w:szCs w:val="24"/>
        </w:rPr>
        <w:t xml:space="preserve"> a balance between growth and survival. Cross-regulatory nodes and hormones like auxin and GA, which modify cellular vulnerability and tissue-level outcomes, further shape the conventional antagonism between SA- and JA-mediated branches during pathogen infection (Tal </w:t>
      </w:r>
      <w:r w:rsidRPr="00DC2891">
        <w:rPr>
          <w:rFonts w:ascii="Times New Roman" w:hAnsi="Times New Roman" w:cs="Times New Roman"/>
          <w:i/>
          <w:iCs/>
          <w:sz w:val="24"/>
          <w:szCs w:val="24"/>
        </w:rPr>
        <w:t>et al</w:t>
      </w:r>
      <w:r w:rsidRPr="00DC2891">
        <w:rPr>
          <w:rFonts w:ascii="Times New Roman" w:hAnsi="Times New Roman" w:cs="Times New Roman"/>
          <w:sz w:val="24"/>
          <w:szCs w:val="24"/>
        </w:rPr>
        <w:t xml:space="preserve">., 2020). Crucially, conserved transcriptional modules, repressor complexes, and post-translational switches are examples of molecular crosstalk </w:t>
      </w:r>
      <w:r w:rsidRPr="00DC2891">
        <w:rPr>
          <w:rFonts w:ascii="Times New Roman" w:hAnsi="Times New Roman" w:cs="Times New Roman"/>
          <w:sz w:val="24"/>
          <w:szCs w:val="24"/>
        </w:rPr>
        <w:lastRenderedPageBreak/>
        <w:t xml:space="preserve">motifs that are frequently seen across systems. This makes it easier to translate mechanistic knowledge from model animals to crops. As a result, hormone signalling is increasingly framed in contemporary plant stress biology as an integrated system whose </w:t>
      </w:r>
      <w:r w:rsidR="004D371B" w:rsidRPr="00DC2891">
        <w:rPr>
          <w:rFonts w:ascii="Times New Roman" w:hAnsi="Times New Roman" w:cs="Times New Roman"/>
          <w:sz w:val="24"/>
          <w:szCs w:val="24"/>
        </w:rPr>
        <w:t>dynamic</w:t>
      </w:r>
      <w:r w:rsidR="005173C4" w:rsidRPr="00DC2891">
        <w:rPr>
          <w:rFonts w:ascii="Times New Roman" w:hAnsi="Times New Roman" w:cs="Times New Roman"/>
          <w:sz w:val="24"/>
          <w:szCs w:val="24"/>
        </w:rPr>
        <w:t xml:space="preserve"> </w:t>
      </w:r>
      <w:r w:rsidRPr="00DC2891">
        <w:rPr>
          <w:rFonts w:ascii="Times New Roman" w:hAnsi="Times New Roman" w:cs="Times New Roman"/>
          <w:sz w:val="24"/>
          <w:szCs w:val="24"/>
        </w:rPr>
        <w:t>timing, amplitude, and spatial patterning</w:t>
      </w:r>
      <w:r w:rsidR="005173C4" w:rsidRPr="00DC2891">
        <w:rPr>
          <w:rFonts w:ascii="Times New Roman" w:hAnsi="Times New Roman" w:cs="Times New Roman"/>
          <w:sz w:val="24"/>
          <w:szCs w:val="24"/>
        </w:rPr>
        <w:t xml:space="preserve"> </w:t>
      </w:r>
      <w:r w:rsidRPr="00DC2891">
        <w:rPr>
          <w:rFonts w:ascii="Times New Roman" w:hAnsi="Times New Roman" w:cs="Times New Roman"/>
          <w:sz w:val="24"/>
          <w:szCs w:val="24"/>
        </w:rPr>
        <w:t>determine tolerance outcomes rather than the absolute quantity of any one hormone</w:t>
      </w:r>
      <w:r w:rsidR="005173C4" w:rsidRPr="00DC2891">
        <w:rPr>
          <w:rFonts w:ascii="Times New Roman" w:hAnsi="Times New Roman" w:cs="Times New Roman"/>
          <w:sz w:val="24"/>
          <w:szCs w:val="24"/>
        </w:rPr>
        <w:t xml:space="preserve"> (Yang </w:t>
      </w:r>
      <w:r w:rsidR="005173C4" w:rsidRPr="00DC2891">
        <w:rPr>
          <w:rFonts w:ascii="Times New Roman" w:hAnsi="Times New Roman" w:cs="Times New Roman"/>
          <w:i/>
          <w:iCs/>
          <w:sz w:val="24"/>
          <w:szCs w:val="24"/>
        </w:rPr>
        <w:t>et al</w:t>
      </w:r>
      <w:r w:rsidR="005173C4" w:rsidRPr="00DC2891">
        <w:rPr>
          <w:rFonts w:ascii="Times New Roman" w:hAnsi="Times New Roman" w:cs="Times New Roman"/>
          <w:sz w:val="24"/>
          <w:szCs w:val="24"/>
        </w:rPr>
        <w:t>., 2019)</w:t>
      </w:r>
      <w:r w:rsidRPr="00DC2891">
        <w:rPr>
          <w:rFonts w:ascii="Times New Roman" w:hAnsi="Times New Roman" w:cs="Times New Roman"/>
          <w:sz w:val="24"/>
          <w:szCs w:val="24"/>
        </w:rPr>
        <w:t>.</w:t>
      </w:r>
    </w:p>
    <w:p w14:paraId="4E886D5D" w14:textId="06222DF3" w:rsidR="007C1CEF" w:rsidRPr="00DC2891" w:rsidRDefault="008B4467" w:rsidP="008B4467">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As a result, this synthesis review takes a mechanistic, network-centric stance. In order to create climate-resilient crops, we will: (</w:t>
      </w:r>
      <w:proofErr w:type="spellStart"/>
      <w:r w:rsidRPr="00DC2891">
        <w:rPr>
          <w:rFonts w:ascii="Times New Roman" w:hAnsi="Times New Roman" w:cs="Times New Roman"/>
          <w:sz w:val="24"/>
          <w:szCs w:val="24"/>
        </w:rPr>
        <w:t>i</w:t>
      </w:r>
      <w:proofErr w:type="spellEnd"/>
      <w:r w:rsidRPr="00DC2891">
        <w:rPr>
          <w:rFonts w:ascii="Times New Roman" w:hAnsi="Times New Roman" w:cs="Times New Roman"/>
          <w:sz w:val="24"/>
          <w:szCs w:val="24"/>
        </w:rPr>
        <w:t xml:space="preserve">) summarise the molecular architecture of major hormone pathways and identify recurrent integration nodes; (ii) analyse examples of hormone crosstalk that are essential to drought, salinity, temperature extremes, and pathogen resistance; (iii) link hormonal networks to other regulatory layers such as ROS, epigenetics, and the microbiome; and (iv) assess opportunities for engineering hormone crosstalk (gene editing, synthetic circuits, and targeted delivery). The review attempts to elucidate how hormone crosstalk is instantiated at the molecular level and how </w:t>
      </w:r>
      <w:r w:rsidR="004D371B" w:rsidRPr="00DC2891">
        <w:rPr>
          <w:rFonts w:ascii="Times New Roman" w:hAnsi="Times New Roman" w:cs="Times New Roman"/>
          <w:sz w:val="24"/>
          <w:szCs w:val="24"/>
        </w:rPr>
        <w:t>this information can be used to modulate plant stress resilience by combining recent omics data</w:t>
      </w:r>
      <w:r w:rsidRPr="00DC2891">
        <w:rPr>
          <w:rFonts w:ascii="Times New Roman" w:hAnsi="Times New Roman" w:cs="Times New Roman"/>
          <w:sz w:val="24"/>
          <w:szCs w:val="24"/>
        </w:rPr>
        <w:t>, mechanistic research, and translational examples.</w:t>
      </w:r>
    </w:p>
    <w:p w14:paraId="1DA4FED4" w14:textId="3AF47BF6" w:rsidR="00647114" w:rsidRPr="00DC2891" w:rsidRDefault="007C1CEF" w:rsidP="008B4467">
      <w:pPr>
        <w:spacing w:line="360" w:lineRule="auto"/>
        <w:jc w:val="both"/>
        <w:rPr>
          <w:rFonts w:ascii="Times New Roman" w:hAnsi="Times New Roman" w:cs="Times New Roman"/>
          <w:sz w:val="24"/>
          <w:szCs w:val="24"/>
        </w:rPr>
      </w:pPr>
      <w:r w:rsidRPr="00DC2891">
        <w:rPr>
          <w:rFonts w:ascii="Times New Roman" w:hAnsi="Times New Roman" w:cs="Times New Roman"/>
          <w:b/>
          <w:bCs/>
          <w:sz w:val="24"/>
          <w:szCs w:val="24"/>
        </w:rPr>
        <w:t>2.</w:t>
      </w:r>
      <w:r w:rsidRPr="00DC2891">
        <w:rPr>
          <w:rFonts w:ascii="Times New Roman" w:hAnsi="Times New Roman" w:cs="Times New Roman"/>
          <w:sz w:val="24"/>
          <w:szCs w:val="24"/>
        </w:rPr>
        <w:t xml:space="preserve"> </w:t>
      </w:r>
      <w:r w:rsidRPr="00DC2891">
        <w:rPr>
          <w:rFonts w:ascii="Times New Roman" w:hAnsi="Times New Roman" w:cs="Times New Roman"/>
          <w:b/>
          <w:bCs/>
          <w:sz w:val="24"/>
          <w:szCs w:val="24"/>
        </w:rPr>
        <w:t xml:space="preserve"> Mechanistic Basis of Phytohormone Crosstalk</w:t>
      </w:r>
    </w:p>
    <w:p w14:paraId="3A427DE2" w14:textId="114E0253" w:rsidR="007C1CEF" w:rsidRPr="00DC2891" w:rsidRDefault="007C1CEF" w:rsidP="008B4467">
      <w:pPr>
        <w:spacing w:line="360" w:lineRule="auto"/>
        <w:jc w:val="both"/>
        <w:rPr>
          <w:rFonts w:ascii="Times New Roman" w:hAnsi="Times New Roman" w:cs="Times New Roman"/>
          <w:b/>
          <w:bCs/>
          <w:sz w:val="24"/>
          <w:szCs w:val="24"/>
        </w:rPr>
      </w:pPr>
      <w:r w:rsidRPr="00DC2891">
        <w:rPr>
          <w:rFonts w:ascii="Times New Roman" w:hAnsi="Times New Roman" w:cs="Times New Roman"/>
          <w:b/>
          <w:bCs/>
          <w:sz w:val="24"/>
          <w:szCs w:val="24"/>
        </w:rPr>
        <w:t>2.1. Signal Perception and Early Signal Integration</w:t>
      </w:r>
    </w:p>
    <w:p w14:paraId="32F95F8E" w14:textId="31310EB5" w:rsidR="00647114" w:rsidRPr="00DC2891" w:rsidRDefault="00647114" w:rsidP="00647114">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 xml:space="preserve">Phytohormone crosstalk </w:t>
      </w:r>
      <w:r w:rsidR="004D371B" w:rsidRPr="00DC2891">
        <w:rPr>
          <w:rFonts w:ascii="Times New Roman" w:hAnsi="Times New Roman" w:cs="Times New Roman"/>
          <w:sz w:val="24"/>
          <w:szCs w:val="24"/>
        </w:rPr>
        <w:t>begins at the level of signal perception, where hormone-specific receptors detect</w:t>
      </w:r>
      <w:r w:rsidRPr="00DC2891">
        <w:rPr>
          <w:rFonts w:ascii="Times New Roman" w:hAnsi="Times New Roman" w:cs="Times New Roman"/>
          <w:sz w:val="24"/>
          <w:szCs w:val="24"/>
        </w:rPr>
        <w:t xml:space="preserve"> environmental stimuli and convert them into biochemical signals. Although each hormone has </w:t>
      </w:r>
      <w:r w:rsidR="004D371B" w:rsidRPr="00DC2891">
        <w:rPr>
          <w:rFonts w:ascii="Times New Roman" w:hAnsi="Times New Roman" w:cs="Times New Roman"/>
          <w:sz w:val="24"/>
          <w:szCs w:val="24"/>
        </w:rPr>
        <w:t>its</w:t>
      </w:r>
      <w:r w:rsidRPr="00DC2891">
        <w:rPr>
          <w:rFonts w:ascii="Times New Roman" w:hAnsi="Times New Roman" w:cs="Times New Roman"/>
          <w:sz w:val="24"/>
          <w:szCs w:val="24"/>
        </w:rPr>
        <w:t xml:space="preserve"> own receptor system, these receptors often converge </w:t>
      </w:r>
      <w:r w:rsidR="004D371B" w:rsidRPr="00DC2891">
        <w:rPr>
          <w:rFonts w:ascii="Times New Roman" w:hAnsi="Times New Roman" w:cs="Times New Roman"/>
          <w:sz w:val="24"/>
          <w:szCs w:val="24"/>
        </w:rPr>
        <w:t>on standard signalling hubs, allowing coordinated control of stress responses</w:t>
      </w:r>
      <w:r w:rsidR="005101F5" w:rsidRPr="00DC2891">
        <w:rPr>
          <w:rFonts w:ascii="Times New Roman" w:hAnsi="Times New Roman" w:cs="Times New Roman"/>
          <w:sz w:val="24"/>
          <w:szCs w:val="24"/>
        </w:rPr>
        <w:t xml:space="preserve"> (Bhatt </w:t>
      </w:r>
      <w:r w:rsidR="005101F5" w:rsidRPr="00DC2891">
        <w:rPr>
          <w:rFonts w:ascii="Times New Roman" w:hAnsi="Times New Roman" w:cs="Times New Roman"/>
          <w:i/>
          <w:iCs/>
          <w:sz w:val="24"/>
          <w:szCs w:val="24"/>
        </w:rPr>
        <w:t>et al</w:t>
      </w:r>
      <w:r w:rsidR="005101F5" w:rsidRPr="00DC2891">
        <w:rPr>
          <w:rFonts w:ascii="Times New Roman" w:hAnsi="Times New Roman" w:cs="Times New Roman"/>
          <w:sz w:val="24"/>
          <w:szCs w:val="24"/>
        </w:rPr>
        <w:t>., 2020)</w:t>
      </w:r>
      <w:r w:rsidRPr="00DC2891">
        <w:rPr>
          <w:rFonts w:ascii="Times New Roman" w:hAnsi="Times New Roman" w:cs="Times New Roman"/>
          <w:sz w:val="24"/>
          <w:szCs w:val="24"/>
        </w:rPr>
        <w:t>. For instance, the PYRABACTIN RESISTANCE (PYR) and PYR-LIKE (PYL) receptor families sense abscisic acid (ABA), a key regulator of drought and salinity tolerance. SnRK2 kinases, which control downstream transcription factors involved in stomatal closure and osmotic adjustment, are activated by these soluble proteins that bind ABA and then block PP2C phosphatases</w:t>
      </w:r>
      <w:r w:rsidR="005101F5" w:rsidRPr="00DC2891">
        <w:rPr>
          <w:rFonts w:ascii="Times New Roman" w:hAnsi="Times New Roman" w:cs="Times New Roman"/>
          <w:sz w:val="24"/>
          <w:szCs w:val="24"/>
        </w:rPr>
        <w:t xml:space="preserve"> (Fidler </w:t>
      </w:r>
      <w:r w:rsidR="005101F5" w:rsidRPr="00DC2891">
        <w:rPr>
          <w:rFonts w:ascii="Times New Roman" w:hAnsi="Times New Roman" w:cs="Times New Roman"/>
          <w:i/>
          <w:iCs/>
          <w:sz w:val="24"/>
          <w:szCs w:val="24"/>
        </w:rPr>
        <w:t>et al</w:t>
      </w:r>
      <w:r w:rsidR="005101F5" w:rsidRPr="00DC2891">
        <w:rPr>
          <w:rFonts w:ascii="Times New Roman" w:hAnsi="Times New Roman" w:cs="Times New Roman"/>
          <w:sz w:val="24"/>
          <w:szCs w:val="24"/>
        </w:rPr>
        <w:t>., 2020)</w:t>
      </w:r>
      <w:r w:rsidRPr="00DC2891">
        <w:rPr>
          <w:rFonts w:ascii="Times New Roman" w:hAnsi="Times New Roman" w:cs="Times New Roman"/>
          <w:sz w:val="24"/>
          <w:szCs w:val="24"/>
        </w:rPr>
        <w:t xml:space="preserve">. On the other hand, the TRANSPORT INHIBITOR RESPONSE 1 (TIR1)/AFB family of F-box proteins, which are a component of the SCF ubiquitin ligase complex, perceive auxin. After auxin binds to TIR1, the receptor </w:t>
      </w:r>
      <w:r w:rsidR="004D371B" w:rsidRPr="00DC2891">
        <w:rPr>
          <w:rFonts w:ascii="Times New Roman" w:hAnsi="Times New Roman" w:cs="Times New Roman"/>
          <w:sz w:val="24"/>
          <w:szCs w:val="24"/>
        </w:rPr>
        <w:t>promotes the ubiquitination and degradation of AUX/IAA repressors</w:t>
      </w:r>
      <w:r w:rsidRPr="00DC2891">
        <w:rPr>
          <w:rFonts w:ascii="Times New Roman" w:hAnsi="Times New Roman" w:cs="Times New Roman"/>
          <w:sz w:val="24"/>
          <w:szCs w:val="24"/>
        </w:rPr>
        <w:t xml:space="preserve">, unleashing ARF transcription factors that activate genes linked to growth. </w:t>
      </w:r>
      <w:r w:rsidR="004D371B" w:rsidRPr="00DC2891">
        <w:rPr>
          <w:rFonts w:ascii="Times New Roman" w:hAnsi="Times New Roman" w:cs="Times New Roman"/>
          <w:sz w:val="24"/>
          <w:szCs w:val="24"/>
        </w:rPr>
        <w:t>Similarly</w:t>
      </w:r>
      <w:r w:rsidRPr="00DC2891">
        <w:rPr>
          <w:rFonts w:ascii="Times New Roman" w:hAnsi="Times New Roman" w:cs="Times New Roman"/>
          <w:sz w:val="24"/>
          <w:szCs w:val="24"/>
        </w:rPr>
        <w:t xml:space="preserve">, the co-receptor pair COI1–JAZ detects </w:t>
      </w:r>
      <w:proofErr w:type="spellStart"/>
      <w:r w:rsidRPr="00DC2891">
        <w:rPr>
          <w:rFonts w:ascii="Times New Roman" w:hAnsi="Times New Roman" w:cs="Times New Roman"/>
          <w:sz w:val="24"/>
          <w:szCs w:val="24"/>
        </w:rPr>
        <w:t>jasmonic</w:t>
      </w:r>
      <w:proofErr w:type="spellEnd"/>
      <w:r w:rsidRPr="00DC2891">
        <w:rPr>
          <w:rFonts w:ascii="Times New Roman" w:hAnsi="Times New Roman" w:cs="Times New Roman"/>
          <w:sz w:val="24"/>
          <w:szCs w:val="24"/>
        </w:rPr>
        <w:t xml:space="preserve"> acid (JA). COI1 is an F-box protein, while JAZ proteins are repressors that become ubiquitinated following JA binding, enabling the activation of stress-responsive MYC transcription factors</w:t>
      </w:r>
      <w:r w:rsidR="005101F5" w:rsidRPr="00DC2891">
        <w:rPr>
          <w:rFonts w:ascii="Times New Roman" w:hAnsi="Times New Roman" w:cs="Times New Roman"/>
          <w:sz w:val="24"/>
          <w:szCs w:val="24"/>
        </w:rPr>
        <w:t xml:space="preserve"> (Fidler </w:t>
      </w:r>
      <w:r w:rsidR="005101F5" w:rsidRPr="00DC2891">
        <w:rPr>
          <w:rFonts w:ascii="Times New Roman" w:hAnsi="Times New Roman" w:cs="Times New Roman"/>
          <w:i/>
          <w:iCs/>
          <w:sz w:val="24"/>
          <w:szCs w:val="24"/>
        </w:rPr>
        <w:t>et al</w:t>
      </w:r>
      <w:r w:rsidR="005101F5" w:rsidRPr="00DC2891">
        <w:rPr>
          <w:rFonts w:ascii="Times New Roman" w:hAnsi="Times New Roman" w:cs="Times New Roman"/>
          <w:sz w:val="24"/>
          <w:szCs w:val="24"/>
        </w:rPr>
        <w:t>., 2020)</w:t>
      </w:r>
      <w:r w:rsidRPr="00DC2891">
        <w:rPr>
          <w:rFonts w:ascii="Times New Roman" w:hAnsi="Times New Roman" w:cs="Times New Roman"/>
          <w:sz w:val="24"/>
          <w:szCs w:val="24"/>
        </w:rPr>
        <w:t>.</w:t>
      </w:r>
    </w:p>
    <w:p w14:paraId="1D390E4C" w14:textId="631C8CDF" w:rsidR="00647114" w:rsidRPr="00DC2891" w:rsidRDefault="00647114" w:rsidP="00647114">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lastRenderedPageBreak/>
        <w:t xml:space="preserve">Although these receptors operate in different biochemical contexts, they share a common logic: each hormone relieves repression by </w:t>
      </w:r>
      <w:r w:rsidR="004D371B" w:rsidRPr="00DC2891">
        <w:rPr>
          <w:rFonts w:ascii="Times New Roman" w:hAnsi="Times New Roman" w:cs="Times New Roman"/>
          <w:sz w:val="24"/>
          <w:szCs w:val="24"/>
        </w:rPr>
        <w:t>destabilising</w:t>
      </w:r>
      <w:r w:rsidRPr="00DC2891">
        <w:rPr>
          <w:rFonts w:ascii="Times New Roman" w:hAnsi="Times New Roman" w:cs="Times New Roman"/>
          <w:sz w:val="24"/>
          <w:szCs w:val="24"/>
        </w:rPr>
        <w:t xml:space="preserve"> negative regulators. This common theme creates natural points of integration. For instance, the JA receptor COI1–JAZ pathway interacts with the ABA–PYR/PYL–PP2C pathway through shared transcription factors</w:t>
      </w:r>
      <w:r w:rsidR="004D371B" w:rsidRPr="00DC2891">
        <w:rPr>
          <w:rFonts w:ascii="Times New Roman" w:hAnsi="Times New Roman" w:cs="Times New Roman"/>
          <w:sz w:val="24"/>
          <w:szCs w:val="24"/>
        </w:rPr>
        <w:t>, such as</w:t>
      </w:r>
      <w:r w:rsidRPr="00DC2891">
        <w:rPr>
          <w:rFonts w:ascii="Times New Roman" w:hAnsi="Times New Roman" w:cs="Times New Roman"/>
          <w:sz w:val="24"/>
          <w:szCs w:val="24"/>
        </w:rPr>
        <w:t xml:space="preserve"> MYC2, which can either promote or </w:t>
      </w:r>
      <w:r w:rsidR="004D371B" w:rsidRPr="00DC2891">
        <w:rPr>
          <w:rFonts w:ascii="Times New Roman" w:hAnsi="Times New Roman" w:cs="Times New Roman"/>
          <w:sz w:val="24"/>
          <w:szCs w:val="24"/>
        </w:rPr>
        <w:t>antagonise</w:t>
      </w:r>
      <w:r w:rsidRPr="00DC2891">
        <w:rPr>
          <w:rFonts w:ascii="Times New Roman" w:hAnsi="Times New Roman" w:cs="Times New Roman"/>
          <w:sz w:val="24"/>
          <w:szCs w:val="24"/>
        </w:rPr>
        <w:t xml:space="preserve"> ABA responses. Early signal perception</w:t>
      </w:r>
      <w:r w:rsidR="004D371B" w:rsidRPr="00DC2891">
        <w:rPr>
          <w:rFonts w:ascii="Times New Roman" w:hAnsi="Times New Roman" w:cs="Times New Roman"/>
          <w:sz w:val="24"/>
          <w:szCs w:val="24"/>
        </w:rPr>
        <w:t>, therefore, sets the stage for crosstalk not by merging receptors, but by channelling</w:t>
      </w:r>
      <w:r w:rsidRPr="00DC2891">
        <w:rPr>
          <w:rFonts w:ascii="Times New Roman" w:hAnsi="Times New Roman" w:cs="Times New Roman"/>
          <w:sz w:val="24"/>
          <w:szCs w:val="24"/>
        </w:rPr>
        <w:t xml:space="preserve"> their outputs into shared regulatory nodes that integrate environmental inputs into a coordinated outcome</w:t>
      </w:r>
      <w:r w:rsidR="005101F5" w:rsidRPr="00DC2891">
        <w:rPr>
          <w:rFonts w:ascii="Times New Roman" w:hAnsi="Times New Roman" w:cs="Times New Roman"/>
          <w:sz w:val="24"/>
          <w:szCs w:val="24"/>
        </w:rPr>
        <w:t xml:space="preserve"> (Aleman </w:t>
      </w:r>
      <w:r w:rsidR="005101F5" w:rsidRPr="00DC2891">
        <w:rPr>
          <w:rFonts w:ascii="Times New Roman" w:hAnsi="Times New Roman" w:cs="Times New Roman"/>
          <w:i/>
          <w:iCs/>
          <w:sz w:val="24"/>
          <w:szCs w:val="24"/>
        </w:rPr>
        <w:t>et al</w:t>
      </w:r>
      <w:r w:rsidR="005101F5" w:rsidRPr="00DC2891">
        <w:rPr>
          <w:rFonts w:ascii="Times New Roman" w:hAnsi="Times New Roman" w:cs="Times New Roman"/>
          <w:sz w:val="24"/>
          <w:szCs w:val="24"/>
        </w:rPr>
        <w:t>., 2016)</w:t>
      </w:r>
      <w:r w:rsidRPr="00DC2891">
        <w:rPr>
          <w:rFonts w:ascii="Times New Roman" w:hAnsi="Times New Roman" w:cs="Times New Roman"/>
          <w:sz w:val="24"/>
          <w:szCs w:val="24"/>
        </w:rPr>
        <w:t>.</w:t>
      </w:r>
    </w:p>
    <w:p w14:paraId="66B35D5D" w14:textId="3C4FC5C2" w:rsidR="00647114" w:rsidRPr="00DC2891" w:rsidRDefault="007C1CEF" w:rsidP="00647114">
      <w:pPr>
        <w:spacing w:line="360" w:lineRule="auto"/>
        <w:jc w:val="both"/>
        <w:rPr>
          <w:rFonts w:ascii="Times New Roman" w:hAnsi="Times New Roman" w:cs="Times New Roman"/>
          <w:b/>
          <w:bCs/>
          <w:sz w:val="24"/>
          <w:szCs w:val="24"/>
        </w:rPr>
      </w:pPr>
      <w:r w:rsidRPr="00DC2891">
        <w:rPr>
          <w:rFonts w:ascii="Times New Roman" w:hAnsi="Times New Roman" w:cs="Times New Roman"/>
          <w:b/>
          <w:bCs/>
          <w:sz w:val="24"/>
          <w:szCs w:val="24"/>
        </w:rPr>
        <w:t xml:space="preserve">2.2. </w:t>
      </w:r>
      <w:r w:rsidR="004D371B" w:rsidRPr="00DC2891">
        <w:rPr>
          <w:rFonts w:ascii="Times New Roman" w:hAnsi="Times New Roman" w:cs="Times New Roman"/>
          <w:b/>
          <w:bCs/>
          <w:sz w:val="24"/>
          <w:szCs w:val="24"/>
        </w:rPr>
        <w:t>Signalling</w:t>
      </w:r>
      <w:r w:rsidRPr="00DC2891">
        <w:rPr>
          <w:rFonts w:ascii="Times New Roman" w:hAnsi="Times New Roman" w:cs="Times New Roman"/>
          <w:b/>
          <w:bCs/>
          <w:sz w:val="24"/>
          <w:szCs w:val="24"/>
        </w:rPr>
        <w:t xml:space="preserve"> Cascades and Shared Secondary Messengers</w:t>
      </w:r>
    </w:p>
    <w:p w14:paraId="2C9006F9" w14:textId="1ADAF2E9" w:rsidR="00647114" w:rsidRPr="00DC2891" w:rsidRDefault="00647114" w:rsidP="00647114">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 xml:space="preserve">Plants use secondary messengers to </w:t>
      </w:r>
      <w:r w:rsidR="004D371B" w:rsidRPr="00DC2891">
        <w:rPr>
          <w:rFonts w:ascii="Times New Roman" w:hAnsi="Times New Roman" w:cs="Times New Roman"/>
          <w:sz w:val="24"/>
          <w:szCs w:val="24"/>
        </w:rPr>
        <w:t>amplify and propagate signals after hormone sensing</w:t>
      </w:r>
      <w:r w:rsidRPr="00DC2891">
        <w:rPr>
          <w:rFonts w:ascii="Times New Roman" w:hAnsi="Times New Roman" w:cs="Times New Roman"/>
          <w:sz w:val="24"/>
          <w:szCs w:val="24"/>
        </w:rPr>
        <w:t>. Overlapping pools of these messengers, particularly calcium ions (Ca2+), reactive oxygen species (ROS), nitric oxide (NO), and phosphorylation cascades, are used by many phytohormone pathways to create places where signals converge</w:t>
      </w:r>
      <w:r w:rsidR="004A599D" w:rsidRPr="00DC2891">
        <w:rPr>
          <w:rFonts w:ascii="Times New Roman" w:hAnsi="Times New Roman" w:cs="Times New Roman"/>
          <w:sz w:val="24"/>
          <w:szCs w:val="24"/>
        </w:rPr>
        <w:t xml:space="preserve"> (</w:t>
      </w:r>
      <w:proofErr w:type="spellStart"/>
      <w:r w:rsidR="004A599D" w:rsidRPr="00DC2891">
        <w:rPr>
          <w:rFonts w:ascii="Times New Roman" w:hAnsi="Times New Roman" w:cs="Times New Roman"/>
          <w:sz w:val="24"/>
          <w:szCs w:val="24"/>
        </w:rPr>
        <w:t>Köster</w:t>
      </w:r>
      <w:proofErr w:type="spellEnd"/>
      <w:r w:rsidR="004A599D" w:rsidRPr="00DC2891">
        <w:rPr>
          <w:rFonts w:ascii="Times New Roman" w:hAnsi="Times New Roman" w:cs="Times New Roman"/>
          <w:sz w:val="24"/>
          <w:szCs w:val="24"/>
        </w:rPr>
        <w:t xml:space="preserve"> </w:t>
      </w:r>
      <w:r w:rsidR="004A599D" w:rsidRPr="00DC2891">
        <w:rPr>
          <w:rFonts w:ascii="Times New Roman" w:hAnsi="Times New Roman" w:cs="Times New Roman"/>
          <w:i/>
          <w:iCs/>
          <w:sz w:val="24"/>
          <w:szCs w:val="24"/>
        </w:rPr>
        <w:t>et al</w:t>
      </w:r>
      <w:r w:rsidR="004A599D" w:rsidRPr="00DC2891">
        <w:rPr>
          <w:rFonts w:ascii="Times New Roman" w:hAnsi="Times New Roman" w:cs="Times New Roman"/>
          <w:sz w:val="24"/>
          <w:szCs w:val="24"/>
        </w:rPr>
        <w:t>., 2022)</w:t>
      </w:r>
      <w:r w:rsidRPr="00DC2891">
        <w:rPr>
          <w:rFonts w:ascii="Times New Roman" w:hAnsi="Times New Roman" w:cs="Times New Roman"/>
          <w:sz w:val="24"/>
          <w:szCs w:val="24"/>
        </w:rPr>
        <w:t>.</w:t>
      </w:r>
    </w:p>
    <w:p w14:paraId="632F5A69" w14:textId="058A267A" w:rsidR="00647114" w:rsidRPr="00DC2891" w:rsidRDefault="00647114" w:rsidP="00647114">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 xml:space="preserve">One of the most common integrators is calcium. By activating ion channels in the plasma membrane or </w:t>
      </w:r>
      <w:r w:rsidR="004D371B" w:rsidRPr="00DC2891">
        <w:rPr>
          <w:rFonts w:ascii="Times New Roman" w:hAnsi="Times New Roman" w:cs="Times New Roman"/>
          <w:sz w:val="24"/>
          <w:szCs w:val="24"/>
        </w:rPr>
        <w:t>the tonoplast, hormones, including ABA, ethylene, and salicylic acid (SA),</w:t>
      </w:r>
      <w:r w:rsidRPr="00DC2891">
        <w:rPr>
          <w:rFonts w:ascii="Times New Roman" w:hAnsi="Times New Roman" w:cs="Times New Roman"/>
          <w:sz w:val="24"/>
          <w:szCs w:val="24"/>
        </w:rPr>
        <w:t xml:space="preserve"> can cause abrupt changes in cytosolic Ca2+. Sensor proteins such as calmodulins and calcium-dependent protein kinases (CDPKs), many of which are conserved across hormone pathways, decode these Ca2+ signals. A single CDPK </w:t>
      </w:r>
      <w:r w:rsidR="004D371B" w:rsidRPr="00DC2891">
        <w:rPr>
          <w:rFonts w:ascii="Times New Roman" w:hAnsi="Times New Roman" w:cs="Times New Roman"/>
          <w:sz w:val="24"/>
          <w:szCs w:val="24"/>
        </w:rPr>
        <w:t>can</w:t>
      </w:r>
      <w:r w:rsidRPr="00DC2891">
        <w:rPr>
          <w:rFonts w:ascii="Times New Roman" w:hAnsi="Times New Roman" w:cs="Times New Roman"/>
          <w:sz w:val="24"/>
          <w:szCs w:val="24"/>
        </w:rPr>
        <w:t xml:space="preserve"> both modulate defence pathways dependent on SA or JA and phosphorylate sites implicated in ABA-induced stomatal closure. A biochemical "conversation" across hormone pathways is produced by this overlapping employment of Ca2+ sensors</w:t>
      </w:r>
      <w:r w:rsidR="004A599D" w:rsidRPr="00DC2891">
        <w:rPr>
          <w:rFonts w:ascii="Times New Roman" w:hAnsi="Times New Roman" w:cs="Times New Roman"/>
          <w:sz w:val="24"/>
          <w:szCs w:val="24"/>
        </w:rPr>
        <w:t xml:space="preserve"> (</w:t>
      </w:r>
      <w:proofErr w:type="spellStart"/>
      <w:r w:rsidR="004A599D" w:rsidRPr="00DC2891">
        <w:rPr>
          <w:rFonts w:ascii="Times New Roman" w:hAnsi="Times New Roman" w:cs="Times New Roman"/>
          <w:sz w:val="24"/>
          <w:szCs w:val="24"/>
        </w:rPr>
        <w:t>Köster</w:t>
      </w:r>
      <w:proofErr w:type="spellEnd"/>
      <w:r w:rsidR="004A599D" w:rsidRPr="00DC2891">
        <w:rPr>
          <w:rFonts w:ascii="Times New Roman" w:hAnsi="Times New Roman" w:cs="Times New Roman"/>
          <w:sz w:val="24"/>
          <w:szCs w:val="24"/>
        </w:rPr>
        <w:t xml:space="preserve"> </w:t>
      </w:r>
      <w:r w:rsidR="004A599D" w:rsidRPr="00DC2891">
        <w:rPr>
          <w:rFonts w:ascii="Times New Roman" w:hAnsi="Times New Roman" w:cs="Times New Roman"/>
          <w:i/>
          <w:iCs/>
          <w:sz w:val="24"/>
          <w:szCs w:val="24"/>
        </w:rPr>
        <w:t>et al</w:t>
      </w:r>
      <w:r w:rsidR="004A599D" w:rsidRPr="00DC2891">
        <w:rPr>
          <w:rFonts w:ascii="Times New Roman" w:hAnsi="Times New Roman" w:cs="Times New Roman"/>
          <w:sz w:val="24"/>
          <w:szCs w:val="24"/>
        </w:rPr>
        <w:t>., 2022)</w:t>
      </w:r>
      <w:r w:rsidRPr="00DC2891">
        <w:rPr>
          <w:rFonts w:ascii="Times New Roman" w:hAnsi="Times New Roman" w:cs="Times New Roman"/>
          <w:sz w:val="24"/>
          <w:szCs w:val="24"/>
        </w:rPr>
        <w:t>.</w:t>
      </w:r>
    </w:p>
    <w:p w14:paraId="6E2C3A6B" w14:textId="02919A9F" w:rsidR="00647114" w:rsidRPr="00DC2891" w:rsidRDefault="00647114" w:rsidP="00647114">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 xml:space="preserve">Another important integrator is reactive oxygen species. While JA and SA intensify oxidative bursts </w:t>
      </w:r>
      <w:r w:rsidR="004D371B" w:rsidRPr="00DC2891">
        <w:rPr>
          <w:rFonts w:ascii="Times New Roman" w:hAnsi="Times New Roman" w:cs="Times New Roman"/>
          <w:sz w:val="24"/>
          <w:szCs w:val="24"/>
        </w:rPr>
        <w:t>during defence responses, ABA activates NADPH oxidases to generate ROS in guard cells under</w:t>
      </w:r>
      <w:r w:rsidRPr="00DC2891">
        <w:rPr>
          <w:rFonts w:ascii="Times New Roman" w:hAnsi="Times New Roman" w:cs="Times New Roman"/>
          <w:sz w:val="24"/>
          <w:szCs w:val="24"/>
        </w:rPr>
        <w:t xml:space="preserve"> stress. ROS provide a quick, centralised way to link hormone signals because they easily diffuse and trigger common MAP kinase (MAPK) cascades. For instance, JA and ethylene both activate MAPKs</w:t>
      </w:r>
      <w:r w:rsidR="004D371B" w:rsidRPr="00DC2891">
        <w:rPr>
          <w:rFonts w:ascii="Times New Roman" w:hAnsi="Times New Roman" w:cs="Times New Roman"/>
          <w:sz w:val="24"/>
          <w:szCs w:val="24"/>
        </w:rPr>
        <w:t>, such as MPK3 and MPK6, during wounding, but they also participate</w:t>
      </w:r>
      <w:r w:rsidRPr="00DC2891">
        <w:rPr>
          <w:rFonts w:ascii="Times New Roman" w:hAnsi="Times New Roman" w:cs="Times New Roman"/>
          <w:sz w:val="24"/>
          <w:szCs w:val="24"/>
        </w:rPr>
        <w:t xml:space="preserve"> in ABA-mediated signalling during drought stress. Through a single signalling system, this shared activation enables plants to modify defence gene expression, </w:t>
      </w:r>
      <w:r w:rsidR="004D371B" w:rsidRPr="00DC2891">
        <w:rPr>
          <w:rFonts w:ascii="Times New Roman" w:hAnsi="Times New Roman" w:cs="Times New Roman"/>
          <w:sz w:val="24"/>
          <w:szCs w:val="24"/>
        </w:rPr>
        <w:t>inhibit growth, and alter metabolism</w:t>
      </w:r>
      <w:r w:rsidRPr="00DC2891">
        <w:rPr>
          <w:rFonts w:ascii="Times New Roman" w:hAnsi="Times New Roman" w:cs="Times New Roman"/>
          <w:sz w:val="24"/>
          <w:szCs w:val="24"/>
        </w:rPr>
        <w:t>. These secondary messengers work together to create a molecular "currency" that is used by several hormone pathways, ensuring that signals produced during stress are coordinated rather than contradictory</w:t>
      </w:r>
      <w:r w:rsidR="004A599D" w:rsidRPr="00DC2891">
        <w:rPr>
          <w:rFonts w:ascii="Times New Roman" w:hAnsi="Times New Roman" w:cs="Times New Roman"/>
          <w:sz w:val="24"/>
          <w:szCs w:val="24"/>
        </w:rPr>
        <w:t xml:space="preserve"> (Sharma </w:t>
      </w:r>
      <w:r w:rsidR="004A599D" w:rsidRPr="00DC2891">
        <w:rPr>
          <w:rFonts w:ascii="Times New Roman" w:hAnsi="Times New Roman" w:cs="Times New Roman"/>
          <w:i/>
          <w:iCs/>
          <w:sz w:val="24"/>
          <w:szCs w:val="24"/>
        </w:rPr>
        <w:t>et al</w:t>
      </w:r>
      <w:r w:rsidR="004A599D" w:rsidRPr="00DC2891">
        <w:rPr>
          <w:rFonts w:ascii="Times New Roman" w:hAnsi="Times New Roman" w:cs="Times New Roman"/>
          <w:sz w:val="24"/>
          <w:szCs w:val="24"/>
        </w:rPr>
        <w:t>., 2020)</w:t>
      </w:r>
      <w:r w:rsidRPr="00DC2891">
        <w:rPr>
          <w:rFonts w:ascii="Times New Roman" w:hAnsi="Times New Roman" w:cs="Times New Roman"/>
          <w:sz w:val="24"/>
          <w:szCs w:val="24"/>
        </w:rPr>
        <w:t>.</w:t>
      </w:r>
    </w:p>
    <w:p w14:paraId="29B172CC" w14:textId="44353432" w:rsidR="00647114" w:rsidRPr="00DC2891" w:rsidRDefault="007C1CEF" w:rsidP="00647114">
      <w:pPr>
        <w:spacing w:line="360" w:lineRule="auto"/>
        <w:jc w:val="both"/>
        <w:rPr>
          <w:rFonts w:ascii="Times New Roman" w:hAnsi="Times New Roman" w:cs="Times New Roman"/>
          <w:b/>
          <w:bCs/>
          <w:sz w:val="24"/>
          <w:szCs w:val="24"/>
        </w:rPr>
      </w:pPr>
      <w:r w:rsidRPr="00DC2891">
        <w:rPr>
          <w:rFonts w:ascii="Times New Roman" w:hAnsi="Times New Roman" w:cs="Times New Roman"/>
          <w:b/>
          <w:bCs/>
          <w:sz w:val="24"/>
          <w:szCs w:val="24"/>
        </w:rPr>
        <w:t>2.3. Transcriptional Rewiring and Shared Regulatory Proteins</w:t>
      </w:r>
    </w:p>
    <w:p w14:paraId="0C613307" w14:textId="78DBB14F" w:rsidR="00647114" w:rsidRPr="00DC2891" w:rsidRDefault="00647114" w:rsidP="00647114">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lastRenderedPageBreak/>
        <w:t xml:space="preserve">Transcription factors that serve as intersections between hormone pathways facilitate crosstalk at the transcriptional level. It is now known that several transcription factors that were once categorised under a single hormone </w:t>
      </w:r>
      <w:r w:rsidR="004D371B" w:rsidRPr="00DC2891">
        <w:rPr>
          <w:rFonts w:ascii="Times New Roman" w:hAnsi="Times New Roman" w:cs="Times New Roman"/>
          <w:sz w:val="24"/>
          <w:szCs w:val="24"/>
        </w:rPr>
        <w:t xml:space="preserve">pathway control genes </w:t>
      </w:r>
      <w:r w:rsidRPr="00DC2891">
        <w:rPr>
          <w:rFonts w:ascii="Times New Roman" w:hAnsi="Times New Roman" w:cs="Times New Roman"/>
          <w:sz w:val="24"/>
          <w:szCs w:val="24"/>
        </w:rPr>
        <w:t xml:space="preserve">responsive to different hormones, forming </w:t>
      </w:r>
      <w:proofErr w:type="spellStart"/>
      <w:r w:rsidRPr="00DC2891">
        <w:rPr>
          <w:rFonts w:ascii="Times New Roman" w:hAnsi="Times New Roman" w:cs="Times New Roman"/>
          <w:sz w:val="24"/>
          <w:szCs w:val="24"/>
        </w:rPr>
        <w:t>multilayered</w:t>
      </w:r>
      <w:proofErr w:type="spellEnd"/>
      <w:r w:rsidRPr="00DC2891">
        <w:rPr>
          <w:rFonts w:ascii="Times New Roman" w:hAnsi="Times New Roman" w:cs="Times New Roman"/>
          <w:sz w:val="24"/>
          <w:szCs w:val="24"/>
        </w:rPr>
        <w:t xml:space="preserve"> regulatory networks.</w:t>
      </w:r>
    </w:p>
    <w:p w14:paraId="03B2A456" w14:textId="073B71AC" w:rsidR="00647114" w:rsidRPr="00DC2891" w:rsidRDefault="00647114" w:rsidP="00647114">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 xml:space="preserve">The transcription factors NAC and WRKY, which are involved in ABA-, JA-, and SA-mediated responses, are a notable example. While </w:t>
      </w:r>
      <w:r w:rsidR="004D371B" w:rsidRPr="00DC2891">
        <w:rPr>
          <w:rFonts w:ascii="Times New Roman" w:hAnsi="Times New Roman" w:cs="Times New Roman"/>
          <w:sz w:val="24"/>
          <w:szCs w:val="24"/>
        </w:rPr>
        <w:t>both ABA and ethylene increase several NAC proteins</w:t>
      </w:r>
      <w:r w:rsidRPr="00DC2891">
        <w:rPr>
          <w:rFonts w:ascii="Times New Roman" w:hAnsi="Times New Roman" w:cs="Times New Roman"/>
          <w:sz w:val="24"/>
          <w:szCs w:val="24"/>
        </w:rPr>
        <w:t xml:space="preserve"> </w:t>
      </w:r>
      <w:r w:rsidR="004D371B" w:rsidRPr="00DC2891">
        <w:rPr>
          <w:rFonts w:ascii="Times New Roman" w:hAnsi="Times New Roman" w:cs="Times New Roman"/>
          <w:sz w:val="24"/>
          <w:szCs w:val="24"/>
        </w:rPr>
        <w:t>under drought and flooding stress, WRKY33, first identified</w:t>
      </w:r>
      <w:r w:rsidRPr="00DC2891">
        <w:rPr>
          <w:rFonts w:ascii="Times New Roman" w:hAnsi="Times New Roman" w:cs="Times New Roman"/>
          <w:sz w:val="24"/>
          <w:szCs w:val="24"/>
        </w:rPr>
        <w:t xml:space="preserve"> as a regulator of pathogen defence, can also affect JA biosynthesis by controlling LOX genes. Similarly, depending on the cellular context, MYC2, </w:t>
      </w:r>
      <w:r w:rsidR="004D371B" w:rsidRPr="00DC2891">
        <w:rPr>
          <w:rFonts w:ascii="Times New Roman" w:hAnsi="Times New Roman" w:cs="Times New Roman"/>
          <w:sz w:val="24"/>
          <w:szCs w:val="24"/>
        </w:rPr>
        <w:t>typically considered</w:t>
      </w:r>
      <w:r w:rsidRPr="00DC2891">
        <w:rPr>
          <w:rFonts w:ascii="Times New Roman" w:hAnsi="Times New Roman" w:cs="Times New Roman"/>
          <w:sz w:val="24"/>
          <w:szCs w:val="24"/>
        </w:rPr>
        <w:t xml:space="preserve"> a JA master regulator, can directly activate or repress ABA-responsive genes to control ABA signalling</w:t>
      </w:r>
      <w:r w:rsidR="004A599D" w:rsidRPr="00DC2891">
        <w:rPr>
          <w:rFonts w:ascii="Times New Roman" w:hAnsi="Times New Roman" w:cs="Times New Roman"/>
          <w:sz w:val="24"/>
          <w:szCs w:val="24"/>
        </w:rPr>
        <w:t xml:space="preserve"> (Li </w:t>
      </w:r>
      <w:r w:rsidR="004A599D" w:rsidRPr="00DC2891">
        <w:rPr>
          <w:rFonts w:ascii="Times New Roman" w:hAnsi="Times New Roman" w:cs="Times New Roman"/>
          <w:i/>
          <w:iCs/>
          <w:sz w:val="24"/>
          <w:szCs w:val="24"/>
        </w:rPr>
        <w:t>et al</w:t>
      </w:r>
      <w:r w:rsidR="004A599D" w:rsidRPr="00DC2891">
        <w:rPr>
          <w:rFonts w:ascii="Times New Roman" w:hAnsi="Times New Roman" w:cs="Times New Roman"/>
          <w:sz w:val="24"/>
          <w:szCs w:val="24"/>
        </w:rPr>
        <w:t>., 2025)</w:t>
      </w:r>
      <w:r w:rsidRPr="00DC2891">
        <w:rPr>
          <w:rFonts w:ascii="Times New Roman" w:hAnsi="Times New Roman" w:cs="Times New Roman"/>
          <w:sz w:val="24"/>
          <w:szCs w:val="24"/>
        </w:rPr>
        <w:t>.</w:t>
      </w:r>
    </w:p>
    <w:p w14:paraId="07F8E056" w14:textId="596C60F0" w:rsidR="00647114" w:rsidRPr="00DC2891" w:rsidRDefault="00647114" w:rsidP="00647114">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Based on adaptation requirements, the plant can prioritise one hormone response over another thanks to these common transcription factors. For example, because ABA-responsive transcription factors suppress the expression of auxin biosynthesis genes and auxin transporters, ABA tends to predominate over growth-promoting auxin during severe drought. On the other hand, SA and JA can mutually repress one another at the transcriptional level during biotic stress, forming a regulatory hierarchy that stops incompatible defence mechanisms from operating concurrently. Transcriptional crosstalk</w:t>
      </w:r>
      <w:r w:rsidR="004D371B" w:rsidRPr="00DC2891">
        <w:rPr>
          <w:rFonts w:ascii="Times New Roman" w:hAnsi="Times New Roman" w:cs="Times New Roman"/>
          <w:sz w:val="24"/>
          <w:szCs w:val="24"/>
        </w:rPr>
        <w:t xml:space="preserve"> thus allows </w:t>
      </w:r>
      <w:r w:rsidRPr="00DC2891">
        <w:rPr>
          <w:rFonts w:ascii="Times New Roman" w:hAnsi="Times New Roman" w:cs="Times New Roman"/>
          <w:sz w:val="24"/>
          <w:szCs w:val="24"/>
        </w:rPr>
        <w:t>continuous rewiring of gene expression networks to precisely customise stress responses</w:t>
      </w:r>
      <w:r w:rsidR="004A599D" w:rsidRPr="00DC2891">
        <w:rPr>
          <w:rFonts w:ascii="Times New Roman" w:hAnsi="Times New Roman" w:cs="Times New Roman"/>
          <w:sz w:val="24"/>
          <w:szCs w:val="24"/>
        </w:rPr>
        <w:t xml:space="preserve"> (Gao </w:t>
      </w:r>
      <w:r w:rsidR="004A599D" w:rsidRPr="00DC2891">
        <w:rPr>
          <w:rFonts w:ascii="Times New Roman" w:hAnsi="Times New Roman" w:cs="Times New Roman"/>
          <w:i/>
          <w:iCs/>
          <w:sz w:val="24"/>
          <w:szCs w:val="24"/>
        </w:rPr>
        <w:t>et al.,</w:t>
      </w:r>
      <w:r w:rsidR="004A599D" w:rsidRPr="00DC2891">
        <w:rPr>
          <w:rFonts w:ascii="Times New Roman" w:hAnsi="Times New Roman" w:cs="Times New Roman"/>
          <w:sz w:val="24"/>
          <w:szCs w:val="24"/>
        </w:rPr>
        <w:t xml:space="preserve"> 2024)</w:t>
      </w:r>
      <w:r w:rsidRPr="00DC2891">
        <w:rPr>
          <w:rFonts w:ascii="Times New Roman" w:hAnsi="Times New Roman" w:cs="Times New Roman"/>
          <w:sz w:val="24"/>
          <w:szCs w:val="24"/>
        </w:rPr>
        <w:t>.</w:t>
      </w:r>
    </w:p>
    <w:p w14:paraId="0341E872" w14:textId="11CA79EE" w:rsidR="00647114" w:rsidRPr="00DC2891" w:rsidRDefault="007C1CEF" w:rsidP="00647114">
      <w:pPr>
        <w:spacing w:line="360" w:lineRule="auto"/>
        <w:jc w:val="both"/>
        <w:rPr>
          <w:rFonts w:ascii="Times New Roman" w:hAnsi="Times New Roman" w:cs="Times New Roman"/>
          <w:b/>
          <w:bCs/>
          <w:sz w:val="24"/>
          <w:szCs w:val="24"/>
        </w:rPr>
      </w:pPr>
      <w:r w:rsidRPr="00DC2891">
        <w:rPr>
          <w:rFonts w:ascii="Times New Roman" w:hAnsi="Times New Roman" w:cs="Times New Roman"/>
          <w:b/>
          <w:bCs/>
          <w:sz w:val="24"/>
          <w:szCs w:val="24"/>
        </w:rPr>
        <w:t>2.4. Metabolic and Biosynthetic Cross-Regulation of Hormones</w:t>
      </w:r>
    </w:p>
    <w:p w14:paraId="53C28D68" w14:textId="583EB3F9" w:rsidR="007C1CEF" w:rsidRPr="00DC2891" w:rsidRDefault="007C1CEF" w:rsidP="007C1CEF">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Additionally, phytohormones interact at the metabolic level, where the production or breakdown of one hormone affects other hormone pools. Enzymes that function at metabolic pathway branches or regulatory proteins that govern the expression of genes involved in hormone biosynthesis frequently mediate this</w:t>
      </w:r>
      <w:r w:rsidR="004A599D" w:rsidRPr="00DC2891">
        <w:rPr>
          <w:rFonts w:ascii="Times New Roman" w:hAnsi="Times New Roman" w:cs="Times New Roman"/>
          <w:sz w:val="24"/>
          <w:szCs w:val="24"/>
        </w:rPr>
        <w:t xml:space="preserve"> (Gao </w:t>
      </w:r>
      <w:r w:rsidR="004A599D" w:rsidRPr="00DC2891">
        <w:rPr>
          <w:rFonts w:ascii="Times New Roman" w:hAnsi="Times New Roman" w:cs="Times New Roman"/>
          <w:i/>
          <w:iCs/>
          <w:sz w:val="24"/>
          <w:szCs w:val="24"/>
        </w:rPr>
        <w:t>et al.,</w:t>
      </w:r>
      <w:r w:rsidR="004A599D" w:rsidRPr="00DC2891">
        <w:rPr>
          <w:rFonts w:ascii="Times New Roman" w:hAnsi="Times New Roman" w:cs="Times New Roman"/>
          <w:sz w:val="24"/>
          <w:szCs w:val="24"/>
        </w:rPr>
        <w:t xml:space="preserve"> 2024)</w:t>
      </w:r>
      <w:r w:rsidRPr="00DC2891">
        <w:rPr>
          <w:rFonts w:ascii="Times New Roman" w:hAnsi="Times New Roman" w:cs="Times New Roman"/>
          <w:sz w:val="24"/>
          <w:szCs w:val="24"/>
        </w:rPr>
        <w:t>.</w:t>
      </w:r>
    </w:p>
    <w:p w14:paraId="3B779A9C" w14:textId="7411845E" w:rsidR="007C1CEF" w:rsidRPr="00DC2891" w:rsidRDefault="007C1CEF" w:rsidP="007C1CEF">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 xml:space="preserve">For instance, both the ABA and JA biosynthesis pathways rely on precursors produced from plastids. Gibberellins (GA), </w:t>
      </w:r>
      <w:proofErr w:type="spellStart"/>
      <w:r w:rsidRPr="00DC2891">
        <w:rPr>
          <w:rFonts w:ascii="Times New Roman" w:hAnsi="Times New Roman" w:cs="Times New Roman"/>
          <w:sz w:val="24"/>
          <w:szCs w:val="24"/>
        </w:rPr>
        <w:t>cytokinins</w:t>
      </w:r>
      <w:proofErr w:type="spellEnd"/>
      <w:r w:rsidRPr="00DC2891">
        <w:rPr>
          <w:rFonts w:ascii="Times New Roman" w:hAnsi="Times New Roman" w:cs="Times New Roman"/>
          <w:sz w:val="24"/>
          <w:szCs w:val="24"/>
        </w:rPr>
        <w:t xml:space="preserve">, and ABA can </w:t>
      </w:r>
      <w:r w:rsidR="004D371B" w:rsidRPr="00DC2891">
        <w:rPr>
          <w:rFonts w:ascii="Times New Roman" w:hAnsi="Times New Roman" w:cs="Times New Roman"/>
          <w:sz w:val="24"/>
          <w:szCs w:val="24"/>
        </w:rPr>
        <w:t>be produced concurrently by manipulating the methylerythritol phosphate (MEP) pathway</w:t>
      </w:r>
      <w:r w:rsidRPr="00DC2891">
        <w:rPr>
          <w:rFonts w:ascii="Times New Roman" w:hAnsi="Times New Roman" w:cs="Times New Roman"/>
          <w:sz w:val="24"/>
          <w:szCs w:val="24"/>
        </w:rPr>
        <w:t xml:space="preserve">, which produces isoprenoid precursors. The MEP route is </w:t>
      </w:r>
      <w:r w:rsidR="004D371B" w:rsidRPr="00DC2891">
        <w:rPr>
          <w:rFonts w:ascii="Times New Roman" w:hAnsi="Times New Roman" w:cs="Times New Roman"/>
          <w:sz w:val="24"/>
          <w:szCs w:val="24"/>
        </w:rPr>
        <w:t>composed of plastid-localised enzymes that convert pyruvate and glyceraldehyde-3-phosphate into isopentenyl diphosphate, a precursor for several terpenoid hormones</w:t>
      </w:r>
      <w:r w:rsidRPr="00DC2891">
        <w:rPr>
          <w:rFonts w:ascii="Times New Roman" w:hAnsi="Times New Roman" w:cs="Times New Roman"/>
          <w:sz w:val="24"/>
          <w:szCs w:val="24"/>
        </w:rPr>
        <w:t xml:space="preserve">. </w:t>
      </w:r>
      <w:r w:rsidR="004D371B" w:rsidRPr="00DC2891">
        <w:rPr>
          <w:rFonts w:ascii="Times New Roman" w:hAnsi="Times New Roman" w:cs="Times New Roman"/>
          <w:sz w:val="24"/>
          <w:szCs w:val="24"/>
        </w:rPr>
        <w:t>To</w:t>
      </w:r>
      <w:r w:rsidRPr="00DC2891">
        <w:rPr>
          <w:rFonts w:ascii="Times New Roman" w:hAnsi="Times New Roman" w:cs="Times New Roman"/>
          <w:sz w:val="24"/>
          <w:szCs w:val="24"/>
        </w:rPr>
        <w:t xml:space="preserve"> increase its own synthesis during drought stress, ABA upregulates MEP pathway enzymes. However, this can decrease the flux available for GA biosynthesis, which naturally tilts the plant towards growth inhibition</w:t>
      </w:r>
      <w:r w:rsidR="004A599D" w:rsidRPr="00DC2891">
        <w:rPr>
          <w:rFonts w:ascii="Times New Roman" w:hAnsi="Times New Roman" w:cs="Times New Roman"/>
          <w:sz w:val="24"/>
          <w:szCs w:val="24"/>
        </w:rPr>
        <w:t xml:space="preserve"> (Shan </w:t>
      </w:r>
      <w:r w:rsidR="004A599D" w:rsidRPr="00DC2891">
        <w:rPr>
          <w:rFonts w:ascii="Times New Roman" w:hAnsi="Times New Roman" w:cs="Times New Roman"/>
          <w:i/>
          <w:iCs/>
          <w:sz w:val="24"/>
          <w:szCs w:val="24"/>
        </w:rPr>
        <w:t>et al</w:t>
      </w:r>
      <w:r w:rsidR="004A599D" w:rsidRPr="00DC2891">
        <w:rPr>
          <w:rFonts w:ascii="Times New Roman" w:hAnsi="Times New Roman" w:cs="Times New Roman"/>
          <w:sz w:val="24"/>
          <w:szCs w:val="24"/>
        </w:rPr>
        <w:t>., 2025)</w:t>
      </w:r>
      <w:r w:rsidRPr="00DC2891">
        <w:rPr>
          <w:rFonts w:ascii="Times New Roman" w:hAnsi="Times New Roman" w:cs="Times New Roman"/>
          <w:sz w:val="24"/>
          <w:szCs w:val="24"/>
        </w:rPr>
        <w:t>.</w:t>
      </w:r>
    </w:p>
    <w:p w14:paraId="5D9BDFFB" w14:textId="396C8179" w:rsidR="007C1CEF" w:rsidRPr="00DC2891" w:rsidRDefault="007C1CEF" w:rsidP="007C1CEF">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lastRenderedPageBreak/>
        <w:t xml:space="preserve">JA and SA frequently </w:t>
      </w:r>
      <w:r w:rsidR="004D371B" w:rsidRPr="00DC2891">
        <w:rPr>
          <w:rFonts w:ascii="Times New Roman" w:hAnsi="Times New Roman" w:cs="Times New Roman"/>
          <w:sz w:val="24"/>
          <w:szCs w:val="24"/>
        </w:rPr>
        <w:t>exhibit opposing metabolic regulation, in which SA-producing enzymes, such as ICS1,</w:t>
      </w:r>
      <w:r w:rsidRPr="00DC2891">
        <w:rPr>
          <w:rFonts w:ascii="Times New Roman" w:hAnsi="Times New Roman" w:cs="Times New Roman"/>
          <w:sz w:val="24"/>
          <w:szCs w:val="24"/>
        </w:rPr>
        <w:t xml:space="preserve"> are suppressed when JA production is induced, and vice versa. By triggering the most suitable defence pathway</w:t>
      </w:r>
      <w:r w:rsidR="004D371B" w:rsidRPr="00DC2891">
        <w:rPr>
          <w:rFonts w:ascii="Times New Roman" w:hAnsi="Times New Roman" w:cs="Times New Roman"/>
          <w:sz w:val="24"/>
          <w:szCs w:val="24"/>
        </w:rPr>
        <w:t xml:space="preserve">, SA for biotrophic infections and JA for </w:t>
      </w:r>
      <w:proofErr w:type="spellStart"/>
      <w:r w:rsidR="004D371B" w:rsidRPr="00DC2891">
        <w:rPr>
          <w:rFonts w:ascii="Times New Roman" w:hAnsi="Times New Roman" w:cs="Times New Roman"/>
          <w:sz w:val="24"/>
          <w:szCs w:val="24"/>
        </w:rPr>
        <w:t>necrotrophs</w:t>
      </w:r>
      <w:proofErr w:type="spellEnd"/>
      <w:r w:rsidR="004D371B" w:rsidRPr="00DC2891">
        <w:rPr>
          <w:rFonts w:ascii="Times New Roman" w:hAnsi="Times New Roman" w:cs="Times New Roman"/>
          <w:sz w:val="24"/>
          <w:szCs w:val="24"/>
        </w:rPr>
        <w:t xml:space="preserve"> or herbivory,</w:t>
      </w:r>
      <w:r w:rsidRPr="00DC2891">
        <w:rPr>
          <w:rFonts w:ascii="Times New Roman" w:hAnsi="Times New Roman" w:cs="Times New Roman"/>
          <w:sz w:val="24"/>
          <w:szCs w:val="24"/>
        </w:rPr>
        <w:t xml:space="preserve"> the plant gains from this antagonistic relationship. </w:t>
      </w:r>
      <w:r w:rsidR="004D371B" w:rsidRPr="00DC2891">
        <w:rPr>
          <w:rFonts w:ascii="Times New Roman" w:hAnsi="Times New Roman" w:cs="Times New Roman"/>
          <w:sz w:val="24"/>
          <w:szCs w:val="24"/>
        </w:rPr>
        <w:t>To</w:t>
      </w:r>
      <w:r w:rsidRPr="00DC2891">
        <w:rPr>
          <w:rFonts w:ascii="Times New Roman" w:hAnsi="Times New Roman" w:cs="Times New Roman"/>
          <w:sz w:val="24"/>
          <w:szCs w:val="24"/>
        </w:rPr>
        <w:t xml:space="preserve"> ensure that hormone levels reflect the physiological requirements of the plant under stress, these metabolic linkages demonstrate that hormone crosstalk extends beyond signalling to include coordination of the biosynthetic machinery itself</w:t>
      </w:r>
      <w:r w:rsidR="004A599D" w:rsidRPr="00DC2891">
        <w:rPr>
          <w:rFonts w:ascii="Times New Roman" w:hAnsi="Times New Roman" w:cs="Times New Roman"/>
          <w:sz w:val="24"/>
          <w:szCs w:val="24"/>
        </w:rPr>
        <w:t xml:space="preserve"> (Shan </w:t>
      </w:r>
      <w:r w:rsidR="004A599D" w:rsidRPr="00DC2891">
        <w:rPr>
          <w:rFonts w:ascii="Times New Roman" w:hAnsi="Times New Roman" w:cs="Times New Roman"/>
          <w:i/>
          <w:iCs/>
          <w:sz w:val="24"/>
          <w:szCs w:val="24"/>
        </w:rPr>
        <w:t>et al</w:t>
      </w:r>
      <w:r w:rsidR="004A599D" w:rsidRPr="00DC2891">
        <w:rPr>
          <w:rFonts w:ascii="Times New Roman" w:hAnsi="Times New Roman" w:cs="Times New Roman"/>
          <w:sz w:val="24"/>
          <w:szCs w:val="24"/>
        </w:rPr>
        <w:t>., 2025)</w:t>
      </w:r>
      <w:r w:rsidRPr="00DC2891">
        <w:rPr>
          <w:rFonts w:ascii="Times New Roman" w:hAnsi="Times New Roman" w:cs="Times New Roman"/>
          <w:sz w:val="24"/>
          <w:szCs w:val="24"/>
        </w:rPr>
        <w:t>.</w:t>
      </w:r>
    </w:p>
    <w:p w14:paraId="5C6DA35C" w14:textId="77777777" w:rsidR="000A27C2" w:rsidRPr="00DC2891" w:rsidRDefault="00B75EC9" w:rsidP="00C403CD">
      <w:pPr>
        <w:pStyle w:val="ListParagraph"/>
        <w:numPr>
          <w:ilvl w:val="0"/>
          <w:numId w:val="2"/>
        </w:numPr>
        <w:spacing w:line="360" w:lineRule="auto"/>
        <w:jc w:val="both"/>
        <w:rPr>
          <w:rFonts w:ascii="Times New Roman" w:hAnsi="Times New Roman" w:cs="Times New Roman"/>
          <w:sz w:val="24"/>
          <w:szCs w:val="24"/>
        </w:rPr>
      </w:pPr>
      <w:r w:rsidRPr="00DC2891">
        <w:rPr>
          <w:rFonts w:ascii="Times New Roman" w:hAnsi="Times New Roman" w:cs="Times New Roman"/>
          <w:b/>
          <w:bCs/>
          <w:sz w:val="24"/>
          <w:szCs w:val="24"/>
        </w:rPr>
        <w:t xml:space="preserve">Hormonal Interactions in Abiotic Stress Responses </w:t>
      </w:r>
    </w:p>
    <w:p w14:paraId="7F950D25" w14:textId="28032F34" w:rsidR="00C403CD" w:rsidRPr="00DC2891" w:rsidRDefault="00C403CD" w:rsidP="000A27C2">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 xml:space="preserve">Abiotic stressors </w:t>
      </w:r>
      <w:r w:rsidR="004D371B" w:rsidRPr="00DC2891">
        <w:rPr>
          <w:rFonts w:ascii="Times New Roman" w:hAnsi="Times New Roman" w:cs="Times New Roman"/>
          <w:sz w:val="24"/>
          <w:szCs w:val="24"/>
        </w:rPr>
        <w:t>such as drought, salinity, heat, and cold cause plants to reconfigure their physiology by coordinating multiple</w:t>
      </w:r>
      <w:r w:rsidRPr="00DC2891">
        <w:rPr>
          <w:rFonts w:ascii="Times New Roman" w:hAnsi="Times New Roman" w:cs="Times New Roman"/>
          <w:sz w:val="24"/>
          <w:szCs w:val="24"/>
        </w:rPr>
        <w:t xml:space="preserve"> hormonal pathways. </w:t>
      </w:r>
      <w:r w:rsidR="004D371B" w:rsidRPr="00DC2891">
        <w:rPr>
          <w:rFonts w:ascii="Times New Roman" w:hAnsi="Times New Roman" w:cs="Times New Roman"/>
          <w:sz w:val="24"/>
          <w:szCs w:val="24"/>
        </w:rPr>
        <w:t xml:space="preserve">To ensure </w:t>
      </w:r>
      <w:r w:rsidRPr="00DC2891">
        <w:rPr>
          <w:rFonts w:ascii="Times New Roman" w:hAnsi="Times New Roman" w:cs="Times New Roman"/>
          <w:sz w:val="24"/>
          <w:szCs w:val="24"/>
        </w:rPr>
        <w:t>the section is easy to read</w:t>
      </w:r>
      <w:r w:rsidR="004D371B" w:rsidRPr="00DC2891">
        <w:rPr>
          <w:rFonts w:ascii="Times New Roman" w:hAnsi="Times New Roman" w:cs="Times New Roman"/>
          <w:sz w:val="24"/>
          <w:szCs w:val="24"/>
        </w:rPr>
        <w:t>. It does</w:t>
      </w:r>
      <w:r w:rsidRPr="00DC2891">
        <w:rPr>
          <w:rFonts w:ascii="Times New Roman" w:hAnsi="Times New Roman" w:cs="Times New Roman"/>
          <w:sz w:val="24"/>
          <w:szCs w:val="24"/>
        </w:rPr>
        <w:t xml:space="preserve"> not rely on prior knowledge, brief, unambiguous explanations of the genes, proteins, and molecular actors involved in each important hormone interaction are provided below.</w:t>
      </w:r>
    </w:p>
    <w:p w14:paraId="62BC3B7C" w14:textId="40C25536" w:rsidR="000E1AC1" w:rsidRPr="00DC2891" w:rsidRDefault="00B314BE" w:rsidP="000A27C2">
      <w:pPr>
        <w:pStyle w:val="ListParagraph"/>
        <w:numPr>
          <w:ilvl w:val="1"/>
          <w:numId w:val="2"/>
        </w:numPr>
        <w:spacing w:line="360" w:lineRule="auto"/>
        <w:jc w:val="both"/>
        <w:rPr>
          <w:rFonts w:ascii="Times New Roman" w:hAnsi="Times New Roman" w:cs="Times New Roman"/>
          <w:b/>
          <w:bCs/>
          <w:sz w:val="24"/>
          <w:szCs w:val="24"/>
        </w:rPr>
      </w:pPr>
      <w:r w:rsidRPr="00DC2891">
        <w:rPr>
          <w:rFonts w:ascii="Times New Roman" w:hAnsi="Times New Roman" w:cs="Times New Roman"/>
          <w:b/>
          <w:bCs/>
          <w:sz w:val="24"/>
          <w:szCs w:val="24"/>
        </w:rPr>
        <w:t>ABA–Auxin crosstalk in drought and osmotic stress</w:t>
      </w:r>
    </w:p>
    <w:p w14:paraId="15ED8C0C" w14:textId="640DEE99" w:rsidR="000E1AC1" w:rsidRPr="00DC2891" w:rsidRDefault="000E1AC1" w:rsidP="000E1AC1">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 xml:space="preserve">The primary hormone that controls plant </w:t>
      </w:r>
      <w:r w:rsidR="004D371B" w:rsidRPr="00DC2891">
        <w:rPr>
          <w:rFonts w:ascii="Times New Roman" w:hAnsi="Times New Roman" w:cs="Times New Roman"/>
          <w:sz w:val="24"/>
          <w:szCs w:val="24"/>
        </w:rPr>
        <w:t>responses to water scarcity is abscisic acid (ABA), whose biosynthesis increases rapidly</w:t>
      </w:r>
      <w:r w:rsidRPr="00DC2891">
        <w:rPr>
          <w:rFonts w:ascii="Times New Roman" w:hAnsi="Times New Roman" w:cs="Times New Roman"/>
          <w:sz w:val="24"/>
          <w:szCs w:val="24"/>
        </w:rPr>
        <w:t xml:space="preserve"> during drought and is partially catalysed by 9-cis-epoxycarotenoid dioxygenase (NCED) enzymes, which cleave carotenoid precursors to produce ABA. Soluble receptor proteins of the PYR/PYL/RCAR family (PYR, PYL, or RCAR) bind ABA and inhibit clade-A protein phosphatases type 2C (PP2Cs). When PP2Cs are inhibited, members of the SNF1-related protein kinase 2 (SnRK2) family are released and activated. These kinases phosphorylate downstream effectors, such as ABA-responsive transcription factors, to cause stomatal closure and </w:t>
      </w:r>
      <w:proofErr w:type="spellStart"/>
      <w:r w:rsidRPr="00DC2891">
        <w:rPr>
          <w:rFonts w:ascii="Times New Roman" w:hAnsi="Times New Roman" w:cs="Times New Roman"/>
          <w:sz w:val="24"/>
          <w:szCs w:val="24"/>
        </w:rPr>
        <w:t>osmoprotectant</w:t>
      </w:r>
      <w:proofErr w:type="spellEnd"/>
      <w:r w:rsidRPr="00DC2891">
        <w:rPr>
          <w:rFonts w:ascii="Times New Roman" w:hAnsi="Times New Roman" w:cs="Times New Roman"/>
          <w:sz w:val="24"/>
          <w:szCs w:val="24"/>
        </w:rPr>
        <w:t xml:space="preserve"> production</w:t>
      </w:r>
      <w:r w:rsidR="00FC452F" w:rsidRPr="00DC2891">
        <w:rPr>
          <w:rFonts w:ascii="Times New Roman" w:hAnsi="Times New Roman" w:cs="Times New Roman"/>
          <w:sz w:val="24"/>
          <w:szCs w:val="24"/>
        </w:rPr>
        <w:t xml:space="preserve"> (Bai </w:t>
      </w:r>
      <w:r w:rsidR="00FC452F" w:rsidRPr="00DC2891">
        <w:rPr>
          <w:rFonts w:ascii="Times New Roman" w:hAnsi="Times New Roman" w:cs="Times New Roman"/>
          <w:i/>
          <w:iCs/>
          <w:sz w:val="24"/>
          <w:szCs w:val="24"/>
        </w:rPr>
        <w:t>et al</w:t>
      </w:r>
      <w:r w:rsidR="00FC452F" w:rsidRPr="00DC2891">
        <w:rPr>
          <w:rFonts w:ascii="Times New Roman" w:hAnsi="Times New Roman" w:cs="Times New Roman"/>
          <w:sz w:val="24"/>
          <w:szCs w:val="24"/>
        </w:rPr>
        <w:t>., 2019)</w:t>
      </w:r>
      <w:r w:rsidRPr="00DC2891">
        <w:rPr>
          <w:rFonts w:ascii="Times New Roman" w:hAnsi="Times New Roman" w:cs="Times New Roman"/>
          <w:sz w:val="24"/>
          <w:szCs w:val="24"/>
        </w:rPr>
        <w:t>. Tryptophan-dependent processes involving TAA and YUCCA family enzymes produce auxin, the central growth hormone; TAA converts tryptophan to indole-3-pyruvate, and YUCCA flavin monooxygenases convert that intermediate to indole-3-acetic acid, or IAA</w:t>
      </w:r>
      <w:r w:rsidR="0075473F" w:rsidRPr="00DC2891">
        <w:rPr>
          <w:rFonts w:ascii="Times New Roman" w:hAnsi="Times New Roman" w:cs="Times New Roman"/>
          <w:sz w:val="24"/>
          <w:szCs w:val="24"/>
        </w:rPr>
        <w:t xml:space="preserve"> (</w:t>
      </w:r>
      <w:proofErr w:type="spellStart"/>
      <w:r w:rsidR="0075473F" w:rsidRPr="00DC2891">
        <w:rPr>
          <w:rFonts w:ascii="Times New Roman" w:hAnsi="Times New Roman" w:cs="Times New Roman"/>
          <w:sz w:val="24"/>
          <w:szCs w:val="24"/>
        </w:rPr>
        <w:t>Marzi</w:t>
      </w:r>
      <w:proofErr w:type="spellEnd"/>
      <w:r w:rsidR="0075473F" w:rsidRPr="00DC2891">
        <w:rPr>
          <w:rFonts w:ascii="Times New Roman" w:hAnsi="Times New Roman" w:cs="Times New Roman"/>
          <w:sz w:val="24"/>
          <w:szCs w:val="24"/>
        </w:rPr>
        <w:t xml:space="preserve"> </w:t>
      </w:r>
      <w:r w:rsidR="0075473F" w:rsidRPr="00DC2891">
        <w:rPr>
          <w:rFonts w:ascii="Times New Roman" w:hAnsi="Times New Roman" w:cs="Times New Roman"/>
          <w:i/>
          <w:iCs/>
          <w:sz w:val="24"/>
          <w:szCs w:val="24"/>
        </w:rPr>
        <w:t>et al</w:t>
      </w:r>
      <w:r w:rsidR="0075473F" w:rsidRPr="00DC2891">
        <w:rPr>
          <w:rFonts w:ascii="Times New Roman" w:hAnsi="Times New Roman" w:cs="Times New Roman"/>
          <w:sz w:val="24"/>
          <w:szCs w:val="24"/>
        </w:rPr>
        <w:t>., 2024)</w:t>
      </w:r>
      <w:r w:rsidRPr="00DC2891">
        <w:rPr>
          <w:rFonts w:ascii="Times New Roman" w:hAnsi="Times New Roman" w:cs="Times New Roman"/>
          <w:sz w:val="24"/>
          <w:szCs w:val="24"/>
        </w:rPr>
        <w:t>.</w:t>
      </w:r>
    </w:p>
    <w:p w14:paraId="16FB287D" w14:textId="1731AE23" w:rsidR="000E1AC1" w:rsidRPr="00DC2891" w:rsidRDefault="000E1AC1" w:rsidP="000E1AC1">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 xml:space="preserve">Membrane transporters regulate the distribution of auxin across tissues: AUX1/LAX proteins mediate auxin inflow (import), whereas PIN-FORMED (PIN) proteins mediate auxin efflux (export). ABA signalling modifies local auxin maxima during drought by downregulating PIN and AUX1 expression and/or activity, </w:t>
      </w:r>
      <w:r w:rsidR="004D371B" w:rsidRPr="00DC2891">
        <w:rPr>
          <w:rFonts w:ascii="Times New Roman" w:hAnsi="Times New Roman" w:cs="Times New Roman"/>
          <w:sz w:val="24"/>
          <w:szCs w:val="24"/>
        </w:rPr>
        <w:t>thereby decreasing lateral root initiation and promoting</w:t>
      </w:r>
      <w:r w:rsidRPr="00DC2891">
        <w:rPr>
          <w:rFonts w:ascii="Times New Roman" w:hAnsi="Times New Roman" w:cs="Times New Roman"/>
          <w:sz w:val="24"/>
          <w:szCs w:val="24"/>
        </w:rPr>
        <w:t xml:space="preserve"> primary root extension to reach deeper water. On the other hand, ABA-responsive transcription factors from the NAC and </w:t>
      </w:r>
      <w:proofErr w:type="spellStart"/>
      <w:r w:rsidRPr="00DC2891">
        <w:rPr>
          <w:rFonts w:ascii="Times New Roman" w:hAnsi="Times New Roman" w:cs="Times New Roman"/>
          <w:sz w:val="24"/>
          <w:szCs w:val="24"/>
        </w:rPr>
        <w:t>bZIP</w:t>
      </w:r>
      <w:proofErr w:type="spellEnd"/>
      <w:r w:rsidRPr="00DC2891">
        <w:rPr>
          <w:rFonts w:ascii="Times New Roman" w:hAnsi="Times New Roman" w:cs="Times New Roman"/>
          <w:sz w:val="24"/>
          <w:szCs w:val="24"/>
        </w:rPr>
        <w:t xml:space="preserve"> families can transcriptionally </w:t>
      </w:r>
      <w:r w:rsidR="004D371B" w:rsidRPr="00DC2891">
        <w:rPr>
          <w:rFonts w:ascii="Times New Roman" w:hAnsi="Times New Roman" w:cs="Times New Roman"/>
          <w:sz w:val="24"/>
          <w:szCs w:val="24"/>
        </w:rPr>
        <w:t>repress auxin biosynthesis genes, including YUCCA family members, thereby reinforcing</w:t>
      </w:r>
      <w:r w:rsidRPr="00DC2891">
        <w:rPr>
          <w:rFonts w:ascii="Times New Roman" w:hAnsi="Times New Roman" w:cs="Times New Roman"/>
          <w:sz w:val="24"/>
          <w:szCs w:val="24"/>
        </w:rPr>
        <w:t xml:space="preserve"> growth suppression when ABA is </w:t>
      </w:r>
      <w:r w:rsidRPr="00DC2891">
        <w:rPr>
          <w:rFonts w:ascii="Times New Roman" w:hAnsi="Times New Roman" w:cs="Times New Roman"/>
          <w:sz w:val="24"/>
          <w:szCs w:val="24"/>
        </w:rPr>
        <w:lastRenderedPageBreak/>
        <w:t>elevated</w:t>
      </w:r>
      <w:r w:rsidR="00227ACA" w:rsidRPr="00DC2891">
        <w:rPr>
          <w:rFonts w:ascii="Times New Roman" w:hAnsi="Times New Roman" w:cs="Times New Roman"/>
          <w:sz w:val="24"/>
          <w:szCs w:val="24"/>
        </w:rPr>
        <w:t xml:space="preserve"> (Zhang </w:t>
      </w:r>
      <w:r w:rsidR="00227ACA" w:rsidRPr="00DC2891">
        <w:rPr>
          <w:rFonts w:ascii="Times New Roman" w:hAnsi="Times New Roman" w:cs="Times New Roman"/>
          <w:i/>
          <w:iCs/>
          <w:sz w:val="24"/>
          <w:szCs w:val="24"/>
        </w:rPr>
        <w:t>et al</w:t>
      </w:r>
      <w:r w:rsidR="00227ACA" w:rsidRPr="00DC2891">
        <w:rPr>
          <w:rFonts w:ascii="Times New Roman" w:hAnsi="Times New Roman" w:cs="Times New Roman"/>
          <w:sz w:val="24"/>
          <w:szCs w:val="24"/>
        </w:rPr>
        <w:t>., 2023)</w:t>
      </w:r>
      <w:r w:rsidRPr="00DC2891">
        <w:rPr>
          <w:rFonts w:ascii="Times New Roman" w:hAnsi="Times New Roman" w:cs="Times New Roman"/>
          <w:sz w:val="24"/>
          <w:szCs w:val="24"/>
        </w:rPr>
        <w:t>. Auxin signalling via the SCF^TIR1/AFB ubiquitin ligase complex (where TIR1/AFB are F-box proteins that perceive auxin and target AUX/IAA repressors for degradation) can modify expression of some PYR/PYL receptors, changing ABA sensitivity. This reciprocal regulation also extends to receptor levels. In order to create coordinated root architecture and stomatal responses under osmotic stress, the ABA–auxin axis combines a biosynthetic module (NCED, YUCCA/TAA), transporter module (PIN, AUX1), receptor-degradation modules (PYR/PYL–PP2C–SnRK2 and SCF^TIR1–AUX/IAA), and shared transcriptional regulators</w:t>
      </w:r>
      <w:r w:rsidR="00227ACA" w:rsidRPr="00DC2891">
        <w:rPr>
          <w:rFonts w:ascii="Times New Roman" w:hAnsi="Times New Roman" w:cs="Times New Roman"/>
          <w:sz w:val="24"/>
          <w:szCs w:val="24"/>
        </w:rPr>
        <w:t xml:space="preserve"> (Zhang </w:t>
      </w:r>
      <w:r w:rsidR="00227ACA" w:rsidRPr="00DC2891">
        <w:rPr>
          <w:rFonts w:ascii="Times New Roman" w:hAnsi="Times New Roman" w:cs="Times New Roman"/>
          <w:i/>
          <w:iCs/>
          <w:sz w:val="24"/>
          <w:szCs w:val="24"/>
        </w:rPr>
        <w:t>et al</w:t>
      </w:r>
      <w:r w:rsidR="00227ACA" w:rsidRPr="00DC2891">
        <w:rPr>
          <w:rFonts w:ascii="Times New Roman" w:hAnsi="Times New Roman" w:cs="Times New Roman"/>
          <w:sz w:val="24"/>
          <w:szCs w:val="24"/>
        </w:rPr>
        <w:t>., 2023)</w:t>
      </w:r>
      <w:r w:rsidRPr="00DC2891">
        <w:rPr>
          <w:rFonts w:ascii="Times New Roman" w:hAnsi="Times New Roman" w:cs="Times New Roman"/>
          <w:sz w:val="24"/>
          <w:szCs w:val="24"/>
        </w:rPr>
        <w:t>.</w:t>
      </w:r>
    </w:p>
    <w:p w14:paraId="27124871" w14:textId="4D13A389" w:rsidR="000E1AC1" w:rsidRPr="00DC2891" w:rsidRDefault="00B314BE" w:rsidP="000A27C2">
      <w:pPr>
        <w:pStyle w:val="ListParagraph"/>
        <w:numPr>
          <w:ilvl w:val="1"/>
          <w:numId w:val="2"/>
        </w:numPr>
        <w:spacing w:line="360" w:lineRule="auto"/>
        <w:jc w:val="both"/>
        <w:rPr>
          <w:rFonts w:ascii="Times New Roman" w:hAnsi="Times New Roman" w:cs="Times New Roman"/>
          <w:b/>
          <w:bCs/>
          <w:sz w:val="24"/>
          <w:szCs w:val="24"/>
        </w:rPr>
      </w:pPr>
      <w:r w:rsidRPr="00DC2891">
        <w:rPr>
          <w:rFonts w:ascii="Times New Roman" w:hAnsi="Times New Roman" w:cs="Times New Roman"/>
          <w:b/>
          <w:bCs/>
          <w:sz w:val="24"/>
          <w:szCs w:val="24"/>
        </w:rPr>
        <w:t>ABA–Ethylene interactions in flooding and salinity</w:t>
      </w:r>
    </w:p>
    <w:p w14:paraId="42ECEFA7" w14:textId="7AD4481B" w:rsidR="006D4215" w:rsidRPr="00DC2891" w:rsidRDefault="006D4215" w:rsidP="006D4215">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 xml:space="preserve">Ethylene is a gaseous hormone whose signalling starts at membrane receptors located in the endoplasmic reticulum, such as ETR1 and EIN4. When ethylene is </w:t>
      </w:r>
      <w:r w:rsidR="004D371B" w:rsidRPr="00DC2891">
        <w:rPr>
          <w:rFonts w:ascii="Times New Roman" w:hAnsi="Times New Roman" w:cs="Times New Roman"/>
          <w:sz w:val="24"/>
          <w:szCs w:val="24"/>
        </w:rPr>
        <w:t xml:space="preserve">absent, these receptors activate a Raf-like kinase, CTR1, which suppresses downstream ethylene responses; when ethylene binds, CTR1 is inactivated, allowing the accumulation of the master transcription factors EIN3 and </w:t>
      </w:r>
      <w:r w:rsidRPr="00DC2891">
        <w:rPr>
          <w:rFonts w:ascii="Times New Roman" w:hAnsi="Times New Roman" w:cs="Times New Roman"/>
          <w:sz w:val="24"/>
          <w:szCs w:val="24"/>
        </w:rPr>
        <w:t xml:space="preserve">EIL1. Ethylene-responsive genes are then transcriptionally driven by EIN3. When there is flooding, ethylene builds up and can </w:t>
      </w:r>
      <w:r w:rsidR="004D371B" w:rsidRPr="00DC2891">
        <w:rPr>
          <w:rFonts w:ascii="Times New Roman" w:hAnsi="Times New Roman" w:cs="Times New Roman"/>
          <w:sz w:val="24"/>
          <w:szCs w:val="24"/>
        </w:rPr>
        <w:t xml:space="preserve">induce adventitious roots and aerenchyma, </w:t>
      </w:r>
      <w:r w:rsidRPr="00DC2891">
        <w:rPr>
          <w:rFonts w:ascii="Times New Roman" w:hAnsi="Times New Roman" w:cs="Times New Roman"/>
          <w:sz w:val="24"/>
          <w:szCs w:val="24"/>
        </w:rPr>
        <w:t>air pockets in roots that enhance gas exchange</w:t>
      </w:r>
      <w:r w:rsidR="00B66E70" w:rsidRPr="00DC2891">
        <w:rPr>
          <w:rFonts w:ascii="Times New Roman" w:hAnsi="Times New Roman" w:cs="Times New Roman"/>
          <w:sz w:val="24"/>
          <w:szCs w:val="24"/>
        </w:rPr>
        <w:t xml:space="preserve"> (Kim </w:t>
      </w:r>
      <w:r w:rsidR="00B66E70" w:rsidRPr="00DC2891">
        <w:rPr>
          <w:rFonts w:ascii="Times New Roman" w:hAnsi="Times New Roman" w:cs="Times New Roman"/>
          <w:i/>
          <w:iCs/>
          <w:sz w:val="24"/>
          <w:szCs w:val="24"/>
        </w:rPr>
        <w:t>et al</w:t>
      </w:r>
      <w:r w:rsidR="00B66E70" w:rsidRPr="00DC2891">
        <w:rPr>
          <w:rFonts w:ascii="Times New Roman" w:hAnsi="Times New Roman" w:cs="Times New Roman"/>
          <w:sz w:val="24"/>
          <w:szCs w:val="24"/>
        </w:rPr>
        <w:t>., 2021)</w:t>
      </w:r>
      <w:r w:rsidRPr="00DC2891">
        <w:rPr>
          <w:rFonts w:ascii="Times New Roman" w:hAnsi="Times New Roman" w:cs="Times New Roman"/>
          <w:sz w:val="24"/>
          <w:szCs w:val="24"/>
        </w:rPr>
        <w:t>. The ethylene-dependent repression of ABA biosynthesis is a key aspect of ABA–ethylene crosstalk: EIN3 either directly or indirectly downregulates NCED genes, reducing ABA accumulation and enabling cell expansion and adventitious root formation necessary for survival in hypoxic soils. The interaction is more complex under salinity stress. In many plants, salt stress triggers the Salt Overly Sensitive (SOS) pathway. As part of the salt-stress response, SOS1, a plasma-membrane Na+/H+ antiporter that extrudes sodium from the cytosol, is controlled both transcriptionally and post-translationally. By enhancing ABA-induced activation of the SOS pathway components, ethylene signalling can improve ion homeostasis. Mechanistically, depending on tissue and timing, ethylene (via EIN3) and ABA (via SnRK2s and downstream transcription factors) can converge on ion-transporter gene promoters or modulate their trafficking, resulting in either antagonistic outcomes (e.g., growth versus quiescence under submergence) or synergistic outcomes (ion exclusion under salinity) (</w:t>
      </w:r>
      <w:r w:rsidR="00D578A8" w:rsidRPr="00DC2891">
        <w:rPr>
          <w:rFonts w:ascii="Times New Roman" w:hAnsi="Times New Roman" w:cs="Times New Roman"/>
          <w:sz w:val="24"/>
          <w:szCs w:val="24"/>
        </w:rPr>
        <w:t xml:space="preserve">Karim </w:t>
      </w:r>
      <w:r w:rsidR="00D578A8" w:rsidRPr="00DC2891">
        <w:rPr>
          <w:rFonts w:ascii="Times New Roman" w:hAnsi="Times New Roman" w:cs="Times New Roman"/>
          <w:i/>
          <w:iCs/>
          <w:sz w:val="24"/>
          <w:szCs w:val="24"/>
        </w:rPr>
        <w:t>et al</w:t>
      </w:r>
      <w:r w:rsidR="00D578A8" w:rsidRPr="00DC2891">
        <w:rPr>
          <w:rFonts w:ascii="Times New Roman" w:hAnsi="Times New Roman" w:cs="Times New Roman"/>
          <w:sz w:val="24"/>
          <w:szCs w:val="24"/>
        </w:rPr>
        <w:t>., 2025</w:t>
      </w:r>
      <w:r w:rsidRPr="00DC2891">
        <w:rPr>
          <w:rFonts w:ascii="Times New Roman" w:hAnsi="Times New Roman" w:cs="Times New Roman"/>
          <w:sz w:val="24"/>
          <w:szCs w:val="24"/>
        </w:rPr>
        <w:t>).</w:t>
      </w:r>
    </w:p>
    <w:p w14:paraId="77FA1DEC" w14:textId="78312F73" w:rsidR="006D4215" w:rsidRPr="00DC2891" w:rsidRDefault="00265772" w:rsidP="000A27C2">
      <w:pPr>
        <w:pStyle w:val="ListParagraph"/>
        <w:numPr>
          <w:ilvl w:val="1"/>
          <w:numId w:val="2"/>
        </w:numPr>
        <w:spacing w:line="360" w:lineRule="auto"/>
        <w:jc w:val="both"/>
        <w:rPr>
          <w:rFonts w:ascii="Times New Roman" w:hAnsi="Times New Roman" w:cs="Times New Roman"/>
          <w:b/>
          <w:bCs/>
          <w:sz w:val="24"/>
          <w:szCs w:val="24"/>
        </w:rPr>
      </w:pPr>
      <w:r w:rsidRPr="00DC2891">
        <w:rPr>
          <w:rFonts w:ascii="Times New Roman" w:hAnsi="Times New Roman" w:cs="Times New Roman"/>
          <w:b/>
          <w:bCs/>
          <w:sz w:val="24"/>
          <w:szCs w:val="24"/>
        </w:rPr>
        <w:t xml:space="preserve">JA–SA–ABA crosstalk in temperature stress and stress </w:t>
      </w:r>
      <w:r w:rsidR="004D371B" w:rsidRPr="00DC2891">
        <w:rPr>
          <w:rFonts w:ascii="Times New Roman" w:hAnsi="Times New Roman" w:cs="Times New Roman"/>
          <w:b/>
          <w:bCs/>
          <w:sz w:val="24"/>
          <w:szCs w:val="24"/>
        </w:rPr>
        <w:t>prioritisation</w:t>
      </w:r>
    </w:p>
    <w:p w14:paraId="33B395F9" w14:textId="068F13C7" w:rsidR="00C51132" w:rsidRPr="00DC2891" w:rsidRDefault="006D4215" w:rsidP="007917C1">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 xml:space="preserve">Salicylic acid (SA) and </w:t>
      </w:r>
      <w:proofErr w:type="spellStart"/>
      <w:r w:rsidRPr="00DC2891">
        <w:rPr>
          <w:rFonts w:ascii="Times New Roman" w:hAnsi="Times New Roman" w:cs="Times New Roman"/>
          <w:sz w:val="24"/>
          <w:szCs w:val="24"/>
        </w:rPr>
        <w:t>jasmonic</w:t>
      </w:r>
      <w:proofErr w:type="spellEnd"/>
      <w:r w:rsidRPr="00DC2891">
        <w:rPr>
          <w:rFonts w:ascii="Times New Roman" w:hAnsi="Times New Roman" w:cs="Times New Roman"/>
          <w:sz w:val="24"/>
          <w:szCs w:val="24"/>
        </w:rPr>
        <w:t xml:space="preserve"> acid (JA) are important mediators of stress responses; SA is essential for resistance to biotrophic diseases, whereas JA primarily protects against herbivores and necrotrophic pathogens. A series of enzymes called lipoxygenases (LOX), </w:t>
      </w:r>
      <w:proofErr w:type="spellStart"/>
      <w:r w:rsidRPr="00DC2891">
        <w:rPr>
          <w:rFonts w:ascii="Times New Roman" w:hAnsi="Times New Roman" w:cs="Times New Roman"/>
          <w:sz w:val="24"/>
          <w:szCs w:val="24"/>
        </w:rPr>
        <w:t>allene</w:t>
      </w:r>
      <w:proofErr w:type="spellEnd"/>
      <w:r w:rsidRPr="00DC2891">
        <w:rPr>
          <w:rFonts w:ascii="Times New Roman" w:hAnsi="Times New Roman" w:cs="Times New Roman"/>
          <w:sz w:val="24"/>
          <w:szCs w:val="24"/>
        </w:rPr>
        <w:t xml:space="preserve"> oxide </w:t>
      </w:r>
      <w:r w:rsidRPr="00DC2891">
        <w:rPr>
          <w:rFonts w:ascii="Times New Roman" w:hAnsi="Times New Roman" w:cs="Times New Roman"/>
          <w:sz w:val="24"/>
          <w:szCs w:val="24"/>
        </w:rPr>
        <w:lastRenderedPageBreak/>
        <w:t xml:space="preserve">synthase (AOS), and </w:t>
      </w:r>
      <w:proofErr w:type="spellStart"/>
      <w:r w:rsidRPr="00DC2891">
        <w:rPr>
          <w:rFonts w:ascii="Times New Roman" w:hAnsi="Times New Roman" w:cs="Times New Roman"/>
          <w:sz w:val="24"/>
          <w:szCs w:val="24"/>
        </w:rPr>
        <w:t>allene</w:t>
      </w:r>
      <w:proofErr w:type="spellEnd"/>
      <w:r w:rsidRPr="00DC2891">
        <w:rPr>
          <w:rFonts w:ascii="Times New Roman" w:hAnsi="Times New Roman" w:cs="Times New Roman"/>
          <w:sz w:val="24"/>
          <w:szCs w:val="24"/>
        </w:rPr>
        <w:t xml:space="preserve"> oxide cyclase (AOC) turn linolenic acid into 12-oxo-phytodienoic acid (OPDA), which is then transformed into JA and its bioactive compound JA-Ile. The SCF^COI1 complex, which recognises JA-Ile and targets JAZ repressor proteins for ubiquitination and proteasomal degradation, is responsible for JA perception. When JAZ is removed, MYC transcription factors, such as MYC2, can activate genes that respond to JA. NPR1, a redox-sensitive regulator that governs SA-dependent transcription, is crucial to SA signalling; under increased SA</w:t>
      </w:r>
      <w:r w:rsidR="004D371B" w:rsidRPr="00DC2891">
        <w:rPr>
          <w:rFonts w:ascii="Times New Roman" w:hAnsi="Times New Roman" w:cs="Times New Roman"/>
          <w:sz w:val="24"/>
          <w:szCs w:val="24"/>
        </w:rPr>
        <w:t>,</w:t>
      </w:r>
      <w:r w:rsidRPr="00DC2891">
        <w:rPr>
          <w:rFonts w:ascii="Times New Roman" w:hAnsi="Times New Roman" w:cs="Times New Roman"/>
          <w:sz w:val="24"/>
          <w:szCs w:val="24"/>
        </w:rPr>
        <w:t xml:space="preserve"> Pathogenesis-related genes are induced by NPR1 monomers that translocate to the nucleus and interact with TGA transcription factors</w:t>
      </w:r>
      <w:r w:rsidR="00C46C0B" w:rsidRPr="00DC2891">
        <w:rPr>
          <w:rFonts w:ascii="Times New Roman" w:hAnsi="Times New Roman" w:cs="Times New Roman"/>
          <w:sz w:val="24"/>
          <w:szCs w:val="24"/>
        </w:rPr>
        <w:t xml:space="preserve"> (Feng </w:t>
      </w:r>
      <w:r w:rsidR="00C46C0B" w:rsidRPr="00DC2891">
        <w:rPr>
          <w:rFonts w:ascii="Times New Roman" w:hAnsi="Times New Roman" w:cs="Times New Roman"/>
          <w:i/>
          <w:iCs/>
          <w:sz w:val="24"/>
          <w:szCs w:val="24"/>
        </w:rPr>
        <w:t>et al</w:t>
      </w:r>
      <w:r w:rsidR="00C46C0B" w:rsidRPr="00DC2891">
        <w:rPr>
          <w:rFonts w:ascii="Times New Roman" w:hAnsi="Times New Roman" w:cs="Times New Roman"/>
          <w:sz w:val="24"/>
          <w:szCs w:val="24"/>
        </w:rPr>
        <w:t>., 2025)</w:t>
      </w:r>
      <w:r w:rsidRPr="00DC2891">
        <w:rPr>
          <w:rFonts w:ascii="Times New Roman" w:hAnsi="Times New Roman" w:cs="Times New Roman"/>
          <w:sz w:val="24"/>
          <w:szCs w:val="24"/>
        </w:rPr>
        <w:t xml:space="preserve">. Both JA and SA networks are affected by temperature extremes, although in distinct ways. ICE1 (Inducer of CBF Expression 1), a </w:t>
      </w:r>
      <w:proofErr w:type="spellStart"/>
      <w:r w:rsidRPr="00DC2891">
        <w:rPr>
          <w:rFonts w:ascii="Times New Roman" w:hAnsi="Times New Roman" w:cs="Times New Roman"/>
          <w:sz w:val="24"/>
          <w:szCs w:val="24"/>
        </w:rPr>
        <w:t>bHLH</w:t>
      </w:r>
      <w:proofErr w:type="spellEnd"/>
      <w:r w:rsidRPr="00DC2891">
        <w:rPr>
          <w:rFonts w:ascii="Times New Roman" w:hAnsi="Times New Roman" w:cs="Times New Roman"/>
          <w:sz w:val="24"/>
          <w:szCs w:val="24"/>
        </w:rPr>
        <w:t xml:space="preserve"> transcription factor that activates CBF (C-repeat binding factor) genes essential to cold acclimation, is stabilised by cold stress, which also increases JA biosynthesis enzymes (LOX/AOS/AOC). JA can </w:t>
      </w:r>
      <w:r w:rsidR="004D371B" w:rsidRPr="00DC2891">
        <w:rPr>
          <w:rFonts w:ascii="Times New Roman" w:hAnsi="Times New Roman" w:cs="Times New Roman"/>
          <w:sz w:val="24"/>
          <w:szCs w:val="24"/>
        </w:rPr>
        <w:t>enhance cold tolerance by stabilising ICE1</w:t>
      </w:r>
      <w:r w:rsidRPr="00DC2891">
        <w:rPr>
          <w:rFonts w:ascii="Times New Roman" w:hAnsi="Times New Roman" w:cs="Times New Roman"/>
          <w:sz w:val="24"/>
          <w:szCs w:val="24"/>
        </w:rPr>
        <w:t xml:space="preserve">. While SA frequently opposes JA by </w:t>
      </w:r>
      <w:r w:rsidR="004D371B" w:rsidRPr="00DC2891">
        <w:rPr>
          <w:rFonts w:ascii="Times New Roman" w:hAnsi="Times New Roman" w:cs="Times New Roman"/>
          <w:sz w:val="24"/>
          <w:szCs w:val="24"/>
        </w:rPr>
        <w:t xml:space="preserve">destabilising JAZ proteins or suppressing JA biosynthesis genes, ABA works in tandem with JA under cold conditions by activating </w:t>
      </w:r>
      <w:proofErr w:type="spellStart"/>
      <w:r w:rsidR="004D371B" w:rsidRPr="00DC2891">
        <w:rPr>
          <w:rFonts w:ascii="Times New Roman" w:hAnsi="Times New Roman" w:cs="Times New Roman"/>
          <w:sz w:val="24"/>
          <w:szCs w:val="24"/>
        </w:rPr>
        <w:t>osmoprotectants</w:t>
      </w:r>
      <w:proofErr w:type="spellEnd"/>
      <w:r w:rsidR="004D371B" w:rsidRPr="00DC2891">
        <w:rPr>
          <w:rFonts w:ascii="Times New Roman" w:hAnsi="Times New Roman" w:cs="Times New Roman"/>
          <w:sz w:val="24"/>
          <w:szCs w:val="24"/>
        </w:rPr>
        <w:t xml:space="preserve"> and reactive oxygen-scavenging enzymes, shifting the balance between stress protection and immune</w:t>
      </w:r>
      <w:r w:rsidRPr="00DC2891">
        <w:rPr>
          <w:rFonts w:ascii="Times New Roman" w:hAnsi="Times New Roman" w:cs="Times New Roman"/>
          <w:sz w:val="24"/>
          <w:szCs w:val="24"/>
        </w:rPr>
        <w:t xml:space="preserve"> activation.</w:t>
      </w:r>
      <w:r w:rsidR="007917C1" w:rsidRPr="00DC2891">
        <w:rPr>
          <w:rFonts w:ascii="Times New Roman" w:hAnsi="Times New Roman" w:cs="Times New Roman"/>
          <w:sz w:val="24"/>
          <w:szCs w:val="24"/>
        </w:rPr>
        <w:t xml:space="preserve"> Mechanistically, crosstalk happens at several nodes: master regulators (MYC2, NPR1), biosynthetic enzymes (LOX/AOS), receptor/co-receptor complexes (COI1–JAZ), and redox or phosphorylation-dependent changes that alter DNA-binding activity and protein stability</w:t>
      </w:r>
      <w:r w:rsidR="00C51132" w:rsidRPr="00DC2891">
        <w:rPr>
          <w:rFonts w:ascii="Times New Roman" w:hAnsi="Times New Roman" w:cs="Times New Roman"/>
          <w:sz w:val="24"/>
          <w:szCs w:val="24"/>
        </w:rPr>
        <w:t xml:space="preserve"> (Feng </w:t>
      </w:r>
      <w:r w:rsidR="00C51132" w:rsidRPr="00DC2891">
        <w:rPr>
          <w:rFonts w:ascii="Times New Roman" w:hAnsi="Times New Roman" w:cs="Times New Roman"/>
          <w:i/>
          <w:iCs/>
          <w:sz w:val="24"/>
          <w:szCs w:val="24"/>
        </w:rPr>
        <w:t>et al</w:t>
      </w:r>
      <w:r w:rsidR="00C51132" w:rsidRPr="00DC2891">
        <w:rPr>
          <w:rFonts w:ascii="Times New Roman" w:hAnsi="Times New Roman" w:cs="Times New Roman"/>
          <w:sz w:val="24"/>
          <w:szCs w:val="24"/>
        </w:rPr>
        <w:t>., 2025)</w:t>
      </w:r>
      <w:r w:rsidR="007917C1" w:rsidRPr="00DC2891">
        <w:rPr>
          <w:rFonts w:ascii="Times New Roman" w:hAnsi="Times New Roman" w:cs="Times New Roman"/>
          <w:sz w:val="24"/>
          <w:szCs w:val="24"/>
        </w:rPr>
        <w:t>.</w:t>
      </w:r>
    </w:p>
    <w:p w14:paraId="601A9E45" w14:textId="49F4E04A" w:rsidR="006D4215" w:rsidRPr="00DC2891" w:rsidRDefault="000A27C2" w:rsidP="000A27C2">
      <w:pPr>
        <w:pStyle w:val="ListParagraph"/>
        <w:numPr>
          <w:ilvl w:val="1"/>
          <w:numId w:val="2"/>
        </w:numPr>
        <w:spacing w:line="360" w:lineRule="auto"/>
        <w:jc w:val="both"/>
        <w:rPr>
          <w:rFonts w:ascii="Times New Roman" w:hAnsi="Times New Roman" w:cs="Times New Roman"/>
          <w:b/>
          <w:bCs/>
          <w:sz w:val="24"/>
          <w:szCs w:val="24"/>
        </w:rPr>
      </w:pPr>
      <w:r w:rsidRPr="00DC2891">
        <w:rPr>
          <w:rFonts w:ascii="Times New Roman" w:hAnsi="Times New Roman" w:cs="Times New Roman"/>
          <w:b/>
          <w:bCs/>
          <w:sz w:val="24"/>
          <w:szCs w:val="24"/>
        </w:rPr>
        <w:t>BR–GA–ABA interactions in growth–stress trade-offs</w:t>
      </w:r>
    </w:p>
    <w:p w14:paraId="65F1B11D" w14:textId="2CB49209" w:rsidR="006B681F" w:rsidRPr="00DC2891" w:rsidRDefault="006B681F" w:rsidP="006B681F">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 xml:space="preserve">Under stress, the growth-promoting hormones gibberellins (GAs) and </w:t>
      </w:r>
      <w:proofErr w:type="spellStart"/>
      <w:r w:rsidRPr="00DC2891">
        <w:rPr>
          <w:rFonts w:ascii="Times New Roman" w:hAnsi="Times New Roman" w:cs="Times New Roman"/>
          <w:sz w:val="24"/>
          <w:szCs w:val="24"/>
        </w:rPr>
        <w:t>brassinosteroids</w:t>
      </w:r>
      <w:proofErr w:type="spellEnd"/>
      <w:r w:rsidRPr="00DC2891">
        <w:rPr>
          <w:rFonts w:ascii="Times New Roman" w:hAnsi="Times New Roman" w:cs="Times New Roman"/>
          <w:sz w:val="24"/>
          <w:szCs w:val="24"/>
        </w:rPr>
        <w:t xml:space="preserve"> (BRs) must be reduced </w:t>
      </w:r>
      <w:r w:rsidR="004D371B" w:rsidRPr="00DC2891">
        <w:rPr>
          <w:rFonts w:ascii="Times New Roman" w:hAnsi="Times New Roman" w:cs="Times New Roman"/>
          <w:sz w:val="24"/>
          <w:szCs w:val="24"/>
        </w:rPr>
        <w:t>to conserve</w:t>
      </w:r>
      <w:r w:rsidRPr="00DC2891">
        <w:rPr>
          <w:rFonts w:ascii="Times New Roman" w:hAnsi="Times New Roman" w:cs="Times New Roman"/>
          <w:sz w:val="24"/>
          <w:szCs w:val="24"/>
        </w:rPr>
        <w:t xml:space="preserve"> resources. The plasma-membrane leucine-rich repeat receptor kinase BRI1 (BRASSINOSTEROID-INSENSITIVE 1) detects BRs, phosphorylates downstream kinases, and eventually controls the activity of transcription factors belonging to the BES1/BZR1 family that encourage cell division and growth. GAs </w:t>
      </w:r>
      <w:r w:rsidR="004D371B" w:rsidRPr="00DC2891">
        <w:rPr>
          <w:rFonts w:ascii="Times New Roman" w:hAnsi="Times New Roman" w:cs="Times New Roman"/>
          <w:sz w:val="24"/>
          <w:szCs w:val="24"/>
        </w:rPr>
        <w:t>promote</w:t>
      </w:r>
      <w:r w:rsidRPr="00DC2891">
        <w:rPr>
          <w:rFonts w:ascii="Times New Roman" w:hAnsi="Times New Roman" w:cs="Times New Roman"/>
          <w:sz w:val="24"/>
          <w:szCs w:val="24"/>
        </w:rPr>
        <w:t xml:space="preserve"> the degradation of DELLA proteins, which are members of the GRAS transcriptional regulator family. GID1 (GA INSENSITIVE DWARF 1) is the GA receptor; when GA binds to GID1, SCFSLY/GID2 E3 ubiquitin ligases recognise DELLA repressors, which are then degraded by proteases to release growth programs</w:t>
      </w:r>
      <w:r w:rsidR="00C51132" w:rsidRPr="00DC2891">
        <w:rPr>
          <w:rFonts w:ascii="Times New Roman" w:hAnsi="Times New Roman" w:cs="Times New Roman"/>
          <w:sz w:val="24"/>
          <w:szCs w:val="24"/>
        </w:rPr>
        <w:t xml:space="preserve"> (</w:t>
      </w:r>
      <w:proofErr w:type="spellStart"/>
      <w:r w:rsidR="00C51132" w:rsidRPr="00DC2891">
        <w:rPr>
          <w:rFonts w:ascii="Times New Roman" w:hAnsi="Times New Roman" w:cs="Times New Roman"/>
          <w:sz w:val="24"/>
          <w:szCs w:val="24"/>
        </w:rPr>
        <w:t>Basit</w:t>
      </w:r>
      <w:proofErr w:type="spellEnd"/>
      <w:r w:rsidR="00C51132" w:rsidRPr="00DC2891">
        <w:rPr>
          <w:rFonts w:ascii="Times New Roman" w:hAnsi="Times New Roman" w:cs="Times New Roman"/>
          <w:sz w:val="24"/>
          <w:szCs w:val="24"/>
        </w:rPr>
        <w:t xml:space="preserve"> </w:t>
      </w:r>
      <w:r w:rsidR="00C51132" w:rsidRPr="00DC2891">
        <w:rPr>
          <w:rFonts w:ascii="Times New Roman" w:hAnsi="Times New Roman" w:cs="Times New Roman"/>
          <w:i/>
          <w:iCs/>
          <w:sz w:val="24"/>
          <w:szCs w:val="24"/>
        </w:rPr>
        <w:t>et al</w:t>
      </w:r>
      <w:r w:rsidR="00C51132" w:rsidRPr="00DC2891">
        <w:rPr>
          <w:rFonts w:ascii="Times New Roman" w:hAnsi="Times New Roman" w:cs="Times New Roman"/>
          <w:sz w:val="24"/>
          <w:szCs w:val="24"/>
        </w:rPr>
        <w:t>., 2021)</w:t>
      </w:r>
      <w:r w:rsidRPr="00DC2891">
        <w:rPr>
          <w:rFonts w:ascii="Times New Roman" w:hAnsi="Times New Roman" w:cs="Times New Roman"/>
          <w:sz w:val="24"/>
          <w:szCs w:val="24"/>
        </w:rPr>
        <w:t>.</w:t>
      </w:r>
    </w:p>
    <w:p w14:paraId="2B9E3D3F" w14:textId="36ED02C3" w:rsidR="006B681F" w:rsidRPr="00DC2891" w:rsidRDefault="006B681F" w:rsidP="006B681F">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 xml:space="preserve">Growth suppression is reinforced when ABA signalling through SnRK2 kinases under stress </w:t>
      </w:r>
      <w:r w:rsidR="004D371B" w:rsidRPr="00DC2891">
        <w:rPr>
          <w:rFonts w:ascii="Times New Roman" w:hAnsi="Times New Roman" w:cs="Times New Roman"/>
          <w:sz w:val="24"/>
          <w:szCs w:val="24"/>
        </w:rPr>
        <w:t>triggers phosphorylation events that block BR signalling components, such as BZR1,</w:t>
      </w:r>
      <w:r w:rsidRPr="00DC2891">
        <w:rPr>
          <w:rFonts w:ascii="Times New Roman" w:hAnsi="Times New Roman" w:cs="Times New Roman"/>
          <w:sz w:val="24"/>
          <w:szCs w:val="24"/>
        </w:rPr>
        <w:t xml:space="preserve"> and can boost DELLA stability. Because they physically interact with BZR1, PIFs (PHYTOCHROME-</w:t>
      </w:r>
      <w:r w:rsidRPr="00DC2891">
        <w:rPr>
          <w:rFonts w:ascii="Times New Roman" w:hAnsi="Times New Roman" w:cs="Times New Roman"/>
          <w:sz w:val="24"/>
          <w:szCs w:val="24"/>
        </w:rPr>
        <w:lastRenderedPageBreak/>
        <w:t xml:space="preserve">INTERACTING FACTORS), and other TFs to reduce growth while allowing stress-protective gene expression, DELLA proteins serve as integration hubs. Exogenous BR administration occasionally enhances stress tolerance while also promoting </w:t>
      </w:r>
      <w:r w:rsidR="004D371B" w:rsidRPr="00DC2891">
        <w:rPr>
          <w:rFonts w:ascii="Times New Roman" w:hAnsi="Times New Roman" w:cs="Times New Roman"/>
          <w:sz w:val="24"/>
          <w:szCs w:val="24"/>
        </w:rPr>
        <w:t xml:space="preserve">aspects of growth, as BR signalling can </w:t>
      </w:r>
      <w:r w:rsidRPr="00DC2891">
        <w:rPr>
          <w:rFonts w:ascii="Times New Roman" w:hAnsi="Times New Roman" w:cs="Times New Roman"/>
          <w:sz w:val="24"/>
          <w:szCs w:val="24"/>
        </w:rPr>
        <w:t xml:space="preserve">increase antioxidant enzyme production and membrane stabilisation, offering a partial protective benefit. Receptor perception (BRI1, GID1), repressor turnover (DELLAs), transcriptional effectors (BES1/BZR1), and kinase signalling (SnRK2) </w:t>
      </w:r>
      <w:r w:rsidR="004D371B" w:rsidRPr="00DC2891">
        <w:rPr>
          <w:rFonts w:ascii="Times New Roman" w:hAnsi="Times New Roman" w:cs="Times New Roman"/>
          <w:sz w:val="24"/>
          <w:szCs w:val="24"/>
        </w:rPr>
        <w:t>determine whether the plant invests in growth or survival processes, forming</w:t>
      </w:r>
      <w:r w:rsidRPr="00DC2891">
        <w:rPr>
          <w:rFonts w:ascii="Times New Roman" w:hAnsi="Times New Roman" w:cs="Times New Roman"/>
          <w:sz w:val="24"/>
          <w:szCs w:val="24"/>
        </w:rPr>
        <w:t xml:space="preserve"> a dynamic BR–GA–ABA triangle</w:t>
      </w:r>
      <w:r w:rsidR="00C51132" w:rsidRPr="00DC2891">
        <w:rPr>
          <w:rFonts w:ascii="Times New Roman" w:hAnsi="Times New Roman" w:cs="Times New Roman"/>
          <w:sz w:val="24"/>
          <w:szCs w:val="24"/>
        </w:rPr>
        <w:t xml:space="preserve"> (Lu </w:t>
      </w:r>
      <w:r w:rsidR="00C51132" w:rsidRPr="00DC2891">
        <w:rPr>
          <w:rFonts w:ascii="Times New Roman" w:hAnsi="Times New Roman" w:cs="Times New Roman"/>
          <w:i/>
          <w:iCs/>
          <w:sz w:val="24"/>
          <w:szCs w:val="24"/>
        </w:rPr>
        <w:t>et al</w:t>
      </w:r>
      <w:r w:rsidR="00C51132" w:rsidRPr="00DC2891">
        <w:rPr>
          <w:rFonts w:ascii="Times New Roman" w:hAnsi="Times New Roman" w:cs="Times New Roman"/>
          <w:sz w:val="24"/>
          <w:szCs w:val="24"/>
        </w:rPr>
        <w:t>., 2025)</w:t>
      </w:r>
      <w:r w:rsidRPr="00DC2891">
        <w:rPr>
          <w:rFonts w:ascii="Times New Roman" w:hAnsi="Times New Roman" w:cs="Times New Roman"/>
          <w:sz w:val="24"/>
          <w:szCs w:val="24"/>
        </w:rPr>
        <w:t>.</w:t>
      </w:r>
    </w:p>
    <w:p w14:paraId="188EBCDB" w14:textId="64CE51A7" w:rsidR="00F65A01" w:rsidRPr="00DC2891" w:rsidRDefault="002962C7" w:rsidP="004F2A35">
      <w:pPr>
        <w:pStyle w:val="ListParagraph"/>
        <w:numPr>
          <w:ilvl w:val="0"/>
          <w:numId w:val="2"/>
        </w:numPr>
        <w:spacing w:line="360" w:lineRule="auto"/>
        <w:jc w:val="both"/>
        <w:rPr>
          <w:rFonts w:ascii="Times New Roman" w:hAnsi="Times New Roman" w:cs="Times New Roman"/>
          <w:b/>
          <w:bCs/>
          <w:sz w:val="24"/>
          <w:szCs w:val="24"/>
        </w:rPr>
      </w:pPr>
      <w:r w:rsidRPr="00DC2891">
        <w:rPr>
          <w:rFonts w:ascii="Times New Roman" w:hAnsi="Times New Roman" w:cs="Times New Roman"/>
          <w:b/>
          <w:bCs/>
          <w:sz w:val="24"/>
          <w:szCs w:val="24"/>
        </w:rPr>
        <w:t>Hormonal Crosstalk in Biotic Stress Responses</w:t>
      </w:r>
    </w:p>
    <w:p w14:paraId="2D415C7F" w14:textId="759815F1" w:rsidR="002962C7" w:rsidRPr="00DC2891" w:rsidRDefault="009F56A9" w:rsidP="004F2A35">
      <w:pPr>
        <w:pStyle w:val="ListParagraph"/>
        <w:numPr>
          <w:ilvl w:val="1"/>
          <w:numId w:val="2"/>
        </w:numPr>
        <w:spacing w:line="360" w:lineRule="auto"/>
        <w:jc w:val="both"/>
        <w:rPr>
          <w:rFonts w:ascii="Times New Roman" w:hAnsi="Times New Roman" w:cs="Times New Roman"/>
          <w:b/>
          <w:bCs/>
          <w:sz w:val="24"/>
          <w:szCs w:val="24"/>
        </w:rPr>
      </w:pPr>
      <w:r w:rsidRPr="00DC2891">
        <w:rPr>
          <w:rFonts w:ascii="Times New Roman" w:hAnsi="Times New Roman" w:cs="Times New Roman"/>
          <w:b/>
          <w:bCs/>
          <w:sz w:val="24"/>
          <w:szCs w:val="24"/>
        </w:rPr>
        <w:t>SA–JA Antagonism in Defen</w:t>
      </w:r>
      <w:r w:rsidR="000714FC" w:rsidRPr="00DC2891">
        <w:rPr>
          <w:rFonts w:ascii="Times New Roman" w:hAnsi="Times New Roman" w:cs="Times New Roman"/>
          <w:b/>
          <w:bCs/>
          <w:sz w:val="24"/>
          <w:szCs w:val="24"/>
        </w:rPr>
        <w:t>c</w:t>
      </w:r>
      <w:r w:rsidRPr="00DC2891">
        <w:rPr>
          <w:rFonts w:ascii="Times New Roman" w:hAnsi="Times New Roman" w:cs="Times New Roman"/>
          <w:b/>
          <w:bCs/>
          <w:sz w:val="24"/>
          <w:szCs w:val="24"/>
        </w:rPr>
        <w:t>e Against Pathogens</w:t>
      </w:r>
    </w:p>
    <w:p w14:paraId="7FE69ACC" w14:textId="5CABD77E" w:rsidR="00212383" w:rsidRPr="00DC2891" w:rsidRDefault="00F65A01" w:rsidP="00212383">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 xml:space="preserve">Key phytohormones in plant immunity, salicylic acid (SA) and </w:t>
      </w:r>
      <w:proofErr w:type="spellStart"/>
      <w:r w:rsidRPr="00DC2891">
        <w:rPr>
          <w:rFonts w:ascii="Times New Roman" w:hAnsi="Times New Roman" w:cs="Times New Roman"/>
          <w:sz w:val="24"/>
          <w:szCs w:val="24"/>
        </w:rPr>
        <w:t>jasmonic</w:t>
      </w:r>
      <w:proofErr w:type="spellEnd"/>
      <w:r w:rsidRPr="00DC2891">
        <w:rPr>
          <w:rFonts w:ascii="Times New Roman" w:hAnsi="Times New Roman" w:cs="Times New Roman"/>
          <w:sz w:val="24"/>
          <w:szCs w:val="24"/>
        </w:rPr>
        <w:t xml:space="preserve"> acid (JA), </w:t>
      </w:r>
      <w:r w:rsidR="004D371B" w:rsidRPr="00DC2891">
        <w:rPr>
          <w:rFonts w:ascii="Times New Roman" w:hAnsi="Times New Roman" w:cs="Times New Roman"/>
          <w:sz w:val="24"/>
          <w:szCs w:val="24"/>
        </w:rPr>
        <w:t>often act in antagonistic ways to tailor defence responses to different</w:t>
      </w:r>
      <w:r w:rsidRPr="00DC2891">
        <w:rPr>
          <w:rFonts w:ascii="Times New Roman" w:hAnsi="Times New Roman" w:cs="Times New Roman"/>
          <w:sz w:val="24"/>
          <w:szCs w:val="24"/>
        </w:rPr>
        <w:t xml:space="preserve"> pathogen types. Through a mechanism regulated by the master regulator NPR1 (</w:t>
      </w:r>
      <w:proofErr w:type="spellStart"/>
      <w:r w:rsidRPr="00DC2891">
        <w:rPr>
          <w:rFonts w:ascii="Times New Roman" w:hAnsi="Times New Roman" w:cs="Times New Roman"/>
          <w:sz w:val="24"/>
          <w:szCs w:val="24"/>
        </w:rPr>
        <w:t>Nonexpressor</w:t>
      </w:r>
      <w:proofErr w:type="spellEnd"/>
      <w:r w:rsidRPr="00DC2891">
        <w:rPr>
          <w:rFonts w:ascii="Times New Roman" w:hAnsi="Times New Roman" w:cs="Times New Roman"/>
          <w:sz w:val="24"/>
          <w:szCs w:val="24"/>
        </w:rPr>
        <w:t xml:space="preserve"> of Pathogenesis-Related Genes 1), SA mainly contributes to resistance to biotrophic pathogens</w:t>
      </w:r>
      <w:r w:rsidR="004D371B" w:rsidRPr="00DC2891">
        <w:rPr>
          <w:rFonts w:ascii="Times New Roman" w:hAnsi="Times New Roman" w:cs="Times New Roman"/>
          <w:sz w:val="24"/>
          <w:szCs w:val="24"/>
        </w:rPr>
        <w:t>,</w:t>
      </w:r>
      <w:r w:rsidR="000714FC" w:rsidRPr="00DC2891">
        <w:rPr>
          <w:rFonts w:ascii="Times New Roman" w:hAnsi="Times New Roman" w:cs="Times New Roman"/>
          <w:sz w:val="24"/>
          <w:szCs w:val="24"/>
        </w:rPr>
        <w:t xml:space="preserve"> </w:t>
      </w:r>
      <w:r w:rsidRPr="00DC2891">
        <w:rPr>
          <w:rFonts w:ascii="Times New Roman" w:hAnsi="Times New Roman" w:cs="Times New Roman"/>
          <w:sz w:val="24"/>
          <w:szCs w:val="24"/>
        </w:rPr>
        <w:t xml:space="preserve">those that feed on living plant tissue. When a pathogen attacks, SA </w:t>
      </w:r>
      <w:r w:rsidR="004D371B" w:rsidRPr="00DC2891">
        <w:rPr>
          <w:rFonts w:ascii="Times New Roman" w:hAnsi="Times New Roman" w:cs="Times New Roman"/>
          <w:sz w:val="24"/>
          <w:szCs w:val="24"/>
        </w:rPr>
        <w:t xml:space="preserve">shifts the cellular redox state, triggering the </w:t>
      </w:r>
      <w:proofErr w:type="spellStart"/>
      <w:r w:rsidR="004D371B" w:rsidRPr="00DC2891">
        <w:rPr>
          <w:rFonts w:ascii="Times New Roman" w:hAnsi="Times New Roman" w:cs="Times New Roman"/>
          <w:sz w:val="24"/>
          <w:szCs w:val="24"/>
        </w:rPr>
        <w:t>monomerisation</w:t>
      </w:r>
      <w:proofErr w:type="spellEnd"/>
      <w:r w:rsidR="004D371B" w:rsidRPr="00DC2891">
        <w:rPr>
          <w:rFonts w:ascii="Times New Roman" w:hAnsi="Times New Roman" w:cs="Times New Roman"/>
          <w:sz w:val="24"/>
          <w:szCs w:val="24"/>
        </w:rPr>
        <w:t xml:space="preserve"> of NPR1 and its nuclear import</w:t>
      </w:r>
      <w:r w:rsidRPr="00DC2891">
        <w:rPr>
          <w:rFonts w:ascii="Times New Roman" w:hAnsi="Times New Roman" w:cs="Times New Roman"/>
          <w:sz w:val="24"/>
          <w:szCs w:val="24"/>
        </w:rPr>
        <w:t>. NPR1 then joins forces with TGA transcription factors to activate pathogenesis-related (PR) genes and systemic acquired resistance (SAR).</w:t>
      </w:r>
      <w:r w:rsidR="00212383" w:rsidRPr="00DC2891">
        <w:rPr>
          <w:rFonts w:ascii="Times New Roman" w:hAnsi="Times New Roman" w:cs="Times New Roman"/>
          <w:sz w:val="24"/>
          <w:szCs w:val="24"/>
        </w:rPr>
        <w:t xml:space="preserve"> However, JA is particularly crucial against necrotrophic diseases and herbivores; the SCF^COI1–JAZ complex recognises its bioactive form, JA-Ile, where COI1, a component of an E3 ubiquitin ligase, binds JA-Ile, resulting in the ubiquitination and proteasomal destruction of JAZ repressors. JA-responsive defence genes are driven by transcription factors such as MYC2 due to this degradation (Yang </w:t>
      </w:r>
      <w:r w:rsidR="00212383" w:rsidRPr="00DC2891">
        <w:rPr>
          <w:rFonts w:ascii="Times New Roman" w:hAnsi="Times New Roman" w:cs="Times New Roman"/>
          <w:i/>
          <w:iCs/>
          <w:sz w:val="24"/>
          <w:szCs w:val="24"/>
        </w:rPr>
        <w:t>et al</w:t>
      </w:r>
      <w:r w:rsidR="00212383" w:rsidRPr="00DC2891">
        <w:rPr>
          <w:rFonts w:ascii="Times New Roman" w:hAnsi="Times New Roman" w:cs="Times New Roman"/>
          <w:sz w:val="24"/>
          <w:szCs w:val="24"/>
        </w:rPr>
        <w:t>., 2019).</w:t>
      </w:r>
    </w:p>
    <w:p w14:paraId="061D34A6" w14:textId="57BA2DE3" w:rsidR="00C751A1" w:rsidRPr="00DC2891" w:rsidRDefault="00C751A1" w:rsidP="00C751A1">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 xml:space="preserve">There are physiological advantages to the antagonistic relationship between SA and JA. For instance, during infection by biotrophic pathogens, increased SA signalling via NPR1 can decrease JA signalling by interfering with MYC2 activity, so reducing the allocation of resources to defences that would be less effective. </w:t>
      </w:r>
      <w:r w:rsidR="004D371B" w:rsidRPr="00DC2891">
        <w:rPr>
          <w:rFonts w:ascii="Times New Roman" w:hAnsi="Times New Roman" w:cs="Times New Roman"/>
          <w:sz w:val="24"/>
          <w:szCs w:val="24"/>
        </w:rPr>
        <w:t>To</w:t>
      </w:r>
      <w:r w:rsidRPr="00DC2891">
        <w:rPr>
          <w:rFonts w:ascii="Times New Roman" w:hAnsi="Times New Roman" w:cs="Times New Roman"/>
          <w:sz w:val="24"/>
          <w:szCs w:val="24"/>
        </w:rPr>
        <w:t xml:space="preserve"> take advantage of this antagonistic relationship, infections have evolved. </w:t>
      </w:r>
      <w:r w:rsidR="004D371B" w:rsidRPr="00DC2891">
        <w:rPr>
          <w:rFonts w:ascii="Times New Roman" w:hAnsi="Times New Roman" w:cs="Times New Roman"/>
          <w:sz w:val="24"/>
          <w:szCs w:val="24"/>
        </w:rPr>
        <w:t>Several</w:t>
      </w:r>
      <w:r w:rsidRPr="00DC2891">
        <w:rPr>
          <w:rFonts w:ascii="Times New Roman" w:hAnsi="Times New Roman" w:cs="Times New Roman"/>
          <w:sz w:val="24"/>
          <w:szCs w:val="24"/>
        </w:rPr>
        <w:t xml:space="preserve"> bacterial pathogens </w:t>
      </w:r>
      <w:r w:rsidR="004D371B" w:rsidRPr="00DC2891">
        <w:rPr>
          <w:rFonts w:ascii="Times New Roman" w:hAnsi="Times New Roman" w:cs="Times New Roman"/>
          <w:sz w:val="24"/>
          <w:szCs w:val="24"/>
        </w:rPr>
        <w:t>produce coronatine, a structural mimic of JA-Ile, which hijacks the COI1–JAZ receptor complex to reduce</w:t>
      </w:r>
      <w:r w:rsidRPr="00DC2891">
        <w:rPr>
          <w:rFonts w:ascii="Times New Roman" w:hAnsi="Times New Roman" w:cs="Times New Roman"/>
          <w:sz w:val="24"/>
          <w:szCs w:val="24"/>
        </w:rPr>
        <w:t xml:space="preserve"> SA-mediated defence and hyperactivate JA responses. This interaction demonstrates how hormonal crosstalk serves as a battlefield during host-pathogen co-evolution in addition to fine-tuning plant defences</w:t>
      </w:r>
      <w:r w:rsidR="000F7CD8" w:rsidRPr="00DC2891">
        <w:rPr>
          <w:rFonts w:ascii="Times New Roman" w:hAnsi="Times New Roman" w:cs="Times New Roman"/>
          <w:sz w:val="24"/>
          <w:szCs w:val="24"/>
        </w:rPr>
        <w:t xml:space="preserve"> (Zhang </w:t>
      </w:r>
      <w:r w:rsidR="000F7CD8" w:rsidRPr="00DC2891">
        <w:rPr>
          <w:rFonts w:ascii="Times New Roman" w:hAnsi="Times New Roman" w:cs="Times New Roman"/>
          <w:i/>
          <w:iCs/>
          <w:sz w:val="24"/>
          <w:szCs w:val="24"/>
        </w:rPr>
        <w:t>et al</w:t>
      </w:r>
      <w:r w:rsidR="000F7CD8" w:rsidRPr="00DC2891">
        <w:rPr>
          <w:rFonts w:ascii="Times New Roman" w:hAnsi="Times New Roman" w:cs="Times New Roman"/>
          <w:sz w:val="24"/>
          <w:szCs w:val="24"/>
        </w:rPr>
        <w:t>., 2025)</w:t>
      </w:r>
      <w:r w:rsidRPr="00DC2891">
        <w:rPr>
          <w:rFonts w:ascii="Times New Roman" w:hAnsi="Times New Roman" w:cs="Times New Roman"/>
          <w:sz w:val="24"/>
          <w:szCs w:val="24"/>
        </w:rPr>
        <w:t>.</w:t>
      </w:r>
    </w:p>
    <w:p w14:paraId="21E5FA30" w14:textId="664AB192" w:rsidR="00F65A01" w:rsidRPr="00DC2891" w:rsidRDefault="009F56A9" w:rsidP="004F2A35">
      <w:pPr>
        <w:pStyle w:val="ListParagraph"/>
        <w:numPr>
          <w:ilvl w:val="1"/>
          <w:numId w:val="2"/>
        </w:numPr>
        <w:spacing w:line="360" w:lineRule="auto"/>
        <w:jc w:val="both"/>
        <w:rPr>
          <w:rFonts w:ascii="Times New Roman" w:hAnsi="Times New Roman" w:cs="Times New Roman"/>
          <w:b/>
          <w:bCs/>
          <w:sz w:val="24"/>
          <w:szCs w:val="24"/>
        </w:rPr>
      </w:pPr>
      <w:r w:rsidRPr="00DC2891">
        <w:rPr>
          <w:rFonts w:ascii="Times New Roman" w:hAnsi="Times New Roman" w:cs="Times New Roman"/>
          <w:b/>
          <w:bCs/>
          <w:sz w:val="24"/>
          <w:szCs w:val="24"/>
        </w:rPr>
        <w:t>Synergistic JA–Ethylene Signal</w:t>
      </w:r>
      <w:r w:rsidR="000714FC" w:rsidRPr="00DC2891">
        <w:rPr>
          <w:rFonts w:ascii="Times New Roman" w:hAnsi="Times New Roman" w:cs="Times New Roman"/>
          <w:b/>
          <w:bCs/>
          <w:sz w:val="24"/>
          <w:szCs w:val="24"/>
        </w:rPr>
        <w:t>l</w:t>
      </w:r>
      <w:r w:rsidRPr="00DC2891">
        <w:rPr>
          <w:rFonts w:ascii="Times New Roman" w:hAnsi="Times New Roman" w:cs="Times New Roman"/>
          <w:b/>
          <w:bCs/>
          <w:sz w:val="24"/>
          <w:szCs w:val="24"/>
        </w:rPr>
        <w:t>ing in Necrotrophic Defen</w:t>
      </w:r>
      <w:r w:rsidR="000714FC" w:rsidRPr="00DC2891">
        <w:rPr>
          <w:rFonts w:ascii="Times New Roman" w:hAnsi="Times New Roman" w:cs="Times New Roman"/>
          <w:b/>
          <w:bCs/>
          <w:sz w:val="24"/>
          <w:szCs w:val="24"/>
        </w:rPr>
        <w:t>c</w:t>
      </w:r>
      <w:r w:rsidRPr="00DC2891">
        <w:rPr>
          <w:rFonts w:ascii="Times New Roman" w:hAnsi="Times New Roman" w:cs="Times New Roman"/>
          <w:b/>
          <w:bCs/>
          <w:sz w:val="24"/>
          <w:szCs w:val="24"/>
        </w:rPr>
        <w:t>e</w:t>
      </w:r>
    </w:p>
    <w:p w14:paraId="2F14B927" w14:textId="269CF4B9" w:rsidR="00596754" w:rsidRPr="00DC2891" w:rsidRDefault="00596754" w:rsidP="00596754">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lastRenderedPageBreak/>
        <w:t>JA and ethylene (ET) commonly work together to increase resistance against necrotrophic pathogens—those that destroy host tissue</w:t>
      </w:r>
      <w:r w:rsidR="00AA4907" w:rsidRPr="00DC2891">
        <w:rPr>
          <w:rFonts w:ascii="Times New Roman" w:hAnsi="Times New Roman" w:cs="Times New Roman"/>
          <w:sz w:val="24"/>
          <w:szCs w:val="24"/>
        </w:rPr>
        <w:t xml:space="preserve"> </w:t>
      </w:r>
      <w:r w:rsidRPr="00DC2891">
        <w:rPr>
          <w:rFonts w:ascii="Times New Roman" w:hAnsi="Times New Roman" w:cs="Times New Roman"/>
          <w:sz w:val="24"/>
          <w:szCs w:val="24"/>
        </w:rPr>
        <w:t xml:space="preserve">while SA and JA frequently work against one another. Membrane-associated receptors like ETR1 detect ethylene and, when they bind it, start a signal cascade that stabilises the transcription factor EIN3 (ETHYLENE INSENSITIVE 3). </w:t>
      </w:r>
      <w:r w:rsidR="004D371B" w:rsidRPr="00DC2891">
        <w:rPr>
          <w:rFonts w:ascii="Times New Roman" w:hAnsi="Times New Roman" w:cs="Times New Roman"/>
          <w:sz w:val="24"/>
          <w:szCs w:val="24"/>
        </w:rPr>
        <w:t>To promote genes such as</w:t>
      </w:r>
      <w:r w:rsidRPr="00DC2891">
        <w:rPr>
          <w:rFonts w:ascii="Times New Roman" w:hAnsi="Times New Roman" w:cs="Times New Roman"/>
          <w:sz w:val="24"/>
          <w:szCs w:val="24"/>
        </w:rPr>
        <w:t xml:space="preserve"> PDF1.2 (Plant Defensin 1.2), which contribute to antimicrobial action, EIN3 collaborates with JA-activated transcription factors, such as MYC2 and ERF1 (Ethylene Response Factor 1) (Van der Does</w:t>
      </w:r>
      <w:r w:rsidR="00AA4907" w:rsidRPr="00DC2891">
        <w:rPr>
          <w:rFonts w:ascii="Times New Roman" w:hAnsi="Times New Roman" w:cs="Times New Roman"/>
          <w:sz w:val="24"/>
          <w:szCs w:val="24"/>
        </w:rPr>
        <w:t xml:space="preserve"> </w:t>
      </w:r>
      <w:r w:rsidR="00AA4907" w:rsidRPr="00DC2891">
        <w:rPr>
          <w:rFonts w:ascii="Times New Roman" w:hAnsi="Times New Roman" w:cs="Times New Roman"/>
          <w:i/>
          <w:iCs/>
          <w:sz w:val="24"/>
          <w:szCs w:val="24"/>
        </w:rPr>
        <w:t>et al</w:t>
      </w:r>
      <w:r w:rsidR="00AA4907" w:rsidRPr="00DC2891">
        <w:rPr>
          <w:rFonts w:ascii="Times New Roman" w:hAnsi="Times New Roman" w:cs="Times New Roman"/>
          <w:sz w:val="24"/>
          <w:szCs w:val="24"/>
        </w:rPr>
        <w:t xml:space="preserve">., </w:t>
      </w:r>
      <w:r w:rsidRPr="00DC2891">
        <w:rPr>
          <w:rFonts w:ascii="Times New Roman" w:hAnsi="Times New Roman" w:cs="Times New Roman"/>
          <w:sz w:val="24"/>
          <w:szCs w:val="24"/>
        </w:rPr>
        <w:t>2013</w:t>
      </w:r>
      <w:r w:rsidR="00AA4907" w:rsidRPr="00DC2891">
        <w:rPr>
          <w:rFonts w:ascii="Times New Roman" w:hAnsi="Times New Roman" w:cs="Times New Roman"/>
          <w:sz w:val="24"/>
          <w:szCs w:val="24"/>
        </w:rPr>
        <w:t>)</w:t>
      </w:r>
      <w:r w:rsidRPr="00DC2891">
        <w:rPr>
          <w:rFonts w:ascii="Times New Roman" w:hAnsi="Times New Roman" w:cs="Times New Roman"/>
          <w:sz w:val="24"/>
          <w:szCs w:val="24"/>
        </w:rPr>
        <w:t>.</w:t>
      </w:r>
    </w:p>
    <w:p w14:paraId="04D04B15" w14:textId="336F0A96" w:rsidR="00596754" w:rsidRPr="00DC2891" w:rsidRDefault="00686182" w:rsidP="00F65A01">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 xml:space="preserve">A robust and suitable defence is made possible by this cooperative action. While ethylene signalling stabilises EIN3 in necrotrophic infection, JA causes JAZ degradation and MYC2 activation. MYC2, EIN3, and ERF1 work together to trigger a group of defence genes that are more potent against infections that degrade tissue. Thus, the combined JA–ET module is a tactic </w:t>
      </w:r>
      <w:r w:rsidR="004D371B" w:rsidRPr="00DC2891">
        <w:rPr>
          <w:rFonts w:ascii="Times New Roman" w:hAnsi="Times New Roman" w:cs="Times New Roman"/>
          <w:sz w:val="24"/>
          <w:szCs w:val="24"/>
        </w:rPr>
        <w:t>for implementing a quick, long-lasting defence program,</w:t>
      </w:r>
      <w:r w:rsidRPr="00DC2891">
        <w:rPr>
          <w:rFonts w:ascii="Times New Roman" w:hAnsi="Times New Roman" w:cs="Times New Roman"/>
          <w:sz w:val="24"/>
          <w:szCs w:val="24"/>
        </w:rPr>
        <w:t xml:space="preserve"> especially appropriate for </w:t>
      </w:r>
      <w:proofErr w:type="spellStart"/>
      <w:r w:rsidRPr="00DC2891">
        <w:rPr>
          <w:rFonts w:ascii="Times New Roman" w:hAnsi="Times New Roman" w:cs="Times New Roman"/>
          <w:sz w:val="24"/>
          <w:szCs w:val="24"/>
        </w:rPr>
        <w:t>necrotrophs</w:t>
      </w:r>
      <w:proofErr w:type="spellEnd"/>
      <w:r w:rsidRPr="00DC2891">
        <w:rPr>
          <w:rFonts w:ascii="Times New Roman" w:hAnsi="Times New Roman" w:cs="Times New Roman"/>
          <w:sz w:val="24"/>
          <w:szCs w:val="24"/>
        </w:rPr>
        <w:t xml:space="preserve">. This concept is </w:t>
      </w:r>
      <w:r w:rsidR="004D371B" w:rsidRPr="00DC2891">
        <w:rPr>
          <w:rFonts w:ascii="Times New Roman" w:hAnsi="Times New Roman" w:cs="Times New Roman"/>
          <w:sz w:val="24"/>
          <w:szCs w:val="24"/>
        </w:rPr>
        <w:t>supported by genetic and transcriptomic investigations, which show that interventions in either pathway decrease</w:t>
      </w:r>
      <w:r w:rsidRPr="00DC2891">
        <w:rPr>
          <w:rFonts w:ascii="Times New Roman" w:hAnsi="Times New Roman" w:cs="Times New Roman"/>
          <w:sz w:val="24"/>
          <w:szCs w:val="24"/>
        </w:rPr>
        <w:t xml:space="preserve"> resistance</w:t>
      </w:r>
      <w:r w:rsidR="00AA4907" w:rsidRPr="00DC2891">
        <w:rPr>
          <w:rFonts w:ascii="Times New Roman" w:hAnsi="Times New Roman" w:cs="Times New Roman"/>
          <w:sz w:val="24"/>
          <w:szCs w:val="24"/>
        </w:rPr>
        <w:t xml:space="preserve"> (Van der Does </w:t>
      </w:r>
      <w:r w:rsidR="00AA4907" w:rsidRPr="00DC2891">
        <w:rPr>
          <w:rFonts w:ascii="Times New Roman" w:hAnsi="Times New Roman" w:cs="Times New Roman"/>
          <w:i/>
          <w:iCs/>
          <w:sz w:val="24"/>
          <w:szCs w:val="24"/>
        </w:rPr>
        <w:t>et al</w:t>
      </w:r>
      <w:r w:rsidR="00AA4907" w:rsidRPr="00DC2891">
        <w:rPr>
          <w:rFonts w:ascii="Times New Roman" w:hAnsi="Times New Roman" w:cs="Times New Roman"/>
          <w:sz w:val="24"/>
          <w:szCs w:val="24"/>
        </w:rPr>
        <w:t>., 2013)</w:t>
      </w:r>
      <w:r w:rsidRPr="00DC2891">
        <w:rPr>
          <w:rFonts w:ascii="Times New Roman" w:hAnsi="Times New Roman" w:cs="Times New Roman"/>
          <w:sz w:val="24"/>
          <w:szCs w:val="24"/>
        </w:rPr>
        <w:t>.</w:t>
      </w:r>
    </w:p>
    <w:p w14:paraId="25846D82" w14:textId="13DAC320" w:rsidR="00031CFF" w:rsidRPr="00DC2891" w:rsidRDefault="00031CFF" w:rsidP="004F2A35">
      <w:pPr>
        <w:pStyle w:val="ListParagraph"/>
        <w:numPr>
          <w:ilvl w:val="1"/>
          <w:numId w:val="2"/>
        </w:numPr>
        <w:spacing w:line="360" w:lineRule="auto"/>
        <w:jc w:val="both"/>
        <w:rPr>
          <w:rFonts w:ascii="Times New Roman" w:hAnsi="Times New Roman" w:cs="Times New Roman"/>
          <w:b/>
          <w:bCs/>
          <w:sz w:val="24"/>
          <w:szCs w:val="24"/>
        </w:rPr>
      </w:pPr>
      <w:r w:rsidRPr="00DC2891">
        <w:rPr>
          <w:rFonts w:ascii="Times New Roman" w:hAnsi="Times New Roman" w:cs="Times New Roman"/>
          <w:b/>
          <w:bCs/>
          <w:sz w:val="24"/>
          <w:szCs w:val="24"/>
        </w:rPr>
        <w:t>Modulation of SA–ET/JA by Other Hormones: ABA, BR, and Cytokinin</w:t>
      </w:r>
    </w:p>
    <w:p w14:paraId="0AE8F13C" w14:textId="1637C461" w:rsidR="00B466CE" w:rsidRPr="00DC2891" w:rsidRDefault="00B466CE" w:rsidP="00B466CE">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 xml:space="preserve">Through crosstalk, several hormones influence biotic stress responses </w:t>
      </w:r>
      <w:r w:rsidR="004D371B" w:rsidRPr="00DC2891">
        <w:rPr>
          <w:rFonts w:ascii="Times New Roman" w:hAnsi="Times New Roman" w:cs="Times New Roman"/>
          <w:sz w:val="24"/>
          <w:szCs w:val="24"/>
        </w:rPr>
        <w:t>beyond</w:t>
      </w:r>
      <w:r w:rsidRPr="00DC2891">
        <w:rPr>
          <w:rFonts w:ascii="Times New Roman" w:hAnsi="Times New Roman" w:cs="Times New Roman"/>
          <w:sz w:val="24"/>
          <w:szCs w:val="24"/>
        </w:rPr>
        <w:t xml:space="preserve"> the canonical SA–JA–ET trio. Abscisic acid (ABA), </w:t>
      </w:r>
      <w:r w:rsidR="004D371B" w:rsidRPr="00DC2891">
        <w:rPr>
          <w:rFonts w:ascii="Times New Roman" w:hAnsi="Times New Roman" w:cs="Times New Roman"/>
          <w:sz w:val="24"/>
          <w:szCs w:val="24"/>
        </w:rPr>
        <w:t>typically associated with</w:t>
      </w:r>
      <w:r w:rsidRPr="00DC2891">
        <w:rPr>
          <w:rFonts w:ascii="Times New Roman" w:hAnsi="Times New Roman" w:cs="Times New Roman"/>
          <w:sz w:val="24"/>
          <w:szCs w:val="24"/>
        </w:rPr>
        <w:t xml:space="preserve"> abiotic stress, also has context-dependent effects on immunological signalling. In certain instances, ABA suppresses SA biosynthesis genes and stabilises repressor proteins</w:t>
      </w:r>
      <w:r w:rsidR="004D371B" w:rsidRPr="00DC2891">
        <w:rPr>
          <w:rFonts w:ascii="Times New Roman" w:hAnsi="Times New Roman" w:cs="Times New Roman"/>
          <w:sz w:val="24"/>
          <w:szCs w:val="24"/>
        </w:rPr>
        <w:t>, such as WRKY40, to adversely control SA-mediated defences</w:t>
      </w:r>
      <w:r w:rsidRPr="00DC2891">
        <w:rPr>
          <w:rFonts w:ascii="Times New Roman" w:hAnsi="Times New Roman" w:cs="Times New Roman"/>
          <w:sz w:val="24"/>
          <w:szCs w:val="24"/>
        </w:rPr>
        <w:t xml:space="preserve">. In environments where growth or conservation </w:t>
      </w:r>
      <w:r w:rsidR="004D371B" w:rsidRPr="00DC2891">
        <w:rPr>
          <w:rFonts w:ascii="Times New Roman" w:hAnsi="Times New Roman" w:cs="Times New Roman"/>
          <w:sz w:val="24"/>
          <w:szCs w:val="24"/>
        </w:rPr>
        <w:t>is more important, these interactions enable plants to downregulate costly</w:t>
      </w:r>
      <w:r w:rsidRPr="00DC2891">
        <w:rPr>
          <w:rFonts w:ascii="Times New Roman" w:hAnsi="Times New Roman" w:cs="Times New Roman"/>
          <w:sz w:val="24"/>
          <w:szCs w:val="24"/>
        </w:rPr>
        <w:t xml:space="preserve"> defence mechanisms</w:t>
      </w:r>
      <w:r w:rsidR="00280B09" w:rsidRPr="00DC2891">
        <w:rPr>
          <w:rFonts w:ascii="Times New Roman" w:hAnsi="Times New Roman" w:cs="Times New Roman"/>
          <w:sz w:val="24"/>
          <w:szCs w:val="24"/>
        </w:rPr>
        <w:t xml:space="preserve"> (Tian </w:t>
      </w:r>
      <w:r w:rsidR="00280B09" w:rsidRPr="00DC2891">
        <w:rPr>
          <w:rFonts w:ascii="Times New Roman" w:hAnsi="Times New Roman" w:cs="Times New Roman"/>
          <w:i/>
          <w:iCs/>
          <w:sz w:val="24"/>
          <w:szCs w:val="24"/>
        </w:rPr>
        <w:t>et al</w:t>
      </w:r>
      <w:r w:rsidR="00280B09" w:rsidRPr="00DC2891">
        <w:rPr>
          <w:rFonts w:ascii="Times New Roman" w:hAnsi="Times New Roman" w:cs="Times New Roman"/>
          <w:sz w:val="24"/>
          <w:szCs w:val="24"/>
        </w:rPr>
        <w:t>., 2025)</w:t>
      </w:r>
      <w:r w:rsidRPr="00DC2891">
        <w:rPr>
          <w:rFonts w:ascii="Times New Roman" w:hAnsi="Times New Roman" w:cs="Times New Roman"/>
          <w:sz w:val="24"/>
          <w:szCs w:val="24"/>
        </w:rPr>
        <w:t>.</w:t>
      </w:r>
    </w:p>
    <w:p w14:paraId="15D0D824" w14:textId="3301D274" w:rsidR="00FE1C55" w:rsidRPr="00DC2891" w:rsidRDefault="00FE1C55" w:rsidP="00FE1C55">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 xml:space="preserve">Additionally, </w:t>
      </w:r>
      <w:proofErr w:type="spellStart"/>
      <w:r w:rsidRPr="00DC2891">
        <w:rPr>
          <w:rFonts w:ascii="Times New Roman" w:hAnsi="Times New Roman" w:cs="Times New Roman"/>
          <w:sz w:val="24"/>
          <w:szCs w:val="24"/>
        </w:rPr>
        <w:t>brassinosteroids</w:t>
      </w:r>
      <w:proofErr w:type="spellEnd"/>
      <w:r w:rsidRPr="00DC2891">
        <w:rPr>
          <w:rFonts w:ascii="Times New Roman" w:hAnsi="Times New Roman" w:cs="Times New Roman"/>
          <w:sz w:val="24"/>
          <w:szCs w:val="24"/>
        </w:rPr>
        <w:t xml:space="preserve"> (BRs) have complex functions in immunity. When BRs are detected by the receptor kinase BRI1 (BRASSINOSTEROID INSENSITIVE 1), they trigger the downstream transcription factors BES1 and BZR1, which have an impact on defence and growth genes. According to recent research, BR signalling can prioritise growth in non-threatening circumstances by suppressing specific immune responses by blocking SA-responsive WRKY transcription factors. However, under </w:t>
      </w:r>
      <w:r w:rsidR="004D371B" w:rsidRPr="00DC2891">
        <w:rPr>
          <w:rFonts w:ascii="Times New Roman" w:hAnsi="Times New Roman" w:cs="Times New Roman"/>
          <w:sz w:val="24"/>
          <w:szCs w:val="24"/>
        </w:rPr>
        <w:t>specific</w:t>
      </w:r>
      <w:r w:rsidRPr="00DC2891">
        <w:rPr>
          <w:rFonts w:ascii="Times New Roman" w:hAnsi="Times New Roman" w:cs="Times New Roman"/>
          <w:sz w:val="24"/>
          <w:szCs w:val="24"/>
        </w:rPr>
        <w:t xml:space="preserve"> pathogen attacks, BRs positively contribute by increasing the expression of </w:t>
      </w:r>
      <w:r w:rsidR="004D371B" w:rsidRPr="00DC2891">
        <w:rPr>
          <w:rFonts w:ascii="Times New Roman" w:hAnsi="Times New Roman" w:cs="Times New Roman"/>
          <w:sz w:val="24"/>
          <w:szCs w:val="24"/>
        </w:rPr>
        <w:t>defence-associated</w:t>
      </w:r>
      <w:r w:rsidRPr="00DC2891">
        <w:rPr>
          <w:rFonts w:ascii="Times New Roman" w:hAnsi="Times New Roman" w:cs="Times New Roman"/>
          <w:sz w:val="24"/>
          <w:szCs w:val="24"/>
        </w:rPr>
        <w:t xml:space="preserve"> genes, suggesting that their function is highly dependent on the pathogen </w:t>
      </w:r>
      <w:r w:rsidR="004D371B" w:rsidRPr="00DC2891">
        <w:rPr>
          <w:rFonts w:ascii="Times New Roman" w:hAnsi="Times New Roman" w:cs="Times New Roman"/>
          <w:sz w:val="24"/>
          <w:szCs w:val="24"/>
        </w:rPr>
        <w:t>type, timing, and the plant's physiological state</w:t>
      </w:r>
      <w:r w:rsidR="00280B09" w:rsidRPr="00DC2891">
        <w:rPr>
          <w:rFonts w:ascii="Times New Roman" w:hAnsi="Times New Roman" w:cs="Times New Roman"/>
          <w:sz w:val="24"/>
          <w:szCs w:val="24"/>
        </w:rPr>
        <w:t xml:space="preserve"> (Zhao </w:t>
      </w:r>
      <w:r w:rsidR="00280B09" w:rsidRPr="00DC2891">
        <w:rPr>
          <w:rFonts w:ascii="Times New Roman" w:hAnsi="Times New Roman" w:cs="Times New Roman"/>
          <w:i/>
          <w:iCs/>
          <w:sz w:val="24"/>
          <w:szCs w:val="24"/>
        </w:rPr>
        <w:t>et al</w:t>
      </w:r>
      <w:r w:rsidR="00280B09" w:rsidRPr="00DC2891">
        <w:rPr>
          <w:rFonts w:ascii="Times New Roman" w:hAnsi="Times New Roman" w:cs="Times New Roman"/>
          <w:sz w:val="24"/>
          <w:szCs w:val="24"/>
        </w:rPr>
        <w:t>., 2024)</w:t>
      </w:r>
      <w:r w:rsidRPr="00DC2891">
        <w:rPr>
          <w:rFonts w:ascii="Times New Roman" w:hAnsi="Times New Roman" w:cs="Times New Roman"/>
          <w:sz w:val="24"/>
          <w:szCs w:val="24"/>
        </w:rPr>
        <w:t>.</w:t>
      </w:r>
    </w:p>
    <w:p w14:paraId="0740330A" w14:textId="2B26C7AD" w:rsidR="000C6445" w:rsidRPr="00DC2891" w:rsidRDefault="000C6445" w:rsidP="000C6445">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To further influence immunity, cytokinin (CK) signalling interacts with the SA pathway. Histidine kinase receptors</w:t>
      </w:r>
      <w:r w:rsidR="004D371B" w:rsidRPr="00DC2891">
        <w:rPr>
          <w:rFonts w:ascii="Times New Roman" w:hAnsi="Times New Roman" w:cs="Times New Roman"/>
          <w:sz w:val="24"/>
          <w:szCs w:val="24"/>
        </w:rPr>
        <w:t xml:space="preserve">, such as AHK2/3/4, detect CKs and initiate a multistep </w:t>
      </w:r>
      <w:proofErr w:type="spellStart"/>
      <w:r w:rsidR="004D371B" w:rsidRPr="00DC2891">
        <w:rPr>
          <w:rFonts w:ascii="Times New Roman" w:hAnsi="Times New Roman" w:cs="Times New Roman"/>
          <w:sz w:val="24"/>
          <w:szCs w:val="24"/>
        </w:rPr>
        <w:t>phosphorelay</w:t>
      </w:r>
      <w:proofErr w:type="spellEnd"/>
      <w:r w:rsidR="004D371B" w:rsidRPr="00DC2891">
        <w:rPr>
          <w:rFonts w:ascii="Times New Roman" w:hAnsi="Times New Roman" w:cs="Times New Roman"/>
          <w:sz w:val="24"/>
          <w:szCs w:val="24"/>
        </w:rPr>
        <w:t xml:space="preserve"> </w:t>
      </w:r>
      <w:r w:rsidR="004D371B" w:rsidRPr="00DC2891">
        <w:rPr>
          <w:rFonts w:ascii="Times New Roman" w:hAnsi="Times New Roman" w:cs="Times New Roman"/>
          <w:sz w:val="24"/>
          <w:szCs w:val="24"/>
        </w:rPr>
        <w:lastRenderedPageBreak/>
        <w:t>involving type B</w:t>
      </w:r>
      <w:r w:rsidRPr="00DC2891">
        <w:rPr>
          <w:rFonts w:ascii="Times New Roman" w:hAnsi="Times New Roman" w:cs="Times New Roman"/>
          <w:sz w:val="24"/>
          <w:szCs w:val="24"/>
        </w:rPr>
        <w:t xml:space="preserve"> response regulators (RRs). By upregulating SA biosynthesis genes, these RRs can increase SA accumulation and fortify defence activation. Therefore, when circumstances permit, </w:t>
      </w:r>
      <w:proofErr w:type="spellStart"/>
      <w:r w:rsidRPr="00DC2891">
        <w:rPr>
          <w:rFonts w:ascii="Times New Roman" w:hAnsi="Times New Roman" w:cs="Times New Roman"/>
          <w:sz w:val="24"/>
          <w:szCs w:val="24"/>
        </w:rPr>
        <w:t>cytokinins</w:t>
      </w:r>
      <w:proofErr w:type="spellEnd"/>
      <w:r w:rsidRPr="00DC2891">
        <w:rPr>
          <w:rFonts w:ascii="Times New Roman" w:hAnsi="Times New Roman" w:cs="Times New Roman"/>
          <w:sz w:val="24"/>
          <w:szCs w:val="24"/>
        </w:rPr>
        <w:t xml:space="preserve"> may function as a </w:t>
      </w:r>
      <w:r w:rsidR="004D371B" w:rsidRPr="00DC2891">
        <w:rPr>
          <w:rFonts w:ascii="Times New Roman" w:hAnsi="Times New Roman" w:cs="Times New Roman"/>
          <w:sz w:val="24"/>
          <w:szCs w:val="24"/>
        </w:rPr>
        <w:t>growth-defence</w:t>
      </w:r>
      <w:r w:rsidRPr="00DC2891">
        <w:rPr>
          <w:rFonts w:ascii="Times New Roman" w:hAnsi="Times New Roman" w:cs="Times New Roman"/>
          <w:sz w:val="24"/>
          <w:szCs w:val="24"/>
        </w:rPr>
        <w:t xml:space="preserve"> switch by enhancing SA-mediated immunity, combining immunological capacity with developmental state</w:t>
      </w:r>
      <w:r w:rsidR="00280B09" w:rsidRPr="00DC2891">
        <w:rPr>
          <w:rFonts w:ascii="Times New Roman" w:hAnsi="Times New Roman" w:cs="Times New Roman"/>
          <w:sz w:val="24"/>
          <w:szCs w:val="24"/>
        </w:rPr>
        <w:t xml:space="preserve"> (Guo </w:t>
      </w:r>
      <w:r w:rsidR="00280B09" w:rsidRPr="00DC2891">
        <w:rPr>
          <w:rFonts w:ascii="Times New Roman" w:hAnsi="Times New Roman" w:cs="Times New Roman"/>
          <w:i/>
          <w:iCs/>
          <w:sz w:val="24"/>
          <w:szCs w:val="24"/>
        </w:rPr>
        <w:t>et al</w:t>
      </w:r>
      <w:r w:rsidR="00280B09" w:rsidRPr="00DC2891">
        <w:rPr>
          <w:rFonts w:ascii="Times New Roman" w:hAnsi="Times New Roman" w:cs="Times New Roman"/>
          <w:sz w:val="24"/>
          <w:szCs w:val="24"/>
        </w:rPr>
        <w:t>., 2024)</w:t>
      </w:r>
      <w:r w:rsidRPr="00DC2891">
        <w:rPr>
          <w:rFonts w:ascii="Times New Roman" w:hAnsi="Times New Roman" w:cs="Times New Roman"/>
          <w:sz w:val="24"/>
          <w:szCs w:val="24"/>
        </w:rPr>
        <w:t>.</w:t>
      </w:r>
    </w:p>
    <w:p w14:paraId="096F6185" w14:textId="11A03FAA" w:rsidR="00B466CE" w:rsidRPr="00DC2891" w:rsidRDefault="004F2A35" w:rsidP="00BA2DE4">
      <w:pPr>
        <w:pStyle w:val="ListParagraph"/>
        <w:numPr>
          <w:ilvl w:val="1"/>
          <w:numId w:val="2"/>
        </w:numPr>
        <w:spacing w:line="360" w:lineRule="auto"/>
        <w:jc w:val="both"/>
        <w:rPr>
          <w:rFonts w:ascii="Times New Roman" w:hAnsi="Times New Roman" w:cs="Times New Roman"/>
          <w:b/>
          <w:bCs/>
          <w:sz w:val="24"/>
          <w:szCs w:val="24"/>
        </w:rPr>
      </w:pPr>
      <w:r w:rsidRPr="00DC2891">
        <w:rPr>
          <w:rFonts w:ascii="Times New Roman" w:hAnsi="Times New Roman" w:cs="Times New Roman"/>
          <w:b/>
          <w:bCs/>
          <w:sz w:val="24"/>
          <w:szCs w:val="24"/>
        </w:rPr>
        <w:t>Hormonal Rewiring by Pathogens: Hijacking the Crosstalk</w:t>
      </w:r>
    </w:p>
    <w:p w14:paraId="109F06B9" w14:textId="4BBCAF54" w:rsidR="006956E5" w:rsidRPr="00DC2891" w:rsidRDefault="004D371B" w:rsidP="006956E5">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To facilitate infection, pathogenic bacteria frequently exploit plant hormonal signalling</w:t>
      </w:r>
      <w:r w:rsidR="006956E5" w:rsidRPr="00DC2891">
        <w:rPr>
          <w:rFonts w:ascii="Times New Roman" w:hAnsi="Times New Roman" w:cs="Times New Roman"/>
          <w:sz w:val="24"/>
          <w:szCs w:val="24"/>
        </w:rPr>
        <w:t xml:space="preserve">. As previously stated, coronatine, a </w:t>
      </w:r>
      <w:r w:rsidRPr="00DC2891">
        <w:rPr>
          <w:rFonts w:ascii="Times New Roman" w:hAnsi="Times New Roman" w:cs="Times New Roman"/>
          <w:sz w:val="24"/>
          <w:szCs w:val="24"/>
        </w:rPr>
        <w:t>potent</w:t>
      </w:r>
      <w:r w:rsidR="006956E5" w:rsidRPr="00DC2891">
        <w:rPr>
          <w:rFonts w:ascii="Times New Roman" w:hAnsi="Times New Roman" w:cs="Times New Roman"/>
          <w:sz w:val="24"/>
          <w:szCs w:val="24"/>
        </w:rPr>
        <w:t xml:space="preserve"> JA-Ile mimic, is produced by numerous bacterial pathogens in order to influence the COI1–JAZ–MYC2 module. By doing this, they dampen SA-dependent defences that would otherwise prevent their proliferation by activating JA signalling pathways. Furthermore, several fungal diseases affect BZR1/BES1 transcription factors, which can decrease the SA pathway and lower host resistance by modulating BR signalling.</w:t>
      </w:r>
    </w:p>
    <w:p w14:paraId="34DBEA96" w14:textId="779E5150" w:rsidR="004E2E6C" w:rsidRPr="00DC2891" w:rsidRDefault="004D371B" w:rsidP="004E2E6C">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Viruses also manipulate hormonal crosstalk</w:t>
      </w:r>
      <w:r w:rsidR="004E2E6C" w:rsidRPr="00DC2891">
        <w:rPr>
          <w:rFonts w:ascii="Times New Roman" w:hAnsi="Times New Roman" w:cs="Times New Roman"/>
          <w:sz w:val="24"/>
          <w:szCs w:val="24"/>
        </w:rPr>
        <w:t xml:space="preserve">. For instance, some viral infections raise ABA levels, which suppress SA-mediated defences and facilitate </w:t>
      </w:r>
      <w:r w:rsidRPr="00DC2891">
        <w:rPr>
          <w:rFonts w:ascii="Times New Roman" w:hAnsi="Times New Roman" w:cs="Times New Roman"/>
          <w:sz w:val="24"/>
          <w:szCs w:val="24"/>
        </w:rPr>
        <w:t>viral propagation</w:t>
      </w:r>
      <w:r w:rsidR="004E2E6C" w:rsidRPr="00DC2891">
        <w:rPr>
          <w:rFonts w:ascii="Times New Roman" w:hAnsi="Times New Roman" w:cs="Times New Roman"/>
          <w:sz w:val="24"/>
          <w:szCs w:val="24"/>
        </w:rPr>
        <w:t xml:space="preserve">. Others modify genes involved in cytokinin biosynthesis or signalling to promote conditions conducive to motility or replication. These tactics demonstrate </w:t>
      </w:r>
      <w:r w:rsidRPr="00DC2891">
        <w:rPr>
          <w:rFonts w:ascii="Times New Roman" w:hAnsi="Times New Roman" w:cs="Times New Roman"/>
          <w:sz w:val="24"/>
          <w:szCs w:val="24"/>
        </w:rPr>
        <w:t>that phytohormone crosstalk is a weakness that viruses can exploit,</w:t>
      </w:r>
      <w:r w:rsidR="004E2E6C" w:rsidRPr="00DC2891">
        <w:rPr>
          <w:rFonts w:ascii="Times New Roman" w:hAnsi="Times New Roman" w:cs="Times New Roman"/>
          <w:sz w:val="24"/>
          <w:szCs w:val="24"/>
        </w:rPr>
        <w:t xml:space="preserve"> in addition to serving as a mechanism for plants to coordinate defence.</w:t>
      </w:r>
    </w:p>
    <w:p w14:paraId="2FA28EA2" w14:textId="705CFC6A" w:rsidR="00171C15" w:rsidRPr="00DC2891" w:rsidRDefault="00171C15" w:rsidP="00680DC7">
      <w:pPr>
        <w:pStyle w:val="ListParagraph"/>
        <w:numPr>
          <w:ilvl w:val="0"/>
          <w:numId w:val="2"/>
        </w:numPr>
        <w:spacing w:line="360" w:lineRule="auto"/>
        <w:jc w:val="both"/>
        <w:rPr>
          <w:rFonts w:ascii="Times New Roman" w:hAnsi="Times New Roman" w:cs="Times New Roman"/>
          <w:b/>
          <w:bCs/>
          <w:sz w:val="24"/>
          <w:szCs w:val="24"/>
        </w:rPr>
      </w:pPr>
      <w:r w:rsidRPr="00DC2891">
        <w:rPr>
          <w:rFonts w:ascii="Times New Roman" w:hAnsi="Times New Roman" w:cs="Times New Roman"/>
          <w:b/>
          <w:bCs/>
          <w:sz w:val="24"/>
          <w:szCs w:val="24"/>
        </w:rPr>
        <w:t>Engineering Hormone Crosstalk for Climate-Resilient Crops</w:t>
      </w:r>
    </w:p>
    <w:p w14:paraId="2DBE962B" w14:textId="0C0B8791" w:rsidR="00A45858" w:rsidRPr="00DC2891" w:rsidRDefault="00A45858" w:rsidP="00A45858">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Targeting network hubs, creating programmable hormone-responsive circuits, and employing precision delivery techniques that prevent long-term growth penalties are all necessary for engineering hormonal crosstalk to increase crop resilience. Each of these methods</w:t>
      </w:r>
      <w:r w:rsidR="00B124AA" w:rsidRPr="00DC2891">
        <w:rPr>
          <w:rFonts w:ascii="Times New Roman" w:hAnsi="Times New Roman" w:cs="Times New Roman"/>
          <w:sz w:val="24"/>
          <w:szCs w:val="24"/>
        </w:rPr>
        <w:t xml:space="preserve">, </w:t>
      </w:r>
      <w:proofErr w:type="spellStart"/>
      <w:r w:rsidRPr="00DC2891">
        <w:rPr>
          <w:rFonts w:ascii="Times New Roman" w:hAnsi="Times New Roman" w:cs="Times New Roman"/>
          <w:sz w:val="24"/>
          <w:szCs w:val="24"/>
        </w:rPr>
        <w:t>nanodelivery</w:t>
      </w:r>
      <w:proofErr w:type="spellEnd"/>
      <w:r w:rsidRPr="00DC2891">
        <w:rPr>
          <w:rFonts w:ascii="Times New Roman" w:hAnsi="Times New Roman" w:cs="Times New Roman"/>
          <w:sz w:val="24"/>
          <w:szCs w:val="24"/>
        </w:rPr>
        <w:t>, synthetic biology, and gene editing</w:t>
      </w:r>
      <w:r w:rsidR="004D371B" w:rsidRPr="00DC2891">
        <w:rPr>
          <w:rFonts w:ascii="Times New Roman" w:hAnsi="Times New Roman" w:cs="Times New Roman"/>
          <w:sz w:val="24"/>
          <w:szCs w:val="24"/>
        </w:rPr>
        <w:t>, offers complementary</w:t>
      </w:r>
      <w:r w:rsidRPr="00DC2891">
        <w:rPr>
          <w:rFonts w:ascii="Times New Roman" w:hAnsi="Times New Roman" w:cs="Times New Roman"/>
          <w:sz w:val="24"/>
          <w:szCs w:val="24"/>
        </w:rPr>
        <w:t xml:space="preserve"> benefits for logically adjusting growth-stress trade-offs in crops.</w:t>
      </w:r>
    </w:p>
    <w:p w14:paraId="35628EFC" w14:textId="77777777" w:rsidR="00B124AA" w:rsidRPr="00DC2891" w:rsidRDefault="00171C15" w:rsidP="002A5500">
      <w:pPr>
        <w:pStyle w:val="ListParagraph"/>
        <w:numPr>
          <w:ilvl w:val="1"/>
          <w:numId w:val="2"/>
        </w:numPr>
        <w:spacing w:line="360" w:lineRule="auto"/>
        <w:jc w:val="both"/>
        <w:rPr>
          <w:rFonts w:ascii="Times New Roman" w:hAnsi="Times New Roman" w:cs="Times New Roman"/>
          <w:sz w:val="24"/>
          <w:szCs w:val="24"/>
        </w:rPr>
      </w:pPr>
      <w:r w:rsidRPr="00DC2891">
        <w:rPr>
          <w:rFonts w:ascii="Times New Roman" w:hAnsi="Times New Roman" w:cs="Times New Roman"/>
          <w:b/>
          <w:bCs/>
          <w:sz w:val="24"/>
          <w:szCs w:val="24"/>
        </w:rPr>
        <w:t xml:space="preserve">Gene-editing targets </w:t>
      </w:r>
    </w:p>
    <w:p w14:paraId="5BBC1CCE" w14:textId="5BE65870" w:rsidR="002A5500" w:rsidRPr="00DC2891" w:rsidRDefault="002A5500" w:rsidP="00B124AA">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 xml:space="preserve">Core regulatory genes that serve as crosstalk hubs can be precisely modified </w:t>
      </w:r>
      <w:r w:rsidR="004D371B" w:rsidRPr="00DC2891">
        <w:rPr>
          <w:rFonts w:ascii="Times New Roman" w:hAnsi="Times New Roman" w:cs="Times New Roman"/>
          <w:sz w:val="24"/>
          <w:szCs w:val="24"/>
        </w:rPr>
        <w:t>using</w:t>
      </w:r>
      <w:r w:rsidRPr="00DC2891">
        <w:rPr>
          <w:rFonts w:ascii="Times New Roman" w:hAnsi="Times New Roman" w:cs="Times New Roman"/>
          <w:sz w:val="24"/>
          <w:szCs w:val="24"/>
        </w:rPr>
        <w:t xml:space="preserve"> CRISPR/Cas systems. Gibberellin-dependent growth restraint can be modulated by editing DELLA genes or their regulatory regions to promote stress tolerance without completely suppressing growth; similarly, context-dependent rebalancing of defence versus growth can be achieved by fine-tuning MYC2, a central </w:t>
      </w:r>
      <w:proofErr w:type="spellStart"/>
      <w:r w:rsidRPr="00DC2891">
        <w:rPr>
          <w:rFonts w:ascii="Times New Roman" w:hAnsi="Times New Roman" w:cs="Times New Roman"/>
          <w:sz w:val="24"/>
          <w:szCs w:val="24"/>
        </w:rPr>
        <w:t>jasmonate</w:t>
      </w:r>
      <w:proofErr w:type="spellEnd"/>
      <w:r w:rsidRPr="00DC2891">
        <w:rPr>
          <w:rFonts w:ascii="Times New Roman" w:hAnsi="Times New Roman" w:cs="Times New Roman"/>
          <w:sz w:val="24"/>
          <w:szCs w:val="24"/>
        </w:rPr>
        <w:t xml:space="preserve"> TF, or NPR1, a master SA regulator. Other high-value targets include BR transcriptional regulators BZR1/BES1 and auxin response factors (ARFs), which connect developmental programs to various hormone inputs. Numerous recent reviews </w:t>
      </w:r>
      <w:r w:rsidRPr="00DC2891">
        <w:rPr>
          <w:rFonts w:ascii="Times New Roman" w:hAnsi="Times New Roman" w:cs="Times New Roman"/>
          <w:sz w:val="24"/>
          <w:szCs w:val="24"/>
        </w:rPr>
        <w:lastRenderedPageBreak/>
        <w:t>and applied research show that CRISPR techniques, such as multiplex editing, promoter engineering, and allele substitution, are already being utilised to modify stress-relevant network nodes in a number of crop species, offering proof-of-concept for rewiring hormone networks.</w:t>
      </w:r>
    </w:p>
    <w:p w14:paraId="3284690E" w14:textId="77777777" w:rsidR="00B124AA" w:rsidRPr="00DC2891" w:rsidRDefault="00680DC7" w:rsidP="00B124AA">
      <w:pPr>
        <w:pStyle w:val="ListParagraph"/>
        <w:numPr>
          <w:ilvl w:val="1"/>
          <w:numId w:val="2"/>
        </w:numPr>
        <w:spacing w:line="360" w:lineRule="auto"/>
        <w:jc w:val="both"/>
        <w:rPr>
          <w:rFonts w:ascii="Times New Roman" w:hAnsi="Times New Roman" w:cs="Times New Roman"/>
          <w:sz w:val="24"/>
          <w:szCs w:val="24"/>
        </w:rPr>
      </w:pPr>
      <w:r w:rsidRPr="00DC2891">
        <w:rPr>
          <w:rFonts w:ascii="Times New Roman" w:hAnsi="Times New Roman" w:cs="Times New Roman"/>
          <w:b/>
          <w:bCs/>
          <w:sz w:val="24"/>
          <w:szCs w:val="24"/>
        </w:rPr>
        <w:t xml:space="preserve">Synthetic biology approaches </w:t>
      </w:r>
    </w:p>
    <w:p w14:paraId="005D2483" w14:textId="55105939" w:rsidR="002E3213" w:rsidRPr="00DC2891" w:rsidRDefault="002E3213" w:rsidP="00E1224A">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 xml:space="preserve">Programmable hormone circuits that only activate when and where necessary can be created through synthetic biology. By enabling tissue-specific or stress-inducible production of protective genes, synthetic promoters constructed from verified hormone-responsive cis-elements lower constitutive fitness costs. Artificial crosstalk architectures with predictable logic (AND/OR gating) and low pleiotropy can be constructed by layering inducible hormone circuits, such as drought-responsive modules that temporarily upregulate ABA-pathway effectors. These creations are now tractable in model and crop systems, allowing </w:t>
      </w:r>
      <w:r w:rsidR="004D371B" w:rsidRPr="00DC2891">
        <w:rPr>
          <w:rFonts w:ascii="Times New Roman" w:hAnsi="Times New Roman" w:cs="Times New Roman"/>
          <w:sz w:val="24"/>
          <w:szCs w:val="24"/>
        </w:rPr>
        <w:t xml:space="preserve">modular reassembly of hormone-sensing and response modules, as recent work on standardised plant </w:t>
      </w:r>
      <w:proofErr w:type="spellStart"/>
      <w:r w:rsidR="004D371B" w:rsidRPr="00DC2891">
        <w:rPr>
          <w:rFonts w:ascii="Times New Roman" w:hAnsi="Times New Roman" w:cs="Times New Roman"/>
          <w:sz w:val="24"/>
          <w:szCs w:val="24"/>
        </w:rPr>
        <w:t>bioparts</w:t>
      </w:r>
      <w:proofErr w:type="spellEnd"/>
      <w:r w:rsidR="004D371B" w:rsidRPr="00DC2891">
        <w:rPr>
          <w:rFonts w:ascii="Times New Roman" w:hAnsi="Times New Roman" w:cs="Times New Roman"/>
          <w:sz w:val="24"/>
          <w:szCs w:val="24"/>
        </w:rPr>
        <w:t xml:space="preserve"> and synthetic promoter toolkits demonstrates</w:t>
      </w:r>
      <w:r w:rsidRPr="00DC2891">
        <w:rPr>
          <w:rFonts w:ascii="Times New Roman" w:hAnsi="Times New Roman" w:cs="Times New Roman"/>
          <w:sz w:val="24"/>
          <w:szCs w:val="24"/>
        </w:rPr>
        <w:t>.</w:t>
      </w:r>
    </w:p>
    <w:p w14:paraId="4A1E1807" w14:textId="6A9A306B" w:rsidR="00680DC7" w:rsidRPr="00DC2891" w:rsidRDefault="00680DC7" w:rsidP="00680DC7">
      <w:pPr>
        <w:pStyle w:val="ListParagraph"/>
        <w:numPr>
          <w:ilvl w:val="1"/>
          <w:numId w:val="2"/>
        </w:numPr>
        <w:spacing w:line="360" w:lineRule="auto"/>
        <w:jc w:val="both"/>
        <w:rPr>
          <w:rFonts w:ascii="Times New Roman" w:hAnsi="Times New Roman" w:cs="Times New Roman"/>
          <w:b/>
          <w:bCs/>
          <w:sz w:val="24"/>
          <w:szCs w:val="24"/>
        </w:rPr>
      </w:pPr>
      <w:r w:rsidRPr="00DC2891">
        <w:rPr>
          <w:rFonts w:ascii="Times New Roman" w:hAnsi="Times New Roman" w:cs="Times New Roman"/>
          <w:b/>
          <w:bCs/>
          <w:sz w:val="24"/>
          <w:szCs w:val="24"/>
        </w:rPr>
        <w:t>Nanotechnology and smart delivery of hormonal modulators</w:t>
      </w:r>
    </w:p>
    <w:p w14:paraId="3AE7656A" w14:textId="405C6C10" w:rsidR="00185602" w:rsidRPr="00DC2891" w:rsidRDefault="00185602" w:rsidP="00185602">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 xml:space="preserve">Nanocarriers offer a temporal, non-transgenic way to control hormone signalling in plants. Hormone analogues, small RNAs, peptides, or CRISPR ribonucleoproteins can be encapsulated and delivered to particular tissues using biodegradable polymeric nanoparticles, lipid emulsions, and engineered vesicles. This improves stability and uptake while enabling stimuli-responsive release (e.g., moisture- or pH-triggered). Smart </w:t>
      </w:r>
      <w:proofErr w:type="spellStart"/>
      <w:r w:rsidRPr="00DC2891">
        <w:rPr>
          <w:rFonts w:ascii="Times New Roman" w:hAnsi="Times New Roman" w:cs="Times New Roman"/>
          <w:sz w:val="24"/>
          <w:szCs w:val="24"/>
        </w:rPr>
        <w:t>nanodelivery</w:t>
      </w:r>
      <w:proofErr w:type="spellEnd"/>
      <w:r w:rsidRPr="00DC2891">
        <w:rPr>
          <w:rFonts w:ascii="Times New Roman" w:hAnsi="Times New Roman" w:cs="Times New Roman"/>
          <w:sz w:val="24"/>
          <w:szCs w:val="24"/>
        </w:rPr>
        <w:t xml:space="preserve"> is a </w:t>
      </w:r>
      <w:r w:rsidR="004D371B" w:rsidRPr="00DC2891">
        <w:rPr>
          <w:rFonts w:ascii="Times New Roman" w:hAnsi="Times New Roman" w:cs="Times New Roman"/>
          <w:sz w:val="24"/>
          <w:szCs w:val="24"/>
        </w:rPr>
        <w:t>viable method to temporarily rewire hormone crosstalk during stress episodes without altering the genome, as evidenced by recent developments such as autonomous nanoparticle uptake mediated by plant transporters and targeted delivery systems that enhance payload entry and duration of effect</w:t>
      </w:r>
      <w:r w:rsidRPr="00DC2891">
        <w:rPr>
          <w:rFonts w:ascii="Times New Roman" w:hAnsi="Times New Roman" w:cs="Times New Roman"/>
          <w:sz w:val="24"/>
          <w:szCs w:val="24"/>
        </w:rPr>
        <w:t>.</w:t>
      </w:r>
    </w:p>
    <w:p w14:paraId="0A5A89F8" w14:textId="77777777" w:rsidR="00E1224A" w:rsidRPr="00DC2891" w:rsidRDefault="00E1224A" w:rsidP="00185602">
      <w:pPr>
        <w:spacing w:line="360" w:lineRule="auto"/>
        <w:jc w:val="both"/>
        <w:rPr>
          <w:rFonts w:ascii="Times New Roman" w:hAnsi="Times New Roman" w:cs="Times New Roman"/>
          <w:sz w:val="24"/>
          <w:szCs w:val="24"/>
        </w:rPr>
      </w:pPr>
    </w:p>
    <w:p w14:paraId="09098A4C" w14:textId="1238D19A" w:rsidR="00971963" w:rsidRPr="00DC2891" w:rsidRDefault="00971963" w:rsidP="00185602">
      <w:pPr>
        <w:spacing w:line="360" w:lineRule="auto"/>
        <w:jc w:val="both"/>
        <w:rPr>
          <w:rFonts w:ascii="Times New Roman" w:hAnsi="Times New Roman" w:cs="Times New Roman"/>
          <w:b/>
          <w:bCs/>
          <w:sz w:val="24"/>
          <w:szCs w:val="24"/>
        </w:rPr>
      </w:pPr>
      <w:r w:rsidRPr="00DC2891">
        <w:rPr>
          <w:rFonts w:ascii="Times New Roman" w:hAnsi="Times New Roman" w:cs="Times New Roman"/>
          <w:b/>
          <w:bCs/>
          <w:sz w:val="24"/>
          <w:szCs w:val="24"/>
        </w:rPr>
        <w:t>Conclusion</w:t>
      </w:r>
    </w:p>
    <w:p w14:paraId="65F2C857" w14:textId="43877B86" w:rsidR="00ED4B7A" w:rsidRPr="00DC2891" w:rsidRDefault="00ED4B7A" w:rsidP="00ED4B7A">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 xml:space="preserve">The foundation of plant stress tolerance is phytohormone crosstalk, which </w:t>
      </w:r>
      <w:r w:rsidR="004D371B" w:rsidRPr="00DC2891">
        <w:rPr>
          <w:rFonts w:ascii="Times New Roman" w:hAnsi="Times New Roman" w:cs="Times New Roman"/>
          <w:sz w:val="24"/>
          <w:szCs w:val="24"/>
        </w:rPr>
        <w:t>enables plants to integrate multiple environmental stimuli through interconnected signalling networks rather than</w:t>
      </w:r>
      <w:r w:rsidRPr="00DC2891">
        <w:rPr>
          <w:rFonts w:ascii="Times New Roman" w:hAnsi="Times New Roman" w:cs="Times New Roman"/>
          <w:sz w:val="24"/>
          <w:szCs w:val="24"/>
        </w:rPr>
        <w:t xml:space="preserve"> isolated pathways. Plants balance defence, growth, and survival through the interplay of ABA, SA, JA, ET, auxin, GA, BR, and CK. Each stress scenario causes a unique reconfiguration of common receptors, transcription factors, secondary messengers, and biosynthetic nodes. The modular yet highly dynamic character of these interactions is </w:t>
      </w:r>
      <w:r w:rsidRPr="00DC2891">
        <w:rPr>
          <w:rFonts w:ascii="Times New Roman" w:hAnsi="Times New Roman" w:cs="Times New Roman"/>
          <w:sz w:val="24"/>
          <w:szCs w:val="24"/>
        </w:rPr>
        <w:lastRenderedPageBreak/>
        <w:t xml:space="preserve">demonstrated by examples like ABA–auxin coordination in drought, SA–JA antagonism in immunity, JA–ethylene synergy against </w:t>
      </w:r>
      <w:proofErr w:type="spellStart"/>
      <w:r w:rsidRPr="00DC2891">
        <w:rPr>
          <w:rFonts w:ascii="Times New Roman" w:hAnsi="Times New Roman" w:cs="Times New Roman"/>
          <w:sz w:val="24"/>
          <w:szCs w:val="24"/>
        </w:rPr>
        <w:t>necrotrophs</w:t>
      </w:r>
      <w:proofErr w:type="spellEnd"/>
      <w:r w:rsidRPr="00DC2891">
        <w:rPr>
          <w:rFonts w:ascii="Times New Roman" w:hAnsi="Times New Roman" w:cs="Times New Roman"/>
          <w:sz w:val="24"/>
          <w:szCs w:val="24"/>
        </w:rPr>
        <w:t>, and BR–GA–ABA control of growth-stress trade-offs.</w:t>
      </w:r>
    </w:p>
    <w:p w14:paraId="31D9A1E3" w14:textId="2752CB6F" w:rsidR="00C80B1E" w:rsidRPr="00DC2891" w:rsidRDefault="00C80B1E" w:rsidP="00C80B1E">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 xml:space="preserve">Understanding these networks at the systems level provides </w:t>
      </w:r>
      <w:r w:rsidR="004D371B" w:rsidRPr="00DC2891">
        <w:rPr>
          <w:rFonts w:ascii="Times New Roman" w:hAnsi="Times New Roman" w:cs="Times New Roman"/>
          <w:sz w:val="24"/>
          <w:szCs w:val="24"/>
        </w:rPr>
        <w:t>practical</w:t>
      </w:r>
      <w:r w:rsidRPr="00DC2891">
        <w:rPr>
          <w:rFonts w:ascii="Times New Roman" w:hAnsi="Times New Roman" w:cs="Times New Roman"/>
          <w:sz w:val="24"/>
          <w:szCs w:val="24"/>
        </w:rPr>
        <w:t xml:space="preserve"> ways to improve crops. Promising methods to improve stress tolerance without sacrificing overall plant fitness include targeted genome editing of regulatory hubs, synthetic hormone-responsive circuits, and intelligent </w:t>
      </w:r>
      <w:proofErr w:type="spellStart"/>
      <w:r w:rsidRPr="00DC2891">
        <w:rPr>
          <w:rFonts w:ascii="Times New Roman" w:hAnsi="Times New Roman" w:cs="Times New Roman"/>
          <w:sz w:val="24"/>
          <w:szCs w:val="24"/>
        </w:rPr>
        <w:t>nanodelivery</w:t>
      </w:r>
      <w:proofErr w:type="spellEnd"/>
      <w:r w:rsidRPr="00DC2891">
        <w:rPr>
          <w:rFonts w:ascii="Times New Roman" w:hAnsi="Times New Roman" w:cs="Times New Roman"/>
          <w:sz w:val="24"/>
          <w:szCs w:val="24"/>
        </w:rPr>
        <w:t xml:space="preserve"> systems. The production of climate-resilient crop varieties </w:t>
      </w:r>
      <w:r w:rsidR="004D371B" w:rsidRPr="00DC2891">
        <w:rPr>
          <w:rFonts w:ascii="Times New Roman" w:hAnsi="Times New Roman" w:cs="Times New Roman"/>
          <w:sz w:val="24"/>
          <w:szCs w:val="24"/>
        </w:rPr>
        <w:t>to address upcoming agricultural challenges will be enabled</w:t>
      </w:r>
      <w:r w:rsidRPr="00DC2891">
        <w:rPr>
          <w:rFonts w:ascii="Times New Roman" w:hAnsi="Times New Roman" w:cs="Times New Roman"/>
          <w:sz w:val="24"/>
          <w:szCs w:val="24"/>
        </w:rPr>
        <w:t xml:space="preserve"> by the rational engineering of hormone networks, which will become more viable as multi-omics technologies continue to identify additional crosstalk nodes.</w:t>
      </w:r>
    </w:p>
    <w:p w14:paraId="0BF29F4B" w14:textId="35376D3C" w:rsidR="00E814F5" w:rsidRPr="00DC2891" w:rsidRDefault="008C3E96" w:rsidP="00C80B1E">
      <w:pPr>
        <w:spacing w:line="360" w:lineRule="auto"/>
        <w:jc w:val="both"/>
        <w:rPr>
          <w:rFonts w:ascii="Times New Roman" w:hAnsi="Times New Roman" w:cs="Times New Roman"/>
          <w:sz w:val="24"/>
          <w:szCs w:val="24"/>
        </w:rPr>
      </w:pPr>
      <w:r w:rsidRPr="00DC2891">
        <w:rPr>
          <w:rFonts w:ascii="Times New Roman" w:hAnsi="Times New Roman" w:cs="Times New Roman"/>
          <w:noProof/>
          <w:sz w:val="24"/>
          <w:szCs w:val="24"/>
        </w:rPr>
        <w:drawing>
          <wp:inline distT="0" distB="0" distL="0" distR="0" wp14:anchorId="3B2F58FE" wp14:editId="06FC21E7">
            <wp:extent cx="5670550" cy="3142615"/>
            <wp:effectExtent l="19050" t="19050" r="25400" b="19685"/>
            <wp:docPr id="739559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a:extLst>
                        <a:ext uri="{28A0092B-C50C-407E-A947-70E740481C1C}">
                          <a14:useLocalDpi xmlns:a14="http://schemas.microsoft.com/office/drawing/2010/main" val="0"/>
                        </a:ext>
                      </a:extLst>
                    </a:blip>
                    <a:srcRect l="-1" t="1000" r="1064"/>
                    <a:stretch>
                      <a:fillRect/>
                    </a:stretch>
                  </pic:blipFill>
                  <pic:spPr bwMode="auto">
                    <a:xfrm>
                      <a:off x="0" y="0"/>
                      <a:ext cx="5670550" cy="314261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80D2A1C" w14:textId="150F07CB" w:rsidR="00C80B1E" w:rsidRPr="00DC2891" w:rsidRDefault="000B2400" w:rsidP="00E1224A">
      <w:pPr>
        <w:spacing w:line="360" w:lineRule="auto"/>
        <w:jc w:val="both"/>
        <w:rPr>
          <w:rFonts w:ascii="Times New Roman" w:hAnsi="Times New Roman" w:cs="Times New Roman"/>
          <w:sz w:val="24"/>
          <w:szCs w:val="24"/>
        </w:rPr>
      </w:pPr>
      <w:r w:rsidRPr="00DC2891">
        <w:rPr>
          <w:rFonts w:ascii="Times New Roman" w:hAnsi="Times New Roman" w:cs="Times New Roman"/>
          <w:b/>
          <w:bCs/>
          <w:sz w:val="24"/>
          <w:szCs w:val="24"/>
        </w:rPr>
        <w:t>Fig</w:t>
      </w:r>
      <w:r w:rsidR="00C82528" w:rsidRPr="00DC2891">
        <w:rPr>
          <w:rFonts w:ascii="Times New Roman" w:hAnsi="Times New Roman" w:cs="Times New Roman"/>
          <w:b/>
          <w:bCs/>
          <w:sz w:val="24"/>
          <w:szCs w:val="24"/>
        </w:rPr>
        <w:t xml:space="preserve"> 1</w:t>
      </w:r>
      <w:r w:rsidRPr="00DC2891">
        <w:rPr>
          <w:rFonts w:ascii="Times New Roman" w:hAnsi="Times New Roman" w:cs="Times New Roman"/>
          <w:b/>
          <w:bCs/>
          <w:sz w:val="24"/>
          <w:szCs w:val="24"/>
        </w:rPr>
        <w:t>:</w:t>
      </w:r>
      <w:r w:rsidRPr="00DC2891">
        <w:rPr>
          <w:rFonts w:ascii="Times New Roman" w:hAnsi="Times New Roman" w:cs="Times New Roman"/>
          <w:sz w:val="24"/>
          <w:szCs w:val="24"/>
        </w:rPr>
        <w:t xml:space="preserve"> Overview of phytohormone crosstalk in plant stress responses. The image illustrates the integration of </w:t>
      </w:r>
      <w:r w:rsidR="004D371B" w:rsidRPr="00DC2891">
        <w:rPr>
          <w:rFonts w:ascii="Times New Roman" w:hAnsi="Times New Roman" w:cs="Times New Roman"/>
          <w:sz w:val="24"/>
          <w:szCs w:val="24"/>
        </w:rPr>
        <w:t xml:space="preserve">abiotic (drought, salinity, osmotic stress, flooding, temperature stress) and biotic (bacteria, fungi, insects, weeds) stresses </w:t>
      </w:r>
      <w:r w:rsidRPr="00DC2891">
        <w:rPr>
          <w:rFonts w:ascii="Times New Roman" w:hAnsi="Times New Roman" w:cs="Times New Roman"/>
          <w:sz w:val="24"/>
          <w:szCs w:val="24"/>
        </w:rPr>
        <w:t xml:space="preserve">on plant physiological and molecular responses. Central regulatory nodes include </w:t>
      </w:r>
      <w:r w:rsidR="004D371B" w:rsidRPr="00DC2891">
        <w:rPr>
          <w:rFonts w:ascii="Times New Roman" w:hAnsi="Times New Roman" w:cs="Times New Roman"/>
          <w:sz w:val="24"/>
          <w:szCs w:val="24"/>
        </w:rPr>
        <w:t>various phytohormones (e.g., GA, ABA, CK, MEL, JA, ET, AUX), key signalling pathways (e.g., ROS, MAPK), and transcription factors (e.g.,</w:t>
      </w:r>
      <w:r w:rsidRPr="00DC2891">
        <w:rPr>
          <w:rFonts w:ascii="Times New Roman" w:hAnsi="Times New Roman" w:cs="Times New Roman"/>
          <w:sz w:val="24"/>
          <w:szCs w:val="24"/>
        </w:rPr>
        <w:t xml:space="preserve"> NPR1, MYC, DELLA, ARF, PIF3, JAZ, WRKY, ERF). The diagram also highlights downstream processes and outcomes, such as PR gene regulation, programmed cell death (PCD), growth and development, and cell death mechanisms, which collectively support plant adaptation and stress amelioration</w:t>
      </w:r>
      <w:r w:rsidR="004D371B" w:rsidRPr="00DC2891">
        <w:rPr>
          <w:rFonts w:ascii="Times New Roman" w:hAnsi="Times New Roman" w:cs="Times New Roman"/>
          <w:sz w:val="24"/>
          <w:szCs w:val="24"/>
        </w:rPr>
        <w:t>.</w:t>
      </w:r>
    </w:p>
    <w:p w14:paraId="2BB1747C" w14:textId="49D3E8DA" w:rsidR="00C80B1E" w:rsidRPr="00DC2891" w:rsidRDefault="00C80B1E" w:rsidP="008B4467">
      <w:pPr>
        <w:spacing w:line="360" w:lineRule="auto"/>
        <w:jc w:val="both"/>
        <w:rPr>
          <w:rFonts w:ascii="Times New Roman" w:hAnsi="Times New Roman" w:cs="Times New Roman"/>
          <w:b/>
          <w:bCs/>
          <w:sz w:val="24"/>
          <w:szCs w:val="24"/>
        </w:rPr>
      </w:pPr>
      <w:r w:rsidRPr="00DC2891">
        <w:rPr>
          <w:rFonts w:ascii="Times New Roman" w:hAnsi="Times New Roman" w:cs="Times New Roman"/>
          <w:b/>
          <w:bCs/>
          <w:sz w:val="24"/>
          <w:szCs w:val="24"/>
        </w:rPr>
        <w:t>References</w:t>
      </w:r>
    </w:p>
    <w:p w14:paraId="29F78F4F" w14:textId="44832597" w:rsidR="000221B6" w:rsidRPr="00DC2891" w:rsidRDefault="000221B6" w:rsidP="00B30405">
      <w:pPr>
        <w:spacing w:line="360" w:lineRule="auto"/>
        <w:ind w:left="720" w:hanging="720"/>
        <w:jc w:val="both"/>
        <w:rPr>
          <w:rFonts w:ascii="Times New Roman" w:hAnsi="Times New Roman" w:cs="Times New Roman"/>
          <w:sz w:val="24"/>
          <w:szCs w:val="24"/>
        </w:rPr>
      </w:pPr>
      <w:proofErr w:type="spellStart"/>
      <w:r w:rsidRPr="00DC2891">
        <w:rPr>
          <w:rFonts w:ascii="Times New Roman" w:hAnsi="Times New Roman" w:cs="Times New Roman"/>
          <w:sz w:val="24"/>
          <w:szCs w:val="24"/>
        </w:rPr>
        <w:lastRenderedPageBreak/>
        <w:t>Aleo</w:t>
      </w:r>
      <w:proofErr w:type="spellEnd"/>
      <w:r w:rsidRPr="00DC2891">
        <w:rPr>
          <w:rFonts w:ascii="Times New Roman" w:hAnsi="Times New Roman" w:cs="Times New Roman"/>
          <w:sz w:val="24"/>
          <w:szCs w:val="24"/>
        </w:rPr>
        <w:t xml:space="preserve">, F., Yazaki, J., Lee, M., Takahashi, Y., Kim, A. Y., Li, Z., ... &amp; Schroeder, J. I. (2016). An ABA-increased interaction of the PYL6 ABA receptor with MYC2 transcription factor: a putative link of ABA and JA </w:t>
      </w:r>
      <w:r w:rsidR="004D371B" w:rsidRPr="00DC2891">
        <w:rPr>
          <w:rFonts w:ascii="Times New Roman" w:hAnsi="Times New Roman" w:cs="Times New Roman"/>
          <w:sz w:val="24"/>
          <w:szCs w:val="24"/>
        </w:rPr>
        <w:t>signalling</w:t>
      </w:r>
      <w:r w:rsidRPr="00DC2891">
        <w:rPr>
          <w:rFonts w:ascii="Times New Roman" w:hAnsi="Times New Roman" w:cs="Times New Roman"/>
          <w:sz w:val="24"/>
          <w:szCs w:val="24"/>
        </w:rPr>
        <w:t>. Scientific Reports, 6(1), 28941.</w:t>
      </w:r>
      <w:r w:rsidR="00B4120A" w:rsidRPr="00DC2891">
        <w:t xml:space="preserve"> </w:t>
      </w:r>
      <w:hyperlink r:id="rId8" w:history="1">
        <w:r w:rsidR="00B4120A" w:rsidRPr="00DC2891">
          <w:rPr>
            <w:rStyle w:val="Hyperlink"/>
            <w:rFonts w:ascii="Times New Roman" w:hAnsi="Times New Roman" w:cs="Times New Roman"/>
            <w:sz w:val="24"/>
            <w:szCs w:val="24"/>
          </w:rPr>
          <w:t>https://doi.org/10.1038/srep28941</w:t>
        </w:r>
      </w:hyperlink>
      <w:r w:rsidR="00B4120A" w:rsidRPr="00DC2891">
        <w:rPr>
          <w:rFonts w:ascii="Times New Roman" w:hAnsi="Times New Roman" w:cs="Times New Roman"/>
          <w:sz w:val="24"/>
          <w:szCs w:val="24"/>
        </w:rPr>
        <w:t xml:space="preserve"> </w:t>
      </w:r>
    </w:p>
    <w:p w14:paraId="1941892B" w14:textId="6B4F935F" w:rsidR="000221B6" w:rsidRPr="00DC2891" w:rsidRDefault="000221B6" w:rsidP="00B30405">
      <w:pPr>
        <w:spacing w:line="360" w:lineRule="auto"/>
        <w:ind w:left="720" w:hanging="720"/>
        <w:jc w:val="both"/>
        <w:rPr>
          <w:rFonts w:ascii="Times New Roman" w:hAnsi="Times New Roman" w:cs="Times New Roman"/>
          <w:sz w:val="24"/>
          <w:szCs w:val="24"/>
        </w:rPr>
      </w:pPr>
      <w:r w:rsidRPr="00DC2891">
        <w:rPr>
          <w:rFonts w:ascii="Times New Roman" w:hAnsi="Times New Roman" w:cs="Times New Roman"/>
          <w:sz w:val="24"/>
          <w:szCs w:val="24"/>
        </w:rPr>
        <w:t xml:space="preserve">Aloo, B. N., </w:t>
      </w:r>
      <w:proofErr w:type="spellStart"/>
      <w:r w:rsidRPr="00DC2891">
        <w:rPr>
          <w:rFonts w:ascii="Times New Roman" w:hAnsi="Times New Roman" w:cs="Times New Roman"/>
          <w:sz w:val="24"/>
          <w:szCs w:val="24"/>
        </w:rPr>
        <w:t>Dessureault-Rompré</w:t>
      </w:r>
      <w:proofErr w:type="spellEnd"/>
      <w:r w:rsidRPr="00DC2891">
        <w:rPr>
          <w:rFonts w:ascii="Times New Roman" w:hAnsi="Times New Roman" w:cs="Times New Roman"/>
          <w:sz w:val="24"/>
          <w:szCs w:val="24"/>
        </w:rPr>
        <w:t xml:space="preserve">, J., Tripathi, V., </w:t>
      </w:r>
      <w:proofErr w:type="spellStart"/>
      <w:r w:rsidRPr="00DC2891">
        <w:rPr>
          <w:rFonts w:ascii="Times New Roman" w:hAnsi="Times New Roman" w:cs="Times New Roman"/>
          <w:sz w:val="24"/>
          <w:szCs w:val="24"/>
        </w:rPr>
        <w:t>Nyongesa</w:t>
      </w:r>
      <w:proofErr w:type="spellEnd"/>
      <w:r w:rsidRPr="00DC2891">
        <w:rPr>
          <w:rFonts w:ascii="Times New Roman" w:hAnsi="Times New Roman" w:cs="Times New Roman"/>
          <w:sz w:val="24"/>
          <w:szCs w:val="24"/>
        </w:rPr>
        <w:t xml:space="preserve">, B. O., &amp; Were, B. A. (2023). </w:t>
      </w:r>
      <w:proofErr w:type="spellStart"/>
      <w:r w:rsidRPr="00DC2891">
        <w:rPr>
          <w:rFonts w:ascii="Times New Roman" w:hAnsi="Times New Roman" w:cs="Times New Roman"/>
          <w:sz w:val="24"/>
          <w:szCs w:val="24"/>
        </w:rPr>
        <w:t>Signaling</w:t>
      </w:r>
      <w:proofErr w:type="spellEnd"/>
      <w:r w:rsidRPr="00DC2891">
        <w:rPr>
          <w:rFonts w:ascii="Times New Roman" w:hAnsi="Times New Roman" w:cs="Times New Roman"/>
          <w:sz w:val="24"/>
          <w:szCs w:val="24"/>
        </w:rPr>
        <w:t xml:space="preserve"> and crosstalk of rhizobacterial and plant hormones that mediate abiotic stress tolerance in plants. Frontiers in Microbiology, 14, 1171104.</w:t>
      </w:r>
      <w:r w:rsidR="00B4120A" w:rsidRPr="00DC2891">
        <w:t xml:space="preserve"> </w:t>
      </w:r>
      <w:hyperlink r:id="rId9" w:history="1">
        <w:r w:rsidR="00B4120A" w:rsidRPr="00DC2891">
          <w:rPr>
            <w:rStyle w:val="Hyperlink"/>
            <w:rFonts w:ascii="Times New Roman" w:hAnsi="Times New Roman" w:cs="Times New Roman"/>
            <w:sz w:val="24"/>
            <w:szCs w:val="24"/>
          </w:rPr>
          <w:t>https://doi.org/10.3389/fmicb.2023.1171104</w:t>
        </w:r>
      </w:hyperlink>
      <w:r w:rsidR="00B4120A" w:rsidRPr="00DC2891">
        <w:rPr>
          <w:rFonts w:ascii="Times New Roman" w:hAnsi="Times New Roman" w:cs="Times New Roman"/>
          <w:sz w:val="24"/>
          <w:szCs w:val="24"/>
        </w:rPr>
        <w:t xml:space="preserve"> </w:t>
      </w:r>
    </w:p>
    <w:p w14:paraId="0237E455" w14:textId="1903D164" w:rsidR="000221B6" w:rsidRPr="00DC2891" w:rsidRDefault="000221B6" w:rsidP="00B30405">
      <w:pPr>
        <w:spacing w:line="360" w:lineRule="auto"/>
        <w:ind w:left="720" w:hanging="720"/>
        <w:jc w:val="both"/>
        <w:rPr>
          <w:rFonts w:ascii="Times New Roman" w:hAnsi="Times New Roman" w:cs="Times New Roman"/>
          <w:sz w:val="24"/>
          <w:szCs w:val="24"/>
        </w:rPr>
      </w:pPr>
      <w:r w:rsidRPr="00DC2891">
        <w:rPr>
          <w:rFonts w:ascii="Times New Roman" w:hAnsi="Times New Roman" w:cs="Times New Roman"/>
          <w:sz w:val="24"/>
          <w:szCs w:val="24"/>
        </w:rPr>
        <w:t xml:space="preserve">Bai, G., </w:t>
      </w:r>
      <w:proofErr w:type="spellStart"/>
      <w:r w:rsidRPr="00DC2891">
        <w:rPr>
          <w:rFonts w:ascii="Times New Roman" w:hAnsi="Times New Roman" w:cs="Times New Roman"/>
          <w:sz w:val="24"/>
          <w:szCs w:val="24"/>
        </w:rPr>
        <w:t>Xie</w:t>
      </w:r>
      <w:proofErr w:type="spellEnd"/>
      <w:r w:rsidRPr="00DC2891">
        <w:rPr>
          <w:rFonts w:ascii="Times New Roman" w:hAnsi="Times New Roman" w:cs="Times New Roman"/>
          <w:sz w:val="24"/>
          <w:szCs w:val="24"/>
        </w:rPr>
        <w:t>, H., Yao, H., Li, F., Chen, X., Zhang, Y., ... &amp; Yang, D. H. (2019). Genome-wide identification and characterization of ABA receptor PYL/RCAR gene family reveals evolution and roles in drought stress in Nicotiana tabacum. BMC Genomics, 20(1), 575.</w:t>
      </w:r>
      <w:r w:rsidR="00B4120A" w:rsidRPr="00DC2891">
        <w:t xml:space="preserve"> </w:t>
      </w:r>
      <w:hyperlink r:id="rId10" w:history="1">
        <w:r w:rsidR="00B4120A" w:rsidRPr="00DC2891">
          <w:rPr>
            <w:rStyle w:val="Hyperlink"/>
            <w:rFonts w:ascii="Times New Roman" w:hAnsi="Times New Roman" w:cs="Times New Roman"/>
            <w:sz w:val="24"/>
            <w:szCs w:val="24"/>
          </w:rPr>
          <w:t>https://doi.org/10.1186/s12864-019-5839-2</w:t>
        </w:r>
      </w:hyperlink>
      <w:r w:rsidR="00B4120A" w:rsidRPr="00DC2891">
        <w:rPr>
          <w:rFonts w:ascii="Times New Roman" w:hAnsi="Times New Roman" w:cs="Times New Roman"/>
          <w:sz w:val="24"/>
          <w:szCs w:val="24"/>
        </w:rPr>
        <w:t xml:space="preserve"> </w:t>
      </w:r>
    </w:p>
    <w:p w14:paraId="353F3CB7" w14:textId="4971EE35" w:rsidR="000221B6" w:rsidRPr="00DC2891" w:rsidRDefault="000221B6" w:rsidP="00B30405">
      <w:pPr>
        <w:spacing w:line="360" w:lineRule="auto"/>
        <w:ind w:left="720" w:hanging="720"/>
        <w:jc w:val="both"/>
        <w:rPr>
          <w:rFonts w:ascii="Times New Roman" w:hAnsi="Times New Roman" w:cs="Times New Roman"/>
          <w:sz w:val="24"/>
          <w:szCs w:val="24"/>
        </w:rPr>
      </w:pPr>
      <w:proofErr w:type="spellStart"/>
      <w:r w:rsidRPr="00DC2891">
        <w:rPr>
          <w:rFonts w:ascii="Times New Roman" w:hAnsi="Times New Roman" w:cs="Times New Roman"/>
          <w:sz w:val="24"/>
          <w:szCs w:val="24"/>
        </w:rPr>
        <w:t>Basit</w:t>
      </w:r>
      <w:proofErr w:type="spellEnd"/>
      <w:r w:rsidRPr="00DC2891">
        <w:rPr>
          <w:rFonts w:ascii="Times New Roman" w:hAnsi="Times New Roman" w:cs="Times New Roman"/>
          <w:sz w:val="24"/>
          <w:szCs w:val="24"/>
        </w:rPr>
        <w:t xml:space="preserve">, F., Chen, M., Ahmed, T., Shahid, M., Noman, M., Liu, J., ... &amp; Guan, Y. (2021). Seed priming with </w:t>
      </w:r>
      <w:proofErr w:type="spellStart"/>
      <w:r w:rsidRPr="00DC2891">
        <w:rPr>
          <w:rFonts w:ascii="Times New Roman" w:hAnsi="Times New Roman" w:cs="Times New Roman"/>
          <w:sz w:val="24"/>
          <w:szCs w:val="24"/>
        </w:rPr>
        <w:t>brassinosteroids</w:t>
      </w:r>
      <w:proofErr w:type="spellEnd"/>
      <w:r w:rsidRPr="00DC2891">
        <w:rPr>
          <w:rFonts w:ascii="Times New Roman" w:hAnsi="Times New Roman" w:cs="Times New Roman"/>
          <w:sz w:val="24"/>
          <w:szCs w:val="24"/>
        </w:rPr>
        <w:t xml:space="preserve"> alleviates chromium stress in rice cultivars via improving ROS metabolism and antioxidant </w:t>
      </w:r>
      <w:proofErr w:type="spellStart"/>
      <w:r w:rsidRPr="00DC2891">
        <w:rPr>
          <w:rFonts w:ascii="Times New Roman" w:hAnsi="Times New Roman" w:cs="Times New Roman"/>
          <w:sz w:val="24"/>
          <w:szCs w:val="24"/>
        </w:rPr>
        <w:t>defense</w:t>
      </w:r>
      <w:proofErr w:type="spellEnd"/>
      <w:r w:rsidRPr="00DC2891">
        <w:rPr>
          <w:rFonts w:ascii="Times New Roman" w:hAnsi="Times New Roman" w:cs="Times New Roman"/>
          <w:sz w:val="24"/>
          <w:szCs w:val="24"/>
        </w:rPr>
        <w:t xml:space="preserve"> response at biochemical and molecular levels. Antioxidants, 10(7), 1089.</w:t>
      </w:r>
      <w:r w:rsidR="00B4120A" w:rsidRPr="00DC2891">
        <w:t xml:space="preserve"> </w:t>
      </w:r>
      <w:hyperlink r:id="rId11" w:history="1">
        <w:r w:rsidR="00B4120A" w:rsidRPr="00DC2891">
          <w:rPr>
            <w:rStyle w:val="Hyperlink"/>
            <w:rFonts w:ascii="Times New Roman" w:hAnsi="Times New Roman" w:cs="Times New Roman"/>
            <w:sz w:val="24"/>
            <w:szCs w:val="24"/>
          </w:rPr>
          <w:t>https://doi.org/10.3390/antiox10071089</w:t>
        </w:r>
      </w:hyperlink>
      <w:r w:rsidR="00B4120A" w:rsidRPr="00DC2891">
        <w:rPr>
          <w:rFonts w:ascii="Times New Roman" w:hAnsi="Times New Roman" w:cs="Times New Roman"/>
          <w:sz w:val="24"/>
          <w:szCs w:val="24"/>
        </w:rPr>
        <w:t xml:space="preserve"> </w:t>
      </w:r>
    </w:p>
    <w:p w14:paraId="5608F5EC" w14:textId="6CCE899A" w:rsidR="000221B6" w:rsidRPr="00DC2891" w:rsidRDefault="000221B6" w:rsidP="00B30405">
      <w:pPr>
        <w:spacing w:line="360" w:lineRule="auto"/>
        <w:ind w:left="720" w:hanging="720"/>
        <w:jc w:val="both"/>
        <w:rPr>
          <w:rFonts w:ascii="Times New Roman" w:hAnsi="Times New Roman" w:cs="Times New Roman"/>
          <w:sz w:val="24"/>
          <w:szCs w:val="24"/>
        </w:rPr>
      </w:pPr>
      <w:r w:rsidRPr="00DC2891">
        <w:rPr>
          <w:rFonts w:ascii="Times New Roman" w:hAnsi="Times New Roman" w:cs="Times New Roman"/>
          <w:sz w:val="24"/>
          <w:szCs w:val="24"/>
        </w:rPr>
        <w:t xml:space="preserve">Bhatt, D., Nath, M., Sharma, M., Bhatt, M. D., Bisht, D. S., &amp; </w:t>
      </w:r>
      <w:proofErr w:type="spellStart"/>
      <w:r w:rsidRPr="00DC2891">
        <w:rPr>
          <w:rFonts w:ascii="Times New Roman" w:hAnsi="Times New Roman" w:cs="Times New Roman"/>
          <w:sz w:val="24"/>
          <w:szCs w:val="24"/>
        </w:rPr>
        <w:t>Butani</w:t>
      </w:r>
      <w:proofErr w:type="spellEnd"/>
      <w:r w:rsidRPr="00DC2891">
        <w:rPr>
          <w:rFonts w:ascii="Times New Roman" w:hAnsi="Times New Roman" w:cs="Times New Roman"/>
          <w:sz w:val="24"/>
          <w:szCs w:val="24"/>
        </w:rPr>
        <w:t>, N. V. (2020). Role of growth regulators and phytohormones in overcoming environmental stress. In Protective chemical agents in the amelioration of plant abiotic stress: Biochemical and molecular perspectives (pp. 254-279).</w:t>
      </w:r>
      <w:r w:rsidR="00B4120A" w:rsidRPr="00DC2891">
        <w:t xml:space="preserve"> </w:t>
      </w:r>
      <w:hyperlink r:id="rId12" w:history="1">
        <w:r w:rsidR="00B4120A" w:rsidRPr="00DC2891">
          <w:rPr>
            <w:rStyle w:val="Hyperlink"/>
            <w:rFonts w:ascii="Times New Roman" w:hAnsi="Times New Roman" w:cs="Times New Roman"/>
            <w:sz w:val="24"/>
            <w:szCs w:val="24"/>
          </w:rPr>
          <w:t>https://doi.org/10.1002/9781119552154.ch11</w:t>
        </w:r>
      </w:hyperlink>
      <w:r w:rsidR="00B4120A" w:rsidRPr="00DC2891">
        <w:rPr>
          <w:rFonts w:ascii="Times New Roman" w:hAnsi="Times New Roman" w:cs="Times New Roman"/>
          <w:sz w:val="24"/>
          <w:szCs w:val="24"/>
        </w:rPr>
        <w:t xml:space="preserve"> </w:t>
      </w:r>
    </w:p>
    <w:p w14:paraId="30CF4D7B" w14:textId="4215FF2E" w:rsidR="000221B6" w:rsidRPr="00DC2891" w:rsidRDefault="000221B6" w:rsidP="00B30405">
      <w:pPr>
        <w:spacing w:line="360" w:lineRule="auto"/>
        <w:ind w:left="720" w:hanging="720"/>
        <w:jc w:val="both"/>
        <w:rPr>
          <w:rFonts w:ascii="Times New Roman" w:hAnsi="Times New Roman" w:cs="Times New Roman"/>
          <w:sz w:val="24"/>
          <w:szCs w:val="24"/>
        </w:rPr>
      </w:pPr>
      <w:r w:rsidRPr="00DC2891">
        <w:rPr>
          <w:rFonts w:ascii="Times New Roman" w:hAnsi="Times New Roman" w:cs="Times New Roman"/>
          <w:sz w:val="24"/>
          <w:szCs w:val="24"/>
          <w:lang w:val="nn-NO"/>
        </w:rPr>
        <w:t xml:space="preserve">Feng, Y., Li, Z., Kong, X., Khan, A., Ullah, N., &amp; Zhang, X. (2025). </w:t>
      </w:r>
      <w:r w:rsidRPr="00DC2891">
        <w:rPr>
          <w:rFonts w:ascii="Times New Roman" w:hAnsi="Times New Roman" w:cs="Times New Roman"/>
          <w:sz w:val="24"/>
          <w:szCs w:val="24"/>
        </w:rPr>
        <w:t>Plant coping with cold stress: Molecular and physiological adaptive mechanisms with future perspectives. Cells, 14(2), 110.</w:t>
      </w:r>
      <w:r w:rsidR="00B4120A" w:rsidRPr="00DC2891">
        <w:t xml:space="preserve"> </w:t>
      </w:r>
      <w:hyperlink r:id="rId13" w:history="1">
        <w:r w:rsidR="00B4120A" w:rsidRPr="00DC2891">
          <w:rPr>
            <w:rStyle w:val="Hyperlink"/>
            <w:rFonts w:ascii="Times New Roman" w:hAnsi="Times New Roman" w:cs="Times New Roman"/>
            <w:sz w:val="24"/>
            <w:szCs w:val="24"/>
          </w:rPr>
          <w:t>https://doi.org/10.3390/cells14020110</w:t>
        </w:r>
      </w:hyperlink>
      <w:r w:rsidR="00B4120A" w:rsidRPr="00DC2891">
        <w:rPr>
          <w:rFonts w:ascii="Times New Roman" w:hAnsi="Times New Roman" w:cs="Times New Roman"/>
          <w:sz w:val="24"/>
          <w:szCs w:val="24"/>
        </w:rPr>
        <w:t xml:space="preserve"> </w:t>
      </w:r>
    </w:p>
    <w:p w14:paraId="1BDC2CFF" w14:textId="77E22DE4" w:rsidR="000221B6" w:rsidRPr="00DC2891" w:rsidRDefault="000221B6" w:rsidP="00B30405">
      <w:pPr>
        <w:spacing w:line="360" w:lineRule="auto"/>
        <w:ind w:left="720" w:hanging="720"/>
        <w:jc w:val="both"/>
        <w:rPr>
          <w:rFonts w:ascii="Times New Roman" w:hAnsi="Times New Roman" w:cs="Times New Roman"/>
          <w:sz w:val="24"/>
          <w:szCs w:val="24"/>
        </w:rPr>
      </w:pPr>
      <w:r w:rsidRPr="00DC2891">
        <w:rPr>
          <w:rFonts w:ascii="Times New Roman" w:hAnsi="Times New Roman" w:cs="Times New Roman"/>
          <w:sz w:val="24"/>
          <w:szCs w:val="24"/>
        </w:rPr>
        <w:t xml:space="preserve">Fidler, J., </w:t>
      </w:r>
      <w:proofErr w:type="spellStart"/>
      <w:r w:rsidRPr="00DC2891">
        <w:rPr>
          <w:rFonts w:ascii="Times New Roman" w:hAnsi="Times New Roman" w:cs="Times New Roman"/>
          <w:sz w:val="24"/>
          <w:szCs w:val="24"/>
        </w:rPr>
        <w:t>Graska</w:t>
      </w:r>
      <w:proofErr w:type="spellEnd"/>
      <w:r w:rsidRPr="00DC2891">
        <w:rPr>
          <w:rFonts w:ascii="Times New Roman" w:hAnsi="Times New Roman" w:cs="Times New Roman"/>
          <w:sz w:val="24"/>
          <w:szCs w:val="24"/>
        </w:rPr>
        <w:t xml:space="preserve">, J., </w:t>
      </w:r>
      <w:proofErr w:type="spellStart"/>
      <w:r w:rsidRPr="00DC2891">
        <w:rPr>
          <w:rFonts w:ascii="Times New Roman" w:hAnsi="Times New Roman" w:cs="Times New Roman"/>
          <w:sz w:val="24"/>
          <w:szCs w:val="24"/>
        </w:rPr>
        <w:t>Gietler</w:t>
      </w:r>
      <w:proofErr w:type="spellEnd"/>
      <w:r w:rsidRPr="00DC2891">
        <w:rPr>
          <w:rFonts w:ascii="Times New Roman" w:hAnsi="Times New Roman" w:cs="Times New Roman"/>
          <w:sz w:val="24"/>
          <w:szCs w:val="24"/>
        </w:rPr>
        <w:t xml:space="preserve">, M., </w:t>
      </w:r>
      <w:proofErr w:type="spellStart"/>
      <w:r w:rsidRPr="00DC2891">
        <w:rPr>
          <w:rFonts w:ascii="Times New Roman" w:hAnsi="Times New Roman" w:cs="Times New Roman"/>
          <w:sz w:val="24"/>
          <w:szCs w:val="24"/>
        </w:rPr>
        <w:t>Nykiel</w:t>
      </w:r>
      <w:proofErr w:type="spellEnd"/>
      <w:r w:rsidRPr="00DC2891">
        <w:rPr>
          <w:rFonts w:ascii="Times New Roman" w:hAnsi="Times New Roman" w:cs="Times New Roman"/>
          <w:sz w:val="24"/>
          <w:szCs w:val="24"/>
        </w:rPr>
        <w:t xml:space="preserve">, M., </w:t>
      </w:r>
      <w:proofErr w:type="spellStart"/>
      <w:r w:rsidRPr="00DC2891">
        <w:rPr>
          <w:rFonts w:ascii="Times New Roman" w:hAnsi="Times New Roman" w:cs="Times New Roman"/>
          <w:sz w:val="24"/>
          <w:szCs w:val="24"/>
        </w:rPr>
        <w:t>Prabucka</w:t>
      </w:r>
      <w:proofErr w:type="spellEnd"/>
      <w:r w:rsidRPr="00DC2891">
        <w:rPr>
          <w:rFonts w:ascii="Times New Roman" w:hAnsi="Times New Roman" w:cs="Times New Roman"/>
          <w:sz w:val="24"/>
          <w:szCs w:val="24"/>
        </w:rPr>
        <w:t xml:space="preserve">, B., </w:t>
      </w:r>
      <w:proofErr w:type="spellStart"/>
      <w:r w:rsidRPr="00DC2891">
        <w:rPr>
          <w:rFonts w:ascii="Times New Roman" w:hAnsi="Times New Roman" w:cs="Times New Roman"/>
          <w:sz w:val="24"/>
          <w:szCs w:val="24"/>
        </w:rPr>
        <w:t>Rybarczyk-Płońska</w:t>
      </w:r>
      <w:proofErr w:type="spellEnd"/>
      <w:r w:rsidRPr="00DC2891">
        <w:rPr>
          <w:rFonts w:ascii="Times New Roman" w:hAnsi="Times New Roman" w:cs="Times New Roman"/>
          <w:sz w:val="24"/>
          <w:szCs w:val="24"/>
        </w:rPr>
        <w:t xml:space="preserve">, A., ... &amp; </w:t>
      </w:r>
      <w:proofErr w:type="spellStart"/>
      <w:r w:rsidRPr="00DC2891">
        <w:rPr>
          <w:rFonts w:ascii="Times New Roman" w:hAnsi="Times New Roman" w:cs="Times New Roman"/>
          <w:sz w:val="24"/>
          <w:szCs w:val="24"/>
        </w:rPr>
        <w:t>Labudda</w:t>
      </w:r>
      <w:proofErr w:type="spellEnd"/>
      <w:r w:rsidRPr="00DC2891">
        <w:rPr>
          <w:rFonts w:ascii="Times New Roman" w:hAnsi="Times New Roman" w:cs="Times New Roman"/>
          <w:sz w:val="24"/>
          <w:szCs w:val="24"/>
        </w:rPr>
        <w:t>, M. (2022). PYR/PYL/RCAR receptors play a vital role in the abscisic-acid-dependent responses of plants to external or internal stimuli. Cells, 11(8), 1352.</w:t>
      </w:r>
      <w:r w:rsidR="00B4120A" w:rsidRPr="00DC2891">
        <w:t xml:space="preserve"> </w:t>
      </w:r>
      <w:hyperlink r:id="rId14" w:history="1">
        <w:r w:rsidR="00B4120A" w:rsidRPr="00DC2891">
          <w:rPr>
            <w:rStyle w:val="Hyperlink"/>
            <w:rFonts w:ascii="Times New Roman" w:hAnsi="Times New Roman" w:cs="Times New Roman"/>
            <w:sz w:val="24"/>
            <w:szCs w:val="24"/>
          </w:rPr>
          <w:t>https://doi.org/10.3390/cells11081352</w:t>
        </w:r>
      </w:hyperlink>
      <w:r w:rsidR="00B4120A" w:rsidRPr="00DC2891">
        <w:rPr>
          <w:rFonts w:ascii="Times New Roman" w:hAnsi="Times New Roman" w:cs="Times New Roman"/>
          <w:sz w:val="24"/>
          <w:szCs w:val="24"/>
        </w:rPr>
        <w:t xml:space="preserve"> </w:t>
      </w:r>
    </w:p>
    <w:p w14:paraId="68B6E6C9" w14:textId="29372FBB" w:rsidR="000221B6" w:rsidRPr="00DC2891" w:rsidRDefault="000221B6" w:rsidP="00B30405">
      <w:pPr>
        <w:spacing w:line="360" w:lineRule="auto"/>
        <w:ind w:left="720" w:hanging="720"/>
        <w:jc w:val="both"/>
        <w:rPr>
          <w:rFonts w:ascii="Times New Roman" w:hAnsi="Times New Roman" w:cs="Times New Roman"/>
          <w:sz w:val="24"/>
          <w:szCs w:val="24"/>
        </w:rPr>
      </w:pPr>
      <w:r w:rsidRPr="00DC2891">
        <w:rPr>
          <w:rFonts w:ascii="Times New Roman" w:hAnsi="Times New Roman" w:cs="Times New Roman"/>
          <w:sz w:val="24"/>
          <w:szCs w:val="24"/>
        </w:rPr>
        <w:t xml:space="preserve">Gao, J., Zhuang, S., &amp; Zhang, W. (2024). Advances in plant auxin biology: Synthesis, metabolism, </w:t>
      </w:r>
      <w:proofErr w:type="spellStart"/>
      <w:r w:rsidRPr="00DC2891">
        <w:rPr>
          <w:rFonts w:ascii="Times New Roman" w:hAnsi="Times New Roman" w:cs="Times New Roman"/>
          <w:sz w:val="24"/>
          <w:szCs w:val="24"/>
        </w:rPr>
        <w:t>signaling</w:t>
      </w:r>
      <w:proofErr w:type="spellEnd"/>
      <w:r w:rsidRPr="00DC2891">
        <w:rPr>
          <w:rFonts w:ascii="Times New Roman" w:hAnsi="Times New Roman" w:cs="Times New Roman"/>
          <w:sz w:val="24"/>
          <w:szCs w:val="24"/>
        </w:rPr>
        <w:t>, interaction with other hormones, and roles under abiotic stress. Plants, 13(17), 2523.</w:t>
      </w:r>
      <w:r w:rsidR="00B4120A" w:rsidRPr="00DC2891">
        <w:t xml:space="preserve"> </w:t>
      </w:r>
      <w:hyperlink r:id="rId15" w:history="1">
        <w:r w:rsidR="00B4120A" w:rsidRPr="00DC2891">
          <w:rPr>
            <w:rStyle w:val="Hyperlink"/>
            <w:rFonts w:ascii="Times New Roman" w:hAnsi="Times New Roman" w:cs="Times New Roman"/>
            <w:sz w:val="24"/>
            <w:szCs w:val="24"/>
          </w:rPr>
          <w:t>https://doi.org/10.3390/plants13172523</w:t>
        </w:r>
      </w:hyperlink>
      <w:r w:rsidR="00B4120A" w:rsidRPr="00DC2891">
        <w:rPr>
          <w:rFonts w:ascii="Times New Roman" w:hAnsi="Times New Roman" w:cs="Times New Roman"/>
          <w:sz w:val="24"/>
          <w:szCs w:val="24"/>
        </w:rPr>
        <w:t xml:space="preserve"> </w:t>
      </w:r>
    </w:p>
    <w:p w14:paraId="4BC0970B" w14:textId="106CE2B8" w:rsidR="000221B6" w:rsidRPr="00DC2891" w:rsidRDefault="000221B6" w:rsidP="00B30405">
      <w:pPr>
        <w:spacing w:line="360" w:lineRule="auto"/>
        <w:ind w:left="720" w:hanging="720"/>
        <w:jc w:val="both"/>
        <w:rPr>
          <w:rFonts w:ascii="Times New Roman" w:hAnsi="Times New Roman" w:cs="Times New Roman"/>
          <w:sz w:val="24"/>
          <w:szCs w:val="24"/>
        </w:rPr>
      </w:pPr>
      <w:r w:rsidRPr="00DC2891">
        <w:rPr>
          <w:rFonts w:ascii="Times New Roman" w:hAnsi="Times New Roman" w:cs="Times New Roman"/>
          <w:sz w:val="24"/>
          <w:szCs w:val="24"/>
        </w:rPr>
        <w:lastRenderedPageBreak/>
        <w:t xml:space="preserve">Guo, F., </w:t>
      </w:r>
      <w:proofErr w:type="spellStart"/>
      <w:r w:rsidRPr="00DC2891">
        <w:rPr>
          <w:rFonts w:ascii="Times New Roman" w:hAnsi="Times New Roman" w:cs="Times New Roman"/>
          <w:sz w:val="24"/>
          <w:szCs w:val="24"/>
        </w:rPr>
        <w:t>Lv</w:t>
      </w:r>
      <w:proofErr w:type="spellEnd"/>
      <w:r w:rsidRPr="00DC2891">
        <w:rPr>
          <w:rFonts w:ascii="Times New Roman" w:hAnsi="Times New Roman" w:cs="Times New Roman"/>
          <w:sz w:val="24"/>
          <w:szCs w:val="24"/>
        </w:rPr>
        <w:t xml:space="preserve">, M., Zhang, J., &amp; Li, J. (2024). Crosstalk between </w:t>
      </w:r>
      <w:proofErr w:type="spellStart"/>
      <w:r w:rsidRPr="00DC2891">
        <w:rPr>
          <w:rFonts w:ascii="Times New Roman" w:hAnsi="Times New Roman" w:cs="Times New Roman"/>
          <w:sz w:val="24"/>
          <w:szCs w:val="24"/>
        </w:rPr>
        <w:t>brassinosteroids</w:t>
      </w:r>
      <w:proofErr w:type="spellEnd"/>
      <w:r w:rsidRPr="00DC2891">
        <w:rPr>
          <w:rFonts w:ascii="Times New Roman" w:hAnsi="Times New Roman" w:cs="Times New Roman"/>
          <w:sz w:val="24"/>
          <w:szCs w:val="24"/>
        </w:rPr>
        <w:t xml:space="preserve"> and other phytohormones during plant development and stress adaptation. Plant and Cell Physiology, 65(10), 1530–1543.</w:t>
      </w:r>
      <w:r w:rsidR="00B4120A" w:rsidRPr="00DC2891">
        <w:t xml:space="preserve"> </w:t>
      </w:r>
      <w:hyperlink r:id="rId16" w:history="1">
        <w:r w:rsidR="00B4120A" w:rsidRPr="00DC2891">
          <w:rPr>
            <w:rStyle w:val="Hyperlink"/>
            <w:rFonts w:ascii="Times New Roman" w:hAnsi="Times New Roman" w:cs="Times New Roman"/>
            <w:sz w:val="24"/>
            <w:szCs w:val="24"/>
          </w:rPr>
          <w:t>https://doi.org/10.1093/pcp/pcae047</w:t>
        </w:r>
      </w:hyperlink>
      <w:r w:rsidR="00B4120A" w:rsidRPr="00DC2891">
        <w:rPr>
          <w:rFonts w:ascii="Times New Roman" w:hAnsi="Times New Roman" w:cs="Times New Roman"/>
          <w:sz w:val="24"/>
          <w:szCs w:val="24"/>
        </w:rPr>
        <w:t xml:space="preserve"> </w:t>
      </w:r>
    </w:p>
    <w:p w14:paraId="366F5BA9" w14:textId="3C9BCDCF" w:rsidR="000221B6" w:rsidRPr="00DC2891" w:rsidRDefault="000221B6" w:rsidP="00B30405">
      <w:pPr>
        <w:spacing w:line="360" w:lineRule="auto"/>
        <w:ind w:left="720" w:hanging="720"/>
        <w:jc w:val="both"/>
        <w:rPr>
          <w:rFonts w:ascii="Times New Roman" w:hAnsi="Times New Roman" w:cs="Times New Roman"/>
          <w:sz w:val="24"/>
          <w:szCs w:val="24"/>
        </w:rPr>
      </w:pPr>
      <w:r w:rsidRPr="00DC2891">
        <w:rPr>
          <w:rFonts w:ascii="Times New Roman" w:hAnsi="Times New Roman" w:cs="Times New Roman"/>
          <w:sz w:val="24"/>
          <w:szCs w:val="24"/>
        </w:rPr>
        <w:t xml:space="preserve">Karim, M. M., Islam, M., </w:t>
      </w:r>
      <w:proofErr w:type="spellStart"/>
      <w:r w:rsidRPr="00DC2891">
        <w:rPr>
          <w:rFonts w:ascii="Times New Roman" w:hAnsi="Times New Roman" w:cs="Times New Roman"/>
          <w:sz w:val="24"/>
          <w:szCs w:val="24"/>
        </w:rPr>
        <w:t>Miyabe</w:t>
      </w:r>
      <w:proofErr w:type="spellEnd"/>
      <w:r w:rsidRPr="00DC2891">
        <w:rPr>
          <w:rFonts w:ascii="Times New Roman" w:hAnsi="Times New Roman" w:cs="Times New Roman"/>
          <w:sz w:val="24"/>
          <w:szCs w:val="24"/>
        </w:rPr>
        <w:t xml:space="preserve">, M. T., Ikeda, Y., </w:t>
      </w:r>
      <w:proofErr w:type="spellStart"/>
      <w:r w:rsidRPr="00DC2891">
        <w:rPr>
          <w:rFonts w:ascii="Times New Roman" w:hAnsi="Times New Roman" w:cs="Times New Roman"/>
          <w:sz w:val="24"/>
          <w:szCs w:val="24"/>
        </w:rPr>
        <w:t>Sadik</w:t>
      </w:r>
      <w:proofErr w:type="spellEnd"/>
      <w:r w:rsidRPr="00DC2891">
        <w:rPr>
          <w:rFonts w:ascii="Times New Roman" w:hAnsi="Times New Roman" w:cs="Times New Roman"/>
          <w:sz w:val="24"/>
          <w:szCs w:val="24"/>
        </w:rPr>
        <w:t xml:space="preserve"> </w:t>
      </w:r>
      <w:proofErr w:type="spellStart"/>
      <w:r w:rsidRPr="00DC2891">
        <w:rPr>
          <w:rFonts w:ascii="Times New Roman" w:hAnsi="Times New Roman" w:cs="Times New Roman"/>
          <w:sz w:val="24"/>
          <w:szCs w:val="24"/>
        </w:rPr>
        <w:t>Polash</w:t>
      </w:r>
      <w:proofErr w:type="spellEnd"/>
      <w:r w:rsidRPr="00DC2891">
        <w:rPr>
          <w:rFonts w:ascii="Times New Roman" w:hAnsi="Times New Roman" w:cs="Times New Roman"/>
          <w:sz w:val="24"/>
          <w:szCs w:val="24"/>
        </w:rPr>
        <w:t xml:space="preserve">, M. A., </w:t>
      </w:r>
      <w:proofErr w:type="spellStart"/>
      <w:r w:rsidRPr="00DC2891">
        <w:rPr>
          <w:rFonts w:ascii="Times New Roman" w:hAnsi="Times New Roman" w:cs="Times New Roman"/>
          <w:sz w:val="24"/>
          <w:szCs w:val="24"/>
        </w:rPr>
        <w:t>Hirota</w:t>
      </w:r>
      <w:proofErr w:type="spellEnd"/>
      <w:r w:rsidRPr="00DC2891">
        <w:rPr>
          <w:rFonts w:ascii="Times New Roman" w:hAnsi="Times New Roman" w:cs="Times New Roman"/>
          <w:sz w:val="24"/>
          <w:szCs w:val="24"/>
        </w:rPr>
        <w:t xml:space="preserve">, K., ... &amp; </w:t>
      </w:r>
      <w:proofErr w:type="spellStart"/>
      <w:r w:rsidRPr="00DC2891">
        <w:rPr>
          <w:rFonts w:ascii="Times New Roman" w:hAnsi="Times New Roman" w:cs="Times New Roman"/>
          <w:sz w:val="24"/>
          <w:szCs w:val="24"/>
        </w:rPr>
        <w:t>Takezawa</w:t>
      </w:r>
      <w:proofErr w:type="spellEnd"/>
      <w:r w:rsidRPr="00DC2891">
        <w:rPr>
          <w:rFonts w:ascii="Times New Roman" w:hAnsi="Times New Roman" w:cs="Times New Roman"/>
          <w:sz w:val="24"/>
          <w:szCs w:val="24"/>
        </w:rPr>
        <w:t xml:space="preserve">, D. (2025). ETHYLENE INSENSITIVE2-like protein mediates submergence and drought responses in </w:t>
      </w:r>
      <w:proofErr w:type="spellStart"/>
      <w:r w:rsidRPr="00DC2891">
        <w:rPr>
          <w:rFonts w:ascii="Times New Roman" w:hAnsi="Times New Roman" w:cs="Times New Roman"/>
          <w:sz w:val="24"/>
          <w:szCs w:val="24"/>
        </w:rPr>
        <w:t>Physcomitrium</w:t>
      </w:r>
      <w:proofErr w:type="spellEnd"/>
      <w:r w:rsidRPr="00DC2891">
        <w:rPr>
          <w:rFonts w:ascii="Times New Roman" w:hAnsi="Times New Roman" w:cs="Times New Roman"/>
          <w:sz w:val="24"/>
          <w:szCs w:val="24"/>
        </w:rPr>
        <w:t xml:space="preserve"> patens. Plant Physiology, 198(3), kiaf293.</w:t>
      </w:r>
      <w:r w:rsidR="00B4120A" w:rsidRPr="00DC2891">
        <w:t xml:space="preserve"> </w:t>
      </w:r>
      <w:hyperlink r:id="rId17" w:history="1">
        <w:r w:rsidR="00B4120A" w:rsidRPr="00DC2891">
          <w:rPr>
            <w:rStyle w:val="Hyperlink"/>
            <w:rFonts w:ascii="Times New Roman" w:hAnsi="Times New Roman" w:cs="Times New Roman"/>
            <w:sz w:val="24"/>
            <w:szCs w:val="24"/>
          </w:rPr>
          <w:t>https://doi.org/10.1093/plphys/kiaf293</w:t>
        </w:r>
      </w:hyperlink>
      <w:r w:rsidR="00B4120A" w:rsidRPr="00DC2891">
        <w:rPr>
          <w:rFonts w:ascii="Times New Roman" w:hAnsi="Times New Roman" w:cs="Times New Roman"/>
          <w:sz w:val="24"/>
          <w:szCs w:val="24"/>
        </w:rPr>
        <w:t xml:space="preserve"> </w:t>
      </w:r>
    </w:p>
    <w:p w14:paraId="691C33FD" w14:textId="0A30E8AA" w:rsidR="000221B6" w:rsidRPr="00DC2891" w:rsidRDefault="000221B6" w:rsidP="00B30405">
      <w:pPr>
        <w:spacing w:line="360" w:lineRule="auto"/>
        <w:ind w:left="720" w:hanging="720"/>
        <w:jc w:val="both"/>
        <w:rPr>
          <w:rFonts w:ascii="Times New Roman" w:hAnsi="Times New Roman" w:cs="Times New Roman"/>
          <w:sz w:val="24"/>
          <w:szCs w:val="24"/>
        </w:rPr>
      </w:pPr>
      <w:r w:rsidRPr="00DC2891">
        <w:rPr>
          <w:rFonts w:ascii="Times New Roman" w:hAnsi="Times New Roman" w:cs="Times New Roman"/>
          <w:sz w:val="24"/>
          <w:szCs w:val="24"/>
        </w:rPr>
        <w:t xml:space="preserve">Khan, N., </w:t>
      </w:r>
      <w:proofErr w:type="spellStart"/>
      <w:r w:rsidRPr="00DC2891">
        <w:rPr>
          <w:rFonts w:ascii="Times New Roman" w:hAnsi="Times New Roman" w:cs="Times New Roman"/>
          <w:sz w:val="24"/>
          <w:szCs w:val="24"/>
        </w:rPr>
        <w:t>Bano</w:t>
      </w:r>
      <w:proofErr w:type="spellEnd"/>
      <w:r w:rsidRPr="00DC2891">
        <w:rPr>
          <w:rFonts w:ascii="Times New Roman" w:hAnsi="Times New Roman" w:cs="Times New Roman"/>
          <w:sz w:val="24"/>
          <w:szCs w:val="24"/>
        </w:rPr>
        <w:t>, A., Ali, S., &amp; Babar, M. A. (2020). Crosstalk amongst phytohormones from planta and PGPR under biotic and abiotic stresses. Plant Growth Regulation, 90(2), 189–203.</w:t>
      </w:r>
      <w:r w:rsidR="003A2D21" w:rsidRPr="00DC2891">
        <w:t xml:space="preserve"> </w:t>
      </w:r>
      <w:hyperlink r:id="rId18" w:history="1">
        <w:r w:rsidR="003A2D21" w:rsidRPr="00DC2891">
          <w:rPr>
            <w:rStyle w:val="Hyperlink"/>
            <w:rFonts w:ascii="Times New Roman" w:hAnsi="Times New Roman" w:cs="Times New Roman"/>
            <w:sz w:val="24"/>
            <w:szCs w:val="24"/>
          </w:rPr>
          <w:t>https://doi.org/10.1007/S10725-020-00571-X</w:t>
        </w:r>
      </w:hyperlink>
      <w:r w:rsidR="003A2D21" w:rsidRPr="00DC2891">
        <w:rPr>
          <w:rFonts w:ascii="Times New Roman" w:hAnsi="Times New Roman" w:cs="Times New Roman"/>
          <w:sz w:val="24"/>
          <w:szCs w:val="24"/>
        </w:rPr>
        <w:t xml:space="preserve"> </w:t>
      </w:r>
    </w:p>
    <w:p w14:paraId="7A0369B1" w14:textId="675A43E7" w:rsidR="000221B6" w:rsidRPr="00DC2891" w:rsidRDefault="000221B6" w:rsidP="00B30405">
      <w:pPr>
        <w:spacing w:line="360" w:lineRule="auto"/>
        <w:ind w:left="720" w:hanging="720"/>
        <w:jc w:val="both"/>
        <w:rPr>
          <w:rFonts w:ascii="Times New Roman" w:hAnsi="Times New Roman" w:cs="Times New Roman"/>
          <w:sz w:val="24"/>
          <w:szCs w:val="24"/>
        </w:rPr>
      </w:pPr>
      <w:r w:rsidRPr="00DC2891">
        <w:rPr>
          <w:rFonts w:ascii="Times New Roman" w:hAnsi="Times New Roman" w:cs="Times New Roman"/>
          <w:sz w:val="24"/>
          <w:szCs w:val="24"/>
        </w:rPr>
        <w:t xml:space="preserve">Kim, J. Y., Park, Y. J., Lee, J. H., Kim, Z. H., &amp; Park, C. M. (2021). EIN3-mediated ethylene </w:t>
      </w:r>
      <w:proofErr w:type="spellStart"/>
      <w:r w:rsidRPr="00DC2891">
        <w:rPr>
          <w:rFonts w:ascii="Times New Roman" w:hAnsi="Times New Roman" w:cs="Times New Roman"/>
          <w:sz w:val="24"/>
          <w:szCs w:val="24"/>
        </w:rPr>
        <w:t>signaling</w:t>
      </w:r>
      <w:proofErr w:type="spellEnd"/>
      <w:r w:rsidRPr="00DC2891">
        <w:rPr>
          <w:rFonts w:ascii="Times New Roman" w:hAnsi="Times New Roman" w:cs="Times New Roman"/>
          <w:sz w:val="24"/>
          <w:szCs w:val="24"/>
        </w:rPr>
        <w:t xml:space="preserve"> attenuates auxin response during hypocotyl </w:t>
      </w:r>
      <w:proofErr w:type="spellStart"/>
      <w:r w:rsidRPr="00DC2891">
        <w:rPr>
          <w:rFonts w:ascii="Times New Roman" w:hAnsi="Times New Roman" w:cs="Times New Roman"/>
          <w:sz w:val="24"/>
          <w:szCs w:val="24"/>
        </w:rPr>
        <w:t>thermomorphogenesis</w:t>
      </w:r>
      <w:proofErr w:type="spellEnd"/>
      <w:r w:rsidRPr="00DC2891">
        <w:rPr>
          <w:rFonts w:ascii="Times New Roman" w:hAnsi="Times New Roman" w:cs="Times New Roman"/>
          <w:sz w:val="24"/>
          <w:szCs w:val="24"/>
        </w:rPr>
        <w:t>. Plant and Cell Physiology, 62(4), 708–720.</w:t>
      </w:r>
      <w:r w:rsidR="003A2D21" w:rsidRPr="00DC2891">
        <w:t xml:space="preserve"> </w:t>
      </w:r>
      <w:hyperlink r:id="rId19" w:history="1">
        <w:r w:rsidR="003A2D21" w:rsidRPr="00DC2891">
          <w:rPr>
            <w:rStyle w:val="Hyperlink"/>
            <w:rFonts w:ascii="Times New Roman" w:hAnsi="Times New Roman" w:cs="Times New Roman"/>
            <w:sz w:val="24"/>
            <w:szCs w:val="24"/>
          </w:rPr>
          <w:t>https://doi.org/10.1093/pcp/pcab028</w:t>
        </w:r>
      </w:hyperlink>
      <w:r w:rsidR="003A2D21" w:rsidRPr="00DC2891">
        <w:rPr>
          <w:rFonts w:ascii="Times New Roman" w:hAnsi="Times New Roman" w:cs="Times New Roman"/>
          <w:sz w:val="24"/>
          <w:szCs w:val="24"/>
        </w:rPr>
        <w:t xml:space="preserve"> </w:t>
      </w:r>
    </w:p>
    <w:p w14:paraId="6FFAA402" w14:textId="1991D6BE" w:rsidR="000221B6" w:rsidRPr="00DC2891" w:rsidRDefault="000221B6" w:rsidP="00B30405">
      <w:pPr>
        <w:spacing w:line="360" w:lineRule="auto"/>
        <w:ind w:left="720" w:hanging="720"/>
        <w:jc w:val="both"/>
        <w:rPr>
          <w:rFonts w:ascii="Times New Roman" w:hAnsi="Times New Roman" w:cs="Times New Roman"/>
          <w:sz w:val="24"/>
          <w:szCs w:val="24"/>
        </w:rPr>
      </w:pPr>
      <w:proofErr w:type="spellStart"/>
      <w:r w:rsidRPr="00DC2891">
        <w:rPr>
          <w:rFonts w:ascii="Times New Roman" w:hAnsi="Times New Roman" w:cs="Times New Roman"/>
          <w:sz w:val="24"/>
          <w:szCs w:val="24"/>
        </w:rPr>
        <w:t>Köster</w:t>
      </w:r>
      <w:proofErr w:type="spellEnd"/>
      <w:r w:rsidRPr="00DC2891">
        <w:rPr>
          <w:rFonts w:ascii="Times New Roman" w:hAnsi="Times New Roman" w:cs="Times New Roman"/>
          <w:sz w:val="24"/>
          <w:szCs w:val="24"/>
        </w:rPr>
        <w:t xml:space="preserve">, P., </w:t>
      </w:r>
      <w:proofErr w:type="spellStart"/>
      <w:r w:rsidRPr="00DC2891">
        <w:rPr>
          <w:rFonts w:ascii="Times New Roman" w:hAnsi="Times New Roman" w:cs="Times New Roman"/>
          <w:sz w:val="24"/>
          <w:szCs w:val="24"/>
        </w:rPr>
        <w:t>DeFalco</w:t>
      </w:r>
      <w:proofErr w:type="spellEnd"/>
      <w:r w:rsidRPr="00DC2891">
        <w:rPr>
          <w:rFonts w:ascii="Times New Roman" w:hAnsi="Times New Roman" w:cs="Times New Roman"/>
          <w:sz w:val="24"/>
          <w:szCs w:val="24"/>
        </w:rPr>
        <w:t>, T. A., &amp; Zipfel, C. (2022). Ca</w:t>
      </w:r>
      <m:oMath>
        <m:sSup>
          <m:sSupPr>
            <m:ctrlPr>
              <w:rPr>
                <w:rFonts w:ascii="Cambria Math" w:hAnsi="Cambria Math" w:cs="Times New Roman"/>
                <w:sz w:val="24"/>
                <w:szCs w:val="24"/>
              </w:rPr>
            </m:ctrlPr>
          </m:sSupPr>
          <m:e/>
          <m:sup>
            <m:r>
              <w:rPr>
                <w:rFonts w:ascii="Cambria Math" w:hAnsi="Cambria Math" w:cs="Times New Roman"/>
                <w:sz w:val="24"/>
                <w:szCs w:val="24"/>
              </w:rPr>
              <m:t>2</m:t>
            </m:r>
          </m:sup>
        </m:sSup>
        <m:r>
          <w:rPr>
            <w:rFonts w:ascii="Cambria Math" w:hAnsi="Cambria Math" w:cs="Times New Roman"/>
            <w:sz w:val="24"/>
            <w:szCs w:val="24"/>
          </w:rPr>
          <m:t>+</m:t>
        </m:r>
      </m:oMath>
      <w:r w:rsidRPr="00DC2891">
        <w:rPr>
          <w:rFonts w:ascii="Times New Roman" w:hAnsi="Times New Roman" w:cs="Times New Roman"/>
          <w:sz w:val="24"/>
          <w:szCs w:val="24"/>
        </w:rPr>
        <w:t> signals in plant immunity. The EMBO Journal, 41(12), e110741.</w:t>
      </w:r>
      <w:r w:rsidR="003A2D21" w:rsidRPr="00DC2891">
        <w:t xml:space="preserve"> </w:t>
      </w:r>
      <w:hyperlink r:id="rId20" w:history="1">
        <w:r w:rsidR="003A2D21" w:rsidRPr="00DC2891">
          <w:rPr>
            <w:rStyle w:val="Hyperlink"/>
            <w:rFonts w:ascii="Times New Roman" w:hAnsi="Times New Roman" w:cs="Times New Roman"/>
            <w:sz w:val="24"/>
            <w:szCs w:val="24"/>
          </w:rPr>
          <w:t>https://doi.org/10.15252/embj.2022110741</w:t>
        </w:r>
      </w:hyperlink>
      <w:r w:rsidR="003A2D21" w:rsidRPr="00DC2891">
        <w:rPr>
          <w:rFonts w:ascii="Times New Roman" w:hAnsi="Times New Roman" w:cs="Times New Roman"/>
          <w:sz w:val="24"/>
          <w:szCs w:val="24"/>
        </w:rPr>
        <w:t xml:space="preserve"> </w:t>
      </w:r>
    </w:p>
    <w:p w14:paraId="7D72D28A" w14:textId="712E5DF9" w:rsidR="000221B6" w:rsidRPr="00DC2891" w:rsidRDefault="000221B6" w:rsidP="00B30405">
      <w:pPr>
        <w:spacing w:line="360" w:lineRule="auto"/>
        <w:ind w:left="720" w:hanging="720"/>
        <w:jc w:val="both"/>
        <w:rPr>
          <w:rFonts w:ascii="Times New Roman" w:hAnsi="Times New Roman" w:cs="Times New Roman"/>
          <w:sz w:val="24"/>
          <w:szCs w:val="24"/>
        </w:rPr>
      </w:pPr>
      <w:r w:rsidRPr="00DC2891">
        <w:rPr>
          <w:rFonts w:ascii="Times New Roman" w:hAnsi="Times New Roman" w:cs="Times New Roman"/>
          <w:sz w:val="24"/>
          <w:szCs w:val="24"/>
        </w:rPr>
        <w:t xml:space="preserve">Li, X., </w:t>
      </w:r>
      <w:proofErr w:type="spellStart"/>
      <w:r w:rsidRPr="00DC2891">
        <w:rPr>
          <w:rFonts w:ascii="Times New Roman" w:hAnsi="Times New Roman" w:cs="Times New Roman"/>
          <w:sz w:val="24"/>
          <w:szCs w:val="24"/>
        </w:rPr>
        <w:t>Siman</w:t>
      </w:r>
      <w:proofErr w:type="spellEnd"/>
      <w:r w:rsidRPr="00DC2891">
        <w:rPr>
          <w:rFonts w:ascii="Times New Roman" w:hAnsi="Times New Roman" w:cs="Times New Roman"/>
          <w:sz w:val="24"/>
          <w:szCs w:val="24"/>
        </w:rPr>
        <w:t xml:space="preserve">, Y., Zhao, Y., Peng, L., Wu, H., Guan, W., ... &amp; He, S. (2025). Single-cell transcriptomic analyses reveal cellular and molecular patterns of rose petal responses to </w:t>
      </w:r>
      <w:proofErr w:type="spellStart"/>
      <w:r w:rsidRPr="00DC2891">
        <w:rPr>
          <w:rFonts w:ascii="Times New Roman" w:hAnsi="Times New Roman" w:cs="Times New Roman"/>
          <w:sz w:val="24"/>
          <w:szCs w:val="24"/>
        </w:rPr>
        <w:t>gray</w:t>
      </w:r>
      <w:proofErr w:type="spellEnd"/>
      <w:r w:rsidRPr="00DC2891">
        <w:rPr>
          <w:rFonts w:ascii="Times New Roman" w:hAnsi="Times New Roman" w:cs="Times New Roman"/>
          <w:sz w:val="24"/>
          <w:szCs w:val="24"/>
        </w:rPr>
        <w:t xml:space="preserve"> </w:t>
      </w:r>
      <w:proofErr w:type="spellStart"/>
      <w:r w:rsidRPr="00DC2891">
        <w:rPr>
          <w:rFonts w:ascii="Times New Roman" w:hAnsi="Times New Roman" w:cs="Times New Roman"/>
          <w:sz w:val="24"/>
          <w:szCs w:val="24"/>
        </w:rPr>
        <w:t>mold</w:t>
      </w:r>
      <w:proofErr w:type="spellEnd"/>
      <w:r w:rsidRPr="00DC2891">
        <w:rPr>
          <w:rFonts w:ascii="Times New Roman" w:hAnsi="Times New Roman" w:cs="Times New Roman"/>
          <w:sz w:val="24"/>
          <w:szCs w:val="24"/>
        </w:rPr>
        <w:t xml:space="preserve"> infection. Horticulture Research, uhaf152.</w:t>
      </w:r>
      <w:r w:rsidR="003A2D21" w:rsidRPr="00DC2891">
        <w:t xml:space="preserve"> </w:t>
      </w:r>
      <w:hyperlink r:id="rId21" w:history="1">
        <w:r w:rsidR="003A2D21" w:rsidRPr="00DC2891">
          <w:rPr>
            <w:rStyle w:val="Hyperlink"/>
            <w:rFonts w:ascii="Times New Roman" w:hAnsi="Times New Roman" w:cs="Times New Roman"/>
            <w:sz w:val="24"/>
            <w:szCs w:val="24"/>
          </w:rPr>
          <w:t>https://doi.org/10.1093/hr/uhaf152</w:t>
        </w:r>
      </w:hyperlink>
      <w:r w:rsidR="003A2D21" w:rsidRPr="00DC2891">
        <w:rPr>
          <w:rFonts w:ascii="Times New Roman" w:hAnsi="Times New Roman" w:cs="Times New Roman"/>
          <w:sz w:val="24"/>
          <w:szCs w:val="24"/>
        </w:rPr>
        <w:t xml:space="preserve"> </w:t>
      </w:r>
    </w:p>
    <w:p w14:paraId="3903F50A" w14:textId="3117573A" w:rsidR="000221B6" w:rsidRPr="00DC2891" w:rsidRDefault="000221B6" w:rsidP="00B30405">
      <w:pPr>
        <w:spacing w:line="360" w:lineRule="auto"/>
        <w:ind w:left="720" w:hanging="720"/>
        <w:jc w:val="both"/>
        <w:rPr>
          <w:rFonts w:ascii="Times New Roman" w:hAnsi="Times New Roman" w:cs="Times New Roman"/>
          <w:sz w:val="24"/>
          <w:szCs w:val="24"/>
        </w:rPr>
      </w:pPr>
      <w:r w:rsidRPr="00DC2891">
        <w:rPr>
          <w:rFonts w:ascii="Times New Roman" w:hAnsi="Times New Roman" w:cs="Times New Roman"/>
          <w:sz w:val="24"/>
          <w:szCs w:val="24"/>
        </w:rPr>
        <w:t xml:space="preserve">Luo, L., Wang, Y., </w:t>
      </w:r>
      <w:proofErr w:type="spellStart"/>
      <w:r w:rsidRPr="00DC2891">
        <w:rPr>
          <w:rFonts w:ascii="Times New Roman" w:hAnsi="Times New Roman" w:cs="Times New Roman"/>
          <w:sz w:val="24"/>
          <w:szCs w:val="24"/>
        </w:rPr>
        <w:t>Qiu</w:t>
      </w:r>
      <w:proofErr w:type="spellEnd"/>
      <w:r w:rsidRPr="00DC2891">
        <w:rPr>
          <w:rFonts w:ascii="Times New Roman" w:hAnsi="Times New Roman" w:cs="Times New Roman"/>
          <w:sz w:val="24"/>
          <w:szCs w:val="24"/>
        </w:rPr>
        <w:t>, L., Han, X., Zhu, Y., Liu, L., ... &amp; Xing, Y. (2023). MYC2: a master switch for plant physiological processes and specialized metabolite synthesis. International Journal of Molecular Sciences, 24(4), 3511.</w:t>
      </w:r>
      <w:r w:rsidR="003A2D21" w:rsidRPr="00DC2891">
        <w:t xml:space="preserve"> </w:t>
      </w:r>
      <w:hyperlink r:id="rId22" w:history="1">
        <w:r w:rsidR="003A2D21" w:rsidRPr="00DC2891">
          <w:rPr>
            <w:rStyle w:val="Hyperlink"/>
            <w:rFonts w:ascii="Times New Roman" w:hAnsi="Times New Roman" w:cs="Times New Roman"/>
            <w:sz w:val="24"/>
            <w:szCs w:val="24"/>
          </w:rPr>
          <w:t>https://doi.org/10.3390/ijms24043511</w:t>
        </w:r>
      </w:hyperlink>
      <w:r w:rsidR="003A2D21" w:rsidRPr="00DC2891">
        <w:rPr>
          <w:rFonts w:ascii="Times New Roman" w:hAnsi="Times New Roman" w:cs="Times New Roman"/>
          <w:sz w:val="24"/>
          <w:szCs w:val="24"/>
        </w:rPr>
        <w:t xml:space="preserve"> </w:t>
      </w:r>
    </w:p>
    <w:p w14:paraId="67DC52AD" w14:textId="60E81915" w:rsidR="000221B6" w:rsidRPr="00DC2891" w:rsidRDefault="000221B6" w:rsidP="00B30405">
      <w:pPr>
        <w:spacing w:line="360" w:lineRule="auto"/>
        <w:ind w:left="720" w:hanging="720"/>
        <w:jc w:val="both"/>
        <w:rPr>
          <w:rFonts w:ascii="Times New Roman" w:hAnsi="Times New Roman" w:cs="Times New Roman"/>
          <w:sz w:val="24"/>
          <w:szCs w:val="24"/>
        </w:rPr>
      </w:pPr>
      <w:r w:rsidRPr="00DC2891">
        <w:rPr>
          <w:rFonts w:ascii="Times New Roman" w:hAnsi="Times New Roman" w:cs="Times New Roman"/>
          <w:sz w:val="24"/>
          <w:szCs w:val="24"/>
        </w:rPr>
        <w:t xml:space="preserve">Lu, Z., Ma, C., </w:t>
      </w:r>
      <w:proofErr w:type="spellStart"/>
      <w:r w:rsidRPr="00DC2891">
        <w:rPr>
          <w:rFonts w:ascii="Times New Roman" w:hAnsi="Times New Roman" w:cs="Times New Roman"/>
          <w:sz w:val="24"/>
          <w:szCs w:val="24"/>
        </w:rPr>
        <w:t>Xie</w:t>
      </w:r>
      <w:proofErr w:type="spellEnd"/>
      <w:r w:rsidRPr="00DC2891">
        <w:rPr>
          <w:rFonts w:ascii="Times New Roman" w:hAnsi="Times New Roman" w:cs="Times New Roman"/>
          <w:sz w:val="24"/>
          <w:szCs w:val="24"/>
        </w:rPr>
        <w:t xml:space="preserve">, Y., Zeng, Y., Peng, J., Zhou, D., &amp; Wu, J. (2025). Understanding the </w:t>
      </w:r>
      <w:proofErr w:type="spellStart"/>
      <w:r w:rsidRPr="00DC2891">
        <w:rPr>
          <w:rFonts w:ascii="Times New Roman" w:hAnsi="Times New Roman" w:cs="Times New Roman"/>
          <w:sz w:val="24"/>
          <w:szCs w:val="24"/>
        </w:rPr>
        <w:t>Brassinosteroid</w:t>
      </w:r>
      <w:proofErr w:type="spellEnd"/>
      <w:r w:rsidRPr="00DC2891">
        <w:rPr>
          <w:rFonts w:ascii="Times New Roman" w:hAnsi="Times New Roman" w:cs="Times New Roman"/>
          <w:sz w:val="24"/>
          <w:szCs w:val="24"/>
        </w:rPr>
        <w:t>-Dependent Environmental Adaption in Brassicaceae Plants. Plants, 14(10), 1554.</w:t>
      </w:r>
      <w:r w:rsidR="003A2D21" w:rsidRPr="00DC2891">
        <w:t xml:space="preserve"> </w:t>
      </w:r>
      <w:hyperlink r:id="rId23" w:history="1">
        <w:r w:rsidR="003A2D21" w:rsidRPr="00DC2891">
          <w:rPr>
            <w:rStyle w:val="Hyperlink"/>
            <w:rFonts w:ascii="Times New Roman" w:hAnsi="Times New Roman" w:cs="Times New Roman"/>
            <w:sz w:val="24"/>
            <w:szCs w:val="24"/>
          </w:rPr>
          <w:t>https://doi.org/10.3390/plants14101554</w:t>
        </w:r>
      </w:hyperlink>
      <w:r w:rsidR="003A2D21" w:rsidRPr="00DC2891">
        <w:rPr>
          <w:rFonts w:ascii="Times New Roman" w:hAnsi="Times New Roman" w:cs="Times New Roman"/>
          <w:sz w:val="24"/>
          <w:szCs w:val="24"/>
        </w:rPr>
        <w:t xml:space="preserve"> </w:t>
      </w:r>
    </w:p>
    <w:p w14:paraId="0A5CB315" w14:textId="73542277" w:rsidR="000221B6" w:rsidRPr="00DC2891" w:rsidRDefault="000221B6" w:rsidP="00B30405">
      <w:pPr>
        <w:spacing w:line="360" w:lineRule="auto"/>
        <w:ind w:left="720" w:hanging="720"/>
        <w:jc w:val="both"/>
        <w:rPr>
          <w:rFonts w:ascii="Times New Roman" w:hAnsi="Times New Roman" w:cs="Times New Roman"/>
          <w:sz w:val="24"/>
          <w:szCs w:val="24"/>
        </w:rPr>
      </w:pPr>
      <w:r w:rsidRPr="00DC2891">
        <w:rPr>
          <w:rFonts w:ascii="Times New Roman" w:hAnsi="Times New Roman" w:cs="Times New Roman"/>
          <w:sz w:val="24"/>
          <w:szCs w:val="24"/>
          <w:lang w:val="nn-NO"/>
        </w:rPr>
        <w:t xml:space="preserve">Marzi, D., Brunetti, P., Saini, S. S., Yadav, G., Puglia, G. D., &amp; Dello Ioio, R. (2024). </w:t>
      </w:r>
      <w:r w:rsidRPr="00DC2891">
        <w:rPr>
          <w:rFonts w:ascii="Times New Roman" w:hAnsi="Times New Roman" w:cs="Times New Roman"/>
          <w:sz w:val="24"/>
          <w:szCs w:val="24"/>
        </w:rPr>
        <w:t>Role of transcriptional regulation in auxin-mediated response to abiotic stresses. Frontiers in Genetics, 15, 1394091.</w:t>
      </w:r>
      <w:r w:rsidR="003A2D21" w:rsidRPr="00DC2891">
        <w:t xml:space="preserve"> </w:t>
      </w:r>
      <w:hyperlink r:id="rId24" w:history="1">
        <w:r w:rsidR="003A2D21" w:rsidRPr="00DC2891">
          <w:rPr>
            <w:rStyle w:val="Hyperlink"/>
            <w:rFonts w:ascii="Times New Roman" w:hAnsi="Times New Roman" w:cs="Times New Roman"/>
            <w:sz w:val="24"/>
            <w:szCs w:val="24"/>
          </w:rPr>
          <w:t>https://doi.org/10.3389/fgene.2024.1394091</w:t>
        </w:r>
      </w:hyperlink>
      <w:r w:rsidR="003A2D21" w:rsidRPr="00DC2891">
        <w:rPr>
          <w:rFonts w:ascii="Times New Roman" w:hAnsi="Times New Roman" w:cs="Times New Roman"/>
          <w:sz w:val="24"/>
          <w:szCs w:val="24"/>
        </w:rPr>
        <w:t xml:space="preserve"> </w:t>
      </w:r>
    </w:p>
    <w:p w14:paraId="214EE640" w14:textId="40B869A6" w:rsidR="000221B6" w:rsidRPr="00DC2891" w:rsidRDefault="000221B6" w:rsidP="00B30405">
      <w:pPr>
        <w:spacing w:line="360" w:lineRule="auto"/>
        <w:ind w:left="720" w:hanging="720"/>
        <w:jc w:val="both"/>
        <w:rPr>
          <w:rFonts w:ascii="Times New Roman" w:hAnsi="Times New Roman" w:cs="Times New Roman"/>
          <w:sz w:val="24"/>
          <w:szCs w:val="24"/>
        </w:rPr>
      </w:pPr>
      <w:proofErr w:type="spellStart"/>
      <w:r w:rsidRPr="00DC2891">
        <w:rPr>
          <w:rFonts w:ascii="Times New Roman" w:hAnsi="Times New Roman" w:cs="Times New Roman"/>
          <w:sz w:val="24"/>
          <w:szCs w:val="24"/>
        </w:rPr>
        <w:lastRenderedPageBreak/>
        <w:t>Misra</w:t>
      </w:r>
      <w:proofErr w:type="spellEnd"/>
      <w:r w:rsidRPr="00DC2891">
        <w:rPr>
          <w:rFonts w:ascii="Times New Roman" w:hAnsi="Times New Roman" w:cs="Times New Roman"/>
          <w:sz w:val="24"/>
          <w:szCs w:val="24"/>
        </w:rPr>
        <w:t>, V., &amp; Mall, A. K. (2025). Genome-wide profiling of abiotic stress-responsive non-coding RNAs. In Decoding non-coding RNA: Enhancing plant abiotic stress tolerance (pp. 141–195). Singapore: Springer Nature Singapore.</w:t>
      </w:r>
      <w:r w:rsidR="003A2D21" w:rsidRPr="00DC2891">
        <w:t xml:space="preserve"> </w:t>
      </w:r>
      <w:hyperlink r:id="rId25" w:history="1">
        <w:r w:rsidR="003A2D21" w:rsidRPr="00DC2891">
          <w:rPr>
            <w:rStyle w:val="Hyperlink"/>
            <w:rFonts w:ascii="Times New Roman" w:hAnsi="Times New Roman" w:cs="Times New Roman"/>
            <w:sz w:val="24"/>
            <w:szCs w:val="24"/>
          </w:rPr>
          <w:t>https://doi.org/10.1007/978-981-96-9859-2_7</w:t>
        </w:r>
      </w:hyperlink>
      <w:r w:rsidR="003A2D21" w:rsidRPr="00DC2891">
        <w:rPr>
          <w:rFonts w:ascii="Times New Roman" w:hAnsi="Times New Roman" w:cs="Times New Roman"/>
          <w:sz w:val="24"/>
          <w:szCs w:val="24"/>
        </w:rPr>
        <w:t xml:space="preserve"> </w:t>
      </w:r>
    </w:p>
    <w:p w14:paraId="6AE3F2E0" w14:textId="02CD473F" w:rsidR="000221B6" w:rsidRPr="00DC2891" w:rsidRDefault="000221B6" w:rsidP="00B30405">
      <w:pPr>
        <w:spacing w:line="360" w:lineRule="auto"/>
        <w:ind w:left="720" w:hanging="720"/>
        <w:jc w:val="both"/>
        <w:rPr>
          <w:rFonts w:ascii="Times New Roman" w:hAnsi="Times New Roman" w:cs="Times New Roman"/>
          <w:sz w:val="24"/>
          <w:szCs w:val="24"/>
        </w:rPr>
      </w:pPr>
      <w:r w:rsidRPr="00DC2891">
        <w:rPr>
          <w:rFonts w:ascii="Times New Roman" w:hAnsi="Times New Roman" w:cs="Times New Roman"/>
          <w:sz w:val="24"/>
          <w:szCs w:val="24"/>
        </w:rPr>
        <w:t xml:space="preserve">Shan, Y., &amp; </w:t>
      </w:r>
      <w:proofErr w:type="spellStart"/>
      <w:r w:rsidRPr="00DC2891">
        <w:rPr>
          <w:rFonts w:ascii="Times New Roman" w:hAnsi="Times New Roman" w:cs="Times New Roman"/>
          <w:sz w:val="24"/>
          <w:szCs w:val="24"/>
        </w:rPr>
        <w:t>Jin</w:t>
      </w:r>
      <w:proofErr w:type="spellEnd"/>
      <w:r w:rsidRPr="00DC2891">
        <w:rPr>
          <w:rFonts w:ascii="Times New Roman" w:hAnsi="Times New Roman" w:cs="Times New Roman"/>
          <w:sz w:val="24"/>
          <w:szCs w:val="24"/>
        </w:rPr>
        <w:t>, S. (2025). Biosynthetic machinery to abiotic stress-driven emission: Decoding multilayer regulation of volatile terpenoids in plants. Antioxidants, 14(6), 673.</w:t>
      </w:r>
      <w:r w:rsidR="003A2D21" w:rsidRPr="00DC2891">
        <w:t xml:space="preserve"> </w:t>
      </w:r>
      <w:hyperlink r:id="rId26" w:history="1">
        <w:r w:rsidR="003A2D21" w:rsidRPr="00DC2891">
          <w:rPr>
            <w:rStyle w:val="Hyperlink"/>
            <w:rFonts w:ascii="Times New Roman" w:hAnsi="Times New Roman" w:cs="Times New Roman"/>
            <w:sz w:val="24"/>
            <w:szCs w:val="24"/>
          </w:rPr>
          <w:t>https://doi.org/10.3390/antiox14060673</w:t>
        </w:r>
      </w:hyperlink>
      <w:r w:rsidR="003A2D21" w:rsidRPr="00DC2891">
        <w:rPr>
          <w:rFonts w:ascii="Times New Roman" w:hAnsi="Times New Roman" w:cs="Times New Roman"/>
          <w:sz w:val="24"/>
          <w:szCs w:val="24"/>
        </w:rPr>
        <w:t xml:space="preserve"> </w:t>
      </w:r>
    </w:p>
    <w:p w14:paraId="45E95C1B" w14:textId="34FBC69A" w:rsidR="000221B6" w:rsidRPr="00DC2891" w:rsidRDefault="000221B6" w:rsidP="00B30405">
      <w:pPr>
        <w:spacing w:line="360" w:lineRule="auto"/>
        <w:ind w:left="720" w:hanging="720"/>
        <w:jc w:val="both"/>
        <w:rPr>
          <w:rFonts w:ascii="Times New Roman" w:hAnsi="Times New Roman" w:cs="Times New Roman"/>
          <w:sz w:val="24"/>
          <w:szCs w:val="24"/>
        </w:rPr>
      </w:pPr>
      <w:r w:rsidRPr="00DC2891">
        <w:rPr>
          <w:rFonts w:ascii="Times New Roman" w:hAnsi="Times New Roman" w:cs="Times New Roman"/>
          <w:sz w:val="24"/>
          <w:szCs w:val="24"/>
        </w:rPr>
        <w:t xml:space="preserve">Sharma, D., Verma, N., Pandey, C., Verma, D., Bhagat, P. K., </w:t>
      </w:r>
      <w:proofErr w:type="spellStart"/>
      <w:r w:rsidRPr="00DC2891">
        <w:rPr>
          <w:rFonts w:ascii="Times New Roman" w:hAnsi="Times New Roman" w:cs="Times New Roman"/>
          <w:sz w:val="24"/>
          <w:szCs w:val="24"/>
        </w:rPr>
        <w:t>Noryang</w:t>
      </w:r>
      <w:proofErr w:type="spellEnd"/>
      <w:r w:rsidRPr="00DC2891">
        <w:rPr>
          <w:rFonts w:ascii="Times New Roman" w:hAnsi="Times New Roman" w:cs="Times New Roman"/>
          <w:sz w:val="24"/>
          <w:szCs w:val="24"/>
        </w:rPr>
        <w:t xml:space="preserve">, S., ... &amp; Sinha, A. K. (2020). MAP kinase as regulators for stress responses in plants: An overview. In Protein kinases and stress </w:t>
      </w:r>
      <w:proofErr w:type="spellStart"/>
      <w:r w:rsidRPr="00DC2891">
        <w:rPr>
          <w:rFonts w:ascii="Times New Roman" w:hAnsi="Times New Roman" w:cs="Times New Roman"/>
          <w:sz w:val="24"/>
          <w:szCs w:val="24"/>
        </w:rPr>
        <w:t>signaling</w:t>
      </w:r>
      <w:proofErr w:type="spellEnd"/>
      <w:r w:rsidRPr="00DC2891">
        <w:rPr>
          <w:rFonts w:ascii="Times New Roman" w:hAnsi="Times New Roman" w:cs="Times New Roman"/>
          <w:sz w:val="24"/>
          <w:szCs w:val="24"/>
        </w:rPr>
        <w:t xml:space="preserve"> in plants: Functional genomic perspective (pp. 369-392).</w:t>
      </w:r>
      <w:r w:rsidR="003A2D21" w:rsidRPr="00DC2891">
        <w:t xml:space="preserve"> </w:t>
      </w:r>
      <w:hyperlink r:id="rId27" w:history="1">
        <w:r w:rsidR="003A2D21" w:rsidRPr="00DC2891">
          <w:rPr>
            <w:rStyle w:val="Hyperlink"/>
            <w:rFonts w:ascii="Times New Roman" w:hAnsi="Times New Roman" w:cs="Times New Roman"/>
            <w:sz w:val="24"/>
            <w:szCs w:val="24"/>
          </w:rPr>
          <w:t>https://doi.org/10.1002/9781119541578.ch15</w:t>
        </w:r>
      </w:hyperlink>
      <w:r w:rsidR="003A2D21" w:rsidRPr="00DC2891">
        <w:rPr>
          <w:rFonts w:ascii="Times New Roman" w:hAnsi="Times New Roman" w:cs="Times New Roman"/>
          <w:sz w:val="24"/>
          <w:szCs w:val="24"/>
        </w:rPr>
        <w:t xml:space="preserve"> </w:t>
      </w:r>
    </w:p>
    <w:p w14:paraId="247F64D5" w14:textId="39A27399" w:rsidR="000221B6" w:rsidRPr="00DC2891" w:rsidRDefault="000221B6" w:rsidP="00B30405">
      <w:pPr>
        <w:spacing w:line="360" w:lineRule="auto"/>
        <w:ind w:left="720" w:hanging="720"/>
        <w:jc w:val="both"/>
        <w:rPr>
          <w:rFonts w:ascii="Times New Roman" w:hAnsi="Times New Roman" w:cs="Times New Roman"/>
          <w:sz w:val="24"/>
          <w:szCs w:val="24"/>
        </w:rPr>
      </w:pPr>
      <w:r w:rsidRPr="00DC2891">
        <w:rPr>
          <w:rFonts w:ascii="Times New Roman" w:hAnsi="Times New Roman" w:cs="Times New Roman"/>
          <w:sz w:val="24"/>
          <w:szCs w:val="24"/>
        </w:rPr>
        <w:t xml:space="preserve">Tal, L., Gil, M. X. A., Guercio, A. M., &amp; </w:t>
      </w:r>
      <w:proofErr w:type="spellStart"/>
      <w:r w:rsidRPr="00DC2891">
        <w:rPr>
          <w:rFonts w:ascii="Times New Roman" w:hAnsi="Times New Roman" w:cs="Times New Roman"/>
          <w:sz w:val="24"/>
          <w:szCs w:val="24"/>
        </w:rPr>
        <w:t>Shabek</w:t>
      </w:r>
      <w:proofErr w:type="spellEnd"/>
      <w:r w:rsidRPr="00DC2891">
        <w:rPr>
          <w:rFonts w:ascii="Times New Roman" w:hAnsi="Times New Roman" w:cs="Times New Roman"/>
          <w:sz w:val="24"/>
          <w:szCs w:val="24"/>
        </w:rPr>
        <w:t>, N. (2020). Structural aspects of plant hormone signal perception and regulation by ubiquitin ligases. Plant Physiology, 182(4), 1537–1544.</w:t>
      </w:r>
      <w:r w:rsidR="00DC2891" w:rsidRPr="00DC2891">
        <w:t xml:space="preserve"> </w:t>
      </w:r>
      <w:hyperlink r:id="rId28" w:history="1">
        <w:r w:rsidR="00DC2891" w:rsidRPr="00DC2891">
          <w:rPr>
            <w:rStyle w:val="Hyperlink"/>
            <w:rFonts w:ascii="Times New Roman" w:hAnsi="Times New Roman" w:cs="Times New Roman"/>
            <w:sz w:val="24"/>
            <w:szCs w:val="24"/>
          </w:rPr>
          <w:t>https://doi.org/10.1104/pp.19.01282</w:t>
        </w:r>
      </w:hyperlink>
      <w:r w:rsidR="00DC2891" w:rsidRPr="00DC2891">
        <w:rPr>
          <w:rFonts w:ascii="Times New Roman" w:hAnsi="Times New Roman" w:cs="Times New Roman"/>
          <w:sz w:val="24"/>
          <w:szCs w:val="24"/>
        </w:rPr>
        <w:t xml:space="preserve"> </w:t>
      </w:r>
    </w:p>
    <w:p w14:paraId="464BFDDE" w14:textId="14B78B63" w:rsidR="000221B6" w:rsidRPr="00DC2891" w:rsidRDefault="000221B6" w:rsidP="00B30405">
      <w:pPr>
        <w:spacing w:line="360" w:lineRule="auto"/>
        <w:ind w:left="720" w:hanging="720"/>
        <w:jc w:val="both"/>
        <w:rPr>
          <w:rFonts w:ascii="Times New Roman" w:hAnsi="Times New Roman" w:cs="Times New Roman"/>
          <w:sz w:val="24"/>
          <w:szCs w:val="24"/>
        </w:rPr>
      </w:pPr>
      <w:r w:rsidRPr="00DC2891">
        <w:rPr>
          <w:rFonts w:ascii="Times New Roman" w:hAnsi="Times New Roman" w:cs="Times New Roman"/>
          <w:sz w:val="24"/>
          <w:szCs w:val="24"/>
        </w:rPr>
        <w:t>Tian, H., Xu, L., Li, X., &amp; Zhang, Y. (2025). Salicylic acid: The roles in plant immunity and crosstalk with other hormones. Journal of Integrative Plant Biology, 67(3), 773–785.</w:t>
      </w:r>
      <w:r w:rsidR="00DC2891" w:rsidRPr="00DC2891">
        <w:t xml:space="preserve"> </w:t>
      </w:r>
      <w:hyperlink r:id="rId29" w:history="1">
        <w:r w:rsidR="00DC2891" w:rsidRPr="00DC2891">
          <w:rPr>
            <w:rStyle w:val="Hyperlink"/>
            <w:rFonts w:ascii="Times New Roman" w:hAnsi="Times New Roman" w:cs="Times New Roman"/>
            <w:sz w:val="24"/>
            <w:szCs w:val="24"/>
          </w:rPr>
          <w:t>https://doi.org/10.1111/jipb.13820</w:t>
        </w:r>
      </w:hyperlink>
      <w:r w:rsidR="00DC2891" w:rsidRPr="00DC2891">
        <w:rPr>
          <w:rFonts w:ascii="Times New Roman" w:hAnsi="Times New Roman" w:cs="Times New Roman"/>
          <w:sz w:val="24"/>
          <w:szCs w:val="24"/>
        </w:rPr>
        <w:t xml:space="preserve"> </w:t>
      </w:r>
    </w:p>
    <w:p w14:paraId="6C571A38" w14:textId="13DD3EAF" w:rsidR="000221B6" w:rsidRPr="00DC2891" w:rsidRDefault="000221B6" w:rsidP="00B30405">
      <w:pPr>
        <w:spacing w:line="360" w:lineRule="auto"/>
        <w:ind w:left="720" w:hanging="720"/>
        <w:jc w:val="both"/>
        <w:rPr>
          <w:rFonts w:ascii="Times New Roman" w:hAnsi="Times New Roman" w:cs="Times New Roman"/>
          <w:sz w:val="24"/>
          <w:szCs w:val="24"/>
        </w:rPr>
      </w:pPr>
      <w:proofErr w:type="spellStart"/>
      <w:r w:rsidRPr="00DC2891">
        <w:rPr>
          <w:rFonts w:ascii="Times New Roman" w:hAnsi="Times New Roman" w:cs="Times New Roman"/>
          <w:sz w:val="24"/>
          <w:szCs w:val="24"/>
        </w:rPr>
        <w:t>Ülker</w:t>
      </w:r>
      <w:proofErr w:type="spellEnd"/>
      <w:r w:rsidRPr="00DC2891">
        <w:rPr>
          <w:rFonts w:ascii="Times New Roman" w:hAnsi="Times New Roman" w:cs="Times New Roman"/>
          <w:sz w:val="24"/>
          <w:szCs w:val="24"/>
        </w:rPr>
        <w:t xml:space="preserve">, B., &amp; </w:t>
      </w:r>
      <w:proofErr w:type="spellStart"/>
      <w:r w:rsidRPr="00DC2891">
        <w:rPr>
          <w:rFonts w:ascii="Times New Roman" w:hAnsi="Times New Roman" w:cs="Times New Roman"/>
          <w:sz w:val="24"/>
          <w:szCs w:val="24"/>
        </w:rPr>
        <w:t>Somssich</w:t>
      </w:r>
      <w:proofErr w:type="spellEnd"/>
      <w:r w:rsidRPr="00DC2891">
        <w:rPr>
          <w:rFonts w:ascii="Times New Roman" w:hAnsi="Times New Roman" w:cs="Times New Roman"/>
          <w:sz w:val="24"/>
          <w:szCs w:val="24"/>
        </w:rPr>
        <w:t>, I. E. (2004). WRKY transcription factors: From DNA binding towards biological function. Current Opinion in Plant Biology, 7(5), 491–498.</w:t>
      </w:r>
      <w:r w:rsidR="00DC2891" w:rsidRPr="00DC2891">
        <w:t xml:space="preserve"> </w:t>
      </w:r>
      <w:hyperlink r:id="rId30" w:history="1">
        <w:r w:rsidR="00DC2891" w:rsidRPr="00DC2891">
          <w:rPr>
            <w:rStyle w:val="Hyperlink"/>
            <w:rFonts w:ascii="Times New Roman" w:hAnsi="Times New Roman" w:cs="Times New Roman"/>
            <w:sz w:val="24"/>
            <w:szCs w:val="24"/>
          </w:rPr>
          <w:t>https://doi.org/10.1016/j.pbi.2004.07.012</w:t>
        </w:r>
      </w:hyperlink>
      <w:r w:rsidR="00DC2891" w:rsidRPr="00DC2891">
        <w:rPr>
          <w:rFonts w:ascii="Times New Roman" w:hAnsi="Times New Roman" w:cs="Times New Roman"/>
          <w:sz w:val="24"/>
          <w:szCs w:val="24"/>
        </w:rPr>
        <w:t xml:space="preserve"> </w:t>
      </w:r>
    </w:p>
    <w:p w14:paraId="6495B7C0" w14:textId="12B09EDD" w:rsidR="000221B6" w:rsidRPr="00DC2891" w:rsidRDefault="000221B6" w:rsidP="00B30405">
      <w:pPr>
        <w:spacing w:line="360" w:lineRule="auto"/>
        <w:ind w:left="720" w:hanging="720"/>
        <w:jc w:val="both"/>
        <w:rPr>
          <w:rFonts w:ascii="Times New Roman" w:hAnsi="Times New Roman" w:cs="Times New Roman"/>
          <w:sz w:val="24"/>
          <w:szCs w:val="24"/>
        </w:rPr>
      </w:pPr>
      <w:r w:rsidRPr="00DC2891">
        <w:rPr>
          <w:rFonts w:ascii="Times New Roman" w:hAnsi="Times New Roman" w:cs="Times New Roman"/>
          <w:sz w:val="24"/>
          <w:szCs w:val="24"/>
        </w:rPr>
        <w:t xml:space="preserve">Van der Does, D., Leon-Reyes, A., </w:t>
      </w:r>
      <w:proofErr w:type="spellStart"/>
      <w:r w:rsidRPr="00DC2891">
        <w:rPr>
          <w:rFonts w:ascii="Times New Roman" w:hAnsi="Times New Roman" w:cs="Times New Roman"/>
          <w:sz w:val="24"/>
          <w:szCs w:val="24"/>
        </w:rPr>
        <w:t>Koornneef</w:t>
      </w:r>
      <w:proofErr w:type="spellEnd"/>
      <w:r w:rsidRPr="00DC2891">
        <w:rPr>
          <w:rFonts w:ascii="Times New Roman" w:hAnsi="Times New Roman" w:cs="Times New Roman"/>
          <w:sz w:val="24"/>
          <w:szCs w:val="24"/>
        </w:rPr>
        <w:t xml:space="preserve">, A., Van </w:t>
      </w:r>
      <w:proofErr w:type="spellStart"/>
      <w:r w:rsidRPr="00DC2891">
        <w:rPr>
          <w:rFonts w:ascii="Times New Roman" w:hAnsi="Times New Roman" w:cs="Times New Roman"/>
          <w:sz w:val="24"/>
          <w:szCs w:val="24"/>
        </w:rPr>
        <w:t>Verk</w:t>
      </w:r>
      <w:proofErr w:type="spellEnd"/>
      <w:r w:rsidRPr="00DC2891">
        <w:rPr>
          <w:rFonts w:ascii="Times New Roman" w:hAnsi="Times New Roman" w:cs="Times New Roman"/>
          <w:sz w:val="24"/>
          <w:szCs w:val="24"/>
        </w:rPr>
        <w:t xml:space="preserve">, M. C., </w:t>
      </w:r>
      <w:proofErr w:type="spellStart"/>
      <w:r w:rsidRPr="00DC2891">
        <w:rPr>
          <w:rFonts w:ascii="Times New Roman" w:hAnsi="Times New Roman" w:cs="Times New Roman"/>
          <w:sz w:val="24"/>
          <w:szCs w:val="24"/>
        </w:rPr>
        <w:t>Rodenburg</w:t>
      </w:r>
      <w:proofErr w:type="spellEnd"/>
      <w:r w:rsidRPr="00DC2891">
        <w:rPr>
          <w:rFonts w:ascii="Times New Roman" w:hAnsi="Times New Roman" w:cs="Times New Roman"/>
          <w:sz w:val="24"/>
          <w:szCs w:val="24"/>
        </w:rPr>
        <w:t xml:space="preserve">, N., Pauwels, L., ... &amp; Pieterse, C. M. (2013). Salicylic acid suppresses </w:t>
      </w:r>
      <w:proofErr w:type="spellStart"/>
      <w:r w:rsidRPr="00DC2891">
        <w:rPr>
          <w:rFonts w:ascii="Times New Roman" w:hAnsi="Times New Roman" w:cs="Times New Roman"/>
          <w:sz w:val="24"/>
          <w:szCs w:val="24"/>
        </w:rPr>
        <w:t>jasmonic</w:t>
      </w:r>
      <w:proofErr w:type="spellEnd"/>
      <w:r w:rsidRPr="00DC2891">
        <w:rPr>
          <w:rFonts w:ascii="Times New Roman" w:hAnsi="Times New Roman" w:cs="Times New Roman"/>
          <w:sz w:val="24"/>
          <w:szCs w:val="24"/>
        </w:rPr>
        <w:t xml:space="preserve"> acid </w:t>
      </w:r>
      <w:proofErr w:type="spellStart"/>
      <w:r w:rsidRPr="00DC2891">
        <w:rPr>
          <w:rFonts w:ascii="Times New Roman" w:hAnsi="Times New Roman" w:cs="Times New Roman"/>
          <w:sz w:val="24"/>
          <w:szCs w:val="24"/>
        </w:rPr>
        <w:t>signaling</w:t>
      </w:r>
      <w:proofErr w:type="spellEnd"/>
      <w:r w:rsidRPr="00DC2891">
        <w:rPr>
          <w:rFonts w:ascii="Times New Roman" w:hAnsi="Times New Roman" w:cs="Times New Roman"/>
          <w:sz w:val="24"/>
          <w:szCs w:val="24"/>
        </w:rPr>
        <w:t xml:space="preserve"> downstream of SCFCOI1-JAZ by targeting GCC promoter motifs via transcription factor ORA59. The Plant Cell, 25(2), 744–761.</w:t>
      </w:r>
      <w:r w:rsidR="00DC2891" w:rsidRPr="00DC2891">
        <w:t xml:space="preserve"> </w:t>
      </w:r>
      <w:hyperlink r:id="rId31" w:history="1">
        <w:r w:rsidR="00DC2891" w:rsidRPr="00DC2891">
          <w:rPr>
            <w:rStyle w:val="Hyperlink"/>
            <w:rFonts w:ascii="Times New Roman" w:hAnsi="Times New Roman" w:cs="Times New Roman"/>
            <w:sz w:val="24"/>
            <w:szCs w:val="24"/>
          </w:rPr>
          <w:t>https://doi.org/10.1105/tpc.112.108548</w:t>
        </w:r>
      </w:hyperlink>
      <w:r w:rsidR="00DC2891" w:rsidRPr="00DC2891">
        <w:rPr>
          <w:rFonts w:ascii="Times New Roman" w:hAnsi="Times New Roman" w:cs="Times New Roman"/>
          <w:sz w:val="24"/>
          <w:szCs w:val="24"/>
        </w:rPr>
        <w:t xml:space="preserve"> </w:t>
      </w:r>
    </w:p>
    <w:p w14:paraId="5EB71FAF" w14:textId="4B935C47" w:rsidR="000221B6" w:rsidRPr="00DC2891" w:rsidRDefault="000221B6" w:rsidP="00B30405">
      <w:pPr>
        <w:spacing w:line="360" w:lineRule="auto"/>
        <w:ind w:left="720" w:hanging="720"/>
        <w:jc w:val="both"/>
        <w:rPr>
          <w:rFonts w:ascii="Times New Roman" w:hAnsi="Times New Roman" w:cs="Times New Roman"/>
          <w:sz w:val="24"/>
          <w:szCs w:val="24"/>
        </w:rPr>
      </w:pPr>
      <w:proofErr w:type="spellStart"/>
      <w:r w:rsidRPr="00DC2891">
        <w:rPr>
          <w:rFonts w:ascii="Times New Roman" w:hAnsi="Times New Roman" w:cs="Times New Roman"/>
          <w:sz w:val="24"/>
          <w:szCs w:val="24"/>
        </w:rPr>
        <w:t>Xiong</w:t>
      </w:r>
      <w:proofErr w:type="spellEnd"/>
      <w:r w:rsidRPr="00DC2891">
        <w:rPr>
          <w:rFonts w:ascii="Times New Roman" w:hAnsi="Times New Roman" w:cs="Times New Roman"/>
          <w:sz w:val="24"/>
          <w:szCs w:val="24"/>
        </w:rPr>
        <w:t>, H., Lu, D., Li, Z., Wu, J., Ning, X., Lin, W., ... &amp; Xu, X. (2023). The DELLA-ABI4-HY5 module integrates light and gibberellin signals to regulate hypocotyl elongation. Plant Communications, 4(5).</w:t>
      </w:r>
      <w:r w:rsidR="00DC2891" w:rsidRPr="00DC2891">
        <w:t xml:space="preserve"> </w:t>
      </w:r>
      <w:hyperlink r:id="rId32" w:history="1">
        <w:r w:rsidR="00DC2891" w:rsidRPr="00DC2891">
          <w:rPr>
            <w:rStyle w:val="Hyperlink"/>
            <w:rFonts w:ascii="Times New Roman" w:hAnsi="Times New Roman" w:cs="Times New Roman"/>
            <w:sz w:val="24"/>
            <w:szCs w:val="24"/>
          </w:rPr>
          <w:t>https://doi.org/10.1016/j.xplc.2023.100597</w:t>
        </w:r>
      </w:hyperlink>
      <w:r w:rsidR="00DC2891" w:rsidRPr="00DC2891">
        <w:rPr>
          <w:rFonts w:ascii="Times New Roman" w:hAnsi="Times New Roman" w:cs="Times New Roman"/>
          <w:sz w:val="24"/>
          <w:szCs w:val="24"/>
        </w:rPr>
        <w:t xml:space="preserve"> </w:t>
      </w:r>
    </w:p>
    <w:p w14:paraId="32475BBC" w14:textId="6BD585F3" w:rsidR="000221B6" w:rsidRPr="00DC2891" w:rsidRDefault="000221B6" w:rsidP="00B30405">
      <w:pPr>
        <w:spacing w:line="360" w:lineRule="auto"/>
        <w:ind w:left="720" w:hanging="720"/>
        <w:jc w:val="both"/>
        <w:rPr>
          <w:rFonts w:ascii="Times New Roman" w:hAnsi="Times New Roman" w:cs="Times New Roman"/>
          <w:sz w:val="24"/>
          <w:szCs w:val="24"/>
        </w:rPr>
      </w:pPr>
      <w:r w:rsidRPr="00DC2891">
        <w:rPr>
          <w:rFonts w:ascii="Times New Roman" w:hAnsi="Times New Roman" w:cs="Times New Roman"/>
          <w:sz w:val="24"/>
          <w:szCs w:val="24"/>
        </w:rPr>
        <w:t xml:space="preserve">Yang, J., </w:t>
      </w:r>
      <w:proofErr w:type="spellStart"/>
      <w:r w:rsidRPr="00DC2891">
        <w:rPr>
          <w:rFonts w:ascii="Times New Roman" w:hAnsi="Times New Roman" w:cs="Times New Roman"/>
          <w:sz w:val="24"/>
          <w:szCs w:val="24"/>
        </w:rPr>
        <w:t>Duan</w:t>
      </w:r>
      <w:proofErr w:type="spellEnd"/>
      <w:r w:rsidRPr="00DC2891">
        <w:rPr>
          <w:rFonts w:ascii="Times New Roman" w:hAnsi="Times New Roman" w:cs="Times New Roman"/>
          <w:sz w:val="24"/>
          <w:szCs w:val="24"/>
        </w:rPr>
        <w:t xml:space="preserve">, G., Li, C., Liu, L., Han, G., Zhang, Y., &amp; Wang, C. (2019). The </w:t>
      </w:r>
      <w:proofErr w:type="spellStart"/>
      <w:r w:rsidRPr="00DC2891">
        <w:rPr>
          <w:rFonts w:ascii="Times New Roman" w:hAnsi="Times New Roman" w:cs="Times New Roman"/>
          <w:sz w:val="24"/>
          <w:szCs w:val="24"/>
        </w:rPr>
        <w:t>crosstalks</w:t>
      </w:r>
      <w:proofErr w:type="spellEnd"/>
      <w:r w:rsidRPr="00DC2891">
        <w:rPr>
          <w:rFonts w:ascii="Times New Roman" w:hAnsi="Times New Roman" w:cs="Times New Roman"/>
          <w:sz w:val="24"/>
          <w:szCs w:val="24"/>
        </w:rPr>
        <w:t xml:space="preserve"> between </w:t>
      </w:r>
      <w:proofErr w:type="spellStart"/>
      <w:r w:rsidRPr="00DC2891">
        <w:rPr>
          <w:rFonts w:ascii="Times New Roman" w:hAnsi="Times New Roman" w:cs="Times New Roman"/>
          <w:sz w:val="24"/>
          <w:szCs w:val="24"/>
        </w:rPr>
        <w:t>jasmonic</w:t>
      </w:r>
      <w:proofErr w:type="spellEnd"/>
      <w:r w:rsidRPr="00DC2891">
        <w:rPr>
          <w:rFonts w:ascii="Times New Roman" w:hAnsi="Times New Roman" w:cs="Times New Roman"/>
          <w:sz w:val="24"/>
          <w:szCs w:val="24"/>
        </w:rPr>
        <w:t xml:space="preserve"> acid and other plant hormone </w:t>
      </w:r>
      <w:proofErr w:type="spellStart"/>
      <w:r w:rsidRPr="00DC2891">
        <w:rPr>
          <w:rFonts w:ascii="Times New Roman" w:hAnsi="Times New Roman" w:cs="Times New Roman"/>
          <w:sz w:val="24"/>
          <w:szCs w:val="24"/>
        </w:rPr>
        <w:t>signaling</w:t>
      </w:r>
      <w:proofErr w:type="spellEnd"/>
      <w:r w:rsidRPr="00DC2891">
        <w:rPr>
          <w:rFonts w:ascii="Times New Roman" w:hAnsi="Times New Roman" w:cs="Times New Roman"/>
          <w:sz w:val="24"/>
          <w:szCs w:val="24"/>
        </w:rPr>
        <w:t xml:space="preserve"> highlight the involvement of </w:t>
      </w:r>
      <w:proofErr w:type="spellStart"/>
      <w:r w:rsidRPr="00DC2891">
        <w:rPr>
          <w:rFonts w:ascii="Times New Roman" w:hAnsi="Times New Roman" w:cs="Times New Roman"/>
          <w:sz w:val="24"/>
          <w:szCs w:val="24"/>
        </w:rPr>
        <w:lastRenderedPageBreak/>
        <w:t>jasmonic</w:t>
      </w:r>
      <w:proofErr w:type="spellEnd"/>
      <w:r w:rsidRPr="00DC2891">
        <w:rPr>
          <w:rFonts w:ascii="Times New Roman" w:hAnsi="Times New Roman" w:cs="Times New Roman"/>
          <w:sz w:val="24"/>
          <w:szCs w:val="24"/>
        </w:rPr>
        <w:t xml:space="preserve"> acid as a core component in plant response to biotic and abiotic stresses. Frontiers in Plant Science, 10, 1349.</w:t>
      </w:r>
      <w:r w:rsidR="00DC2891" w:rsidRPr="00DC2891">
        <w:t xml:space="preserve"> </w:t>
      </w:r>
      <w:hyperlink r:id="rId33" w:history="1">
        <w:r w:rsidR="00DC2891" w:rsidRPr="00DC2891">
          <w:rPr>
            <w:rStyle w:val="Hyperlink"/>
            <w:rFonts w:ascii="Times New Roman" w:hAnsi="Times New Roman" w:cs="Times New Roman"/>
            <w:sz w:val="24"/>
            <w:szCs w:val="24"/>
          </w:rPr>
          <w:t>https://doi.org/10.3389/fpls.2019.01349</w:t>
        </w:r>
      </w:hyperlink>
      <w:r w:rsidR="00DC2891" w:rsidRPr="00DC2891">
        <w:rPr>
          <w:rFonts w:ascii="Times New Roman" w:hAnsi="Times New Roman" w:cs="Times New Roman"/>
          <w:sz w:val="24"/>
          <w:szCs w:val="24"/>
        </w:rPr>
        <w:t xml:space="preserve"> </w:t>
      </w:r>
    </w:p>
    <w:p w14:paraId="769708FF" w14:textId="07793A5C" w:rsidR="000221B6" w:rsidRPr="00DC2891" w:rsidRDefault="000221B6" w:rsidP="00B30405">
      <w:pPr>
        <w:spacing w:line="360" w:lineRule="auto"/>
        <w:ind w:left="720" w:hanging="720"/>
        <w:jc w:val="both"/>
        <w:rPr>
          <w:rFonts w:ascii="Times New Roman" w:hAnsi="Times New Roman" w:cs="Times New Roman"/>
          <w:sz w:val="24"/>
          <w:szCs w:val="24"/>
        </w:rPr>
      </w:pPr>
      <w:r w:rsidRPr="00DC2891">
        <w:rPr>
          <w:rFonts w:ascii="Times New Roman" w:hAnsi="Times New Roman" w:cs="Times New Roman"/>
          <w:sz w:val="24"/>
          <w:szCs w:val="24"/>
        </w:rPr>
        <w:t>Zhang, J., Zhao, P., Chen, S., Sun, L., Mao, J., Tan, S., &amp; Xiang, C. (2023). The ABI3-ERF1 module mediates ABA-auxin crosstalk to regulate lateral root emergence. Cell Reports, 42(7).</w:t>
      </w:r>
      <w:r w:rsidR="00DC2891" w:rsidRPr="00DC2891">
        <w:t xml:space="preserve"> </w:t>
      </w:r>
      <w:hyperlink r:id="rId34" w:history="1">
        <w:r w:rsidR="00DC2891" w:rsidRPr="00DC2891">
          <w:rPr>
            <w:rStyle w:val="Hyperlink"/>
            <w:rFonts w:ascii="Times New Roman" w:hAnsi="Times New Roman" w:cs="Times New Roman"/>
            <w:sz w:val="24"/>
            <w:szCs w:val="24"/>
          </w:rPr>
          <w:t>https://doi.org/10.1016/j.celrep.2023.112809</w:t>
        </w:r>
      </w:hyperlink>
      <w:r w:rsidR="00DC2891" w:rsidRPr="00DC2891">
        <w:rPr>
          <w:rFonts w:ascii="Times New Roman" w:hAnsi="Times New Roman" w:cs="Times New Roman"/>
          <w:sz w:val="24"/>
          <w:szCs w:val="24"/>
        </w:rPr>
        <w:t xml:space="preserve"> </w:t>
      </w:r>
    </w:p>
    <w:p w14:paraId="1B410657" w14:textId="77C8F6BA" w:rsidR="000221B6" w:rsidRPr="00DC2891" w:rsidRDefault="000221B6" w:rsidP="00B30405">
      <w:pPr>
        <w:spacing w:line="360" w:lineRule="auto"/>
        <w:ind w:left="720" w:hanging="720"/>
        <w:jc w:val="both"/>
        <w:rPr>
          <w:rFonts w:ascii="Times New Roman" w:hAnsi="Times New Roman" w:cs="Times New Roman"/>
          <w:sz w:val="24"/>
          <w:szCs w:val="24"/>
        </w:rPr>
      </w:pPr>
      <w:r w:rsidRPr="00DC2891">
        <w:rPr>
          <w:rFonts w:ascii="Times New Roman" w:hAnsi="Times New Roman" w:cs="Times New Roman"/>
          <w:sz w:val="24"/>
          <w:szCs w:val="24"/>
        </w:rPr>
        <w:t xml:space="preserve">Zhang, P., Jackson, E., Li, X., &amp; Zhang, Y. (2025). Salicylic acid and </w:t>
      </w:r>
      <w:proofErr w:type="spellStart"/>
      <w:r w:rsidRPr="00DC2891">
        <w:rPr>
          <w:rFonts w:ascii="Times New Roman" w:hAnsi="Times New Roman" w:cs="Times New Roman"/>
          <w:sz w:val="24"/>
          <w:szCs w:val="24"/>
        </w:rPr>
        <w:t>jasmonic</w:t>
      </w:r>
      <w:proofErr w:type="spellEnd"/>
      <w:r w:rsidRPr="00DC2891">
        <w:rPr>
          <w:rFonts w:ascii="Times New Roman" w:hAnsi="Times New Roman" w:cs="Times New Roman"/>
          <w:sz w:val="24"/>
          <w:szCs w:val="24"/>
        </w:rPr>
        <w:t xml:space="preserve"> acid in plant immunity. Horticulture Research, 12(7), uhaf082.</w:t>
      </w:r>
      <w:r w:rsidR="00DA34FE" w:rsidRPr="00DA34FE">
        <w:t xml:space="preserve"> </w:t>
      </w:r>
      <w:hyperlink r:id="rId35" w:history="1">
        <w:r w:rsidR="00DA34FE" w:rsidRPr="001159C5">
          <w:rPr>
            <w:rStyle w:val="Hyperlink"/>
            <w:rFonts w:ascii="Times New Roman" w:hAnsi="Times New Roman" w:cs="Times New Roman"/>
            <w:sz w:val="24"/>
            <w:szCs w:val="24"/>
          </w:rPr>
          <w:t>https://doi.org/10.1093/hr/uhaf082</w:t>
        </w:r>
      </w:hyperlink>
      <w:r w:rsidR="00DA34FE">
        <w:rPr>
          <w:rFonts w:ascii="Times New Roman" w:hAnsi="Times New Roman" w:cs="Times New Roman"/>
          <w:sz w:val="24"/>
          <w:szCs w:val="24"/>
        </w:rPr>
        <w:t xml:space="preserve"> </w:t>
      </w:r>
    </w:p>
    <w:p w14:paraId="289CFA12" w14:textId="288C78E5" w:rsidR="000221B6" w:rsidRPr="00DC2891" w:rsidRDefault="000221B6" w:rsidP="00B30405">
      <w:pPr>
        <w:spacing w:line="360" w:lineRule="auto"/>
        <w:ind w:left="720" w:hanging="720"/>
        <w:jc w:val="both"/>
        <w:rPr>
          <w:rFonts w:ascii="Times New Roman" w:hAnsi="Times New Roman" w:cs="Times New Roman"/>
          <w:sz w:val="24"/>
          <w:szCs w:val="24"/>
        </w:rPr>
      </w:pPr>
      <w:r w:rsidRPr="00DC2891">
        <w:rPr>
          <w:rFonts w:ascii="Times New Roman" w:hAnsi="Times New Roman" w:cs="Times New Roman"/>
          <w:sz w:val="24"/>
          <w:szCs w:val="24"/>
        </w:rPr>
        <w:t xml:space="preserve">Zhao, Y., Han, Q., &amp; Zhang, D. (2024). Recent advances in the crosstalk between </w:t>
      </w:r>
      <w:proofErr w:type="spellStart"/>
      <w:r w:rsidRPr="00DC2891">
        <w:rPr>
          <w:rFonts w:ascii="Times New Roman" w:hAnsi="Times New Roman" w:cs="Times New Roman"/>
          <w:sz w:val="24"/>
          <w:szCs w:val="24"/>
        </w:rPr>
        <w:t>brassinosteroids</w:t>
      </w:r>
      <w:proofErr w:type="spellEnd"/>
      <w:r w:rsidRPr="00DC2891">
        <w:rPr>
          <w:rFonts w:ascii="Times New Roman" w:hAnsi="Times New Roman" w:cs="Times New Roman"/>
          <w:sz w:val="24"/>
          <w:szCs w:val="24"/>
        </w:rPr>
        <w:t xml:space="preserve"> and environmental stimuli. Plant and Cell Physiology, 65(10), 1552–1567.</w:t>
      </w:r>
      <w:r w:rsidR="00DA34FE" w:rsidRPr="00DA34FE">
        <w:t xml:space="preserve"> </w:t>
      </w:r>
      <w:hyperlink r:id="rId36" w:history="1">
        <w:r w:rsidR="00DA34FE" w:rsidRPr="001159C5">
          <w:rPr>
            <w:rStyle w:val="Hyperlink"/>
            <w:rFonts w:ascii="Times New Roman" w:hAnsi="Times New Roman" w:cs="Times New Roman"/>
            <w:sz w:val="24"/>
            <w:szCs w:val="24"/>
          </w:rPr>
          <w:t>https://doi.org/10.1093/pcp/pcae024</w:t>
        </w:r>
      </w:hyperlink>
      <w:r w:rsidR="00DA34FE">
        <w:rPr>
          <w:rFonts w:ascii="Times New Roman" w:hAnsi="Times New Roman" w:cs="Times New Roman"/>
          <w:sz w:val="24"/>
          <w:szCs w:val="24"/>
        </w:rPr>
        <w:t xml:space="preserve"> </w:t>
      </w:r>
    </w:p>
    <w:p w14:paraId="29323C70" w14:textId="60A60518" w:rsidR="000221B6" w:rsidRPr="00E1224A" w:rsidRDefault="000221B6" w:rsidP="00B30405">
      <w:pPr>
        <w:spacing w:line="360" w:lineRule="auto"/>
        <w:ind w:left="720" w:hanging="720"/>
        <w:jc w:val="both"/>
        <w:rPr>
          <w:rFonts w:ascii="Times New Roman" w:hAnsi="Times New Roman" w:cs="Times New Roman"/>
          <w:sz w:val="24"/>
          <w:szCs w:val="24"/>
        </w:rPr>
      </w:pPr>
      <w:r w:rsidRPr="00DC2891">
        <w:rPr>
          <w:rFonts w:ascii="Times New Roman" w:hAnsi="Times New Roman" w:cs="Times New Roman"/>
          <w:sz w:val="24"/>
          <w:szCs w:val="24"/>
        </w:rPr>
        <w:t>Zhu, Y., Pal, S., &amp; Xia, X. (2024). The role of hormones in plant stress: The old and new players. Plant Stress, 13, 100552.</w:t>
      </w:r>
      <w:r w:rsidR="00DA34FE" w:rsidRPr="00DA34FE">
        <w:t xml:space="preserve"> </w:t>
      </w:r>
      <w:hyperlink r:id="rId37" w:history="1">
        <w:r w:rsidR="00DA34FE" w:rsidRPr="001159C5">
          <w:rPr>
            <w:rStyle w:val="Hyperlink"/>
            <w:rFonts w:ascii="Times New Roman" w:hAnsi="Times New Roman" w:cs="Times New Roman"/>
            <w:sz w:val="24"/>
            <w:szCs w:val="24"/>
          </w:rPr>
          <w:t>https://doi.org/10.1016/j.stress.2024.100552</w:t>
        </w:r>
      </w:hyperlink>
      <w:r w:rsidR="00DA34FE">
        <w:rPr>
          <w:rFonts w:ascii="Times New Roman" w:hAnsi="Times New Roman" w:cs="Times New Roman"/>
          <w:sz w:val="24"/>
          <w:szCs w:val="24"/>
        </w:rPr>
        <w:t xml:space="preserve"> </w:t>
      </w:r>
    </w:p>
    <w:p w14:paraId="44C075B6" w14:textId="77777777" w:rsidR="000221B6" w:rsidRPr="00E1224A" w:rsidRDefault="000221B6" w:rsidP="008B4467">
      <w:pPr>
        <w:spacing w:line="360" w:lineRule="auto"/>
        <w:jc w:val="both"/>
        <w:rPr>
          <w:rFonts w:ascii="Times New Roman" w:hAnsi="Times New Roman" w:cs="Times New Roman"/>
          <w:b/>
          <w:bCs/>
          <w:sz w:val="24"/>
          <w:szCs w:val="24"/>
        </w:rPr>
      </w:pPr>
    </w:p>
    <w:p w14:paraId="387C968E" w14:textId="4446E8BF" w:rsidR="00B64E3D" w:rsidRPr="00E1224A" w:rsidRDefault="00B64E3D" w:rsidP="009E20A1">
      <w:pPr>
        <w:spacing w:line="360" w:lineRule="auto"/>
        <w:ind w:left="360"/>
        <w:jc w:val="both"/>
        <w:rPr>
          <w:rFonts w:ascii="Times New Roman" w:hAnsi="Times New Roman" w:cs="Times New Roman"/>
          <w:sz w:val="24"/>
          <w:szCs w:val="24"/>
        </w:rPr>
      </w:pPr>
    </w:p>
    <w:sectPr w:rsidR="00B64E3D" w:rsidRPr="00E1224A">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C1A5C" w14:textId="77777777" w:rsidR="004F3450" w:rsidRDefault="004F3450" w:rsidP="00C02378">
      <w:pPr>
        <w:spacing w:after="0" w:line="240" w:lineRule="auto"/>
      </w:pPr>
      <w:r>
        <w:separator/>
      </w:r>
    </w:p>
  </w:endnote>
  <w:endnote w:type="continuationSeparator" w:id="0">
    <w:p w14:paraId="53A623EC" w14:textId="77777777" w:rsidR="004F3450" w:rsidRDefault="004F3450" w:rsidP="00C02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0A1F" w14:textId="77777777" w:rsidR="00C02378" w:rsidRDefault="00C02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DD71" w14:textId="77777777" w:rsidR="00C02378" w:rsidRDefault="00C023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5560D" w14:textId="77777777" w:rsidR="00C02378" w:rsidRDefault="00C02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968F3" w14:textId="77777777" w:rsidR="004F3450" w:rsidRDefault="004F3450" w:rsidP="00C02378">
      <w:pPr>
        <w:spacing w:after="0" w:line="240" w:lineRule="auto"/>
      </w:pPr>
      <w:r>
        <w:separator/>
      </w:r>
    </w:p>
  </w:footnote>
  <w:footnote w:type="continuationSeparator" w:id="0">
    <w:p w14:paraId="0ED009CD" w14:textId="77777777" w:rsidR="004F3450" w:rsidRDefault="004F3450" w:rsidP="00C02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47136" w14:textId="2B71D476" w:rsidR="00C02378" w:rsidRDefault="00C02378">
    <w:pPr>
      <w:pStyle w:val="Header"/>
    </w:pPr>
    <w:r>
      <w:rPr>
        <w:noProof/>
      </w:rPr>
      <w:pict w14:anchorId="6998F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89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CAB8E" w14:textId="65B5F0E2" w:rsidR="00C02378" w:rsidRDefault="00C02378">
    <w:pPr>
      <w:pStyle w:val="Header"/>
    </w:pPr>
    <w:r>
      <w:rPr>
        <w:noProof/>
      </w:rPr>
      <w:pict w14:anchorId="36F81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89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B8E49" w14:textId="21FCF352" w:rsidR="00C02378" w:rsidRDefault="00C02378">
    <w:pPr>
      <w:pStyle w:val="Header"/>
    </w:pPr>
    <w:r>
      <w:rPr>
        <w:noProof/>
      </w:rPr>
      <w:pict w14:anchorId="10F85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89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32CDA"/>
    <w:multiLevelType w:val="hybridMultilevel"/>
    <w:tmpl w:val="96408E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65C6DA8"/>
    <w:multiLevelType w:val="multilevel"/>
    <w:tmpl w:val="40FC7602"/>
    <w:lvl w:ilvl="0">
      <w:start w:val="3"/>
      <w:numFmt w:val="decimal"/>
      <w:lvlText w:val="%1."/>
      <w:lvlJc w:val="left"/>
      <w:pPr>
        <w:ind w:left="720" w:hanging="360"/>
      </w:pPr>
      <w:rPr>
        <w:rFonts w:hint="default"/>
        <w:b/>
        <w:bCs/>
        <w:sz w:val="28"/>
        <w:szCs w:val="28"/>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67"/>
    <w:rsid w:val="000221B6"/>
    <w:rsid w:val="00031CFF"/>
    <w:rsid w:val="000714FC"/>
    <w:rsid w:val="0007244C"/>
    <w:rsid w:val="000A27C2"/>
    <w:rsid w:val="000A3EB7"/>
    <w:rsid w:val="000B2400"/>
    <w:rsid w:val="000C6445"/>
    <w:rsid w:val="000E1AC1"/>
    <w:rsid w:val="000F7CD8"/>
    <w:rsid w:val="00171C15"/>
    <w:rsid w:val="00185602"/>
    <w:rsid w:val="00192651"/>
    <w:rsid w:val="001D0400"/>
    <w:rsid w:val="00212383"/>
    <w:rsid w:val="002268F7"/>
    <w:rsid w:val="00227ACA"/>
    <w:rsid w:val="00233CF1"/>
    <w:rsid w:val="00265772"/>
    <w:rsid w:val="00274A64"/>
    <w:rsid w:val="00280B09"/>
    <w:rsid w:val="002872AB"/>
    <w:rsid w:val="002962C7"/>
    <w:rsid w:val="002A5500"/>
    <w:rsid w:val="002E3213"/>
    <w:rsid w:val="00346079"/>
    <w:rsid w:val="00346C3A"/>
    <w:rsid w:val="003A2D21"/>
    <w:rsid w:val="003A615C"/>
    <w:rsid w:val="003B43E0"/>
    <w:rsid w:val="003E75AB"/>
    <w:rsid w:val="004A599D"/>
    <w:rsid w:val="004D371B"/>
    <w:rsid w:val="004E2E6C"/>
    <w:rsid w:val="004E4D74"/>
    <w:rsid w:val="004F2A35"/>
    <w:rsid w:val="004F3450"/>
    <w:rsid w:val="005101F5"/>
    <w:rsid w:val="005173C4"/>
    <w:rsid w:val="0055270F"/>
    <w:rsid w:val="00564FEA"/>
    <w:rsid w:val="00596754"/>
    <w:rsid w:val="005A04E8"/>
    <w:rsid w:val="00647114"/>
    <w:rsid w:val="00680DC7"/>
    <w:rsid w:val="00686182"/>
    <w:rsid w:val="006956E5"/>
    <w:rsid w:val="006B681F"/>
    <w:rsid w:val="006C2650"/>
    <w:rsid w:val="006D4215"/>
    <w:rsid w:val="006E1816"/>
    <w:rsid w:val="007006BA"/>
    <w:rsid w:val="007162B3"/>
    <w:rsid w:val="0075473F"/>
    <w:rsid w:val="007917C1"/>
    <w:rsid w:val="007966C1"/>
    <w:rsid w:val="007C1CEF"/>
    <w:rsid w:val="007C316E"/>
    <w:rsid w:val="008332DF"/>
    <w:rsid w:val="00860FF9"/>
    <w:rsid w:val="008945C9"/>
    <w:rsid w:val="00895B04"/>
    <w:rsid w:val="008B4467"/>
    <w:rsid w:val="008C3E96"/>
    <w:rsid w:val="008F01A7"/>
    <w:rsid w:val="0090202A"/>
    <w:rsid w:val="00971963"/>
    <w:rsid w:val="00975843"/>
    <w:rsid w:val="009918C8"/>
    <w:rsid w:val="009E20A1"/>
    <w:rsid w:val="009F0343"/>
    <w:rsid w:val="009F0B66"/>
    <w:rsid w:val="009F3B0C"/>
    <w:rsid w:val="009F56A9"/>
    <w:rsid w:val="009F7621"/>
    <w:rsid w:val="00A45858"/>
    <w:rsid w:val="00A46C4F"/>
    <w:rsid w:val="00A606E5"/>
    <w:rsid w:val="00A67059"/>
    <w:rsid w:val="00AA4907"/>
    <w:rsid w:val="00B124AA"/>
    <w:rsid w:val="00B30405"/>
    <w:rsid w:val="00B3061F"/>
    <w:rsid w:val="00B314BE"/>
    <w:rsid w:val="00B4120A"/>
    <w:rsid w:val="00B466CE"/>
    <w:rsid w:val="00B64E3D"/>
    <w:rsid w:val="00B66E70"/>
    <w:rsid w:val="00B75EC9"/>
    <w:rsid w:val="00BA2DE4"/>
    <w:rsid w:val="00C02378"/>
    <w:rsid w:val="00C403CD"/>
    <w:rsid w:val="00C46C0B"/>
    <w:rsid w:val="00C51132"/>
    <w:rsid w:val="00C751A1"/>
    <w:rsid w:val="00C80B1E"/>
    <w:rsid w:val="00C82528"/>
    <w:rsid w:val="00D250E6"/>
    <w:rsid w:val="00D578A8"/>
    <w:rsid w:val="00DA34FE"/>
    <w:rsid w:val="00DC2891"/>
    <w:rsid w:val="00E04019"/>
    <w:rsid w:val="00E1224A"/>
    <w:rsid w:val="00E814F5"/>
    <w:rsid w:val="00E830C0"/>
    <w:rsid w:val="00EA1F37"/>
    <w:rsid w:val="00EA7112"/>
    <w:rsid w:val="00ED4B7A"/>
    <w:rsid w:val="00F61AD3"/>
    <w:rsid w:val="00F65A01"/>
    <w:rsid w:val="00F847F8"/>
    <w:rsid w:val="00FC452F"/>
    <w:rsid w:val="00FE1C5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F41C07A"/>
  <w15:chartTrackingRefBased/>
  <w15:docId w15:val="{2671881C-980E-4279-9FFF-C721364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4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44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44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44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44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44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4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4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4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4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44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44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44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44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44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4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4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467"/>
    <w:rPr>
      <w:rFonts w:eastAsiaTheme="majorEastAsia" w:cstheme="majorBidi"/>
      <w:color w:val="272727" w:themeColor="text1" w:themeTint="D8"/>
    </w:rPr>
  </w:style>
  <w:style w:type="paragraph" w:styleId="Title">
    <w:name w:val="Title"/>
    <w:basedOn w:val="Normal"/>
    <w:next w:val="Normal"/>
    <w:link w:val="TitleChar"/>
    <w:uiPriority w:val="10"/>
    <w:qFormat/>
    <w:rsid w:val="008B44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4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4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4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467"/>
    <w:pPr>
      <w:spacing w:before="160"/>
      <w:jc w:val="center"/>
    </w:pPr>
    <w:rPr>
      <w:i/>
      <w:iCs/>
      <w:color w:val="404040" w:themeColor="text1" w:themeTint="BF"/>
    </w:rPr>
  </w:style>
  <w:style w:type="character" w:customStyle="1" w:styleId="QuoteChar">
    <w:name w:val="Quote Char"/>
    <w:basedOn w:val="DefaultParagraphFont"/>
    <w:link w:val="Quote"/>
    <w:uiPriority w:val="29"/>
    <w:rsid w:val="008B4467"/>
    <w:rPr>
      <w:i/>
      <w:iCs/>
      <w:color w:val="404040" w:themeColor="text1" w:themeTint="BF"/>
    </w:rPr>
  </w:style>
  <w:style w:type="paragraph" w:styleId="ListParagraph">
    <w:name w:val="List Paragraph"/>
    <w:basedOn w:val="Normal"/>
    <w:uiPriority w:val="34"/>
    <w:qFormat/>
    <w:rsid w:val="008B4467"/>
    <w:pPr>
      <w:ind w:left="720"/>
      <w:contextualSpacing/>
    </w:pPr>
  </w:style>
  <w:style w:type="character" w:styleId="IntenseEmphasis">
    <w:name w:val="Intense Emphasis"/>
    <w:basedOn w:val="DefaultParagraphFont"/>
    <w:uiPriority w:val="21"/>
    <w:qFormat/>
    <w:rsid w:val="008B4467"/>
    <w:rPr>
      <w:i/>
      <w:iCs/>
      <w:color w:val="2F5496" w:themeColor="accent1" w:themeShade="BF"/>
    </w:rPr>
  </w:style>
  <w:style w:type="paragraph" w:styleId="IntenseQuote">
    <w:name w:val="Intense Quote"/>
    <w:basedOn w:val="Normal"/>
    <w:next w:val="Normal"/>
    <w:link w:val="IntenseQuoteChar"/>
    <w:uiPriority w:val="30"/>
    <w:qFormat/>
    <w:rsid w:val="008B44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4467"/>
    <w:rPr>
      <w:i/>
      <w:iCs/>
      <w:color w:val="2F5496" w:themeColor="accent1" w:themeShade="BF"/>
    </w:rPr>
  </w:style>
  <w:style w:type="character" w:styleId="IntenseReference">
    <w:name w:val="Intense Reference"/>
    <w:basedOn w:val="DefaultParagraphFont"/>
    <w:uiPriority w:val="32"/>
    <w:qFormat/>
    <w:rsid w:val="008B4467"/>
    <w:rPr>
      <w:b/>
      <w:bCs/>
      <w:smallCaps/>
      <w:color w:val="2F5496" w:themeColor="accent1" w:themeShade="BF"/>
      <w:spacing w:val="5"/>
    </w:rPr>
  </w:style>
  <w:style w:type="character" w:styleId="Hyperlink">
    <w:name w:val="Hyperlink"/>
    <w:basedOn w:val="DefaultParagraphFont"/>
    <w:uiPriority w:val="99"/>
    <w:unhideWhenUsed/>
    <w:rsid w:val="000A3EB7"/>
    <w:rPr>
      <w:color w:val="0563C1" w:themeColor="hyperlink"/>
      <w:u w:val="single"/>
    </w:rPr>
  </w:style>
  <w:style w:type="character" w:styleId="UnresolvedMention">
    <w:name w:val="Unresolved Mention"/>
    <w:basedOn w:val="DefaultParagraphFont"/>
    <w:uiPriority w:val="99"/>
    <w:semiHidden/>
    <w:unhideWhenUsed/>
    <w:rsid w:val="000A3EB7"/>
    <w:rPr>
      <w:color w:val="605E5C"/>
      <w:shd w:val="clear" w:color="auto" w:fill="E1DFDD"/>
    </w:rPr>
  </w:style>
  <w:style w:type="table" w:styleId="TableGrid">
    <w:name w:val="Table Grid"/>
    <w:basedOn w:val="TableNormal"/>
    <w:uiPriority w:val="39"/>
    <w:rsid w:val="00233CF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2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378"/>
  </w:style>
  <w:style w:type="paragraph" w:styleId="Footer">
    <w:name w:val="footer"/>
    <w:basedOn w:val="Normal"/>
    <w:link w:val="FooterChar"/>
    <w:uiPriority w:val="99"/>
    <w:unhideWhenUsed/>
    <w:rsid w:val="00C02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cells14020110" TargetMode="External"/><Relationship Id="rId18" Type="http://schemas.openxmlformats.org/officeDocument/2006/relationships/hyperlink" Target="https://doi.org/10.1007/S10725-020-00571-X" TargetMode="External"/><Relationship Id="rId26" Type="http://schemas.openxmlformats.org/officeDocument/2006/relationships/hyperlink" Target="https://doi.org/10.3390/antiox14060673" TargetMode="External"/><Relationship Id="rId39" Type="http://schemas.openxmlformats.org/officeDocument/2006/relationships/header" Target="header2.xml"/><Relationship Id="rId21" Type="http://schemas.openxmlformats.org/officeDocument/2006/relationships/hyperlink" Target="https://doi.org/10.1093/hr/uhaf152" TargetMode="External"/><Relationship Id="rId34" Type="http://schemas.openxmlformats.org/officeDocument/2006/relationships/hyperlink" Target="https://doi.org/10.1016/j.celrep.2023.112809" TargetMode="External"/><Relationship Id="rId42"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93/pcp/pcae047" TargetMode="External"/><Relationship Id="rId29" Type="http://schemas.openxmlformats.org/officeDocument/2006/relationships/hyperlink" Target="https://doi.org/10.1111/jipb.138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antiox10071089" TargetMode="External"/><Relationship Id="rId24" Type="http://schemas.openxmlformats.org/officeDocument/2006/relationships/hyperlink" Target="https://doi.org/10.3389/fgene.2024.1394091" TargetMode="External"/><Relationship Id="rId32" Type="http://schemas.openxmlformats.org/officeDocument/2006/relationships/hyperlink" Target="https://doi.org/10.1016/j.xplc.2023.100597" TargetMode="External"/><Relationship Id="rId37" Type="http://schemas.openxmlformats.org/officeDocument/2006/relationships/hyperlink" Target="https://doi.org/10.1016/j.stress.2024.100552"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plants13172523" TargetMode="External"/><Relationship Id="rId23" Type="http://schemas.openxmlformats.org/officeDocument/2006/relationships/hyperlink" Target="https://doi.org/10.3390/plants14101554" TargetMode="External"/><Relationship Id="rId28" Type="http://schemas.openxmlformats.org/officeDocument/2006/relationships/hyperlink" Target="https://doi.org/10.1104/pp.19.01282" TargetMode="External"/><Relationship Id="rId36" Type="http://schemas.openxmlformats.org/officeDocument/2006/relationships/hyperlink" Target="https://doi.org/10.1093/pcp/pcae024" TargetMode="External"/><Relationship Id="rId10" Type="http://schemas.openxmlformats.org/officeDocument/2006/relationships/hyperlink" Target="https://doi.org/10.1186/s12864-019-5839-2" TargetMode="External"/><Relationship Id="rId19" Type="http://schemas.openxmlformats.org/officeDocument/2006/relationships/hyperlink" Target="https://doi.org/10.1093/pcp/pcab028" TargetMode="External"/><Relationship Id="rId31" Type="http://schemas.openxmlformats.org/officeDocument/2006/relationships/hyperlink" Target="https://doi.org/10.1105/tpc.112.108548"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89/fmicb.2023.1171104" TargetMode="External"/><Relationship Id="rId14" Type="http://schemas.openxmlformats.org/officeDocument/2006/relationships/hyperlink" Target="https://doi.org/10.3390/cells11081352" TargetMode="External"/><Relationship Id="rId22" Type="http://schemas.openxmlformats.org/officeDocument/2006/relationships/hyperlink" Target="https://doi.org/10.3390/ijms24043511" TargetMode="External"/><Relationship Id="rId27" Type="http://schemas.openxmlformats.org/officeDocument/2006/relationships/hyperlink" Target="https://doi.org/10.1002/9781119541578.ch15" TargetMode="External"/><Relationship Id="rId30" Type="http://schemas.openxmlformats.org/officeDocument/2006/relationships/hyperlink" Target="https://doi.org/10.1016/j.pbi.2004.07.012" TargetMode="External"/><Relationship Id="rId35" Type="http://schemas.openxmlformats.org/officeDocument/2006/relationships/hyperlink" Target="https://doi.org/10.1093/hr/uhaf082" TargetMode="External"/><Relationship Id="rId43" Type="http://schemas.openxmlformats.org/officeDocument/2006/relationships/footer" Target="footer3.xml"/><Relationship Id="rId8" Type="http://schemas.openxmlformats.org/officeDocument/2006/relationships/hyperlink" Target="https://doi.org/10.1038/srep28941" TargetMode="External"/><Relationship Id="rId3" Type="http://schemas.openxmlformats.org/officeDocument/2006/relationships/settings" Target="settings.xml"/><Relationship Id="rId12" Type="http://schemas.openxmlformats.org/officeDocument/2006/relationships/hyperlink" Target="https://doi.org/10.1002/9781119552154.ch11" TargetMode="External"/><Relationship Id="rId17" Type="http://schemas.openxmlformats.org/officeDocument/2006/relationships/hyperlink" Target="https://doi.org/10.1093/plphys/kiaf293" TargetMode="External"/><Relationship Id="rId25" Type="http://schemas.openxmlformats.org/officeDocument/2006/relationships/hyperlink" Target="https://doi.org/10.1007/978-981-96-9859-2_7" TargetMode="External"/><Relationship Id="rId33" Type="http://schemas.openxmlformats.org/officeDocument/2006/relationships/hyperlink" Target="https://doi.org/10.3389/fpls.2019.01349" TargetMode="External"/><Relationship Id="rId38" Type="http://schemas.openxmlformats.org/officeDocument/2006/relationships/header" Target="header1.xml"/><Relationship Id="rId20" Type="http://schemas.openxmlformats.org/officeDocument/2006/relationships/hyperlink" Target="https://doi.org/10.15252/embj.2022110741"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17</Pages>
  <Words>6328</Words>
  <Characters>36072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Saika bashir</dc:creator>
  <cp:keywords/>
  <dc:description/>
  <cp:lastModifiedBy>SDI 1180</cp:lastModifiedBy>
  <cp:revision>16</cp:revision>
  <dcterms:created xsi:type="dcterms:W3CDTF">2025-11-25T13:13:00Z</dcterms:created>
  <dcterms:modified xsi:type="dcterms:W3CDTF">2025-11-29T11:33:00Z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44834c25-7c1e-40fe-ab8a-dc25181172c7</vt:lpwstr>
  </property>
</Properties>
</file>