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E9F9" w14:textId="77777777" w:rsidR="00CE4696" w:rsidRDefault="00CE4696">
      <w:pPr>
        <w:pStyle w:val="Title"/>
        <w:spacing w:after="0"/>
        <w:jc w:val="both"/>
        <w:rPr>
          <w:rFonts w:ascii="Arial" w:hAnsi="Arial" w:cs="Arial"/>
        </w:rPr>
      </w:pPr>
    </w:p>
    <w:p w14:paraId="54ED5BCD" w14:textId="682CD80E" w:rsidR="005D7CAE" w:rsidRDefault="005D7CAE">
      <w:pPr>
        <w:pStyle w:val="Author"/>
        <w:spacing w:line="240" w:lineRule="auto"/>
        <w:rPr>
          <w:rFonts w:ascii="Arial" w:hAnsi="Arial" w:cs="Arial"/>
          <w:bCs/>
          <w:iCs/>
          <w:kern w:val="28"/>
          <w:sz w:val="36"/>
        </w:rPr>
      </w:pPr>
      <w:r w:rsidRPr="005D7CAE">
        <w:rPr>
          <w:rFonts w:ascii="Arial" w:hAnsi="Arial" w:cs="Arial"/>
          <w:bCs/>
          <w:iCs/>
          <w:kern w:val="28"/>
          <w:sz w:val="36"/>
        </w:rPr>
        <w:t>Original Research Article</w:t>
      </w:r>
    </w:p>
    <w:p w14:paraId="3E89B5F9" w14:textId="1FCEA06E" w:rsidR="00CE4696" w:rsidRDefault="00E7512E">
      <w:pPr>
        <w:pStyle w:val="Author"/>
        <w:spacing w:line="240" w:lineRule="auto"/>
        <w:rPr>
          <w:rFonts w:ascii="Arial" w:hAnsi="Arial" w:cs="Arial"/>
          <w:bCs/>
          <w:iCs/>
          <w:kern w:val="28"/>
          <w:sz w:val="36"/>
        </w:rPr>
      </w:pPr>
      <w:r>
        <w:rPr>
          <w:rFonts w:ascii="Arial" w:hAnsi="Arial" w:cs="Arial" w:hint="eastAsia"/>
          <w:bCs/>
          <w:iCs/>
          <w:kern w:val="28"/>
          <w:sz w:val="36"/>
        </w:rPr>
        <w:t>Integrating Technical Skills and Moral Education: A Two-Way Empowerment Model for Vocational Internships in Digitally Managed Environments</w:t>
      </w:r>
      <w:r>
        <w:rPr>
          <w:rFonts w:ascii="Arial" w:hAnsi="Arial" w:cs="Arial"/>
          <w:bCs/>
          <w:iCs/>
          <w:kern w:val="28"/>
          <w:sz w:val="36"/>
        </w:rPr>
        <w:t xml:space="preserve"> </w:t>
      </w:r>
    </w:p>
    <w:p w14:paraId="4416D3FF" w14:textId="77777777" w:rsidR="00CE4696" w:rsidRDefault="00CE4696">
      <w:pPr>
        <w:pStyle w:val="Author"/>
        <w:spacing w:line="240" w:lineRule="auto"/>
        <w:jc w:val="both"/>
        <w:rPr>
          <w:rFonts w:ascii="Arial" w:hAnsi="Arial" w:cs="Arial"/>
          <w:sz w:val="36"/>
        </w:rPr>
      </w:pPr>
    </w:p>
    <w:p w14:paraId="49172E4F" w14:textId="77777777" w:rsidR="002D7A55" w:rsidRDefault="002D7A55" w:rsidP="00AB2F8E">
      <w:pPr>
        <w:pStyle w:val="Affiliation"/>
        <w:spacing w:after="0" w:line="240" w:lineRule="auto"/>
        <w:jc w:val="both"/>
        <w:rPr>
          <w:rFonts w:ascii="Arial" w:hAnsi="Arial" w:cs="Arial"/>
        </w:rPr>
      </w:pPr>
    </w:p>
    <w:p w14:paraId="64AA55BB" w14:textId="77777777" w:rsidR="00AB2F8E" w:rsidRDefault="00AB2F8E" w:rsidP="00AB2F8E">
      <w:pPr>
        <w:pStyle w:val="Affiliation"/>
        <w:spacing w:after="0" w:line="240" w:lineRule="auto"/>
        <w:jc w:val="both"/>
        <w:rPr>
          <w:rFonts w:ascii="Arial" w:hAnsi="Arial" w:cs="Arial"/>
        </w:rPr>
      </w:pPr>
    </w:p>
    <w:p w14:paraId="5F385D9B" w14:textId="77777777" w:rsidR="00CE4696" w:rsidRDefault="003F4079">
      <w:pPr>
        <w:pStyle w:val="Copyright"/>
        <w:spacing w:after="0" w:line="240" w:lineRule="auto"/>
        <w:jc w:val="both"/>
        <w:rPr>
          <w:rFonts w:ascii="Arial" w:hAnsi="Arial" w:cs="Arial"/>
        </w:rPr>
        <w:sectPr w:rsidR="00CE4696" w:rsidSect="003E4D1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0136BD7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E7512E">
        <w:rPr>
          <w:rFonts w:ascii="Arial" w:hAnsi="Arial" w:cs="Arial"/>
        </w:rPr>
        <w:t>.</w:t>
      </w:r>
    </w:p>
    <w:p w14:paraId="106BFF3E" w14:textId="77777777" w:rsidR="00CE4696" w:rsidRDefault="00E7512E">
      <w:pPr>
        <w:pStyle w:val="AbstHead"/>
        <w:spacing w:after="0"/>
        <w:jc w:val="both"/>
        <w:rPr>
          <w:rFonts w:ascii="Arial" w:hAnsi="Arial" w:cs="Arial"/>
        </w:rPr>
      </w:pPr>
      <w:r>
        <w:rPr>
          <w:rFonts w:ascii="Arial" w:hAnsi="Arial" w:cs="Arial"/>
        </w:rPr>
        <w:t>ABSTRACT</w:t>
      </w:r>
    </w:p>
    <w:p w14:paraId="1A2BB1A3" w14:textId="77777777" w:rsidR="00CE4696" w:rsidRDefault="00CE469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E4696" w14:paraId="7C14A118" w14:textId="77777777">
        <w:tc>
          <w:tcPr>
            <w:tcW w:w="9576" w:type="dxa"/>
            <w:shd w:val="clear" w:color="auto" w:fill="F2F2F2"/>
          </w:tcPr>
          <w:p w14:paraId="194A71F7" w14:textId="77777777" w:rsidR="00CE4696" w:rsidRDefault="00E7512E">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hint="eastAsia"/>
                <w:szCs w:val="22"/>
              </w:rPr>
              <w:t>This study aims to examine how high-intensity, digitally managed vocational internships can integrate technical skill development with moral education. Specifically, it evaluates whether the Two-Way Empowerment model</w:t>
            </w:r>
            <w:r>
              <w:rPr>
                <w:rFonts w:ascii="Arial" w:eastAsia="SimSun" w:hAnsi="Arial" w:cs="Arial" w:hint="eastAsia"/>
                <w:szCs w:val="22"/>
                <w:lang w:eastAsia="zh-CN"/>
              </w:rPr>
              <w:t xml:space="preserve">, </w:t>
            </w:r>
            <w:r>
              <w:rPr>
                <w:rFonts w:ascii="Arial" w:eastAsia="Calibri" w:hAnsi="Arial" w:cs="Arial" w:hint="eastAsia"/>
                <w:szCs w:val="22"/>
              </w:rPr>
              <w:t>combining culturally responsive dual-tutor mentoring and structured narrative reflection (STAR-P)</w:t>
            </w:r>
            <w:r>
              <w:rPr>
                <w:rFonts w:ascii="Arial" w:eastAsia="SimSun" w:hAnsi="Arial" w:cs="Arial" w:hint="eastAsia"/>
                <w:szCs w:val="22"/>
                <w:lang w:eastAsia="zh-CN"/>
              </w:rPr>
              <w:t xml:space="preserve">, </w:t>
            </w:r>
            <w:r>
              <w:rPr>
                <w:rFonts w:ascii="Arial" w:eastAsia="Calibri" w:hAnsi="Arial" w:cs="Arial" w:hint="eastAsia"/>
                <w:szCs w:val="22"/>
              </w:rPr>
              <w:t>can mediate value tensions between school-based educational aims and enterprise logic, and foster interns</w:t>
            </w:r>
            <w:r>
              <w:rPr>
                <w:rFonts w:ascii="Arial" w:eastAsia="SimSun" w:hAnsi="Arial" w:cs="Arial"/>
                <w:szCs w:val="22"/>
                <w:lang w:eastAsia="zh-CN"/>
              </w:rPr>
              <w:t>’</w:t>
            </w:r>
            <w:r>
              <w:rPr>
                <w:rFonts w:ascii="Arial" w:eastAsia="SimSun" w:hAnsi="Arial" w:cs="Arial" w:hint="eastAsia"/>
                <w:szCs w:val="22"/>
                <w:lang w:eastAsia="zh-CN"/>
              </w:rPr>
              <w:t xml:space="preserve"> </w:t>
            </w:r>
            <w:r>
              <w:rPr>
                <w:rFonts w:ascii="Arial" w:eastAsia="Calibri" w:hAnsi="Arial" w:cs="Arial" w:hint="eastAsia"/>
                <w:szCs w:val="22"/>
              </w:rPr>
              <w:t>professional agency.</w:t>
            </w:r>
          </w:p>
          <w:p w14:paraId="5802C99A" w14:textId="77777777" w:rsidR="00CE4696" w:rsidRDefault="00E7512E">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hint="eastAsia"/>
                <w:szCs w:val="22"/>
              </w:rPr>
              <w:t>Instrumental qualitative case study with a longitudinal, interpretivist orientation.</w:t>
            </w:r>
          </w:p>
          <w:p w14:paraId="7DFCED9C" w14:textId="4ACE7CCC" w:rsidR="00CE4696" w:rsidRDefault="00E7512E">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hint="eastAsia"/>
                <w:szCs w:val="22"/>
              </w:rPr>
              <w:t xml:space="preserve">Alibaba Employment Internship Base in partnership with a Chinese vocational institution, over a </w:t>
            </w:r>
            <w:r w:rsidR="00F01DD5">
              <w:rPr>
                <w:rFonts w:ascii="Arial" w:eastAsia="Calibri" w:hAnsi="Arial" w:cs="Arial"/>
                <w:szCs w:val="22"/>
              </w:rPr>
              <w:t>12-month</w:t>
            </w:r>
            <w:r>
              <w:rPr>
                <w:rFonts w:ascii="Arial" w:eastAsia="Calibri" w:hAnsi="Arial" w:cs="Arial" w:hint="eastAsia"/>
                <w:szCs w:val="22"/>
              </w:rPr>
              <w:t xml:space="preserve"> internship cycle (2025 cohort).</w:t>
            </w:r>
          </w:p>
          <w:p w14:paraId="6B34839D" w14:textId="77777777" w:rsidR="00CE4696" w:rsidRDefault="00E7512E">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hint="eastAsia"/>
                <w:szCs w:val="22"/>
              </w:rPr>
              <w:t xml:space="preserve">Thirty final-year interns from Business English and </w:t>
            </w:r>
            <w:r>
              <w:rPr>
                <w:rFonts w:ascii="Arial" w:eastAsia="SimSun" w:hAnsi="Arial" w:cs="Arial" w:hint="eastAsia"/>
                <w:szCs w:val="22"/>
                <w:lang w:eastAsia="zh-CN"/>
              </w:rPr>
              <w:t>CBEC</w:t>
            </w:r>
            <w:r>
              <w:rPr>
                <w:rFonts w:ascii="Arial" w:eastAsia="Calibri" w:hAnsi="Arial" w:cs="Arial" w:hint="eastAsia"/>
                <w:szCs w:val="22"/>
              </w:rPr>
              <w:t xml:space="preserve"> programs participated. Data were collected through weekly STAR-P reflective logs, three-wave semi-structured interviews, and non-participant observations at the internship site. Analysis integrated narrative inquiry and thematic analysis, with triangulation across data sources to trace shifts in meaning-making, action</w:t>
            </w:r>
            <w:r>
              <w:rPr>
                <w:rFonts w:ascii="Arial" w:eastAsia="SimSun" w:hAnsi="Arial" w:cs="Arial" w:hint="eastAsia"/>
                <w:szCs w:val="22"/>
                <w:lang w:eastAsia="zh-CN"/>
              </w:rPr>
              <w:t>-</w:t>
            </w:r>
            <w:r>
              <w:rPr>
                <w:rFonts w:ascii="Arial" w:eastAsia="Calibri" w:hAnsi="Arial" w:cs="Arial" w:hint="eastAsia"/>
                <w:szCs w:val="22"/>
              </w:rPr>
              <w:t>value integration, and expressions of professional agency over time.</w:t>
            </w:r>
          </w:p>
          <w:p w14:paraId="58AA074F" w14:textId="77777777" w:rsidR="00CE4696" w:rsidRDefault="00E7512E">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hint="eastAsia"/>
                <w:szCs w:val="22"/>
              </w:rPr>
              <w:t>Interns initially reported pronounced alienation and moral</w:t>
            </w:r>
            <w:r>
              <w:rPr>
                <w:rFonts w:ascii="Arial" w:eastAsia="Calibri" w:hAnsi="Arial" w:cs="Arial" w:hint="eastAsia"/>
                <w:szCs w:val="22"/>
              </w:rPr>
              <w:t>–</w:t>
            </w:r>
            <w:r>
              <w:rPr>
                <w:rFonts w:ascii="Arial" w:eastAsia="Calibri" w:hAnsi="Arial" w:cs="Arial" w:hint="eastAsia"/>
                <w:szCs w:val="22"/>
              </w:rPr>
              <w:t>technical conflict under algorithmic monitoring, throughput targets, and strict error-control practices. Following implementation of the Dual-Tutor System and STAR-P reflection, participants increasingly reframed critical incidents through mentor-supported interpretation and produced more coherent links between technical actions and ethical, societal, and policy-relevant considerations.</w:t>
            </w:r>
          </w:p>
          <w:p w14:paraId="0DE7437C" w14:textId="77777777" w:rsidR="00CE4696" w:rsidRDefault="00E7512E">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hint="eastAsia"/>
                <w:szCs w:val="22"/>
              </w:rPr>
              <w:t>The findings indicate that culturally responsive dual-mentor mediation combined with STAR-P narrative scaffolding can help convert digitally structured internship pressures into structured opportunities for technical learning and moral-professional formation. The Two-Way Empowerment model offers a practicable approach for embedding moral education within vocational training processes.</w:t>
            </w:r>
          </w:p>
        </w:tc>
      </w:tr>
    </w:tbl>
    <w:p w14:paraId="3E7506A3" w14:textId="77777777" w:rsidR="00CE4696" w:rsidRDefault="00CE4696">
      <w:pPr>
        <w:pStyle w:val="Body"/>
        <w:spacing w:after="0"/>
        <w:rPr>
          <w:rFonts w:ascii="Arial" w:hAnsi="Arial" w:cs="Arial"/>
          <w:i/>
        </w:rPr>
      </w:pPr>
    </w:p>
    <w:p w14:paraId="2A8C6ADE" w14:textId="77777777" w:rsidR="00CE4696" w:rsidRDefault="00E7512E">
      <w:pPr>
        <w:pStyle w:val="Body"/>
        <w:spacing w:after="0"/>
        <w:rPr>
          <w:rFonts w:ascii="Arial" w:hAnsi="Arial" w:cs="Arial"/>
          <w:i/>
        </w:rPr>
      </w:pPr>
      <w:r>
        <w:rPr>
          <w:rFonts w:ascii="Arial" w:hAnsi="Arial" w:cs="Arial"/>
          <w:i/>
        </w:rPr>
        <w:t xml:space="preserve">Keywords: </w:t>
      </w:r>
      <w:r>
        <w:rPr>
          <w:rFonts w:ascii="Arial" w:hAnsi="Arial" w:cs="Arial" w:hint="eastAsia"/>
          <w:i/>
        </w:rPr>
        <w:t>Vocational education, internship, culturally responsive teaching, professional agency, narrative reflection</w:t>
      </w:r>
    </w:p>
    <w:p w14:paraId="67EC7D58" w14:textId="77777777" w:rsidR="00CE4696" w:rsidRDefault="00CE4696">
      <w:pPr>
        <w:pStyle w:val="Body"/>
        <w:spacing w:after="0"/>
        <w:rPr>
          <w:rFonts w:ascii="Arial" w:hAnsi="Arial" w:cs="Arial"/>
          <w:i/>
        </w:rPr>
      </w:pPr>
    </w:p>
    <w:p w14:paraId="769189BC" w14:textId="77777777" w:rsidR="00CE4696" w:rsidRDefault="00E7512E">
      <w:pPr>
        <w:pStyle w:val="AbstHead"/>
        <w:spacing w:after="0"/>
        <w:jc w:val="both"/>
        <w:rPr>
          <w:rFonts w:ascii="Arial" w:eastAsia="SimSun" w:hAnsi="Arial" w:cs="Arial"/>
          <w:lang w:eastAsia="zh-CN"/>
        </w:rPr>
      </w:pPr>
      <w:r>
        <w:rPr>
          <w:rFonts w:ascii="Arial" w:hAnsi="Arial" w:cs="Arial"/>
        </w:rPr>
        <w:t>1. INTRODUCTIO</w:t>
      </w:r>
      <w:r>
        <w:rPr>
          <w:rFonts w:ascii="Arial" w:eastAsia="SimSun" w:hAnsi="Arial" w:cs="Arial" w:hint="eastAsia"/>
          <w:lang w:eastAsia="zh-CN"/>
        </w:rPr>
        <w:t>N</w:t>
      </w:r>
    </w:p>
    <w:p w14:paraId="485DD94C" w14:textId="77777777" w:rsidR="00CE4696" w:rsidRDefault="00CE4696">
      <w:pPr>
        <w:pStyle w:val="AbstHead"/>
        <w:spacing w:after="0"/>
        <w:jc w:val="both"/>
        <w:rPr>
          <w:rFonts w:ascii="Arial" w:hAnsi="Arial" w:cs="Arial"/>
        </w:rPr>
      </w:pPr>
    </w:p>
    <w:p w14:paraId="536616F1" w14:textId="77777777" w:rsidR="00CE4696" w:rsidRDefault="00E7512E">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Over the past decade, China’s vocational education system has undergone a strategic shift from an expansion-oriented model to one that explicitly prioritizes quality and holistic development. The revised Vocational Education Law of the People’s Republic of China and related policy documents reposition vocational education as an equally important type of education and mandate the integrated cultivation of “moral character” and “technical skill” rather than narrow skill training alone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&lt;EndNote&gt;&lt;Cite&gt;&lt;Author&gt;Chen&lt;/Author&gt;&lt;Year&gt;2024&lt;/Year&gt;&lt;RecNum&gt;1426&lt;/RecNum&gt;&lt;DisplayText&gt;(Chen et al., 2024)&lt;/DisplayText&gt;&lt;record&gt;&lt;rec-number&gt;1426&lt;/rec-number&gt;&lt;foreign-keys&gt;&lt;key app="EN" db-id="axateaap22str3eaaa1xar2n95zaewv2sx5a" timestamp="1765617838"&gt;1426&lt;/key&gt;&lt;/foreign-keys&gt;&lt;ref-type name="Journal Article"&gt;17&lt;/ref-type&gt;&lt;contributors&gt;&lt;authors&gt;&lt;author&gt;Chen, Peng&lt;/author&gt;&lt;author&gt;Schmidtke, Carsten&lt;/author&gt;&lt;author&gt;Jin, Xinglin&lt;/author&gt;&lt;/authors&gt;&lt;/contributors&gt;&lt;titles&gt;&lt;title&gt;Chinese technical and vocational education and training, skill formation, and national development: A systematic review of educational policies&lt;/title&gt;&lt;secondary-title&gt;Vocation, Technology &amp;amp; Education&lt;/secondary-title&gt;&lt;/titles&gt;&lt;periodical&gt;&lt;full-title&gt;Vocation, Technology &amp;amp; Education&lt;/full-title&gt;&lt;/periodical&gt;&lt;volume&gt;1&lt;/volume&gt;&lt;number&gt;3&lt;/number&gt;&lt;dates&gt;&lt;year&gt;2024&lt;/year&gt;&lt;/dates&gt;&lt;isbn&gt;3005-2157&lt;/isbn&gt;&lt;urls&gt;&lt;/urls&gt;&lt;electronic-resource-num&gt;10.54844/vte.2024.0677&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(Chen et al., 2024)</w:t>
      </w:r>
      <w:r>
        <w:rPr>
          <w:rFonts w:ascii="Arial" w:eastAsia="Calibri" w:hAnsi="Arial" w:cs="Arial"/>
          <w:szCs w:val="22"/>
          <w:lang w:eastAsia="zh-CN"/>
        </w:rPr>
        <w:fldChar w:fldCharType="end"/>
      </w:r>
      <w:r>
        <w:rPr>
          <w:rFonts w:ascii="Arial" w:eastAsia="Calibri" w:hAnsi="Arial" w:cs="Arial"/>
          <w:szCs w:val="22"/>
          <w:lang w:eastAsia="zh-CN"/>
        </w:rPr>
        <w:t xml:space="preserve">. In this policy framework, vocational institutions are expected to produce graduates who are not only technically competent, but also capable of ethical judgment, social responsibility, and resilient engagement with </w:t>
      </w:r>
      <w:r>
        <w:rPr>
          <w:rFonts w:ascii="Arial" w:eastAsia="Calibri" w:hAnsi="Arial" w:cs="Arial"/>
          <w:szCs w:val="22"/>
          <w:lang w:eastAsia="zh-CN"/>
        </w:rPr>
        <w:lastRenderedPageBreak/>
        <w:t xml:space="preserve">rapidly changing labor markets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&lt;EndNote&gt;&lt;Cite&gt;&lt;Author&gt;Ye&lt;/Author&gt;&lt;Year&gt;2025&lt;/Year&gt;&lt;RecNum&gt;1431&lt;/RecNum&gt;&lt;DisplayText&gt;(Ye &amp;amp; Kuang, 2025)&lt;/DisplayText&gt;&lt;record&gt;&lt;rec-number&gt;1431&lt;/rec-number&gt;&lt;foreign-keys&gt;&lt;key app="EN" db-id="axateaap22str3eaaa1xar2n95zaewv2sx5a" timestamp="1765618838"&gt;1431&lt;/key&gt;&lt;/foreign-keys&gt;&lt;ref-type name="Journal Article"&gt;17&lt;/ref-type&gt;&lt;contributors&gt;&lt;authors&gt;&lt;author&gt;Ye, Jinyi&lt;/author&gt;&lt;author&gt;Kuang, Kai&lt;/author&gt;&lt;/authors&gt;&lt;/contributors&gt;&lt;titles&gt;&lt;title&gt;Explicating the mechanisms between overwork-related media exposure and workplace resilience: a study of tech employees in China&lt;/title&gt;&lt;secondary-title&gt;Journal of Applied Communication Research&lt;/secondary-title&gt;&lt;/titles&gt;&lt;periodical&gt;&lt;full-title&gt;Journal of Applied Communication Research&lt;/full-title&gt;&lt;/periodical&gt;&lt;pages&gt;1-22&lt;/pages&gt;&lt;volume&gt;53&lt;/volume&gt;&lt;number&gt;1&lt;/number&gt;&lt;dates&gt;&lt;year&gt;2025&lt;/year&gt;&lt;/dates&gt;&lt;isbn&gt;0090-9882&lt;/isbn&gt;&lt;urls&gt;&lt;/urls&gt;&lt;electronic-resource-num&gt;10.1080/00909882.2024.2445130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(Ye &amp; Kuang, 2025)</w:t>
      </w:r>
      <w:r>
        <w:rPr>
          <w:rFonts w:ascii="Arial" w:eastAsia="Calibri" w:hAnsi="Arial" w:cs="Arial"/>
          <w:szCs w:val="22"/>
          <w:lang w:eastAsia="zh-CN"/>
        </w:rPr>
        <w:fldChar w:fldCharType="end"/>
      </w:r>
      <w:r>
        <w:rPr>
          <w:rFonts w:ascii="Arial" w:eastAsia="Calibri" w:hAnsi="Arial" w:cs="Arial"/>
          <w:szCs w:val="22"/>
          <w:lang w:eastAsia="zh-CN"/>
        </w:rPr>
        <w:t>.</w:t>
      </w:r>
    </w:p>
    <w:p w14:paraId="0E8B0FB1" w14:textId="58D32576" w:rsidR="00CE4696" w:rsidRDefault="00E7512E">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However, translating this policy mandate into practice has proven particularly difficult in the context of internships, which are intended to function as the bridge between school-based learning and workplace participation. Comparative research on vocational education and training systems consistently highlights a structural disconnect between what is taught in school and what is required at work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&lt;EndNote&gt;&lt;Cite&gt;&lt;Author&gt;Pilz&lt;/Author&gt;&lt;Year&gt;2017&lt;/Year&gt;&lt;RecNum&gt;1414&lt;/RecNum&gt;&lt;DisplayText&gt;(Pilz, 2017)&lt;/DisplayText&gt;&lt;record&gt;&lt;rec-number&gt;1414&lt;/rec-number&gt;&lt;foreign-keys&gt;&lt;key app="EN" db-id="axateaap22str3eaaa1xar2n95zaewv2sx5a" timestamp="1765616429"&gt;1414&lt;/key&gt;&lt;/foreign-keys&gt;&lt;ref-type name="Journal Article"&gt;17&lt;/ref-type&gt;&lt;contributors&gt;&lt;authors&gt;&lt;author&gt;Pilz, Matthias&lt;/author&gt;&lt;/authors&gt;&lt;/contributors&gt;&lt;titles&gt;&lt;title&gt;Vocational education and training in times of economic crisis&lt;/title&gt;&lt;secondary-title&gt;Lessons from Around the World&lt;/secondary-title&gt;&lt;/titles&gt;&lt;periodical&gt;&lt;full-title&gt;Lessons from Around the World&lt;/full-title&gt;&lt;/periodical&gt;&lt;pages&gt;473-487&lt;/pages&gt;&lt;volume&gt;24&lt;/volume&gt;&lt;dates&gt;&lt;year&gt;2017&lt;/year&gt;&lt;/dates&gt;&lt;urls&gt;&lt;/urls&gt;&lt;electronic-resource-num&gt;10.1007/978-3-319-47856-2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(Pilz, 2017)</w:t>
      </w:r>
      <w:r>
        <w:rPr>
          <w:rFonts w:ascii="Arial" w:eastAsia="Calibri" w:hAnsi="Arial" w:cs="Arial"/>
          <w:szCs w:val="22"/>
          <w:lang w:eastAsia="zh-CN"/>
        </w:rPr>
        <w:fldChar w:fldCharType="end"/>
      </w:r>
      <w:r>
        <w:rPr>
          <w:rFonts w:ascii="Arial" w:eastAsia="Calibri" w:hAnsi="Arial" w:cs="Arial"/>
          <w:szCs w:val="22"/>
          <w:lang w:eastAsia="zh-CN"/>
        </w:rPr>
        <w:t>. In the Chinese context, ideological and political education and moral education are often delivered through stand-alone, lecture-based courses that are temporally and spatially separated from technical training and production practice</w:t>
      </w:r>
      <w:r w:rsidR="00F01DD5">
        <w:rPr>
          <w:rFonts w:ascii="Arial" w:eastAsiaTheme="minorEastAsia" w:hAnsi="Arial" w:cs="Arial" w:hint="eastAsia"/>
          <w:szCs w:val="22"/>
          <w:lang w:eastAsia="zh-CN"/>
        </w:rPr>
        <w:t xml:space="preserve"> </w:t>
      </w:r>
      <w:r w:rsidR="00F01DD5">
        <w:rPr>
          <w:rFonts w:ascii="Arial" w:eastAsiaTheme="minorEastAsia" w:hAnsi="Arial" w:cs="Arial"/>
          <w:szCs w:val="22"/>
          <w:lang w:eastAsia="zh-CN"/>
        </w:rPr>
        <w:fldChar w:fldCharType="begin"/>
      </w:r>
      <w:r w:rsidR="00F01DD5">
        <w:rPr>
          <w:rFonts w:ascii="Arial" w:eastAsiaTheme="minorEastAsia" w:hAnsi="Arial" w:cs="Arial"/>
          <w:szCs w:val="22"/>
          <w:lang w:eastAsia="zh-CN"/>
        </w:rPr>
        <w:instrText xml:space="preserve"> ADDIN EN.CITE &lt;EndNote&gt;&lt;Cite&gt;&lt;Author&gt;Huo&lt;/Author&gt;&lt;Year&gt;2025&lt;/Year&gt;&lt;RecNum&gt;1410&lt;/RecNum&gt;&lt;DisplayText&gt;(Huo et al., 2025)&lt;/DisplayText&gt;&lt;record&gt;&lt;rec-number&gt;1410&lt;/rec-number&gt;&lt;foreign-keys&gt;&lt;key app="EN" db-id="axateaap22str3eaaa1xar2n95zaewv2sx5a" timestamp="1765508741"&gt;1410&lt;/key&gt;&lt;/foreign-keys&gt;&lt;ref-type name="Journal Article"&gt;17&lt;/ref-type&gt;&lt;contributors&gt;&lt;authors&gt;&lt;author&gt;Huo, Yan&lt;/author&gt;&lt;author&gt;Xie, Jin&lt;/author&gt;&lt;author&gt;Shi, Jun&lt;/author&gt;&lt;/authors&gt;&lt;/contributors&gt;&lt;titles&gt;&lt;title&gt;What Chinese moral educators can possibly learn from western character education: A Neo-Aristotelian case&lt;/title&gt;&lt;secondary-title&gt;Journal of Moral Education&lt;/secondary-title&gt;&lt;/titles&gt;&lt;periodical&gt;&lt;full-title&gt;Journal of Moral Education&lt;/full-title&gt;&lt;/periodical&gt;&lt;pages&gt;1-21&lt;/pages&gt;&lt;dates&gt;&lt;year&gt;2025&lt;/year&gt;&lt;/dates&gt;&lt;isbn&gt;0305-7240&lt;/isbn&gt;&lt;urls&gt;&lt;/urls&gt;&lt;electronic-resource-num&gt;10.1080/03057240.2025.2499619&lt;/electronic-resource-num&gt;&lt;/record&gt;&lt;/Cite&gt;&lt;/EndNote&gt;</w:instrText>
      </w:r>
      <w:r w:rsidR="00F01DD5">
        <w:rPr>
          <w:rFonts w:ascii="Arial" w:eastAsiaTheme="minorEastAsia" w:hAnsi="Arial" w:cs="Arial"/>
          <w:szCs w:val="22"/>
          <w:lang w:eastAsia="zh-CN"/>
        </w:rPr>
        <w:fldChar w:fldCharType="separate"/>
      </w:r>
      <w:r w:rsidR="00F01DD5">
        <w:rPr>
          <w:rFonts w:ascii="Arial" w:eastAsiaTheme="minorEastAsia" w:hAnsi="Arial" w:cs="Arial"/>
          <w:noProof/>
          <w:szCs w:val="22"/>
          <w:lang w:eastAsia="zh-CN"/>
        </w:rPr>
        <w:t>(Huo et al., 2025)</w:t>
      </w:r>
      <w:r w:rsidR="00F01DD5">
        <w:rPr>
          <w:rFonts w:ascii="Arial" w:eastAsiaTheme="minorEastAsia" w:hAnsi="Arial" w:cs="Arial"/>
          <w:szCs w:val="22"/>
          <w:lang w:eastAsia="zh-CN"/>
        </w:rPr>
        <w:fldChar w:fldCharType="end"/>
      </w:r>
      <w:r>
        <w:rPr>
          <w:rFonts w:ascii="Arial" w:eastAsia="Calibri" w:hAnsi="Arial" w:cs="Arial"/>
          <w:szCs w:val="22"/>
          <w:lang w:eastAsia="zh-CN"/>
        </w:rPr>
        <w:t xml:space="preserve">. When students enter enterprises, they frequently confront what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AuthorYear="1"&gt;&lt;Author&gt;Lave&lt;/Author&gt;&lt;Year&gt;1991&lt;/Year&gt;&lt;RecNum&gt;1432&lt;/RecNum&gt;&lt;DisplayText&gt;Lave and Wenger (1991)&lt;/DisplayText&gt;&lt;record&gt;&lt;rec-number&gt;1432&lt;/rec-number&gt;&lt;foreign-keys&gt;&lt;key app="EN" db-id="axateaap22str3eaaa1xar2n95zaewv2sx5a" timestamp="1765618970"&gt;1432&lt;/key&gt;&lt;/foreign-keys&gt;&lt;ref-type name="Book"&gt;6&lt;/ref-type&gt;&lt;contributors&gt;&lt;authors&gt;&lt;author&gt;Lave, Jean&lt;/author&gt;&lt;author&gt;Wenger, Etienne&lt;/author&gt;&lt;/authors&gt;&lt;/contributors&gt;&lt;titles&gt;&lt;title&gt;Situated learning: Legitimate peripheral participation&lt;/title&gt;&lt;/titles&gt;&lt;dates&gt;&lt;year&gt;1991&lt;/year&gt;&lt;/dates&gt;&lt;publisher&gt;Cambridge university press&lt;/publisher&gt;&lt;isbn&gt;0521423740&lt;/isbn&gt;&lt;urls&gt;&lt;/urls&gt;&lt;/record&gt;&lt;/Cite&gt;&lt;/EndNote&gt;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Lave and Wenger (1991)</w:t>
      </w:r>
      <w:r>
        <w:rPr>
          <w:rFonts w:ascii="Arial" w:eastAsia="Calibri" w:hAnsi="Arial" w:cs="Arial"/>
          <w:szCs w:val="22"/>
          <w:lang w:eastAsia="zh-CN"/>
        </w:rPr>
        <w:fldChar w:fldCharType="end"/>
      </w:r>
      <w:r>
        <w:rPr>
          <w:rFonts w:ascii="Arial" w:eastAsia="Calibri" w:hAnsi="Arial" w:cs="Arial"/>
          <w:szCs w:val="22"/>
          <w:lang w:eastAsia="zh-CN"/>
        </w:rPr>
        <w:t xml:space="preserve"> describe as a “reality shock”: instead of a smooth transition into a community of practice, they encounter organizational logic that prioritizes efficiency, throughput, and error minimization. As a result, the values articulated in the classroom are experienced as abstract and fragile, easily overshadowed by the imperatives of the workplace.</w:t>
      </w:r>
    </w:p>
    <w:p w14:paraId="07E5C19C" w14:textId="77777777" w:rsidR="00CE4696" w:rsidRDefault="00E7512E">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This tension is intensified in the platform-based digital economy. Logistics hubs and e-commerce warehouses are exemplary sites of what Marx theorized as labor alienation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&lt;EndNote&gt;&lt;Cite&gt;&lt;Author&gt;Chervenak&lt;/Author&gt;&lt;Year&gt;2019&lt;/Year&gt;&lt;RecNum&gt;1430&lt;/RecNum&gt;&lt;DisplayText&gt;(Chervenak &amp;amp; McCullough, 2019)&lt;/DisplayText&gt;&lt;record&gt;&lt;rec-number&gt;1430&lt;/rec-number&gt;&lt;foreign-keys&gt;&lt;key app="EN" db-id="axateaap22str3eaaa1xar2n95zaewv2sx5a" timestamp="1765618679"&gt;1430&lt;/key&gt;&lt;/foreign-keys&gt;&lt;ref-type name="Journal Article"&gt;17&lt;/ref-type&gt;&lt;contributors&gt;&lt;authors&gt;&lt;author&gt;Chervenak, Frank A&lt;/author&gt;&lt;author&gt;McCullough, Laurence B&lt;/author&gt;&lt;/authors&gt;&lt;/contributors&gt;&lt;titles&gt;&lt;title&gt;Academic physicians as factory workers: identifying and preventing alienation of labor&lt;/title&gt;&lt;secondary-title&gt;American journal of obstetrics and gynecology&lt;/secondary-title&gt;&lt;/titles&gt;&lt;periodical&gt;&lt;full-title&gt;American journal of obstetrics and gynecology&lt;/full-title&gt;&lt;/periodical&gt;&lt;pages&gt;558-561&lt;/pages&gt;&lt;volume&gt;220&lt;/volume&gt;&lt;number&gt;6&lt;/number&gt;&lt;dates&gt;&lt;year&gt;2019&lt;/year&gt;&lt;/dates&gt;&lt;isbn&gt;0002-9378&lt;/isbn&gt;&lt;urls&gt;&lt;/urls&gt;&lt;electronic-resource-num&gt;10.1016/j.ajog.2019.01.001&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(Chervenak &amp; McCullough, 2019)</w:t>
      </w:r>
      <w:r>
        <w:rPr>
          <w:rFonts w:ascii="Arial" w:eastAsia="Calibri" w:hAnsi="Arial" w:cs="Arial"/>
          <w:szCs w:val="22"/>
          <w:lang w:eastAsia="zh-CN"/>
        </w:rPr>
        <w:fldChar w:fldCharType="end"/>
      </w:r>
      <w:r>
        <w:rPr>
          <w:rFonts w:ascii="Arial" w:eastAsia="Calibri" w:hAnsi="Arial" w:cs="Arial"/>
          <w:szCs w:val="22"/>
          <w:lang w:eastAsia="zh-CN"/>
        </w:rPr>
        <w:t xml:space="preserve">, now mediated through algorithmic management. Empirical studies describe contemporary logistics centers as “digital discipline” in which workers’ movements, speed, and errors are continuously tracked by opaque digital systems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&lt;EndNote&gt;&lt;Cite&gt;&lt;Author&gt;Woodcock&lt;/Author&gt;&lt;Year&gt;2020&lt;/Year&gt;&lt;RecNum&gt;1433&lt;/RecNum&gt;&lt;DisplayText&gt;(Woodcock &amp;amp; Graham, 2020)&lt;/DisplayText&gt;&lt;record&gt;&lt;rec-number&gt;1433&lt;/rec-number&gt;&lt;foreign-keys&gt;&lt;key app="EN" db-id="axateaap22str3eaaa1xar2n95zaewv2sx5a" timestamp="1765619436"&gt;1433&lt;/key&gt;&lt;/foreign-keys&gt;&lt;ref-type name="Book"&gt;6&lt;/ref-type&gt;&lt;contributors&gt;&lt;authors&gt;&lt;author&gt;Woodcock, Jamie&lt;/author&gt;&lt;author&gt;Graham, Mark&lt;/author&gt;&lt;/authors&gt;&lt;/contributors&gt;&lt;titles&gt;&lt;title&gt;The gig economy&lt;/title&gt;&lt;/titles&gt;&lt;dates&gt;&lt;year&gt;2020&lt;/year&gt;&lt;/dates&gt;&lt;publisher&gt;Polity Cambridge&lt;/publisher&gt;&lt;isbn&gt;150953637X&lt;/isbn&gt;&lt;urls&gt;&lt;/urls&gt;&lt;/record&gt;&lt;/Cite&gt;&lt;/EndNote&gt;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(Woodcock &amp; Graham, 2020)</w:t>
      </w:r>
      <w:r>
        <w:rPr>
          <w:rFonts w:ascii="Arial" w:eastAsia="Calibri" w:hAnsi="Arial" w:cs="Arial"/>
          <w:szCs w:val="22"/>
          <w:lang w:eastAsia="zh-CN"/>
        </w:rPr>
        <w:fldChar w:fldCharType="end"/>
      </w:r>
      <w:r>
        <w:rPr>
          <w:rFonts w:ascii="Arial" w:eastAsia="Calibri" w:hAnsi="Arial" w:cs="Arial"/>
          <w:szCs w:val="22"/>
          <w:lang w:eastAsia="zh-CN"/>
        </w:rPr>
        <w:t xml:space="preserve">. Research on youth and student labor in China indicates that interns in such environments are often positioned as cheap, flexible labor rather than learners, which leads to feelings of commodification, powerlessness, and meaninglessness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&lt;EndNote&gt;&lt;Cite&gt;&lt;Author&gt;Pun&lt;/Author&gt;&lt;Year&gt;2024&lt;/Year&gt;&lt;RecNum&gt;1412&lt;/RecNum&gt;&lt;DisplayText&gt;(Pun et al., 2024)&lt;/DisplayText&gt;&lt;record&gt;&lt;rec-number&gt;1412&lt;/rec-number&gt;&lt;foreign-keys&gt;&lt;key app="EN" db-id="axateaap22str3eaaa1xar2n95zaewv2sx5a" timestamp="1765616197"&gt;1412&lt;/key&gt;&lt;/foreign-keys&gt;&lt;ref-type name="Journal Article"&gt;17&lt;/ref-type&gt;&lt;contributors&gt;&lt;authors&gt;&lt;author&gt;Pun, Ngai&lt;/author&gt;&lt;author&gt;Chen, Peier&lt;/author&gt;&lt;author&gt;Jin, Shuheng&lt;/author&gt;&lt;/authors&gt;&lt;/contributors&gt;&lt;titles&gt;&lt;title&gt;Reconceptualising youth poverty through the lens of precarious employment during the pandemic: the case of creative industry&lt;/title&gt;&lt;secondary-title&gt;Social Policy and Society&lt;/secondary-title&gt;&lt;/titles&gt;&lt;periodical&gt;&lt;full-title&gt;Social Policy and Society&lt;/full-title&gt;&lt;/periodical&gt;&lt;pages&gt;87-102&lt;/pages&gt;&lt;volume&gt;23&lt;/volume&gt;&lt;number&gt;1&lt;/number&gt;&lt;dates&gt;&lt;year&gt;2024&lt;/year&gt;&lt;/dates&gt;&lt;isbn&gt;1474-7464&lt;/isbn&gt;&lt;urls&gt;&lt;/urls&gt;&lt;electronic-resource-num&gt;10.1017/S1474746421000932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(Pun et al., 2024)</w:t>
      </w:r>
      <w:r>
        <w:rPr>
          <w:rFonts w:ascii="Arial" w:eastAsia="Calibri" w:hAnsi="Arial" w:cs="Arial"/>
          <w:szCs w:val="22"/>
          <w:lang w:eastAsia="zh-CN"/>
        </w:rPr>
        <w:fldChar w:fldCharType="end"/>
      </w:r>
      <w:r>
        <w:rPr>
          <w:rFonts w:ascii="Arial" w:eastAsia="Calibri" w:hAnsi="Arial" w:cs="Arial"/>
          <w:szCs w:val="22"/>
          <w:lang w:eastAsia="zh-CN"/>
        </w:rPr>
        <w:t xml:space="preserve">. These experiences stand in stark contrast to policy calls for cultivating a “spirit of craftsmanship” and a “labor spirit,” and they risk turning the internship into a site where alienation is reproduced rather than overcome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&lt;EndNote&gt;&lt;Cite&gt;&lt;Author&gt;Jordan&lt;/Author&gt;&lt;Year&gt;2025&lt;/Year&gt;&lt;RecNum&gt;1351&lt;/RecNum&gt;&lt;DisplayText&gt;(Jordan &amp;amp; Matzke, 2025; Lankford, 2024)&lt;/DisplayText&gt;&lt;record&gt;&lt;rec-number&gt;1351&lt;/rec-number&gt;&lt;foreign-keys&gt;&lt;key app="EN" db-id="axateaap22str3eaaa1xar2n95zaewv2sx5a" timestamp="1763477259"&gt;1351&lt;/key&gt;&lt;/foreign-keys&gt;&lt;ref-type name="Journal Article"&gt;17&lt;/ref-type&gt;&lt;contributors&gt;&lt;authors&gt;&lt;author&gt;Jordan, Marty P&lt;/author&gt;&lt;author&gt;Matzke, Charles S&lt;/author&gt;&lt;/authors&gt;&lt;/contributors&gt;&lt;titles&gt;&lt;title&gt;A Roadmap for Establishing a Successful Internship Program in State Capitals and Beyond&lt;/title&gt;&lt;secondary-title&gt;Journal of Political Science Education&lt;/secondary-title&gt;&lt;/titles&gt;&lt;periodical&gt;&lt;full-title&gt;Journal of Political Science Education&lt;/full-title&gt;&lt;/periodical&gt;&lt;pages&gt;84-104&lt;/pages&gt;&lt;volume&gt;21&lt;/volume&gt;&lt;number&gt;1&lt;/number&gt;&lt;dates&gt;&lt;year&gt;2025&lt;/year&gt;&lt;/dates&gt;&lt;isbn&gt;1551-2169&lt;/isbn&gt;&lt;urls&gt;&lt;/urls&gt;&lt;/record&gt;&lt;/Cite&gt;&lt;Cite&gt;&lt;Author&gt;Lankford&lt;/Author&gt;&lt;Year&gt;2024&lt;/Year&gt;&lt;RecNum&gt;1350&lt;/RecNum&gt;&lt;record&gt;&lt;rec-number&gt;1350&lt;/rec-number&gt;&lt;foreign-keys&gt;&lt;key app="EN" db-id="axateaap22str3eaaa1xar2n95zaewv2sx5a" timestamp="1763477242"&gt;1350&lt;/key&gt;&lt;/foreign-keys&gt;&lt;ref-type name="Journal Article"&gt;17&lt;/ref-type&gt;&lt;contributors&gt;&lt;authors&gt;&lt;author&gt;Lankford, Madaline&lt;/author&gt;&lt;/authors&gt;&lt;/contributors&gt;&lt;titles&gt;&lt;title&gt;The Role Internships Play in Political Science Education&lt;/title&gt;&lt;/titles&gt;&lt;dates&gt;&lt;year&gt;2024&lt;/year&gt;&lt;/dates&gt;&lt;urls&gt;&lt;/urls&gt;&lt;/record&gt;&lt;/Cite&gt;&lt;/EndNote&gt;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(Jordan &amp; Matzke, 2025; Lankford, 2024)</w:t>
      </w:r>
      <w:r>
        <w:rPr>
          <w:rFonts w:ascii="Arial" w:eastAsia="Calibri" w:hAnsi="Arial" w:cs="Arial"/>
          <w:szCs w:val="22"/>
          <w:lang w:eastAsia="zh-CN"/>
        </w:rPr>
        <w:fldChar w:fldCharType="end"/>
      </w:r>
      <w:r>
        <w:rPr>
          <w:rFonts w:ascii="Arial" w:eastAsia="Calibri" w:hAnsi="Arial" w:cs="Arial"/>
          <w:szCs w:val="22"/>
          <w:lang w:eastAsia="zh-CN"/>
        </w:rPr>
        <w:t>.</w:t>
      </w:r>
    </w:p>
    <w:p w14:paraId="14413C04" w14:textId="04A57261" w:rsidR="00CE4696" w:rsidRDefault="00E7512E">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At the same time, the internship remains a theoretical “black box” in much of the literature. Evaluations tend to rely on quantitative indicators such as completion rates, employment outcomes, or supervisor ratings, which say little about how students interpret their experiences or internalize professional values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&lt;EndNote&gt;&lt;Cite&gt;&lt;Author&gt;Yan&lt;/Author&gt;&lt;Year&gt;2025&lt;/Year&gt;&lt;RecNum&gt;1395&lt;/RecNum&gt;&lt;DisplayText&gt;(Yan, 2025)&lt;/DisplayText&gt;&lt;record&gt;&lt;rec-number&gt;1395&lt;/rec-number&gt;&lt;foreign-keys&gt;&lt;key app="EN" db-id="axateaap22str3eaaa1xar2n95zaewv2sx5a" timestamp="1765507402"&gt;1395&lt;/key&gt;&lt;/foreign-keys&gt;&lt;ref-type name="Journal Article"&gt;17&lt;/ref-type&gt;&lt;contributors&gt;&lt;authors&gt;&lt;author&gt;Yan, Cailing&lt;/author&gt;&lt;/authors&gt;&lt;/contributors&gt;&lt;titles&gt;&lt;title&gt;How do vocational students evaluate vocational education internships–an evaluation scale development in China&lt;/title&gt;&lt;secondary-title&gt;Education+ Training&lt;/secondary-title&gt;&lt;/titles&gt;&lt;periodical&gt;&lt;full-title&gt;Education+ Training&lt;/full-title&gt;&lt;/periodical&gt;&lt;pages&gt;90-106&lt;/pages&gt;&lt;volume&gt;67&lt;/volume&gt;&lt;number&gt;1&lt;/number&gt;&lt;dates&gt;&lt;year&gt;2025&lt;/year&gt;&lt;/dates&gt;&lt;isbn&gt;0040-0912&lt;/isbn&gt;&lt;urls&gt;&lt;/urls&gt;&lt;electronic-resource-num&gt;10.1108/ET-08-2023-0320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(Yan, 2025)</w:t>
      </w:r>
      <w:r>
        <w:rPr>
          <w:rFonts w:ascii="Arial" w:eastAsia="Calibri" w:hAnsi="Arial" w:cs="Arial"/>
          <w:szCs w:val="22"/>
          <w:lang w:eastAsia="zh-CN"/>
        </w:rPr>
        <w:fldChar w:fldCharType="end"/>
      </w:r>
      <w:r>
        <w:rPr>
          <w:rFonts w:ascii="Arial" w:eastAsia="Calibri" w:hAnsi="Arial" w:cs="Arial"/>
          <w:szCs w:val="22"/>
          <w:lang w:eastAsia="zh-CN"/>
        </w:rPr>
        <w:t>. Two types of mediating tools are particularly underdeveloped. First, there is a lack of culturally responsive mechanisms that can translate between the “school context” and the “enterprise context.” Culturally responsive teaching (CRT), originally formulated to address ethnic and linguistic diversity</w:t>
      </w:r>
      <w:r w:rsidR="00F01DD5">
        <w:rPr>
          <w:rFonts w:ascii="Arial" w:eastAsiaTheme="minorEastAsia" w:hAnsi="Arial" w:cs="Arial" w:hint="eastAsia"/>
          <w:szCs w:val="22"/>
          <w:lang w:eastAsia="zh-CN"/>
        </w:rPr>
        <w:t xml:space="preserve"> </w:t>
      </w:r>
      <w:r w:rsidR="00F01DD5">
        <w:rPr>
          <w:rFonts w:ascii="Arial" w:eastAsiaTheme="minorEastAsia" w:hAnsi="Arial" w:cs="Arial"/>
          <w:szCs w:val="22"/>
          <w:lang w:eastAsia="zh-CN"/>
        </w:rPr>
        <w:fldChar w:fldCharType="begin"/>
      </w:r>
      <w:r w:rsidR="00F01DD5">
        <w:rPr>
          <w:rFonts w:ascii="Arial" w:eastAsiaTheme="minorEastAsia" w:hAnsi="Arial" w:cs="Arial"/>
          <w:szCs w:val="22"/>
          <w:lang w:eastAsia="zh-CN"/>
        </w:rPr>
        <w:instrText xml:space="preserve"> ADDIN EN.CITE &lt;EndNote&gt;&lt;Cite&gt;&lt;Author&gt;Ladson-Billings&lt;/Author&gt;&lt;Year&gt;1995&lt;/Year&gt;&lt;RecNum&gt;1416&lt;/RecNum&gt;&lt;DisplayText&gt;(Ladson-Billings, 1995; Liu et al., 2025b)&lt;/DisplayText&gt;&lt;record&gt;&lt;rec-number&gt;1416&lt;/rec-number&gt;&lt;foreign-keys&gt;&lt;key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Cite&gt;&lt;Author&gt;Liu&lt;/Author&gt;&lt;Year&gt;2025&lt;/Year&gt;&lt;RecNum&gt;1258&lt;/RecNum&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sidR="00F01DD5">
        <w:rPr>
          <w:rFonts w:ascii="Arial" w:eastAsiaTheme="minorEastAsia" w:hAnsi="Arial" w:cs="Arial"/>
          <w:szCs w:val="22"/>
          <w:lang w:eastAsia="zh-CN"/>
        </w:rPr>
        <w:fldChar w:fldCharType="separate"/>
      </w:r>
      <w:r w:rsidR="00F01DD5">
        <w:rPr>
          <w:rFonts w:ascii="Arial" w:eastAsiaTheme="minorEastAsia" w:hAnsi="Arial" w:cs="Arial"/>
          <w:noProof/>
          <w:szCs w:val="22"/>
          <w:lang w:eastAsia="zh-CN"/>
        </w:rPr>
        <w:t>(Ladson-Billings, 1995; Liu et al., 2025b)</w:t>
      </w:r>
      <w:r w:rsidR="00F01DD5">
        <w:rPr>
          <w:rFonts w:ascii="Arial" w:eastAsiaTheme="minorEastAsia" w:hAnsi="Arial" w:cs="Arial"/>
          <w:szCs w:val="22"/>
          <w:lang w:eastAsia="zh-CN"/>
        </w:rPr>
        <w:fldChar w:fldCharType="end"/>
      </w:r>
      <w:r>
        <w:rPr>
          <w:rFonts w:ascii="Arial" w:eastAsia="Calibri" w:hAnsi="Arial" w:cs="Arial"/>
          <w:szCs w:val="22"/>
          <w:lang w:eastAsia="zh-CN"/>
        </w:rPr>
        <w:t xml:space="preserve">, has more recently been extended to vocational education and organizational cultures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&lt;EndNote&gt;&lt;Cite&gt;&lt;Author&gt;Alhanachi&lt;/Author&gt;&lt;Year&gt;2021&lt;/Year&gt;&lt;RecNum&gt;1417&lt;/RecNum&gt;&lt;DisplayText&gt;(Alhanachi et al., 2021)&lt;/DisplayText&gt;&lt;record&gt;&lt;rec-number&gt;1417&lt;/rec-number&gt;&lt;foreign-keys&gt;&lt;key app="EN" db-id="axateaap22str3eaaa1xar2n95zaewv2sx5a" timestamp="1765616614"&gt;1417&lt;/key&gt;&lt;/foreign-keys&gt;&lt;ref-type name="Journal Article"&gt;17&lt;/ref-type&gt;&lt;contributors&gt;&lt;authors&gt;&lt;author&gt;Alhanachi, Sabrina&lt;/author&gt;&lt;author&gt;de Meijer, Lonneke AL&lt;/author&gt;&lt;author&gt;Severiens, Sabine E&lt;/author&gt;&lt;/authors&gt;&lt;/contributors&gt;&lt;titles&gt;&lt;title&gt;Improving culturally responsive teaching through professional learning communities: A qualitative study in Dutch pre-vocational schools&lt;/title&gt;&lt;secondary-title&gt;International Journal of Educational Research&lt;/secondary-title&gt;&lt;/titles&gt;&lt;periodical&gt;&lt;full-title&gt;International Journal of Educational Research&lt;/full-title&gt;&lt;/periodical&gt;&lt;pages&gt;101698&lt;/pages&gt;&lt;volume&gt;105&lt;/volume&gt;&lt;dates&gt;&lt;year&gt;2021&lt;/year&gt;&lt;/dates&gt;&lt;isbn&gt;0883-0355&lt;/isbn&gt;&lt;urls&gt;&lt;/urls&gt;&lt;electronic-resource-num&gt;10.1016/j.ijer.2020.101698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(Alhanachi et al., 2021)</w:t>
      </w:r>
      <w:r>
        <w:rPr>
          <w:rFonts w:ascii="Arial" w:eastAsia="Calibri" w:hAnsi="Arial" w:cs="Arial"/>
          <w:szCs w:val="22"/>
          <w:lang w:eastAsia="zh-CN"/>
        </w:rPr>
        <w:fldChar w:fldCharType="end"/>
      </w:r>
      <w:r>
        <w:rPr>
          <w:rFonts w:ascii="Arial" w:eastAsia="Calibri" w:hAnsi="Arial" w:cs="Arial"/>
          <w:szCs w:val="22"/>
          <w:lang w:eastAsia="zh-CN"/>
        </w:rPr>
        <w:t xml:space="preserve">. Yet it has rarely been applied to the specific problem of reconciling educational values with market-driven enterprise logic in Chinese internships. Second, there is a shortage of structured reflective tools that capture the moral dimension of professional learning. While the reflective practitioner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 xml:space="preserve"> and narrative inquiry approaches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(Pino Gavidia &amp; Adu, 2022)</w:t>
      </w:r>
      <w:r>
        <w:rPr>
          <w:rFonts w:ascii="Arial" w:eastAsia="Calibri" w:hAnsi="Arial" w:cs="Arial"/>
          <w:szCs w:val="22"/>
          <w:lang w:eastAsia="zh-CN"/>
        </w:rPr>
        <w:fldChar w:fldCharType="end"/>
      </w:r>
      <w:r>
        <w:rPr>
          <w:rFonts w:ascii="Arial" w:eastAsia="Calibri" w:hAnsi="Arial" w:cs="Arial"/>
          <w:szCs w:val="22"/>
          <w:lang w:eastAsia="zh-CN"/>
        </w:rPr>
        <w:t xml:space="preserve"> have shown that professionals construct identity through stories about practice, existing tools such as the STAR (Situation, Task, Action, Result) framework largely focus on behavioral competence and outcomes. They seldom require students to articulate the value-based or political-philosophical reasoning underlying their actions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&lt;EndNote&gt;&lt;Cite&gt;&lt;Author&gt;Olivares&lt;/Author&gt;&lt;Year&gt;2020&lt;/Year&gt;&lt;RecNum&gt;1429&lt;/RecNum&gt;&lt;DisplayText&gt;(Olivares et al., 2020)&lt;/DisplayText&gt;&lt;record&gt;&lt;rec-number&gt;1429&lt;/rec-number&gt;&lt;foreign-keys&gt;&lt;key app="EN" db-id="axateaap22str3eaaa1xar2n95zaewv2sx5a" timestamp="1765618231"&gt;1429&lt;/key&gt;&lt;/foreign-keys&gt;&lt;ref-type name="Journal Article"&gt;17&lt;/ref-type&gt;&lt;contributors&gt;&lt;authors&gt;&lt;author&gt;Olivares, Cinthya&lt;/author&gt;&lt;author&gt;Barrantes, Lena&lt;/author&gt;&lt;author&gt;Brenes Sánchez, Verónica&lt;/author&gt;&lt;/authors&gt;&lt;/contributors&gt;&lt;titles&gt;&lt;title&gt;The STAR framework: towards a more communicative EFL class&lt;/title&gt;&lt;/titles&gt;&lt;dates&gt;&lt;year&gt;2020&lt;/year&gt;&lt;/dates&gt;&lt;isbn&gt;1659-1933&lt;/isbn&gt;&lt;urls&gt;&lt;/urls&gt;&lt;/record&gt;&lt;/Cite&gt;&lt;/EndNote&gt;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(Olivares et al., 2020)</w:t>
      </w:r>
      <w:r>
        <w:rPr>
          <w:rFonts w:ascii="Arial" w:eastAsia="Calibri" w:hAnsi="Arial" w:cs="Arial"/>
          <w:szCs w:val="22"/>
          <w:lang w:eastAsia="zh-CN"/>
        </w:rPr>
        <w:fldChar w:fldCharType="end"/>
      </w:r>
      <w:r>
        <w:rPr>
          <w:rFonts w:ascii="Arial" w:eastAsia="Calibri" w:hAnsi="Arial" w:cs="Arial"/>
          <w:szCs w:val="22"/>
          <w:lang w:eastAsia="zh-CN"/>
        </w:rPr>
        <w:t>.</w:t>
      </w:r>
    </w:p>
    <w:p w14:paraId="25A81DBA" w14:textId="77777777" w:rsidR="00CE4696" w:rsidRDefault="00E7512E">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This study responds to these intertwined challenges by proposing and examining a “Two-Way Empowerment” model for high-intensity vocational internships. Conceptually, the model integrates two strands of theory that have rarely been combined in this context: culturally responsive mentorship and structured narrative reflection. On the one hand, a CRT-informed Dual-Tutor System positions school mentors and enterprise mentors as cultural mediators who jointly translate between educational and organizational value systems, rather than merely supervising technical performance. On the other hand, the STAR-P framework (Situation, Task, Action, Result, Philosophical reflection) extends the conventional STAR model by explicitly requiring students to connect their technical actions to broader ethical, ideological, or societal </w:t>
      </w:r>
      <w:r>
        <w:rPr>
          <w:rFonts w:ascii="Arial" w:eastAsia="Calibri" w:hAnsi="Arial" w:cs="Arial"/>
          <w:szCs w:val="22"/>
          <w:lang w:eastAsia="zh-CN"/>
        </w:rPr>
        <w:lastRenderedPageBreak/>
        <w:t>meanings. Together, these components are designed to convert experiences of alienation into opportunities for agency and to structurally couple moral reflection with technical practice in the flow of everyday work.</w:t>
      </w:r>
    </w:p>
    <w:p w14:paraId="3D892BDB" w14:textId="77777777" w:rsidR="00CE4696" w:rsidRDefault="00E7512E">
      <w:pPr>
        <w:widowControl w:val="0"/>
        <w:spacing w:line="360" w:lineRule="auto"/>
        <w:jc w:val="both"/>
        <w:rPr>
          <w:rFonts w:ascii="Arial" w:eastAsia="Calibri" w:hAnsi="Arial" w:cs="Arial"/>
          <w:szCs w:val="22"/>
        </w:rPr>
      </w:pPr>
      <w:r>
        <w:rPr>
          <w:rFonts w:ascii="Arial" w:eastAsia="Calibri" w:hAnsi="Arial" w:cs="Arial"/>
          <w:szCs w:val="22"/>
          <w:lang w:eastAsia="zh-CN"/>
        </w:rPr>
        <w:t xml:space="preserve">Empirically, the study adopts an instrumental case study design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(Owens et al., 2021)</w:t>
      </w:r>
      <w:r>
        <w:rPr>
          <w:rFonts w:ascii="Arial" w:eastAsia="Calibri" w:hAnsi="Arial" w:cs="Arial"/>
          <w:szCs w:val="22"/>
          <w:lang w:eastAsia="zh-CN"/>
        </w:rPr>
        <w:fldChar w:fldCharType="end"/>
      </w:r>
      <w:r>
        <w:rPr>
          <w:rFonts w:ascii="Arial" w:eastAsia="Calibri" w:hAnsi="Arial" w:cs="Arial"/>
          <w:szCs w:val="22"/>
          <w:lang w:eastAsia="zh-CN"/>
        </w:rPr>
        <w:t xml:space="preserve"> situated in the Alibaba Employment Internship Base of a Chinese vocational institution. The base is an archetypal example of a digitally managed, high-throughput logistics environment. Rather than treating this setting as an idiosyncratic case, the research uses it as a “critical case” to stress-test whether the Two-Way Empowerment model can support the development of professional identity under conditions where alienation is most likely to occur.</w:t>
      </w:r>
    </w:p>
    <w:p w14:paraId="52644EBE" w14:textId="77777777" w:rsidR="00CE4696" w:rsidRDefault="00E7512E">
      <w:pPr>
        <w:widowControl w:val="0"/>
        <w:spacing w:line="360" w:lineRule="auto"/>
        <w:jc w:val="both"/>
        <w:rPr>
          <w:rFonts w:ascii="Arial" w:eastAsia="Calibri" w:hAnsi="Arial" w:cs="Arial"/>
          <w:szCs w:val="22"/>
        </w:rPr>
      </w:pPr>
      <w:r>
        <w:rPr>
          <w:rFonts w:ascii="Arial" w:eastAsia="Calibri" w:hAnsi="Arial" w:cs="Arial"/>
          <w:szCs w:val="22"/>
          <w:lang w:eastAsia="zh-CN"/>
        </w:rPr>
        <w:t>The overarching purpose of the study is to illuminate the mechanisms through which culturally responsive mentorship and structured narrative reflection can mediate the school–enterprise divide and foster professional agency among vocational interns in the digital economy. To this end, the study addresses the following research questions:</w:t>
      </w:r>
    </w:p>
    <w:p w14:paraId="6D2DB539" w14:textId="77777777" w:rsidR="00CE4696" w:rsidRDefault="00E7512E">
      <w:pPr>
        <w:widowControl w:val="0"/>
        <w:numPr>
          <w:ilvl w:val="0"/>
          <w:numId w:val="2"/>
        </w:numPr>
        <w:spacing w:line="360" w:lineRule="auto"/>
        <w:jc w:val="both"/>
        <w:rPr>
          <w:rFonts w:ascii="Arial" w:eastAsia="Calibri" w:hAnsi="Arial" w:cs="Arial"/>
          <w:szCs w:val="22"/>
        </w:rPr>
      </w:pPr>
      <w:r>
        <w:rPr>
          <w:rFonts w:ascii="Arial" w:eastAsia="Calibri" w:hAnsi="Arial" w:cs="Arial"/>
          <w:szCs w:val="22"/>
          <w:lang w:eastAsia="zh-CN"/>
        </w:rPr>
        <w:t xml:space="preserve">How do vocational interns initially experience and interpret their work in </w:t>
      </w:r>
      <w:proofErr w:type="gramStart"/>
      <w:r>
        <w:rPr>
          <w:rFonts w:ascii="Arial" w:eastAsia="Calibri" w:hAnsi="Arial" w:cs="Arial"/>
          <w:szCs w:val="22"/>
          <w:lang w:eastAsia="zh-CN"/>
        </w:rPr>
        <w:t>an</w:t>
      </w:r>
      <w:proofErr w:type="gramEnd"/>
      <w:r>
        <w:rPr>
          <w:rFonts w:ascii="Arial" w:eastAsia="Calibri" w:hAnsi="Arial" w:cs="Arial"/>
          <w:szCs w:val="22"/>
          <w:lang w:eastAsia="zh-CN"/>
        </w:rPr>
        <w:t xml:space="preserve"> digitally managed e-commerce logistics internship base?</w:t>
      </w:r>
    </w:p>
    <w:p w14:paraId="0D8E429F" w14:textId="77777777" w:rsidR="00CE4696" w:rsidRDefault="00E7512E">
      <w:pPr>
        <w:widowControl w:val="0"/>
        <w:numPr>
          <w:ilvl w:val="0"/>
          <w:numId w:val="2"/>
        </w:numPr>
        <w:spacing w:line="360" w:lineRule="auto"/>
        <w:jc w:val="both"/>
        <w:rPr>
          <w:rFonts w:ascii="Arial" w:eastAsia="Calibri" w:hAnsi="Arial" w:cs="Arial"/>
          <w:szCs w:val="22"/>
        </w:rPr>
      </w:pPr>
      <w:r>
        <w:rPr>
          <w:rFonts w:ascii="Arial" w:eastAsia="Calibri" w:hAnsi="Arial" w:cs="Arial"/>
          <w:szCs w:val="22"/>
          <w:lang w:eastAsia="zh-CN"/>
        </w:rPr>
        <w:t>In what ways does the Two-Way Empowerment model, combining a CRT-informed Dual-Tutor System and the STAR-P narrative framework, reshape interns’ understandings of labor, ethics, and professional responsibility over time?</w:t>
      </w:r>
    </w:p>
    <w:p w14:paraId="259E8B6E" w14:textId="77777777" w:rsidR="00CE4696" w:rsidRDefault="00E7512E">
      <w:pPr>
        <w:widowControl w:val="0"/>
        <w:numPr>
          <w:ilvl w:val="0"/>
          <w:numId w:val="2"/>
        </w:numPr>
        <w:spacing w:line="360" w:lineRule="auto"/>
        <w:jc w:val="both"/>
        <w:rPr>
          <w:rFonts w:ascii="Arial" w:hAnsi="Arial" w:cs="Arial"/>
        </w:rPr>
      </w:pPr>
      <w:r>
        <w:rPr>
          <w:rFonts w:ascii="Arial" w:eastAsia="Calibri" w:hAnsi="Arial" w:cs="Arial"/>
          <w:szCs w:val="22"/>
          <w:lang w:eastAsia="zh-CN"/>
        </w:rPr>
        <w:t>How do these processes contribute to integrating moral education and technical training in vocational internships, and what implications do they hold for the design of high-quality vocational education in China and beyond?</w:t>
      </w:r>
    </w:p>
    <w:p w14:paraId="4E57C13E" w14:textId="77777777" w:rsidR="00CE4696" w:rsidRDefault="00CE4696">
      <w:pPr>
        <w:pStyle w:val="Body"/>
        <w:spacing w:after="0"/>
        <w:rPr>
          <w:rFonts w:ascii="Arial" w:hAnsi="Arial" w:cs="Arial"/>
        </w:rPr>
      </w:pPr>
    </w:p>
    <w:p w14:paraId="179D4FE7" w14:textId="77777777" w:rsidR="00CE4696" w:rsidRDefault="00E7512E">
      <w:pPr>
        <w:pStyle w:val="AbstHead"/>
        <w:spacing w:after="0"/>
        <w:jc w:val="both"/>
        <w:rPr>
          <w:rFonts w:ascii="Arial" w:hAnsi="Arial" w:cs="Arial"/>
        </w:rPr>
      </w:pPr>
      <w:r>
        <w:rPr>
          <w:rFonts w:ascii="Arial" w:hAnsi="Arial" w:cs="Arial"/>
        </w:rPr>
        <w:t xml:space="preserve">2. </w:t>
      </w:r>
      <w:r>
        <w:rPr>
          <w:rFonts w:ascii="Arial" w:hAnsi="Arial" w:cs="Arial" w:hint="eastAsia"/>
        </w:rPr>
        <w:t>Literature Review</w:t>
      </w:r>
    </w:p>
    <w:p w14:paraId="090F055F" w14:textId="77777777" w:rsidR="00CE4696" w:rsidRDefault="00CE4696">
      <w:pPr>
        <w:pStyle w:val="Body"/>
        <w:spacing w:after="0"/>
        <w:rPr>
          <w:rFonts w:ascii="Arial" w:hAnsi="Arial" w:cs="Arial"/>
        </w:rPr>
      </w:pPr>
    </w:p>
    <w:p w14:paraId="204DC6AF" w14:textId="77777777" w:rsidR="00CE4696" w:rsidRDefault="00E7512E">
      <w:pPr>
        <w:pStyle w:val="Body"/>
        <w:spacing w:after="0"/>
        <w:rPr>
          <w:rFonts w:ascii="Arial" w:hAnsi="Arial" w:cs="Arial"/>
          <w:b/>
          <w:sz w:val="22"/>
        </w:rPr>
      </w:pPr>
      <w:r>
        <w:rPr>
          <w:rFonts w:ascii="Arial" w:hAnsi="Arial" w:cs="Arial"/>
          <w:b/>
          <w:caps/>
          <w:sz w:val="22"/>
        </w:rPr>
        <w:t xml:space="preserve">2.1 </w:t>
      </w:r>
      <w:r>
        <w:rPr>
          <w:rFonts w:ascii="Arial" w:hAnsi="Arial" w:cs="Arial" w:hint="eastAsia"/>
          <w:b/>
          <w:sz w:val="22"/>
        </w:rPr>
        <w:t>Structural Disconnect Between Moral and Technical Education</w:t>
      </w:r>
    </w:p>
    <w:p w14:paraId="62CBF1C0" w14:textId="77777777" w:rsidR="00CE4696" w:rsidRDefault="00CE4696">
      <w:pPr>
        <w:pStyle w:val="Body"/>
        <w:spacing w:after="0"/>
        <w:rPr>
          <w:rFonts w:ascii="Arial" w:hAnsi="Arial" w:cs="Arial"/>
          <w:b/>
          <w:sz w:val="22"/>
        </w:rPr>
      </w:pPr>
    </w:p>
    <w:p w14:paraId="45064C35"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Comparative research shows that technical and vocational education and training (TVET) systems worldwide struggle to balance short-term labor market demands with broader educational purposes such as civic formation, ethical awareness, and personal development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&lt;EndNote&gt;&lt;Cite&gt;&lt;Author&gt;Pilz&lt;/Author&gt;&lt;Year&gt;2017&lt;/Year&gt;&lt;RecNum&gt;1414&lt;/RecNum&gt;&lt;DisplayText&gt;(Pilz, 2017)&lt;/DisplayText&gt;&lt;record&gt;&lt;rec-number&gt;1414&lt;/rec-number&gt;&lt;foreign-keys&gt;&lt;key app="EN" db-id="axateaap22str3eaaa1xar2n95zaewv2sx5a" timestamp="1765616429"&gt;1414&lt;/key&gt;&lt;/foreign-keys&gt;&lt;ref-type name="Journal Article"&gt;17&lt;/ref-type&gt;&lt;contributors&gt;&lt;authors&gt;&lt;author&gt;Pilz, Matthias&lt;/author&gt;&lt;/authors&gt;&lt;/contributors&gt;&lt;titles&gt;&lt;title&gt;Vocational education and training in times of economic crisis&lt;/title&gt;&lt;secondary-title&gt;Lessons from Around the World&lt;/secondary-title&gt;&lt;/titles&gt;&lt;periodical&gt;&lt;full-title&gt;Lessons from Around the World&lt;/full-title&gt;&lt;/periodical&gt;&lt;pages&gt;473-487&lt;/pages&gt;&lt;volume&gt;24&lt;/volume&gt;&lt;dates&gt;&lt;year&gt;2017&lt;/year&gt;&lt;/dates&gt;&lt;urls&gt;&lt;/urls&gt;&lt;electronic-resource-num&gt;10.1007/978-3-319-47856-2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(Pilz, 2017)</w:t>
      </w:r>
      <w:r>
        <w:rPr>
          <w:rFonts w:ascii="Arial" w:eastAsia="Calibri" w:hAnsi="Arial" w:cs="Arial"/>
          <w:szCs w:val="22"/>
          <w:lang w:eastAsia="zh-CN"/>
        </w:rPr>
        <w:fldChar w:fldCharType="end"/>
      </w:r>
      <w:r>
        <w:rPr>
          <w:rFonts w:ascii="Arial" w:eastAsia="Calibri" w:hAnsi="Arial" w:cs="Arial"/>
          <w:szCs w:val="22"/>
          <w:lang w:eastAsia="zh-CN"/>
        </w:rPr>
        <w:t xml:space="preserve">. In many systems, institutional success is measured primarily through employment rates, qualification numbers, and alignment with industry standards, which structurally privileges technical skills over wider educational aims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w:t>
      </w:r>
      <w:r>
        <w:rPr>
          <w:rFonts w:ascii="Arial" w:eastAsia="Calibri" w:hAnsi="Arial" w:cs="Arial"/>
          <w:szCs w:val="22"/>
          <w:lang w:eastAsia="zh-CN"/>
        </w:rPr>
        <w:fldChar w:fldCharType="end"/>
      </w:r>
      <w:r>
        <w:rPr>
          <w:rFonts w:ascii="Arial" w:eastAsia="Calibri" w:hAnsi="Arial" w:cs="Arial"/>
          <w:szCs w:val="22"/>
          <w:lang w:eastAsia="zh-CN"/>
        </w:rPr>
        <w:t>.</w:t>
      </w:r>
    </w:p>
    <w:p w14:paraId="1DA677F4" w14:textId="6E406BD2"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In China, recent reforms explicitly call for the “simultaneous cultivation” of professional skill and moral character, yet empirical analyses indicate that this ambition is difficult to </w:t>
      </w:r>
      <w:r w:rsidR="00F01DD5">
        <w:rPr>
          <w:rFonts w:ascii="Arial" w:eastAsia="Calibri" w:hAnsi="Arial" w:cs="Arial"/>
          <w:szCs w:val="22"/>
          <w:lang w:eastAsia="zh-CN"/>
        </w:rPr>
        <w:t>realize</w:t>
      </w:r>
      <w:r>
        <w:rPr>
          <w:rFonts w:ascii="Arial" w:eastAsia="Calibri" w:hAnsi="Arial" w:cs="Arial"/>
          <w:szCs w:val="22"/>
          <w:lang w:eastAsia="zh-CN"/>
        </w:rPr>
        <w:t xml:space="preserv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AuthorYear="1"&gt;&lt;Author&gt;Liu&lt;/Author&gt;&lt;Year&gt;2024&lt;/Year&gt;&lt;RecNum&gt;1259&lt;/RecNum&gt;&lt;DisplayText&gt;Liu et al. (2024)&lt;/DisplayText&gt;&lt;record&gt;&lt;rec-number&gt;1259&lt;/rec-number&gt;&lt;foreign-keys&gt;&lt;key app="EN" db-id="axateaap22str3eaaa1xar2n95zaewv2sx5a" timestamp="1749006619"&gt;1259&lt;/key&gt;&lt;/foreign-keys&gt;&lt;ref-type name="Journal Article"&gt;17&lt;/ref-type&gt;&lt;contributors&gt;&lt;authors&gt;&lt;author&gt;Liu, Weiqi&lt;/author&gt;&lt;author&gt;Jamaludin, Khairul Azhar&lt;/author&gt;&lt;author&gt;Song, Ziyun&lt;/author&gt;&lt;/authors&gt;&lt;/contributors&gt;&lt;titles&gt;&lt;title&gt;Implementation of Technical Communication Pedagogy in Higher Education Institutions: A Systematic Literature Review&lt;/title&gt;&lt;secondary-title&gt;International Journal of Learning, Teaching and Educational Research&lt;/secondary-title&gt;&lt;/titles&gt;&lt;periodical&gt;&lt;full-title&gt;International Journal of Learning, Teaching and Educational Research&lt;/full-title&gt;&lt;/periodical&gt;&lt;pages&gt;307-324&lt;/pages&gt;&lt;volume&gt;23&lt;/volume&gt;&lt;number&gt;9&lt;/number&gt;&lt;dates&gt;&lt;year&gt;2024&lt;/year&gt;&lt;/dates&gt;&lt;isbn&gt;1694-2116&lt;/isbn&gt;&lt;urls&gt;&lt;/urls&gt;&lt;electronic-resource-num&gt;10.26803/ijlter.23.9.16&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Liu et al. (2024)</w:t>
      </w:r>
      <w:r>
        <w:rPr>
          <w:rFonts w:ascii="Arial" w:eastAsia="Calibri" w:hAnsi="Arial" w:cs="Arial"/>
          <w:szCs w:val="22"/>
          <w:lang w:eastAsia="zh-CN"/>
        </w:rPr>
        <w:fldChar w:fldCharType="end"/>
      </w:r>
      <w:r>
        <w:rPr>
          <w:rFonts w:ascii="Arial" w:eastAsia="Calibri" w:hAnsi="Arial" w:cs="Arial"/>
          <w:szCs w:val="22"/>
          <w:lang w:eastAsia="zh-CN"/>
        </w:rPr>
        <w:t xml:space="preserve"> show that teaching and assessment in Chinese TVET schools remain heavily oriented toward technical competence and examination performance. A critical policy analysis by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AuthorYear="1"&gt;&lt;Author&gt;Wu&lt;/Author&gt;&lt;Year&gt;2018&lt;/Year&gt;&lt;RecNum&gt;1209&lt;/RecNum&gt;&lt;DisplayText&gt;Wu and Ye (2018)&lt;/DisplayText&gt;&lt;record&gt;&lt;rec-number&gt;1209&lt;/rec-number&gt;&lt;foreign-keys&gt;&lt;key app="EN" db-id="axateaap22str3eaaa1xar2n95zaewv2sx5a" timestamp="1738644450"&gt;1209&lt;/key&gt;&lt;/foreign-keys&gt;&lt;ref-type name="Book"&gt;6&lt;/ref-type&gt;&lt;contributors&gt;&lt;authors&gt;&lt;author&gt;Wu, Xueping&lt;/author&gt;&lt;author&gt;Ye, Yiqun&lt;/author&gt;&lt;/authors&gt;&lt;/contributors&gt;&lt;titles&gt;&lt;title&gt;Technical and vocational education in China&lt;/title&gt;&lt;/titles&gt;&lt;dates&gt;&lt;year&gt;2018&lt;/year&gt;&lt;/dates&gt;&lt;publisher&gt;Springer&lt;/publisher&gt;&lt;isbn&gt;981130839X&lt;/isbn&gt;&lt;urls&gt;&lt;/urls&gt;&lt;electronic-resource-num&gt;10.1007/978-981-13-0839-0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Wu and Ye (2018)</w:t>
      </w:r>
      <w:r>
        <w:rPr>
          <w:rFonts w:ascii="Arial" w:eastAsia="Calibri" w:hAnsi="Arial" w:cs="Arial"/>
          <w:szCs w:val="22"/>
          <w:lang w:eastAsia="zh-CN"/>
        </w:rPr>
        <w:fldChar w:fldCharType="end"/>
      </w:r>
      <w:r>
        <w:rPr>
          <w:rFonts w:ascii="Arial" w:eastAsia="Calibri" w:hAnsi="Arial" w:cs="Arial"/>
          <w:szCs w:val="22"/>
          <w:lang w:eastAsia="zh-CN"/>
        </w:rPr>
        <w:t xml:space="preserve"> similarly finds that national reform documents strongly foreground value education, but local interpretations tend to translate reform into updating technical curricula and improving employment statistics rather than redesigning learning for integrated moral–technical outcomes.</w:t>
      </w:r>
    </w:p>
    <w:p w14:paraId="1654984C"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This structural separation is embedded in curriculum organization. Moral and political education is often delivered through stand-alone theory courses, while vocational modules focus on machinery, digital tools, or service procedures. Situated learning theory stresses that novices become professionals by participating in “communities of practice” where skills and values are learned together. When ethical discourse is confined to classrooms and technical routines are learned in workshops or workplaces, students effectively inhabit two unconnected communities: one oriented toward values, the other toward production. Studies of apprenticeship further show that in “restrictive” learning environments, strong emphasis on narrow task performance and output can easily override school-based messages about reflection and holistic growth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w:t>
      </w:r>
      <w:r>
        <w:rPr>
          <w:rFonts w:ascii="Arial" w:eastAsia="Calibri" w:hAnsi="Arial" w:cs="Arial"/>
          <w:szCs w:val="22"/>
          <w:lang w:eastAsia="zh-CN"/>
        </w:rPr>
        <w:fldChar w:fldCharType="end"/>
      </w:r>
      <w:r>
        <w:rPr>
          <w:rFonts w:ascii="Arial" w:eastAsia="Calibri" w:hAnsi="Arial" w:cs="Arial"/>
          <w:szCs w:val="22"/>
          <w:lang w:eastAsia="zh-CN"/>
        </w:rPr>
        <w:t>.</w:t>
      </w:r>
    </w:p>
    <w:p w14:paraId="4663481E"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Taken together, this literature suggests that the policy ambition of educating “skilled and responsible” vocational </w:t>
      </w:r>
      <w:r>
        <w:rPr>
          <w:rFonts w:ascii="Arial" w:eastAsia="Calibri" w:hAnsi="Arial" w:cs="Arial"/>
          <w:szCs w:val="22"/>
          <w:lang w:eastAsia="zh-CN"/>
        </w:rPr>
        <w:lastRenderedPageBreak/>
        <w:t>graduates is undercut by a persistent structural disconnect. What is missing are pedagogical designs that embed ethical reasoning and civic purpose into the texture of productive activity, especially during internships.</w:t>
      </w:r>
    </w:p>
    <w:p w14:paraId="69D27CB0" w14:textId="77777777" w:rsidR="00CE4696" w:rsidRDefault="00CE4696">
      <w:pPr>
        <w:widowControl w:val="0"/>
        <w:spacing w:line="360" w:lineRule="auto"/>
        <w:jc w:val="both"/>
        <w:rPr>
          <w:rFonts w:ascii="Arial" w:eastAsia="Calibri" w:hAnsi="Arial" w:cs="Arial"/>
          <w:szCs w:val="22"/>
          <w:lang w:eastAsia="zh-CN"/>
        </w:rPr>
      </w:pPr>
    </w:p>
    <w:p w14:paraId="4B066B51" w14:textId="77777777" w:rsidR="00CE4696" w:rsidRDefault="00E7512E">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b/>
          <w:sz w:val="22"/>
          <w:lang w:eastAsia="zh-CN"/>
        </w:rPr>
        <w:t>Labor Alienation in the Age of Algorithmic Management</w:t>
      </w:r>
    </w:p>
    <w:p w14:paraId="504FD42C" w14:textId="77777777" w:rsidR="00CE4696" w:rsidRDefault="00CE4696">
      <w:pPr>
        <w:pStyle w:val="Body"/>
        <w:spacing w:after="0"/>
        <w:rPr>
          <w:rFonts w:ascii="Arial" w:hAnsi="Arial" w:cs="Arial"/>
          <w:b/>
          <w:caps/>
          <w:sz w:val="22"/>
          <w:lang w:eastAsia="zh-CN"/>
        </w:rPr>
      </w:pPr>
    </w:p>
    <w:p w14:paraId="218B7C58"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The urgency of overcoming this disconnect is amplified by changes in the organization of work. </w:t>
      </w:r>
      <w:bookmarkStart w:id="0" w:name="OLE_LINK1"/>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AuthorYear="1"&gt;&lt;Author&gt;Sarfraz&lt;/Author&gt;&lt;Year&gt;1997&lt;/Year&gt;&lt;RecNum&gt;1435&lt;/RecNum&gt;&lt;DisplayText&gt;Sarfraz (1997)&lt;/DisplayText&gt;&lt;record&gt;&lt;rec-number&gt;1435&lt;/rec-number&gt;&lt;foreign-keys&gt;&lt;key app="EN" db-id="axateaap22str3eaaa1xar2n95zaewv2sx5a" timestamp="1765638142"&gt;1435&lt;/key&gt;&lt;/foreign-keys&gt;&lt;ref-type name="Journal Article"&gt;17&lt;/ref-type&gt;&lt;contributors&gt;&lt;authors&gt;&lt;author&gt;Sarfraz, Hamid&lt;/author&gt;&lt;/authors&gt;&lt;/contributors&gt;&lt;titles&gt;&lt;title&gt;Alienation: A theoretical overview&lt;/title&gt;&lt;secondary-title&gt;Pakistan Journal of Psychological Research&lt;/secondary-title&gt;&lt;/titles&gt;&lt;periodical&gt;&lt;full-title&gt;Pakistan Journal of Psychological Research&lt;/full-title&gt;&lt;/periodical&gt;&lt;pages&gt;45-60&lt;/pages&gt;&lt;volume&gt;12&lt;/volume&gt;&lt;number&gt;1-2&lt;/number&gt;&lt;dates&gt;&lt;year&gt;1997&lt;/year&gt;&lt;/dates&gt;&lt;urls&gt;&lt;/urls&gt;&lt;/record&gt;&lt;/Cite&gt;&lt;/EndNote&gt;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Sarfraz (1997)</w:t>
      </w:r>
      <w:r>
        <w:rPr>
          <w:rFonts w:ascii="Arial" w:eastAsia="Calibri" w:hAnsi="Arial" w:cs="Arial"/>
          <w:szCs w:val="22"/>
          <w:lang w:eastAsia="zh-CN"/>
        </w:rPr>
        <w:fldChar w:fldCharType="end"/>
      </w:r>
      <w:bookmarkEnd w:id="0"/>
      <w:r>
        <w:rPr>
          <w:rFonts w:ascii="Arial" w:eastAsia="Calibri" w:hAnsi="Arial" w:cs="Arial"/>
          <w:szCs w:val="22"/>
          <w:lang w:eastAsia="zh-CN"/>
        </w:rPr>
        <w:t xml:space="preserve"> conceptualized alienation as estrangement from the product, process, and social relations of labor, leading workers to experience themselves as instruments of an external system. Contemporary analyses argue that digital platforms and algorithmic management renew rather than resolve these dynamics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&lt;EndNote&gt;&lt;Cite&gt;&lt;Author&gt;Woodcock&lt;/Author&gt;&lt;Year&gt;2020&lt;/Year&gt;&lt;RecNum&gt;1433&lt;/RecNum&gt;&lt;DisplayText&gt;(Woodcock &amp;amp; Graham, 2020)&lt;/DisplayText&gt;&lt;record&gt;&lt;rec-number&gt;1433&lt;/rec-number&gt;&lt;foreign-keys&gt;&lt;key app="EN" db-id="axateaap22str3eaaa1xar2n95zaewv2sx5a" timestamp="1765619436"&gt;1433&lt;/key&gt;&lt;/foreign-keys&gt;&lt;ref-type name="Book"&gt;6&lt;/ref-type&gt;&lt;contributors&gt;&lt;authors&gt;&lt;author&gt;Woodcock, Jamie&lt;/author&gt;&lt;author&gt;Graham, Mark&lt;/author&gt;&lt;/authors&gt;&lt;/contributors&gt;&lt;titles&gt;&lt;title&gt;The gig economy&lt;/title&gt;&lt;/titles&gt;&lt;dates&gt;&lt;year&gt;2020&lt;/year&gt;&lt;/dates&gt;&lt;publisher&gt;Polity Cambridge&lt;/publisher&gt;&lt;isbn&gt;150953637X&lt;/isbn&gt;&lt;urls&gt;&lt;/urls&gt;&lt;/record&gt;&lt;/Cite&gt;&lt;/EndNote&gt;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(Woodcock &amp; Graham, 2020)</w:t>
      </w:r>
      <w:r>
        <w:rPr>
          <w:rFonts w:ascii="Arial" w:eastAsia="Calibri" w:hAnsi="Arial" w:cs="Arial"/>
          <w:szCs w:val="22"/>
          <w:lang w:eastAsia="zh-CN"/>
        </w:rPr>
        <w:fldChar w:fldCharType="end"/>
      </w:r>
      <w:r>
        <w:rPr>
          <w:rFonts w:ascii="Arial" w:eastAsia="Calibri" w:hAnsi="Arial" w:cs="Arial"/>
          <w:szCs w:val="22"/>
          <w:lang w:eastAsia="zh-CN"/>
        </w:rPr>
        <w:t>.</w:t>
      </w:r>
    </w:p>
    <w:p w14:paraId="7F2E0612" w14:textId="369BB698"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In platform and logistics sectors, labor processes are fragmented into micro-tasks, sequenced and evaluated through opaque rating systems, dashboards, and performance metrics.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AuthorYear="1"&gt;&lt;Author&gt;Duggan&lt;/Author&gt;&lt;Year&gt;2020&lt;/Year&gt;&lt;RecNum&gt;1436&lt;/RecNum&gt;&lt;DisplayText&gt;Duggan et al. (2020)&lt;/DisplayText&gt;&lt;record&gt;&lt;rec-number&gt;1436&lt;/rec-number&gt;&lt;foreign-keys&gt;&lt;key app="EN" db-id="axateaap22str3eaaa1xar2n95zaewv2sx5a" timestamp="1765638448"&gt;1436&lt;/key&gt;&lt;/foreign-keys&gt;&lt;ref-type name="Journal Article"&gt;17&lt;/ref-type&gt;&lt;contributors&gt;&lt;authors&gt;&lt;author&gt;Duggan, James&lt;/author&gt;&lt;author&gt;Sherman, Ultan&lt;/author&gt;&lt;author&gt;Carbery, Ronan&lt;/author&gt;&lt;author&gt;McDonnell, Anthony&lt;/author&gt;&lt;/authors&gt;&lt;/contributors&gt;&lt;titles&gt;&lt;title&gt;Algorithmic management and app</w:instrText>
      </w:r>
      <w:r>
        <w:rPr>
          <w:rFonts w:ascii="Arial" w:eastAsia="Calibri" w:hAnsi="Arial" w:cs="Arial" w:hint="eastAsia"/>
          <w:szCs w:val="22"/>
          <w:lang w:eastAsia="zh-CN"/>
        </w:rPr>
        <w:instrText>‐</w:instrText>
      </w:r>
      <w:r>
        <w:rPr>
          <w:rFonts w:ascii="Arial" w:eastAsia="Calibri" w:hAnsi="Arial" w:cs="Arial"/>
          <w:szCs w:val="22"/>
          <w:lang w:eastAsia="zh-CN"/>
        </w:rPr>
        <w:instrText>work in the gig economy: A research agenda for employment relations and HRM&lt;/title&gt;&lt;secondary-title&gt;Human resource management journal&lt;/secondary-title&gt;&lt;/titles&gt;&lt;periodical&gt;&lt;full-title&gt;Human resource management journal&lt;/full-title&gt;&lt;/periodical&gt;&lt;pages&gt;114-132&lt;/pages&gt;&lt;volume&gt;30&lt;/volume&gt;&lt;number&gt;1&lt;/number&gt;&lt;dates&gt;&lt;year&gt;2020&lt;/year&gt;&lt;/dates&gt;&lt;isbn&gt;0954-5395&lt;/isbn&gt;&lt;urls&gt;&lt;/urls&gt;&lt;electronic-resource-num&gt;10.1111/1748-8583.12258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Duggan et al. (2020)</w:t>
      </w:r>
      <w:r>
        <w:rPr>
          <w:rFonts w:ascii="Arial" w:eastAsia="Calibri" w:hAnsi="Arial" w:cs="Arial"/>
          <w:szCs w:val="22"/>
          <w:lang w:eastAsia="zh-CN"/>
        </w:rPr>
        <w:fldChar w:fldCharType="end"/>
      </w:r>
      <w:r>
        <w:rPr>
          <w:rFonts w:ascii="Arial" w:eastAsia="Calibri" w:hAnsi="Arial" w:cs="Arial"/>
          <w:szCs w:val="22"/>
          <w:lang w:eastAsia="zh-CN"/>
        </w:rPr>
        <w:t xml:space="preserve"> describe this as “algorithmic management,” noting how autonomy is constrained by automated allocation of tasks and sanctions.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AuthorYear="1"&gt;&lt;Author&gt;Chen&lt;/Author&gt;&lt;Year&gt;2022&lt;/Year&gt;&lt;RecNum&gt;1438&lt;/RecNum&gt;&lt;DisplayText&gt;Chen et al. (2022)&lt;/DisplayText&gt;&lt;record&gt;&lt;rec-number&gt;1438&lt;/rec-number&gt;&lt;foreign-keys&gt;&lt;key app="EN" db-id="axateaap22str3eaaa1xar2n95zaewv2sx5a" timestamp="1765638545"&gt;1438&lt;/key&gt;&lt;/foreign-keys&gt;&lt;ref-type name="Journal Article"&gt;17&lt;/ref-type&gt;&lt;contributors&gt;&lt;authors&gt;&lt;author&gt;Chen, Zhilong&lt;/author&gt;&lt;author&gt;Lan, Xiaochong&lt;/author&gt;&lt;author&gt;Piao, Jinghua&lt;/author&gt;&lt;author&gt;Zhang, Yunke&lt;/author&gt;&lt;author&gt;Li, Yong&lt;/author&gt;&lt;/authors&gt;&lt;/contributors&gt;&lt;titles&gt;&lt;title&gt;A mixed-methods analysis of the algorithm-mediated labor of online food deliverers in China&lt;/title&gt;&lt;secondary-title&gt;Proceedings of the ACM on Human-Computer Interaction&lt;/secondary-title&gt;&lt;/titles&gt;&lt;periodical&gt;&lt;full-title&gt;Proceedings of the ACM on Human-Computer Interaction&lt;/full-title&gt;&lt;/periodical&gt;&lt;pages&gt;1-24&lt;/pages&gt;&lt;volume&gt;6&lt;/volume&gt;&lt;number&gt;CSCW2&lt;/number&gt;&lt;dates&gt;&lt;year&gt;2022&lt;/year&gt;&lt;/dates&gt;&lt;isbn&gt;2573-0142&lt;/isbn&gt;&lt;urls&gt;&lt;/urls&gt;&lt;electronic-resource-num&gt;10.1145/3555585&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Chen et al. (2022)</w:t>
      </w:r>
      <w:r>
        <w:rPr>
          <w:rFonts w:ascii="Arial" w:eastAsia="Calibri" w:hAnsi="Arial" w:cs="Arial"/>
          <w:szCs w:val="22"/>
          <w:lang w:eastAsia="zh-CN"/>
        </w:rPr>
        <w:fldChar w:fldCharType="end"/>
      </w:r>
      <w:r>
        <w:rPr>
          <w:rFonts w:ascii="Arial" w:eastAsia="Calibri" w:hAnsi="Arial" w:cs="Arial"/>
          <w:szCs w:val="22"/>
          <w:lang w:eastAsia="zh-CN"/>
        </w:rPr>
        <w:t xml:space="preserve"> show that food delivery riders in China must constantly adjust their </w:t>
      </w:r>
      <w:r w:rsidR="00F01DD5">
        <w:rPr>
          <w:rFonts w:ascii="Arial" w:eastAsia="Calibri" w:hAnsi="Arial" w:cs="Arial"/>
          <w:szCs w:val="22"/>
          <w:lang w:eastAsia="zh-CN"/>
        </w:rPr>
        <w:t>behavior</w:t>
      </w:r>
      <w:r>
        <w:rPr>
          <w:rFonts w:ascii="Arial" w:eastAsia="Calibri" w:hAnsi="Arial" w:cs="Arial"/>
          <w:szCs w:val="22"/>
          <w:lang w:eastAsia="zh-CN"/>
        </w:rPr>
        <w:t xml:space="preserve"> to digitally set time windows and penalties, resulting in intense time pressure and a sense of being “driven” by the system.</w:t>
      </w:r>
    </w:p>
    <w:p w14:paraId="23ABD308"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Youth and student labor in China exhibits similar patterns.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AuthorYear="1"&gt;&lt;Author&gt;Chan&lt;/Author&gt;&lt;Year&gt;2017&lt;/Year&gt;&lt;RecNum&gt;1439&lt;/RecNum&gt;&lt;DisplayText&gt;Chan (2017)&lt;/DisplayText&gt;&lt;record&gt;&lt;rec-number&gt;1439&lt;/rec-number&gt;&lt;foreign-keys&gt;&lt;key app="EN" db-id="axateaap22str3eaaa1xar2n95zaewv2sx5a" timestamp="1765638648"&gt;1439&lt;/key&gt;&lt;/foreign-keys&gt;&lt;ref-type name="Conference Proceedings"&gt;10&lt;/ref-type&gt;&lt;contributors&gt;&lt;authors&gt;&lt;author&gt;Chan, Jenny&lt;/author&gt;&lt;/authors&gt;&lt;/contributors&gt;&lt;titles&gt;&lt;title&gt;Intern labor in China&lt;/title&gt;&lt;secondary-title&gt;Kongress der Deutschen Gesellschaft für Soziologie&amp;quot; Geschlossene Gesellschaften&amp;quot;&lt;/secondary-title&gt;&lt;/titles&gt;&lt;dates&gt;&lt;year&gt;2017&lt;/year&gt;&lt;/dates&gt;&lt;publisher&gt;DEU&lt;/publisher&gt;&lt;isbn&gt;2367-4504&lt;/isbn&gt;&lt;urls&gt;&lt;/urls&gt;&lt;electronic-resource-num&gt;10.21241/ssoar.103012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Chan (2017)</w:t>
      </w:r>
      <w:r>
        <w:rPr>
          <w:rFonts w:ascii="Arial" w:eastAsia="Calibri" w:hAnsi="Arial" w:cs="Arial"/>
          <w:szCs w:val="22"/>
          <w:lang w:eastAsia="zh-CN"/>
        </w:rPr>
        <w:fldChar w:fldCharType="end"/>
      </w:r>
      <w:r>
        <w:rPr>
          <w:rFonts w:ascii="Arial" w:eastAsia="Calibri" w:hAnsi="Arial" w:cs="Arial"/>
          <w:szCs w:val="22"/>
          <w:lang w:eastAsia="zh-CN"/>
        </w:rPr>
        <w:t xml:space="preserve"> document how young workers and interns in electronics and related industries are integrated into highly standardized production regimes, often experiencing themselves as cheap, flexible labor rather than learners. Policy discourses that promote a “spirit of craftsmanship” and a “spirit of labor” thus collide with a daily reality defined by throughput targets, error rates, and cost control. For interns whose status oscillates between learner and temporary worker, this collision can be especially destabilizing. Studies of Chinese TVET and internships indicate that when placements are experienced primarily as repetitive, low-status labor, students adopt instrumental narratives of “doing time” rather than seeing </w:t>
      </w:r>
      <w:bookmarkStart w:id="1" w:name="OLE_LINK2"/>
      <w:r>
        <w:rPr>
          <w:rFonts w:ascii="Arial" w:eastAsia="Calibri" w:hAnsi="Arial" w:cs="Arial"/>
          <w:szCs w:val="22"/>
          <w:lang w:eastAsia="zh-CN"/>
        </w:rPr>
        <w:t xml:space="preserve">internships as sites of professional formation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&lt;EndNote&gt;&lt;Cite&gt;&lt;Author&gt;Guo&lt;/Author&gt;&lt;Year&gt;2020&lt;/Year&gt;&lt;RecNum&gt;1440&lt;/RecNum&gt;&lt;DisplayText&gt;(Guo &amp;amp; Pilz, 2020)&lt;/DisplayText&gt;&lt;record&gt;&lt;rec-number&gt;1440&lt;/rec-number&gt;&lt;foreign-keys&gt;&lt;key app="EN" db-id="axateaap22str3eaaa1xar2n95zaewv2sx5a" timestamp="1765638747"&gt;1440&lt;/key&gt;&lt;/foreign-keys&gt;&lt;ref-type name="Journal Article"&gt;17&lt;/ref-type&gt;&lt;contributors&gt;&lt;authors&gt;&lt;author&gt;Guo, Henan&lt;/author&gt;&lt;author&gt;Pilz, Matthias&lt;/author&gt;&lt;/authors&gt;&lt;/contributors&gt;&lt;titles&gt;&lt;title&gt;A comparative study of teaching and learning in German and Chinese vocational education and training schools: A classroom observation study&lt;/title&gt;&lt;secondary-title&gt;Research in Comparative and International Education&lt;/secondary-title&gt;&lt;/titles&gt;&lt;periodical&gt;&lt;full-title&gt;Research in Comparative and International Education&lt;/full-title&gt;&lt;/periodical&gt;&lt;pages&gt;391-413&lt;/pages&gt;&lt;volume&gt;15&lt;/volume&gt;&lt;number&gt;4&lt;/number&gt;&lt;dates&gt;&lt;year&gt;2020&lt;/year&gt;&lt;/dates&gt;&lt;isbn&gt;1745-4999&lt;/isbn&gt;&lt;urls&gt;&lt;/urls&gt;&lt;electronic-resource-num&gt;10.1177/1745499920959150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(Guo &amp; Pilz, 2020)</w:t>
      </w:r>
      <w:r>
        <w:rPr>
          <w:rFonts w:ascii="Arial" w:eastAsia="Calibri" w:hAnsi="Arial" w:cs="Arial"/>
          <w:szCs w:val="22"/>
          <w:lang w:eastAsia="zh-CN"/>
        </w:rPr>
        <w:fldChar w:fldCharType="end"/>
      </w:r>
      <w:bookmarkEnd w:id="1"/>
      <w:r>
        <w:rPr>
          <w:rFonts w:ascii="Arial" w:eastAsia="Calibri" w:hAnsi="Arial" w:cs="Arial"/>
          <w:szCs w:val="22"/>
          <w:lang w:eastAsia="zh-CN"/>
        </w:rPr>
        <w:t>.</w:t>
      </w:r>
    </w:p>
    <w:p w14:paraId="11CBA25D"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Research on labor education in higher education argues that work should be reframed as a site for developing responsibility, perseverance, and social orientation. However, such work largely assumes traditional forms of manual or service labor and offers limited guidance on how to re-embed meaning in digitally governed environments. The question of how vocational pedagogy can help students interpret and resist the dehumanizing aspects of digital labor therefore remains open.</w:t>
      </w:r>
    </w:p>
    <w:p w14:paraId="4C209610" w14:textId="77777777" w:rsidR="00CE4696" w:rsidRDefault="00CE4696">
      <w:pPr>
        <w:widowControl w:val="0"/>
        <w:spacing w:line="360" w:lineRule="auto"/>
        <w:jc w:val="both"/>
        <w:rPr>
          <w:rFonts w:ascii="Arial" w:eastAsia="Calibri" w:hAnsi="Arial" w:cs="Arial"/>
          <w:szCs w:val="22"/>
          <w:lang w:eastAsia="zh-CN"/>
        </w:rPr>
      </w:pPr>
    </w:p>
    <w:p w14:paraId="1929BA35" w14:textId="77777777" w:rsidR="00CE4696" w:rsidRDefault="00E7512E">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b/>
          <w:sz w:val="22"/>
          <w:lang w:eastAsia="zh-CN"/>
        </w:rPr>
        <w:t>Culturally Responsive Teaching as Institutional Mediation</w:t>
      </w:r>
    </w:p>
    <w:p w14:paraId="70D94749" w14:textId="77777777" w:rsidR="00CE4696" w:rsidRDefault="00CE4696">
      <w:pPr>
        <w:widowControl w:val="0"/>
        <w:spacing w:line="360" w:lineRule="auto"/>
        <w:jc w:val="both"/>
        <w:rPr>
          <w:rFonts w:ascii="Arial" w:eastAsia="Calibri" w:hAnsi="Arial" w:cs="Arial"/>
          <w:szCs w:val="22"/>
          <w:lang w:eastAsia="zh-CN"/>
        </w:rPr>
      </w:pPr>
    </w:p>
    <w:p w14:paraId="5A90B906"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CRT provides a promising framework for mediating the clash between school and enterprise cultures.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AuthorYear="1"&gt;&lt;Author&gt;Gay&lt;/Author&gt;&lt;Year&gt;2002&lt;/Year&gt;&lt;RecNum&gt;1415&lt;/RecNum&gt;&lt;DisplayText&gt;Gay (2002)&lt;/DisplayText&gt;&lt;record&gt;&lt;rec-number&gt;1415&lt;/rec-number&gt;&lt;foreign-keys&gt;&lt;key app="EN" db-id="axateaap22str3eaaa1xar2n95zaewv2sx5a" timestamp="1765616501"&gt;1415&lt;/key&gt;&lt;/foreign-keys&gt;&lt;ref-type name="Journal Article"&gt;17&lt;/ref-type&gt;&lt;contributors&gt;&lt;authors&gt;&lt;author&gt;Gay, Geneva&lt;/author&gt;&lt;/authors&gt;&lt;/contributors&gt;&lt;titles&gt;&lt;title&gt;Preparing for culturally responsive teaching&lt;/title&gt;&lt;secondary-title&gt;Journal of teacher education&lt;/secondary-title&gt;&lt;/titles&gt;&lt;periodical&gt;&lt;full-title&gt;Journal of teacher education&lt;/full-title&gt;&lt;/periodical&gt;&lt;pages&gt;106-116&lt;/pages&gt;&lt;volume&gt;53&lt;/volume&gt;&lt;number&gt;2&lt;/number&gt;&lt;dates&gt;&lt;year&gt;2002&lt;/year&gt;&lt;/dates&gt;&lt;isbn&gt;0022-4871&lt;/isbn&gt;&lt;urls&gt;&lt;/urls&gt;&lt;electronic-resource-num&gt;10.1177/0022487102053002003&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Gay (2002)</w:t>
      </w:r>
      <w:r>
        <w:rPr>
          <w:rFonts w:ascii="Arial" w:eastAsia="Calibri" w:hAnsi="Arial" w:cs="Arial"/>
          <w:szCs w:val="22"/>
          <w:lang w:eastAsia="zh-CN"/>
        </w:rPr>
        <w:fldChar w:fldCharType="end"/>
      </w:r>
      <w:r>
        <w:rPr>
          <w:rFonts w:ascii="Arial" w:eastAsia="Calibri" w:hAnsi="Arial" w:cs="Arial"/>
          <w:szCs w:val="22"/>
          <w:lang w:eastAsia="zh-CN"/>
        </w:rPr>
        <w:t xml:space="preserve"> defines CRT as teaching that uses learners’ cultural knowledge, prior experiences, and performance styles to make learning more effective and empowering.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AuthorYear="1"&gt;&lt;Author&gt;Liu&lt;/Author&gt;&lt;Year&gt;2025&lt;/Year&gt;&lt;RecNum&gt;1258&lt;/RecNum&gt;&lt;DisplayText&gt;Liu et al. (2025b)&lt;/DisplayText&gt;&lt;record&gt;&lt;rec-number&gt;1258&lt;/rec-number&gt;&lt;foreign-keys&gt;&lt;key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Liu et al. (2025b)</w:t>
      </w:r>
      <w:r>
        <w:rPr>
          <w:rFonts w:ascii="Arial" w:eastAsia="Calibri" w:hAnsi="Arial" w:cs="Arial"/>
          <w:szCs w:val="22"/>
          <w:lang w:eastAsia="zh-CN"/>
        </w:rPr>
        <w:fldChar w:fldCharType="end"/>
      </w:r>
      <w:r>
        <w:rPr>
          <w:rFonts w:ascii="Arial" w:eastAsia="Calibri" w:hAnsi="Arial" w:cs="Arial"/>
          <w:szCs w:val="22"/>
          <w:lang w:eastAsia="zh-CN"/>
        </w:rPr>
        <w:t xml:space="preserve"> similarly argues that culturally relevant pedagogy must promote academic success, cultural competence, and critical consciousness.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AuthorYear="1"&gt;&lt;Author&gt;Ladson-Billings&lt;/Author&gt;&lt;Year&gt;1995&lt;/Year&gt;&lt;RecNum&gt;1416&lt;/RecNum&gt;&lt;DisplayText&gt;Ladson-Billings (1995)&lt;/DisplayText&gt;&lt;record&gt;&lt;rec-number&gt;1416&lt;/rec-number&gt;&lt;foreign-keys&gt;&lt;key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Ladson-Billings (1995)</w:t>
      </w:r>
      <w:r>
        <w:rPr>
          <w:rFonts w:ascii="Arial" w:eastAsia="Calibri" w:hAnsi="Arial" w:cs="Arial"/>
          <w:szCs w:val="22"/>
          <w:lang w:eastAsia="zh-CN"/>
        </w:rPr>
        <w:fldChar w:fldCharType="end"/>
      </w:r>
      <w:r>
        <w:rPr>
          <w:rFonts w:ascii="Arial" w:eastAsia="Calibri" w:hAnsi="Arial" w:cs="Arial"/>
          <w:szCs w:val="22"/>
          <w:lang w:eastAsia="zh-CN"/>
        </w:rPr>
        <w:t xml:space="preserve"> conceptualize a coherent CRT approach as one that infuses diversity concerns across the teacher-education curriculum rather than relegating them to isolated courses.</w:t>
      </w:r>
    </w:p>
    <w:p w14:paraId="7D16FE9B"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Recent work extends the notion of “culture” beyond ethnicity or language to include institutional and organizational cultures.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 AuthorYear="1"&gt;&lt;Author&gt;Alhanachi&lt;/Author&gt;&lt;Year&gt;2021&lt;/Year&gt;&lt;RecNum&gt;1417&lt;/RecNum&gt;&lt;DisplayText&gt;Alhanachi et al. (2021)&lt;/DisplayText&gt;&lt;record&gt;&lt;rec-number&gt;1417&lt;/rec-number&gt;&lt;foreign-keys&gt;&lt;key app="EN" db-id="axateaap22str3eaaa1xar2n95zaewv2sx5a" timestamp="1765616614"&gt;1417&lt;/key&gt;&lt;/foreign-keys&gt;&lt;ref-type name="Journal Article"&gt;17&lt;/ref-type&gt;&lt;contributors&gt;&lt;authors&gt;&lt;author&gt;Alhanachi, Sabrina&lt;/author&gt;&lt;author&gt;de Meijer, Lonneke AL&lt;/author&gt;&lt;author&gt;Severiens, Sabine E&lt;/author&gt;&lt;/authors&gt;&lt;/contributors&gt;&lt;titles&gt;&lt;title&gt;Improving culturally responsive teaching through professional learning communities: A qualitative study in Dutch pre-vocational schools&lt;/title&gt;&lt;secondary-title&gt;International Journal of Educational Research&lt;/secondary-title&gt;&lt;/titles&gt;&lt;periodical&gt;&lt;full-title&gt;International Journal of Educational Research&lt;/full-title&gt;&lt;/periodical&gt;&lt;pages&gt;101698&lt;/pages&gt;&lt;volume&gt;105&lt;/volume&gt;&lt;dates&gt;&lt;year&gt;2021&lt;/year&gt;&lt;/dates&gt;&lt;isbn&gt;0883-0355&lt;/isbn&gt;&lt;urls&gt;&lt;/urls&gt;&lt;electronic-resource-num&gt;10.1016/j.ijer.2020.101698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Alhanachi et al. (2021)</w:t>
      </w:r>
      <w:r>
        <w:rPr>
          <w:rFonts w:ascii="Arial" w:eastAsia="Calibri" w:hAnsi="Arial" w:cs="Arial"/>
          <w:szCs w:val="22"/>
          <w:lang w:eastAsia="zh-CN"/>
        </w:rPr>
        <w:fldChar w:fldCharType="end"/>
      </w:r>
      <w:r>
        <w:rPr>
          <w:rFonts w:ascii="Arial" w:eastAsia="Calibri" w:hAnsi="Arial" w:cs="Arial"/>
          <w:szCs w:val="22"/>
          <w:lang w:eastAsia="zh-CN"/>
        </w:rPr>
        <w:t>, studying Dutch pre-vocational schools, show how professional learning communities can support teachers in developing culturally responsive competences for diverse student groups. Their work implies that, in vocational settings, “culture” also encompasses workplace norms, occupational identities, and local practices.</w:t>
      </w:r>
    </w:p>
    <w:p w14:paraId="763281EE"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From this perspective, the school-to-work transition can be understood as a cross-cultural passage. Students move from </w:t>
      </w:r>
      <w:r>
        <w:rPr>
          <w:rFonts w:ascii="Arial" w:eastAsia="Calibri" w:hAnsi="Arial" w:cs="Arial"/>
          <w:szCs w:val="22"/>
          <w:lang w:eastAsia="zh-CN"/>
        </w:rPr>
        <w:lastRenderedPageBreak/>
        <w:t xml:space="preserve">the relatively supportive, error-tolerant culture of the school to enterprise cultures that prioritize punctuality, output, and standardization. When this shift is not mediated, interns may interpret workplace discipline as moral failure or exploitation rather than as a different, though not unproblematic value system. Within the TVET literature, however, CRT has rarely been operationalized as a systematic mechanism for bridging school and enterprise cultures. The role of mentors and supervisors as “cultural translators” during internships remains under-theorized, despite the centrality of supervisory relationships in workplace learning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w:t>
      </w:r>
      <w:r>
        <w:rPr>
          <w:rFonts w:ascii="Arial" w:eastAsia="Calibri" w:hAnsi="Arial" w:cs="Arial"/>
          <w:szCs w:val="22"/>
          <w:lang w:eastAsia="zh-CN"/>
        </w:rPr>
        <w:fldChar w:fldCharType="end"/>
      </w:r>
      <w:r>
        <w:rPr>
          <w:rFonts w:ascii="Arial" w:eastAsia="Calibri" w:hAnsi="Arial" w:cs="Arial"/>
          <w:szCs w:val="22"/>
          <w:lang w:eastAsia="zh-CN"/>
        </w:rPr>
        <w:t>.</w:t>
      </w:r>
    </w:p>
    <w:p w14:paraId="0AAF90F5"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The present study addresses this gap by conceptualizing a dual-tutor system, pairing school-based and enterprise-based mentors as a CRT-informed mediation mechanism. In this design, mentors are expected not merely to monitor performance, but to reframe critical incidents so that students can reconcile apparently conflicting value systems.</w:t>
      </w:r>
    </w:p>
    <w:p w14:paraId="0C58C679" w14:textId="77777777" w:rsidR="00CE4696" w:rsidRDefault="00CE4696">
      <w:pPr>
        <w:widowControl w:val="0"/>
        <w:spacing w:line="360" w:lineRule="auto"/>
        <w:jc w:val="both"/>
        <w:rPr>
          <w:rFonts w:ascii="Arial" w:eastAsia="Calibri" w:hAnsi="Arial" w:cs="Arial"/>
          <w:szCs w:val="22"/>
          <w:lang w:eastAsia="zh-CN"/>
        </w:rPr>
      </w:pPr>
    </w:p>
    <w:p w14:paraId="44C2BDAA" w14:textId="77777777" w:rsidR="00CE4696" w:rsidRDefault="00E7512E">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b/>
          <w:sz w:val="22"/>
          <w:lang w:eastAsia="zh-CN"/>
        </w:rPr>
        <w:t>Reflective Practice and Narrative Construction of Professional Identity</w:t>
      </w:r>
    </w:p>
    <w:p w14:paraId="7DF2F4F3" w14:textId="77777777" w:rsidR="00CE4696" w:rsidRDefault="00CE4696">
      <w:pPr>
        <w:pStyle w:val="Body"/>
        <w:spacing w:after="0"/>
        <w:rPr>
          <w:rFonts w:ascii="Arial" w:hAnsi="Arial" w:cs="Arial"/>
          <w:b/>
          <w:caps/>
          <w:sz w:val="22"/>
          <w:lang w:eastAsia="zh-CN"/>
        </w:rPr>
      </w:pPr>
    </w:p>
    <w:p w14:paraId="6CAC1871"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A fourth strand of literature concerns reflective practice and narrative inquiry. The reflective practitioner challenges technocratic views of professional competence as the straightforward application of theory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 Instead, he proposes reflection-in-action and reflection-on-action as core processes through which practitioners interpret ambiguous situations, test interventions, and revise their understanding.</w:t>
      </w:r>
    </w:p>
    <w:p w14:paraId="2132A528"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Narrative inquiry extends this insight by treating stories as both data and medium: individuals construct and reconstruct their identities through the narratives they talk about their experience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(Pino Gavidia &amp; Adu, 2022)</w:t>
      </w:r>
      <w:r>
        <w:rPr>
          <w:rFonts w:ascii="Arial" w:eastAsia="Calibri" w:hAnsi="Arial" w:cs="Arial"/>
          <w:szCs w:val="22"/>
          <w:lang w:eastAsia="zh-CN"/>
        </w:rPr>
        <w:fldChar w:fldCharType="end"/>
      </w:r>
      <w:r>
        <w:rPr>
          <w:rFonts w:ascii="Arial" w:eastAsia="Calibri" w:hAnsi="Arial" w:cs="Arial"/>
          <w:szCs w:val="22"/>
          <w:lang w:eastAsia="zh-CN"/>
        </w:rPr>
        <w:t>. In vocational and professional education, structured reflection has been shown to support deeper learning and stronger professional self-concepts.</w:t>
      </w:r>
    </w:p>
    <w:p w14:paraId="2EF6BDFC"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Yet reflective tasks in vocational programs are often weakly structured, yielding logbooks that describe tasks but do not connect them to broader meanings or identities. Behavioral frameworks such as STAR (Situation, Task, Action, Result) partially address this by requiring learners to present episodes as goal-oriented sequences, but they focus primarily on competence and outcomes. They rarely require explicit articulation of moral or civic reasoning, a serious limitation in contexts where policy explicitly calls for integrating value education with skills training.</w:t>
      </w:r>
    </w:p>
    <w:p w14:paraId="4AE326D7"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The STAR-P framework used in this study extends conventional STAR structures by adding a philosophical component, requiring students to link each episode not only to technical results but also to wider social, ethical, or policy meanings. In doing so, it aligns with the view that professional identity is an “identity text” co-authored by learners through repeated acts of narrative positioning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w:t>
      </w:r>
    </w:p>
    <w:p w14:paraId="0755EC16" w14:textId="77777777" w:rsidR="00CE4696" w:rsidRDefault="00CE4696">
      <w:pPr>
        <w:widowControl w:val="0"/>
        <w:spacing w:line="360" w:lineRule="auto"/>
        <w:jc w:val="both"/>
        <w:rPr>
          <w:rFonts w:ascii="Arial" w:eastAsia="Calibri" w:hAnsi="Arial" w:cs="Arial"/>
          <w:szCs w:val="22"/>
          <w:lang w:eastAsia="zh-CN"/>
        </w:rPr>
      </w:pPr>
    </w:p>
    <w:p w14:paraId="064EC3A4" w14:textId="77777777" w:rsidR="00CE4696" w:rsidRDefault="00E7512E">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5</w:t>
      </w:r>
      <w:r>
        <w:rPr>
          <w:rFonts w:ascii="Arial" w:hAnsi="Arial" w:cs="Arial"/>
          <w:b/>
          <w:caps/>
          <w:sz w:val="22"/>
        </w:rPr>
        <w:t xml:space="preserve"> </w:t>
      </w:r>
      <w:r>
        <w:rPr>
          <w:rFonts w:ascii="Arial" w:hAnsi="Arial" w:cs="Arial"/>
          <w:b/>
          <w:sz w:val="22"/>
          <w:lang w:eastAsia="zh-CN"/>
        </w:rPr>
        <w:t>Synthesis and Research Gap</w:t>
      </w:r>
    </w:p>
    <w:p w14:paraId="16B40E2C" w14:textId="77777777" w:rsidR="00CE4696" w:rsidRDefault="00CE4696">
      <w:pPr>
        <w:pStyle w:val="Body"/>
        <w:spacing w:after="0"/>
        <w:rPr>
          <w:rFonts w:ascii="Arial" w:hAnsi="Arial" w:cs="Arial"/>
          <w:b/>
          <w:caps/>
          <w:sz w:val="22"/>
          <w:lang w:eastAsia="zh-CN"/>
        </w:rPr>
      </w:pPr>
    </w:p>
    <w:p w14:paraId="14906C2E" w14:textId="77777777" w:rsidR="00CE4696" w:rsidRDefault="00E7512E">
      <w:pPr>
        <w:widowControl w:val="0"/>
        <w:spacing w:line="360" w:lineRule="auto"/>
        <w:jc w:val="both"/>
        <w:rPr>
          <w:rFonts w:ascii="Arial" w:eastAsia="Calibri" w:hAnsi="Arial" w:cs="Arial"/>
          <w:szCs w:val="22"/>
          <w:lang w:eastAsia="zh-CN"/>
        </w:rPr>
      </w:pPr>
      <w:r>
        <w:rPr>
          <w:rFonts w:ascii="Arial" w:eastAsia="Calibri" w:hAnsi="Arial" w:cs="Arial"/>
          <w:szCs w:val="22"/>
          <w:lang w:eastAsia="zh-CN"/>
        </w:rPr>
        <w:t xml:space="preserve">Across these four strands, a coherent problem constellation emerges. First, comparative and country-specific studies document a structural disconnect in TVET between moral–civic education and technical training, especially in internships where enterprise logic dominate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&lt;EndNote&gt;&lt;Cite&gt;&lt;Author&gt;Fuller&lt;/Author&gt;&lt;Year&gt;2003&lt;/Year&gt;&lt;RecNum&gt;1413&lt;/RecNum&gt;&lt;DisplayText&gt;(Fuller &amp;amp; Unwin, 2003; Guo &amp;amp; Pilz, 2020)&lt;/DisplayText&gt;&lt;record&gt;&lt;rec-number&gt;1413&lt;/rec-number&gt;&lt;foreign-keys&gt;&lt;key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Cite&gt;&lt;Author&gt;Guo&lt;/Author&gt;&lt;Year&gt;2020&lt;/Year&gt;&lt;RecNum&gt;1440&lt;/RecNum&gt;&lt;record&gt;&lt;rec-number&gt;1440&lt;/rec-number&gt;&lt;foreign-keys&gt;&lt;key app="EN" db-id="axateaap22str3eaaa1xar2n95zaewv2sx5a" timestamp="1765638747"&gt;1440&lt;/key&gt;&lt;/foreign-keys&gt;&lt;ref-type name="Journal Article"&gt;17&lt;/ref-type&gt;&lt;contributors&gt;&lt;authors&gt;&lt;author&gt;Guo, Henan&lt;/author&gt;&lt;author&gt;Pilz, Matthias&lt;/author&gt;&lt;/authors&gt;&lt;/contributors&gt;&lt;titles&gt;&lt;title&gt;A comparative study of teaching and learning in German and Chinese vocational education and training schools: A classroom observation study&lt;/title&gt;&lt;secondary-title&gt;Research in Comparative and International Education&lt;/secondary-title&gt;&lt;/titles&gt;&lt;periodical&gt;&lt;full-title&gt;Research in Comparative and International Education&lt;/full-title&gt;&lt;/periodical&gt;&lt;pages&gt;391-413&lt;/pages&gt;&lt;volume&gt;15&lt;/volume&gt;&lt;number&gt;4&lt;/number&gt;&lt;dates&gt;&lt;year&gt;2020&lt;/year&gt;&lt;/dates&gt;&lt;isbn&gt;1745-4999&lt;/isbn&gt;&lt;urls&gt;&lt;/urls&gt;&lt;electronic-resource-num&gt;10.1177/1745499920959150&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(Fuller &amp; Unwin, 2003; Guo &amp; Pilz, 2020)</w:t>
      </w:r>
      <w:r>
        <w:rPr>
          <w:rFonts w:ascii="Arial" w:eastAsia="Calibri" w:hAnsi="Arial" w:cs="Arial"/>
          <w:szCs w:val="22"/>
          <w:lang w:eastAsia="zh-CN"/>
        </w:rPr>
        <w:fldChar w:fldCharType="end"/>
      </w:r>
      <w:r>
        <w:rPr>
          <w:rFonts w:ascii="Arial" w:eastAsia="Calibri" w:hAnsi="Arial" w:cs="Arial"/>
          <w:szCs w:val="22"/>
          <w:lang w:eastAsia="zh-CN"/>
        </w:rPr>
        <w:t xml:space="preserve">. Second, research on digital labor and algorithmic management shows that contemporary workplaces, particularly in platform and logistics sectors, can intensify feelings of anonymity, pressure, and loss of control, undermining ambitions to cultivate pride and responsibility in work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&lt;EndNote&gt;&lt;Cite&gt;&lt;Author&gt;Chen&lt;/Author&gt;&lt;Year&gt;2022&lt;/Year&gt;&lt;RecNum&gt;1438&lt;/RecNum&gt;&lt;DisplayText&gt;(Chen et al., 2022; Duggan et al., 2020)&lt;/DisplayText&gt;&lt;record&gt;&lt;rec-number&gt;1438&lt;/rec-number&gt;&lt;foreign-keys&gt;&lt;key app="EN" db-id="axateaap22str3eaaa1xar2n95zaewv2sx5a" timestamp="1765638545"&gt;1438&lt;/key&gt;&lt;/foreign-keys&gt;&lt;ref-type name="Journal Article"&gt;17&lt;/ref-type&gt;&lt;contributors&gt;&lt;authors&gt;&lt;author&gt;Chen, Zhilong&lt;/author&gt;&lt;author&gt;Lan, Xiaochong&lt;/author&gt;&lt;author&gt;Piao, Jinghua&lt;/author&gt;&lt;author&gt;Zhang, Yunke&lt;/author&gt;&lt;author&gt;Li, Yong&lt;/author&gt;&lt;/authors&gt;&lt;/contributors&gt;&lt;titles&gt;&lt;title&gt;A mixed-methods analysis of the algorithm-mediated labor of online food deliverers in China&lt;/title&gt;&lt;secondary-title&gt;Proceedings of the ACM on Human-Computer Interaction&lt;/secondary-title&gt;&lt;/titles&gt;&lt;periodical&gt;&lt;full-title&gt;Proceedings of the ACM on Human-Computer Interaction&lt;/full-title&gt;&lt;/periodical&gt;&lt;pages&gt;1-24&lt;/pages&gt;&lt;volume&gt;6&lt;/volume&gt;&lt;number&gt;CSCW2&lt;/number&gt;&lt;dates&gt;&lt;year&gt;2022&lt;/year&gt;&lt;/dates&gt;&lt;isbn&gt;2573-0142&lt;/isbn&gt;&lt;urls&gt;&lt;/urls&gt;&lt;electronic-resource-num&gt;10.1145/3555585&lt;/electronic-resource-num&gt;&lt;/record&gt;&lt;/Cite&gt;&lt;Cite&gt;&lt;Author&gt;Duggan&lt;/Author&gt;&lt;Year&gt;2020&lt;/Year&gt;&lt;RecNum&gt;1436&lt;/RecNum&gt;&lt;record&gt;&lt;rec-number&gt;1436&lt;/rec-number&gt;&lt;foreign-keys&gt;&lt;key app="EN" db-id="axateaap22str3eaaa1xar2n95zaewv2sx5a" timestamp="1765638448"&gt;1436&lt;/key&gt;&lt;/foreign-keys&gt;&lt;ref-type name="Journal Article"&gt;17&lt;/ref-type&gt;&lt;contributors&gt;&lt;authors&gt;&lt;author&gt;Duggan, James&lt;/author&gt;&lt;author&gt;Sherman, Ultan&lt;/author&gt;&lt;author&gt;Carbery, Ronan&lt;/author&gt;&lt;author&gt;McDonnell, Anthony&lt;/author&gt;&lt;/authors&gt;&lt;/contributors&gt;&lt;titles&gt;&lt;title&gt;Algorithmic management and app</w:instrText>
      </w:r>
      <w:r>
        <w:rPr>
          <w:rFonts w:ascii="Arial" w:eastAsia="Calibri" w:hAnsi="Arial" w:cs="Arial" w:hint="eastAsia"/>
          <w:szCs w:val="22"/>
          <w:lang w:eastAsia="zh-CN"/>
        </w:rPr>
        <w:instrText>‐</w:instrText>
      </w:r>
      <w:r>
        <w:rPr>
          <w:rFonts w:ascii="Arial" w:eastAsia="Calibri" w:hAnsi="Arial" w:cs="Arial"/>
          <w:szCs w:val="22"/>
          <w:lang w:eastAsia="zh-CN"/>
        </w:rPr>
        <w:instrText>work in the gig economy: A research agenda for employment relations and HRM&lt;/title&gt;&lt;secondary-title&gt;Human resource management journal&lt;/secondary-title&gt;&lt;/titles&gt;&lt;periodical&gt;&lt;full-title&gt;Human resource management journal&lt;/full-title&gt;&lt;/periodical&gt;&lt;pages&gt;114-132&lt;/pages&gt;&lt;volume&gt;30&lt;/volume&gt;&lt;number&gt;1&lt;/number&gt;&lt;dates&gt;&lt;year&gt;2020&lt;/year&gt;&lt;/dates&gt;&lt;isbn&gt;0954-5395&lt;/isbn&gt;&lt;urls&gt;&lt;/urls&gt;&lt;electronic-resource-num&gt;10.1111/1748-8583.12258&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(Chen et al., 2022; Duggan et al., 2020)</w:t>
      </w:r>
      <w:r>
        <w:rPr>
          <w:rFonts w:ascii="Arial" w:eastAsia="Calibri" w:hAnsi="Arial" w:cs="Arial"/>
          <w:szCs w:val="22"/>
          <w:lang w:eastAsia="zh-CN"/>
        </w:rPr>
        <w:fldChar w:fldCharType="end"/>
      </w:r>
      <w:r>
        <w:rPr>
          <w:rFonts w:ascii="Arial" w:eastAsia="Calibri" w:hAnsi="Arial" w:cs="Arial"/>
          <w:szCs w:val="22"/>
          <w:lang w:eastAsia="zh-CN"/>
        </w:rPr>
        <w:t xml:space="preserve">. Third, CRT offers a powerful lens for understanding and mediating cultural dissonance but has rarely been explicitly applied to bridge school and enterprise cultures in TVET internships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&lt;EndNote&gt;&lt;Cite&gt;&lt;Author&gt;Ladson-Billings&lt;/Author&gt;&lt;Year&gt;1995&lt;/Year&gt;&lt;RecNum&gt;1416&lt;/RecNum&gt;&lt;DisplayText&gt;(Ladson-Billings, 1995; Liu et al., 2025b)&lt;/DisplayText&gt;&lt;record&gt;&lt;rec-number&gt;1416&lt;/rec-number&gt;&lt;foreign-keys&gt;&lt;key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Cite&gt;&lt;Author&gt;Liu&lt;/Author&gt;&lt;Year&gt;2025&lt;/Year&gt;&lt;RecNum&gt;1258&lt;/RecNum&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(Ladson-Billings, 1995; Liu et al., 2025b)</w:t>
      </w:r>
      <w:r>
        <w:rPr>
          <w:rFonts w:ascii="Arial" w:eastAsia="Calibri" w:hAnsi="Arial" w:cs="Arial"/>
          <w:szCs w:val="22"/>
          <w:lang w:eastAsia="zh-CN"/>
        </w:rPr>
        <w:fldChar w:fldCharType="end"/>
      </w:r>
      <w:r>
        <w:rPr>
          <w:rFonts w:ascii="Arial" w:eastAsia="Calibri" w:hAnsi="Arial" w:cs="Arial"/>
          <w:szCs w:val="22"/>
          <w:lang w:eastAsia="zh-CN"/>
        </w:rPr>
        <w:t xml:space="preserve">. Fourth, reflective practice and narrative inquiry provide a rich theoretical basis for viewing professional identity as a narrative achievement, yet there is limited empirical work on how structured narrative tools can </w:t>
      </w:r>
      <w:r>
        <w:rPr>
          <w:rFonts w:ascii="Arial" w:eastAsia="Calibri" w:hAnsi="Arial" w:cs="Arial"/>
          <w:szCs w:val="22"/>
          <w:lang w:eastAsia="zh-CN"/>
        </w:rPr>
        <w:lastRenderedPageBreak/>
        <w:t xml:space="preserve">embed value reasoning into everyday vocational tasks </w:t>
      </w:r>
      <w:r>
        <w:rPr>
          <w:rFonts w:ascii="Arial" w:eastAsia="Calibri" w:hAnsi="Arial" w:cs="Arial"/>
          <w:szCs w:val="22"/>
          <w:lang w:eastAsia="zh-CN"/>
        </w:rPr>
        <w:fldChar w:fldCharType="begin"/>
      </w:r>
      <w:r>
        <w:rPr>
          <w:rFonts w:ascii="Arial" w:eastAsia="Calibri" w:hAnsi="Arial" w:cs="Arial"/>
          <w:szCs w:val="22"/>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eastAsia="Calibri" w:hAnsi="Arial" w:cs="Arial"/>
          <w:szCs w:val="22"/>
          <w:lang w:eastAsia="zh-CN"/>
        </w:rPr>
        <w:fldChar w:fldCharType="separate"/>
      </w:r>
      <w:r>
        <w:rPr>
          <w:rFonts w:ascii="Arial" w:eastAsia="Calibri" w:hAnsi="Arial" w:cs="Arial"/>
          <w:szCs w:val="22"/>
          <w:lang w:eastAsia="zh-CN"/>
        </w:rPr>
        <w:t>(Schön, 2017)</w:t>
      </w:r>
      <w:r>
        <w:rPr>
          <w:rFonts w:ascii="Arial" w:eastAsia="Calibri" w:hAnsi="Arial" w:cs="Arial"/>
          <w:szCs w:val="22"/>
          <w:lang w:eastAsia="zh-CN"/>
        </w:rPr>
        <w:fldChar w:fldCharType="end"/>
      </w:r>
      <w:r>
        <w:rPr>
          <w:rFonts w:ascii="Arial" w:eastAsia="Calibri" w:hAnsi="Arial" w:cs="Arial"/>
          <w:szCs w:val="22"/>
          <w:lang w:eastAsia="zh-CN"/>
        </w:rPr>
        <w:t>.</w:t>
      </w:r>
    </w:p>
    <w:p w14:paraId="0392CB0D" w14:textId="77777777" w:rsidR="00CE4696" w:rsidRDefault="00E7512E">
      <w:pPr>
        <w:widowControl w:val="0"/>
        <w:spacing w:line="360" w:lineRule="auto"/>
        <w:jc w:val="both"/>
        <w:rPr>
          <w:rFonts w:ascii="Arial" w:hAnsi="Arial" w:cs="Arial"/>
        </w:rPr>
      </w:pPr>
      <w:r>
        <w:rPr>
          <w:rFonts w:ascii="Arial" w:eastAsia="Calibri" w:hAnsi="Arial" w:cs="Arial"/>
          <w:szCs w:val="22"/>
          <w:lang w:eastAsia="zh-CN"/>
        </w:rPr>
        <w:t>These gaps define the conceptual space for the present study. Empirically, there is a lack of research that combines culturally responsive mediation with structured narrative reflection to address digital-era alienation in real high-pressure internship settings. Conceptually, existing work has not fully articulated how moral–political education can be structurally coupled with technical training so that values are enacted within, rather than appended to, productive activity.</w:t>
      </w:r>
    </w:p>
    <w:p w14:paraId="318456E3" w14:textId="77777777" w:rsidR="00CE4696" w:rsidRDefault="00CE4696">
      <w:pPr>
        <w:pStyle w:val="Body"/>
        <w:spacing w:after="0"/>
        <w:rPr>
          <w:rFonts w:ascii="Arial" w:hAnsi="Arial" w:cs="Arial"/>
        </w:rPr>
      </w:pPr>
    </w:p>
    <w:p w14:paraId="3D061FE7" w14:textId="42B76CDA" w:rsidR="00CE4696" w:rsidRDefault="00E7512E">
      <w:pPr>
        <w:pStyle w:val="Head1"/>
        <w:spacing w:after="0"/>
        <w:jc w:val="both"/>
        <w:rPr>
          <w:rFonts w:ascii="Arial" w:hAnsi="Arial" w:cs="Arial"/>
        </w:rPr>
      </w:pPr>
      <w:r>
        <w:rPr>
          <w:rFonts w:ascii="Arial" w:hAnsi="Arial" w:cs="Arial"/>
        </w:rPr>
        <w:t xml:space="preserve">3. </w:t>
      </w:r>
      <w:r w:rsidR="00194564" w:rsidRPr="00194564">
        <w:rPr>
          <w:rFonts w:ascii="Arial" w:hAnsi="Arial" w:cs="Arial"/>
        </w:rPr>
        <w:t>methodolog</w:t>
      </w:r>
      <w:r w:rsidR="00194564">
        <w:rPr>
          <w:rFonts w:ascii="Arial" w:hAnsi="Arial" w:cs="Arial"/>
        </w:rPr>
        <w:t xml:space="preserve">y </w:t>
      </w:r>
    </w:p>
    <w:p w14:paraId="2F02A7CD" w14:textId="77777777" w:rsidR="00CE4696" w:rsidRDefault="00CE4696">
      <w:pPr>
        <w:pStyle w:val="Head1"/>
        <w:spacing w:after="0"/>
        <w:jc w:val="both"/>
        <w:rPr>
          <w:rFonts w:ascii="Arial" w:hAnsi="Arial" w:cs="Arial"/>
        </w:rPr>
      </w:pPr>
    </w:p>
    <w:p w14:paraId="13EC36DF" w14:textId="77777777" w:rsidR="00CE4696" w:rsidRDefault="00E7512E">
      <w:pPr>
        <w:widowControl w:val="0"/>
        <w:spacing w:line="360" w:lineRule="auto"/>
        <w:jc w:val="both"/>
        <w:rPr>
          <w:rFonts w:ascii="Arial" w:hAnsi="Arial" w:cs="Arial"/>
        </w:rPr>
      </w:pPr>
      <w:r>
        <w:rPr>
          <w:rFonts w:ascii="Arial" w:hAnsi="Arial" w:cs="Arial"/>
          <w:lang w:eastAsia="zh-CN"/>
        </w:rPr>
        <w:t xml:space="preserve">This study employs an instrumental case study design </w:t>
      </w:r>
      <w:r>
        <w:rPr>
          <w:rFonts w:ascii="Arial" w:hAnsi="Arial" w:cs="Arial"/>
          <w:lang w:eastAsia="zh-CN"/>
        </w:rPr>
        <w:fldChar w:fldCharType="begin"/>
      </w:r>
      <w:r>
        <w:rPr>
          <w:rFonts w:ascii="Arial" w:hAnsi="Arial" w:cs="Arial"/>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hAnsi="Arial" w:cs="Arial"/>
          <w:lang w:eastAsia="zh-CN"/>
        </w:rPr>
        <w:fldChar w:fldCharType="separate"/>
      </w:r>
      <w:r>
        <w:rPr>
          <w:rFonts w:ascii="Arial" w:hAnsi="Arial" w:cs="Arial"/>
          <w:lang w:eastAsia="zh-CN"/>
        </w:rPr>
        <w:t>(Owens et al., 2021)</w:t>
      </w:r>
      <w:r>
        <w:rPr>
          <w:rFonts w:ascii="Arial" w:hAnsi="Arial" w:cs="Arial"/>
          <w:lang w:eastAsia="zh-CN"/>
        </w:rPr>
        <w:fldChar w:fldCharType="end"/>
      </w:r>
      <w:r>
        <w:rPr>
          <w:rFonts w:ascii="Arial" w:hAnsi="Arial" w:cs="Arial"/>
          <w:lang w:eastAsia="zh-CN"/>
        </w:rPr>
        <w:t xml:space="preserve"> to generate analytic insight into how the Two-Way Empowerment model operates within a high-intensity vocational internship. A case study approach is appropriate because the research addresses “how” and “why” questions about a contemporary phenomenon embedded in its real-life context and beyond the control of the researcher </w:t>
      </w:r>
      <w:r>
        <w:rPr>
          <w:rFonts w:ascii="Arial" w:hAnsi="Arial" w:cs="Arial"/>
          <w:lang w:eastAsia="zh-CN"/>
        </w:rPr>
        <w:fldChar w:fldCharType="begin"/>
      </w:r>
      <w:r>
        <w:rPr>
          <w:rFonts w:ascii="Arial" w:hAnsi="Arial" w:cs="Arial"/>
          <w:lang w:eastAsia="zh-CN"/>
        </w:rPr>
        <w:instrText xml:space="preserve"> ADDIN EN.CITE &lt;EndNote&gt;&lt;Cite&gt;&lt;Author&gt;Huo&lt;/Author&gt;&lt;Year&gt;2025&lt;/Year&gt;&lt;RecNum&gt;1410&lt;/RecNum&gt;&lt;DisplayText&gt;(Huo et al., 2025)&lt;/DisplayText&gt;&lt;record&gt;&lt;rec-number&gt;1410&lt;/rec-number&gt;&lt;foreign-keys&gt;&lt;key app="EN" db-id="axateaap22str3eaaa1xar2n95zaewv2sx5a" timestamp="1765508741"&gt;1410&lt;/key&gt;&lt;/foreign-keys&gt;&lt;ref-type name="Journal Article"&gt;17&lt;/ref-type&gt;&lt;contributors&gt;&lt;authors&gt;&lt;author&gt;Huo, Yan&lt;/author&gt;&lt;author&gt;Xie, Jin&lt;/author&gt;&lt;author&gt;Shi, Jun&lt;/author&gt;&lt;/authors&gt;&lt;/contributors&gt;&lt;titles&gt;&lt;title&gt;What Chinese moral educators can possibly learn from western character education: A Neo-Aristotelian case&lt;/title&gt;&lt;secondary-title&gt;Journal of Moral Education&lt;/secondary-title&gt;&lt;/titles&gt;&lt;periodical&gt;&lt;full-title&gt;Journal of Moral Education&lt;/full-title&gt;&lt;/periodical&gt;&lt;pages&gt;1-21&lt;/pages&gt;&lt;dates&gt;&lt;year&gt;2025&lt;/year&gt;&lt;/dates&gt;&lt;isbn&gt;0305-7240&lt;/isbn&gt;&lt;urls&gt;&lt;/urls&gt;&lt;electronic-resource-num&gt;10.1080/03057240.2025.2499619&lt;/electronic-resource-num&gt;&lt;/record&gt;&lt;/Cite&gt;&lt;/EndNote&gt;</w:instrText>
      </w:r>
      <w:r>
        <w:rPr>
          <w:rFonts w:ascii="Arial" w:hAnsi="Arial" w:cs="Arial"/>
          <w:lang w:eastAsia="zh-CN"/>
        </w:rPr>
        <w:fldChar w:fldCharType="separate"/>
      </w:r>
      <w:r>
        <w:rPr>
          <w:rFonts w:ascii="Arial" w:hAnsi="Arial" w:cs="Arial"/>
          <w:lang w:eastAsia="zh-CN"/>
        </w:rPr>
        <w:t>(Huo et al., 2025)</w:t>
      </w:r>
      <w:r>
        <w:rPr>
          <w:rFonts w:ascii="Arial" w:hAnsi="Arial" w:cs="Arial"/>
          <w:lang w:eastAsia="zh-CN"/>
        </w:rPr>
        <w:fldChar w:fldCharType="end"/>
      </w:r>
      <w:r>
        <w:rPr>
          <w:rFonts w:ascii="Arial" w:hAnsi="Arial" w:cs="Arial"/>
          <w:lang w:eastAsia="zh-CN"/>
        </w:rPr>
        <w:t xml:space="preserve">. Situated within an interpretivist and constructivist paradigm, the design draws on narrative inquiry to understand how interns make sense of their experiences over time. The methodological aim is to produce thick description of the interaction between institutional arrangements, workplace conditions, and students’ evolving professional identities, and to build an explanatory account that can inform analytic rather than statistical generalization </w:t>
      </w:r>
      <w:r>
        <w:rPr>
          <w:rFonts w:ascii="Arial" w:hAnsi="Arial" w:cs="Arial"/>
          <w:lang w:eastAsia="zh-CN"/>
        </w:rPr>
        <w:fldChar w:fldCharType="begin"/>
      </w:r>
      <w:r>
        <w:rPr>
          <w:rFonts w:ascii="Arial" w:hAnsi="Arial" w:cs="Arial"/>
          <w:lang w:eastAsia="zh-CN"/>
        </w:rPr>
        <w:instrText xml:space="preserve"> ADDIN EN.CITE &lt;EndNote&gt;&lt;Cite&gt;&lt;Author&gt;Huo&lt;/Author&gt;&lt;Year&gt;2025&lt;/Year&gt;&lt;RecNum&gt;1410&lt;/RecNum&gt;&lt;DisplayText&gt;(Huo et al., 2025)&lt;/DisplayText&gt;&lt;record&gt;&lt;rec-number&gt;1410&lt;/rec-number&gt;&lt;foreign-keys&gt;&lt;key app="EN" db-id="axateaap22str3eaaa1xar2n95zaewv2sx5a" timestamp="1765508741"&gt;1410&lt;/key&gt;&lt;/foreign-keys&gt;&lt;ref-type name="Journal Article"&gt;17&lt;/ref-type&gt;&lt;contributors&gt;&lt;authors&gt;&lt;author&gt;Huo, Yan&lt;/author&gt;&lt;author&gt;Xie, Jin&lt;/author&gt;&lt;author&gt;Shi, Jun&lt;/author&gt;&lt;/authors&gt;&lt;/contributors&gt;&lt;titles&gt;&lt;title&gt;What Chinese moral educators can possibly learn from western character education: A Neo-Aristotelian case&lt;/title&gt;&lt;secondary-title&gt;Journal of Moral Education&lt;/secondary-title&gt;&lt;/titles&gt;&lt;periodical&gt;&lt;full-title&gt;Journal of Moral Education&lt;/full-title&gt;&lt;/periodical&gt;&lt;pages&gt;1-21&lt;/pages&gt;&lt;dates&gt;&lt;year&gt;2025&lt;/year&gt;&lt;/dates&gt;&lt;isbn&gt;0305-7240&lt;/isbn&gt;&lt;urls&gt;&lt;/urls&gt;&lt;electronic-resource-num&gt;10.1080/03057240.2025.2499619&lt;/electronic-resource-num&gt;&lt;/record&gt;&lt;/Cite&gt;&lt;/EndNote&gt;</w:instrText>
      </w:r>
      <w:r>
        <w:rPr>
          <w:rFonts w:ascii="Arial" w:hAnsi="Arial" w:cs="Arial"/>
          <w:lang w:eastAsia="zh-CN"/>
        </w:rPr>
        <w:fldChar w:fldCharType="separate"/>
      </w:r>
      <w:r>
        <w:rPr>
          <w:rFonts w:ascii="Arial" w:hAnsi="Arial" w:cs="Arial"/>
          <w:lang w:eastAsia="zh-CN"/>
        </w:rPr>
        <w:t>(Huo et al., 2025)</w:t>
      </w:r>
      <w:r>
        <w:rPr>
          <w:rFonts w:ascii="Arial" w:hAnsi="Arial" w:cs="Arial"/>
          <w:lang w:eastAsia="zh-CN"/>
        </w:rPr>
        <w:fldChar w:fldCharType="end"/>
      </w:r>
      <w:r>
        <w:rPr>
          <w:rFonts w:ascii="Arial" w:hAnsi="Arial" w:cs="Arial"/>
          <w:lang w:eastAsia="zh-CN"/>
        </w:rPr>
        <w:t>. To clarify the intervention logic guiding this case study, Figure 1 presents the Two-Way Empowerment Model, highlighting how CRT-informed dual-tutor mediation and the STAR-P reflective scaffold are expected to transform digitally structured internship experiences into professional agency through mediated meaning-making and action–value integration.</w:t>
      </w:r>
    </w:p>
    <w:p w14:paraId="6801C2DB" w14:textId="77777777" w:rsidR="00CE4696" w:rsidRDefault="00E7512E">
      <w:pPr>
        <w:autoSpaceDE w:val="0"/>
        <w:autoSpaceDN w:val="0"/>
        <w:adjustRightInd w:val="0"/>
        <w:jc w:val="both"/>
        <w:rPr>
          <w:rFonts w:ascii="Arial" w:eastAsia="SimSun" w:hAnsi="Arial" w:cs="Arial"/>
          <w:b/>
          <w:bCs/>
          <w:sz w:val="22"/>
          <w:szCs w:val="22"/>
          <w:lang w:eastAsia="zh-CN"/>
        </w:rPr>
      </w:pPr>
      <w:r>
        <w:rPr>
          <w:rFonts w:ascii="Arial" w:eastAsia="SimSun" w:hAnsi="Arial" w:cs="Arial" w:hint="eastAsia"/>
          <w:b/>
          <w:bCs/>
          <w:noProof/>
          <w:sz w:val="22"/>
          <w:szCs w:val="22"/>
          <w:lang w:eastAsia="zh-CN"/>
        </w:rPr>
        <w:drawing>
          <wp:inline distT="0" distB="0" distL="114300" distR="114300" wp14:anchorId="2C0FB282" wp14:editId="7140001D">
            <wp:extent cx="4864100" cy="2736215"/>
            <wp:effectExtent l="0" t="0" r="0" b="6985"/>
            <wp:docPr id="1" name="图片 1" descr="国赛教学能力大赛实施报告（修改版本）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赛教学能力大赛实施报告（修改版本）_01"/>
                    <pic:cNvPicPr>
                      <a:picLocks noChangeAspect="1"/>
                    </pic:cNvPicPr>
                  </pic:nvPicPr>
                  <pic:blipFill>
                    <a:blip r:embed="rId15"/>
                    <a:stretch>
                      <a:fillRect/>
                    </a:stretch>
                  </pic:blipFill>
                  <pic:spPr>
                    <a:xfrm>
                      <a:off x="0" y="0"/>
                      <a:ext cx="4864100" cy="2736215"/>
                    </a:xfrm>
                    <a:prstGeom prst="rect">
                      <a:avLst/>
                    </a:prstGeom>
                  </pic:spPr>
                </pic:pic>
              </a:graphicData>
            </a:graphic>
          </wp:inline>
        </w:drawing>
      </w:r>
    </w:p>
    <w:p w14:paraId="269D2E17" w14:textId="77777777" w:rsidR="00CE4696" w:rsidRDefault="00E7512E">
      <w:pPr>
        <w:autoSpaceDE w:val="0"/>
        <w:autoSpaceDN w:val="0"/>
        <w:adjustRightInd w:val="0"/>
        <w:ind w:left="360"/>
        <w:jc w:val="both"/>
        <w:rPr>
          <w:rFonts w:ascii="Arial" w:hAnsi="Arial" w:cs="Arial"/>
          <w:i/>
          <w:sz w:val="18"/>
        </w:rPr>
      </w:pPr>
      <w:r>
        <w:rPr>
          <w:rFonts w:ascii="Arial" w:hAnsi="Arial" w:cs="Arial"/>
          <w:b/>
          <w:bCs/>
          <w:szCs w:val="22"/>
        </w:rPr>
        <w:t xml:space="preserve">Fig. 1. </w:t>
      </w:r>
      <w:r>
        <w:rPr>
          <w:rFonts w:ascii="Arial" w:hAnsi="Arial" w:cs="Arial" w:hint="eastAsia"/>
          <w:b/>
          <w:bCs/>
          <w:szCs w:val="22"/>
        </w:rPr>
        <w:t>Two-way Empowerment Model</w:t>
      </w:r>
    </w:p>
    <w:p w14:paraId="76FDFCB9" w14:textId="77777777" w:rsidR="00CE4696" w:rsidRDefault="00CE4696">
      <w:pPr>
        <w:pStyle w:val="Body"/>
        <w:spacing w:after="0"/>
        <w:rPr>
          <w:rFonts w:ascii="Arial" w:hAnsi="Arial" w:cs="Arial"/>
        </w:rPr>
      </w:pPr>
    </w:p>
    <w:p w14:paraId="08D53348" w14:textId="77777777" w:rsidR="00CE4696" w:rsidRDefault="00E7512E">
      <w:pPr>
        <w:pStyle w:val="Body"/>
        <w:spacing w:after="0"/>
        <w:rPr>
          <w:rFonts w:ascii="Arial" w:hAnsi="Arial" w:cs="Arial"/>
        </w:rPr>
      </w:pPr>
      <w:r>
        <w:rPr>
          <w:rFonts w:ascii="Arial" w:hAnsi="Arial" w:cs="Arial"/>
          <w:b/>
          <w:caps/>
          <w:sz w:val="22"/>
        </w:rPr>
        <w:t xml:space="preserve">3.1 </w:t>
      </w:r>
      <w:r>
        <w:rPr>
          <w:rFonts w:ascii="Arial" w:hAnsi="Arial" w:cs="Arial" w:hint="eastAsia"/>
          <w:b/>
          <w:sz w:val="22"/>
        </w:rPr>
        <w:t>Research Context and Case Selection</w:t>
      </w:r>
    </w:p>
    <w:p w14:paraId="761CFE2F" w14:textId="77777777" w:rsidR="00CE4696" w:rsidRDefault="00CE4696">
      <w:pPr>
        <w:pStyle w:val="Body"/>
        <w:spacing w:after="0"/>
        <w:rPr>
          <w:rFonts w:ascii="Arial" w:hAnsi="Arial" w:cs="Arial"/>
        </w:rPr>
      </w:pPr>
    </w:p>
    <w:p w14:paraId="515057A5" w14:textId="77777777" w:rsidR="00CE4696" w:rsidRDefault="00E7512E">
      <w:pPr>
        <w:pStyle w:val="Body"/>
        <w:spacing w:after="0"/>
        <w:rPr>
          <w:rFonts w:ascii="Arial" w:hAnsi="Arial" w:cs="Arial"/>
        </w:rPr>
      </w:pPr>
      <w:r>
        <w:rPr>
          <w:rFonts w:ascii="Arial" w:hAnsi="Arial" w:cs="Arial"/>
          <w:lang w:eastAsia="zh-CN"/>
        </w:rPr>
        <w:t>The empirical context is the Alibaba Employment Internship Base partnered with Guangdong University of Water Resources and Electric Engineering, a large e-commerce logistics hub characterized by high throughput, algorithmic performance monitoring, and stringent error-control procedures. This site was selected through purposeful, critical-case sampling as an information-rich setting where tensions between educational aims and platform-based labor are particularly pronounced.</w:t>
      </w:r>
    </w:p>
    <w:p w14:paraId="123F377A" w14:textId="77777777" w:rsidR="00CE4696" w:rsidRDefault="00E7512E">
      <w:pPr>
        <w:pStyle w:val="Body"/>
        <w:spacing w:after="0"/>
        <w:rPr>
          <w:rFonts w:ascii="Arial" w:hAnsi="Arial" w:cs="Arial"/>
          <w:lang w:eastAsia="zh-CN"/>
        </w:rPr>
      </w:pPr>
      <w:r>
        <w:rPr>
          <w:rFonts w:ascii="Arial" w:hAnsi="Arial" w:cs="Arial"/>
          <w:lang w:eastAsia="zh-CN"/>
        </w:rPr>
        <w:t xml:space="preserve">Consistent with the logic of an instrumental case, the site is not treated as unique for its own sake, but as a strategic context for examining the mechanisms through which culturally responsive mentoring and structured reflection might mitigate digital labor alienation in vocational education </w:t>
      </w:r>
      <w:r>
        <w:rPr>
          <w:rFonts w:ascii="Arial" w:hAnsi="Arial" w:cs="Arial"/>
          <w:lang w:eastAsia="zh-CN"/>
        </w:rPr>
        <w:fldChar w:fldCharType="begin"/>
      </w:r>
      <w:r>
        <w:rPr>
          <w:rFonts w:ascii="Arial" w:hAnsi="Arial" w:cs="Arial"/>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hAnsi="Arial" w:cs="Arial"/>
          <w:lang w:eastAsia="zh-CN"/>
        </w:rPr>
        <w:fldChar w:fldCharType="separate"/>
      </w:r>
      <w:r>
        <w:rPr>
          <w:rFonts w:ascii="Arial" w:hAnsi="Arial" w:cs="Arial"/>
          <w:lang w:eastAsia="zh-CN"/>
        </w:rPr>
        <w:t>(Owens et al., 2021)</w:t>
      </w:r>
      <w:r>
        <w:rPr>
          <w:rFonts w:ascii="Arial" w:hAnsi="Arial" w:cs="Arial"/>
          <w:lang w:eastAsia="zh-CN"/>
        </w:rPr>
        <w:fldChar w:fldCharType="end"/>
      </w:r>
      <w:r>
        <w:rPr>
          <w:rFonts w:ascii="Arial" w:hAnsi="Arial" w:cs="Arial"/>
          <w:lang w:eastAsia="zh-CN"/>
        </w:rPr>
        <w:t>. The case functions as a stress test: if the Two-Way Empowerment model can support value internalization in this high-pressure environment, it is likely to have theoretical and practical relevance for a wider range of vocational internships, including those in less intensive sectors.</w:t>
      </w:r>
    </w:p>
    <w:p w14:paraId="1E3FF154" w14:textId="77777777" w:rsidR="00CE4696" w:rsidRDefault="00CE4696">
      <w:pPr>
        <w:pStyle w:val="Body"/>
        <w:spacing w:after="0"/>
        <w:rPr>
          <w:rFonts w:ascii="Arial" w:hAnsi="Arial" w:cs="Arial"/>
          <w:lang w:eastAsia="zh-CN"/>
        </w:rPr>
      </w:pPr>
    </w:p>
    <w:p w14:paraId="1619EB3A" w14:textId="77777777" w:rsidR="00CE4696" w:rsidRDefault="00E7512E">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Participants and Unit of Analysis</w:t>
      </w:r>
    </w:p>
    <w:p w14:paraId="7B61BD06" w14:textId="77777777" w:rsidR="00CE4696" w:rsidRDefault="00CE4696">
      <w:pPr>
        <w:pStyle w:val="Body"/>
        <w:spacing w:after="0"/>
        <w:rPr>
          <w:rFonts w:ascii="Arial" w:hAnsi="Arial" w:cs="Arial"/>
          <w:lang w:eastAsia="zh-CN"/>
        </w:rPr>
      </w:pPr>
    </w:p>
    <w:p w14:paraId="6F9D8EC8" w14:textId="77777777" w:rsidR="00CE4696" w:rsidRDefault="00E7512E">
      <w:pPr>
        <w:pStyle w:val="Body"/>
        <w:spacing w:after="0"/>
        <w:rPr>
          <w:rFonts w:ascii="Arial" w:hAnsi="Arial" w:cs="Arial"/>
        </w:rPr>
      </w:pPr>
      <w:r>
        <w:rPr>
          <w:rFonts w:ascii="Arial" w:hAnsi="Arial" w:cs="Arial"/>
          <w:lang w:eastAsia="zh-CN"/>
        </w:rPr>
        <w:t>The primary unit of analysis is the 2025 internship cohort: 30 final-year students from the Business English and Cross-border E-commerce programs who completed a ten- to twelve-month placement at the Alibaba base. Occupying a liminal position between student and novice professional, this cohort is well placed for examining the formation of professional values and identities. Sampling was criterion-based and comprehensive: all students enrolled in the program-specific internship who consented to participate were included. In qualitative case study research, sample adequacy is judged by information richness and the potential for analytic saturation rather than numerical representativeness. The size of this cohort produced a substantial longitudinal corpus while remaining manageable for in-depth analysis.</w:t>
      </w:r>
    </w:p>
    <w:p w14:paraId="0A7B7563" w14:textId="77777777" w:rsidR="00CE4696" w:rsidRDefault="00E7512E">
      <w:pPr>
        <w:pStyle w:val="Body"/>
        <w:spacing w:after="0"/>
        <w:rPr>
          <w:rFonts w:ascii="Arial" w:hAnsi="Arial" w:cs="Arial"/>
          <w:lang w:eastAsia="zh-CN"/>
        </w:rPr>
      </w:pPr>
      <w:r>
        <w:rPr>
          <w:rFonts w:ascii="Arial" w:hAnsi="Arial" w:cs="Arial"/>
          <w:lang w:eastAsia="zh-CN"/>
        </w:rPr>
        <w:t xml:space="preserve">All participants received written and oral information about the study and signed informed consent forms. The project was reviewed and approved by the university’s institutional ethics committee. Participation was voluntary and had no bearing on course grades or internship evaluations. To reduce power imbalances, consent was obtained by an administrative staff member who was not involved in teaching or assessment; students were informed that they could withdraw at any time without penalty, and pseudonyms are used in all reports. Because the first author also serves as a school mentor within the internship program, reflexive memos were maintained throughout data collection and analysis to document how this dual role might shape interpretation and to enhance transparency regarding researcher positionality </w:t>
      </w:r>
      <w:r>
        <w:rPr>
          <w:rFonts w:ascii="Arial" w:hAnsi="Arial" w:cs="Arial"/>
          <w:lang w:eastAsia="zh-CN"/>
        </w:rPr>
        <w:fldChar w:fldCharType="begin"/>
      </w:r>
      <w:r>
        <w:rPr>
          <w:rFonts w:ascii="Arial" w:hAnsi="Arial" w:cs="Arial"/>
          <w:lang w:eastAsia="zh-CN"/>
        </w:rPr>
        <w:instrText xml:space="preserve"> ADDIN EN.CITE &lt;EndNote&gt;&lt;Cite&gt;&lt;Author&gt;Liu&lt;/Author&gt;&lt;Year&gt;2025&lt;/Year&gt;&lt;RecNum&gt;1352&lt;/RecNum&gt;&lt;DisplayText&gt;(Liu et al., 2025a)&lt;/DisplayText&gt;&lt;record&gt;&lt;rec-number&gt;1352&lt;/rec-number&gt;&lt;foreign-keys&gt;&lt;key app="EN" db-id="axateaap22str3eaaa1xar2n95zaewv2sx5a" timestamp="1763517421"&gt;1352&lt;/key&gt;&lt;/foreign-keys&gt;&lt;ref-type name="Journal Article"&gt;17&lt;/ref-type&gt;&lt;contributors&gt;&lt;authors&gt;&lt;author&gt;Liu, Weiqi&lt;/author&gt;&lt;author&gt;Huang, Xuxin&lt;/author&gt;&lt;author&gt;Lv, Tingting&lt;/author&gt;&lt;/authors&gt;&lt;/contributors&gt;&lt;titles&gt;&lt;title&gt;The PCCCI Model: A Future-Proof Framework for Cultivating Digitally Fluent Business English Talent in the Age of Intelligence&lt;/title&gt;&lt;secondary-title&gt;International Journal of English Language Studies&lt;/secondary-title&gt;&lt;/titles&gt;&lt;periodical&gt;&lt;full-title&gt;International Journal of English Language Studies&lt;/full-title&gt;&lt;/periodical&gt;&lt;pages&gt;13-21&lt;/pages&gt;&lt;volume&gt;7&lt;/volume&gt;&lt;number&gt;6&lt;/number&gt;&lt;dates&gt;&lt;year&gt;2025&lt;/year&gt;&lt;/dates&gt;&lt;isbn&gt;2707-7578&lt;/isbn&gt;&lt;urls&gt;&lt;/urls&gt;&lt;/record&gt;&lt;/Cite&gt;&lt;/EndNote&gt;</w:instrText>
      </w:r>
      <w:r>
        <w:rPr>
          <w:rFonts w:ascii="Arial" w:hAnsi="Arial" w:cs="Arial"/>
          <w:lang w:eastAsia="zh-CN"/>
        </w:rPr>
        <w:fldChar w:fldCharType="separate"/>
      </w:r>
      <w:r>
        <w:rPr>
          <w:rFonts w:ascii="Arial" w:hAnsi="Arial" w:cs="Arial"/>
          <w:lang w:eastAsia="zh-CN"/>
        </w:rPr>
        <w:t>(Liu et al., 2025a)</w:t>
      </w:r>
      <w:r>
        <w:rPr>
          <w:rFonts w:ascii="Arial" w:hAnsi="Arial" w:cs="Arial"/>
          <w:lang w:eastAsia="zh-CN"/>
        </w:rPr>
        <w:fldChar w:fldCharType="end"/>
      </w:r>
      <w:r>
        <w:rPr>
          <w:rFonts w:ascii="Arial" w:hAnsi="Arial" w:cs="Arial"/>
          <w:lang w:eastAsia="zh-CN"/>
        </w:rPr>
        <w:t>.</w:t>
      </w:r>
    </w:p>
    <w:p w14:paraId="3D530BA4" w14:textId="77777777" w:rsidR="00CE4696" w:rsidRDefault="00CE4696">
      <w:pPr>
        <w:pStyle w:val="Body"/>
        <w:spacing w:after="0"/>
        <w:rPr>
          <w:rFonts w:ascii="Arial" w:hAnsi="Arial" w:cs="Arial"/>
          <w:lang w:eastAsia="zh-CN"/>
        </w:rPr>
      </w:pPr>
    </w:p>
    <w:p w14:paraId="35F260A8" w14:textId="77777777" w:rsidR="00CE4696" w:rsidRDefault="00E7512E">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Data Collection</w:t>
      </w:r>
    </w:p>
    <w:p w14:paraId="2E72CAD9" w14:textId="77777777" w:rsidR="00CE4696" w:rsidRDefault="00CE4696">
      <w:pPr>
        <w:pStyle w:val="Body"/>
        <w:spacing w:after="0"/>
        <w:rPr>
          <w:rFonts w:ascii="Arial" w:hAnsi="Arial" w:cs="Arial"/>
        </w:rPr>
      </w:pPr>
    </w:p>
    <w:p w14:paraId="04DCBB0E" w14:textId="77777777" w:rsidR="00CE4696" w:rsidRDefault="00E7512E">
      <w:pPr>
        <w:pStyle w:val="Body"/>
        <w:spacing w:after="0"/>
        <w:rPr>
          <w:rFonts w:ascii="Arial" w:hAnsi="Arial" w:cs="Arial"/>
        </w:rPr>
      </w:pPr>
      <w:r>
        <w:rPr>
          <w:rFonts w:ascii="Arial" w:hAnsi="Arial" w:cs="Arial"/>
          <w:lang w:eastAsia="zh-CN"/>
        </w:rPr>
        <w:t>To open the “black box” of the internship process, the study employed methodological triangulation across three primary data sources collected over twelve months: STAR-P reflective logs, semi-structured interviews, and participant observation. This design allowed both diachronic tracking of identity trajectories and synchronic comparison between self-reported meanings and observed practices.</w:t>
      </w:r>
    </w:p>
    <w:p w14:paraId="2300C1DC" w14:textId="77777777" w:rsidR="00CE4696" w:rsidRDefault="00E7512E">
      <w:pPr>
        <w:pStyle w:val="Body"/>
        <w:spacing w:after="0"/>
        <w:rPr>
          <w:rFonts w:ascii="Arial" w:hAnsi="Arial" w:cs="Arial"/>
        </w:rPr>
      </w:pPr>
      <w:r>
        <w:rPr>
          <w:rFonts w:ascii="Arial" w:hAnsi="Arial" w:cs="Arial"/>
          <w:lang w:eastAsia="zh-CN"/>
        </w:rPr>
        <w:t>First, each student completed weekly STAR-P logs that structured reflection into five components: Situation, Task, Action, Result, and Philosophical Reflection. The final component prompted students to interpret their technical actions in relation to broader ethical, civic, or policy-oriented considerations. The STAR-P protocol was introduced and modeled during pre-internship workshops and then integrated into the internship as a mandatory but non-assessed activity. Across the cohort, this produced a substantial corpus of longitudinal texts that captured how students narrated their labor over time and how far they linked workplace practices to value-laden interpretations.</w:t>
      </w:r>
    </w:p>
    <w:p w14:paraId="6F19CA1E" w14:textId="77777777" w:rsidR="00CE4696" w:rsidRDefault="00E7512E">
      <w:pPr>
        <w:pStyle w:val="Body"/>
        <w:spacing w:after="0"/>
        <w:rPr>
          <w:rFonts w:ascii="Arial" w:hAnsi="Arial" w:cs="Arial"/>
        </w:rPr>
      </w:pPr>
      <w:r>
        <w:rPr>
          <w:rFonts w:ascii="Arial" w:hAnsi="Arial" w:cs="Arial"/>
          <w:lang w:eastAsia="zh-CN"/>
        </w:rPr>
        <w:t>Second, individual semi-structured interviews were conducted with each participant at three key points: prior to entering the internship (entry), approximately midway through (mid-term), and within one month of completion (exit). Entry interviews explored expectations, prior conceptions of labor education, and perceived readiness; mid-term interviews probed experiences of cultural dissonance, alienation, or support within the workplace; exit interviews examined retrospective meaning-making and perceived changes in values and identity. Interviews lasted 45–70 minutes, were conducted in the participants’ preferred language, audio-recorded with consent, and transcribed verbatim.</w:t>
      </w:r>
    </w:p>
    <w:p w14:paraId="4B6BDFC0" w14:textId="77777777" w:rsidR="00CE4696" w:rsidRDefault="00E7512E">
      <w:pPr>
        <w:pStyle w:val="Body"/>
        <w:spacing w:after="0"/>
        <w:rPr>
          <w:rFonts w:ascii="Arial" w:hAnsi="Arial" w:cs="Arial"/>
        </w:rPr>
      </w:pPr>
      <w:r>
        <w:rPr>
          <w:rFonts w:ascii="Arial" w:hAnsi="Arial" w:cs="Arial"/>
          <w:lang w:eastAsia="zh-CN"/>
        </w:rPr>
        <w:t>Third, members of the school mentor team conducted periodic non-participant observations at the internship site. Using a focused observation guide, they documented critical incidents such as conflicts between speed and quality, interactions with supervisors, peer collaboration, and moments in which students explicitly invoked school-based values in their workplace decisions. Field notes were written immediately after each visit and treated as an independent data source rather than as mere contextual background.</w:t>
      </w:r>
    </w:p>
    <w:p w14:paraId="0473B686" w14:textId="77777777" w:rsidR="00CE4696" w:rsidRDefault="00E7512E">
      <w:pPr>
        <w:pStyle w:val="Body"/>
        <w:spacing w:after="0"/>
        <w:rPr>
          <w:rFonts w:ascii="Arial" w:hAnsi="Arial" w:cs="Arial"/>
          <w:lang w:eastAsia="zh-CN"/>
        </w:rPr>
      </w:pPr>
      <w:r>
        <w:rPr>
          <w:rFonts w:ascii="Arial" w:hAnsi="Arial" w:cs="Arial"/>
          <w:lang w:eastAsia="zh-CN"/>
        </w:rPr>
        <w:t>All textual data (STAR-P logs, interview transcripts, and field notes) were anonymized and imported into qualitative data analysis software for organization and coding (Miles et al., 2014). Where necessary, excerpts were translated into English for publication; however, analytic decisions were made based on the original-language data to minimize interpretive loss.</w:t>
      </w:r>
    </w:p>
    <w:p w14:paraId="662DEA20" w14:textId="77777777" w:rsidR="00CE4696" w:rsidRDefault="00CE4696">
      <w:pPr>
        <w:pStyle w:val="Body"/>
        <w:spacing w:after="0"/>
        <w:rPr>
          <w:rFonts w:ascii="Arial" w:hAnsi="Arial" w:cs="Arial"/>
          <w:lang w:eastAsia="zh-CN"/>
        </w:rPr>
      </w:pPr>
    </w:p>
    <w:p w14:paraId="0A7BB75A" w14:textId="77777777" w:rsidR="00CE4696" w:rsidRDefault="00E7512E">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Data Analysis</w:t>
      </w:r>
    </w:p>
    <w:p w14:paraId="4735B67C" w14:textId="77777777" w:rsidR="00CE4696" w:rsidRDefault="00CE4696">
      <w:pPr>
        <w:pStyle w:val="Body"/>
        <w:spacing w:after="0"/>
        <w:rPr>
          <w:rFonts w:ascii="Arial" w:hAnsi="Arial" w:cs="Arial"/>
          <w:lang w:eastAsia="zh-CN"/>
        </w:rPr>
      </w:pPr>
    </w:p>
    <w:p w14:paraId="72A69520" w14:textId="77777777" w:rsidR="00CE4696" w:rsidRDefault="00E7512E">
      <w:pPr>
        <w:pStyle w:val="Body"/>
        <w:spacing w:after="0"/>
        <w:rPr>
          <w:rFonts w:ascii="Arial" w:hAnsi="Arial" w:cs="Arial"/>
        </w:rPr>
      </w:pPr>
      <w:r>
        <w:rPr>
          <w:rFonts w:ascii="Arial" w:hAnsi="Arial" w:cs="Arial"/>
          <w:lang w:eastAsia="zh-CN"/>
        </w:rPr>
        <w:t xml:space="preserve">Data analysis followed an iterative, multi-stage process consistent with narrative inquiry and thematic analysis </w:t>
      </w:r>
      <w:r>
        <w:rPr>
          <w:rFonts w:ascii="Arial" w:hAnsi="Arial" w:cs="Arial"/>
          <w:lang w:eastAsia="zh-CN"/>
        </w:rPr>
        <w:fldChar w:fldCharType="begin"/>
      </w:r>
      <w:r>
        <w:rPr>
          <w:rFonts w:ascii="Arial" w:hAnsi="Arial" w:cs="Arial"/>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hAnsi="Arial" w:cs="Arial"/>
          <w:lang w:eastAsia="zh-CN"/>
        </w:rPr>
        <w:fldChar w:fldCharType="separate"/>
      </w:r>
      <w:r>
        <w:rPr>
          <w:rFonts w:ascii="Arial" w:hAnsi="Arial" w:cs="Arial"/>
          <w:lang w:eastAsia="zh-CN"/>
        </w:rPr>
        <w:t>(Pino Gavidia &amp; Adu, 2022)</w:t>
      </w:r>
      <w:r>
        <w:rPr>
          <w:rFonts w:ascii="Arial" w:hAnsi="Arial" w:cs="Arial"/>
          <w:lang w:eastAsia="zh-CN"/>
        </w:rPr>
        <w:fldChar w:fldCharType="end"/>
      </w:r>
      <w:r>
        <w:rPr>
          <w:rFonts w:ascii="Arial" w:hAnsi="Arial" w:cs="Arial"/>
          <w:lang w:eastAsia="zh-CN"/>
        </w:rPr>
        <w:t>. The first stage involved familiarization: the research team read and re-read all STAR-P logs and interview transcripts while drafting analytic memos on emerging storylines, turning points, and instances of tension between educational and enterprise logic.</w:t>
      </w:r>
    </w:p>
    <w:p w14:paraId="7BB3E3E8" w14:textId="77777777" w:rsidR="00CE4696" w:rsidRDefault="00E7512E">
      <w:pPr>
        <w:pStyle w:val="Body"/>
        <w:spacing w:after="0"/>
        <w:rPr>
          <w:rFonts w:ascii="Arial" w:hAnsi="Arial" w:cs="Arial"/>
        </w:rPr>
      </w:pPr>
      <w:r>
        <w:rPr>
          <w:rFonts w:ascii="Arial" w:hAnsi="Arial" w:cs="Arial"/>
          <w:lang w:eastAsia="zh-CN"/>
        </w:rPr>
        <w:t>In the second stage, open coding was applied line by line to a purposive subset of STAR-P logs and interview transcripts from ten participants to reflect variation in gender, academic performance, and initial attitudes toward the internship. Codes captured actions, meanings, emotions, and evaluative stances. Through constant comparison, these preliminary codes were refined into a shared coding frame that was then applied to the full dataset. Coding was supported by qualitative analysis software and conducted by two researchers. Approximately 20% of the material was double-coded; discrepancies were resolved through discussion until consensus was achieved, in line with recommendations for reflexive rather than purely mechanical approaches to coding reliability.</w:t>
      </w:r>
    </w:p>
    <w:p w14:paraId="3F3B4214" w14:textId="77777777" w:rsidR="00CE4696" w:rsidRDefault="00E7512E">
      <w:pPr>
        <w:pStyle w:val="Body"/>
        <w:spacing w:after="0"/>
        <w:rPr>
          <w:rFonts w:ascii="Arial" w:hAnsi="Arial" w:cs="Arial"/>
        </w:rPr>
      </w:pPr>
      <w:r>
        <w:rPr>
          <w:rFonts w:ascii="Arial" w:hAnsi="Arial" w:cs="Arial"/>
          <w:lang w:eastAsia="zh-CN"/>
        </w:rPr>
        <w:t xml:space="preserve">For the STAR-P corpus specifically, structural narrative analysis focused on the relationship between the Action and Philosophical Reflection sections. The team developed a four-point rubric for narrative coherence, ranging from 0 (no </w:t>
      </w:r>
      <w:r>
        <w:rPr>
          <w:rFonts w:ascii="Arial" w:hAnsi="Arial" w:cs="Arial"/>
          <w:lang w:eastAsia="zh-CN"/>
        </w:rPr>
        <w:lastRenderedPageBreak/>
        <w:t xml:space="preserve">explicit link between action and values) to 3 (explicit, context-specific integration of technical and ethical reasoning). Coherence scores were assigned to each log entry and then examined longitudinally to trace individual and cohort-level trajectories. In parallel, thematic analysis identified shifts in locus of control, from externally oriented narratives emphasizing compulsion and constraint to internally oriented narratives emphasizing responsibility, judgment, and agency </w:t>
      </w:r>
      <w:r>
        <w:rPr>
          <w:rFonts w:ascii="Arial" w:hAnsi="Arial" w:cs="Arial"/>
          <w:lang w:eastAsia="zh-CN"/>
        </w:rPr>
        <w:fldChar w:fldCharType="begin"/>
      </w:r>
      <w:r>
        <w:rPr>
          <w:rFonts w:ascii="Arial" w:hAnsi="Arial" w:cs="Arial"/>
          <w:lang w:eastAsia="zh-CN"/>
        </w:rPr>
        <w:instrText xml:space="preserve"> ADDIN EN.CITE &lt;EndNote&gt;&lt;Cite&gt;&lt;Author&gt;Pino Gavidia&lt;/Author&gt;&lt;Year&gt;2022&lt;/Year&gt;&lt;RecNum&gt;1427&lt;/RecNum&gt;&lt;DisplayText&gt;(Pino Gavidia &amp;amp; Adu, 2022)&lt;/DisplayText&gt;&lt;record&gt;&lt;rec-number&gt;1427&lt;/rec-number&gt;&lt;foreign-keys&gt;&lt;key app="EN" db-id="axateaap22str3eaaa1xar2n95zaewv2sx5a" timestamp="1765618067"&gt;1427&lt;/key&gt;&lt;/foreign-keys&gt;&lt;ref-type name="Journal Article"&gt;17&lt;/ref-type&gt;&lt;contributors&gt;&lt;authors&gt;&lt;author&gt;Pino Gavidia, Lisbeth A&lt;/author&gt;&lt;author&gt;Adu, Joseph&lt;/author&gt;&lt;/authors&gt;&lt;/contributors&gt;&lt;titles&gt;&lt;title&gt;Critical narrative inquiry: An examination of a methodological approach&lt;/title&gt;&lt;secondary-title&gt;International Journal of Qualitative Methods&lt;/secondary-title&gt;&lt;/titles&gt;&lt;periodical&gt;&lt;full-title&gt;International Journal of Qualitative Methods&lt;/full-title&gt;&lt;/periodical&gt;&lt;pages&gt;16094069221081594&lt;/pages&gt;&lt;volume&gt;21&lt;/volume&gt;&lt;dates&gt;&lt;year&gt;2022&lt;/year&gt;&lt;/dates&gt;&lt;isbn&gt;1609-4069&lt;/isbn&gt;&lt;urls&gt;&lt;/urls&gt;&lt;electronic-resource-num&gt;10.1177/16094069221081594&lt;/electronic-resource-num&gt;&lt;/record&gt;&lt;/Cite&gt;&lt;/EndNote&gt;</w:instrText>
      </w:r>
      <w:r>
        <w:rPr>
          <w:rFonts w:ascii="Arial" w:hAnsi="Arial" w:cs="Arial"/>
          <w:lang w:eastAsia="zh-CN"/>
        </w:rPr>
        <w:fldChar w:fldCharType="separate"/>
      </w:r>
      <w:r>
        <w:rPr>
          <w:rFonts w:ascii="Arial" w:hAnsi="Arial" w:cs="Arial"/>
          <w:lang w:eastAsia="zh-CN"/>
        </w:rPr>
        <w:t>(Pino Gavidia &amp; Adu, 2022)</w:t>
      </w:r>
      <w:r>
        <w:rPr>
          <w:rFonts w:ascii="Arial" w:hAnsi="Arial" w:cs="Arial"/>
          <w:lang w:eastAsia="zh-CN"/>
        </w:rPr>
        <w:fldChar w:fldCharType="end"/>
      </w:r>
      <w:r>
        <w:rPr>
          <w:rFonts w:ascii="Arial" w:hAnsi="Arial" w:cs="Arial"/>
          <w:lang w:eastAsia="zh-CN"/>
        </w:rPr>
        <w:t>.</w:t>
      </w:r>
    </w:p>
    <w:p w14:paraId="5F62CA69" w14:textId="77777777" w:rsidR="00CE4696" w:rsidRDefault="00E7512E">
      <w:pPr>
        <w:pStyle w:val="Body"/>
        <w:spacing w:after="0"/>
        <w:rPr>
          <w:rFonts w:ascii="Arial" w:hAnsi="Arial" w:cs="Arial"/>
        </w:rPr>
      </w:pPr>
      <w:r>
        <w:rPr>
          <w:rFonts w:ascii="Arial" w:hAnsi="Arial" w:cs="Arial"/>
          <w:lang w:eastAsia="zh-CN"/>
        </w:rPr>
        <w:t xml:space="preserve">In the final stage, triangulation across data sources supported explanation building. Patterns identified in the logs were compared with interview accounts and observational field notes to test rival explanations and refine an emerging mechanism-of-change model for the Two-Way Empowerment approach. Trustworthiness was enhanced through data and method triangulation, member checking of case summaries with a subset of participants, peer debriefing within the research team, and the maintenance of an audit trail documenting key analytic decisions </w:t>
      </w:r>
      <w:r>
        <w:rPr>
          <w:rFonts w:ascii="Arial" w:hAnsi="Arial" w:cs="Arial"/>
          <w:lang w:eastAsia="zh-CN"/>
        </w:rPr>
        <w:fldChar w:fldCharType="begin"/>
      </w:r>
      <w:r>
        <w:rPr>
          <w:rFonts w:ascii="Arial" w:hAnsi="Arial" w:cs="Arial"/>
          <w:lang w:eastAsia="zh-CN"/>
        </w:rPr>
        <w:instrText xml:space="preserve"> ADDIN EN.CITE &lt;EndNote&gt;&lt;Cite&gt;&lt;Author&gt;Fuller&lt;/Author&gt;&lt;Year&gt;2003&lt;/Year&gt;&lt;RecNum&gt;1413&lt;/RecNum&gt;&lt;DisplayText&gt;(Fuller &amp;amp; Unwin, 2003)&lt;/DisplayText&gt;&lt;record&gt;&lt;rec-number&gt;1413&lt;/rec-number&gt;&lt;foreign-keys&gt;&lt;key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EndNote&gt;</w:instrText>
      </w:r>
      <w:r>
        <w:rPr>
          <w:rFonts w:ascii="Arial" w:hAnsi="Arial" w:cs="Arial"/>
          <w:lang w:eastAsia="zh-CN"/>
        </w:rPr>
        <w:fldChar w:fldCharType="separate"/>
      </w:r>
      <w:r>
        <w:rPr>
          <w:rFonts w:ascii="Arial" w:hAnsi="Arial" w:cs="Arial"/>
          <w:lang w:eastAsia="zh-CN"/>
        </w:rPr>
        <w:t>(Fuller &amp; Unwin, 2003)</w:t>
      </w:r>
      <w:r>
        <w:rPr>
          <w:rFonts w:ascii="Arial" w:hAnsi="Arial" w:cs="Arial"/>
          <w:lang w:eastAsia="zh-CN"/>
        </w:rPr>
        <w:fldChar w:fldCharType="end"/>
      </w:r>
      <w:r>
        <w:rPr>
          <w:rFonts w:ascii="Arial" w:hAnsi="Arial" w:cs="Arial"/>
          <w:lang w:eastAsia="zh-CN"/>
        </w:rPr>
        <w:t xml:space="preserve">. Rather than aiming for statistical generalization, the study seeks analytic generalization by offering a theoretically grounded account of how culturally responsive mentorship and structured narrative reflection can transform experiences of digital labor in vocational internships </w:t>
      </w:r>
      <w:r>
        <w:rPr>
          <w:rFonts w:ascii="Arial" w:hAnsi="Arial" w:cs="Arial"/>
          <w:lang w:eastAsia="zh-CN"/>
        </w:rPr>
        <w:fldChar w:fldCharType="begin"/>
      </w:r>
      <w:r>
        <w:rPr>
          <w:rFonts w:ascii="Arial" w:hAnsi="Arial" w:cs="Arial"/>
          <w:lang w:eastAsia="zh-CN"/>
        </w:rPr>
        <w:instrText xml:space="preserve"> ADDIN EN.CITE &lt;EndNote&gt;&lt;Cite&gt;&lt;Author&gt;Owens&lt;/Author&gt;&lt;Year&gt;2021&lt;/Year&gt;&lt;RecNum&gt;1434&lt;/RecNum&gt;&lt;DisplayText&gt;(Owens et al., 2021)&lt;/DisplayText&gt;&lt;record&gt;&lt;rec-number&gt;1434&lt;/rec-number&gt;&lt;foreign-keys&gt;&lt;key app="EN" db-id="axateaap22str3eaaa1xar2n95zaewv2sx5a" timestamp="1765636901"&gt;1434&lt;/key&gt;&lt;/foreign-keys&gt;&lt;ref-type name="Journal Article"&gt;17&lt;/ref-type&gt;&lt;contributors&gt;&lt;authors&gt;&lt;author&gt;Owens, David C&lt;/author&gt;&lt;author&gt;Sadler, Troy D&lt;/author&gt;&lt;author&gt;Friedrichsen, Patricia&lt;/author&gt;&lt;/authors&gt;&lt;/contributors&gt;&lt;titles&gt;&lt;title&gt;Teaching practices for enactment of socio-scientific issues instruction: An instrumental case study of an experienced biology teacher&lt;/title&gt;&lt;secondary-title&gt;Research in Science Education&lt;/secondary-title&gt;&lt;/titles&gt;&lt;periodical&gt;&lt;full-title&gt;Research in science education&lt;/full-title&gt;&lt;/periodical&gt;&lt;pages&gt;375-398&lt;/pages&gt;&lt;volume&gt;51&lt;/volume&gt;&lt;number&gt;2&lt;/number&gt;&lt;dates&gt;&lt;year&gt;2021&lt;/year&gt;&lt;/dates&gt;&lt;isbn&gt;0157-244X&lt;/isbn&gt;&lt;urls&gt;&lt;/urls&gt;&lt;electronic-resource-num&gt;10.1007/s11165-018-9799-3&lt;/electronic-resource-num&gt;&lt;/record&gt;&lt;/Cite&gt;&lt;/EndNote&gt;</w:instrText>
      </w:r>
      <w:r>
        <w:rPr>
          <w:rFonts w:ascii="Arial" w:hAnsi="Arial" w:cs="Arial"/>
          <w:lang w:eastAsia="zh-CN"/>
        </w:rPr>
        <w:fldChar w:fldCharType="separate"/>
      </w:r>
      <w:r>
        <w:rPr>
          <w:rFonts w:ascii="Arial" w:hAnsi="Arial" w:cs="Arial"/>
          <w:lang w:eastAsia="zh-CN"/>
        </w:rPr>
        <w:t>(Owens et al., 2021)</w:t>
      </w:r>
      <w:r>
        <w:rPr>
          <w:rFonts w:ascii="Arial" w:hAnsi="Arial" w:cs="Arial"/>
          <w:lang w:eastAsia="zh-CN"/>
        </w:rPr>
        <w:fldChar w:fldCharType="end"/>
      </w:r>
      <w:r>
        <w:rPr>
          <w:rFonts w:ascii="Arial" w:hAnsi="Arial" w:cs="Arial"/>
          <w:lang w:eastAsia="zh-CN"/>
        </w:rPr>
        <w:t>.</w:t>
      </w:r>
    </w:p>
    <w:p w14:paraId="6BFC137B" w14:textId="77777777" w:rsidR="00CE4696" w:rsidRDefault="00CE4696">
      <w:pPr>
        <w:pStyle w:val="Body"/>
        <w:spacing w:after="0"/>
        <w:rPr>
          <w:rFonts w:ascii="Arial" w:hAnsi="Arial" w:cs="Arial"/>
        </w:rPr>
      </w:pPr>
    </w:p>
    <w:p w14:paraId="408440C2" w14:textId="77777777" w:rsidR="00CE4696" w:rsidRDefault="00E7512E">
      <w:pPr>
        <w:pStyle w:val="ConcHead"/>
        <w:spacing w:after="0"/>
        <w:jc w:val="both"/>
        <w:rPr>
          <w:rFonts w:ascii="Arial" w:eastAsia="SimSun" w:hAnsi="Arial" w:cs="Arial"/>
          <w:lang w:eastAsia="zh-CN"/>
        </w:rPr>
      </w:pPr>
      <w:r>
        <w:rPr>
          <w:rFonts w:ascii="Arial" w:hAnsi="Arial" w:cs="Arial"/>
        </w:rPr>
        <w:t xml:space="preserve">4. </w:t>
      </w:r>
      <w:r>
        <w:rPr>
          <w:rFonts w:ascii="Arial" w:eastAsia="SimSun" w:hAnsi="Arial" w:cs="Arial" w:hint="eastAsia"/>
          <w:lang w:eastAsia="zh-CN"/>
        </w:rPr>
        <w:t>findings</w:t>
      </w:r>
    </w:p>
    <w:p w14:paraId="2CB51BAF" w14:textId="77777777" w:rsidR="00CE4696" w:rsidRDefault="00CE4696">
      <w:pPr>
        <w:pStyle w:val="ConcHead"/>
        <w:spacing w:after="0"/>
        <w:jc w:val="both"/>
        <w:rPr>
          <w:rFonts w:ascii="Arial" w:hAnsi="Arial" w:cs="Arial"/>
        </w:rPr>
      </w:pPr>
    </w:p>
    <w:p w14:paraId="3AF3CDCF" w14:textId="77777777" w:rsidR="00CE4696" w:rsidRDefault="00E7512E">
      <w:pPr>
        <w:pStyle w:val="Body"/>
        <w:spacing w:after="0"/>
        <w:rPr>
          <w:rFonts w:ascii="Arial" w:hAnsi="Arial" w:cs="Arial"/>
          <w:lang w:eastAsia="zh-CN"/>
        </w:rPr>
      </w:pPr>
      <w:r>
        <w:rPr>
          <w:rFonts w:ascii="Arial" w:hAnsi="Arial" w:cs="Arial"/>
          <w:lang w:eastAsia="zh-CN"/>
        </w:rPr>
        <w:t xml:space="preserve">The triangulation of STAR-P logs, longitudinal interviews, and observational field notes reveals that integration between the educational and enterprise contexts is not an automatic outcome of internship participation. Rather, it emerges through a sequence of mediated psychological shifts. </w:t>
      </w:r>
    </w:p>
    <w:p w14:paraId="362B51BF" w14:textId="77777777" w:rsidR="00CE4696" w:rsidRDefault="00CE4696">
      <w:pPr>
        <w:pStyle w:val="Body"/>
        <w:spacing w:after="0"/>
        <w:rPr>
          <w:rFonts w:ascii="Arial" w:hAnsi="Arial" w:cs="Arial"/>
          <w:lang w:eastAsia="zh-CN"/>
        </w:rPr>
      </w:pPr>
    </w:p>
    <w:p w14:paraId="36EBD42B" w14:textId="77777777" w:rsidR="00CE4696" w:rsidRDefault="00E7512E">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1</w:t>
      </w:r>
      <w:r>
        <w:rPr>
          <w:rFonts w:ascii="Arial" w:hAnsi="Arial" w:cs="Arial"/>
          <w:b/>
          <w:caps/>
          <w:sz w:val="22"/>
        </w:rPr>
        <w:t xml:space="preserve"> </w:t>
      </w:r>
      <w:r>
        <w:rPr>
          <w:rFonts w:ascii="Arial" w:hAnsi="Arial" w:cs="Arial" w:hint="eastAsia"/>
          <w:b/>
          <w:sz w:val="22"/>
        </w:rPr>
        <w:t>The Experience of Alienation: Baseline Condition</w:t>
      </w:r>
    </w:p>
    <w:p w14:paraId="10374FEA" w14:textId="77777777" w:rsidR="00CE4696" w:rsidRDefault="00CE4696">
      <w:pPr>
        <w:pStyle w:val="Body"/>
        <w:spacing w:after="0"/>
        <w:rPr>
          <w:rFonts w:ascii="Arial" w:hAnsi="Arial" w:cs="Arial"/>
          <w:lang w:eastAsia="zh-CN"/>
        </w:rPr>
      </w:pPr>
    </w:p>
    <w:p w14:paraId="350172C4" w14:textId="77777777" w:rsidR="00CE4696" w:rsidRDefault="00E7512E">
      <w:pPr>
        <w:pStyle w:val="Body"/>
        <w:spacing w:after="0"/>
        <w:rPr>
          <w:rFonts w:ascii="Arial" w:hAnsi="Arial" w:cs="Arial"/>
        </w:rPr>
      </w:pPr>
      <w:r>
        <w:rPr>
          <w:rFonts w:ascii="Arial" w:hAnsi="Arial" w:cs="Arial"/>
          <w:lang w:eastAsia="zh-CN"/>
        </w:rPr>
        <w:t>The first analytic phase confirmed that an unmediated internship in a digitally managed logistics hub tends to function as a source of alienation. Entry and mid-term interviews consistently described a sharp contrast between the supportive culture of the university and the tightly monitored environment of the warehouse. Students reported that the transition “felt like walking into a machine that never stops” (Student A, mid-term interview).</w:t>
      </w:r>
    </w:p>
    <w:p w14:paraId="139C89DF" w14:textId="77777777" w:rsidR="00CE4696" w:rsidRDefault="00E7512E">
      <w:pPr>
        <w:pStyle w:val="Body"/>
        <w:spacing w:after="0"/>
        <w:rPr>
          <w:rFonts w:ascii="Arial" w:hAnsi="Arial" w:cs="Arial"/>
        </w:rPr>
      </w:pPr>
      <w:r>
        <w:rPr>
          <w:rFonts w:ascii="Arial" w:hAnsi="Arial" w:cs="Arial"/>
          <w:lang w:eastAsia="zh-CN"/>
        </w:rPr>
        <w:t>Approximately two-thirds of participants used mechanistic metaphors to characterize their early experience. Student A captured this vividly:</w:t>
      </w:r>
    </w:p>
    <w:p w14:paraId="7761DA1E" w14:textId="77777777" w:rsidR="00CE4696" w:rsidRDefault="00E7512E">
      <w:pPr>
        <w:pStyle w:val="Body"/>
        <w:spacing w:beforeLines="50" w:before="120" w:afterLines="50" w:after="120"/>
        <w:ind w:leftChars="300" w:left="600" w:rightChars="300" w:right="600"/>
        <w:rPr>
          <w:rFonts w:ascii="Arial" w:hAnsi="Arial" w:cs="Arial"/>
          <w:lang w:eastAsia="zh-CN"/>
        </w:rPr>
      </w:pPr>
      <w:r>
        <w:rPr>
          <w:rFonts w:ascii="Arial" w:hAnsi="Arial" w:cs="Arial"/>
          <w:lang w:eastAsia="zh-CN"/>
        </w:rPr>
        <w:t>“After the first month, I did not feel like a student anymore. I felt like an extension of the scanner. My only job was to beep and move faster.”</w:t>
      </w:r>
      <w:r>
        <w:rPr>
          <w:rFonts w:ascii="Arial" w:hAnsi="Arial" w:cs="Arial"/>
          <w:lang w:eastAsia="zh-CN"/>
        </w:rPr>
        <w:br/>
      </w:r>
      <w:r>
        <w:rPr>
          <w:rFonts w:ascii="Arial" w:hAnsi="Arial" w:cs="Arial"/>
          <w:i/>
          <w:iCs/>
          <w:lang w:eastAsia="zh-CN"/>
        </w:rPr>
        <w:t>(Student A, STAR-P log, Week 4)</w:t>
      </w:r>
    </w:p>
    <w:p w14:paraId="7FF9B43F" w14:textId="77777777" w:rsidR="00CE4696" w:rsidRDefault="00E7512E">
      <w:pPr>
        <w:pStyle w:val="Body"/>
        <w:spacing w:after="0"/>
        <w:rPr>
          <w:rFonts w:ascii="Arial" w:hAnsi="Arial" w:cs="Arial"/>
        </w:rPr>
      </w:pPr>
      <w:r>
        <w:rPr>
          <w:rFonts w:ascii="Arial" w:hAnsi="Arial" w:cs="Arial"/>
          <w:lang w:eastAsia="zh-CN"/>
        </w:rPr>
        <w:t>Students interpreted this environment as a moral conflict. Many described feeling “trapped between two rules” (Student F, mid-term interview). If they slowed down to double-check fragile packages, they risked violating performance targets and attracting supervisor criticism. If they worked faster and ignored doubts, they felt they were betraying the emphasis on care and responsibility they had learned at school. Several participants framed this as having to choose between “being a good worker” and “being a good person,” with the workplace seemingly rewarding only the former.</w:t>
      </w:r>
    </w:p>
    <w:p w14:paraId="2984BEC3" w14:textId="77777777" w:rsidR="00CE4696" w:rsidRDefault="00E7512E">
      <w:pPr>
        <w:pStyle w:val="Body"/>
        <w:spacing w:after="0"/>
        <w:rPr>
          <w:rFonts w:ascii="Arial" w:hAnsi="Arial" w:cs="Arial"/>
        </w:rPr>
      </w:pPr>
      <w:r>
        <w:rPr>
          <w:rFonts w:ascii="Arial" w:hAnsi="Arial" w:cs="Arial"/>
          <w:lang w:eastAsia="zh-CN"/>
        </w:rPr>
        <w:t>Observational data supported these accounts. Field notes documented frequent reminders from supervisors about “pieces per hour” and “zero mistakes,” often delivered through digital dashboards rather than direct conversation. In this phase, STAR-P logs tended to describe work as repetitive and externally controlled. Even when students mentioned national policies or school values, these references appeared as slogans pasted at the end of entries, disconnected from the detailed account of tasks.</w:t>
      </w:r>
    </w:p>
    <w:p w14:paraId="64970BA4" w14:textId="77777777" w:rsidR="00CE4696" w:rsidRDefault="00E7512E">
      <w:pPr>
        <w:pStyle w:val="Body"/>
        <w:spacing w:after="0"/>
        <w:rPr>
          <w:rFonts w:ascii="Arial" w:hAnsi="Arial" w:cs="Arial"/>
          <w:lang w:eastAsia="zh-CN"/>
        </w:rPr>
      </w:pPr>
      <w:r>
        <w:rPr>
          <w:rFonts w:ascii="Arial" w:hAnsi="Arial" w:cs="Arial"/>
          <w:lang w:eastAsia="zh-CN"/>
        </w:rPr>
        <w:t>This baseline of alienation demonstrates that exposure to a high-intensity work environment, in the absence of mediating structures, tends to erode rather than cultivate the desired moral and professional dispositions. It establishes the need for mechanisms that can reframe the internship as a learning experience rather than a purely instrumental exchange of time for wages.</w:t>
      </w:r>
    </w:p>
    <w:p w14:paraId="11A67363" w14:textId="77777777" w:rsidR="00CE4696" w:rsidRDefault="00CE4696">
      <w:pPr>
        <w:pStyle w:val="Body"/>
        <w:spacing w:after="0"/>
        <w:rPr>
          <w:rFonts w:ascii="Arial" w:hAnsi="Arial" w:cs="Arial"/>
          <w:lang w:eastAsia="zh-CN"/>
        </w:rPr>
      </w:pPr>
    </w:p>
    <w:p w14:paraId="39A56A84" w14:textId="77777777" w:rsidR="00CE4696" w:rsidRDefault="00E7512E">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Interpretive Reframing: The Dual-Tutor System as Cultural Mediation</w:t>
      </w:r>
    </w:p>
    <w:p w14:paraId="19F423B8" w14:textId="77777777" w:rsidR="00CE4696" w:rsidRDefault="00CE4696">
      <w:pPr>
        <w:pStyle w:val="Body"/>
        <w:spacing w:after="0"/>
        <w:rPr>
          <w:rFonts w:ascii="Arial" w:hAnsi="Arial" w:cs="Arial"/>
          <w:lang w:eastAsia="zh-CN"/>
        </w:rPr>
      </w:pPr>
    </w:p>
    <w:p w14:paraId="460B148C" w14:textId="77777777" w:rsidR="00CE4696" w:rsidRDefault="00E7512E">
      <w:pPr>
        <w:pStyle w:val="Body"/>
        <w:spacing w:after="0"/>
        <w:rPr>
          <w:rFonts w:ascii="Arial" w:hAnsi="Arial" w:cs="Arial"/>
        </w:rPr>
      </w:pPr>
      <w:r>
        <w:rPr>
          <w:rFonts w:ascii="Arial" w:hAnsi="Arial" w:cs="Arial"/>
          <w:lang w:eastAsia="zh-CN"/>
        </w:rPr>
        <w:t>The second mechanism involves interpretive reframing of critical incidents through the Dual-Tutor system. The objective conditions of the warehouse, throughput targets, algorithmic routing, error tolerance, remained constant throughout the internship. What changed was the meaning students attached to these conditions, mediated by the interplay between school and enterprise mentors.</w:t>
      </w:r>
    </w:p>
    <w:p w14:paraId="32201C5F" w14:textId="77777777" w:rsidR="00CE4696" w:rsidRDefault="00E7512E">
      <w:pPr>
        <w:pStyle w:val="Body"/>
        <w:spacing w:after="0"/>
        <w:rPr>
          <w:rFonts w:ascii="Arial" w:hAnsi="Arial" w:cs="Arial"/>
        </w:rPr>
      </w:pPr>
      <w:r>
        <w:rPr>
          <w:rFonts w:ascii="Arial" w:hAnsi="Arial" w:cs="Arial"/>
          <w:lang w:eastAsia="zh-CN"/>
        </w:rPr>
        <w:t>A frequently cited episode concerned Student B, who was reprimanded by a warehouse supervisor after delaying a line to double-check a fragile shipment. Immediately after the incident, Student B wrote:</w:t>
      </w:r>
    </w:p>
    <w:p w14:paraId="14ED365D" w14:textId="77777777" w:rsidR="00CE4696" w:rsidRDefault="00E7512E">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“The supervisor only cares about speed. If I follow what we learned at school about responsibility, I get punished. Maybe all that talk about values is just empty words.”</w:t>
      </w:r>
      <w:r>
        <w:rPr>
          <w:rFonts w:ascii="Arial" w:hAnsi="Arial" w:cs="Arial"/>
          <w:lang w:eastAsia="zh-CN"/>
        </w:rPr>
        <w:br/>
      </w:r>
      <w:r>
        <w:rPr>
          <w:rFonts w:ascii="Arial" w:hAnsi="Arial" w:cs="Arial"/>
          <w:i/>
          <w:iCs/>
          <w:lang w:eastAsia="zh-CN"/>
        </w:rPr>
        <w:t>(Student B, STAR-P log, Week 6)</w:t>
      </w:r>
    </w:p>
    <w:p w14:paraId="6B4B5D0F" w14:textId="77777777" w:rsidR="00CE4696" w:rsidRDefault="00E7512E">
      <w:pPr>
        <w:pStyle w:val="Body"/>
        <w:spacing w:after="0"/>
        <w:rPr>
          <w:rFonts w:ascii="Arial" w:hAnsi="Arial" w:cs="Arial"/>
        </w:rPr>
      </w:pPr>
      <w:r>
        <w:rPr>
          <w:rFonts w:ascii="Arial" w:hAnsi="Arial" w:cs="Arial"/>
          <w:lang w:eastAsia="zh-CN"/>
        </w:rPr>
        <w:lastRenderedPageBreak/>
        <w:t>In the subsequent debriefing, the enterprise mentor explained the systemic logic of the operation: a small delay in one station can disrupt the entire downstream chain, affecting delivery times and customer satisfaction. The school mentor, in turn, validated the student’s ethical concern and reinterpreted the event as a misalignment between intention and operational strategy rather than a moral failure. In a follow-up interview, Student B reflected:</w:t>
      </w:r>
    </w:p>
    <w:p w14:paraId="453DE908" w14:textId="77777777" w:rsidR="00CE4696" w:rsidRDefault="00E7512E">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“Before, I thought quality meant slowing down and checking everything myself. After talking with both mentors, I realized that in logistics, real professionalism is designing a way of working that is both fast and careful. It is not about choosing one side but balancing both.”</w:t>
      </w:r>
      <w:r>
        <w:rPr>
          <w:rFonts w:ascii="Arial" w:hAnsi="Arial" w:cs="Arial"/>
          <w:lang w:eastAsia="zh-CN"/>
        </w:rPr>
        <w:br/>
      </w:r>
      <w:r>
        <w:rPr>
          <w:rFonts w:ascii="Arial" w:hAnsi="Arial" w:cs="Arial"/>
          <w:i/>
          <w:iCs/>
          <w:lang w:eastAsia="zh-CN"/>
        </w:rPr>
        <w:t>(Student B, exit interview)</w:t>
      </w:r>
    </w:p>
    <w:p w14:paraId="7321B6FD" w14:textId="77777777" w:rsidR="00CE4696" w:rsidRDefault="00E7512E">
      <w:pPr>
        <w:pStyle w:val="Body"/>
        <w:spacing w:after="0"/>
        <w:rPr>
          <w:rFonts w:ascii="Arial" w:hAnsi="Arial" w:cs="Arial"/>
        </w:rPr>
      </w:pPr>
      <w:r>
        <w:rPr>
          <w:rFonts w:ascii="Arial" w:hAnsi="Arial" w:cs="Arial"/>
          <w:lang w:eastAsia="zh-CN"/>
        </w:rPr>
        <w:t>This pattern recurred across cases. Mentors did not ask students to abandon school-based values or to romanticize enterprise demands. Instead, they translated enterprise norms into a language compatible with educational values and translated educational ideals into operational terms. For example, “efficiency” was reframed as a responsibility to customers and colleagues rather than as corporate greed, while “craftsmanship” was reframed as optimizing systems rather than pursuing perfection in isolation.</w:t>
      </w:r>
    </w:p>
    <w:p w14:paraId="6F75F501" w14:textId="77777777" w:rsidR="00CE4696" w:rsidRDefault="00E7512E">
      <w:pPr>
        <w:pStyle w:val="Body"/>
        <w:spacing w:after="0"/>
        <w:rPr>
          <w:rFonts w:ascii="Arial" w:hAnsi="Arial" w:cs="Arial"/>
          <w:lang w:eastAsia="zh-CN"/>
        </w:rPr>
      </w:pPr>
      <w:r>
        <w:rPr>
          <w:rFonts w:ascii="Arial" w:hAnsi="Arial" w:cs="Arial"/>
          <w:lang w:eastAsia="zh-CN"/>
        </w:rPr>
        <w:t>Through these dialogic interventions, students increasingly moved from binary interpretations (“school good, enterprise bad”) to more nuanced understandings of professional responsibility under constraint. The Dual-Tutor system thus functioned as a culturally responsive mediation mechanism, reducing perceived value conflicts and enabling students to see the workplace as a legitimate site for enacting, rather than suspending, ethical commitments. In short, interpretive reframing transformed experiences of injustice and incoherence into opportunities for learning and professional positioning.</w:t>
      </w:r>
    </w:p>
    <w:p w14:paraId="1B451330" w14:textId="77777777" w:rsidR="00CE4696" w:rsidRDefault="00CE4696">
      <w:pPr>
        <w:pStyle w:val="Body"/>
        <w:spacing w:after="0"/>
        <w:rPr>
          <w:rFonts w:ascii="Arial" w:hAnsi="Arial" w:cs="Arial"/>
          <w:lang w:eastAsia="zh-CN"/>
        </w:rPr>
      </w:pPr>
    </w:p>
    <w:p w14:paraId="43FDDA99" w14:textId="77777777" w:rsidR="00CE4696" w:rsidRDefault="00E7512E">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Structural Connection: The Cognitive Scaffold of STAR-P</w:t>
      </w:r>
    </w:p>
    <w:p w14:paraId="7CB80854" w14:textId="77777777" w:rsidR="00CE4696" w:rsidRDefault="00CE4696">
      <w:pPr>
        <w:pStyle w:val="Body"/>
        <w:spacing w:after="0"/>
        <w:rPr>
          <w:rFonts w:ascii="Arial" w:hAnsi="Arial" w:cs="Arial"/>
          <w:lang w:eastAsia="zh-CN"/>
        </w:rPr>
      </w:pPr>
    </w:p>
    <w:p w14:paraId="3B247C2C" w14:textId="77777777" w:rsidR="00CE4696" w:rsidRDefault="00E7512E">
      <w:pPr>
        <w:pStyle w:val="Body"/>
        <w:spacing w:after="0"/>
        <w:rPr>
          <w:rFonts w:ascii="Arial" w:hAnsi="Arial" w:cs="Arial"/>
        </w:rPr>
      </w:pPr>
      <w:r>
        <w:rPr>
          <w:rFonts w:ascii="Arial" w:hAnsi="Arial" w:cs="Arial"/>
          <w:lang w:eastAsia="zh-CN"/>
        </w:rPr>
        <w:t>While the Dual-Tutor system addressed immediate meaning crises, deep internalization of values was fostered by the STAR-P reflective scaffold. Analysis of the log corpus revealed a clear evolution in the relationship between the Action and Philosophical Reflection sections.</w:t>
      </w:r>
    </w:p>
    <w:p w14:paraId="01BC6EFE" w14:textId="77777777" w:rsidR="00CE4696" w:rsidRDefault="00E7512E">
      <w:pPr>
        <w:pStyle w:val="Body"/>
        <w:spacing w:after="0"/>
        <w:rPr>
          <w:rFonts w:ascii="Arial" w:hAnsi="Arial" w:cs="Arial"/>
        </w:rPr>
      </w:pPr>
      <w:r>
        <w:rPr>
          <w:rFonts w:ascii="Arial" w:hAnsi="Arial" w:cs="Arial"/>
          <w:lang w:eastAsia="zh-CN"/>
        </w:rPr>
        <w:t>In the early weeks, the Philosophical component typically consisted of generic statements such as “This shows my dedication to serving the people” or “This reflects the importance of hard work,” often pasted with minimal adaptation. These reflections rarely referenced the specific actions described in the same entry and received low coherence scores on the analytic rubric. One early entry, for instance, read:</w:t>
      </w:r>
    </w:p>
    <w:p w14:paraId="34FAB2EF" w14:textId="77777777" w:rsidR="00CE4696" w:rsidRDefault="00E7512E">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Action: “I scanned and sorted packages for eight hours and tried to increase my speed.”</w:t>
      </w:r>
      <w:r>
        <w:rPr>
          <w:rFonts w:ascii="Arial" w:hAnsi="Arial" w:cs="Arial"/>
          <w:lang w:eastAsia="zh-CN"/>
        </w:rPr>
        <w:br/>
        <w:t>Philosophical Reflection: “This proves that youth should contribute to the nation’s development.”</w:t>
      </w:r>
      <w:r>
        <w:rPr>
          <w:rFonts w:ascii="Arial" w:hAnsi="Arial" w:cs="Arial"/>
          <w:lang w:eastAsia="zh-CN"/>
        </w:rPr>
        <w:br/>
      </w:r>
      <w:r>
        <w:rPr>
          <w:rFonts w:ascii="Arial" w:hAnsi="Arial" w:cs="Arial"/>
          <w:i/>
          <w:iCs/>
          <w:lang w:eastAsia="zh-CN"/>
        </w:rPr>
        <w:t>(Student D, STAR-P log, Week 2)</w:t>
      </w:r>
    </w:p>
    <w:p w14:paraId="10AF3832" w14:textId="77777777" w:rsidR="00CE4696" w:rsidRDefault="00E7512E">
      <w:pPr>
        <w:pStyle w:val="Body"/>
        <w:spacing w:after="0"/>
        <w:rPr>
          <w:rFonts w:ascii="Arial" w:hAnsi="Arial" w:cs="Arial"/>
        </w:rPr>
      </w:pPr>
      <w:r>
        <w:rPr>
          <w:rFonts w:ascii="Arial" w:hAnsi="Arial" w:cs="Arial"/>
          <w:lang w:eastAsia="zh-CN"/>
        </w:rPr>
        <w:t>By the second half of the internship, however, many students began to use the STAR-P structure to construct more integrated narratives. Student C, for example, described redesigning a packing sequence to reduce unnecessary movement:</w:t>
      </w:r>
    </w:p>
    <w:p w14:paraId="2D0B9794" w14:textId="77777777" w:rsidR="00CE4696" w:rsidRDefault="00E7512E">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Action: “I changed the order of items on my table so I could reach everything with fewer steps and less turning. My average time per package dropped from 11 seconds to 8 seconds.”</w:t>
      </w:r>
      <w:r>
        <w:rPr>
          <w:rFonts w:ascii="Arial" w:hAnsi="Arial" w:cs="Arial"/>
          <w:lang w:eastAsia="zh-CN"/>
        </w:rPr>
        <w:br/>
        <w:t xml:space="preserve">Philosophical Reflection: “At </w:t>
      </w:r>
      <w:proofErr w:type="gramStart"/>
      <w:r>
        <w:rPr>
          <w:rFonts w:ascii="Arial" w:hAnsi="Arial" w:cs="Arial"/>
          <w:lang w:eastAsia="zh-CN"/>
        </w:rPr>
        <w:t>first</w:t>
      </w:r>
      <w:proofErr w:type="gramEnd"/>
      <w:r>
        <w:rPr>
          <w:rFonts w:ascii="Arial" w:hAnsi="Arial" w:cs="Arial"/>
          <w:lang w:eastAsia="zh-CN"/>
        </w:rPr>
        <w:t xml:space="preserve"> I thought I was just saving my own energy. Now I see this is also part of resource conservation. If thousands of workers reduce wasted motion, the whole system uses less time and electricity. For me, efficiency is now linked to the idea of green development, not just speed for its own sake.”</w:t>
      </w:r>
      <w:r>
        <w:rPr>
          <w:rFonts w:ascii="Arial" w:hAnsi="Arial" w:cs="Arial"/>
          <w:lang w:eastAsia="zh-CN"/>
        </w:rPr>
        <w:br/>
      </w:r>
      <w:r>
        <w:rPr>
          <w:rFonts w:ascii="Arial" w:hAnsi="Arial" w:cs="Arial"/>
          <w:i/>
          <w:iCs/>
          <w:lang w:eastAsia="zh-CN"/>
        </w:rPr>
        <w:t>(Student C, STAR-P log, Week 8)</w:t>
      </w:r>
    </w:p>
    <w:p w14:paraId="30C2D232" w14:textId="77777777" w:rsidR="00CE4696" w:rsidRDefault="00E7512E">
      <w:pPr>
        <w:pStyle w:val="Body"/>
        <w:spacing w:after="0"/>
        <w:rPr>
          <w:rFonts w:ascii="Arial" w:hAnsi="Arial" w:cs="Arial"/>
        </w:rPr>
      </w:pPr>
      <w:r>
        <w:rPr>
          <w:rFonts w:ascii="Arial" w:hAnsi="Arial" w:cs="Arial"/>
          <w:lang w:eastAsia="zh-CN"/>
        </w:rPr>
        <w:t>Entries of this type received the highest coherence scores because the value reflection emerged directly from the technical episode rather than being appended as a slogan. Longitudinal analysis showed that most students’ reflections moved from abstract, decontextualized statements toward specific, situationally grounded ethical reasoning.</w:t>
      </w:r>
    </w:p>
    <w:p w14:paraId="3D06A24E" w14:textId="77777777" w:rsidR="00CE4696" w:rsidRDefault="00E7512E">
      <w:pPr>
        <w:pStyle w:val="Body"/>
        <w:spacing w:after="0"/>
        <w:rPr>
          <w:rFonts w:ascii="Arial" w:hAnsi="Arial" w:cs="Arial"/>
          <w:lang w:eastAsia="zh-CN"/>
        </w:rPr>
      </w:pPr>
      <w:r>
        <w:rPr>
          <w:rFonts w:ascii="Arial" w:hAnsi="Arial" w:cs="Arial"/>
          <w:lang w:eastAsia="zh-CN"/>
        </w:rPr>
        <w:t>The STAR-P scaffold thus acted as a “forced pause” within the flow of high-speed labor, compelling students to articulate why particular actions mattered beyond meeting immediate targets. The act of writing became an act of identity work: students were not only reporting what they did but also authoring who they were becoming as professionals. This structural connection between action and value indicates that narrative integration is a key mechanism through which labor experiences are transformed into ethical-professional commitments.</w:t>
      </w:r>
    </w:p>
    <w:p w14:paraId="428D5185" w14:textId="77777777" w:rsidR="00CE4696" w:rsidRDefault="00CE4696">
      <w:pPr>
        <w:pStyle w:val="Body"/>
        <w:spacing w:after="0"/>
        <w:rPr>
          <w:rFonts w:ascii="Arial" w:hAnsi="Arial" w:cs="Arial"/>
          <w:lang w:eastAsia="zh-CN"/>
        </w:rPr>
      </w:pPr>
    </w:p>
    <w:p w14:paraId="427D2439" w14:textId="77777777" w:rsidR="00CE4696" w:rsidRDefault="00E7512E">
      <w:pPr>
        <w:pStyle w:val="Body"/>
        <w:spacing w:after="0"/>
        <w:rPr>
          <w:rFonts w:ascii="Arial" w:hAnsi="Arial" w:cs="Arial"/>
        </w:rPr>
      </w:pPr>
      <w:r>
        <w:rPr>
          <w:rFonts w:ascii="Arial" w:eastAsia="SimSun"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The Emergence of Professional Agency</w:t>
      </w:r>
    </w:p>
    <w:p w14:paraId="55E36E6E" w14:textId="77777777" w:rsidR="00CE4696" w:rsidRDefault="00CE4696">
      <w:pPr>
        <w:pStyle w:val="Body"/>
        <w:spacing w:after="0"/>
        <w:rPr>
          <w:rFonts w:ascii="Arial" w:hAnsi="Arial" w:cs="Arial"/>
          <w:lang w:eastAsia="zh-CN"/>
        </w:rPr>
      </w:pPr>
    </w:p>
    <w:p w14:paraId="111055FE" w14:textId="77777777" w:rsidR="00CE4696" w:rsidRDefault="00E7512E">
      <w:pPr>
        <w:pStyle w:val="Body"/>
        <w:spacing w:after="0"/>
        <w:rPr>
          <w:rFonts w:ascii="Arial" w:hAnsi="Arial" w:cs="Arial"/>
        </w:rPr>
      </w:pPr>
      <w:r>
        <w:rPr>
          <w:rFonts w:ascii="Arial" w:hAnsi="Arial" w:cs="Arial"/>
          <w:lang w:eastAsia="zh-CN"/>
        </w:rPr>
        <w:t>The combined effects of interpretive reframing and narrative scaffolding culminated in the emergence of what we term professional agency: the capacity to act with purpose, judgment, and ownership within the constraints of the algorithmic workplace.</w:t>
      </w:r>
    </w:p>
    <w:p w14:paraId="3ABFB78F" w14:textId="77777777" w:rsidR="00CE4696" w:rsidRDefault="00E7512E">
      <w:pPr>
        <w:pStyle w:val="Body"/>
        <w:spacing w:after="0"/>
        <w:rPr>
          <w:rFonts w:ascii="Arial" w:hAnsi="Arial" w:cs="Arial"/>
        </w:rPr>
      </w:pPr>
      <w:r>
        <w:rPr>
          <w:rFonts w:ascii="Arial" w:hAnsi="Arial" w:cs="Arial"/>
          <w:lang w:eastAsia="zh-CN"/>
        </w:rPr>
        <w:t xml:space="preserve">Comparing entry and exit interviews highlights a marked shift in how participants located control and responsibility. Early accounts were dominated by passive constructions (“we are told,” “the system forces us,” “there is nothing we can do”), </w:t>
      </w:r>
      <w:r>
        <w:rPr>
          <w:rFonts w:ascii="Arial" w:hAnsi="Arial" w:cs="Arial"/>
          <w:lang w:eastAsia="zh-CN"/>
        </w:rPr>
        <w:lastRenderedPageBreak/>
        <w:t>while exit interviews increasingly featured active formulations (“I decided,” “we designed a way,” “I negotiated with the supervisor”). Student E’s narrative illustrates this shift:</w:t>
      </w:r>
    </w:p>
    <w:p w14:paraId="67F1AAF5" w14:textId="77777777" w:rsidR="00CE4696" w:rsidRDefault="00E7512E">
      <w:pPr>
        <w:pStyle w:val="Body"/>
        <w:spacing w:beforeLines="50" w:before="120" w:afterLines="50" w:after="120"/>
        <w:ind w:leftChars="300" w:left="600" w:rightChars="300" w:right="600"/>
        <w:rPr>
          <w:rFonts w:ascii="Arial" w:hAnsi="Arial" w:cs="Arial"/>
          <w:lang w:eastAsia="zh-CN"/>
        </w:rPr>
      </w:pPr>
      <w:r>
        <w:rPr>
          <w:rFonts w:ascii="Arial" w:hAnsi="Arial" w:cs="Arial"/>
          <w:lang w:eastAsia="zh-CN"/>
        </w:rPr>
        <w:t>“At the beginning, I felt the warehouse was like a huge machine, and I was just one small screw. Now I still see the machine, but I also see where I can adjust things. I cannot change the whole system, but I can change how I work and influence my small area.”</w:t>
      </w:r>
      <w:r>
        <w:rPr>
          <w:rFonts w:ascii="Arial" w:hAnsi="Arial" w:cs="Arial"/>
          <w:lang w:eastAsia="zh-CN"/>
        </w:rPr>
        <w:br/>
      </w:r>
      <w:r>
        <w:rPr>
          <w:rFonts w:ascii="Arial" w:hAnsi="Arial" w:cs="Arial"/>
          <w:i/>
          <w:iCs/>
          <w:lang w:eastAsia="zh-CN"/>
        </w:rPr>
        <w:t>(Student E, exit interview)</w:t>
      </w:r>
    </w:p>
    <w:p w14:paraId="3D387A2E" w14:textId="77777777" w:rsidR="00CE4696" w:rsidRDefault="00E7512E">
      <w:pPr>
        <w:pStyle w:val="Body"/>
        <w:spacing w:after="0"/>
        <w:rPr>
          <w:rFonts w:ascii="Arial" w:hAnsi="Arial" w:cs="Arial"/>
        </w:rPr>
      </w:pPr>
      <w:r>
        <w:rPr>
          <w:rFonts w:ascii="Arial" w:hAnsi="Arial" w:cs="Arial"/>
          <w:lang w:eastAsia="zh-CN"/>
        </w:rPr>
        <w:t>Students also began to re-label themselves using professional terms rather than victimizing metaphors. Instead of describing themselves as “robots” or “cheap labor,” they increasingly referred to roles such as “problem solver,” “flow coordinator,” or “quality gatekeeper.” This re-labeling was not merely rhetorical; observational data showed that several participants initiated small-scale improvements to work processes, negotiated task rotations to reduce fatigue, or volunteered to mentor newer interns.</w:t>
      </w:r>
    </w:p>
    <w:p w14:paraId="3AB4163F" w14:textId="77777777" w:rsidR="00CE4696" w:rsidRDefault="00E7512E">
      <w:pPr>
        <w:pStyle w:val="Body"/>
        <w:spacing w:after="0"/>
        <w:rPr>
          <w:rFonts w:ascii="Arial" w:hAnsi="Arial" w:cs="Arial"/>
        </w:rPr>
      </w:pPr>
      <w:r>
        <w:rPr>
          <w:rFonts w:ascii="Arial" w:hAnsi="Arial" w:cs="Arial"/>
          <w:lang w:eastAsia="zh-CN"/>
        </w:rPr>
        <w:t>Crucially, students’ understanding of labor-related values evolved from abstract ideals into situated practices. Where early references to “craftsmanship” or “responsibility” were largely formulaic, later accounts articulated how these values were enacted under pressure, for instance, by maintaining standards while meeting strict deadlines, or by balancing personal well-being with team performance. One student summarized this learning as follows:</w:t>
      </w:r>
    </w:p>
    <w:p w14:paraId="29C63911" w14:textId="77777777" w:rsidR="00CE4696" w:rsidRDefault="00E7512E">
      <w:pPr>
        <w:pStyle w:val="Body"/>
        <w:spacing w:beforeLines="50" w:before="120" w:afterLines="50" w:after="120"/>
        <w:ind w:leftChars="300" w:left="600" w:rightChars="300" w:right="600"/>
        <w:rPr>
          <w:rFonts w:ascii="Arial" w:hAnsi="Arial" w:cs="Arial"/>
          <w:i/>
          <w:iCs/>
          <w:lang w:eastAsia="zh-CN"/>
        </w:rPr>
      </w:pPr>
      <w:r>
        <w:rPr>
          <w:rFonts w:ascii="Arial" w:hAnsi="Arial" w:cs="Arial"/>
          <w:lang w:eastAsia="zh-CN"/>
        </w:rPr>
        <w:t>“Before, I thought having a ‘spirit of labor’ meant not complaining and working hard. Now I think it means holding on to certain principles even when the system is pushing you in another direction and finding professional ways to do that.”</w:t>
      </w:r>
      <w:r>
        <w:rPr>
          <w:rFonts w:ascii="Arial" w:hAnsi="Arial" w:cs="Arial"/>
          <w:lang w:eastAsia="zh-CN"/>
        </w:rPr>
        <w:br/>
      </w:r>
      <w:r>
        <w:rPr>
          <w:rFonts w:ascii="Arial" w:hAnsi="Arial" w:cs="Arial"/>
          <w:i/>
          <w:iCs/>
          <w:lang w:eastAsia="zh-CN"/>
        </w:rPr>
        <w:t>(Student H, exit interview)</w:t>
      </w:r>
    </w:p>
    <w:p w14:paraId="34881446" w14:textId="77777777" w:rsidR="00CE4696" w:rsidRDefault="00E7512E">
      <w:pPr>
        <w:pStyle w:val="Body"/>
        <w:spacing w:after="0"/>
        <w:rPr>
          <w:rFonts w:ascii="Arial" w:hAnsi="Arial" w:cs="Arial"/>
          <w:lang w:eastAsia="zh-CN"/>
        </w:rPr>
      </w:pPr>
      <w:r>
        <w:rPr>
          <w:rFonts w:ascii="Arial" w:hAnsi="Arial" w:cs="Arial"/>
          <w:lang w:eastAsia="zh-CN"/>
        </w:rPr>
        <w:t>These shifts suggest that the Two-Way Empowerment model did more than reduce discomfort and it enabled students to reconfigure their position from interchangeable labor units to reflective practitioners who could navigate, and occasionally reshape, the conditions of digital work. In this sense, professional agency emerges as the cumulative outcome of mediated meaning-making and structurally scaffolded reflection.</w:t>
      </w:r>
    </w:p>
    <w:p w14:paraId="637E85C3" w14:textId="77777777" w:rsidR="00CE4696" w:rsidRDefault="00CE4696">
      <w:pPr>
        <w:pStyle w:val="Body"/>
        <w:spacing w:after="0"/>
        <w:rPr>
          <w:rFonts w:ascii="Arial" w:hAnsi="Arial" w:cs="Arial"/>
        </w:rPr>
      </w:pPr>
    </w:p>
    <w:p w14:paraId="07DE7CDC" w14:textId="77777777" w:rsidR="00CE4696" w:rsidRDefault="00E7512E">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Arial" w:eastAsia="SimSun" w:hAnsi="Arial" w:cs="Arial" w:hint="eastAsia"/>
          <w:lang w:eastAsia="zh-CN"/>
        </w:rPr>
        <w:t>DISCUSSION</w:t>
      </w:r>
    </w:p>
    <w:p w14:paraId="7D68B06D" w14:textId="77777777" w:rsidR="00CE4696" w:rsidRDefault="00CE4696">
      <w:pPr>
        <w:pStyle w:val="Body"/>
        <w:spacing w:after="0"/>
        <w:rPr>
          <w:rFonts w:ascii="Arial" w:hAnsi="Arial" w:cs="Arial"/>
        </w:rPr>
      </w:pPr>
    </w:p>
    <w:p w14:paraId="344541C1" w14:textId="77777777" w:rsidR="00CE4696" w:rsidRDefault="00E7512E">
      <w:pPr>
        <w:pStyle w:val="Body"/>
        <w:spacing w:after="0"/>
        <w:rPr>
          <w:rFonts w:ascii="Arial" w:hAnsi="Arial" w:cs="Arial"/>
          <w:lang w:eastAsia="zh-CN"/>
        </w:rPr>
      </w:pPr>
      <w:r>
        <w:rPr>
          <w:rFonts w:ascii="Arial" w:hAnsi="Arial" w:cs="Arial"/>
          <w:lang w:eastAsia="zh-CN"/>
        </w:rPr>
        <w:t>This study set out to address three related questions: how interns in a platform-based logistics environment initially experience their work (RQ1), how the Two-Way Empowerment model, combining a dual-tutor system with STAR-P, reshapes these experiences (RQ2), and what this reveals about designing internships that integrate moral–civic and technical learning (RQ3). The findings show that interns begin from a baseline of digitally structured alienation, but, through culturally responsive mentoring and structured narrative reflection, many come to reframe their labor as a locus of responsibility, problem-solving, and agency. This section situates these results in relation to existing research and considers their implications.</w:t>
      </w:r>
    </w:p>
    <w:p w14:paraId="5FF86234" w14:textId="77777777" w:rsidR="00CE4696" w:rsidRDefault="00CE4696">
      <w:pPr>
        <w:pStyle w:val="Body"/>
        <w:spacing w:after="0"/>
        <w:rPr>
          <w:rFonts w:ascii="Arial" w:hAnsi="Arial" w:cs="Arial"/>
          <w:lang w:eastAsia="zh-CN"/>
        </w:rPr>
      </w:pPr>
    </w:p>
    <w:p w14:paraId="56DC3D9B" w14:textId="77777777" w:rsidR="00CE4696" w:rsidRDefault="00E7512E">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1</w:t>
      </w:r>
      <w:r>
        <w:rPr>
          <w:rFonts w:ascii="Arial" w:hAnsi="Arial" w:cs="Arial"/>
          <w:b/>
          <w:caps/>
          <w:sz w:val="22"/>
        </w:rPr>
        <w:t xml:space="preserve"> </w:t>
      </w:r>
      <w:r>
        <w:rPr>
          <w:rFonts w:ascii="Arial" w:hAnsi="Arial" w:cs="Arial" w:hint="eastAsia"/>
          <w:b/>
          <w:sz w:val="22"/>
        </w:rPr>
        <w:t>Narrative Construction of Professional Agency</w:t>
      </w:r>
    </w:p>
    <w:p w14:paraId="5A343F8B" w14:textId="77777777" w:rsidR="00CE4696" w:rsidRDefault="00CE4696">
      <w:pPr>
        <w:pStyle w:val="Body"/>
        <w:spacing w:after="0"/>
        <w:rPr>
          <w:rFonts w:ascii="Arial" w:hAnsi="Arial" w:cs="Arial"/>
          <w:lang w:eastAsia="zh-CN"/>
        </w:rPr>
      </w:pPr>
    </w:p>
    <w:p w14:paraId="2176A857" w14:textId="77777777" w:rsidR="00CE4696" w:rsidRDefault="00E7512E">
      <w:pPr>
        <w:pStyle w:val="Body"/>
        <w:spacing w:after="0"/>
        <w:rPr>
          <w:rFonts w:ascii="Arial" w:hAnsi="Arial" w:cs="Arial"/>
          <w:lang w:eastAsia="zh-CN"/>
        </w:rPr>
      </w:pPr>
      <w:r>
        <w:rPr>
          <w:rFonts w:ascii="Arial" w:hAnsi="Arial" w:cs="Arial"/>
          <w:lang w:eastAsia="zh-CN"/>
        </w:rPr>
        <w:t xml:space="preserve">The first contribution concerns the link between narrative reflection and professional agency. In line with notion of the reflective practitioner </w:t>
      </w:r>
      <w:r>
        <w:rPr>
          <w:rFonts w:ascii="Arial" w:hAnsi="Arial" w:cs="Arial"/>
          <w:lang w:eastAsia="zh-CN"/>
        </w:rPr>
        <w:fldChar w:fldCharType="begin"/>
      </w:r>
      <w:r>
        <w:rPr>
          <w:rFonts w:ascii="Arial" w:hAnsi="Arial" w:cs="Arial"/>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hAnsi="Arial" w:cs="Arial"/>
          <w:lang w:eastAsia="zh-CN"/>
        </w:rPr>
        <w:fldChar w:fldCharType="separate"/>
      </w:r>
      <w:r>
        <w:rPr>
          <w:rFonts w:ascii="Arial" w:hAnsi="Arial" w:cs="Arial"/>
          <w:lang w:eastAsia="zh-CN"/>
        </w:rPr>
        <w:t>(Schön, 2017)</w:t>
      </w:r>
      <w:r>
        <w:rPr>
          <w:rFonts w:ascii="Arial" w:hAnsi="Arial" w:cs="Arial"/>
          <w:lang w:eastAsia="zh-CN"/>
        </w:rPr>
        <w:fldChar w:fldCharType="end"/>
      </w:r>
      <w:r>
        <w:rPr>
          <w:rFonts w:ascii="Arial" w:hAnsi="Arial" w:cs="Arial"/>
          <w:lang w:eastAsia="zh-CN"/>
        </w:rPr>
        <w:t>, the study shows that professional learning in internships cannot be reduced to exposure to workplace routines. Unmediated exposure in this case produced alienation rather than the “craftsmanship” or “labor spirit” sought by policy; students initially described themselves as components in a machine. Only when students were required to narrate “what happened” and “why it mattered” on a weekly basis did systematic changes in identity discourse appear.</w:t>
      </w:r>
    </w:p>
    <w:p w14:paraId="6024DA36" w14:textId="77777777" w:rsidR="00CE4696" w:rsidRDefault="00E7512E">
      <w:pPr>
        <w:pStyle w:val="Body"/>
        <w:spacing w:after="0"/>
        <w:rPr>
          <w:rFonts w:ascii="Arial" w:hAnsi="Arial" w:cs="Arial"/>
          <w:lang w:eastAsia="zh-CN"/>
        </w:rPr>
      </w:pPr>
      <w:r>
        <w:rPr>
          <w:rFonts w:ascii="Arial" w:hAnsi="Arial" w:cs="Arial"/>
          <w:lang w:eastAsia="zh-CN"/>
        </w:rPr>
        <w:t xml:space="preserve">The STAR-P scaffold forced a structural linkage between Action and Philosophical Reflection. Early entries reproduced decontextualized slogans; later entries articulated how specific micro-interventions connected to wider commitments such as resource stewardship or collective reliability. This evolution from abstract, generic phrases to context-dependent ethical reasoning echoes narrative inquiry’s view of identity as a “storied” phenomenon </w:t>
      </w:r>
      <w:r>
        <w:rPr>
          <w:rFonts w:ascii="Arial" w:hAnsi="Arial" w:cs="Arial"/>
          <w:lang w:eastAsia="zh-CN"/>
        </w:rPr>
        <w:fldChar w:fldCharType="begin"/>
      </w:r>
      <w:r>
        <w:rPr>
          <w:rFonts w:ascii="Arial" w:hAnsi="Arial" w:cs="Arial"/>
          <w:lang w:eastAsia="zh-CN"/>
        </w:rPr>
        <w:instrText xml:space="preserve"> ADDIN EN.CITE &lt;EndNote&gt;&lt;Cite&gt;&lt;Author&gt;Xiao&lt;/Author&gt;&lt;Year&gt;2025&lt;/Year&gt;&lt;RecNum&gt;1420&lt;/RecNum&gt;&lt;DisplayText&gt;(Xiao et al., 2025)&lt;/DisplayText&gt;&lt;record&gt;&lt;rec-number&gt;1420&lt;/rec-number&gt;&lt;foreign-keys&gt;&lt;key app="EN" db-id="axateaap22str3eaaa1xar2n95zaewv2sx5a" timestamp="1765617071"&gt;1420&lt;/key&gt;&lt;/foreign-keys&gt;&lt;ref-type name="Journal Article"&gt;17&lt;/ref-type&gt;&lt;contributors&gt;&lt;authors&gt;&lt;author&gt;Xiao, Le&lt;/author&gt;&lt;author&gt;Peng, Deqing&lt;/author&gt;&lt;author&gt;Zhong, Jindan&lt;/author&gt;&lt;author&gt;Fang, Tanglin&lt;/author&gt;&lt;author&gt;Dai, Lei&lt;/author&gt;&lt;author&gt;Peng, Xuyun&lt;/author&gt;&lt;author&gt;Yu, Chengying&lt;/author&gt;&lt;author&gt;Huang, Feiyan&lt;/author&gt;&lt;/authors&gt;&lt;/contributors&gt;&lt;titles&gt;&lt;title&gt;Storytelling as a transformative tool: how narrative-based teaching reshapes clinical education outcomes in vocational nursing internships&lt;/title&gt;&lt;secondary-title&gt;Frontiers in Medicine&lt;/secondary-title&gt;&lt;/titles&gt;&lt;periodical&gt;&lt;full-title&gt;Frontiers in Medicine&lt;/full-title&gt;&lt;/periodical&gt;&lt;pages&gt;1587526&lt;/pages&gt;&lt;volume&gt;12&lt;/volume&gt;&lt;dates&gt;&lt;year&gt;2025&lt;/year&gt;&lt;/dates&gt;&lt;isbn&gt;2296-858X&lt;/isbn&gt;&lt;urls&gt;&lt;/urls&gt;&lt;electronic-resource-num&gt;10.3389/fmed.2025.1587526&lt;/electronic-resource-num&gt;&lt;/record&gt;&lt;/Cite&gt;&lt;/EndNote&gt;</w:instrText>
      </w:r>
      <w:r>
        <w:rPr>
          <w:rFonts w:ascii="Arial" w:hAnsi="Arial" w:cs="Arial"/>
          <w:lang w:eastAsia="zh-CN"/>
        </w:rPr>
        <w:fldChar w:fldCharType="separate"/>
      </w:r>
      <w:r>
        <w:rPr>
          <w:rFonts w:ascii="Arial" w:hAnsi="Arial" w:cs="Arial"/>
          <w:lang w:eastAsia="zh-CN"/>
        </w:rPr>
        <w:t>(Xiao et al., 2025)</w:t>
      </w:r>
      <w:r>
        <w:rPr>
          <w:rFonts w:ascii="Arial" w:hAnsi="Arial" w:cs="Arial"/>
          <w:lang w:eastAsia="zh-CN"/>
        </w:rPr>
        <w:fldChar w:fldCharType="end"/>
      </w:r>
      <w:r>
        <w:rPr>
          <w:rFonts w:ascii="Arial" w:hAnsi="Arial" w:cs="Arial"/>
          <w:lang w:eastAsia="zh-CN"/>
        </w:rPr>
        <w:t xml:space="preserve"> and resonates with evidence that carefully scaffolded reflection strengthens both perceived competence and integration of transversal skills </w:t>
      </w:r>
      <w:r>
        <w:rPr>
          <w:rFonts w:ascii="Arial" w:hAnsi="Arial" w:cs="Arial"/>
          <w:lang w:eastAsia="zh-CN"/>
        </w:rPr>
        <w:fldChar w:fldCharType="begin"/>
      </w:r>
      <w:r>
        <w:rPr>
          <w:rFonts w:ascii="Arial" w:hAnsi="Arial" w:cs="Arial"/>
          <w:lang w:eastAsia="zh-CN"/>
        </w:rPr>
        <w:instrText xml:space="preserve"> ADDIN EN.CITE &lt;EndNote&gt;&lt;Cite&gt;&lt;Author&gt;Torres&lt;/Author&gt;&lt;Year&gt;2019&lt;/Year&gt;&lt;RecNum&gt;1069&lt;/RecNum&gt;&lt;DisplayText&gt;(Torres &amp;amp; Pruim, 2019)&lt;/DisplayText&gt;&lt;record&gt;&lt;rec-number&gt;1069&lt;/rec-number&gt;&lt;foreign-keys&gt;&lt;key app="EN" db-id="axateaap22str3eaaa1xar2n95zaewv2sx5a" timestamp="1736662909"&gt;1069&lt;/key&gt;&lt;/foreign-keys&gt;&lt;ref-type name="Journal Article"&gt;17&lt;/ref-type&gt;&lt;contributors&gt;&lt;authors&gt;&lt;author&gt;Torres, D. H.&lt;/author&gt;&lt;author&gt;Pruim, D. E.&lt;/author&gt;&lt;/authors&gt;&lt;/contributors&gt;&lt;auth-address&gt;Brian Lamb School of Communication, Purdue University, West Lafayette, United States&lt;/auth-address&gt;&lt;titles&gt;&lt;title&gt;Scientific storytelling: A narrative strategy for scientific communicators&lt;/title&gt;&lt;secondary-title&gt;Communication Teacher&lt;/secondary-title&gt;&lt;alt-title&gt;Commun. Teach.&lt;/alt-title&gt;&lt;/titles&gt;&lt;periodical&gt;&lt;full-title&gt;Communication Teacher&lt;/full-title&gt;&lt;abbr-1&gt;Commun. Teach.&lt;/abbr-1&gt;&lt;/periodical&gt;&lt;alt-periodical&gt;&lt;full-title&gt;Communication Teacher&lt;/full-title&gt;&lt;abbr-1&gt;Commun. Teach.&lt;/abbr-1&gt;&lt;/alt-periodical&gt;&lt;pages&gt;107-111&lt;/pages&gt;&lt;volume&gt;33&lt;/volume&gt;&lt;number&gt;2&lt;/number&gt;&lt;dates&gt;&lt;year&gt;2019&lt;/year&gt;&lt;/dates&gt;&lt;publisher&gt;Routledge&lt;/publisher&gt;&lt;isbn&gt;17404622 (ISSN)&lt;/isbn&gt;&lt;work-type&gt;Article&lt;/work-type&gt;&lt;urls&gt;&lt;related-urls&gt;&lt;url&gt;https://www.scopus.com/inward/record.uri?eid=2-s2.0-85041307115&amp;amp;doi=10.1080%2f17404622.2017.1400679&amp;amp;partnerID=40&amp;amp;md5=cc8bd5a434f3e649de83ac64483fd818&lt;/url&gt;&lt;/related-urls&gt;&lt;/urls&gt;&lt;electronic-resource-num&gt;10.1080/17404622.2017.1400679&lt;/electronic-resource-num&gt;&lt;remote-database-name&gt;Scopus&lt;/remote-database-name&gt;&lt;language&gt;English&lt;/language&gt;&lt;/record&gt;&lt;/Cite&gt;&lt;/EndNote&gt;</w:instrText>
      </w:r>
      <w:r>
        <w:rPr>
          <w:rFonts w:ascii="Arial" w:hAnsi="Arial" w:cs="Arial"/>
          <w:lang w:eastAsia="zh-CN"/>
        </w:rPr>
        <w:fldChar w:fldCharType="separate"/>
      </w:r>
      <w:r>
        <w:rPr>
          <w:rFonts w:ascii="Arial" w:hAnsi="Arial" w:cs="Arial"/>
          <w:lang w:eastAsia="zh-CN"/>
        </w:rPr>
        <w:t>(Torres &amp; Pruim, 2019)</w:t>
      </w:r>
      <w:r>
        <w:rPr>
          <w:rFonts w:ascii="Arial" w:hAnsi="Arial" w:cs="Arial"/>
          <w:lang w:eastAsia="zh-CN"/>
        </w:rPr>
        <w:fldChar w:fldCharType="end"/>
      </w:r>
      <w:r>
        <w:rPr>
          <w:rFonts w:ascii="Arial" w:hAnsi="Arial" w:cs="Arial"/>
          <w:lang w:eastAsia="zh-CN"/>
        </w:rPr>
        <w:t>.</w:t>
      </w:r>
    </w:p>
    <w:p w14:paraId="00D423D6" w14:textId="77777777" w:rsidR="00CE4696" w:rsidRDefault="00E7512E">
      <w:pPr>
        <w:pStyle w:val="Body"/>
        <w:spacing w:after="0"/>
        <w:rPr>
          <w:rFonts w:ascii="Arial" w:hAnsi="Arial" w:cs="Arial"/>
          <w:lang w:eastAsia="zh-CN"/>
        </w:rPr>
      </w:pPr>
      <w:r>
        <w:rPr>
          <w:rFonts w:ascii="Arial" w:hAnsi="Arial" w:cs="Arial"/>
          <w:lang w:eastAsia="zh-CN"/>
        </w:rPr>
        <w:t xml:space="preserve">Importantly, the longitudinal shift from externally oriented narratives to internally oriented narratives indicates that agency is not a stable trait but a narrative achievement. Students became, in their own words, “problem solvers” and “flow coordinators” rather than “screws” or “robots.” This supports and extends prior work suggesting that employability frameworks based only on listing tasks or competencies underestimate the role of narrative positioning in professional formation </w:t>
      </w:r>
      <w:r>
        <w:rPr>
          <w:rFonts w:ascii="Arial" w:hAnsi="Arial" w:cs="Arial"/>
          <w:lang w:eastAsia="zh-CN"/>
        </w:rPr>
        <w:fldChar w:fldCharType="begin"/>
      </w:r>
      <w:r>
        <w:rPr>
          <w:rFonts w:ascii="Arial" w:hAnsi="Arial" w:cs="Arial"/>
          <w:lang w:eastAsia="zh-CN"/>
        </w:rPr>
        <w:instrText xml:space="preserve"> ADDIN EN.CITE &lt;EndNote&gt;&lt;Cite&gt;&lt;Author&gt;Xiao&lt;/Author&gt;&lt;Year&gt;2025&lt;/Year&gt;&lt;RecNum&gt;1420&lt;/RecNum&gt;&lt;DisplayText&gt;(Xiao et al., 2025)&lt;/DisplayText&gt;&lt;record&gt;&lt;rec-number&gt;1420&lt;/rec-number&gt;&lt;foreign-keys&gt;&lt;key app="EN" db-id="axateaap22str3eaaa1xar2n95zaewv2sx5a" timestamp="1765617071"&gt;1420&lt;/key&gt;&lt;/foreign-keys&gt;&lt;ref-type name="Journal Article"&gt;17&lt;/ref-type&gt;&lt;contributors&gt;&lt;authors&gt;&lt;author&gt;Xiao, Le&lt;/author&gt;&lt;author&gt;Peng, Deqing&lt;/author&gt;&lt;author&gt;Zhong, Jindan&lt;/author&gt;&lt;author&gt;Fang, Tanglin&lt;/author&gt;&lt;author&gt;Dai, Lei&lt;/author&gt;&lt;author&gt;Peng, Xuyun&lt;/author&gt;&lt;author&gt;Yu, Chengying&lt;/author&gt;&lt;author&gt;Huang, Feiyan&lt;/author&gt;&lt;/authors&gt;&lt;/contributors&gt;&lt;titles&gt;&lt;title&gt;Storytelling as a transformative tool: how narrative-based teaching reshapes clinical education outcomes in vocational nursing internships&lt;/title&gt;&lt;secondary-title&gt;Frontiers in Medicine&lt;/secondary-title&gt;&lt;/titles&gt;&lt;periodical&gt;&lt;full-title&gt;Frontiers in Medicine&lt;/full-title&gt;&lt;/periodical&gt;&lt;pages&gt;1587526&lt;/pages&gt;&lt;volume&gt;12&lt;/volume&gt;&lt;dates&gt;&lt;year&gt;2025&lt;/year&gt;&lt;/dates&gt;&lt;isbn&gt;2296-858X&lt;/isbn&gt;&lt;urls&gt;&lt;/urls&gt;&lt;electronic-resource-num&gt;10.3389/fmed.2025.1587526&lt;/electronic-resource-num&gt;&lt;/record&gt;&lt;/Cite&gt;&lt;/EndNote&gt;</w:instrText>
      </w:r>
      <w:r>
        <w:rPr>
          <w:rFonts w:ascii="Arial" w:hAnsi="Arial" w:cs="Arial"/>
          <w:lang w:eastAsia="zh-CN"/>
        </w:rPr>
        <w:fldChar w:fldCharType="separate"/>
      </w:r>
      <w:r>
        <w:rPr>
          <w:rFonts w:ascii="Arial" w:hAnsi="Arial" w:cs="Arial"/>
          <w:lang w:eastAsia="zh-CN"/>
        </w:rPr>
        <w:t>(Xiao et al., 2025)</w:t>
      </w:r>
      <w:r>
        <w:rPr>
          <w:rFonts w:ascii="Arial" w:hAnsi="Arial" w:cs="Arial"/>
          <w:lang w:eastAsia="zh-CN"/>
        </w:rPr>
        <w:fldChar w:fldCharType="end"/>
      </w:r>
      <w:r>
        <w:rPr>
          <w:rFonts w:ascii="Arial" w:hAnsi="Arial" w:cs="Arial"/>
          <w:lang w:eastAsia="zh-CN"/>
        </w:rPr>
        <w:t>. The present study adds that when reflective tools explicitly require an articulation of values, they can help interns re-author their position within digitally constrained systems.</w:t>
      </w:r>
    </w:p>
    <w:p w14:paraId="656F7087" w14:textId="77777777" w:rsidR="00CE4696" w:rsidRDefault="00E7512E">
      <w:pPr>
        <w:pStyle w:val="Body"/>
        <w:spacing w:after="0"/>
        <w:rPr>
          <w:rFonts w:ascii="Arial" w:hAnsi="Arial" w:cs="Arial"/>
          <w:lang w:eastAsia="zh-CN"/>
        </w:rPr>
      </w:pPr>
      <w:r>
        <w:rPr>
          <w:rFonts w:ascii="Arial" w:hAnsi="Arial" w:cs="Arial"/>
          <w:lang w:eastAsia="zh-CN"/>
        </w:rPr>
        <w:t xml:space="preserve">In conceptual terms, the findings align with and extend scholarship arguing that reflection must be more than a descriptive logbook </w:t>
      </w:r>
      <w:r>
        <w:rPr>
          <w:rFonts w:ascii="Arial" w:hAnsi="Arial" w:cs="Arial"/>
          <w:lang w:eastAsia="zh-CN"/>
        </w:rPr>
        <w:fldChar w:fldCharType="begin"/>
      </w:r>
      <w:r>
        <w:rPr>
          <w:rFonts w:ascii="Arial" w:hAnsi="Arial" w:cs="Arial"/>
          <w:lang w:eastAsia="zh-CN"/>
        </w:rPr>
        <w:instrText xml:space="preserve"> ADDIN EN.CITE &lt;EndNote&gt;&lt;Cite&gt;&lt;Author&gt;Schön&lt;/Author&gt;&lt;Year&gt;2017&lt;/Year&gt;&lt;RecNum&gt;1419&lt;/RecNum&gt;&lt;DisplayText&gt;(Schön, 2017)&lt;/DisplayText&gt;&lt;record&gt;&lt;rec-number&gt;1419&lt;/rec-number&gt;&lt;foreign-keys&gt;&lt;key app="EN" db-id="axateaap22str3eaaa1xar2n95zaewv2sx5a" timestamp="1765616960"&gt;1419&lt;/key&gt;&lt;/foreign-keys&gt;&lt;ref-type name="Book"&gt;6&lt;/ref-type&gt;&lt;contributors&gt;&lt;authors&gt;&lt;author&gt;Schön, Donald A&lt;/author&gt;&lt;/authors&gt;&lt;/contributors&gt;&lt;titles&gt;&lt;title&gt;The reflective practitioner: How professionals think in action&lt;/title&gt;&lt;/titles&gt;&lt;dates&gt;&lt;year&gt;2017&lt;/year&gt;&lt;/dates&gt;&lt;publisher&gt;Routledge&lt;/publisher&gt;&lt;isbn&gt;1315237474&lt;/isbn&gt;&lt;urls&gt;&lt;/urls&gt;&lt;electronic-resource-num&gt;10.4324/9781315237473 &lt;/electronic-resource-num&gt;&lt;/record&gt;&lt;/Cite&gt;&lt;/EndNote&gt;</w:instrText>
      </w:r>
      <w:r>
        <w:rPr>
          <w:rFonts w:ascii="Arial" w:hAnsi="Arial" w:cs="Arial"/>
          <w:lang w:eastAsia="zh-CN"/>
        </w:rPr>
        <w:fldChar w:fldCharType="separate"/>
      </w:r>
      <w:r>
        <w:rPr>
          <w:rFonts w:ascii="Arial" w:hAnsi="Arial" w:cs="Arial"/>
          <w:lang w:eastAsia="zh-CN"/>
        </w:rPr>
        <w:t>(Schön, 2017)</w:t>
      </w:r>
      <w:r>
        <w:rPr>
          <w:rFonts w:ascii="Arial" w:hAnsi="Arial" w:cs="Arial"/>
          <w:lang w:eastAsia="zh-CN"/>
        </w:rPr>
        <w:fldChar w:fldCharType="end"/>
      </w:r>
      <w:r>
        <w:rPr>
          <w:rFonts w:ascii="Arial" w:hAnsi="Arial" w:cs="Arial"/>
          <w:lang w:eastAsia="zh-CN"/>
        </w:rPr>
        <w:t xml:space="preserve">. STAR-P operates as a “reflective infrastructure” that makes the integration of technical and moral reasoning a routine cognitive practice rather than an optional, end-of-course exercise. This suggests that narrative </w:t>
      </w:r>
      <w:r>
        <w:rPr>
          <w:rFonts w:ascii="Arial" w:hAnsi="Arial" w:cs="Arial"/>
          <w:lang w:eastAsia="zh-CN"/>
        </w:rPr>
        <w:lastRenderedPageBreak/>
        <w:t>scaffolds of this kind can contribute to preparing graduates who combine technical proficiency with reflective and ethical dispositions in digitally mediated workplaces.</w:t>
      </w:r>
    </w:p>
    <w:p w14:paraId="7F3CD630" w14:textId="77777777" w:rsidR="00CE4696" w:rsidRDefault="00CE4696">
      <w:pPr>
        <w:pStyle w:val="Body"/>
        <w:spacing w:after="0"/>
        <w:rPr>
          <w:rFonts w:ascii="Arial" w:hAnsi="Arial" w:cs="Arial"/>
          <w:lang w:eastAsia="zh-CN"/>
        </w:rPr>
      </w:pPr>
    </w:p>
    <w:p w14:paraId="5BF1F15D" w14:textId="77777777" w:rsidR="00CE4696" w:rsidRDefault="00E7512E">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Cultural Responsiveness as Mediation in Algorithmic Workplaces</w:t>
      </w:r>
    </w:p>
    <w:p w14:paraId="6BC5556C" w14:textId="77777777" w:rsidR="00CE4696" w:rsidRDefault="00CE4696">
      <w:pPr>
        <w:pStyle w:val="Body"/>
        <w:spacing w:after="0"/>
        <w:rPr>
          <w:rFonts w:ascii="Arial" w:hAnsi="Arial" w:cs="Arial"/>
          <w:lang w:eastAsia="zh-CN"/>
        </w:rPr>
      </w:pPr>
    </w:p>
    <w:p w14:paraId="0C6B0BDF" w14:textId="77777777" w:rsidR="00CE4696" w:rsidRDefault="00E7512E">
      <w:pPr>
        <w:pStyle w:val="Body"/>
        <w:spacing w:after="0"/>
        <w:rPr>
          <w:rFonts w:ascii="Arial" w:hAnsi="Arial" w:cs="Arial"/>
          <w:lang w:eastAsia="zh-CN"/>
        </w:rPr>
      </w:pPr>
      <w:r>
        <w:rPr>
          <w:rFonts w:ascii="Arial" w:hAnsi="Arial" w:cs="Arial"/>
          <w:lang w:eastAsia="zh-CN"/>
        </w:rPr>
        <w:t xml:space="preserve">The second contribution concerns the role of culturally responsive mediation in high-pressure, digitally managed settings. Foundational CRT research has shown that teaching is more effective when it builds on learners’ cultural backgrounds and value systems </w:t>
      </w:r>
      <w:r>
        <w:rPr>
          <w:rFonts w:ascii="Arial" w:hAnsi="Arial" w:cs="Arial"/>
          <w:lang w:eastAsia="zh-CN"/>
        </w:rPr>
        <w:fldChar w:fldCharType="begin"/>
      </w:r>
      <w:r>
        <w:rPr>
          <w:rFonts w:ascii="Arial" w:hAnsi="Arial" w:cs="Arial"/>
          <w:lang w:eastAsia="zh-CN"/>
        </w:rPr>
        <w:instrText xml:space="preserve"> ADDIN EN.CITE &lt;EndNote&gt;&lt;Cite&gt;&lt;Author&gt;Gay&lt;/Author&gt;&lt;Year&gt;2002&lt;/Year&gt;&lt;RecNum&gt;1415&lt;/RecNum&gt;&lt;DisplayText&gt;(Gay, 2002; Ladson-Billings, 1995)&lt;/DisplayText&gt;&lt;record&gt;&lt;rec-number&gt;1415&lt;/rec-number&gt;&lt;foreign-keys&gt;&lt;key app="EN" db-id="axateaap22str3eaaa1xar2n95zaewv2sx5a" timestamp="1765616501"&gt;1415&lt;/key&gt;&lt;/foreign-keys&gt;&lt;ref-type name="Journal Article"&gt;17&lt;/ref-type&gt;&lt;contributors&gt;&lt;authors&gt;&lt;author&gt;Gay, Geneva&lt;/author&gt;&lt;/authors&gt;&lt;/contributors&gt;&lt;titles&gt;&lt;title&gt;Preparing for culturally responsive teaching&lt;/title&gt;&lt;secondary-title&gt;Journal of teacher education&lt;/secondary-title&gt;&lt;/titles&gt;&lt;periodical&gt;&lt;full-title&gt;Journal of teacher education&lt;/full-title&gt;&lt;/periodical&gt;&lt;pages&gt;106-116&lt;/pages&gt;&lt;volume&gt;53&lt;/volume&gt;&lt;number&gt;2&lt;/number&gt;&lt;dates&gt;&lt;year&gt;2002&lt;/year&gt;&lt;/dates&gt;&lt;isbn&gt;0022-4871&lt;/isbn&gt;&lt;urls&gt;&lt;/urls&gt;&lt;electronic-resource-num&gt;10.1177/0022487102053002003&lt;/electronic-resource-num&gt;&lt;/record&gt;&lt;/Cite&gt;&lt;Cite&gt;&lt;Author&gt;Ladson-Billings&lt;/Author&gt;&lt;Year&gt;1995&lt;/Year&gt;&lt;RecNum&gt;1416&lt;/RecNum&gt;&lt;record&gt;&lt;rec-number&gt;1416&lt;/rec-number&gt;&lt;foreign-keys&gt;&lt;key app="EN" db-id="axateaap22str3eaaa1xar2n95zaewv2sx5a" timestamp="1765616551"&gt;1416&lt;/key&gt;&lt;/foreign-keys&gt;&lt;ref-type name="Journal Article"&gt;17&lt;/ref-type&gt;&lt;contributors&gt;&lt;authors&gt;&lt;author&gt;Ladson-Billings, Gloria&lt;/author&gt;&lt;/authors&gt;&lt;/contributors&gt;&lt;titles&gt;&lt;title&gt;Toward a theory of culturally relevant pedagogy&lt;/title&gt;&lt;secondary-title&gt;American educational research journal&lt;/secondary-title&gt;&lt;/titles&gt;&lt;periodical&gt;&lt;full-title&gt;American educational research journal&lt;/full-title&gt;&lt;/periodical&gt;&lt;pages&gt;465-491&lt;/pages&gt;&lt;volume&gt;32&lt;/volume&gt;&lt;number&gt;3&lt;/number&gt;&lt;dates&gt;&lt;year&gt;1995&lt;/year&gt;&lt;/dates&gt;&lt;isbn&gt;0002-8312&lt;/isbn&gt;&lt;urls&gt;&lt;/urls&gt;&lt;electronic-resource-num&gt;10.3102/00028312032003465&lt;/electronic-resource-num&gt;&lt;/record&gt;&lt;/Cite&gt;&lt;/EndNote&gt;</w:instrText>
      </w:r>
      <w:r>
        <w:rPr>
          <w:rFonts w:ascii="Arial" w:hAnsi="Arial" w:cs="Arial"/>
          <w:lang w:eastAsia="zh-CN"/>
        </w:rPr>
        <w:fldChar w:fldCharType="separate"/>
      </w:r>
      <w:r>
        <w:rPr>
          <w:rFonts w:ascii="Arial" w:hAnsi="Arial" w:cs="Arial"/>
          <w:lang w:eastAsia="zh-CN"/>
        </w:rPr>
        <w:t>(Gay, 2002; Ladson-Billings, 1995)</w:t>
      </w:r>
      <w:r>
        <w:rPr>
          <w:rFonts w:ascii="Arial" w:hAnsi="Arial" w:cs="Arial"/>
          <w:lang w:eastAsia="zh-CN"/>
        </w:rPr>
        <w:fldChar w:fldCharType="end"/>
      </w:r>
      <w:r>
        <w:rPr>
          <w:rFonts w:ascii="Arial" w:hAnsi="Arial" w:cs="Arial"/>
          <w:lang w:eastAsia="zh-CN"/>
        </w:rPr>
        <w:t xml:space="preserve">. More recent work has extended this to institutional and organizational cultures, arguing that teachers and schools must negotiate between different normative worlds </w:t>
      </w:r>
      <w:r>
        <w:rPr>
          <w:rFonts w:ascii="Arial" w:hAnsi="Arial" w:cs="Arial"/>
          <w:lang w:eastAsia="zh-CN"/>
        </w:rPr>
        <w:fldChar w:fldCharType="begin"/>
      </w:r>
      <w:r>
        <w:rPr>
          <w:rFonts w:ascii="Arial" w:hAnsi="Arial" w:cs="Arial"/>
          <w:lang w:eastAsia="zh-CN"/>
        </w:rPr>
        <w:instrText xml:space="preserve"> ADDIN EN.CITE &lt;EndNote&gt;&lt;Cite&gt;&lt;Author&gt;Alhanachi&lt;/Author&gt;&lt;Year&gt;2021&lt;/Year&gt;&lt;RecNum&gt;1417&lt;/RecNum&gt;&lt;DisplayText&gt;(Alhanachi et al., 2021)&lt;/DisplayText&gt;&lt;record&gt;&lt;rec-number&gt;1417&lt;/rec-number&gt;&lt;foreign-keys&gt;&lt;key app="EN" db-id="axateaap22str3eaaa1xar2n95zaewv2sx5a" timestamp="1765616614"&gt;1417&lt;/key&gt;&lt;/foreign-keys&gt;&lt;ref-type name="Journal Article"&gt;17&lt;/ref-type&gt;&lt;contributors&gt;&lt;authors&gt;&lt;author&gt;Alhanachi, Sabrina&lt;/author&gt;&lt;author&gt;de Meijer, Lonneke AL&lt;/author&gt;&lt;author&gt;Severiens, Sabine E&lt;/author&gt;&lt;/authors&gt;&lt;/contributors&gt;&lt;titles&gt;&lt;title&gt;Improving culturally responsive teaching through professional learning communities: A qualitative study in Dutch pre-vocational schools&lt;/title&gt;&lt;secondary-title&gt;International Journal of Educational Research&lt;/secondary-title&gt;&lt;/titles&gt;&lt;periodical&gt;&lt;full-title&gt;International Journal of Educational Research&lt;/full-title&gt;&lt;/periodical&gt;&lt;pages&gt;101698&lt;/pages&gt;&lt;volume&gt;105&lt;/volume&gt;&lt;dates&gt;&lt;year&gt;2021&lt;/year&gt;&lt;/dates&gt;&lt;isbn&gt;0883-0355&lt;/isbn&gt;&lt;urls&gt;&lt;/urls&gt;&lt;electronic-resource-num&gt;10.1016/j.ijer.2020.101698&lt;/electronic-resource-num&gt;&lt;/record&gt;&lt;/Cite&gt;&lt;/EndNote&gt;</w:instrText>
      </w:r>
      <w:r>
        <w:rPr>
          <w:rFonts w:ascii="Arial" w:hAnsi="Arial" w:cs="Arial"/>
          <w:lang w:eastAsia="zh-CN"/>
        </w:rPr>
        <w:fldChar w:fldCharType="separate"/>
      </w:r>
      <w:r>
        <w:rPr>
          <w:rFonts w:ascii="Arial" w:hAnsi="Arial" w:cs="Arial"/>
          <w:lang w:eastAsia="zh-CN"/>
        </w:rPr>
        <w:t>(Alhanachi et al., 2021)</w:t>
      </w:r>
      <w:r>
        <w:rPr>
          <w:rFonts w:ascii="Arial" w:hAnsi="Arial" w:cs="Arial"/>
          <w:lang w:eastAsia="zh-CN"/>
        </w:rPr>
        <w:fldChar w:fldCharType="end"/>
      </w:r>
      <w:r>
        <w:rPr>
          <w:rFonts w:ascii="Arial" w:hAnsi="Arial" w:cs="Arial"/>
          <w:lang w:eastAsia="zh-CN"/>
        </w:rPr>
        <w:t>.</w:t>
      </w:r>
    </w:p>
    <w:p w14:paraId="01B31267" w14:textId="77777777" w:rsidR="00CE4696" w:rsidRDefault="00E7512E">
      <w:pPr>
        <w:pStyle w:val="Body"/>
        <w:spacing w:after="0"/>
        <w:rPr>
          <w:rFonts w:ascii="Arial" w:hAnsi="Arial" w:cs="Arial"/>
          <w:lang w:eastAsia="zh-CN"/>
        </w:rPr>
      </w:pPr>
      <w:r>
        <w:rPr>
          <w:rFonts w:ascii="Arial" w:hAnsi="Arial" w:cs="Arial"/>
          <w:lang w:eastAsia="zh-CN"/>
        </w:rPr>
        <w:t>The dual-tutor system in this study can be read as a CRT-informed intervention at the school–enterprise interface. Enterprise mentors translated operational logic into explanations that students could recognize as legitimate rather than arbitrary. School mentors simultaneously validated students’ ethical concerns and helped them reinterpret incidents as problems of professional judgement rather than failures of character or betrayals of educational ideals. This two-sided mediation transformed performance demands: from being experienced as purely exploitative pressures to being recognized, in many cases, as constraints to be managed in the service of customers, colleagues, and one’s own standards.</w:t>
      </w:r>
    </w:p>
    <w:p w14:paraId="4DD5A939" w14:textId="08A6F5F7" w:rsidR="00CE4696" w:rsidRDefault="00E7512E">
      <w:pPr>
        <w:pStyle w:val="Body"/>
        <w:spacing w:after="0"/>
        <w:rPr>
          <w:rFonts w:ascii="Arial" w:hAnsi="Arial" w:cs="Arial"/>
          <w:lang w:eastAsia="zh-CN"/>
        </w:rPr>
      </w:pPr>
      <w:r>
        <w:rPr>
          <w:rFonts w:ascii="Arial" w:hAnsi="Arial" w:cs="Arial"/>
          <w:lang w:eastAsia="zh-CN"/>
        </w:rPr>
        <w:t>The model addresses a gap in existing CRT literature, which has rarely considered organizational “culture shock” during internships as a CRT problem. The findings suggest that interpretive dissonance, rather than workload alone, plays a central role in youth alienation within platform-mediated workplaces, complementing labor-process analyses of algorithmic management. When students interpret every performance request as a moral affront, disengagement and cynicism are likely outcomes; when those same requests are reframed as elements of a complex professional ecology, there is more room for negotiated agency.</w:t>
      </w:r>
    </w:p>
    <w:p w14:paraId="18C9C535" w14:textId="77777777" w:rsidR="00CE4696" w:rsidRDefault="00E7512E">
      <w:pPr>
        <w:pStyle w:val="Body"/>
        <w:spacing w:after="0"/>
        <w:rPr>
          <w:rFonts w:ascii="Arial" w:hAnsi="Arial" w:cs="Arial"/>
          <w:lang w:eastAsia="zh-CN"/>
        </w:rPr>
      </w:pPr>
      <w:r>
        <w:rPr>
          <w:rFonts w:ascii="Arial" w:hAnsi="Arial" w:cs="Arial"/>
          <w:lang w:eastAsia="zh-CN"/>
        </w:rPr>
        <w:t>The results therefore support a view of CRT that goes beyond classroom diversity management: culturally responsive mentoring can function as an institutional bridge between educational and enterprise cultures. This has implications for TVET policy and practice. Rather than treating supervision in internships as purely technical oversight, programs might explicitly train mentors, on both sides, to operate as “cultural translators” who make explicit the tensions, compatibility, and trade-offs between school-based values and workplace logic.</w:t>
      </w:r>
    </w:p>
    <w:p w14:paraId="0F9F300A" w14:textId="77777777" w:rsidR="00CE4696" w:rsidRDefault="00CE4696">
      <w:pPr>
        <w:pStyle w:val="Body"/>
        <w:spacing w:after="0"/>
        <w:rPr>
          <w:rFonts w:ascii="Arial" w:hAnsi="Arial" w:cs="Arial"/>
          <w:lang w:eastAsia="zh-CN"/>
        </w:rPr>
      </w:pPr>
    </w:p>
    <w:p w14:paraId="6902A26F" w14:textId="77777777" w:rsidR="00CE4696" w:rsidRDefault="00E7512E">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Resolving Structural Separation Through Cognitive Scaffolding</w:t>
      </w:r>
    </w:p>
    <w:p w14:paraId="251E5C02" w14:textId="77777777" w:rsidR="00CE4696" w:rsidRDefault="00CE4696">
      <w:pPr>
        <w:pStyle w:val="Body"/>
        <w:spacing w:after="0"/>
        <w:rPr>
          <w:rFonts w:ascii="Arial" w:hAnsi="Arial" w:cs="Arial"/>
          <w:lang w:eastAsia="zh-CN"/>
        </w:rPr>
      </w:pPr>
    </w:p>
    <w:p w14:paraId="18BC90D8" w14:textId="6A03A885" w:rsidR="00CE4696" w:rsidRDefault="00E7512E">
      <w:pPr>
        <w:pStyle w:val="Body"/>
        <w:spacing w:after="0"/>
        <w:rPr>
          <w:rFonts w:ascii="Arial" w:hAnsi="Arial" w:cs="Arial"/>
          <w:lang w:eastAsia="zh-CN"/>
        </w:rPr>
      </w:pPr>
      <w:r>
        <w:rPr>
          <w:rFonts w:ascii="Arial" w:hAnsi="Arial" w:cs="Arial"/>
          <w:lang w:eastAsia="zh-CN"/>
        </w:rPr>
        <w:t xml:space="preserve">A third contribution addresses the longstanding structural separation between moral–civic and technical elements in TVET curricula identified by comparative and national research </w:t>
      </w:r>
      <w:r>
        <w:rPr>
          <w:rFonts w:ascii="Arial" w:hAnsi="Arial" w:cs="Arial"/>
          <w:lang w:eastAsia="zh-CN"/>
        </w:rPr>
        <w:fldChar w:fldCharType="begin"/>
      </w:r>
      <w:r w:rsidR="00F01DD5">
        <w:rPr>
          <w:rFonts w:ascii="Arial" w:hAnsi="Arial" w:cs="Arial"/>
          <w:lang w:eastAsia="zh-CN"/>
        </w:rPr>
        <w:instrText xml:space="preserve"> ADDIN EN.CITE &lt;EndNote&gt;&lt;Cite&gt;&lt;Author&gt;Fuller&lt;/Author&gt;&lt;Year&gt;2003&lt;/Year&gt;&lt;RecNum&gt;1413&lt;/RecNum&gt;&lt;DisplayText&gt;(Fuller &amp;amp; Unwin, 2003; Guo &amp;amp; Pilz, 2020)&lt;/DisplayText&gt;&lt;record&gt;&lt;rec-number&gt;1413&lt;/rec-number&gt;&lt;foreign-keys&gt;&lt;key app="EN" db-id="axateaap22str3eaaa1xar2n95zaewv2sx5a" timestamp="1765616368"&gt;1413&lt;/key&gt;&lt;/foreign-keys&gt;&lt;ref-type name="Journal Article"&gt;17&lt;/ref-type&gt;&lt;contributors&gt;&lt;authors&gt;&lt;author&gt;Fuller, Alison&lt;/author&gt;&lt;author&gt;Unwin, Lorna&lt;/author&gt;&lt;/authors&gt;&lt;/contributors&gt;&lt;titles&gt;&lt;title&gt;Learning as apprentices in the contemporary UK workplace: creating and managing expansive and restrictive participation&lt;/title&gt;&lt;secondary-title&gt;Journal of Education and work&lt;/secondary-title&gt;&lt;/titles&gt;&lt;periodical&gt;&lt;full-title&gt;Journal of Education and work&lt;/full-title&gt;&lt;/periodical&gt;&lt;pages&gt;407-426&lt;/pages&gt;&lt;volume&gt;16&lt;/volume&gt;&lt;number&gt;4&lt;/number&gt;&lt;dates&gt;&lt;year&gt;2003&lt;/year&gt;&lt;/dates&gt;&lt;isbn&gt;1363-9080&lt;/isbn&gt;&lt;urls&gt;&lt;/urls&gt;&lt;electronic-resource-num&gt;10.1080/1363908032000093012&lt;/electronic-resource-num&gt;&lt;/record&gt;&lt;/Cite&gt;&lt;Cite&gt;&lt;Author&gt;Guo&lt;/Author&gt;&lt;Year&gt;2020&lt;/Year&gt;&lt;RecNum&gt;1440&lt;/RecNum&gt;&lt;record&gt;&lt;rec-number&gt;1440&lt;/rec-number&gt;&lt;foreign-keys&gt;&lt;key app="EN" db-id="axateaap22str3eaaa1xar2n95zaewv2sx5a" timestamp="1765638747"&gt;1440&lt;/key&gt;&lt;/foreign-keys&gt;&lt;ref-type name="Journal Article"&gt;17&lt;/ref-type&gt;&lt;contributors&gt;&lt;authors&gt;&lt;author&gt;Guo, Henan&lt;/author&gt;&lt;author&gt;Pilz, Matthias&lt;/author&gt;&lt;/authors&gt;&lt;/contributors&gt;&lt;titles&gt;&lt;title&gt;A comparative study of teaching and learning in German and Chinese vocational education and training schools: A classroom observation study&lt;/title&gt;&lt;secondary-title&gt;Research in Comparative and International Education&lt;/secondary-title&gt;&lt;/titles&gt;&lt;periodical&gt;&lt;full-title&gt;Research in Comparative and International Education&lt;/full-title&gt;&lt;/periodical&gt;&lt;pages&gt;391-413&lt;/pages&gt;&lt;volume&gt;15&lt;/volume&gt;&lt;number&gt;4&lt;/number&gt;&lt;dates&gt;&lt;year&gt;2020&lt;/year&gt;&lt;/dates&gt;&lt;isbn&gt;1745-4999&lt;/isbn&gt;&lt;urls&gt;&lt;/urls&gt;&lt;electronic-resource-num&gt;10.1177/1745499920959150&lt;/electronic-resource-num&gt;&lt;/record&gt;&lt;/Cite&gt;&lt;/EndNote&gt;</w:instrText>
      </w:r>
      <w:r>
        <w:rPr>
          <w:rFonts w:ascii="Arial" w:hAnsi="Arial" w:cs="Arial"/>
          <w:lang w:eastAsia="zh-CN"/>
        </w:rPr>
        <w:fldChar w:fldCharType="separate"/>
      </w:r>
      <w:r w:rsidR="00F01DD5">
        <w:rPr>
          <w:rFonts w:ascii="Arial" w:hAnsi="Arial" w:cs="Arial"/>
          <w:noProof/>
          <w:lang w:eastAsia="zh-CN"/>
        </w:rPr>
        <w:t>(Fuller &amp; Unwin, 2003; Guo &amp; Pilz, 2020)</w:t>
      </w:r>
      <w:r>
        <w:rPr>
          <w:rFonts w:ascii="Arial" w:hAnsi="Arial" w:cs="Arial"/>
          <w:lang w:eastAsia="zh-CN"/>
        </w:rPr>
        <w:fldChar w:fldCharType="end"/>
      </w:r>
      <w:r>
        <w:rPr>
          <w:rFonts w:ascii="Arial" w:hAnsi="Arial" w:cs="Arial"/>
          <w:lang w:eastAsia="zh-CN"/>
        </w:rPr>
        <w:t>. Existing responses have often taken the form of adding discrete ideology or ethics modules alongside technical content, effectively reproducing the separation rather than overcoming it.</w:t>
      </w:r>
    </w:p>
    <w:p w14:paraId="150D7953" w14:textId="77777777" w:rsidR="00CE4696" w:rsidRDefault="00E7512E">
      <w:pPr>
        <w:pStyle w:val="Body"/>
        <w:spacing w:after="0"/>
        <w:rPr>
          <w:rFonts w:ascii="Arial" w:hAnsi="Arial" w:cs="Arial"/>
          <w:lang w:eastAsia="zh-CN"/>
        </w:rPr>
      </w:pPr>
      <w:r>
        <w:rPr>
          <w:rFonts w:ascii="Arial" w:hAnsi="Arial" w:cs="Arial"/>
          <w:lang w:eastAsia="zh-CN"/>
        </w:rPr>
        <w:t>In this study, the Two-Way Empowerment model operates not by adding more “moral content,” but by re-structuring the relationship between learning and labor. The dual-tutor system ensures that value conflicts are surfaced and discussed at the point where they occur, amid logistical processes and performance pressures. STAR-P then requires that each significant episode of work be represented as a joint technical and value-laden event. Labor thus becomes the material through which moral learning occurs, and moral frameworks become tools for interpreting and managing labor, not parallel discourses.</w:t>
      </w:r>
    </w:p>
    <w:p w14:paraId="40F42A3D" w14:textId="09AB5DE9" w:rsidR="00CE4696" w:rsidRDefault="00E7512E">
      <w:pPr>
        <w:pStyle w:val="Body"/>
        <w:spacing w:after="0"/>
        <w:rPr>
          <w:rFonts w:ascii="Arial" w:hAnsi="Arial" w:cs="Arial"/>
          <w:lang w:eastAsia="zh-CN"/>
        </w:rPr>
      </w:pPr>
      <w:r>
        <w:rPr>
          <w:rFonts w:ascii="Arial" w:hAnsi="Arial" w:cs="Arial"/>
          <w:lang w:eastAsia="zh-CN"/>
        </w:rPr>
        <w:t xml:space="preserve">This design has two implications for theory and practice. First, it suggests a way of operationalizing the “community of practice” ideal </w:t>
      </w:r>
      <w:r>
        <w:rPr>
          <w:rFonts w:ascii="Arial" w:hAnsi="Arial" w:cs="Arial"/>
          <w:lang w:eastAsia="zh-CN"/>
        </w:rPr>
        <w:fldChar w:fldCharType="begin"/>
      </w:r>
      <w:r w:rsidR="00F01DD5">
        <w:rPr>
          <w:rFonts w:ascii="Arial" w:hAnsi="Arial" w:cs="Arial"/>
          <w:lang w:eastAsia="zh-CN"/>
        </w:rPr>
        <w:instrText xml:space="preserve"> ADDIN EN.CITE &lt;EndNote&gt;&lt;Cite&gt;&lt;Author&gt;Lave&lt;/Author&gt;&lt;Year&gt;1991&lt;/Year&gt;&lt;RecNum&gt;1432&lt;/RecNum&gt;&lt;DisplayText&gt;(Lave &amp;amp; Wenger, 1991)&lt;/DisplayText&gt;&lt;record&gt;&lt;rec-number&gt;1432&lt;/rec-number&gt;&lt;foreign-keys&gt;&lt;key app="EN" db-id="axateaap22str3eaaa1xar2n95zaewv2sx5a" timestamp="1765618970"&gt;1432&lt;/key&gt;&lt;/foreign-keys&gt;&lt;ref-type name="Book"&gt;6&lt;/ref-type&gt;&lt;contributors&gt;&lt;authors&gt;&lt;author&gt;Lave, Jean&lt;/author&gt;&lt;author&gt;Wenger, Etienne&lt;/author&gt;&lt;/authors&gt;&lt;/contributors&gt;&lt;titles&gt;&lt;title&gt;Situated learning: Legitimate peripheral participation&lt;/title&gt;&lt;/titles&gt;&lt;dates&gt;&lt;year&gt;1991&lt;/year&gt;&lt;/dates&gt;&lt;publisher&gt;Cambridge university press&lt;/publisher&gt;&lt;isbn&gt;0521423740&lt;/isbn&gt;&lt;urls&gt;&lt;/urls&gt;&lt;/record&gt;&lt;/Cite&gt;&lt;/EndNote&gt;</w:instrText>
      </w:r>
      <w:r>
        <w:rPr>
          <w:rFonts w:ascii="Arial" w:hAnsi="Arial" w:cs="Arial"/>
          <w:lang w:eastAsia="zh-CN"/>
        </w:rPr>
        <w:fldChar w:fldCharType="separate"/>
      </w:r>
      <w:r w:rsidR="00F01DD5">
        <w:rPr>
          <w:rFonts w:ascii="Arial" w:hAnsi="Arial" w:cs="Arial"/>
          <w:noProof/>
          <w:lang w:eastAsia="zh-CN"/>
        </w:rPr>
        <w:t>(Lave &amp; Wenger, 1991)</w:t>
      </w:r>
      <w:r>
        <w:rPr>
          <w:rFonts w:ascii="Arial" w:hAnsi="Arial" w:cs="Arial"/>
          <w:lang w:eastAsia="zh-CN"/>
        </w:rPr>
        <w:fldChar w:fldCharType="end"/>
      </w:r>
      <w:r>
        <w:rPr>
          <w:rFonts w:ascii="Arial" w:hAnsi="Arial" w:cs="Arial"/>
          <w:lang w:eastAsia="zh-CN"/>
        </w:rPr>
        <w:t xml:space="preserve"> under conditions where enterprise communities are strongly shaped by algorithmic targets. By insisting on structured reflection and by legitimizing critical questioning through mentorship, the model creates a “community of inquiry” within the workplace that overlays, rather than replaces, existing performance structures. Second, it offers a concrete strategy for embedding moral–political education within vocational tasks rather than at their margins. Instead of teaching values in a separate time and space, programs can use reflective scaffolds to entwine value reasoning with technical routines.</w:t>
      </w:r>
    </w:p>
    <w:p w14:paraId="72052BC4" w14:textId="77777777" w:rsidR="00CE4696" w:rsidRDefault="00E7512E">
      <w:pPr>
        <w:pStyle w:val="Body"/>
        <w:spacing w:after="0"/>
        <w:rPr>
          <w:rFonts w:ascii="Arial" w:eastAsiaTheme="minorEastAsia" w:hAnsi="Arial" w:cs="Arial"/>
          <w:lang w:eastAsia="zh-CN"/>
        </w:rPr>
      </w:pPr>
      <w:r>
        <w:rPr>
          <w:rFonts w:ascii="Arial" w:hAnsi="Arial" w:cs="Arial"/>
          <w:lang w:eastAsia="zh-CN"/>
        </w:rPr>
        <w:t>At policy level, this points toward the importance of building reflective infrastructures into internship design, tools, routines, and mentoring arrangements that make the integration of values and skills structurally likely. Such infrastructures will not guarantee outcomes, but they can make it more plausible that internships contribute to the formation of professionals who can reason about, and not only perform, their work.</w:t>
      </w:r>
    </w:p>
    <w:p w14:paraId="6840F2C6" w14:textId="77777777" w:rsidR="00F01DD5" w:rsidRPr="00F01DD5" w:rsidRDefault="00F01DD5">
      <w:pPr>
        <w:pStyle w:val="Body"/>
        <w:spacing w:after="0"/>
        <w:rPr>
          <w:rFonts w:ascii="Arial" w:eastAsiaTheme="minorEastAsia" w:hAnsi="Arial" w:cs="Arial"/>
          <w:lang w:eastAsia="zh-CN"/>
        </w:rPr>
      </w:pPr>
    </w:p>
    <w:p w14:paraId="4B6CF497" w14:textId="77777777" w:rsidR="00CE4696" w:rsidRDefault="00E7512E">
      <w:pPr>
        <w:pStyle w:val="Body"/>
        <w:spacing w:after="0"/>
        <w:rPr>
          <w:rFonts w:ascii="Arial" w:hAnsi="Arial" w:cs="Arial"/>
        </w:rPr>
      </w:pPr>
      <w:r>
        <w:rPr>
          <w:rFonts w:ascii="Arial" w:eastAsia="SimSun" w:hAnsi="Arial" w:cs="Arial" w:hint="eastAsia"/>
          <w:b/>
          <w:caps/>
          <w:sz w:val="22"/>
          <w:lang w:eastAsia="zh-CN"/>
        </w:rPr>
        <w:t>5</w:t>
      </w:r>
      <w:r>
        <w:rPr>
          <w:rFonts w:ascii="Arial" w:hAnsi="Arial" w:cs="Arial"/>
          <w:b/>
          <w:caps/>
          <w:sz w:val="22"/>
        </w:rPr>
        <w:t>.</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Limitations and Future Directions</w:t>
      </w:r>
    </w:p>
    <w:p w14:paraId="2DF01E65" w14:textId="77777777" w:rsidR="00CE4696" w:rsidRDefault="00CE4696">
      <w:pPr>
        <w:pStyle w:val="Body"/>
        <w:spacing w:after="0"/>
        <w:rPr>
          <w:rFonts w:ascii="Arial" w:hAnsi="Arial" w:cs="Arial"/>
          <w:lang w:eastAsia="zh-CN"/>
        </w:rPr>
      </w:pPr>
    </w:p>
    <w:p w14:paraId="6FCAE4DA" w14:textId="77777777" w:rsidR="00CE4696" w:rsidRDefault="00E7512E">
      <w:pPr>
        <w:pStyle w:val="Body"/>
        <w:spacing w:after="0"/>
        <w:rPr>
          <w:rFonts w:ascii="Arial" w:hAnsi="Arial" w:cs="Arial"/>
          <w:lang w:eastAsia="zh-CN"/>
        </w:rPr>
      </w:pPr>
      <w:r>
        <w:rPr>
          <w:rFonts w:ascii="Arial" w:hAnsi="Arial" w:cs="Arial"/>
          <w:lang w:eastAsia="zh-CN"/>
        </w:rPr>
        <w:t xml:space="preserve">Several limitations qualify these findings and suggest directions for further research. First, the study is based on a single case in a specific sector: an e-commerce logistics base characterized by algorithmic management and high throughput. While this “critical case” design is analytically useful, the mechanisms identified here may manifest differently in other sectors, such as hospitality, healthcare, or early childhood education, where temporal pressures, emotional demands, and customer interactions take different forms. Comparative case studies across contrasting internship contexts, platform </w:t>
      </w:r>
      <w:r>
        <w:rPr>
          <w:rFonts w:ascii="Arial" w:hAnsi="Arial" w:cs="Arial"/>
          <w:lang w:eastAsia="zh-CN"/>
        </w:rPr>
        <w:lastRenderedPageBreak/>
        <w:t>logistics, manufacturing, and service industries, would help test the transferability of the Two-Way Empowerment model and clarify which elements are context specific.</w:t>
      </w:r>
    </w:p>
    <w:p w14:paraId="55BA6911" w14:textId="77777777" w:rsidR="00CE4696" w:rsidRDefault="00E7512E">
      <w:pPr>
        <w:pStyle w:val="Body"/>
        <w:spacing w:after="0"/>
        <w:rPr>
          <w:rFonts w:ascii="Arial" w:hAnsi="Arial" w:cs="Arial"/>
          <w:lang w:eastAsia="zh-CN"/>
        </w:rPr>
      </w:pPr>
      <w:r>
        <w:rPr>
          <w:rFonts w:ascii="Arial" w:hAnsi="Arial" w:cs="Arial"/>
          <w:lang w:eastAsia="zh-CN"/>
        </w:rPr>
        <w:t>Second, the temporal frame is limited to the duration of the internship. The data show clear shifts in narrative coherence and perceived agency over 10–12 months, but it remains unclear how durable these changes are once students enter full-time employment without the scaffolding of structured logs and dual mentoring. Longitudinal follow-up into the first years of employment would allow researchers to examine whether professional agencies, as constructed in this context, persists, evolves, or erodes under different organizational conditions.</w:t>
      </w:r>
    </w:p>
    <w:p w14:paraId="6B5DA457" w14:textId="77777777" w:rsidR="00CE4696" w:rsidRDefault="00E7512E">
      <w:pPr>
        <w:pStyle w:val="Body"/>
        <w:spacing w:after="0"/>
        <w:rPr>
          <w:rFonts w:ascii="Arial" w:hAnsi="Arial" w:cs="Arial"/>
          <w:lang w:eastAsia="zh-CN"/>
        </w:rPr>
      </w:pPr>
      <w:r>
        <w:rPr>
          <w:rFonts w:ascii="Arial" w:hAnsi="Arial" w:cs="Arial"/>
          <w:lang w:eastAsia="zh-CN"/>
        </w:rPr>
        <w:t>Third, the analysis relies primarily on textual and interview data supplemented by observation, with limited use of quantitative indicators. Although the coherence rubric for STAR-P entries introduces a semi-quantitative dimension, future work could combine reflective measures with performance data and standardized scales of work engagement or occupational commitment. Experimental or quasi-experimental designs comparing cohorts with and without STAR-P, or with different forms of reflective scaffolding, would allow more precise examination of how narrative practices influence observed behavior and perceived agency.</w:t>
      </w:r>
    </w:p>
    <w:p w14:paraId="02767E6B" w14:textId="77777777" w:rsidR="00CE4696" w:rsidRDefault="00E7512E">
      <w:pPr>
        <w:pStyle w:val="Body"/>
        <w:spacing w:after="0"/>
        <w:rPr>
          <w:rFonts w:ascii="Arial" w:hAnsi="Arial" w:cs="Arial"/>
          <w:lang w:eastAsia="zh-CN"/>
        </w:rPr>
      </w:pPr>
      <w:r>
        <w:rPr>
          <w:rFonts w:ascii="Arial" w:hAnsi="Arial" w:cs="Arial"/>
          <w:lang w:eastAsia="zh-CN"/>
        </w:rPr>
        <w:t>Finally, the first author’s dual role as researcher and school mentor creates potential for both deeper insight and interpretive bias. This was mitigated through ethics approval, anonymized participation, reflexive notetaking, and team-based coding, but it cannot be eliminated. Future studies might use external researchers or cross-institutional teams to replicate and challenge the interpretations presented here.</w:t>
      </w:r>
    </w:p>
    <w:p w14:paraId="16DC7610" w14:textId="77777777" w:rsidR="00CE4696" w:rsidRDefault="00E7512E">
      <w:pPr>
        <w:pStyle w:val="Body"/>
        <w:spacing w:after="0"/>
        <w:rPr>
          <w:rFonts w:ascii="Arial" w:hAnsi="Arial" w:cs="Arial"/>
          <w:lang w:eastAsia="zh-CN"/>
        </w:rPr>
      </w:pPr>
      <w:r>
        <w:rPr>
          <w:rFonts w:ascii="Arial" w:hAnsi="Arial" w:cs="Arial"/>
          <w:lang w:eastAsia="zh-CN"/>
        </w:rPr>
        <w:t>Despite these limitations, the study offers an empirically grounded account of how a combined model of culturally responsive mentoring and structured narrative reflection can, under specific conditions, support vocational students in moving from experiences of alienation towards more autonomous, ethically articulated forms of participation in digital labor. Rather than resolving ongoing debates about the purposes of vocational education, the findings invite further inquiry into how internships can be designed not only as sites of skill acquisition, but also as structured spaces for negotiating the relationship between work, self, and society.</w:t>
      </w:r>
    </w:p>
    <w:p w14:paraId="22A9F738" w14:textId="77777777" w:rsidR="00CE4696" w:rsidRDefault="00CE4696">
      <w:pPr>
        <w:pStyle w:val="Body"/>
        <w:spacing w:after="0"/>
        <w:rPr>
          <w:rFonts w:ascii="Arial" w:hAnsi="Arial" w:cs="Arial"/>
        </w:rPr>
      </w:pPr>
    </w:p>
    <w:p w14:paraId="6D7DDAAF" w14:textId="77777777" w:rsidR="00CE4696" w:rsidRDefault="00E7512E">
      <w:pPr>
        <w:pStyle w:val="ConcHead"/>
        <w:spacing w:after="0"/>
        <w:jc w:val="both"/>
        <w:rPr>
          <w:rFonts w:ascii="Arial" w:eastAsia="SimSun" w:hAnsi="Arial" w:cs="Arial"/>
          <w:lang w:eastAsia="zh-CN"/>
        </w:rPr>
      </w:pPr>
      <w:r>
        <w:rPr>
          <w:rFonts w:ascii="Arial" w:eastAsia="SimSun" w:hAnsi="Arial" w:cs="Arial" w:hint="eastAsia"/>
          <w:lang w:eastAsia="zh-CN"/>
        </w:rPr>
        <w:t>6</w:t>
      </w:r>
      <w:r>
        <w:rPr>
          <w:rFonts w:ascii="Arial" w:hAnsi="Arial" w:cs="Arial"/>
        </w:rPr>
        <w:t xml:space="preserve">. </w:t>
      </w:r>
      <w:r>
        <w:rPr>
          <w:rFonts w:ascii="Arial" w:eastAsia="SimSun" w:hAnsi="Arial" w:cs="Arial" w:hint="eastAsia"/>
          <w:lang w:eastAsia="zh-CN"/>
        </w:rPr>
        <w:t>conclusion</w:t>
      </w:r>
    </w:p>
    <w:p w14:paraId="103B6663" w14:textId="77777777" w:rsidR="00CE4696" w:rsidRDefault="00CE4696">
      <w:pPr>
        <w:pStyle w:val="Body"/>
        <w:spacing w:after="0"/>
        <w:rPr>
          <w:rFonts w:ascii="Arial" w:hAnsi="Arial" w:cs="Arial"/>
          <w:lang w:eastAsia="zh-CN"/>
        </w:rPr>
      </w:pPr>
    </w:p>
    <w:p w14:paraId="51D38C5A" w14:textId="77777777" w:rsidR="00CE4696" w:rsidRDefault="00E7512E">
      <w:pPr>
        <w:pStyle w:val="Body"/>
        <w:spacing w:after="0"/>
        <w:rPr>
          <w:rFonts w:ascii="Arial" w:hAnsi="Arial" w:cs="Arial"/>
          <w:lang w:eastAsia="zh-CN"/>
        </w:rPr>
      </w:pPr>
      <w:r>
        <w:rPr>
          <w:rFonts w:ascii="Arial" w:hAnsi="Arial" w:cs="Arial"/>
          <w:lang w:eastAsia="zh-CN"/>
        </w:rPr>
        <w:t>This study explored how interns in a platform-based logistics environment experience their work and how the Two-Way Empowerment model, combining a dual-tutor system with STAR-P reflective practice, reshapes these experiences. Using an instrumental case study design with 30 interns at the Alibaba Employment Internship Base, the study identified three key mechanisms: initial alienation due to algorithmic management, interpretive reframing through culturally responsive mentoring, and structural integration of technical and ethical reasoning via STAR-P.</w:t>
      </w:r>
    </w:p>
    <w:p w14:paraId="3BBC2EDD" w14:textId="77777777" w:rsidR="00CE4696" w:rsidRDefault="00E7512E">
      <w:pPr>
        <w:pStyle w:val="Body"/>
        <w:spacing w:after="0"/>
        <w:rPr>
          <w:rFonts w:ascii="Arial" w:hAnsi="Arial" w:cs="Arial"/>
          <w:lang w:eastAsia="zh-CN"/>
        </w:rPr>
      </w:pPr>
      <w:r>
        <w:rPr>
          <w:rFonts w:ascii="Arial" w:hAnsi="Arial" w:cs="Arial"/>
          <w:lang w:eastAsia="zh-CN"/>
        </w:rPr>
        <w:t>The findings suggest that internships can be transformative spaces, not only for skill acquisition but also for developing ethical professional identities. The study contributes to the understanding of how narrative reflection and culturally responsive teaching mediate experiences of alienation in digital work environments, bridging the gap between technical competence and moral formation. Practically, it emphasizes the importance of integrating reflective scaffolds and mentoring systems to address both technical and ethical dimensions of work.</w:t>
      </w:r>
    </w:p>
    <w:p w14:paraId="3D5EA9C7" w14:textId="77777777" w:rsidR="00CE4696" w:rsidRDefault="00E7512E">
      <w:pPr>
        <w:pStyle w:val="Body"/>
        <w:spacing w:after="0"/>
        <w:rPr>
          <w:rFonts w:ascii="Arial" w:hAnsi="Arial" w:cs="Arial"/>
          <w:lang w:eastAsia="zh-CN"/>
        </w:rPr>
      </w:pPr>
      <w:r>
        <w:rPr>
          <w:rFonts w:ascii="Arial" w:hAnsi="Arial" w:cs="Arial"/>
          <w:lang w:eastAsia="zh-CN"/>
        </w:rPr>
        <w:t>The study’s findings have important implications for TVET policy and practice, advocating for a reimagined internship model that incorporates reflective tools and mentorship to foster both technical and moral development. Future research should explore the applicability of the Two-Way Empowerment model in other sectors and examine its long-term impact on professional identity, ensuring that TVET programs prepare students to navigate both the digital economy and its ethical challenges.</w:t>
      </w:r>
    </w:p>
    <w:p w14:paraId="7D31AAEA" w14:textId="2672076B" w:rsidR="00F01DD5" w:rsidRDefault="00F01DD5" w:rsidP="00F01DD5">
      <w:pPr>
        <w:pStyle w:val="ReferHead"/>
        <w:spacing w:after="0"/>
        <w:jc w:val="both"/>
        <w:rPr>
          <w:rFonts w:ascii="Arial" w:hAnsi="Arial" w:cs="Arial"/>
          <w:b w:val="0"/>
          <w:caps w:val="0"/>
          <w:sz w:val="20"/>
        </w:rPr>
      </w:pPr>
    </w:p>
    <w:p w14:paraId="7F935189" w14:textId="77777777" w:rsidR="003E4D1C" w:rsidRDefault="003E4D1C" w:rsidP="00F01DD5">
      <w:pPr>
        <w:pStyle w:val="ReferHead"/>
        <w:spacing w:after="0"/>
        <w:jc w:val="both"/>
        <w:rPr>
          <w:rFonts w:ascii="Arial" w:hAnsi="Arial" w:cs="Arial"/>
          <w:b w:val="0"/>
          <w:caps w:val="0"/>
          <w:sz w:val="20"/>
        </w:rPr>
      </w:pPr>
      <w:bookmarkStart w:id="2" w:name="_GoBack"/>
      <w:bookmarkEnd w:id="2"/>
    </w:p>
    <w:p w14:paraId="7576C1D3" w14:textId="77777777" w:rsidR="00F01DD5" w:rsidRDefault="00F01DD5" w:rsidP="00F01DD5">
      <w:pPr>
        <w:pStyle w:val="ReferHead"/>
        <w:spacing w:after="0"/>
        <w:jc w:val="both"/>
        <w:rPr>
          <w:rFonts w:ascii="Arial" w:hAnsi="Arial" w:cs="Arial"/>
          <w:bCs/>
        </w:rPr>
      </w:pPr>
      <w:r>
        <w:rPr>
          <w:rFonts w:ascii="Arial" w:hAnsi="Arial" w:cs="Arial"/>
          <w:bCs/>
        </w:rPr>
        <w:t>Consent</w:t>
      </w:r>
    </w:p>
    <w:p w14:paraId="67F6AE5E" w14:textId="77777777" w:rsidR="00F01DD5" w:rsidRDefault="00F01DD5" w:rsidP="00F01DD5">
      <w:pPr>
        <w:pStyle w:val="ReferHead"/>
        <w:spacing w:after="0"/>
        <w:jc w:val="both"/>
        <w:rPr>
          <w:rFonts w:ascii="Arial" w:hAnsi="Arial" w:cs="Arial"/>
          <w:bCs/>
        </w:rPr>
      </w:pPr>
    </w:p>
    <w:p w14:paraId="7D8C2995" w14:textId="77777777" w:rsidR="00F01DD5" w:rsidRDefault="00F01DD5" w:rsidP="00F01DD5">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5242661" w14:textId="77777777" w:rsidR="00F01DD5" w:rsidRDefault="00F01DD5" w:rsidP="00F01DD5">
      <w:pPr>
        <w:pStyle w:val="ReferHead"/>
        <w:spacing w:after="0"/>
        <w:jc w:val="both"/>
        <w:rPr>
          <w:rFonts w:ascii="Arial" w:hAnsi="Arial" w:cs="Arial"/>
        </w:rPr>
      </w:pPr>
    </w:p>
    <w:p w14:paraId="4BED93DF" w14:textId="77777777" w:rsidR="00F01DD5" w:rsidRPr="00F01DD5" w:rsidRDefault="00F01DD5">
      <w:pPr>
        <w:pStyle w:val="Body"/>
        <w:spacing w:after="0"/>
        <w:rPr>
          <w:rFonts w:ascii="Arial" w:eastAsiaTheme="minorEastAsia" w:hAnsi="Arial" w:cs="Arial"/>
          <w:lang w:eastAsia="zh-CN"/>
        </w:rPr>
      </w:pPr>
    </w:p>
    <w:p w14:paraId="7AEBA767" w14:textId="77777777" w:rsidR="00CE4696" w:rsidRPr="00F01DD5" w:rsidRDefault="00CE4696">
      <w:pPr>
        <w:pStyle w:val="ReferHead"/>
        <w:spacing w:after="0"/>
        <w:jc w:val="both"/>
        <w:rPr>
          <w:rFonts w:ascii="Arial" w:eastAsiaTheme="minorEastAsia" w:hAnsi="Arial" w:cs="Arial"/>
          <w:lang w:eastAsia="zh-CN"/>
        </w:rPr>
      </w:pPr>
    </w:p>
    <w:p w14:paraId="3D821B5F" w14:textId="77777777" w:rsidR="00CE4696" w:rsidRDefault="00E7512E">
      <w:pPr>
        <w:pStyle w:val="ReferHead"/>
        <w:spacing w:after="0"/>
        <w:jc w:val="both"/>
        <w:rPr>
          <w:rFonts w:ascii="Arial" w:eastAsiaTheme="minorEastAsia" w:hAnsi="Arial" w:cs="Arial"/>
          <w:lang w:eastAsia="zh-CN"/>
        </w:rPr>
      </w:pPr>
      <w:r>
        <w:rPr>
          <w:rFonts w:ascii="Arial" w:hAnsi="Arial" w:cs="Arial"/>
        </w:rPr>
        <w:t>References</w:t>
      </w:r>
    </w:p>
    <w:p w14:paraId="1C404CD4" w14:textId="77777777" w:rsidR="00F01DD5" w:rsidRPr="00F01DD5" w:rsidRDefault="00F01DD5">
      <w:pPr>
        <w:pStyle w:val="ReferHead"/>
        <w:spacing w:after="0"/>
        <w:jc w:val="both"/>
        <w:rPr>
          <w:rFonts w:ascii="Arial" w:eastAsiaTheme="minorEastAsia" w:hAnsi="Arial" w:cs="Arial"/>
          <w:lang w:eastAsia="zh-CN"/>
        </w:rPr>
      </w:pPr>
    </w:p>
    <w:p w14:paraId="78AC18CF" w14:textId="61E3DD3E" w:rsidR="00F01DD5" w:rsidRPr="00F01DD5" w:rsidRDefault="00F01DD5" w:rsidP="00F01DD5">
      <w:pPr>
        <w:pStyle w:val="EndNoteBibliography"/>
        <w:ind w:left="720" w:hanging="720"/>
      </w:pPr>
      <w:r>
        <w:fldChar w:fldCharType="begin"/>
      </w:r>
      <w:r>
        <w:instrText xml:space="preserve"> ADDIN EN.REFLIST </w:instrText>
      </w:r>
      <w:r>
        <w:fldChar w:fldCharType="separate"/>
      </w:r>
      <w:r w:rsidRPr="00F01DD5">
        <w:t xml:space="preserve">Alhanachi, S., et al. (2021). Improving culturally responsive teaching through professional learning communities: A qualitative study in Dutch pre-vocational schools. </w:t>
      </w:r>
      <w:r w:rsidRPr="00F01DD5">
        <w:rPr>
          <w:i/>
        </w:rPr>
        <w:t>International Journal of Educational Research</w:t>
      </w:r>
      <w:r w:rsidRPr="00F01DD5">
        <w:t>,</w:t>
      </w:r>
      <w:r w:rsidRPr="00F01DD5">
        <w:rPr>
          <w:i/>
        </w:rPr>
        <w:t xml:space="preserve"> 105</w:t>
      </w:r>
      <w:r w:rsidRPr="00F01DD5">
        <w:t xml:space="preserve">, 101698. </w:t>
      </w:r>
      <w:hyperlink r:id="rId16" w:history="1">
        <w:r w:rsidRPr="00F01DD5">
          <w:rPr>
            <w:rStyle w:val="Hyperlink"/>
          </w:rPr>
          <w:t>https://doi.org/10.1016/j.ijer.2020.101698</w:t>
        </w:r>
      </w:hyperlink>
      <w:r w:rsidR="000748F3">
        <w:t xml:space="preserve"> </w:t>
      </w:r>
    </w:p>
    <w:p w14:paraId="3836042A" w14:textId="772C4723" w:rsidR="00F01DD5" w:rsidRPr="00F01DD5" w:rsidRDefault="00F01DD5" w:rsidP="00F01DD5">
      <w:pPr>
        <w:pStyle w:val="EndNoteBibliography"/>
        <w:ind w:left="720" w:hanging="720"/>
      </w:pPr>
      <w:r w:rsidRPr="00F01DD5">
        <w:t xml:space="preserve">Chan, J. (2017). Intern labor in China. Kongress der Deutschen Gesellschaft für Soziologie" Geschlossene Gesellschaften", </w:t>
      </w:r>
      <w:hyperlink r:id="rId17" w:history="1">
        <w:r w:rsidRPr="00F01DD5">
          <w:rPr>
            <w:rStyle w:val="Hyperlink"/>
          </w:rPr>
          <w:t>https://doi.org/10.21241/ssoar.103012</w:t>
        </w:r>
      </w:hyperlink>
      <w:r w:rsidRPr="00F01DD5">
        <w:t xml:space="preserve"> </w:t>
      </w:r>
    </w:p>
    <w:p w14:paraId="2329F56E" w14:textId="4B734736" w:rsidR="00F01DD5" w:rsidRPr="00F01DD5" w:rsidRDefault="00F01DD5" w:rsidP="00F01DD5">
      <w:pPr>
        <w:pStyle w:val="EndNoteBibliography"/>
        <w:ind w:left="720" w:hanging="720"/>
      </w:pPr>
      <w:r w:rsidRPr="00F01DD5">
        <w:lastRenderedPageBreak/>
        <w:t xml:space="preserve">Chen, P., et al. (2024). Chinese technical and vocational education and training, skill formation, and national development: A systematic review of educational policies. </w:t>
      </w:r>
      <w:r w:rsidRPr="00F01DD5">
        <w:rPr>
          <w:i/>
        </w:rPr>
        <w:t>Vocation, Technology &amp; Education</w:t>
      </w:r>
      <w:r w:rsidRPr="00F01DD5">
        <w:t>,</w:t>
      </w:r>
      <w:r w:rsidRPr="00F01DD5">
        <w:rPr>
          <w:i/>
        </w:rPr>
        <w:t xml:space="preserve"> 1</w:t>
      </w:r>
      <w:r w:rsidRPr="00F01DD5">
        <w:t xml:space="preserve">(3). </w:t>
      </w:r>
      <w:hyperlink r:id="rId18" w:history="1">
        <w:r w:rsidRPr="00F01DD5">
          <w:rPr>
            <w:rStyle w:val="Hyperlink"/>
          </w:rPr>
          <w:t>https://doi.org/10.54844/vte.2024.0677</w:t>
        </w:r>
      </w:hyperlink>
      <w:r w:rsidRPr="00F01DD5">
        <w:t xml:space="preserve"> </w:t>
      </w:r>
    </w:p>
    <w:p w14:paraId="53A30275" w14:textId="04E43766" w:rsidR="00F01DD5" w:rsidRPr="00F01DD5" w:rsidRDefault="00F01DD5" w:rsidP="00F01DD5">
      <w:pPr>
        <w:pStyle w:val="EndNoteBibliography"/>
        <w:ind w:left="720" w:hanging="720"/>
      </w:pPr>
      <w:r w:rsidRPr="00F01DD5">
        <w:t xml:space="preserve">Chen, Z., et al. (2022). A mixed-methods analysis of the algorithm-mediated labor of online food deliverers in China. </w:t>
      </w:r>
      <w:r w:rsidRPr="00F01DD5">
        <w:rPr>
          <w:i/>
        </w:rPr>
        <w:t>Proceedings of the ACM on Human-Computer Interaction</w:t>
      </w:r>
      <w:r w:rsidRPr="00F01DD5">
        <w:t>,</w:t>
      </w:r>
      <w:r w:rsidRPr="00F01DD5">
        <w:rPr>
          <w:i/>
        </w:rPr>
        <w:t xml:space="preserve"> 6</w:t>
      </w:r>
      <w:r w:rsidRPr="00F01DD5">
        <w:t xml:space="preserve">(CSCW2), 1-24. </w:t>
      </w:r>
      <w:hyperlink r:id="rId19" w:history="1">
        <w:r w:rsidRPr="00F01DD5">
          <w:rPr>
            <w:rStyle w:val="Hyperlink"/>
          </w:rPr>
          <w:t>https://doi.org/10.1145/3555585</w:t>
        </w:r>
      </w:hyperlink>
      <w:r w:rsidRPr="00F01DD5">
        <w:t xml:space="preserve"> </w:t>
      </w:r>
    </w:p>
    <w:p w14:paraId="58A3951E" w14:textId="73ADA91D" w:rsidR="00F01DD5" w:rsidRPr="00F01DD5" w:rsidRDefault="00F01DD5" w:rsidP="00F01DD5">
      <w:pPr>
        <w:pStyle w:val="EndNoteBibliography"/>
        <w:ind w:left="720" w:hanging="720"/>
      </w:pPr>
      <w:r w:rsidRPr="00F01DD5">
        <w:t xml:space="preserve">Chervenak, F. A., &amp; McCullough, L. B. (2019). Academic physicians as factory workers: identifying and preventing alienation of labor. </w:t>
      </w:r>
      <w:r w:rsidRPr="00F01DD5">
        <w:rPr>
          <w:i/>
        </w:rPr>
        <w:t>American journal of obstetrics and gynecology</w:t>
      </w:r>
      <w:r w:rsidRPr="00F01DD5">
        <w:t>,</w:t>
      </w:r>
      <w:r w:rsidRPr="00F01DD5">
        <w:rPr>
          <w:i/>
        </w:rPr>
        <w:t xml:space="preserve"> 220</w:t>
      </w:r>
      <w:r w:rsidRPr="00F01DD5">
        <w:t xml:space="preserve">(6), 558-561. </w:t>
      </w:r>
      <w:hyperlink r:id="rId20" w:history="1">
        <w:r w:rsidRPr="00F01DD5">
          <w:rPr>
            <w:rStyle w:val="Hyperlink"/>
          </w:rPr>
          <w:t>https://doi.org/10.1016/j.ajog.2019.01.001</w:t>
        </w:r>
      </w:hyperlink>
      <w:r w:rsidRPr="00F01DD5">
        <w:t xml:space="preserve"> </w:t>
      </w:r>
    </w:p>
    <w:p w14:paraId="2B5D99D7" w14:textId="37017B35" w:rsidR="00F01DD5" w:rsidRPr="00F01DD5" w:rsidRDefault="00F01DD5" w:rsidP="00F01DD5">
      <w:pPr>
        <w:pStyle w:val="EndNoteBibliography"/>
        <w:ind w:left="720" w:hanging="720"/>
      </w:pPr>
      <w:r w:rsidRPr="00F01DD5">
        <w:t>Duggan, J., et al. (2020). Algorithmic management and app</w:t>
      </w:r>
      <w:r w:rsidRPr="00F01DD5">
        <w:rPr>
          <w:rFonts w:ascii="Cambria Math" w:hAnsi="Cambria Math" w:cs="Cambria Math"/>
        </w:rPr>
        <w:t>‐</w:t>
      </w:r>
      <w:r w:rsidRPr="00F01DD5">
        <w:t xml:space="preserve">work in the gig economy: A research agenda for employment relations and HRM. </w:t>
      </w:r>
      <w:r w:rsidRPr="00F01DD5">
        <w:rPr>
          <w:i/>
        </w:rPr>
        <w:t>Human resource management journal</w:t>
      </w:r>
      <w:r w:rsidRPr="00F01DD5">
        <w:t>,</w:t>
      </w:r>
      <w:r w:rsidRPr="00F01DD5">
        <w:rPr>
          <w:i/>
        </w:rPr>
        <w:t xml:space="preserve"> 30</w:t>
      </w:r>
      <w:r w:rsidRPr="00F01DD5">
        <w:t xml:space="preserve">(1), 114-132. </w:t>
      </w:r>
      <w:hyperlink r:id="rId21" w:history="1">
        <w:r w:rsidRPr="00F01DD5">
          <w:rPr>
            <w:rStyle w:val="Hyperlink"/>
          </w:rPr>
          <w:t>https://doi.org/10.1111/1748-8583.12258</w:t>
        </w:r>
      </w:hyperlink>
      <w:r w:rsidRPr="00F01DD5">
        <w:t xml:space="preserve"> </w:t>
      </w:r>
    </w:p>
    <w:p w14:paraId="2FE2A93A" w14:textId="453C49BA" w:rsidR="00F01DD5" w:rsidRPr="00F01DD5" w:rsidRDefault="00F01DD5" w:rsidP="00F01DD5">
      <w:pPr>
        <w:pStyle w:val="EndNoteBibliography"/>
        <w:ind w:left="720" w:hanging="720"/>
      </w:pPr>
      <w:r w:rsidRPr="00F01DD5">
        <w:t xml:space="preserve">Fuller, A., &amp; Unwin, L. (2003). Learning as apprentices in the contemporary UK workplace: creating and managing expansive and restrictive participation. </w:t>
      </w:r>
      <w:r w:rsidRPr="00F01DD5">
        <w:rPr>
          <w:i/>
        </w:rPr>
        <w:t>Journal of Education and work</w:t>
      </w:r>
      <w:r w:rsidRPr="00F01DD5">
        <w:t>,</w:t>
      </w:r>
      <w:r w:rsidRPr="00F01DD5">
        <w:rPr>
          <w:i/>
        </w:rPr>
        <w:t xml:space="preserve"> 16</w:t>
      </w:r>
      <w:r w:rsidRPr="00F01DD5">
        <w:t xml:space="preserve">(4), 407-426. </w:t>
      </w:r>
      <w:hyperlink r:id="rId22" w:history="1">
        <w:r w:rsidRPr="00F01DD5">
          <w:rPr>
            <w:rStyle w:val="Hyperlink"/>
          </w:rPr>
          <w:t>https://doi.org/10.1080/1363908032000093012</w:t>
        </w:r>
      </w:hyperlink>
      <w:r w:rsidRPr="00F01DD5">
        <w:t xml:space="preserve"> </w:t>
      </w:r>
    </w:p>
    <w:p w14:paraId="2BC4891C" w14:textId="163AE961" w:rsidR="00F01DD5" w:rsidRPr="00F01DD5" w:rsidRDefault="00F01DD5" w:rsidP="00F01DD5">
      <w:pPr>
        <w:pStyle w:val="EndNoteBibliography"/>
        <w:ind w:left="720" w:hanging="720"/>
      </w:pPr>
      <w:r w:rsidRPr="00F01DD5">
        <w:t xml:space="preserve">Gay, G. (2002). Preparing for culturally responsive teaching. </w:t>
      </w:r>
      <w:r w:rsidRPr="00F01DD5">
        <w:rPr>
          <w:i/>
        </w:rPr>
        <w:t>Journal of teacher education</w:t>
      </w:r>
      <w:r w:rsidRPr="00F01DD5">
        <w:t>,</w:t>
      </w:r>
      <w:r w:rsidRPr="00F01DD5">
        <w:rPr>
          <w:i/>
        </w:rPr>
        <w:t xml:space="preserve"> 53</w:t>
      </w:r>
      <w:r w:rsidRPr="00F01DD5">
        <w:t xml:space="preserve">(2), 106-116. </w:t>
      </w:r>
      <w:hyperlink r:id="rId23" w:history="1">
        <w:r w:rsidRPr="00F01DD5">
          <w:rPr>
            <w:rStyle w:val="Hyperlink"/>
          </w:rPr>
          <w:t>https://doi.org/10.1177/0022487102053002003</w:t>
        </w:r>
      </w:hyperlink>
      <w:r w:rsidRPr="00F01DD5">
        <w:t xml:space="preserve"> </w:t>
      </w:r>
    </w:p>
    <w:p w14:paraId="0C4DB739" w14:textId="11CBF73F" w:rsidR="00F01DD5" w:rsidRPr="00F01DD5" w:rsidRDefault="00F01DD5" w:rsidP="00F01DD5">
      <w:pPr>
        <w:pStyle w:val="EndNoteBibliography"/>
        <w:ind w:left="720" w:hanging="720"/>
      </w:pPr>
      <w:r w:rsidRPr="00F01DD5">
        <w:t xml:space="preserve">Guo, H., &amp; Pilz, M. (2020). A comparative study of teaching and learning in German and Chinese vocational education and training schools: A classroom observation study. </w:t>
      </w:r>
      <w:r w:rsidRPr="00F01DD5">
        <w:rPr>
          <w:i/>
        </w:rPr>
        <w:t>Research in Comparative and International Education</w:t>
      </w:r>
      <w:r w:rsidRPr="00F01DD5">
        <w:t>,</w:t>
      </w:r>
      <w:r w:rsidRPr="00F01DD5">
        <w:rPr>
          <w:i/>
        </w:rPr>
        <w:t xml:space="preserve"> 15</w:t>
      </w:r>
      <w:r w:rsidRPr="00F01DD5">
        <w:t xml:space="preserve">(4), 391-413. </w:t>
      </w:r>
      <w:hyperlink r:id="rId24" w:history="1">
        <w:r w:rsidRPr="00F01DD5">
          <w:rPr>
            <w:rStyle w:val="Hyperlink"/>
          </w:rPr>
          <w:t>https://doi.org/10.1177/1745499920959150</w:t>
        </w:r>
      </w:hyperlink>
      <w:r w:rsidRPr="00F01DD5">
        <w:t xml:space="preserve"> </w:t>
      </w:r>
    </w:p>
    <w:p w14:paraId="2E2CEE92" w14:textId="6BD0CBB0" w:rsidR="00F01DD5" w:rsidRPr="00F01DD5" w:rsidRDefault="00F01DD5" w:rsidP="00F01DD5">
      <w:pPr>
        <w:pStyle w:val="EndNoteBibliography"/>
        <w:ind w:left="720" w:hanging="720"/>
      </w:pPr>
      <w:r w:rsidRPr="00F01DD5">
        <w:t xml:space="preserve">Huo, Y., et al. (2025). What Chinese moral educators can possibly learn from western character education: A Neo-Aristotelian case. </w:t>
      </w:r>
      <w:r w:rsidRPr="00F01DD5">
        <w:rPr>
          <w:i/>
        </w:rPr>
        <w:t>Journal of Moral Education</w:t>
      </w:r>
      <w:r w:rsidRPr="00F01DD5">
        <w:t xml:space="preserve">, 1-21. </w:t>
      </w:r>
      <w:hyperlink r:id="rId25" w:history="1">
        <w:r w:rsidRPr="00F01DD5">
          <w:rPr>
            <w:rStyle w:val="Hyperlink"/>
          </w:rPr>
          <w:t>https://doi.org/10.1080/03057240.2025.2499619</w:t>
        </w:r>
      </w:hyperlink>
      <w:r w:rsidRPr="00F01DD5">
        <w:t xml:space="preserve"> </w:t>
      </w:r>
    </w:p>
    <w:p w14:paraId="714C3B6F" w14:textId="314BEDC6" w:rsidR="00F01DD5" w:rsidRPr="00F01DD5" w:rsidRDefault="00F01DD5" w:rsidP="00F01DD5">
      <w:pPr>
        <w:pStyle w:val="EndNoteBibliography"/>
        <w:ind w:left="720" w:hanging="720"/>
      </w:pPr>
      <w:r w:rsidRPr="00F01DD5">
        <w:t xml:space="preserve">Jordan, M. P., &amp; Matzke, C. S. (2025). A Roadmap for Establishing a Successful Internship Program in State Capitals and Beyond. </w:t>
      </w:r>
      <w:r w:rsidRPr="00F01DD5">
        <w:rPr>
          <w:i/>
        </w:rPr>
        <w:t>Journal of Political Science Education</w:t>
      </w:r>
      <w:r w:rsidRPr="00F01DD5">
        <w:t>,</w:t>
      </w:r>
      <w:r w:rsidRPr="00F01DD5">
        <w:rPr>
          <w:i/>
        </w:rPr>
        <w:t xml:space="preserve"> 21</w:t>
      </w:r>
      <w:r w:rsidRPr="00F01DD5">
        <w:t xml:space="preserve">(1), 84-104. </w:t>
      </w:r>
      <w:r w:rsidR="000748F3">
        <w:t xml:space="preserve"> </w:t>
      </w:r>
      <w:r w:rsidR="000748F3" w:rsidRPr="000748F3">
        <w:t>https://doi.org/10.1080/15512169.2024.2349533</w:t>
      </w:r>
      <w:r w:rsidR="000748F3">
        <w:t xml:space="preserve"> </w:t>
      </w:r>
    </w:p>
    <w:p w14:paraId="6E545A16" w14:textId="0BA10BD1" w:rsidR="00F01DD5" w:rsidRPr="00F01DD5" w:rsidRDefault="00F01DD5" w:rsidP="00F01DD5">
      <w:pPr>
        <w:pStyle w:val="EndNoteBibliography"/>
        <w:ind w:left="720" w:hanging="720"/>
      </w:pPr>
      <w:r w:rsidRPr="00F01DD5">
        <w:t xml:space="preserve">Ladson-Billings, G. (1995). Toward a theory of culturally relevant pedagogy. </w:t>
      </w:r>
      <w:r w:rsidRPr="00F01DD5">
        <w:rPr>
          <w:i/>
        </w:rPr>
        <w:t>American educational research journal</w:t>
      </w:r>
      <w:r w:rsidRPr="00F01DD5">
        <w:t>,</w:t>
      </w:r>
      <w:r w:rsidRPr="00F01DD5">
        <w:rPr>
          <w:i/>
        </w:rPr>
        <w:t xml:space="preserve"> 32</w:t>
      </w:r>
      <w:r w:rsidRPr="00F01DD5">
        <w:t xml:space="preserve">(3), 465-491. </w:t>
      </w:r>
      <w:hyperlink r:id="rId26" w:history="1">
        <w:r w:rsidRPr="00F01DD5">
          <w:rPr>
            <w:rStyle w:val="Hyperlink"/>
          </w:rPr>
          <w:t>https://doi.org/10.3102/00028312032003465</w:t>
        </w:r>
      </w:hyperlink>
      <w:r w:rsidRPr="00F01DD5">
        <w:t xml:space="preserve"> </w:t>
      </w:r>
    </w:p>
    <w:p w14:paraId="63658A6A" w14:textId="0D92AC51" w:rsidR="00F01DD5" w:rsidRPr="00F01DD5" w:rsidRDefault="00F01DD5" w:rsidP="00F01DD5">
      <w:pPr>
        <w:pStyle w:val="EndNoteBibliography"/>
        <w:ind w:left="720" w:hanging="720"/>
      </w:pPr>
      <w:r w:rsidRPr="00F01DD5">
        <w:t xml:space="preserve">Lankford, M. (2024). The Role Internships Play in Political Science Education. </w:t>
      </w:r>
      <w:r w:rsidR="000748F3">
        <w:t xml:space="preserve"> </w:t>
      </w:r>
      <w:r w:rsidR="000748F3" w:rsidRPr="000748F3">
        <w:t>https://scholarworks.wmich.edu/honors_theses/3819</w:t>
      </w:r>
    </w:p>
    <w:p w14:paraId="58F0B3E8" w14:textId="26D7279A" w:rsidR="00F01DD5" w:rsidRPr="00F01DD5" w:rsidRDefault="00F01DD5" w:rsidP="00F01DD5">
      <w:pPr>
        <w:pStyle w:val="EndNoteBibliography"/>
        <w:ind w:left="720" w:hanging="720"/>
      </w:pPr>
      <w:r w:rsidRPr="00F01DD5">
        <w:t xml:space="preserve">Lave, J., &amp; Wenger, E. (1991). </w:t>
      </w:r>
      <w:r w:rsidRPr="00F01DD5">
        <w:rPr>
          <w:i/>
        </w:rPr>
        <w:t>Situated learning: Legitimate peripheral participation</w:t>
      </w:r>
      <w:r w:rsidRPr="00F01DD5">
        <w:t xml:space="preserve">. Cambridge university press. </w:t>
      </w:r>
      <w:r w:rsidR="000748F3">
        <w:t xml:space="preserve"> </w:t>
      </w:r>
      <w:r w:rsidR="000748F3" w:rsidRPr="000748F3">
        <w:t>https://doi.org/10.1017/CBO9780511815355</w:t>
      </w:r>
    </w:p>
    <w:p w14:paraId="267BFF54" w14:textId="3BC86D22" w:rsidR="00F01DD5" w:rsidRPr="00F01DD5" w:rsidRDefault="00F01DD5" w:rsidP="00F01DD5">
      <w:pPr>
        <w:pStyle w:val="EndNoteBibliography"/>
        <w:ind w:left="720" w:hanging="720"/>
      </w:pPr>
      <w:r w:rsidRPr="00F01DD5">
        <w:t xml:space="preserve">Liu, W., et al. (2025a). The PCCCI Model: A Future-Proof Framework for Cultivating Digitally Fluent Business English Talent in the Age of Intelligence. </w:t>
      </w:r>
      <w:r w:rsidRPr="00F01DD5">
        <w:rPr>
          <w:i/>
        </w:rPr>
        <w:t>International Journal of English Language Studies</w:t>
      </w:r>
      <w:r w:rsidRPr="00F01DD5">
        <w:t>,</w:t>
      </w:r>
      <w:r w:rsidRPr="00F01DD5">
        <w:rPr>
          <w:i/>
        </w:rPr>
        <w:t xml:space="preserve"> 7</w:t>
      </w:r>
      <w:r w:rsidRPr="00F01DD5">
        <w:t xml:space="preserve">(6), 13-21. </w:t>
      </w:r>
      <w:r w:rsidR="000748F3">
        <w:t xml:space="preserve"> </w:t>
      </w:r>
      <w:r w:rsidR="000748F3" w:rsidRPr="000748F3">
        <w:t>https://doi.org/10.32996/ijels.2025.7.6.2</w:t>
      </w:r>
    </w:p>
    <w:p w14:paraId="1BC4C006" w14:textId="68F37EEA" w:rsidR="00F01DD5" w:rsidRPr="00F01DD5" w:rsidRDefault="00F01DD5" w:rsidP="00F01DD5">
      <w:pPr>
        <w:pStyle w:val="EndNoteBibliography"/>
        <w:ind w:left="720" w:hanging="720"/>
      </w:pPr>
      <w:r w:rsidRPr="00F01DD5">
        <w:t xml:space="preserve">Liu, W., et al. (2025b). Systematic review of culturally responsive teaching and implications for technical communication education. </w:t>
      </w:r>
      <w:r w:rsidRPr="00F01DD5">
        <w:rPr>
          <w:i/>
        </w:rPr>
        <w:t>Multidisciplinary Reviews</w:t>
      </w:r>
      <w:r w:rsidRPr="00F01DD5">
        <w:t>,</w:t>
      </w:r>
      <w:r w:rsidRPr="00F01DD5">
        <w:rPr>
          <w:i/>
        </w:rPr>
        <w:t xml:space="preserve"> 8</w:t>
      </w:r>
      <w:r w:rsidRPr="00F01DD5">
        <w:t xml:space="preserve">(4), 2025117. </w:t>
      </w:r>
      <w:hyperlink r:id="rId27" w:history="1">
        <w:r w:rsidRPr="00F01DD5">
          <w:rPr>
            <w:rStyle w:val="Hyperlink"/>
          </w:rPr>
          <w:t>https://doi.org/10.31893/multirev.2025117</w:t>
        </w:r>
      </w:hyperlink>
      <w:r w:rsidRPr="00F01DD5">
        <w:t xml:space="preserve"> </w:t>
      </w:r>
    </w:p>
    <w:p w14:paraId="265F0436" w14:textId="77532A8B" w:rsidR="00F01DD5" w:rsidRPr="00F01DD5" w:rsidRDefault="00F01DD5" w:rsidP="00F01DD5">
      <w:pPr>
        <w:pStyle w:val="EndNoteBibliography"/>
        <w:ind w:left="720" w:hanging="720"/>
      </w:pPr>
      <w:r w:rsidRPr="00F01DD5">
        <w:t xml:space="preserve">Liu, W., et al. (2024). Implementation of Technical Communication Pedagogy in Higher Education Institutions: A Systematic Literature Review. </w:t>
      </w:r>
      <w:r w:rsidRPr="00F01DD5">
        <w:rPr>
          <w:i/>
        </w:rPr>
        <w:t>International Journal of Learning, Teaching and Educational Research</w:t>
      </w:r>
      <w:r w:rsidRPr="00F01DD5">
        <w:t>,</w:t>
      </w:r>
      <w:r w:rsidRPr="00F01DD5">
        <w:rPr>
          <w:i/>
        </w:rPr>
        <w:t xml:space="preserve"> 23</w:t>
      </w:r>
      <w:r w:rsidRPr="00F01DD5">
        <w:t xml:space="preserve">(9), 307-324. </w:t>
      </w:r>
      <w:hyperlink r:id="rId28" w:history="1">
        <w:r w:rsidRPr="00F01DD5">
          <w:rPr>
            <w:rStyle w:val="Hyperlink"/>
          </w:rPr>
          <w:t>https://doi.org/10.26803/ijlter.23.9.16</w:t>
        </w:r>
      </w:hyperlink>
      <w:r w:rsidRPr="00F01DD5">
        <w:t xml:space="preserve"> </w:t>
      </w:r>
    </w:p>
    <w:p w14:paraId="6FB21DC9" w14:textId="47564125" w:rsidR="00F01DD5" w:rsidRPr="00F01DD5" w:rsidRDefault="00F01DD5" w:rsidP="00F01DD5">
      <w:pPr>
        <w:pStyle w:val="EndNoteBibliography"/>
        <w:ind w:left="720" w:hanging="720"/>
      </w:pPr>
      <w:r w:rsidRPr="00F01DD5">
        <w:t xml:space="preserve">Olivares, C., et al. (2020). The STAR framework: towards a more communicative EFL class. </w:t>
      </w:r>
      <w:r w:rsidR="000748F3">
        <w:t xml:space="preserve"> </w:t>
      </w:r>
      <w:r w:rsidR="000748F3" w:rsidRPr="000748F3">
        <w:t>https://doi.org/10.15517/rlm.v0i32.42499</w:t>
      </w:r>
    </w:p>
    <w:p w14:paraId="58AC94E4" w14:textId="109A6C6A" w:rsidR="00F01DD5" w:rsidRPr="00F01DD5" w:rsidRDefault="00F01DD5" w:rsidP="00F01DD5">
      <w:pPr>
        <w:pStyle w:val="EndNoteBibliography"/>
        <w:ind w:left="720" w:hanging="720"/>
      </w:pPr>
      <w:r w:rsidRPr="00F01DD5">
        <w:t xml:space="preserve">Owens, D. C., et al. (2021). Teaching practices for enactment of socio-scientific issues instruction: An instrumental case study of an experienced biology teacher. </w:t>
      </w:r>
      <w:r w:rsidRPr="00F01DD5">
        <w:rPr>
          <w:i/>
        </w:rPr>
        <w:t>Research in science education</w:t>
      </w:r>
      <w:r w:rsidRPr="00F01DD5">
        <w:t>,</w:t>
      </w:r>
      <w:r w:rsidRPr="00F01DD5">
        <w:rPr>
          <w:i/>
        </w:rPr>
        <w:t xml:space="preserve"> 51</w:t>
      </w:r>
      <w:r w:rsidRPr="00F01DD5">
        <w:t xml:space="preserve">(2), 375-398. </w:t>
      </w:r>
      <w:hyperlink r:id="rId29" w:history="1">
        <w:r w:rsidRPr="00F01DD5">
          <w:rPr>
            <w:rStyle w:val="Hyperlink"/>
          </w:rPr>
          <w:t>https://doi.org/10.1007/s11165-018-9799-3</w:t>
        </w:r>
      </w:hyperlink>
      <w:r w:rsidRPr="00F01DD5">
        <w:t xml:space="preserve"> </w:t>
      </w:r>
    </w:p>
    <w:p w14:paraId="6C68C4D7" w14:textId="2D76DD62" w:rsidR="00F01DD5" w:rsidRPr="00F01DD5" w:rsidRDefault="00F01DD5" w:rsidP="00F01DD5">
      <w:pPr>
        <w:pStyle w:val="EndNoteBibliography"/>
        <w:ind w:left="720" w:hanging="720"/>
      </w:pPr>
      <w:r w:rsidRPr="00F01DD5">
        <w:t xml:space="preserve">Pilz, M. (2017). Vocational education and training in times of economic crisis. </w:t>
      </w:r>
      <w:r w:rsidRPr="00F01DD5">
        <w:rPr>
          <w:i/>
        </w:rPr>
        <w:t>Lessons from Around the World</w:t>
      </w:r>
      <w:r w:rsidRPr="00F01DD5">
        <w:t>,</w:t>
      </w:r>
      <w:r w:rsidRPr="00F01DD5">
        <w:rPr>
          <w:i/>
        </w:rPr>
        <w:t xml:space="preserve"> 24</w:t>
      </w:r>
      <w:r w:rsidRPr="00F01DD5">
        <w:t xml:space="preserve">, 473-487. </w:t>
      </w:r>
      <w:hyperlink r:id="rId30" w:history="1">
        <w:r w:rsidRPr="00F01DD5">
          <w:rPr>
            <w:rStyle w:val="Hyperlink"/>
          </w:rPr>
          <w:t>https://doi.org/10.1007/978-3-319-47856-2</w:t>
        </w:r>
      </w:hyperlink>
      <w:r w:rsidRPr="00F01DD5">
        <w:t xml:space="preserve"> </w:t>
      </w:r>
    </w:p>
    <w:p w14:paraId="4DB818F3" w14:textId="1CEA66B1" w:rsidR="00F01DD5" w:rsidRPr="00F01DD5" w:rsidRDefault="00F01DD5" w:rsidP="00F01DD5">
      <w:pPr>
        <w:pStyle w:val="EndNoteBibliography"/>
        <w:ind w:left="720" w:hanging="720"/>
      </w:pPr>
      <w:r w:rsidRPr="00F01DD5">
        <w:t xml:space="preserve">Pino Gavidia, L. A., &amp; Adu, J. (2022). Critical narrative inquiry: An examination of a methodological approach. </w:t>
      </w:r>
      <w:r w:rsidRPr="00F01DD5">
        <w:rPr>
          <w:i/>
        </w:rPr>
        <w:t>International Journal of Qualitative Methods</w:t>
      </w:r>
      <w:r w:rsidRPr="00F01DD5">
        <w:t>,</w:t>
      </w:r>
      <w:r w:rsidRPr="00F01DD5">
        <w:rPr>
          <w:i/>
        </w:rPr>
        <w:t xml:space="preserve"> 21</w:t>
      </w:r>
      <w:r w:rsidRPr="00F01DD5">
        <w:t xml:space="preserve">, 16094069221081594. </w:t>
      </w:r>
      <w:hyperlink r:id="rId31" w:history="1">
        <w:r w:rsidRPr="00F01DD5">
          <w:rPr>
            <w:rStyle w:val="Hyperlink"/>
          </w:rPr>
          <w:t>https://doi.org/10.1177/16094069221081594</w:t>
        </w:r>
      </w:hyperlink>
      <w:r w:rsidRPr="00F01DD5">
        <w:t xml:space="preserve"> </w:t>
      </w:r>
    </w:p>
    <w:p w14:paraId="2BB1AD59" w14:textId="2193F5D5" w:rsidR="00F01DD5" w:rsidRPr="00F01DD5" w:rsidRDefault="00F01DD5" w:rsidP="00F01DD5">
      <w:pPr>
        <w:pStyle w:val="EndNoteBibliography"/>
        <w:ind w:left="720" w:hanging="720"/>
      </w:pPr>
      <w:r w:rsidRPr="00F01DD5">
        <w:t xml:space="preserve">Pun, N., et al. (2024). Reconceptualising youth poverty through the lens of precarious employment during the pandemic: the case of creative industry. </w:t>
      </w:r>
      <w:r w:rsidRPr="00F01DD5">
        <w:rPr>
          <w:i/>
        </w:rPr>
        <w:t>Social Policy and Society</w:t>
      </w:r>
      <w:r w:rsidRPr="00F01DD5">
        <w:t>,</w:t>
      </w:r>
      <w:r w:rsidRPr="00F01DD5">
        <w:rPr>
          <w:i/>
        </w:rPr>
        <w:t xml:space="preserve"> 23</w:t>
      </w:r>
      <w:r w:rsidRPr="00F01DD5">
        <w:t xml:space="preserve">(1), 87-102. </w:t>
      </w:r>
      <w:hyperlink r:id="rId32" w:history="1">
        <w:r w:rsidRPr="00F01DD5">
          <w:rPr>
            <w:rStyle w:val="Hyperlink"/>
          </w:rPr>
          <w:t>https://doi.org/10.1017/S1474746421000932</w:t>
        </w:r>
      </w:hyperlink>
      <w:r w:rsidRPr="00F01DD5">
        <w:t xml:space="preserve"> </w:t>
      </w:r>
    </w:p>
    <w:p w14:paraId="7F1DE9E3" w14:textId="521B2290" w:rsidR="00F01DD5" w:rsidRPr="00F01DD5" w:rsidRDefault="00F01DD5" w:rsidP="00F01DD5">
      <w:pPr>
        <w:pStyle w:val="EndNoteBibliography"/>
        <w:ind w:left="720" w:hanging="720"/>
      </w:pPr>
      <w:r w:rsidRPr="00F01DD5">
        <w:lastRenderedPageBreak/>
        <w:t xml:space="preserve">Sarfraz, H. (1997). Alienation: A theoretical overview. </w:t>
      </w:r>
      <w:r w:rsidRPr="00F01DD5">
        <w:rPr>
          <w:i/>
        </w:rPr>
        <w:t>Pakistan Journal of Psychological Research</w:t>
      </w:r>
      <w:r w:rsidRPr="00F01DD5">
        <w:t>,</w:t>
      </w:r>
      <w:r w:rsidRPr="00F01DD5">
        <w:rPr>
          <w:i/>
        </w:rPr>
        <w:t xml:space="preserve"> 12</w:t>
      </w:r>
      <w:r w:rsidRPr="00F01DD5">
        <w:t xml:space="preserve">(1-2), 45-60. </w:t>
      </w:r>
      <w:r w:rsidR="000748F3">
        <w:t xml:space="preserve"> </w:t>
      </w:r>
      <w:r w:rsidR="000748F3" w:rsidRPr="000748F3">
        <w:t>https://pjpr.scione.com/cms/abstract.php?id=547</w:t>
      </w:r>
    </w:p>
    <w:p w14:paraId="3150CB7D" w14:textId="1201F114" w:rsidR="00F01DD5" w:rsidRPr="00F01DD5" w:rsidRDefault="00F01DD5" w:rsidP="00F01DD5">
      <w:pPr>
        <w:pStyle w:val="EndNoteBibliography"/>
        <w:ind w:left="720" w:hanging="720"/>
      </w:pPr>
      <w:r w:rsidRPr="00F01DD5">
        <w:t xml:space="preserve">Schön, D. A. (2017). </w:t>
      </w:r>
      <w:r w:rsidRPr="00F01DD5">
        <w:rPr>
          <w:i/>
        </w:rPr>
        <w:t>The reflective practitioner: How professionals think in action</w:t>
      </w:r>
      <w:r w:rsidRPr="00F01DD5">
        <w:t xml:space="preserve">. Routledge. </w:t>
      </w:r>
      <w:hyperlink r:id="rId33" w:history="1">
        <w:r w:rsidRPr="00F01DD5">
          <w:rPr>
            <w:rStyle w:val="Hyperlink"/>
          </w:rPr>
          <w:t>https://doi.org/10.4324/9781315237473</w:t>
        </w:r>
      </w:hyperlink>
      <w:r w:rsidRPr="00F01DD5">
        <w:t xml:space="preserve"> </w:t>
      </w:r>
    </w:p>
    <w:p w14:paraId="7DDAF8F9" w14:textId="5FD2B5F7" w:rsidR="00F01DD5" w:rsidRPr="00F01DD5" w:rsidRDefault="00F01DD5" w:rsidP="00F01DD5">
      <w:pPr>
        <w:pStyle w:val="EndNoteBibliography"/>
        <w:ind w:left="720" w:hanging="720"/>
      </w:pPr>
      <w:r w:rsidRPr="00F01DD5">
        <w:t xml:space="preserve">Torres, D. H., &amp; Pruim, D. E. (2019). Scientific storytelling: A narrative strategy for scientific communicators. </w:t>
      </w:r>
      <w:r w:rsidRPr="00F01DD5">
        <w:rPr>
          <w:i/>
        </w:rPr>
        <w:t>Communication Teacher</w:t>
      </w:r>
      <w:r w:rsidRPr="00F01DD5">
        <w:t>,</w:t>
      </w:r>
      <w:r w:rsidRPr="00F01DD5">
        <w:rPr>
          <w:i/>
        </w:rPr>
        <w:t xml:space="preserve"> 33</w:t>
      </w:r>
      <w:r w:rsidRPr="00F01DD5">
        <w:t xml:space="preserve">(2), 107-111. </w:t>
      </w:r>
      <w:hyperlink r:id="rId34" w:history="1">
        <w:r w:rsidRPr="00F01DD5">
          <w:rPr>
            <w:rStyle w:val="Hyperlink"/>
          </w:rPr>
          <w:t>https://doi.org/10.1080/17404622.2017.1400679</w:t>
        </w:r>
      </w:hyperlink>
      <w:r w:rsidRPr="00F01DD5">
        <w:t xml:space="preserve"> </w:t>
      </w:r>
    </w:p>
    <w:p w14:paraId="77EFDA84" w14:textId="626E47C1" w:rsidR="00F01DD5" w:rsidRPr="00F01DD5" w:rsidRDefault="00F01DD5" w:rsidP="00F01DD5">
      <w:pPr>
        <w:pStyle w:val="EndNoteBibliography"/>
        <w:ind w:left="720" w:hanging="720"/>
      </w:pPr>
      <w:r w:rsidRPr="00F01DD5">
        <w:t xml:space="preserve">Woodcock, J., &amp; Graham, M. (2020). </w:t>
      </w:r>
      <w:r w:rsidRPr="00F01DD5">
        <w:rPr>
          <w:i/>
        </w:rPr>
        <w:t>The gig economy</w:t>
      </w:r>
      <w:r w:rsidRPr="00F01DD5">
        <w:t xml:space="preserve">. Polity Cambridge. </w:t>
      </w:r>
      <w:r w:rsidR="000748F3">
        <w:t xml:space="preserve"> </w:t>
      </w:r>
      <w:r w:rsidR="000748F3" w:rsidRPr="000748F3">
        <w:t>https://www.politybooks.com/bookdetail?book_slug=9781509536368/the-gig-economy</w:t>
      </w:r>
    </w:p>
    <w:p w14:paraId="741EF4BF" w14:textId="6DE2AF48" w:rsidR="00F01DD5" w:rsidRPr="00F01DD5" w:rsidRDefault="00F01DD5" w:rsidP="00F01DD5">
      <w:pPr>
        <w:pStyle w:val="EndNoteBibliography"/>
        <w:ind w:left="720" w:hanging="720"/>
      </w:pPr>
      <w:r w:rsidRPr="00F01DD5">
        <w:t xml:space="preserve">Wu, X., &amp; Ye, Y. (2018). </w:t>
      </w:r>
      <w:r w:rsidRPr="00F01DD5">
        <w:rPr>
          <w:i/>
        </w:rPr>
        <w:t>Technical and vocational education in China</w:t>
      </w:r>
      <w:r w:rsidRPr="00F01DD5">
        <w:t xml:space="preserve">. Springer. </w:t>
      </w:r>
      <w:hyperlink r:id="rId35" w:history="1">
        <w:r w:rsidRPr="00F01DD5">
          <w:rPr>
            <w:rStyle w:val="Hyperlink"/>
          </w:rPr>
          <w:t>https://doi.org/10.1007/978-981-13-0839-0</w:t>
        </w:r>
      </w:hyperlink>
      <w:r w:rsidRPr="00F01DD5">
        <w:t xml:space="preserve"> </w:t>
      </w:r>
    </w:p>
    <w:p w14:paraId="62957DF5" w14:textId="21D5D5DB" w:rsidR="00F01DD5" w:rsidRPr="00F01DD5" w:rsidRDefault="00F01DD5" w:rsidP="00F01DD5">
      <w:pPr>
        <w:pStyle w:val="EndNoteBibliography"/>
        <w:ind w:left="720" w:hanging="720"/>
      </w:pPr>
      <w:r w:rsidRPr="00F01DD5">
        <w:t xml:space="preserve">Xiao, L., et al. (2025). Storytelling as a transformative tool: how narrative-based teaching reshapes clinical education outcomes in vocational nursing internships. </w:t>
      </w:r>
      <w:r w:rsidRPr="00F01DD5">
        <w:rPr>
          <w:i/>
        </w:rPr>
        <w:t>Frontiers in Medicine</w:t>
      </w:r>
      <w:r w:rsidRPr="00F01DD5">
        <w:t>,</w:t>
      </w:r>
      <w:r w:rsidRPr="00F01DD5">
        <w:rPr>
          <w:i/>
        </w:rPr>
        <w:t xml:space="preserve"> 12</w:t>
      </w:r>
      <w:r w:rsidRPr="00F01DD5">
        <w:t xml:space="preserve">, 1587526. </w:t>
      </w:r>
      <w:hyperlink r:id="rId36" w:history="1">
        <w:r w:rsidRPr="00F01DD5">
          <w:rPr>
            <w:rStyle w:val="Hyperlink"/>
          </w:rPr>
          <w:t>https://doi.org/10.3389/fmed.2025.1587526</w:t>
        </w:r>
      </w:hyperlink>
      <w:r w:rsidRPr="00F01DD5">
        <w:t xml:space="preserve"> </w:t>
      </w:r>
    </w:p>
    <w:p w14:paraId="624481F6" w14:textId="43A0412B" w:rsidR="00F01DD5" w:rsidRPr="00F01DD5" w:rsidRDefault="00F01DD5" w:rsidP="00F01DD5">
      <w:pPr>
        <w:pStyle w:val="EndNoteBibliography"/>
        <w:ind w:left="720" w:hanging="720"/>
      </w:pPr>
      <w:r w:rsidRPr="00F01DD5">
        <w:t xml:space="preserve">Yan, C. (2025). How do vocational students evaluate vocational education internships–an evaluation scale development in China. </w:t>
      </w:r>
      <w:r w:rsidRPr="00F01DD5">
        <w:rPr>
          <w:i/>
        </w:rPr>
        <w:t>Education+ Training</w:t>
      </w:r>
      <w:r w:rsidRPr="00F01DD5">
        <w:t>,</w:t>
      </w:r>
      <w:r w:rsidRPr="00F01DD5">
        <w:rPr>
          <w:i/>
        </w:rPr>
        <w:t xml:space="preserve"> 67</w:t>
      </w:r>
      <w:r w:rsidRPr="00F01DD5">
        <w:t xml:space="preserve">(1), 90-106. </w:t>
      </w:r>
      <w:hyperlink r:id="rId37" w:history="1">
        <w:r w:rsidRPr="00F01DD5">
          <w:rPr>
            <w:rStyle w:val="Hyperlink"/>
          </w:rPr>
          <w:t>https://doi.org/10.1108/ET-08-2023-0320</w:t>
        </w:r>
      </w:hyperlink>
      <w:r w:rsidRPr="00F01DD5">
        <w:t xml:space="preserve"> </w:t>
      </w:r>
    </w:p>
    <w:p w14:paraId="19280469" w14:textId="298538D5" w:rsidR="00F01DD5" w:rsidRPr="00F01DD5" w:rsidRDefault="00F01DD5" w:rsidP="00F01DD5">
      <w:pPr>
        <w:pStyle w:val="EndNoteBibliography"/>
        <w:ind w:left="720" w:hanging="720"/>
      </w:pPr>
      <w:r w:rsidRPr="00F01DD5">
        <w:t xml:space="preserve">Ye, J., &amp; Kuang, K. (2025). Explicating the mechanisms between overwork-related media exposure and workplace resilience: a study of tech employees in China. </w:t>
      </w:r>
      <w:r w:rsidRPr="00F01DD5">
        <w:rPr>
          <w:i/>
        </w:rPr>
        <w:t>Journal of Applied Communication Research</w:t>
      </w:r>
      <w:r w:rsidRPr="00F01DD5">
        <w:t>,</w:t>
      </w:r>
      <w:r w:rsidRPr="00F01DD5">
        <w:rPr>
          <w:i/>
        </w:rPr>
        <w:t xml:space="preserve"> 53</w:t>
      </w:r>
      <w:r w:rsidRPr="00F01DD5">
        <w:t xml:space="preserve">(1), 1-22. </w:t>
      </w:r>
      <w:hyperlink r:id="rId38" w:history="1">
        <w:r w:rsidRPr="00F01DD5">
          <w:rPr>
            <w:rStyle w:val="Hyperlink"/>
          </w:rPr>
          <w:t>https://doi.org/10.1080/00909882.2024.2445130</w:t>
        </w:r>
      </w:hyperlink>
      <w:r w:rsidRPr="00F01DD5">
        <w:t xml:space="preserve"> </w:t>
      </w:r>
    </w:p>
    <w:p w14:paraId="7506D97D" w14:textId="5BC113F8" w:rsidR="00CE4696" w:rsidRDefault="00F01DD5">
      <w:pPr>
        <w:pStyle w:val="Appendix"/>
        <w:spacing w:after="0"/>
        <w:jc w:val="both"/>
        <w:rPr>
          <w:rFonts w:ascii="Arial" w:hAnsi="Arial" w:cs="Arial"/>
          <w:b w:val="0"/>
        </w:rPr>
      </w:pPr>
      <w:r>
        <w:rPr>
          <w:rFonts w:ascii="Arial" w:hAnsi="Arial" w:cs="Arial"/>
          <w:b w:val="0"/>
        </w:rPr>
        <w:fldChar w:fldCharType="end"/>
      </w:r>
    </w:p>
    <w:sectPr w:rsidR="00CE4696" w:rsidSect="003E4D1C">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A2D65" w14:textId="77777777" w:rsidR="003F4079" w:rsidRDefault="003F4079">
      <w:r>
        <w:separator/>
      </w:r>
    </w:p>
  </w:endnote>
  <w:endnote w:type="continuationSeparator" w:id="0">
    <w:p w14:paraId="09364A2F" w14:textId="77777777" w:rsidR="003F4079" w:rsidRDefault="003F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13AF" w14:textId="77777777" w:rsidR="003E4D1C" w:rsidRDefault="003E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25035" w14:textId="77777777" w:rsidR="003E4D1C" w:rsidRDefault="003E4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C74D" w14:textId="77777777" w:rsidR="00CE4696" w:rsidRDefault="00CE4696">
    <w:pPr>
      <w:pStyle w:val="Footer"/>
      <w:rPr>
        <w:rFonts w:ascii="Arial" w:hAnsi="Arial" w:cs="Arial"/>
        <w:sz w:val="16"/>
      </w:rPr>
    </w:pPr>
  </w:p>
  <w:p w14:paraId="21A1B3AF" w14:textId="77777777" w:rsidR="00CE4696" w:rsidRDefault="00E7512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3770AD4" w14:textId="77777777" w:rsidR="00CE4696" w:rsidRDefault="00CE4696">
    <w:pPr>
      <w:pStyle w:val="Footer"/>
      <w:rPr>
        <w:rFonts w:ascii="Arial" w:hAnsi="Arial" w:cs="Arial"/>
        <w:sz w:val="16"/>
      </w:rPr>
    </w:pPr>
  </w:p>
  <w:p w14:paraId="18E74115" w14:textId="77777777" w:rsidR="00CE4696" w:rsidRDefault="00E7512E">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6580" w14:textId="77777777" w:rsidR="00CE4696" w:rsidRDefault="00CE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7CC27" w14:textId="77777777" w:rsidR="003F4079" w:rsidRDefault="003F4079">
      <w:r>
        <w:separator/>
      </w:r>
    </w:p>
  </w:footnote>
  <w:footnote w:type="continuationSeparator" w:id="0">
    <w:p w14:paraId="296C35A3" w14:textId="77777777" w:rsidR="003F4079" w:rsidRDefault="003F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8808" w14:textId="247FB290" w:rsidR="003E4D1C" w:rsidRDefault="003E4D1C">
    <w:pPr>
      <w:pStyle w:val="Header"/>
    </w:pPr>
    <w:r>
      <w:rPr>
        <w:noProof/>
      </w:rPr>
      <w:pict w14:anchorId="4E8D7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9B52" w14:textId="06572A38" w:rsidR="003E4D1C" w:rsidRDefault="003E4D1C">
    <w:pPr>
      <w:pStyle w:val="Header"/>
    </w:pPr>
    <w:r>
      <w:rPr>
        <w:noProof/>
      </w:rPr>
      <w:pict w14:anchorId="26A0E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9DD8" w14:textId="5963E221" w:rsidR="00CE4696" w:rsidRDefault="003E4D1C">
    <w:pPr>
      <w:ind w:left="2160"/>
      <w:jc w:val="center"/>
      <w:rPr>
        <w:rFonts w:ascii="Times New Roman" w:eastAsia="Calibri" w:hAnsi="Times New Roman"/>
        <w:i/>
        <w:sz w:val="18"/>
        <w:szCs w:val="22"/>
      </w:rPr>
    </w:pPr>
    <w:r>
      <w:rPr>
        <w:noProof/>
      </w:rPr>
      <w:pict w14:anchorId="2717D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D054B8" w14:textId="77777777" w:rsidR="00CE4696" w:rsidRDefault="00E7512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D4EC3E1" w14:textId="77777777" w:rsidR="00CE4696" w:rsidRDefault="00E7512E">
    <w:pPr>
      <w:jc w:val="center"/>
      <w:rPr>
        <w:rFonts w:ascii="Times New Roman" w:eastAsia="Calibri" w:hAnsi="Times New Roman"/>
        <w:i/>
        <w:sz w:val="18"/>
        <w:szCs w:val="22"/>
      </w:rPr>
    </w:pPr>
    <w:r>
      <w:rPr>
        <w:rFonts w:ascii="Times New Roman" w:eastAsia="Calibri" w:hAnsi="Times New Roman"/>
        <w:i/>
        <w:sz w:val="18"/>
        <w:szCs w:val="22"/>
      </w:rPr>
      <w:t>.</w:t>
    </w:r>
  </w:p>
  <w:p w14:paraId="21BD4896" w14:textId="77777777" w:rsidR="00CE4696" w:rsidRDefault="00E7512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59675A6" w14:textId="77777777" w:rsidR="00CE4696" w:rsidRDefault="00E7512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82C6A17" w14:textId="77777777" w:rsidR="00CE4696" w:rsidRDefault="00E7512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AEEAB21" w14:textId="77777777" w:rsidR="00CE4696" w:rsidRDefault="00E7512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C242" w14:textId="63FB46B5" w:rsidR="003E4D1C" w:rsidRDefault="003E4D1C">
    <w:pPr>
      <w:pStyle w:val="Header"/>
    </w:pPr>
    <w:r>
      <w:rPr>
        <w:noProof/>
      </w:rPr>
      <w:pict w14:anchorId="02AD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C5F2" w14:textId="71AA730B" w:rsidR="003E4D1C" w:rsidRDefault="003E4D1C">
    <w:pPr>
      <w:pStyle w:val="Header"/>
    </w:pPr>
    <w:r>
      <w:rPr>
        <w:noProof/>
      </w:rPr>
      <w:pict w14:anchorId="4CBC5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384F" w14:textId="656B5308" w:rsidR="003E4D1C" w:rsidRDefault="003E4D1C">
    <w:pPr>
      <w:pStyle w:val="Header"/>
    </w:pPr>
    <w:r>
      <w:rPr>
        <w:noProof/>
      </w:rPr>
      <w:pict w14:anchorId="78C98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3014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D57E9"/>
    <w:multiLevelType w:val="multilevel"/>
    <w:tmpl w:val="58DD57E9"/>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ateaap22str3eaaa1xar2n95zaewv2sx5a&quot;&gt;TC-FROM11&lt;record-ids&gt;&lt;item&gt;1069&lt;/item&gt;&lt;item&gt;1209&lt;/item&gt;&lt;item&gt;1258&lt;/item&gt;&lt;item&gt;1259&lt;/item&gt;&lt;item&gt;1350&lt;/item&gt;&lt;item&gt;1351&lt;/item&gt;&lt;item&gt;1352&lt;/item&gt;&lt;item&gt;1395&lt;/item&gt;&lt;item&gt;1410&lt;/item&gt;&lt;item&gt;1412&lt;/item&gt;&lt;item&gt;1413&lt;/item&gt;&lt;item&gt;1414&lt;/item&gt;&lt;item&gt;1415&lt;/item&gt;&lt;item&gt;1416&lt;/item&gt;&lt;item&gt;1417&lt;/item&gt;&lt;item&gt;1419&lt;/item&gt;&lt;item&gt;1420&lt;/item&gt;&lt;item&gt;1426&lt;/item&gt;&lt;item&gt;1427&lt;/item&gt;&lt;item&gt;1429&lt;/item&gt;&lt;item&gt;1430&lt;/item&gt;&lt;item&gt;1431&lt;/item&gt;&lt;item&gt;1432&lt;/item&gt;&lt;item&gt;1433&lt;/item&gt;&lt;item&gt;1434&lt;/item&gt;&lt;item&gt;1435&lt;/item&gt;&lt;item&gt;1436&lt;/item&gt;&lt;item&gt;1438&lt;/item&gt;&lt;item&gt;1439&lt;/item&gt;&lt;item&gt;1440&lt;/item&gt;&lt;/record-ids&gt;&lt;/item&gt;&lt;/Libraries&gt;"/>
  </w:docVars>
  <w:rsids>
    <w:rsidRoot w:val="00AA6219"/>
    <w:rsid w:val="00000F8F"/>
    <w:rsid w:val="00030174"/>
    <w:rsid w:val="0004579C"/>
    <w:rsid w:val="000748F3"/>
    <w:rsid w:val="000A38BC"/>
    <w:rsid w:val="000A47FA"/>
    <w:rsid w:val="000A65D3"/>
    <w:rsid w:val="000B1E33"/>
    <w:rsid w:val="000D689F"/>
    <w:rsid w:val="000E7B7B"/>
    <w:rsid w:val="000E7D62"/>
    <w:rsid w:val="00103357"/>
    <w:rsid w:val="00123C9F"/>
    <w:rsid w:val="00126190"/>
    <w:rsid w:val="00130F17"/>
    <w:rsid w:val="001320BF"/>
    <w:rsid w:val="00163BC4"/>
    <w:rsid w:val="001847E4"/>
    <w:rsid w:val="00191062"/>
    <w:rsid w:val="00192B72"/>
    <w:rsid w:val="00194564"/>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497"/>
    <w:rsid w:val="002556F6"/>
    <w:rsid w:val="00283105"/>
    <w:rsid w:val="00284C4C"/>
    <w:rsid w:val="00287E68"/>
    <w:rsid w:val="00296529"/>
    <w:rsid w:val="002B27FB"/>
    <w:rsid w:val="002B685A"/>
    <w:rsid w:val="002C57D2"/>
    <w:rsid w:val="002D7A55"/>
    <w:rsid w:val="002E0D56"/>
    <w:rsid w:val="00315186"/>
    <w:rsid w:val="0033343E"/>
    <w:rsid w:val="003512C2"/>
    <w:rsid w:val="00371FB6"/>
    <w:rsid w:val="003763C1"/>
    <w:rsid w:val="00376BBE"/>
    <w:rsid w:val="0039224F"/>
    <w:rsid w:val="003A43A4"/>
    <w:rsid w:val="003A7E18"/>
    <w:rsid w:val="003C4C86"/>
    <w:rsid w:val="003C6258"/>
    <w:rsid w:val="003E2904"/>
    <w:rsid w:val="003E4D1C"/>
    <w:rsid w:val="003F38E2"/>
    <w:rsid w:val="003F4079"/>
    <w:rsid w:val="00401927"/>
    <w:rsid w:val="0041027F"/>
    <w:rsid w:val="00412475"/>
    <w:rsid w:val="00423789"/>
    <w:rsid w:val="00440F43"/>
    <w:rsid w:val="00441B6F"/>
    <w:rsid w:val="00446221"/>
    <w:rsid w:val="00450E62"/>
    <w:rsid w:val="004539DB"/>
    <w:rsid w:val="00454F4E"/>
    <w:rsid w:val="00471A80"/>
    <w:rsid w:val="004D305E"/>
    <w:rsid w:val="004D4277"/>
    <w:rsid w:val="00502516"/>
    <w:rsid w:val="00505F06"/>
    <w:rsid w:val="00506828"/>
    <w:rsid w:val="0053056E"/>
    <w:rsid w:val="00554FDA"/>
    <w:rsid w:val="005C784C"/>
    <w:rsid w:val="005D17F6"/>
    <w:rsid w:val="005D7CAE"/>
    <w:rsid w:val="005E5539"/>
    <w:rsid w:val="00602BF5"/>
    <w:rsid w:val="00617FDD"/>
    <w:rsid w:val="00633614"/>
    <w:rsid w:val="00633F68"/>
    <w:rsid w:val="00636EB2"/>
    <w:rsid w:val="006375B8"/>
    <w:rsid w:val="00663DDD"/>
    <w:rsid w:val="0066510A"/>
    <w:rsid w:val="00673F9F"/>
    <w:rsid w:val="00686953"/>
    <w:rsid w:val="00687DEA"/>
    <w:rsid w:val="00687E67"/>
    <w:rsid w:val="006967F7"/>
    <w:rsid w:val="006A250C"/>
    <w:rsid w:val="006A29A7"/>
    <w:rsid w:val="006B21D3"/>
    <w:rsid w:val="006B57D0"/>
    <w:rsid w:val="006D30FF"/>
    <w:rsid w:val="006D6940"/>
    <w:rsid w:val="006F11EC"/>
    <w:rsid w:val="0070082C"/>
    <w:rsid w:val="00712CDA"/>
    <w:rsid w:val="007369E6"/>
    <w:rsid w:val="007411C3"/>
    <w:rsid w:val="00746E59"/>
    <w:rsid w:val="00754C9A"/>
    <w:rsid w:val="0075599A"/>
    <w:rsid w:val="00761D52"/>
    <w:rsid w:val="0077749E"/>
    <w:rsid w:val="00790ADA"/>
    <w:rsid w:val="007D2288"/>
    <w:rsid w:val="007E088F"/>
    <w:rsid w:val="007F7B32"/>
    <w:rsid w:val="00804BC2"/>
    <w:rsid w:val="00813918"/>
    <w:rsid w:val="0081431A"/>
    <w:rsid w:val="0083216F"/>
    <w:rsid w:val="00860000"/>
    <w:rsid w:val="00863BD3"/>
    <w:rsid w:val="008641ED"/>
    <w:rsid w:val="00866D66"/>
    <w:rsid w:val="008671C6"/>
    <w:rsid w:val="00875803"/>
    <w:rsid w:val="008B459E"/>
    <w:rsid w:val="008D27A4"/>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AA9"/>
    <w:rsid w:val="00A94063"/>
    <w:rsid w:val="00AA6219"/>
    <w:rsid w:val="00AA74E0"/>
    <w:rsid w:val="00AB0ED2"/>
    <w:rsid w:val="00AB2F8E"/>
    <w:rsid w:val="00AB703F"/>
    <w:rsid w:val="00AC6BB8"/>
    <w:rsid w:val="00AE008F"/>
    <w:rsid w:val="00B01FCD"/>
    <w:rsid w:val="00B1776C"/>
    <w:rsid w:val="00B52583"/>
    <w:rsid w:val="00B52896"/>
    <w:rsid w:val="00B95236"/>
    <w:rsid w:val="00B96BD9"/>
    <w:rsid w:val="00BA1B01"/>
    <w:rsid w:val="00BA2641"/>
    <w:rsid w:val="00BB37AA"/>
    <w:rsid w:val="00BB4CAC"/>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696"/>
    <w:rsid w:val="00CE793C"/>
    <w:rsid w:val="00CF193C"/>
    <w:rsid w:val="00D173F1"/>
    <w:rsid w:val="00D35AA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512E"/>
    <w:rsid w:val="00E769F6"/>
    <w:rsid w:val="00E8407C"/>
    <w:rsid w:val="00E84F3C"/>
    <w:rsid w:val="00EA012C"/>
    <w:rsid w:val="00EC6A55"/>
    <w:rsid w:val="00ED0288"/>
    <w:rsid w:val="00EE52CB"/>
    <w:rsid w:val="00EF581D"/>
    <w:rsid w:val="00EF7FD8"/>
    <w:rsid w:val="00F01DD5"/>
    <w:rsid w:val="00F06F59"/>
    <w:rsid w:val="00F17988"/>
    <w:rsid w:val="00F469F0"/>
    <w:rsid w:val="00F53273"/>
    <w:rsid w:val="00F74450"/>
    <w:rsid w:val="00F755E4"/>
    <w:rsid w:val="00F77D02"/>
    <w:rsid w:val="00FB3A86"/>
    <w:rsid w:val="00FD36C8"/>
    <w:rsid w:val="0E6C5C28"/>
    <w:rsid w:val="31607511"/>
    <w:rsid w:val="628C4EBC"/>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261F8E19"/>
  <w15:docId w15:val="{0A58AFF3-9CD0-40B0-AD60-47AFB5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pPr>
      <w:widowControl w:val="0"/>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link w:val="MainHead0"/>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link w:val="ReferHead0"/>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rPr>
      <w:rFonts w:ascii="SimSun" w:eastAsia="SimSun" w:hAnsi="SimSun" w:cs="SimSun" w:hint="eastAsia"/>
      <w:b/>
      <w:bCs/>
      <w:sz w:val="24"/>
      <w:szCs w:val="24"/>
    </w:rPr>
  </w:style>
  <w:style w:type="paragraph" w:customStyle="1" w:styleId="EndNoteBibliographyTitle">
    <w:name w:val="EndNote Bibliography Title"/>
    <w:basedOn w:val="Normal"/>
    <w:link w:val="EndNoteBibliographyTitle0"/>
    <w:rsid w:val="00F01DD5"/>
    <w:pPr>
      <w:jc w:val="center"/>
    </w:pPr>
    <w:rPr>
      <w:rFonts w:cs="Helvetica"/>
      <w:noProof/>
      <w:sz w:val="22"/>
    </w:rPr>
  </w:style>
  <w:style w:type="character" w:customStyle="1" w:styleId="MainHead0">
    <w:name w:val="Main Head 字符"/>
    <w:basedOn w:val="DefaultParagraphFont"/>
    <w:link w:val="MainHead"/>
    <w:rsid w:val="00F01DD5"/>
    <w:rPr>
      <w:rFonts w:ascii="Helvetica" w:eastAsia="Times New Roman" w:hAnsi="Helvetica"/>
      <w:b/>
      <w:caps/>
      <w:lang w:eastAsia="en-US"/>
    </w:rPr>
  </w:style>
  <w:style w:type="character" w:customStyle="1" w:styleId="ReferHead0">
    <w:name w:val="Refer Head 字符"/>
    <w:basedOn w:val="MainHead0"/>
    <w:link w:val="ReferHead"/>
    <w:rsid w:val="00F01DD5"/>
    <w:rPr>
      <w:rFonts w:ascii="Helvetica" w:eastAsia="Times New Roman" w:hAnsi="Helvetica"/>
      <w:b/>
      <w:caps/>
      <w:sz w:val="22"/>
      <w:lang w:eastAsia="en-US"/>
    </w:rPr>
  </w:style>
  <w:style w:type="character" w:customStyle="1" w:styleId="EndNoteBibliographyTitle0">
    <w:name w:val="EndNote Bibliography Title 字符"/>
    <w:basedOn w:val="ReferHead0"/>
    <w:link w:val="EndNoteBibliographyTitle"/>
    <w:rsid w:val="00F01DD5"/>
    <w:rPr>
      <w:rFonts w:ascii="Helvetica" w:eastAsia="Times New Roman" w:hAnsi="Helvetica" w:cs="Helvetica"/>
      <w:b w:val="0"/>
      <w:caps w:val="0"/>
      <w:noProof/>
      <w:sz w:val="22"/>
      <w:lang w:eastAsia="en-US"/>
    </w:rPr>
  </w:style>
  <w:style w:type="paragraph" w:customStyle="1" w:styleId="EndNoteBibliography">
    <w:name w:val="EndNote Bibliography"/>
    <w:basedOn w:val="Normal"/>
    <w:link w:val="EndNoteBibliography0"/>
    <w:rsid w:val="00F01DD5"/>
    <w:pPr>
      <w:jc w:val="both"/>
    </w:pPr>
    <w:rPr>
      <w:rFonts w:cs="Helvetica"/>
      <w:noProof/>
      <w:sz w:val="22"/>
    </w:rPr>
  </w:style>
  <w:style w:type="character" w:customStyle="1" w:styleId="EndNoteBibliography0">
    <w:name w:val="EndNote Bibliography 字符"/>
    <w:basedOn w:val="ReferHead0"/>
    <w:link w:val="EndNoteBibliography"/>
    <w:rsid w:val="00F01DD5"/>
    <w:rPr>
      <w:rFonts w:ascii="Helvetica" w:eastAsia="Times New Roman" w:hAnsi="Helvetica" w:cs="Helvetica"/>
      <w:b w:val="0"/>
      <w:caps w:val="0"/>
      <w:noProof/>
      <w:sz w:val="22"/>
      <w:lang w:eastAsia="en-US"/>
    </w:rPr>
  </w:style>
  <w:style w:type="character" w:styleId="UnresolvedMention">
    <w:name w:val="Unresolved Mention"/>
    <w:basedOn w:val="DefaultParagraphFont"/>
    <w:uiPriority w:val="99"/>
    <w:semiHidden/>
    <w:unhideWhenUsed/>
    <w:rsid w:val="00F0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4844/vte.2024.0677" TargetMode="External"/><Relationship Id="rId26" Type="http://schemas.openxmlformats.org/officeDocument/2006/relationships/hyperlink" Target="https://doi.org/10.3102/00028312032003465" TargetMode="External"/><Relationship Id="rId39" Type="http://schemas.openxmlformats.org/officeDocument/2006/relationships/header" Target="header4.xml"/><Relationship Id="rId21" Type="http://schemas.openxmlformats.org/officeDocument/2006/relationships/hyperlink" Target="https://doi.org/10.1111/1748-8583.12258" TargetMode="External"/><Relationship Id="rId34" Type="http://schemas.openxmlformats.org/officeDocument/2006/relationships/hyperlink" Target="https://doi.org/10.1080/17404622.2017.1400679" TargetMode="External"/><Relationship Id="rId42"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6/j.ijer.2020.101698" TargetMode="External"/><Relationship Id="rId20" Type="http://schemas.openxmlformats.org/officeDocument/2006/relationships/hyperlink" Target="https://doi.org/10.1016/j.ajog.2019.01.001" TargetMode="External"/><Relationship Id="rId29" Type="http://schemas.openxmlformats.org/officeDocument/2006/relationships/hyperlink" Target="https://doi.org/10.1007/s11165-018-9799-3"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77/1745499920959150" TargetMode="External"/><Relationship Id="rId32" Type="http://schemas.openxmlformats.org/officeDocument/2006/relationships/hyperlink" Target="https://doi.org/10.1017/S1474746421000932" TargetMode="External"/><Relationship Id="rId37" Type="http://schemas.openxmlformats.org/officeDocument/2006/relationships/hyperlink" Target="https://doi.org/10.1108/ET-08-2023-0320" TargetMode="Externa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77/0022487102053002003" TargetMode="External"/><Relationship Id="rId28" Type="http://schemas.openxmlformats.org/officeDocument/2006/relationships/hyperlink" Target="https://doi.org/10.26803/ijlter.23.9.16" TargetMode="External"/><Relationship Id="rId36" Type="http://schemas.openxmlformats.org/officeDocument/2006/relationships/hyperlink" Target="https://doi.org/10.3389/fmed.2025.1587526" TargetMode="External"/><Relationship Id="rId10" Type="http://schemas.openxmlformats.org/officeDocument/2006/relationships/header" Target="header2.xml"/><Relationship Id="rId19" Type="http://schemas.openxmlformats.org/officeDocument/2006/relationships/hyperlink" Target="https://doi.org/10.1145/3555585" TargetMode="External"/><Relationship Id="rId31" Type="http://schemas.openxmlformats.org/officeDocument/2006/relationships/hyperlink" Target="https://doi.org/10.1177/16094069221081594"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1363908032000093012" TargetMode="External"/><Relationship Id="rId27" Type="http://schemas.openxmlformats.org/officeDocument/2006/relationships/hyperlink" Target="https://doi.org/10.31893/multirev.2025117" TargetMode="External"/><Relationship Id="rId30" Type="http://schemas.openxmlformats.org/officeDocument/2006/relationships/hyperlink" Target="https://doi.org/10.1007/978-3-319-47856-2" TargetMode="External"/><Relationship Id="rId35" Type="http://schemas.openxmlformats.org/officeDocument/2006/relationships/hyperlink" Target="https://doi.org/10.1007/978-981-13-0839-0"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21241/ssoar.103012" TargetMode="External"/><Relationship Id="rId25" Type="http://schemas.openxmlformats.org/officeDocument/2006/relationships/hyperlink" Target="https://doi.org/10.1080/03057240.2025.2499619" TargetMode="External"/><Relationship Id="rId33" Type="http://schemas.openxmlformats.org/officeDocument/2006/relationships/hyperlink" Target="https://doi.org/10.4324/9781315237473" TargetMode="External"/><Relationship Id="rId38" Type="http://schemas.openxmlformats.org/officeDocument/2006/relationships/hyperlink" Target="https://doi.org/10.1080/00909882.2024.24451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C831D-CA8D-47CD-9DA6-7C3142DD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240</TotalTime>
  <Pages>14</Pages>
  <Words>17827</Words>
  <Characters>101614</Characters>
  <Application>Microsoft Office Word</Application>
  <DocSecurity>0</DocSecurity>
  <Lines>846</Lines>
  <Paragraphs>238</Paragraphs>
  <ScaleCrop>false</ScaleCrop>
  <Company>aaaa</Company>
  <LinksUpToDate>false</LinksUpToDate>
  <CharactersWithSpaces>119203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eyJoZGlkIjoiODMzM2FlYjlhMTUwZTA4MmJjY2JjNjBiMmJmMGZiZDkiLCJ1c2VySWQiOiIzNzc0NDQ5MTkifQ==</vt:lpwstr>
  </property>
  <property fmtid="{D5CDD505-2E9C-101B-9397-08002B2CF9AE}" pid="3" name="KSOProductBuildVer">
    <vt:lpwstr>2052-12.1.0.23542</vt:lpwstr>
  </property>
  <property fmtid="{D5CDD505-2E9C-101B-9397-08002B2CF9AE}" pid="4" name="ICV">
    <vt:lpwstr>B447A43AA54D40F681C847AD6E010DC8_12</vt:lpwstr>
  </property>
</Properties>
</file>