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BA8" w:rsidRPr="00C50750" w:rsidRDefault="00256BA8" w:rsidP="00450A9C">
      <w:pPr>
        <w:spacing w:line="360" w:lineRule="auto"/>
        <w:jc w:val="center"/>
        <w:rPr>
          <w:rFonts w:ascii="Garamond" w:hAnsi="Garamond"/>
          <w:b/>
          <w:bCs/>
          <w:sz w:val="28"/>
          <w:szCs w:val="28"/>
          <w:lang w:val="en-GB"/>
        </w:rPr>
      </w:pPr>
      <w:r w:rsidRPr="00C50750">
        <w:rPr>
          <w:rFonts w:ascii="Garamond" w:hAnsi="Garamond"/>
          <w:b/>
          <w:bCs/>
          <w:sz w:val="28"/>
          <w:szCs w:val="28"/>
          <w:lang w:val="en-GB"/>
        </w:rPr>
        <w:t>Original Research Article</w:t>
      </w:r>
    </w:p>
    <w:p w:rsidR="00450A9C" w:rsidRPr="00C50750" w:rsidRDefault="00450A9C" w:rsidP="00450A9C">
      <w:pPr>
        <w:spacing w:line="360" w:lineRule="auto"/>
        <w:jc w:val="center"/>
        <w:rPr>
          <w:rFonts w:ascii="Garamond" w:hAnsi="Garamond"/>
          <w:b/>
          <w:bCs/>
          <w:sz w:val="28"/>
          <w:szCs w:val="28"/>
          <w:lang w:val="en-GB"/>
        </w:rPr>
      </w:pPr>
      <w:r w:rsidRPr="00C50750">
        <w:rPr>
          <w:rFonts w:ascii="Garamond" w:hAnsi="Garamond"/>
          <w:b/>
          <w:bCs/>
          <w:sz w:val="28"/>
          <w:szCs w:val="28"/>
          <w:lang w:val="en-GB"/>
        </w:rPr>
        <w:t xml:space="preserve">Contested Futures: How Epistemological Turns Disrupt and Redefine </w:t>
      </w:r>
      <w:r w:rsidR="0052065B" w:rsidRPr="00C50750">
        <w:rPr>
          <w:rFonts w:ascii="Garamond" w:hAnsi="Garamond"/>
          <w:b/>
          <w:bCs/>
          <w:sz w:val="28"/>
          <w:szCs w:val="28"/>
          <w:lang w:val="en-GB"/>
        </w:rPr>
        <w:t>English Studies</w:t>
      </w:r>
    </w:p>
    <w:p w:rsidR="00DE0465" w:rsidRDefault="00DE0465" w:rsidP="00450A9C">
      <w:pPr>
        <w:spacing w:line="360" w:lineRule="auto"/>
        <w:rPr>
          <w:rFonts w:ascii="Garamond" w:hAnsi="Garamond"/>
          <w:b/>
          <w:sz w:val="20"/>
          <w:szCs w:val="20"/>
        </w:rPr>
      </w:pPr>
    </w:p>
    <w:p w:rsidR="00450A9C" w:rsidRPr="00C50750" w:rsidRDefault="00450A9C" w:rsidP="00450A9C">
      <w:pPr>
        <w:spacing w:line="360" w:lineRule="auto"/>
        <w:rPr>
          <w:rFonts w:ascii="Garamond" w:hAnsi="Garamond"/>
          <w:b/>
          <w:bCs/>
        </w:rPr>
      </w:pPr>
      <w:bookmarkStart w:id="0" w:name="_GoBack"/>
      <w:bookmarkEnd w:id="0"/>
      <w:r w:rsidRPr="00C50750">
        <w:rPr>
          <w:rFonts w:ascii="Garamond" w:hAnsi="Garamond"/>
          <w:b/>
          <w:bCs/>
        </w:rPr>
        <w:t>Abstract</w:t>
      </w:r>
    </w:p>
    <w:p w:rsidR="00450A9C" w:rsidRPr="00C50750" w:rsidRDefault="00450A9C" w:rsidP="00450A9C">
      <w:pPr>
        <w:spacing w:line="360" w:lineRule="auto"/>
        <w:rPr>
          <w:rFonts w:ascii="Garamond" w:hAnsi="Garamond"/>
        </w:rPr>
      </w:pPr>
      <w:r w:rsidRPr="00C50750">
        <w:rPr>
          <w:rFonts w:ascii="Garamond" w:hAnsi="Garamond"/>
        </w:rPr>
        <w:t xml:space="preserve">This study investigates the extent to which recent epistemological reorientations—often conceptualised as disciplinary “turns”—have reconceptualised English Studies as an increasingly dynamic and responsive field. Adopting a qualitative, interpretive research design grounded in critical-theoretical synthesis, comparative analytical procedures, and illustrative textual exemplification, the study traces the impact of the animal, plant, affective, ethical, digital, global, green, blue, linguistic, and vulnerability turns on both literary interpretation and pedagogical practice. Through close analysis of canonical and contemporary works—including Shakespeare’s </w:t>
      </w:r>
      <w:r w:rsidRPr="00C50750">
        <w:rPr>
          <w:rFonts w:ascii="Garamond" w:hAnsi="Garamond"/>
          <w:i/>
          <w:iCs/>
        </w:rPr>
        <w:t>The Tempest</w:t>
      </w:r>
      <w:r w:rsidRPr="00C50750">
        <w:rPr>
          <w:rFonts w:ascii="Garamond" w:hAnsi="Garamond"/>
        </w:rPr>
        <w:t xml:space="preserve">, Eliot’s </w:t>
      </w:r>
      <w:r w:rsidRPr="00C50750">
        <w:rPr>
          <w:rFonts w:ascii="Garamond" w:hAnsi="Garamond"/>
          <w:i/>
          <w:iCs/>
        </w:rPr>
        <w:t>The Waste Land</w:t>
      </w:r>
      <w:r w:rsidRPr="00C50750">
        <w:rPr>
          <w:rFonts w:ascii="Garamond" w:hAnsi="Garamond"/>
        </w:rPr>
        <w:t xml:space="preserve">, Achebe’s </w:t>
      </w:r>
      <w:r w:rsidRPr="00C50750">
        <w:rPr>
          <w:rFonts w:ascii="Garamond" w:hAnsi="Garamond"/>
          <w:i/>
          <w:iCs/>
        </w:rPr>
        <w:t>Things Fall Apart</w:t>
      </w:r>
      <w:r w:rsidRPr="00C50750">
        <w:rPr>
          <w:rFonts w:ascii="Garamond" w:hAnsi="Garamond"/>
        </w:rPr>
        <w:t xml:space="preserve">, Morrison’s </w:t>
      </w:r>
      <w:r w:rsidRPr="00C50750">
        <w:rPr>
          <w:rFonts w:ascii="Garamond" w:hAnsi="Garamond"/>
          <w:i/>
          <w:iCs/>
        </w:rPr>
        <w:t>Beloved</w:t>
      </w:r>
      <w:r w:rsidRPr="00C50750">
        <w:rPr>
          <w:rFonts w:ascii="Garamond" w:hAnsi="Garamond"/>
        </w:rPr>
        <w:t xml:space="preserve">, Atwood’s </w:t>
      </w:r>
      <w:r w:rsidRPr="00C50750">
        <w:rPr>
          <w:rFonts w:ascii="Garamond" w:hAnsi="Garamond"/>
          <w:i/>
          <w:iCs/>
        </w:rPr>
        <w:t>Oryx and Crake</w:t>
      </w:r>
      <w:r w:rsidRPr="00C50750">
        <w:rPr>
          <w:rFonts w:ascii="Garamond" w:hAnsi="Garamond"/>
        </w:rPr>
        <w:t xml:space="preserve">, Ghosh’s </w:t>
      </w:r>
      <w:r w:rsidRPr="00C50750">
        <w:rPr>
          <w:rFonts w:ascii="Garamond" w:hAnsi="Garamond"/>
          <w:i/>
          <w:iCs/>
        </w:rPr>
        <w:t>The Hungry Tide</w:t>
      </w:r>
      <w:r w:rsidRPr="00C50750">
        <w:rPr>
          <w:rFonts w:ascii="Garamond" w:hAnsi="Garamond"/>
        </w:rPr>
        <w:t xml:space="preserve">, Ishiguro’s </w:t>
      </w:r>
      <w:r w:rsidRPr="00C50750">
        <w:rPr>
          <w:rFonts w:ascii="Garamond" w:hAnsi="Garamond"/>
          <w:i/>
          <w:iCs/>
        </w:rPr>
        <w:t>Never Let Me Go</w:t>
      </w:r>
      <w:r w:rsidRPr="00C50750">
        <w:rPr>
          <w:rFonts w:ascii="Garamond" w:hAnsi="Garamond"/>
        </w:rPr>
        <w:t xml:space="preserve">, and Roy’s </w:t>
      </w:r>
      <w:r w:rsidRPr="00C50750">
        <w:rPr>
          <w:rFonts w:ascii="Garamond" w:hAnsi="Garamond"/>
          <w:i/>
          <w:iCs/>
        </w:rPr>
        <w:t>The God of Small Things</w:t>
      </w:r>
      <w:r w:rsidRPr="00C50750">
        <w:rPr>
          <w:rFonts w:ascii="Garamond" w:hAnsi="Garamond"/>
        </w:rPr>
        <w:t>—the research demonstrates how these theoretical turns intersect, converge, and at times produce productive tensions that recalibrate established interpretive frameworks. The findings indicate that such epistemological shifts broaden the disciplinary horizon, enhance interdisciplinary sensibilities, and cultivate ethical, critical, and reflective competencies among English majors. Although conceptual rather than empirical in scope, the study advances significant pedagogical and disciplinary insights, underscoring the adaptive, future-oriented, and socially attuned character of English Studies as a continuously evolving “living discipline.”</w:t>
      </w:r>
    </w:p>
    <w:p w:rsidR="00450A9C" w:rsidRPr="00C50750" w:rsidRDefault="00450A9C" w:rsidP="00450A9C">
      <w:pPr>
        <w:spacing w:line="360" w:lineRule="auto"/>
        <w:rPr>
          <w:rFonts w:ascii="Garamond" w:hAnsi="Garamond"/>
          <w:lang w:val="en-GB"/>
        </w:rPr>
      </w:pPr>
      <w:r w:rsidRPr="00C50750">
        <w:rPr>
          <w:rFonts w:ascii="Garamond" w:hAnsi="Garamond"/>
          <w:b/>
          <w:bCs/>
          <w:lang w:val="en-GB"/>
        </w:rPr>
        <w:t>Keywords</w:t>
      </w:r>
      <w:r w:rsidRPr="00C50750">
        <w:rPr>
          <w:rFonts w:ascii="Garamond" w:hAnsi="Garamond"/>
          <w:lang w:val="en-GB"/>
        </w:rPr>
        <w:t>: literary pedagogy, interdisciplinary frameworks, ethical engagement, ecocritical analysis, affective reading, cotemporary interpretation</w:t>
      </w:r>
    </w:p>
    <w:p w:rsidR="00450A9C" w:rsidRPr="00C50750" w:rsidRDefault="00D4066E" w:rsidP="00450A9C">
      <w:pPr>
        <w:spacing w:line="360" w:lineRule="auto"/>
        <w:rPr>
          <w:rFonts w:ascii="Garamond" w:hAnsi="Garamond"/>
          <w:b/>
          <w:bCs/>
        </w:rPr>
      </w:pPr>
      <w:r w:rsidRPr="00C50750">
        <w:rPr>
          <w:rFonts w:ascii="Garamond" w:hAnsi="Garamond"/>
          <w:b/>
          <w:bCs/>
        </w:rPr>
        <w:t xml:space="preserve">1 </w:t>
      </w:r>
      <w:r w:rsidR="00BF10FE" w:rsidRPr="00C50750">
        <w:rPr>
          <w:rFonts w:ascii="Garamond" w:hAnsi="Garamond"/>
          <w:b/>
          <w:bCs/>
        </w:rPr>
        <w:t>Introduction</w:t>
      </w:r>
    </w:p>
    <w:p w:rsidR="00BF10FE" w:rsidRPr="00C50750" w:rsidRDefault="00BF10FE" w:rsidP="00BF10FE">
      <w:pPr>
        <w:spacing w:line="360" w:lineRule="auto"/>
        <w:rPr>
          <w:rFonts w:ascii="Garamond" w:hAnsi="Garamond"/>
        </w:rPr>
      </w:pPr>
      <w:r w:rsidRPr="00C50750">
        <w:rPr>
          <w:rFonts w:ascii="Garamond" w:hAnsi="Garamond"/>
        </w:rPr>
        <w:t>English Studies in the contemporary moment constitutes not a static body of knowledge but a dynamically evolving “living discipline,” continually reshaped by successive theoretical turns and epistemological reconfigurations. Each major intellectual movement—structuralism, poststructuralism, postcolonialism, feminism, ecocriticism, affect theory, among others—has reoriented the interpretive, pedagogical, and evaluative practices through which literary texts are engaged. Jacques Derrida’s assertion that “there is nothing outside of the text” (</w:t>
      </w:r>
      <w:r w:rsidRPr="00C50750">
        <w:rPr>
          <w:rFonts w:ascii="Garamond" w:hAnsi="Garamond"/>
          <w:i/>
          <w:iCs/>
        </w:rPr>
        <w:t>Positions</w:t>
      </w:r>
      <w:r w:rsidRPr="00C50750">
        <w:rPr>
          <w:rFonts w:ascii="Garamond" w:hAnsi="Garamond"/>
        </w:rPr>
        <w:t xml:space="preserve"> 158) exemplifies a foundational destabilisation of earlier assumptions regarding literature as a fixed repository of meaning. For students of English, these shifts function not merely as abstract theoretical developments but as generative frameworks through which critical literacy, cultural sensibility, and ethical imagination are cultivated.</w:t>
      </w:r>
    </w:p>
    <w:p w:rsidR="00BF10FE" w:rsidRPr="00C50750" w:rsidRDefault="00BF10FE" w:rsidP="00BF10FE">
      <w:pPr>
        <w:spacing w:line="360" w:lineRule="auto"/>
        <w:rPr>
          <w:rFonts w:ascii="Garamond" w:hAnsi="Garamond"/>
        </w:rPr>
      </w:pPr>
      <w:r w:rsidRPr="00C50750">
        <w:rPr>
          <w:rFonts w:ascii="Garamond" w:hAnsi="Garamond"/>
        </w:rPr>
        <w:lastRenderedPageBreak/>
        <w:t xml:space="preserve">     Postcolonial theory offers a particularly illuminating example of this disciplinary reorientation. Reading Chinua Achebe’s </w:t>
      </w:r>
      <w:r w:rsidRPr="00C50750">
        <w:rPr>
          <w:rFonts w:ascii="Garamond" w:hAnsi="Garamond"/>
          <w:i/>
          <w:iCs/>
        </w:rPr>
        <w:t>Things Fall Apart</w:t>
      </w:r>
      <w:r w:rsidRPr="00C50750">
        <w:rPr>
          <w:rFonts w:ascii="Garamond" w:hAnsi="Garamond"/>
        </w:rPr>
        <w:t xml:space="preserve"> (1958) contrapuntally against the colonial narratives it critiques enables students to recognise the ways in which literature exposes the operations of power, ideology, and representation. Homi Bhabha’s theorisation of hybridity in </w:t>
      </w:r>
      <w:r w:rsidRPr="00C50750">
        <w:rPr>
          <w:rFonts w:ascii="Garamond" w:hAnsi="Garamond"/>
          <w:i/>
          <w:iCs/>
        </w:rPr>
        <w:t>The Location of Culture</w:t>
      </w:r>
      <w:r w:rsidRPr="00C50750">
        <w:rPr>
          <w:rFonts w:ascii="Garamond" w:hAnsi="Garamond"/>
        </w:rPr>
        <w:t xml:space="preserve"> (1994) further equips English majors to interrogate cultural negotiation and identity formation, particularly in texts such as Shakespeare’s </w:t>
      </w:r>
      <w:r w:rsidRPr="00C50750">
        <w:rPr>
          <w:rFonts w:ascii="Garamond" w:hAnsi="Garamond"/>
          <w:i/>
          <w:iCs/>
        </w:rPr>
        <w:t>The Tempest</w:t>
      </w:r>
      <w:r w:rsidRPr="00C50750">
        <w:rPr>
          <w:rFonts w:ascii="Garamond" w:hAnsi="Garamond"/>
        </w:rPr>
        <w:t xml:space="preserve"> (1611), where Caliban’s resistant voice anticipates later critiques of imperial epistemologies.</w:t>
      </w:r>
    </w:p>
    <w:p w:rsidR="00BF10FE" w:rsidRPr="00C50750" w:rsidRDefault="00BF10FE" w:rsidP="00BF10FE">
      <w:pPr>
        <w:spacing w:line="360" w:lineRule="auto"/>
        <w:rPr>
          <w:rFonts w:ascii="Garamond" w:hAnsi="Garamond"/>
        </w:rPr>
      </w:pPr>
      <w:r w:rsidRPr="00C50750">
        <w:rPr>
          <w:rFonts w:ascii="Garamond" w:hAnsi="Garamond"/>
        </w:rPr>
        <w:t xml:space="preserve">     Similarly, feminist and affective turns deepen interpretive engagement by foregrounding the embodied, emotional, and historically inflected dimensions of textual meaning. Sara Ahmed’s argument in </w:t>
      </w:r>
      <w:r w:rsidRPr="00C50750">
        <w:rPr>
          <w:rFonts w:ascii="Garamond" w:hAnsi="Garamond"/>
          <w:i/>
          <w:iCs/>
        </w:rPr>
        <w:t>The Cultural Politics of Emotion</w:t>
      </w:r>
      <w:r w:rsidRPr="00C50750">
        <w:rPr>
          <w:rFonts w:ascii="Garamond" w:hAnsi="Garamond"/>
        </w:rPr>
        <w:t xml:space="preserve"> (2014) that emotions are “sticky,” binding bodies to histories and ideas (Ahmed 11), provides a productive lens through which to read works such as Toni Morrison’s </w:t>
      </w:r>
      <w:r w:rsidRPr="00C50750">
        <w:rPr>
          <w:rFonts w:ascii="Garamond" w:hAnsi="Garamond"/>
          <w:i/>
          <w:iCs/>
        </w:rPr>
        <w:t>Beloved</w:t>
      </w:r>
      <w:r w:rsidRPr="00C50750">
        <w:rPr>
          <w:rFonts w:ascii="Garamond" w:hAnsi="Garamond"/>
        </w:rPr>
        <w:t xml:space="preserve"> (1987). The spectral presence of Sethe’s child emerges not merely as a narrative device but as an affective force that links individual trauma to the collective memory of slavery. Likewise, Emily Dickinson’s condensed poetic form—marked by elision, silence, and subversive voice—invites re-evaluation of gendered constraints and canonical hierarchies.</w:t>
      </w:r>
    </w:p>
    <w:p w:rsidR="00BF10FE" w:rsidRPr="00C50750" w:rsidRDefault="00BF10FE" w:rsidP="00BF10FE">
      <w:pPr>
        <w:spacing w:line="360" w:lineRule="auto"/>
        <w:rPr>
          <w:rFonts w:ascii="Garamond" w:hAnsi="Garamond"/>
        </w:rPr>
      </w:pPr>
      <w:r w:rsidRPr="00C50750">
        <w:rPr>
          <w:rFonts w:ascii="Garamond" w:hAnsi="Garamond"/>
        </w:rPr>
        <w:t xml:space="preserve">     Other theoretical turns foreground ecological and global orientations that broaden the ethical and analytical scope of English Studies. Ecocritical approaches, for example, encourage parallel readings of Amitav Ghosh’s </w:t>
      </w:r>
      <w:r w:rsidRPr="00C50750">
        <w:rPr>
          <w:rFonts w:ascii="Garamond" w:hAnsi="Garamond"/>
          <w:i/>
          <w:iCs/>
        </w:rPr>
        <w:t>The Hungry Tide</w:t>
      </w:r>
      <w:r w:rsidRPr="00C50750">
        <w:rPr>
          <w:rFonts w:ascii="Garamond" w:hAnsi="Garamond"/>
        </w:rPr>
        <w:t xml:space="preserve"> (2004) and Margaret Atwood’s </w:t>
      </w:r>
      <w:r w:rsidRPr="00C50750">
        <w:rPr>
          <w:rFonts w:ascii="Garamond" w:hAnsi="Garamond"/>
          <w:i/>
          <w:iCs/>
        </w:rPr>
        <w:t>Oryx and Crake</w:t>
      </w:r>
      <w:r w:rsidRPr="00C50750">
        <w:rPr>
          <w:rFonts w:ascii="Garamond" w:hAnsi="Garamond"/>
        </w:rPr>
        <w:t xml:space="preserve"> (2003), texts that interrogate environmental vulnerability across local and planetary scales. Donna Haraway’s call for “response-ability” toward nonhuman others in </w:t>
      </w:r>
      <w:r w:rsidRPr="00C50750">
        <w:rPr>
          <w:rFonts w:ascii="Garamond" w:hAnsi="Garamond"/>
          <w:i/>
          <w:iCs/>
        </w:rPr>
        <w:t>When Species Meet</w:t>
      </w:r>
      <w:r w:rsidRPr="00C50750">
        <w:rPr>
          <w:rFonts w:ascii="Garamond" w:hAnsi="Garamond"/>
        </w:rPr>
        <w:t xml:space="preserve"> (2008) pushes students to reconsider the boundaries of ethical agency and to situate literary analysis within multispecies, interdependent frameworks (Haraway 71).</w:t>
      </w:r>
    </w:p>
    <w:p w:rsidR="00BF10FE" w:rsidRPr="00C50750" w:rsidRDefault="00BF10FE" w:rsidP="00BF10FE">
      <w:pPr>
        <w:spacing w:line="360" w:lineRule="auto"/>
        <w:rPr>
          <w:rFonts w:ascii="Garamond" w:hAnsi="Garamond"/>
        </w:rPr>
      </w:pPr>
      <w:r w:rsidRPr="00C50750">
        <w:rPr>
          <w:rFonts w:ascii="Garamond" w:hAnsi="Garamond"/>
        </w:rPr>
        <w:t xml:space="preserve">     Collectively, these examples illustrate that epistemological turns do far more than diversify curricular content; they fundamentally redefine the aims, methods, and ethical stakes of literary study. Such theoretical developments sharpen interpretive competence, interrogate monolithic cultural narratives, and prepare students to engage critically with the complexities of contemporary global life. As Martha Nussbaum contends, the humanities nurture “narrative imagination,” the capacity to inhabit the experiences of others and deliberate about justice (Nussbaum 85). In this respect, English Studies remains a genuinely living discipline—responsive to emerging modes of thought and committed to fostering reflective, ethically attuned readers.</w:t>
      </w:r>
    </w:p>
    <w:p w:rsidR="00BF10FE" w:rsidRPr="00C50750" w:rsidRDefault="00BF10FE" w:rsidP="00BF10FE">
      <w:pPr>
        <w:spacing w:line="360" w:lineRule="auto"/>
        <w:rPr>
          <w:rFonts w:ascii="Garamond" w:hAnsi="Garamond"/>
          <w:b/>
          <w:bCs/>
        </w:rPr>
      </w:pPr>
      <w:r w:rsidRPr="00C50750">
        <w:rPr>
          <w:rFonts w:ascii="Garamond" w:hAnsi="Garamond"/>
          <w:b/>
          <w:bCs/>
        </w:rPr>
        <w:t>1.1 Review of the Related Literature</w:t>
      </w:r>
    </w:p>
    <w:p w:rsidR="00BF10FE" w:rsidRPr="00C50750" w:rsidRDefault="00BF10FE" w:rsidP="00BF10FE">
      <w:pPr>
        <w:spacing w:line="360" w:lineRule="auto"/>
        <w:rPr>
          <w:rFonts w:ascii="Garamond" w:hAnsi="Garamond"/>
        </w:rPr>
      </w:pPr>
      <w:r w:rsidRPr="00C50750">
        <w:rPr>
          <w:rFonts w:ascii="Garamond" w:hAnsi="Garamond"/>
        </w:rPr>
        <w:t xml:space="preserve">Over the past two decades, literary scholarship has transformed earlier theoretical provocations into sustained and coherent research programmes, while simultaneously opening new methodological trajectories for reading and interpreting texts. Contemporary research converges </w:t>
      </w:r>
      <w:r w:rsidRPr="00C50750">
        <w:rPr>
          <w:rFonts w:ascii="Garamond" w:hAnsi="Garamond"/>
        </w:rPr>
        <w:lastRenderedPageBreak/>
        <w:t xml:space="preserve">around several major developments: intensified interest in affect and embodiment; the rise of materialist and </w:t>
      </w:r>
      <w:proofErr w:type="spellStart"/>
      <w:r w:rsidRPr="00C50750">
        <w:rPr>
          <w:rFonts w:ascii="Garamond" w:hAnsi="Garamond"/>
        </w:rPr>
        <w:t>posthumanist</w:t>
      </w:r>
      <w:proofErr w:type="spellEnd"/>
      <w:r w:rsidRPr="00C50750">
        <w:rPr>
          <w:rFonts w:ascii="Garamond" w:hAnsi="Garamond"/>
        </w:rPr>
        <w:t xml:space="preserve"> orientations that reposition literature within ecological and multispecies networks; the continued evolution of postcolonial and cultural frameworks, particularly around hybridity and global circulation; the methodological expansion enabled by digital humanities; and the emergence of ethics-driven interpretive practices that link literary form to civic, political, and moral responsibility. These movements reflect the increasingly interdisciplinary and responsive nature of English Studies.</w:t>
      </w:r>
    </w:p>
    <w:p w:rsidR="00BF10FE" w:rsidRPr="00C50750" w:rsidRDefault="00BF10FE" w:rsidP="00BF10FE">
      <w:pPr>
        <w:spacing w:line="360" w:lineRule="auto"/>
        <w:rPr>
          <w:rFonts w:ascii="Garamond" w:hAnsi="Garamond"/>
        </w:rPr>
      </w:pPr>
      <w:r w:rsidRPr="00C50750">
        <w:rPr>
          <w:rFonts w:ascii="Garamond" w:hAnsi="Garamond"/>
        </w:rPr>
        <w:t xml:space="preserve">     Within this broad intellectual landscape, a series of theoretical “turns” has played a decisive role in reconfiguring the discipline. The animal, plant, digital, affective, cultural, postcolonial, ethical, blue, global, green, linguistic, and vulnerability turns not only redirect scholarly attention but also expand the conceptual boundaries of literary enquiry. Together, they demonstrate the field’s engagement with urgent ecological, ethical, cultural, and technological questions that define contemporary intellectual life. The animal turn, for example, has provided a significant impetus for rethinking the representation and agency of nonhuman animals in literature. Moving beyond anthropocentric models, scholars now foreground animals as sentient subjects with narrative presence and ethical weight. Anastassiya Andrianova’s (2016) work illustrates this shift by examining intersections between animal studies and trauma theory, offering nuanced readings of Tolstoy’s </w:t>
      </w:r>
      <w:r w:rsidR="00DF6994" w:rsidRPr="00C50750">
        <w:rPr>
          <w:rFonts w:ascii="Garamond" w:hAnsi="Garamond"/>
        </w:rPr>
        <w:t>“</w:t>
      </w:r>
      <w:r w:rsidRPr="00C50750">
        <w:rPr>
          <w:rFonts w:ascii="Garamond" w:hAnsi="Garamond"/>
        </w:rPr>
        <w:t>Strider</w:t>
      </w:r>
      <w:r w:rsidR="00DF6994" w:rsidRPr="00C50750">
        <w:rPr>
          <w:rFonts w:ascii="Garamond" w:hAnsi="Garamond"/>
        </w:rPr>
        <w:t>”</w:t>
      </w:r>
      <w:r w:rsidRPr="00C50750">
        <w:rPr>
          <w:rFonts w:ascii="Garamond" w:hAnsi="Garamond"/>
          <w:i/>
          <w:iCs/>
        </w:rPr>
        <w:t xml:space="preserve"> </w:t>
      </w:r>
      <w:r w:rsidRPr="00C50750">
        <w:rPr>
          <w:rFonts w:ascii="Garamond" w:hAnsi="Garamond"/>
        </w:rPr>
        <w:t xml:space="preserve">and Bulgakov’s </w:t>
      </w:r>
      <w:r w:rsidRPr="00C50750">
        <w:rPr>
          <w:rFonts w:ascii="Garamond" w:hAnsi="Garamond"/>
          <w:i/>
          <w:iCs/>
        </w:rPr>
        <w:t>Heart of a Dog</w:t>
      </w:r>
      <w:r w:rsidRPr="00C50750">
        <w:rPr>
          <w:rFonts w:ascii="Garamond" w:hAnsi="Garamond"/>
        </w:rPr>
        <w:t>, where animal suffering acquires both narrative centrality and moral urgency.</w:t>
      </w:r>
    </w:p>
    <w:p w:rsidR="00BF10FE" w:rsidRPr="00C50750" w:rsidRDefault="00BF10FE" w:rsidP="00BF10FE">
      <w:pPr>
        <w:spacing w:line="360" w:lineRule="auto"/>
        <w:rPr>
          <w:rFonts w:ascii="Garamond" w:hAnsi="Garamond"/>
        </w:rPr>
      </w:pPr>
      <w:r w:rsidRPr="00C50750">
        <w:rPr>
          <w:rFonts w:ascii="Garamond" w:hAnsi="Garamond"/>
        </w:rPr>
        <w:t xml:space="preserve">     A closely related development is the plant turn, which underscores the cultural, ecological, and imaginative significance of vegetal life. As Joela Jacobs (2024) demonstrates in her reflections for Harvard’s </w:t>
      </w:r>
      <w:proofErr w:type="spellStart"/>
      <w:r w:rsidRPr="00C50750">
        <w:rPr>
          <w:rFonts w:ascii="Garamond" w:hAnsi="Garamond"/>
        </w:rPr>
        <w:t>Center</w:t>
      </w:r>
      <w:proofErr w:type="spellEnd"/>
      <w:r w:rsidRPr="00C50750">
        <w:rPr>
          <w:rFonts w:ascii="Garamond" w:hAnsi="Garamond"/>
        </w:rPr>
        <w:t xml:space="preserve"> for the Study of World Religions, plants play a crucial role in shaping literary imagination, especially during periods of environmental and social crisis. This perspective resonates with broader scholarly efforts, such as the University of Pennsylvania’s call for papers centred on the “green imagination,” which emphasises the intertwined histories of ecology and literature across diverse cultural contexts. These interventions collectively reposition vegetal life as a central figure in literary and cultural theory, thereby expanding the parameters of environmental humanities.</w:t>
      </w:r>
    </w:p>
    <w:p w:rsidR="00BF10FE" w:rsidRPr="00C50750" w:rsidRDefault="00BF10FE" w:rsidP="00BF10FE">
      <w:pPr>
        <w:spacing w:line="360" w:lineRule="auto"/>
        <w:rPr>
          <w:rFonts w:ascii="Garamond" w:hAnsi="Garamond"/>
        </w:rPr>
      </w:pPr>
      <w:r w:rsidRPr="00C50750">
        <w:rPr>
          <w:rFonts w:ascii="Garamond" w:hAnsi="Garamond"/>
        </w:rPr>
        <w:t xml:space="preserve">     The digital turn marks another major reorientation, reshaping both the production and interpretation of literary texts. </w:t>
      </w:r>
      <w:proofErr w:type="spellStart"/>
      <w:r w:rsidRPr="00C50750">
        <w:rPr>
          <w:rFonts w:ascii="Garamond" w:hAnsi="Garamond"/>
        </w:rPr>
        <w:t>Gulhayo</w:t>
      </w:r>
      <w:proofErr w:type="spellEnd"/>
      <w:r w:rsidRPr="00C50750">
        <w:rPr>
          <w:rFonts w:ascii="Garamond" w:hAnsi="Garamond"/>
        </w:rPr>
        <w:t xml:space="preserve"> </w:t>
      </w:r>
      <w:proofErr w:type="spellStart"/>
      <w:r w:rsidRPr="00C50750">
        <w:rPr>
          <w:rFonts w:ascii="Garamond" w:hAnsi="Garamond"/>
        </w:rPr>
        <w:t>Baxtiyorovna</w:t>
      </w:r>
      <w:proofErr w:type="spellEnd"/>
      <w:r w:rsidRPr="00C50750">
        <w:rPr>
          <w:rFonts w:ascii="Garamond" w:hAnsi="Garamond"/>
        </w:rPr>
        <w:t xml:space="preserve"> </w:t>
      </w:r>
      <w:proofErr w:type="spellStart"/>
      <w:r w:rsidRPr="00C50750">
        <w:rPr>
          <w:rFonts w:ascii="Garamond" w:hAnsi="Garamond"/>
        </w:rPr>
        <w:t>Pardayeva</w:t>
      </w:r>
      <w:proofErr w:type="spellEnd"/>
      <w:r w:rsidRPr="00C50750">
        <w:rPr>
          <w:rFonts w:ascii="Garamond" w:hAnsi="Garamond"/>
        </w:rPr>
        <w:t xml:space="preserve"> (2025) argues that computational tools and digital technologies have transformed traditional practices in literary studies and linguistics, altering modes of textual dissemination, analysis, and critical engagement. Yet, this innovation is not without critique; Simon Murray (2025) calls for a “new institutionalist” approach that tempers the dominance of network visualisation and similar techniques with </w:t>
      </w:r>
      <w:r w:rsidRPr="00C50750">
        <w:rPr>
          <w:rFonts w:ascii="Garamond" w:hAnsi="Garamond"/>
        </w:rPr>
        <w:lastRenderedPageBreak/>
        <w:t>critical reflexivity regarding scholarly infrastructures and methodological assumptions. This tension reflects the broader disciplinary negotiation between technological innovation and interpretive rigour.</w:t>
      </w:r>
    </w:p>
    <w:p w:rsidR="00BF10FE" w:rsidRPr="00C50750" w:rsidRDefault="00BF10FE" w:rsidP="00BF10FE">
      <w:pPr>
        <w:spacing w:line="360" w:lineRule="auto"/>
        <w:rPr>
          <w:rFonts w:ascii="Garamond" w:hAnsi="Garamond"/>
        </w:rPr>
      </w:pPr>
      <w:r w:rsidRPr="00C50750">
        <w:rPr>
          <w:rFonts w:ascii="Garamond" w:hAnsi="Garamond"/>
        </w:rPr>
        <w:t xml:space="preserve">     Equally influential is the affective turn, which foregrounds emotions as central to literary meaning, reader response, and cultural interpretation. Stephen Ahern (2024) traces the emergence of affect theory as a major field of enquiry, noting its capacity to illuminate the emotional dimensions of narrative and cultural experience. Extending this trajectory, Lauren Michele Jackson (2023) analyses the specific functions of affect in African American literature, cautioning against reductive readings and urging critics to attend to the complex emotional textures and cultural implications embedded in literary texts. Through such scholarship, affect theory has consolidated its place as an indispensable analytical mode.</w:t>
      </w:r>
    </w:p>
    <w:p w:rsidR="00BF10FE" w:rsidRPr="00C50750" w:rsidRDefault="00BF10FE" w:rsidP="00BF10FE">
      <w:pPr>
        <w:spacing w:line="360" w:lineRule="auto"/>
        <w:rPr>
          <w:rFonts w:ascii="Garamond" w:hAnsi="Garamond"/>
        </w:rPr>
      </w:pPr>
      <w:r w:rsidRPr="00C50750">
        <w:rPr>
          <w:rFonts w:ascii="Garamond" w:hAnsi="Garamond"/>
        </w:rPr>
        <w:t xml:space="preserve">     Postcolonial and cultural turns also remain central to contemporary literary studies, particularly in their attention to power, identity, and historical memory. T.J. Boynton (2024), writing in the </w:t>
      </w:r>
      <w:r w:rsidRPr="00C50750">
        <w:rPr>
          <w:rFonts w:ascii="Garamond" w:hAnsi="Garamond"/>
          <w:i/>
          <w:iCs/>
        </w:rPr>
        <w:t>Cambridge Journal of Postcolonial Literary Inquiry</w:t>
      </w:r>
      <w:r w:rsidRPr="00C50750">
        <w:rPr>
          <w:rFonts w:ascii="Garamond" w:hAnsi="Garamond"/>
        </w:rPr>
        <w:t xml:space="preserve">, identifies a shift from narrowly defined colonial contexts toward broader cultural and historical frameworks that address global transformations. This expanded perspective is further reflected in the </w:t>
      </w:r>
      <w:r w:rsidRPr="00C50750">
        <w:rPr>
          <w:rFonts w:ascii="Garamond" w:hAnsi="Garamond"/>
          <w:i/>
          <w:iCs/>
        </w:rPr>
        <w:t xml:space="preserve">Journal of Global Postcolonial Studies </w:t>
      </w:r>
      <w:r w:rsidRPr="00C50750">
        <w:rPr>
          <w:rFonts w:ascii="Garamond" w:hAnsi="Garamond"/>
        </w:rPr>
        <w:t>(2025), which continues to foreground interdisciplinary research on colonial legacies and their ongoing global ramifications. These developments reaffirm postcolonial theory’s relevance in a rapidly globalising world.</w:t>
      </w:r>
    </w:p>
    <w:p w:rsidR="00BF10FE" w:rsidRPr="00C50750" w:rsidRDefault="00BF10FE" w:rsidP="00BF10FE">
      <w:pPr>
        <w:spacing w:line="360" w:lineRule="auto"/>
        <w:rPr>
          <w:rFonts w:ascii="Garamond" w:hAnsi="Garamond"/>
        </w:rPr>
      </w:pPr>
      <w:r w:rsidRPr="00C50750">
        <w:rPr>
          <w:rFonts w:ascii="Garamond" w:hAnsi="Garamond"/>
        </w:rPr>
        <w:t xml:space="preserve">     The ethical turn has likewise reshaped interpretive priorities by emphasising literature’s role in moral reflection and civic deliberation. Stephen Danilovich (2024) contrasts this movement with formalist approaches, highlighting its investment in the </w:t>
      </w:r>
      <w:proofErr w:type="spellStart"/>
      <w:r w:rsidRPr="00C50750">
        <w:rPr>
          <w:rFonts w:ascii="Garamond" w:hAnsi="Garamond"/>
        </w:rPr>
        <w:t>ethico</w:t>
      </w:r>
      <w:proofErr w:type="spellEnd"/>
      <w:r w:rsidRPr="00C50750">
        <w:rPr>
          <w:rFonts w:ascii="Garamond" w:hAnsi="Garamond"/>
        </w:rPr>
        <w:t>-political efficacy of literary texts. Earlier foundational work by Todd F. Davis and Kenneth Womack (2001) demonstrated how ethical criticism intersects pedagogically and theoretically with the humanities’ broader concern for human responsibility, social justice, and moral imagination. Such scholarship underscores literature’s capacity to cultivate ethical sensibilities and critical citizenship.</w:t>
      </w:r>
    </w:p>
    <w:p w:rsidR="00BF10FE" w:rsidRPr="00C50750" w:rsidRDefault="00BF10FE" w:rsidP="00BF10FE">
      <w:pPr>
        <w:spacing w:line="360" w:lineRule="auto"/>
        <w:rPr>
          <w:rFonts w:ascii="Garamond" w:hAnsi="Garamond"/>
        </w:rPr>
      </w:pPr>
      <w:r w:rsidRPr="00C50750">
        <w:rPr>
          <w:rFonts w:ascii="Garamond" w:hAnsi="Garamond"/>
        </w:rPr>
        <w:t xml:space="preserve">     Environmental orientations have expanded further through the blue and green turns. The blue turn, associated with the burgeoning Blue Humanities, foregrounds oceanic environments as dynamic spaces of cultural, ecological, and political significance. Reshmi (2024) argues for renewed critical engagement with maritime spaces, emphasising their role in shaping environmental consciousness. In parallel, Susanne Ferwerda (2024) examines how ocean narratives intersect with colonial histories and destabilise dominant epistemologies by foregrounding alternative, often marginalized perspectives. Complementing this aquatic orientation, the green turn—aligned with ecocriticism and environmental humanities—centres </w:t>
      </w:r>
      <w:r w:rsidRPr="00C50750">
        <w:rPr>
          <w:rFonts w:ascii="Garamond" w:hAnsi="Garamond"/>
        </w:rPr>
        <w:lastRenderedPageBreak/>
        <w:t xml:space="preserve">on ecological crises and vegetal imaginaries. Peggy </w:t>
      </w:r>
      <w:proofErr w:type="spellStart"/>
      <w:r w:rsidRPr="00C50750">
        <w:rPr>
          <w:rFonts w:ascii="Garamond" w:hAnsi="Garamond"/>
        </w:rPr>
        <w:t>Karpouzou</w:t>
      </w:r>
      <w:proofErr w:type="spellEnd"/>
      <w:r w:rsidRPr="00C50750">
        <w:rPr>
          <w:rFonts w:ascii="Garamond" w:hAnsi="Garamond"/>
        </w:rPr>
        <w:t xml:space="preserve"> and </w:t>
      </w:r>
      <w:proofErr w:type="spellStart"/>
      <w:r w:rsidRPr="00C50750">
        <w:rPr>
          <w:rFonts w:ascii="Garamond" w:hAnsi="Garamond"/>
        </w:rPr>
        <w:t>Nikoleta</w:t>
      </w:r>
      <w:proofErr w:type="spellEnd"/>
      <w:r w:rsidRPr="00C50750">
        <w:rPr>
          <w:rFonts w:ascii="Garamond" w:hAnsi="Garamond"/>
        </w:rPr>
        <w:t xml:space="preserve"> </w:t>
      </w:r>
      <w:proofErr w:type="spellStart"/>
      <w:r w:rsidRPr="00C50750">
        <w:rPr>
          <w:rFonts w:ascii="Garamond" w:hAnsi="Garamond"/>
        </w:rPr>
        <w:t>Zampaki</w:t>
      </w:r>
      <w:proofErr w:type="spellEnd"/>
      <w:r w:rsidRPr="00C50750">
        <w:rPr>
          <w:rFonts w:ascii="Garamond" w:hAnsi="Garamond"/>
        </w:rPr>
        <w:t xml:space="preserve"> (2024) chart the development of critical green theories and demonstrate how botanical narratives contribute to environmental discourse and activism.</w:t>
      </w:r>
    </w:p>
    <w:p w:rsidR="00BF10FE" w:rsidRPr="00C50750" w:rsidRDefault="00BF10FE" w:rsidP="00BF10FE">
      <w:pPr>
        <w:spacing w:line="360" w:lineRule="auto"/>
        <w:rPr>
          <w:rFonts w:ascii="Garamond" w:hAnsi="Garamond"/>
        </w:rPr>
      </w:pPr>
      <w:r w:rsidRPr="00C50750">
        <w:rPr>
          <w:rFonts w:ascii="Garamond" w:hAnsi="Garamond"/>
        </w:rPr>
        <w:t xml:space="preserve">     The linguistic turn, although historically foundational, continues to exert significant influence by reaffirming the constitutive role of language in shaping human and multispecies relations. Matthew Adams (2024) illustrates this through qualitative studies in psychology conducted after the animal turn, showing how linguistic structures mediate interspecies interactions and reflect broader methodological convergences between literary studies and allied disciplines. This renewed linguistic focus affirms the centrality of language as both an analytical tool and an object of </w:t>
      </w:r>
      <w:r w:rsidR="00DF6994" w:rsidRPr="00C50750">
        <w:rPr>
          <w:rFonts w:ascii="Garamond" w:hAnsi="Garamond"/>
        </w:rPr>
        <w:t>e</w:t>
      </w:r>
      <w:r w:rsidRPr="00C50750">
        <w:rPr>
          <w:rFonts w:ascii="Garamond" w:hAnsi="Garamond"/>
        </w:rPr>
        <w:t>nquiry.</w:t>
      </w:r>
    </w:p>
    <w:p w:rsidR="00BF10FE" w:rsidRPr="00C50750" w:rsidRDefault="00BF10FE" w:rsidP="00BF10FE">
      <w:pPr>
        <w:spacing w:line="360" w:lineRule="auto"/>
        <w:rPr>
          <w:rFonts w:ascii="Garamond" w:hAnsi="Garamond"/>
        </w:rPr>
      </w:pPr>
      <w:r w:rsidRPr="00C50750">
        <w:rPr>
          <w:rFonts w:ascii="Garamond" w:hAnsi="Garamond"/>
        </w:rPr>
        <w:t xml:space="preserve">     Finally, the emerging vulnerability turn draws attention to themes of precarity, care, and relationality. Although less developed than other theoretical turns, it integrates ethical and affective considerations by examining how narratives confront human and social vulnerability, offering frameworks for solidarity, compassion, and collective responsibility. This turn resonates with broader trends in contemporary theory that foreground literature’s capacity to address shared human experiences and ethical imperatives.</w:t>
      </w:r>
    </w:p>
    <w:p w:rsidR="00BF10FE" w:rsidRPr="00C50750" w:rsidRDefault="00BF10FE" w:rsidP="00BF10FE">
      <w:pPr>
        <w:spacing w:line="360" w:lineRule="auto"/>
        <w:rPr>
          <w:rFonts w:ascii="Garamond" w:hAnsi="Garamond"/>
        </w:rPr>
      </w:pPr>
      <w:r w:rsidRPr="00C50750">
        <w:rPr>
          <w:rFonts w:ascii="Garamond" w:hAnsi="Garamond"/>
        </w:rPr>
        <w:t xml:space="preserve">     Taken together, these theoretical developments attest to the adaptability, interdisciplinarity, and critical depth of contemporary literary studies. They reveal English Studies as a discipline continually responsive to cultural transformations, ecological urgencies, technological innovations, and ethical challenges. In doing so, the field persistently reinvents itself, ensuring its relevance to the complex intellectual, social, and environmental realities of the twenty-first century.</w:t>
      </w:r>
    </w:p>
    <w:p w:rsidR="00142C5E" w:rsidRPr="00C50750" w:rsidRDefault="00142C5E" w:rsidP="00BF10FE">
      <w:pPr>
        <w:spacing w:line="360" w:lineRule="auto"/>
        <w:rPr>
          <w:rFonts w:ascii="Garamond" w:hAnsi="Garamond"/>
          <w:b/>
          <w:bCs/>
        </w:rPr>
      </w:pPr>
      <w:r w:rsidRPr="00C50750">
        <w:rPr>
          <w:rFonts w:ascii="Garamond" w:hAnsi="Garamond"/>
          <w:b/>
          <w:bCs/>
        </w:rPr>
        <w:t>1.2 Synthesis and Gap</w:t>
      </w:r>
    </w:p>
    <w:p w:rsidR="00142C5E" w:rsidRPr="00C50750" w:rsidRDefault="00142C5E" w:rsidP="00BF10FE">
      <w:pPr>
        <w:spacing w:line="360" w:lineRule="auto"/>
        <w:rPr>
          <w:rFonts w:ascii="Garamond" w:hAnsi="Garamond"/>
        </w:rPr>
      </w:pPr>
      <w:r w:rsidRPr="00C50750">
        <w:rPr>
          <w:rFonts w:ascii="Garamond" w:hAnsi="Garamond"/>
        </w:rPr>
        <w:t>Although the emergent epistemological turns have considerably expanded the scope and methodological richness of literary studies, the field still lacks sufficiently integrative frameworks capable of bridging these diverse perspectives. A substantial body of existing scholarship tends to examine individual turns in isolation, thereby neglecting the productive intersections through which contemporary texts generate complex, multi-layered meanings. This segmented approach risks limiting a fuller understanding of how these developments collectively reshape the discipline. The present study responds to this gap by advancing a holistic analytical framework that synthesizes multiple theoretical orientations. In doing so, it seeks to demonstrate how the convergence of these epistemological shifts reconfigures the conceptual, methodological, and pedagogical contours of English studies.</w:t>
      </w:r>
    </w:p>
    <w:p w:rsidR="00683856" w:rsidRPr="00C50750" w:rsidRDefault="00683856" w:rsidP="00BF10FE">
      <w:pPr>
        <w:spacing w:line="360" w:lineRule="auto"/>
        <w:rPr>
          <w:rFonts w:ascii="Garamond" w:hAnsi="Garamond"/>
          <w:b/>
          <w:bCs/>
        </w:rPr>
      </w:pPr>
      <w:r w:rsidRPr="00C50750">
        <w:rPr>
          <w:rFonts w:ascii="Garamond" w:hAnsi="Garamond"/>
          <w:b/>
          <w:bCs/>
        </w:rPr>
        <w:t>1.3 Thesis Statement</w:t>
      </w:r>
    </w:p>
    <w:p w:rsidR="00683856" w:rsidRPr="00C50750" w:rsidRDefault="00683856" w:rsidP="00BF10FE">
      <w:pPr>
        <w:spacing w:line="360" w:lineRule="auto"/>
        <w:rPr>
          <w:rFonts w:ascii="Garamond" w:hAnsi="Garamond"/>
        </w:rPr>
      </w:pPr>
      <w:r w:rsidRPr="00C50750">
        <w:rPr>
          <w:rFonts w:ascii="Garamond" w:hAnsi="Garamond"/>
        </w:rPr>
        <w:lastRenderedPageBreak/>
        <w:t>This study contends that the vitality of English studies resides in its capacity to absorb and respond to diverse epistemological turns which collectively broaden interpretive possibilities and redirect the discipline toward urgent ecological, technological, ethical, and global concerns, and thereby affirm its enduring relevance in the twenty-first century.</w:t>
      </w:r>
    </w:p>
    <w:p w:rsidR="007C5AA4" w:rsidRPr="00C50750" w:rsidRDefault="007C5AA4" w:rsidP="00BF10FE">
      <w:pPr>
        <w:spacing w:line="360" w:lineRule="auto"/>
        <w:rPr>
          <w:rFonts w:ascii="Garamond" w:hAnsi="Garamond"/>
          <w:b/>
          <w:bCs/>
        </w:rPr>
      </w:pPr>
      <w:r w:rsidRPr="00C50750">
        <w:rPr>
          <w:rFonts w:ascii="Garamond" w:hAnsi="Garamond"/>
          <w:b/>
          <w:bCs/>
        </w:rPr>
        <w:t>2 Method</w:t>
      </w:r>
    </w:p>
    <w:p w:rsidR="007C5AA4" w:rsidRPr="00C50750" w:rsidRDefault="007C5AA4" w:rsidP="007C5AA4">
      <w:pPr>
        <w:spacing w:line="360" w:lineRule="auto"/>
        <w:rPr>
          <w:rFonts w:ascii="Garamond" w:hAnsi="Garamond"/>
        </w:rPr>
      </w:pPr>
      <w:r w:rsidRPr="00C50750">
        <w:rPr>
          <w:rFonts w:ascii="Garamond" w:hAnsi="Garamond"/>
        </w:rPr>
        <w:t>This study adopts a qualitative, interpretive research design that integrates critical-theoretical synthesis, comparative analysis, and selective textual exemplification. Rather than employing empirical data collection, the enquiry proceeds through an extended analytical engagement with contemporary scholarship on epistemological turns in the humanities and applies these conceptual developments to a curated set of literary texts. Through this approach, the study demonstrates how English studies evolves as a discipline by absorbing, recalibrating, and operationalizing theoretical innovations—such as the animal, plant, digital, affective, cultural, postcolonial, ethical, blue, global, green, linguistic, and vulnerability turns—within both interpretive practice and pedagogical contexts.</w:t>
      </w:r>
    </w:p>
    <w:p w:rsidR="007C5AA4" w:rsidRPr="00C50750" w:rsidRDefault="007C5AA4" w:rsidP="007C5AA4">
      <w:pPr>
        <w:spacing w:line="360" w:lineRule="auto"/>
        <w:rPr>
          <w:rFonts w:ascii="Garamond" w:hAnsi="Garamond"/>
        </w:rPr>
      </w:pPr>
      <w:r w:rsidRPr="00C50750">
        <w:rPr>
          <w:rFonts w:ascii="Garamond" w:hAnsi="Garamond"/>
        </w:rPr>
        <w:t xml:space="preserve">     The methodological foundation rests on a critical review of scholarship published between 2000 and 2025 that documents the emergence, consolidation, and interrelation of these turns. Key contributions include Anastassiya Andrianova’s (2016) work on animal studies and trauma, Joela Jacobs’ (2024) theorization of </w:t>
      </w:r>
      <w:proofErr w:type="spellStart"/>
      <w:r w:rsidRPr="00C50750">
        <w:rPr>
          <w:rFonts w:ascii="Garamond" w:hAnsi="Garamond"/>
        </w:rPr>
        <w:t>phytopoetics</w:t>
      </w:r>
      <w:proofErr w:type="spellEnd"/>
      <w:r w:rsidRPr="00C50750">
        <w:rPr>
          <w:rFonts w:ascii="Garamond" w:hAnsi="Garamond"/>
        </w:rPr>
        <w:t>, Stephen Ahern’s (2024) synthetic overview of affect theory, and Simon Murray’s (2025) critique of digital humanities, each exemplifying the ways epistemological shifts reconfigure disciplinary boundaries. By synthesizing insights across this corpus, the study identifies recurrent patterns that illuminate the conceptual flexibility and disciplinary responsiveness that characterize English studies as a “living discipline.”</w:t>
      </w:r>
    </w:p>
    <w:p w:rsidR="007C5AA4" w:rsidRPr="00C50750" w:rsidRDefault="007C5AA4" w:rsidP="007C5AA4">
      <w:pPr>
        <w:spacing w:line="360" w:lineRule="auto"/>
        <w:rPr>
          <w:rFonts w:ascii="Garamond" w:hAnsi="Garamond"/>
        </w:rPr>
      </w:pPr>
      <w:r w:rsidRPr="00C50750">
        <w:rPr>
          <w:rFonts w:ascii="Garamond" w:hAnsi="Garamond"/>
        </w:rPr>
        <w:t xml:space="preserve">     Central to the method is the decision to analyse each epistemological turn in dialogic relation to others rather than in isolation. The plant and green turns, for example, are examined in tandem to foreground their shared ecological orientations, whereas the digital and global turns are juxtaposed to illuminate distinct yet intersecting scales of connectivity—technological and transnational, respectively. This comparative procedure reveals both the convergences and tensions produced by the accumulation of turns and illustrates how they collectively expand and recalibrate the interpretive horizon of English studies.</w:t>
      </w:r>
    </w:p>
    <w:p w:rsidR="007C5AA4" w:rsidRPr="00C50750" w:rsidRDefault="007C5AA4" w:rsidP="007C5AA4">
      <w:pPr>
        <w:spacing w:line="360" w:lineRule="auto"/>
        <w:rPr>
          <w:rFonts w:ascii="Garamond" w:hAnsi="Garamond"/>
        </w:rPr>
      </w:pPr>
      <w:r w:rsidRPr="00C50750">
        <w:rPr>
          <w:rFonts w:ascii="Garamond" w:hAnsi="Garamond"/>
        </w:rPr>
        <w:t xml:space="preserve">     To anchor the theoretical analysis in concrete interpretive practice, the study employs a set of literary texts as illustrative case studies. The corpus comprises canonical works—such as Shakespeare’s </w:t>
      </w:r>
      <w:r w:rsidRPr="00C50750">
        <w:rPr>
          <w:rFonts w:ascii="Garamond" w:hAnsi="Garamond"/>
          <w:i/>
          <w:iCs/>
        </w:rPr>
        <w:t>The Tempest</w:t>
      </w:r>
      <w:r w:rsidRPr="00C50750">
        <w:rPr>
          <w:rFonts w:ascii="Garamond" w:hAnsi="Garamond"/>
        </w:rPr>
        <w:t xml:space="preserve">, T. S. Eliot’s </w:t>
      </w:r>
      <w:r w:rsidRPr="00C50750">
        <w:rPr>
          <w:rFonts w:ascii="Garamond" w:hAnsi="Garamond"/>
          <w:i/>
          <w:iCs/>
        </w:rPr>
        <w:t>The Waste Land</w:t>
      </w:r>
      <w:r w:rsidRPr="00C50750">
        <w:rPr>
          <w:rFonts w:ascii="Garamond" w:hAnsi="Garamond"/>
        </w:rPr>
        <w:t xml:space="preserve">, and Emily Dickinson’s lyric poetry—as well as influential modern and postcolonial texts, including Achebe’s </w:t>
      </w:r>
      <w:r w:rsidRPr="00C50750">
        <w:rPr>
          <w:rFonts w:ascii="Garamond" w:hAnsi="Garamond"/>
          <w:i/>
          <w:iCs/>
        </w:rPr>
        <w:t>Things Fall Apart</w:t>
      </w:r>
      <w:r w:rsidRPr="00C50750">
        <w:rPr>
          <w:rFonts w:ascii="Garamond" w:hAnsi="Garamond"/>
        </w:rPr>
        <w:t xml:space="preserve">, Morrison’s </w:t>
      </w:r>
      <w:r w:rsidRPr="00C50750">
        <w:rPr>
          <w:rFonts w:ascii="Garamond" w:hAnsi="Garamond"/>
          <w:i/>
          <w:iCs/>
        </w:rPr>
        <w:t>Beloved</w:t>
      </w:r>
      <w:r w:rsidRPr="00C50750">
        <w:rPr>
          <w:rFonts w:ascii="Garamond" w:hAnsi="Garamond"/>
        </w:rPr>
        <w:t xml:space="preserve">, Ghosh’s </w:t>
      </w:r>
      <w:r w:rsidRPr="00C50750">
        <w:rPr>
          <w:rFonts w:ascii="Garamond" w:hAnsi="Garamond"/>
          <w:i/>
          <w:iCs/>
        </w:rPr>
        <w:t>The Hungry Tide</w:t>
      </w:r>
      <w:r w:rsidRPr="00C50750">
        <w:rPr>
          <w:rFonts w:ascii="Garamond" w:hAnsi="Garamond"/>
        </w:rPr>
        <w:t xml:space="preserve">, Atwood’s </w:t>
      </w:r>
      <w:r w:rsidRPr="00C50750">
        <w:rPr>
          <w:rFonts w:ascii="Garamond" w:hAnsi="Garamond"/>
          <w:i/>
          <w:iCs/>
        </w:rPr>
        <w:t>Oryx and Crake</w:t>
      </w:r>
      <w:r w:rsidRPr="00C50750">
        <w:rPr>
          <w:rFonts w:ascii="Garamond" w:hAnsi="Garamond"/>
        </w:rPr>
        <w:t xml:space="preserve">, Ishiguro’s </w:t>
      </w:r>
      <w:r w:rsidRPr="00C50750">
        <w:rPr>
          <w:rFonts w:ascii="Garamond" w:hAnsi="Garamond"/>
          <w:i/>
          <w:iCs/>
        </w:rPr>
        <w:t xml:space="preserve">Never Let Me </w:t>
      </w:r>
      <w:r w:rsidRPr="00C50750">
        <w:rPr>
          <w:rFonts w:ascii="Garamond" w:hAnsi="Garamond"/>
          <w:i/>
          <w:iCs/>
        </w:rPr>
        <w:lastRenderedPageBreak/>
        <w:t>Go</w:t>
      </w:r>
      <w:r w:rsidRPr="00C50750">
        <w:rPr>
          <w:rFonts w:ascii="Garamond" w:hAnsi="Garamond"/>
        </w:rPr>
        <w:t xml:space="preserve">, and Roy’s </w:t>
      </w:r>
      <w:r w:rsidRPr="00C50750">
        <w:rPr>
          <w:rFonts w:ascii="Garamond" w:hAnsi="Garamond"/>
          <w:i/>
          <w:iCs/>
        </w:rPr>
        <w:t>The God of Small Things</w:t>
      </w:r>
      <w:r w:rsidRPr="00C50750">
        <w:rPr>
          <w:rFonts w:ascii="Garamond" w:hAnsi="Garamond"/>
        </w:rPr>
        <w:t>. These texts were selected because they intersect with multiple epistemological turns and thus, enable an examination of how theoretical reorientations reshape interpretive possibilities.</w:t>
      </w:r>
    </w:p>
    <w:p w:rsidR="007C5AA4" w:rsidRPr="00C50750" w:rsidRDefault="007C5AA4" w:rsidP="007C5AA4">
      <w:pPr>
        <w:spacing w:line="360" w:lineRule="auto"/>
        <w:rPr>
          <w:rFonts w:ascii="Garamond" w:hAnsi="Garamond"/>
        </w:rPr>
      </w:pPr>
      <w:r w:rsidRPr="00C50750">
        <w:rPr>
          <w:rFonts w:ascii="Garamond" w:hAnsi="Garamond"/>
        </w:rPr>
        <w:t xml:space="preserve">     Because many of the epistemological turns examined originate in fields adjacent to or outside the traditional remit of literary studies—such as philosophy, ecology, psychology, cultural studies, and digital media studies—the method is inherently interdisciplinary. Insights from these fields inform and enrich the literary readings, and thereby, reflect the increasingly porous boundaries of English studies in the contemporary academy. The final methodological step involves critical-theoretical synthesis: integrating the insights derived from multiple turns to argue that English studies remains an adaptive, future-oriented discipline capable of responding meaningfully to shifting intellectual, cultural, ecological, and ethical imperatives.</w:t>
      </w:r>
    </w:p>
    <w:p w:rsidR="007C5AA4" w:rsidRPr="00C50750" w:rsidRDefault="007C5AA4" w:rsidP="007C5AA4">
      <w:pPr>
        <w:spacing w:line="360" w:lineRule="auto"/>
        <w:rPr>
          <w:rFonts w:ascii="Garamond" w:hAnsi="Garamond"/>
          <w:b/>
          <w:bCs/>
        </w:rPr>
      </w:pPr>
      <w:r w:rsidRPr="00C50750">
        <w:rPr>
          <w:rFonts w:ascii="Garamond" w:hAnsi="Garamond"/>
          <w:b/>
          <w:bCs/>
        </w:rPr>
        <w:t>2.1 Research Questions</w:t>
      </w:r>
    </w:p>
    <w:p w:rsidR="007C5AA4" w:rsidRPr="00C50750" w:rsidRDefault="007C5AA4" w:rsidP="007C5AA4">
      <w:pPr>
        <w:spacing w:line="360" w:lineRule="auto"/>
        <w:rPr>
          <w:rFonts w:ascii="Garamond" w:hAnsi="Garamond"/>
        </w:rPr>
      </w:pPr>
      <w:r w:rsidRPr="00C50750">
        <w:rPr>
          <w:rFonts w:ascii="Garamond" w:hAnsi="Garamond"/>
        </w:rPr>
        <w:t xml:space="preserve">The research questions guiding “Contested Futures: How Epistemological Turns Disrupt </w:t>
      </w:r>
      <w:r w:rsidR="0015272E" w:rsidRPr="00C50750">
        <w:rPr>
          <w:rFonts w:ascii="Garamond" w:hAnsi="Garamond"/>
        </w:rPr>
        <w:t>t</w:t>
      </w:r>
      <w:r w:rsidRPr="00C50750">
        <w:rPr>
          <w:rFonts w:ascii="Garamond" w:hAnsi="Garamond"/>
        </w:rPr>
        <w:t xml:space="preserve">he </w:t>
      </w:r>
      <w:r w:rsidR="0015272E" w:rsidRPr="00C50750">
        <w:rPr>
          <w:rFonts w:ascii="Garamond" w:hAnsi="Garamond"/>
        </w:rPr>
        <w:t xml:space="preserve">English Studies” </w:t>
      </w:r>
      <w:r w:rsidRPr="00C50750">
        <w:rPr>
          <w:rFonts w:ascii="Garamond" w:hAnsi="Garamond"/>
        </w:rPr>
        <w:t xml:space="preserve">constitute the conceptual and methodological foundation of the study. They reflect both the epistemological orientation of the </w:t>
      </w:r>
      <w:r w:rsidR="0015272E" w:rsidRPr="00C50750">
        <w:rPr>
          <w:rFonts w:ascii="Garamond" w:hAnsi="Garamond"/>
        </w:rPr>
        <w:t>e</w:t>
      </w:r>
      <w:r w:rsidRPr="00C50750">
        <w:rPr>
          <w:rFonts w:ascii="Garamond" w:hAnsi="Garamond"/>
        </w:rPr>
        <w:t xml:space="preserve">nquiry and its pedagogical implications, </w:t>
      </w:r>
      <w:r w:rsidR="0015272E" w:rsidRPr="00C50750">
        <w:rPr>
          <w:rFonts w:ascii="Garamond" w:hAnsi="Garamond"/>
        </w:rPr>
        <w:t xml:space="preserve">and </w:t>
      </w:r>
      <w:r w:rsidRPr="00C50750">
        <w:rPr>
          <w:rFonts w:ascii="Garamond" w:hAnsi="Garamond"/>
        </w:rPr>
        <w:t>aim to illuminate how contemporary theoretical developments reshape the disciplinary identity of English studies.</w:t>
      </w:r>
    </w:p>
    <w:p w:rsidR="007C5AA4" w:rsidRPr="00C50750" w:rsidRDefault="007C5AA4" w:rsidP="0015272E">
      <w:pPr>
        <w:pStyle w:val="ListParagraph"/>
        <w:numPr>
          <w:ilvl w:val="0"/>
          <w:numId w:val="1"/>
        </w:numPr>
        <w:spacing w:line="360" w:lineRule="auto"/>
        <w:rPr>
          <w:rFonts w:ascii="Garamond" w:hAnsi="Garamond"/>
        </w:rPr>
      </w:pPr>
      <w:r w:rsidRPr="00C50750">
        <w:rPr>
          <w:rFonts w:ascii="Garamond" w:hAnsi="Garamond"/>
        </w:rPr>
        <w:t>How do recent epistemological turns—such as the animal, plant, affective, ethical, digital, and global turns—reconfigure the scope, methodologies, and intellectual aims of English studies as an academic discipline?</w:t>
      </w:r>
    </w:p>
    <w:p w:rsidR="007C5AA4" w:rsidRPr="00C50750" w:rsidRDefault="007C5AA4" w:rsidP="007C5AA4">
      <w:pPr>
        <w:pStyle w:val="ListParagraph"/>
        <w:numPr>
          <w:ilvl w:val="0"/>
          <w:numId w:val="1"/>
        </w:numPr>
        <w:spacing w:line="360" w:lineRule="auto"/>
        <w:rPr>
          <w:rFonts w:ascii="Garamond" w:hAnsi="Garamond"/>
        </w:rPr>
      </w:pPr>
      <w:r w:rsidRPr="00C50750">
        <w:rPr>
          <w:rFonts w:ascii="Garamond" w:hAnsi="Garamond"/>
        </w:rPr>
        <w:t xml:space="preserve">What forms of interpretive innovation emerge when canonical texts </w:t>
      </w:r>
      <w:r w:rsidR="0015272E" w:rsidRPr="00C50750">
        <w:rPr>
          <w:rFonts w:ascii="Garamond" w:hAnsi="Garamond"/>
        </w:rPr>
        <w:t>like</w:t>
      </w:r>
      <w:r w:rsidRPr="00C50750">
        <w:rPr>
          <w:rFonts w:ascii="Garamond" w:hAnsi="Garamond"/>
        </w:rPr>
        <w:t xml:space="preserve"> Shakespeare’s </w:t>
      </w:r>
      <w:r w:rsidRPr="00C50750">
        <w:rPr>
          <w:rFonts w:ascii="Garamond" w:hAnsi="Garamond"/>
          <w:i/>
          <w:iCs/>
        </w:rPr>
        <w:t>The Tempest</w:t>
      </w:r>
      <w:r w:rsidRPr="00C50750">
        <w:rPr>
          <w:rFonts w:ascii="Garamond" w:hAnsi="Garamond"/>
        </w:rPr>
        <w:t xml:space="preserve">, Eliot’s </w:t>
      </w:r>
      <w:r w:rsidRPr="00C50750">
        <w:rPr>
          <w:rFonts w:ascii="Garamond" w:hAnsi="Garamond"/>
          <w:i/>
          <w:iCs/>
        </w:rPr>
        <w:t>The Waste Land</w:t>
      </w:r>
      <w:r w:rsidRPr="00C50750">
        <w:rPr>
          <w:rFonts w:ascii="Garamond" w:hAnsi="Garamond"/>
        </w:rPr>
        <w:t xml:space="preserve"> and postcolonial or contemporary works </w:t>
      </w:r>
      <w:r w:rsidR="0015272E" w:rsidRPr="00C50750">
        <w:rPr>
          <w:rFonts w:ascii="Garamond" w:hAnsi="Garamond"/>
        </w:rPr>
        <w:t>like</w:t>
      </w:r>
      <w:r w:rsidRPr="00C50750">
        <w:rPr>
          <w:rFonts w:ascii="Garamond" w:hAnsi="Garamond"/>
        </w:rPr>
        <w:t xml:space="preserve"> Achebe’s </w:t>
      </w:r>
      <w:r w:rsidRPr="00C50750">
        <w:rPr>
          <w:rFonts w:ascii="Garamond" w:hAnsi="Garamond"/>
          <w:i/>
          <w:iCs/>
        </w:rPr>
        <w:t>Things Fall Apart</w:t>
      </w:r>
      <w:r w:rsidRPr="00C50750">
        <w:rPr>
          <w:rFonts w:ascii="Garamond" w:hAnsi="Garamond"/>
        </w:rPr>
        <w:t xml:space="preserve">, Morrison’s </w:t>
      </w:r>
      <w:r w:rsidRPr="00C50750">
        <w:rPr>
          <w:rFonts w:ascii="Garamond" w:hAnsi="Garamond"/>
          <w:i/>
          <w:iCs/>
        </w:rPr>
        <w:t>Beloved</w:t>
      </w:r>
      <w:r w:rsidRPr="00C50750">
        <w:rPr>
          <w:rFonts w:ascii="Garamond" w:hAnsi="Garamond"/>
        </w:rPr>
        <w:t xml:space="preserve">, Atwood’s </w:t>
      </w:r>
      <w:r w:rsidRPr="00C50750">
        <w:rPr>
          <w:rFonts w:ascii="Garamond" w:hAnsi="Garamond"/>
          <w:i/>
          <w:iCs/>
        </w:rPr>
        <w:t>Oryx and Crake</w:t>
      </w:r>
      <w:r w:rsidRPr="00C50750">
        <w:rPr>
          <w:rFonts w:ascii="Garamond" w:hAnsi="Garamond"/>
        </w:rPr>
        <w:t xml:space="preserve">, Ghosh’s </w:t>
      </w:r>
      <w:r w:rsidRPr="00C50750">
        <w:rPr>
          <w:rFonts w:ascii="Garamond" w:hAnsi="Garamond"/>
          <w:i/>
          <w:iCs/>
        </w:rPr>
        <w:t>The Hungry Tide</w:t>
      </w:r>
      <w:r w:rsidRPr="00C50750">
        <w:rPr>
          <w:rFonts w:ascii="Garamond" w:hAnsi="Garamond"/>
        </w:rPr>
        <w:t xml:space="preserve"> are examined through the conceptual lenses offered by these epistemological shifts?</w:t>
      </w:r>
    </w:p>
    <w:p w:rsidR="007C5AA4" w:rsidRPr="00C50750" w:rsidRDefault="007C5AA4" w:rsidP="007C5AA4">
      <w:pPr>
        <w:pStyle w:val="ListParagraph"/>
        <w:numPr>
          <w:ilvl w:val="0"/>
          <w:numId w:val="1"/>
        </w:numPr>
        <w:spacing w:line="360" w:lineRule="auto"/>
        <w:rPr>
          <w:rFonts w:ascii="Garamond" w:hAnsi="Garamond"/>
        </w:rPr>
      </w:pPr>
      <w:r w:rsidRPr="00C50750">
        <w:rPr>
          <w:rFonts w:ascii="Garamond" w:hAnsi="Garamond"/>
        </w:rPr>
        <w:t>In what ways do these turns influence the pedagogical and intellectual formation of English majors, particularly with respect to cultivating critical thinking, interdisciplinary literacy, and globally oriented perspectives?</w:t>
      </w:r>
    </w:p>
    <w:p w:rsidR="007C5AA4" w:rsidRPr="00C50750" w:rsidRDefault="007C5AA4" w:rsidP="007C5AA4">
      <w:pPr>
        <w:pStyle w:val="ListParagraph"/>
        <w:numPr>
          <w:ilvl w:val="0"/>
          <w:numId w:val="1"/>
        </w:numPr>
        <w:spacing w:line="360" w:lineRule="auto"/>
        <w:rPr>
          <w:rFonts w:ascii="Garamond" w:hAnsi="Garamond"/>
        </w:rPr>
      </w:pPr>
      <w:r w:rsidRPr="00C50750">
        <w:rPr>
          <w:rFonts w:ascii="Garamond" w:hAnsi="Garamond"/>
        </w:rPr>
        <w:t>To what extent do these theoretical shifts contribute to transforming English studies into a “living discipline” capable of responding to contemporary crises—including colonial afterlives, environmental degradation, technological transformation, and conditions of human vulnerability?</w:t>
      </w:r>
    </w:p>
    <w:p w:rsidR="0015272E" w:rsidRPr="00C50750" w:rsidRDefault="0015272E" w:rsidP="0015272E">
      <w:pPr>
        <w:spacing w:line="360" w:lineRule="auto"/>
        <w:rPr>
          <w:rFonts w:ascii="Garamond" w:hAnsi="Garamond"/>
          <w:b/>
          <w:bCs/>
        </w:rPr>
      </w:pPr>
      <w:r w:rsidRPr="00C50750">
        <w:rPr>
          <w:rFonts w:ascii="Garamond" w:hAnsi="Garamond"/>
          <w:b/>
          <w:bCs/>
        </w:rPr>
        <w:t>2.2 Delimitations of the Study</w:t>
      </w:r>
    </w:p>
    <w:p w:rsidR="0015272E" w:rsidRPr="00C50750" w:rsidRDefault="0015272E" w:rsidP="0015272E">
      <w:pPr>
        <w:spacing w:line="360" w:lineRule="auto"/>
        <w:rPr>
          <w:rFonts w:ascii="Garamond" w:hAnsi="Garamond"/>
        </w:rPr>
      </w:pPr>
      <w:r w:rsidRPr="00C50750">
        <w:rPr>
          <w:rFonts w:ascii="Garamond" w:hAnsi="Garamond"/>
        </w:rPr>
        <w:lastRenderedPageBreak/>
        <w:t>This study is deliberately delimited in several respects to maintain conceptual focus and analytical manageability. First, although the humanities and social sciences have witnessed a proliferation of theoretical turns in recent decades, the present enquiry restricts itself to a set of prominent epistemological turns that have exerted a demonstrable influence on English studies—specifically the animal, plant, affective, cultural, postcolonial, ethical, digital, global, green, blue, linguistic, and vulnerability turns. Other developments, such as the spatial, archival, or medical turns, are acknowledged as part of the wider intellectual milieu but are not examined in depth.</w:t>
      </w:r>
    </w:p>
    <w:p w:rsidR="0015272E" w:rsidRPr="00C50750" w:rsidRDefault="0015272E" w:rsidP="0015272E">
      <w:pPr>
        <w:spacing w:line="360" w:lineRule="auto"/>
        <w:rPr>
          <w:rFonts w:ascii="Garamond" w:hAnsi="Garamond"/>
        </w:rPr>
      </w:pPr>
      <w:r w:rsidRPr="00C50750">
        <w:rPr>
          <w:rFonts w:ascii="Garamond" w:hAnsi="Garamond"/>
        </w:rPr>
        <w:t xml:space="preserve">     Second, the study does not pursue an exhaustive survey of literary texts across historical periods or cultural traditions. Instead, it engages a carefully selected corpus of representative works chosen for their canonical or postcolonial significance, thematic richness, and capacity to speak to multiple epistemological turns. Inevitably, this selection omits numerous other texts that could have offered valuable insights.</w:t>
      </w:r>
    </w:p>
    <w:p w:rsidR="0015272E" w:rsidRPr="00C50750" w:rsidRDefault="0015272E" w:rsidP="0015272E">
      <w:pPr>
        <w:spacing w:line="360" w:lineRule="auto"/>
        <w:rPr>
          <w:rFonts w:ascii="Garamond" w:hAnsi="Garamond"/>
        </w:rPr>
      </w:pPr>
      <w:r w:rsidRPr="00C50750">
        <w:rPr>
          <w:rFonts w:ascii="Garamond" w:hAnsi="Garamond"/>
        </w:rPr>
        <w:t xml:space="preserve">     Third, the pedagogical scope of the study is confined to the context of undergraduate and graduate English majors. While epistemological turns also shape adjacent fields such as comparative literature, cultural studies, and media studies, the analysis is intentionally narrowed to English studies in order to foreground the disciplinary transformations at issue.</w:t>
      </w:r>
    </w:p>
    <w:p w:rsidR="0015272E" w:rsidRPr="00C50750" w:rsidRDefault="0015272E" w:rsidP="0015272E">
      <w:pPr>
        <w:spacing w:line="360" w:lineRule="auto"/>
        <w:rPr>
          <w:rFonts w:ascii="Garamond" w:hAnsi="Garamond"/>
        </w:rPr>
      </w:pPr>
      <w:r w:rsidRPr="00C50750">
        <w:rPr>
          <w:rFonts w:ascii="Garamond" w:hAnsi="Garamond"/>
        </w:rPr>
        <w:t xml:space="preserve">     Finally, the methodological orientation of the study privileges critical theory and close textual analysis rather than empirical, classroom-based research. Although pedagogical implications are considered, the study does not incorporate surveys, interviews, or longitudinal assessments of student learning. Accordingly, its conclusions are framed as theoretically grounded rather than empirically validated.</w:t>
      </w:r>
    </w:p>
    <w:p w:rsidR="0015272E" w:rsidRPr="00C50750" w:rsidRDefault="0015272E" w:rsidP="0015272E">
      <w:pPr>
        <w:spacing w:line="360" w:lineRule="auto"/>
        <w:rPr>
          <w:rFonts w:ascii="Garamond" w:hAnsi="Garamond"/>
          <w:b/>
          <w:bCs/>
        </w:rPr>
      </w:pPr>
      <w:r w:rsidRPr="00C50750">
        <w:rPr>
          <w:rFonts w:ascii="Garamond" w:hAnsi="Garamond"/>
          <w:b/>
          <w:bCs/>
        </w:rPr>
        <w:t>2.3 Scope of the Study</w:t>
      </w:r>
    </w:p>
    <w:p w:rsidR="0015272E" w:rsidRPr="00C50750" w:rsidRDefault="0015272E" w:rsidP="0015272E">
      <w:pPr>
        <w:spacing w:line="360" w:lineRule="auto"/>
        <w:rPr>
          <w:rFonts w:ascii="Garamond" w:hAnsi="Garamond"/>
        </w:rPr>
      </w:pPr>
      <w:r w:rsidRPr="00C50750">
        <w:rPr>
          <w:rFonts w:ascii="Garamond" w:hAnsi="Garamond"/>
        </w:rPr>
        <w:t xml:space="preserve">The scope of this study delineates both its intellectual objectives and the contextual boundaries within which its findings hold relevance. First, the study investigates the extent to which recent epistemological turns reshape the identity, methodological orientations, and overarching aims of English studies. In doing so, it traces how emergent theoretical frameworks reconfigure interpretive practices and, consequently, redefine the intellectual formation expected of English majors.  </w:t>
      </w:r>
    </w:p>
    <w:p w:rsidR="0015272E" w:rsidRPr="00C50750" w:rsidRDefault="0015272E" w:rsidP="0015272E">
      <w:pPr>
        <w:spacing w:line="360" w:lineRule="auto"/>
        <w:rPr>
          <w:rFonts w:ascii="Garamond" w:hAnsi="Garamond"/>
        </w:rPr>
      </w:pPr>
      <w:r w:rsidRPr="00C50750">
        <w:rPr>
          <w:rFonts w:ascii="Garamond" w:hAnsi="Garamond"/>
        </w:rPr>
        <w:t xml:space="preserve">     Second, the scope encompasses not only an examination of these theoretical turns but also their practical application to selected literary texts. By demonstrating how works such as </w:t>
      </w:r>
      <w:r w:rsidRPr="00C50750">
        <w:rPr>
          <w:rFonts w:ascii="Garamond" w:hAnsi="Garamond"/>
          <w:i/>
          <w:iCs/>
        </w:rPr>
        <w:t>Things Fall Apart</w:t>
      </w:r>
      <w:r w:rsidRPr="00C50750">
        <w:rPr>
          <w:rFonts w:ascii="Garamond" w:hAnsi="Garamond"/>
        </w:rPr>
        <w:t xml:space="preserve"> and </w:t>
      </w:r>
      <w:r w:rsidRPr="00C50750">
        <w:rPr>
          <w:rFonts w:ascii="Garamond" w:hAnsi="Garamond"/>
          <w:i/>
          <w:iCs/>
        </w:rPr>
        <w:t>Beloved</w:t>
      </w:r>
      <w:r w:rsidRPr="00C50750">
        <w:rPr>
          <w:rFonts w:ascii="Garamond" w:hAnsi="Garamond"/>
        </w:rPr>
        <w:t xml:space="preserve"> may be productively reread through these epistemological lenses, the study illustrates how abstract theoretical models materialize in concrete literary interpretation and pedagogical praxis.</w:t>
      </w:r>
    </w:p>
    <w:p w:rsidR="0015272E" w:rsidRPr="00C50750" w:rsidRDefault="0015272E" w:rsidP="0015272E">
      <w:pPr>
        <w:spacing w:line="360" w:lineRule="auto"/>
        <w:rPr>
          <w:rFonts w:ascii="Garamond" w:hAnsi="Garamond"/>
        </w:rPr>
      </w:pPr>
      <w:r w:rsidRPr="00C50750">
        <w:rPr>
          <w:rFonts w:ascii="Garamond" w:hAnsi="Garamond"/>
        </w:rPr>
        <w:lastRenderedPageBreak/>
        <w:t xml:space="preserve">     Third, the study extends its scope to the educational formation of English majors by evaluating how engagement with these turns promotes critical thinking, interdisciplinary awareness, ethical reflection, and global consciousness. In this regard, the study positions English studies as a discipline with explicit civic relevance, preparing students to confront contemporary challenges including colonial afterlives, ecological crises, and technological transformations.</w:t>
      </w:r>
    </w:p>
    <w:p w:rsidR="0015272E" w:rsidRPr="00C50750" w:rsidRDefault="0015272E" w:rsidP="0015272E">
      <w:pPr>
        <w:spacing w:line="360" w:lineRule="auto"/>
        <w:rPr>
          <w:rFonts w:ascii="Garamond" w:hAnsi="Garamond"/>
        </w:rPr>
      </w:pPr>
      <w:r w:rsidRPr="00C50750">
        <w:rPr>
          <w:rFonts w:ascii="Garamond" w:hAnsi="Garamond"/>
        </w:rPr>
        <w:t xml:space="preserve">     Last, by situating itself within current scholarly debates concerning the future of English studies, the study’s scope transcends textual analysis to engage in broader disciplinary reflection. It, thereby, demonstrates that English remains a “living discipline,” continuously responsive to cultural, intellectual, and epistemological change.</w:t>
      </w:r>
    </w:p>
    <w:p w:rsidR="0015272E" w:rsidRPr="00C50750" w:rsidRDefault="00432B9B" w:rsidP="0015272E">
      <w:pPr>
        <w:spacing w:line="360" w:lineRule="auto"/>
        <w:rPr>
          <w:rFonts w:ascii="Garamond" w:hAnsi="Garamond"/>
          <w:b/>
          <w:bCs/>
        </w:rPr>
      </w:pPr>
      <w:r w:rsidRPr="00C50750">
        <w:rPr>
          <w:rFonts w:ascii="Garamond" w:hAnsi="Garamond"/>
          <w:b/>
          <w:bCs/>
        </w:rPr>
        <w:t>2.4 Limitations of the Method</w:t>
      </w:r>
    </w:p>
    <w:p w:rsidR="00982B9B" w:rsidRPr="00C50750" w:rsidRDefault="00982B9B" w:rsidP="00982B9B">
      <w:pPr>
        <w:spacing w:line="360" w:lineRule="auto"/>
        <w:rPr>
          <w:rFonts w:ascii="Garamond" w:hAnsi="Garamond"/>
        </w:rPr>
      </w:pPr>
      <w:r w:rsidRPr="00C50750">
        <w:rPr>
          <w:rFonts w:ascii="Garamond" w:hAnsi="Garamond"/>
        </w:rPr>
        <w:t>The scope of this study articulates both its conceptual ambitions and the contextual parameters within which its conclusions are to be interpreted. To begin with, the study examines the degree to which contemporary epistemological turns recalibrate the identity, methodological orientations, and foundational aims of English Studies. In undertaking this task, it traces how emergent theoretical paradigms reconfigure interpretive protocols and, by extension, reshape the intellectual competencies expected of students within the discipline.</w:t>
      </w:r>
    </w:p>
    <w:p w:rsidR="00982B9B" w:rsidRPr="00C50750" w:rsidRDefault="00571386" w:rsidP="00982B9B">
      <w:pPr>
        <w:spacing w:line="360" w:lineRule="auto"/>
        <w:rPr>
          <w:rFonts w:ascii="Garamond" w:hAnsi="Garamond"/>
        </w:rPr>
      </w:pPr>
      <w:r w:rsidRPr="00C50750">
        <w:rPr>
          <w:rFonts w:ascii="Garamond" w:hAnsi="Garamond"/>
        </w:rPr>
        <w:t xml:space="preserve">     </w:t>
      </w:r>
      <w:r w:rsidR="00982B9B" w:rsidRPr="00C50750">
        <w:rPr>
          <w:rFonts w:ascii="Garamond" w:hAnsi="Garamond"/>
        </w:rPr>
        <w:t xml:space="preserve">Moreover, the scope extends beyond a theoretical survey to include the operationalization of these epistemological turns in the close reading of selected literary texts. Through analyses of works such as </w:t>
      </w:r>
      <w:r w:rsidR="00982B9B" w:rsidRPr="00C50750">
        <w:rPr>
          <w:rFonts w:ascii="Garamond" w:hAnsi="Garamond"/>
          <w:i/>
          <w:iCs/>
        </w:rPr>
        <w:t>Things Fall Apart</w:t>
      </w:r>
      <w:r w:rsidR="00982B9B" w:rsidRPr="00C50750">
        <w:rPr>
          <w:rFonts w:ascii="Garamond" w:hAnsi="Garamond"/>
        </w:rPr>
        <w:t xml:space="preserve"> and </w:t>
      </w:r>
      <w:r w:rsidR="00982B9B" w:rsidRPr="00C50750">
        <w:rPr>
          <w:rFonts w:ascii="Garamond" w:hAnsi="Garamond"/>
          <w:i/>
          <w:iCs/>
        </w:rPr>
        <w:t>Beloved</w:t>
      </w:r>
      <w:r w:rsidR="00982B9B" w:rsidRPr="00C50750">
        <w:rPr>
          <w:rFonts w:ascii="Garamond" w:hAnsi="Garamond"/>
        </w:rPr>
        <w:t>, the study demonstrates how abstract theoretical constructs acquire analytical traction in concrete acts of interpretation and pedagogical practice.</w:t>
      </w:r>
    </w:p>
    <w:p w:rsidR="00982B9B" w:rsidRPr="00C50750" w:rsidRDefault="00571386" w:rsidP="00982B9B">
      <w:pPr>
        <w:spacing w:line="360" w:lineRule="auto"/>
        <w:rPr>
          <w:rFonts w:ascii="Garamond" w:hAnsi="Garamond"/>
        </w:rPr>
      </w:pPr>
      <w:r w:rsidRPr="00C50750">
        <w:rPr>
          <w:rFonts w:ascii="Garamond" w:hAnsi="Garamond"/>
        </w:rPr>
        <w:t xml:space="preserve">     In a</w:t>
      </w:r>
      <w:r w:rsidR="00982B9B" w:rsidRPr="00C50750">
        <w:rPr>
          <w:rFonts w:ascii="Garamond" w:hAnsi="Garamond"/>
        </w:rPr>
        <w:t>ddition, the study broadens its purview to encompass the pedagogical formation of English majors</w:t>
      </w:r>
      <w:r w:rsidRPr="00C50750">
        <w:rPr>
          <w:rFonts w:ascii="Garamond" w:hAnsi="Garamond"/>
        </w:rPr>
        <w:t xml:space="preserve"> and </w:t>
      </w:r>
      <w:r w:rsidR="00982B9B" w:rsidRPr="00C50750">
        <w:rPr>
          <w:rFonts w:ascii="Garamond" w:hAnsi="Garamond"/>
        </w:rPr>
        <w:t>assess</w:t>
      </w:r>
      <w:r w:rsidRPr="00C50750">
        <w:rPr>
          <w:rFonts w:ascii="Garamond" w:hAnsi="Garamond"/>
        </w:rPr>
        <w:t>es</w:t>
      </w:r>
      <w:r w:rsidR="00982B9B" w:rsidRPr="00C50750">
        <w:rPr>
          <w:rFonts w:ascii="Garamond" w:hAnsi="Garamond"/>
        </w:rPr>
        <w:t xml:space="preserve"> how sustained engagement with these theoretical shifts fosters critical reasoning, interdisciplinary sensibilities, ethical literacy, and global awareness. In this respect, the study foregrounds the civic and intellectual relevance of English Studies, </w:t>
      </w:r>
      <w:r w:rsidRPr="00C50750">
        <w:rPr>
          <w:rFonts w:ascii="Garamond" w:hAnsi="Garamond"/>
        </w:rPr>
        <w:t xml:space="preserve">and </w:t>
      </w:r>
      <w:r w:rsidR="00982B9B" w:rsidRPr="00C50750">
        <w:rPr>
          <w:rFonts w:ascii="Garamond" w:hAnsi="Garamond"/>
        </w:rPr>
        <w:t>argu</w:t>
      </w:r>
      <w:r w:rsidRPr="00C50750">
        <w:rPr>
          <w:rFonts w:ascii="Garamond" w:hAnsi="Garamond"/>
        </w:rPr>
        <w:t>es</w:t>
      </w:r>
      <w:r w:rsidR="00982B9B" w:rsidRPr="00C50750">
        <w:rPr>
          <w:rFonts w:ascii="Garamond" w:hAnsi="Garamond"/>
        </w:rPr>
        <w:t xml:space="preserve"> that the discipline equips learners to address urgent contemporary concerns, including the legacies of colonialism, environmental degradation, and the accelerating transformations of the digital age.</w:t>
      </w:r>
    </w:p>
    <w:p w:rsidR="00432B9B" w:rsidRPr="00C50750" w:rsidRDefault="00571386" w:rsidP="00982B9B">
      <w:pPr>
        <w:spacing w:line="360" w:lineRule="auto"/>
        <w:rPr>
          <w:rFonts w:ascii="Garamond" w:hAnsi="Garamond"/>
        </w:rPr>
      </w:pPr>
      <w:r w:rsidRPr="00C50750">
        <w:rPr>
          <w:rFonts w:ascii="Garamond" w:hAnsi="Garamond"/>
        </w:rPr>
        <w:t xml:space="preserve">     </w:t>
      </w:r>
      <w:r w:rsidR="00982B9B" w:rsidRPr="00C50750">
        <w:rPr>
          <w:rFonts w:ascii="Garamond" w:hAnsi="Garamond"/>
        </w:rPr>
        <w:t>Finally, by engaging with ongoing debates about the future trajectory of English Studies, the study situates itself within wider disciplinary self-reflection. Its scope</w:t>
      </w:r>
      <w:r w:rsidRPr="00C50750">
        <w:rPr>
          <w:rFonts w:ascii="Garamond" w:hAnsi="Garamond"/>
        </w:rPr>
        <w:t>,</w:t>
      </w:r>
      <w:r w:rsidR="00982B9B" w:rsidRPr="00C50750">
        <w:rPr>
          <w:rFonts w:ascii="Garamond" w:hAnsi="Garamond"/>
        </w:rPr>
        <w:t xml:space="preserve"> therefore</w:t>
      </w:r>
      <w:r w:rsidRPr="00C50750">
        <w:rPr>
          <w:rFonts w:ascii="Garamond" w:hAnsi="Garamond"/>
        </w:rPr>
        <w:t>,</w:t>
      </w:r>
      <w:r w:rsidR="00982B9B" w:rsidRPr="00C50750">
        <w:rPr>
          <w:rFonts w:ascii="Garamond" w:hAnsi="Garamond"/>
        </w:rPr>
        <w:t xml:space="preserve"> exceeds textual analysis to interrogate the evolving contours of the field, </w:t>
      </w:r>
      <w:r w:rsidRPr="00C50750">
        <w:rPr>
          <w:rFonts w:ascii="Garamond" w:hAnsi="Garamond"/>
        </w:rPr>
        <w:t xml:space="preserve">and </w:t>
      </w:r>
      <w:r w:rsidR="00982B9B" w:rsidRPr="00C50750">
        <w:rPr>
          <w:rFonts w:ascii="Garamond" w:hAnsi="Garamond"/>
        </w:rPr>
        <w:t>thereby</w:t>
      </w:r>
      <w:r w:rsidRPr="00C50750">
        <w:rPr>
          <w:rFonts w:ascii="Garamond" w:hAnsi="Garamond"/>
        </w:rPr>
        <w:t>,</w:t>
      </w:r>
      <w:r w:rsidR="00982B9B" w:rsidRPr="00C50750">
        <w:rPr>
          <w:rFonts w:ascii="Garamond" w:hAnsi="Garamond"/>
        </w:rPr>
        <w:t xml:space="preserve"> affirm</w:t>
      </w:r>
      <w:r w:rsidRPr="00C50750">
        <w:rPr>
          <w:rFonts w:ascii="Garamond" w:hAnsi="Garamond"/>
        </w:rPr>
        <w:t>s</w:t>
      </w:r>
      <w:r w:rsidR="00982B9B" w:rsidRPr="00C50750">
        <w:rPr>
          <w:rFonts w:ascii="Garamond" w:hAnsi="Garamond"/>
        </w:rPr>
        <w:t xml:space="preserve"> English Studies as a “living discipline” that remains dynamically responsive to cultural, intellectual, and epistemological transformations.</w:t>
      </w:r>
    </w:p>
    <w:p w:rsidR="00571386" w:rsidRPr="00C50750" w:rsidRDefault="00571386" w:rsidP="00982B9B">
      <w:pPr>
        <w:spacing w:line="360" w:lineRule="auto"/>
        <w:rPr>
          <w:rFonts w:ascii="Garamond" w:hAnsi="Garamond"/>
          <w:b/>
          <w:bCs/>
        </w:rPr>
      </w:pPr>
      <w:r w:rsidRPr="00C50750">
        <w:rPr>
          <w:rFonts w:ascii="Garamond" w:hAnsi="Garamond"/>
          <w:b/>
          <w:bCs/>
        </w:rPr>
        <w:t>3 Results</w:t>
      </w:r>
    </w:p>
    <w:p w:rsidR="00571386" w:rsidRPr="00C50750" w:rsidRDefault="00571386" w:rsidP="00571386">
      <w:pPr>
        <w:spacing w:line="360" w:lineRule="auto"/>
        <w:rPr>
          <w:rFonts w:ascii="Garamond" w:hAnsi="Garamond"/>
        </w:rPr>
      </w:pPr>
      <w:r w:rsidRPr="00C50750">
        <w:rPr>
          <w:rFonts w:ascii="Garamond" w:hAnsi="Garamond"/>
        </w:rPr>
        <w:lastRenderedPageBreak/>
        <w:t>This section synthesizes the principal insights derived from the study’s qualitative, interpretive, and comparative examination of recent epistemological turns within English Studies. Rather than presenting empirical data, the analysis integrates findings from critical-theoretical scholarship and literary exemplification to demonstrate how the animal, plant, affective, ethical, digital, global, green, blue, linguistic, and vulnerability turns collectively reshape the field’s scope, methodological orientations, and pedagogical commitments. The results reveal both the convergences and the productive tensions among these turns and illustrate how English Studies increasingly operates as a dynamic, adaptive, and future-oriented discipline.</w:t>
      </w:r>
    </w:p>
    <w:p w:rsidR="00571386" w:rsidRPr="00C50750" w:rsidRDefault="00571386" w:rsidP="00571386">
      <w:pPr>
        <w:spacing w:line="360" w:lineRule="auto"/>
        <w:rPr>
          <w:rFonts w:ascii="Garamond" w:hAnsi="Garamond"/>
        </w:rPr>
      </w:pPr>
      <w:r w:rsidRPr="00C50750">
        <w:rPr>
          <w:rFonts w:ascii="Garamond" w:hAnsi="Garamond"/>
        </w:rPr>
        <w:t xml:space="preserve">     The study confirms that these epistemological turns compel English Studies to move beyond traditional textual and disciplinary boundaries. Ecologically oriented turns—the plant, green, and blue—foreground environmental consciousness and underscore the interdependence of literary analysis with ecological ethics. In contrast, the digital and global turns reposition the discipline within technologically mediated and transnationally interconnected contexts, highlighting its engagement with contemporary socio-cultural and technological challenges. Together, these shifts expand the disciplinary horizon and position English Studies as responsive to pressing environmental, ethical, technological, and geopolitical issues.</w:t>
      </w:r>
    </w:p>
    <w:p w:rsidR="00571386" w:rsidRPr="00C50750" w:rsidRDefault="00571386" w:rsidP="00571386">
      <w:pPr>
        <w:spacing w:line="360" w:lineRule="auto"/>
        <w:rPr>
          <w:rFonts w:ascii="Garamond" w:hAnsi="Garamond"/>
        </w:rPr>
      </w:pPr>
      <w:r w:rsidRPr="00C50750">
        <w:rPr>
          <w:rFonts w:ascii="Garamond" w:hAnsi="Garamond"/>
        </w:rPr>
        <w:t xml:space="preserve">     The application of these theoretical frameworks to selected literary texts further underscores their transformative impact on interpretive practice. Canonical works such as Shakespeare’s </w:t>
      </w:r>
      <w:r w:rsidRPr="00C50750">
        <w:rPr>
          <w:rFonts w:ascii="Garamond" w:hAnsi="Garamond"/>
          <w:i/>
          <w:iCs/>
        </w:rPr>
        <w:t>The Tempest</w:t>
      </w:r>
      <w:r w:rsidRPr="00C50750">
        <w:rPr>
          <w:rFonts w:ascii="Garamond" w:hAnsi="Garamond"/>
        </w:rPr>
        <w:t xml:space="preserve"> and Eliot’s </w:t>
      </w:r>
      <w:r w:rsidRPr="00C50750">
        <w:rPr>
          <w:rFonts w:ascii="Garamond" w:hAnsi="Garamond"/>
          <w:i/>
          <w:iCs/>
        </w:rPr>
        <w:t>The Waste Land</w:t>
      </w:r>
      <w:r w:rsidRPr="00C50750">
        <w:rPr>
          <w:rFonts w:ascii="Garamond" w:hAnsi="Garamond"/>
        </w:rPr>
        <w:t xml:space="preserve">, when read through affective, postcolonial, or ecological lenses, reveal previously underexplored dimensions of trauma, relationality, and environmental entanglement. Likewise, postcolonial and contemporary texts—including Achebe’s </w:t>
      </w:r>
      <w:r w:rsidRPr="00C50750">
        <w:rPr>
          <w:rFonts w:ascii="Garamond" w:hAnsi="Garamond"/>
          <w:i/>
          <w:iCs/>
        </w:rPr>
        <w:t>Things Fall Apart</w:t>
      </w:r>
      <w:r w:rsidRPr="00C50750">
        <w:rPr>
          <w:rFonts w:ascii="Garamond" w:hAnsi="Garamond"/>
        </w:rPr>
        <w:t xml:space="preserve">, Morrison’s </w:t>
      </w:r>
      <w:r w:rsidRPr="00C50750">
        <w:rPr>
          <w:rFonts w:ascii="Garamond" w:hAnsi="Garamond"/>
          <w:i/>
          <w:iCs/>
        </w:rPr>
        <w:t>Beloved</w:t>
      </w:r>
      <w:r w:rsidRPr="00C50750">
        <w:rPr>
          <w:rFonts w:ascii="Garamond" w:hAnsi="Garamond"/>
        </w:rPr>
        <w:t xml:space="preserve">, Atwood’s </w:t>
      </w:r>
      <w:r w:rsidRPr="00C50750">
        <w:rPr>
          <w:rFonts w:ascii="Garamond" w:hAnsi="Garamond"/>
          <w:i/>
          <w:iCs/>
        </w:rPr>
        <w:t>Oryx and Crake</w:t>
      </w:r>
      <w:r w:rsidRPr="00C50750">
        <w:rPr>
          <w:rFonts w:ascii="Garamond" w:hAnsi="Garamond"/>
        </w:rPr>
        <w:t xml:space="preserve">, Ghosh’s </w:t>
      </w:r>
      <w:r w:rsidRPr="00C50750">
        <w:rPr>
          <w:rFonts w:ascii="Garamond" w:hAnsi="Garamond"/>
          <w:i/>
          <w:iCs/>
        </w:rPr>
        <w:t>The Hungry Tide</w:t>
      </w:r>
      <w:r w:rsidRPr="00C50750">
        <w:rPr>
          <w:rFonts w:ascii="Garamond" w:hAnsi="Garamond"/>
        </w:rPr>
        <w:t xml:space="preserve">, Ishiguro’s </w:t>
      </w:r>
      <w:r w:rsidRPr="00C50750">
        <w:rPr>
          <w:rFonts w:ascii="Garamond" w:hAnsi="Garamond"/>
          <w:i/>
          <w:iCs/>
        </w:rPr>
        <w:t>Never Let Me Go</w:t>
      </w:r>
      <w:r w:rsidRPr="00C50750">
        <w:rPr>
          <w:rFonts w:ascii="Garamond" w:hAnsi="Garamond"/>
        </w:rPr>
        <w:t xml:space="preserve">, and Roy’s </w:t>
      </w:r>
      <w:r w:rsidRPr="00C50750">
        <w:rPr>
          <w:rFonts w:ascii="Garamond" w:hAnsi="Garamond"/>
          <w:i/>
          <w:iCs/>
        </w:rPr>
        <w:t>The God of Small Things</w:t>
      </w:r>
      <w:r w:rsidRPr="00C50750">
        <w:rPr>
          <w:rFonts w:ascii="Garamond" w:hAnsi="Garamond"/>
        </w:rPr>
        <w:t>—demonstrate the simultaneous resonance of multiple turns, particularly in their explorations of human vulnerability, technological acceleration, and socio-environmental justice. These analyses affirm that epistemological shifts do not simply extend interpretive options but fundamentally reconfigure the conceptual frameworks through which literary meaning is produced.</w:t>
      </w:r>
    </w:p>
    <w:p w:rsidR="00571386" w:rsidRPr="00C50750" w:rsidRDefault="00571386" w:rsidP="00571386">
      <w:pPr>
        <w:spacing w:line="360" w:lineRule="auto"/>
        <w:rPr>
          <w:rFonts w:ascii="Garamond" w:hAnsi="Garamond"/>
        </w:rPr>
      </w:pPr>
      <w:r w:rsidRPr="00C50750">
        <w:rPr>
          <w:rFonts w:ascii="Garamond" w:hAnsi="Garamond"/>
        </w:rPr>
        <w:t xml:space="preserve">     To illustrate these patterns more precisely, the study identifies several representative interpretive trajectories:</w:t>
      </w:r>
    </w:p>
    <w:p w:rsidR="00571386" w:rsidRPr="00C50750" w:rsidRDefault="00571386" w:rsidP="00571386">
      <w:pPr>
        <w:pStyle w:val="ListParagraph"/>
        <w:numPr>
          <w:ilvl w:val="0"/>
          <w:numId w:val="2"/>
        </w:numPr>
        <w:spacing w:line="360" w:lineRule="auto"/>
        <w:rPr>
          <w:rFonts w:ascii="Garamond" w:hAnsi="Garamond"/>
        </w:rPr>
      </w:pPr>
      <w:r w:rsidRPr="00C50750">
        <w:rPr>
          <w:rFonts w:ascii="Garamond" w:hAnsi="Garamond"/>
        </w:rPr>
        <w:t xml:space="preserve">Achebe’s </w:t>
      </w:r>
      <w:r w:rsidRPr="00C50750">
        <w:rPr>
          <w:rFonts w:ascii="Garamond" w:hAnsi="Garamond"/>
          <w:i/>
          <w:iCs/>
        </w:rPr>
        <w:t>Things Fall Apart</w:t>
      </w:r>
      <w:r w:rsidRPr="00C50750">
        <w:rPr>
          <w:rFonts w:ascii="Garamond" w:hAnsi="Garamond"/>
        </w:rPr>
        <w:t xml:space="preserve"> exemplifies literature as counter-discourse, destabilizing colonial epistemologies. Through frameworks such as Said’s </w:t>
      </w:r>
      <w:r w:rsidRPr="00C50750">
        <w:rPr>
          <w:rFonts w:ascii="Garamond" w:hAnsi="Garamond"/>
          <w:i/>
          <w:iCs/>
        </w:rPr>
        <w:t xml:space="preserve">Orientalism </w:t>
      </w:r>
      <w:r w:rsidRPr="00C50750">
        <w:rPr>
          <w:rFonts w:ascii="Garamond" w:hAnsi="Garamond"/>
        </w:rPr>
        <w:t xml:space="preserve">and Bhabha’s hybridity, the text becomes a site in which cultural identity, power, and resistance are negotiated. Similarly, </w:t>
      </w:r>
      <w:r w:rsidRPr="00C50750">
        <w:rPr>
          <w:rFonts w:ascii="Garamond" w:hAnsi="Garamond"/>
          <w:i/>
          <w:iCs/>
        </w:rPr>
        <w:t>The Tempest</w:t>
      </w:r>
      <w:r w:rsidRPr="00C50750">
        <w:rPr>
          <w:rFonts w:ascii="Garamond" w:hAnsi="Garamond"/>
        </w:rPr>
        <w:t xml:space="preserve"> acquires renewed significance as a colonial allegory that dramatizes the dynamics between colonizer and colonized.</w:t>
      </w:r>
    </w:p>
    <w:p w:rsidR="00571386" w:rsidRPr="00C50750" w:rsidRDefault="00571386" w:rsidP="00571386">
      <w:pPr>
        <w:pStyle w:val="ListParagraph"/>
        <w:numPr>
          <w:ilvl w:val="0"/>
          <w:numId w:val="2"/>
        </w:numPr>
        <w:spacing w:line="360" w:lineRule="auto"/>
        <w:rPr>
          <w:rFonts w:ascii="Garamond" w:hAnsi="Garamond"/>
        </w:rPr>
      </w:pPr>
      <w:r w:rsidRPr="00C50750">
        <w:rPr>
          <w:rFonts w:ascii="Garamond" w:hAnsi="Garamond"/>
        </w:rPr>
        <w:lastRenderedPageBreak/>
        <w:t xml:space="preserve">Eliot’s </w:t>
      </w:r>
      <w:r w:rsidRPr="00C50750">
        <w:rPr>
          <w:rFonts w:ascii="Garamond" w:hAnsi="Garamond"/>
          <w:i/>
          <w:iCs/>
        </w:rPr>
        <w:t>The Waste Land</w:t>
      </w:r>
      <w:r w:rsidRPr="00C50750">
        <w:rPr>
          <w:rFonts w:ascii="Garamond" w:hAnsi="Garamond"/>
        </w:rPr>
        <w:t xml:space="preserve"> resists closure and invites interpretation through Derridean notions of </w:t>
      </w:r>
      <w:proofErr w:type="spellStart"/>
      <w:r w:rsidRPr="00C50750">
        <w:rPr>
          <w:rFonts w:ascii="Garamond" w:hAnsi="Garamond"/>
        </w:rPr>
        <w:t>différance</w:t>
      </w:r>
      <w:proofErr w:type="spellEnd"/>
      <w:r w:rsidRPr="00C50750">
        <w:rPr>
          <w:rFonts w:ascii="Garamond" w:hAnsi="Garamond"/>
        </w:rPr>
        <w:t xml:space="preserve"> and emphasizes the perpetual deferral of meaning. Dickinson’s poetry likewise foregrounds linguistic indeterminacy and reinforces the pedagogical value of ambiguity and interpretive multiplicity.</w:t>
      </w:r>
    </w:p>
    <w:p w:rsidR="00571386" w:rsidRPr="00C50750" w:rsidRDefault="00571386" w:rsidP="00571386">
      <w:pPr>
        <w:pStyle w:val="ListParagraph"/>
        <w:numPr>
          <w:ilvl w:val="0"/>
          <w:numId w:val="2"/>
        </w:numPr>
        <w:spacing w:line="360" w:lineRule="auto"/>
        <w:rPr>
          <w:rFonts w:ascii="Garamond" w:hAnsi="Garamond"/>
        </w:rPr>
      </w:pPr>
      <w:r w:rsidRPr="00C50750">
        <w:rPr>
          <w:rFonts w:ascii="Garamond" w:hAnsi="Garamond"/>
        </w:rPr>
        <w:t xml:space="preserve">Morrison’s </w:t>
      </w:r>
      <w:r w:rsidRPr="00C50750">
        <w:rPr>
          <w:rFonts w:ascii="Garamond" w:hAnsi="Garamond"/>
          <w:i/>
          <w:iCs/>
        </w:rPr>
        <w:t>Beloved</w:t>
      </w:r>
      <w:r w:rsidRPr="00C50750">
        <w:rPr>
          <w:rFonts w:ascii="Garamond" w:hAnsi="Garamond"/>
        </w:rPr>
        <w:t xml:space="preserve"> and Owen’s “Dulce et Decorum Est” illustrate how literature activates embodied responses that link individual affect with collective trauma. Drawing on Sara Ahmed’s theorization of emotion, such readings highlight the ethical and affective dimensions of textual engagement.</w:t>
      </w:r>
    </w:p>
    <w:p w:rsidR="00571386" w:rsidRPr="00C50750" w:rsidRDefault="00571386" w:rsidP="00571386">
      <w:pPr>
        <w:pStyle w:val="ListParagraph"/>
        <w:numPr>
          <w:ilvl w:val="0"/>
          <w:numId w:val="2"/>
        </w:numPr>
        <w:spacing w:line="360" w:lineRule="auto"/>
        <w:rPr>
          <w:rFonts w:ascii="Garamond" w:hAnsi="Garamond"/>
        </w:rPr>
      </w:pPr>
      <w:r w:rsidRPr="00C50750">
        <w:rPr>
          <w:rFonts w:ascii="Garamond" w:hAnsi="Garamond"/>
        </w:rPr>
        <w:t xml:space="preserve">Atwood’s </w:t>
      </w:r>
      <w:r w:rsidRPr="00C50750">
        <w:rPr>
          <w:rFonts w:ascii="Garamond" w:hAnsi="Garamond"/>
          <w:i/>
          <w:iCs/>
        </w:rPr>
        <w:t>Oryx and Crake</w:t>
      </w:r>
      <w:r w:rsidRPr="00C50750">
        <w:rPr>
          <w:rFonts w:ascii="Garamond" w:hAnsi="Garamond"/>
        </w:rPr>
        <w:t xml:space="preserve"> and Ghosh’s </w:t>
      </w:r>
      <w:r w:rsidRPr="00C50750">
        <w:rPr>
          <w:rFonts w:ascii="Garamond" w:hAnsi="Garamond"/>
          <w:i/>
          <w:iCs/>
        </w:rPr>
        <w:t>The Hungry Tide</w:t>
      </w:r>
      <w:r w:rsidRPr="00C50750">
        <w:rPr>
          <w:rFonts w:ascii="Garamond" w:hAnsi="Garamond"/>
        </w:rPr>
        <w:t xml:space="preserve">, interpreted through Haraway’s and </w:t>
      </w:r>
      <w:proofErr w:type="spellStart"/>
      <w:r w:rsidRPr="00C50750">
        <w:rPr>
          <w:rFonts w:ascii="Garamond" w:hAnsi="Garamond"/>
        </w:rPr>
        <w:t>Braidotti’s</w:t>
      </w:r>
      <w:proofErr w:type="spellEnd"/>
      <w:r w:rsidRPr="00C50750">
        <w:rPr>
          <w:rFonts w:ascii="Garamond" w:hAnsi="Garamond"/>
        </w:rPr>
        <w:t xml:space="preserve"> </w:t>
      </w:r>
      <w:proofErr w:type="spellStart"/>
      <w:r w:rsidRPr="00C50750">
        <w:rPr>
          <w:rFonts w:ascii="Garamond" w:hAnsi="Garamond"/>
        </w:rPr>
        <w:t>posthumanist</w:t>
      </w:r>
      <w:proofErr w:type="spellEnd"/>
      <w:r w:rsidRPr="00C50750">
        <w:rPr>
          <w:rFonts w:ascii="Garamond" w:hAnsi="Garamond"/>
        </w:rPr>
        <w:t xml:space="preserve"> frameworks, illuminate literature’s capacity to interrogate ecological collapse, biotechnology, and nonhuman agency, thereby reimagining humanity’s entanglement with multispecies worlds.</w:t>
      </w:r>
    </w:p>
    <w:p w:rsidR="00571386" w:rsidRPr="00C50750" w:rsidRDefault="00571386" w:rsidP="00571386">
      <w:pPr>
        <w:pStyle w:val="ListParagraph"/>
        <w:numPr>
          <w:ilvl w:val="0"/>
          <w:numId w:val="2"/>
        </w:numPr>
        <w:spacing w:line="360" w:lineRule="auto"/>
        <w:rPr>
          <w:rFonts w:ascii="Garamond" w:hAnsi="Garamond"/>
        </w:rPr>
      </w:pPr>
      <w:r w:rsidRPr="00C50750">
        <w:rPr>
          <w:rFonts w:ascii="Garamond" w:hAnsi="Garamond"/>
        </w:rPr>
        <w:t xml:space="preserve">Digital humanities projects such as </w:t>
      </w:r>
      <w:r w:rsidRPr="00C50750">
        <w:rPr>
          <w:rFonts w:ascii="Garamond" w:hAnsi="Garamond"/>
          <w:i/>
          <w:iCs/>
        </w:rPr>
        <w:t>The Canterbury Tales Project</w:t>
      </w:r>
      <w:r w:rsidRPr="00C50750">
        <w:rPr>
          <w:rFonts w:ascii="Garamond" w:hAnsi="Garamond"/>
        </w:rPr>
        <w:t xml:space="preserve"> and participatory fanfiction communities demonstrate how digitization reshapes textual scholarship and reader engagement. Additionally, Roy’s </w:t>
      </w:r>
      <w:r w:rsidRPr="00C50750">
        <w:rPr>
          <w:rFonts w:ascii="Garamond" w:hAnsi="Garamond"/>
          <w:i/>
          <w:iCs/>
        </w:rPr>
        <w:t>The God of Small Things</w:t>
      </w:r>
      <w:r w:rsidRPr="00C50750">
        <w:rPr>
          <w:rFonts w:ascii="Garamond" w:hAnsi="Garamond"/>
        </w:rPr>
        <w:t>, situated within world-literature debates such as those articulated by David Damrosch, exemplifies how culturally specific narratives circulate globally and accrue transnational significance.</w:t>
      </w:r>
    </w:p>
    <w:p w:rsidR="00571386" w:rsidRPr="00C50750" w:rsidRDefault="00571386" w:rsidP="00571386">
      <w:pPr>
        <w:pStyle w:val="ListParagraph"/>
        <w:numPr>
          <w:ilvl w:val="0"/>
          <w:numId w:val="2"/>
        </w:numPr>
        <w:spacing w:line="360" w:lineRule="auto"/>
        <w:rPr>
          <w:rFonts w:ascii="Garamond" w:hAnsi="Garamond"/>
        </w:rPr>
      </w:pPr>
      <w:r w:rsidRPr="00C50750">
        <w:rPr>
          <w:rFonts w:ascii="Garamond" w:hAnsi="Garamond"/>
        </w:rPr>
        <w:t xml:space="preserve">Ishiguro’s </w:t>
      </w:r>
      <w:r w:rsidRPr="00C50750">
        <w:rPr>
          <w:rFonts w:ascii="Garamond" w:hAnsi="Garamond"/>
          <w:i/>
          <w:iCs/>
        </w:rPr>
        <w:t>Never Let Me Go</w:t>
      </w:r>
      <w:r w:rsidRPr="00C50750">
        <w:rPr>
          <w:rFonts w:ascii="Garamond" w:hAnsi="Garamond"/>
        </w:rPr>
        <w:t>, examined through ethical frameworks drawn from Levinas and Nussbaum, compels readers to confront moral responsibility, exploitation, and human dignity. Such texts demonstrate how literature contributes to ethical reasoning within both academic and civic contexts.</w:t>
      </w:r>
    </w:p>
    <w:p w:rsidR="00571386" w:rsidRPr="00C50750" w:rsidRDefault="00571386" w:rsidP="00571386">
      <w:pPr>
        <w:spacing w:line="360" w:lineRule="auto"/>
        <w:rPr>
          <w:rFonts w:ascii="Garamond" w:hAnsi="Garamond"/>
        </w:rPr>
      </w:pPr>
      <w:r w:rsidRPr="00C50750">
        <w:rPr>
          <w:rFonts w:ascii="Garamond" w:hAnsi="Garamond"/>
        </w:rPr>
        <w:t>Taken together, these findings indicate that engagement with multiple epistemological turns cultivates critical thinking, interdisciplinary literacy, ethical awareness, and global consciousness among English majors. Exposure to diverse theoretical paradigms encourages students to synthesize insights across fields, recognize the complexity of human and ecological interdependencies, and approach texts with reflective openness.</w:t>
      </w:r>
    </w:p>
    <w:p w:rsidR="00571386" w:rsidRPr="00C50750" w:rsidRDefault="00571386" w:rsidP="00571386">
      <w:pPr>
        <w:spacing w:line="360" w:lineRule="auto"/>
        <w:rPr>
          <w:rFonts w:ascii="Garamond" w:hAnsi="Garamond"/>
        </w:rPr>
      </w:pPr>
      <w:r w:rsidRPr="00C50750">
        <w:rPr>
          <w:rFonts w:ascii="Garamond" w:hAnsi="Garamond"/>
        </w:rPr>
        <w:t xml:space="preserve">     Overall, the synthesis of insights across these turns demonstrates that English Studies is increasingly adaptive, capacious, and forward-looking. The accumulation of turns generates both points of convergence and areas of tension, but collectively they affirm the discipline’s capacity to absorb new knowledge, integrate interdisciplinary perspectives, and respond meaningfully to contemporary crises—including colonial afterlives, ecological degradation, and digital transformation. These results substantiate the conceptualization of English Studies as a living discipline, continuously evolving in dialogue with wider cultural, intellectual, and epistemological shifts.</w:t>
      </w:r>
    </w:p>
    <w:p w:rsidR="00571386" w:rsidRPr="00C50750" w:rsidRDefault="00571386" w:rsidP="00571386">
      <w:pPr>
        <w:spacing w:line="360" w:lineRule="auto"/>
        <w:rPr>
          <w:rFonts w:ascii="Garamond" w:hAnsi="Garamond"/>
          <w:b/>
          <w:bCs/>
        </w:rPr>
      </w:pPr>
      <w:r w:rsidRPr="00C50750">
        <w:rPr>
          <w:rFonts w:ascii="Garamond" w:hAnsi="Garamond"/>
          <w:b/>
          <w:bCs/>
        </w:rPr>
        <w:lastRenderedPageBreak/>
        <w:t>4 Analysis</w:t>
      </w:r>
    </w:p>
    <w:p w:rsidR="00556ACA" w:rsidRPr="00C50750" w:rsidRDefault="00556ACA" w:rsidP="00556ACA">
      <w:pPr>
        <w:spacing w:line="360" w:lineRule="auto"/>
        <w:rPr>
          <w:rFonts w:ascii="Garamond" w:hAnsi="Garamond"/>
        </w:rPr>
      </w:pPr>
      <w:r w:rsidRPr="00C50750">
        <w:rPr>
          <w:rFonts w:ascii="Garamond" w:hAnsi="Garamond"/>
        </w:rPr>
        <w:t>The findings of this study indicate that the epistemological shifts emerging across the humanities—conceptualised here as distinct yet intersecting theoretical turns—have substantially reconfigured English Studies, affirming its status as a dynamic and continuously evolving discipline. Examined in relation to the research questions, the results reveal a set of thematic trends, interpretive transformations, and pedagogical implications that collectively illuminate the discipline’s expanding intellectual terrain.</w:t>
      </w:r>
    </w:p>
    <w:p w:rsidR="00556ACA" w:rsidRPr="00C50750" w:rsidRDefault="00556ACA" w:rsidP="00556ACA">
      <w:pPr>
        <w:spacing w:line="360" w:lineRule="auto"/>
        <w:rPr>
          <w:rFonts w:ascii="Garamond" w:hAnsi="Garamond"/>
        </w:rPr>
      </w:pPr>
      <w:r w:rsidRPr="00C50750">
        <w:rPr>
          <w:rFonts w:ascii="Garamond" w:hAnsi="Garamond"/>
        </w:rPr>
        <w:t xml:space="preserve">     First, the analysis demonstrates that these epistemological turns significantly broaden the conceptual and methodological scope of English Studies. The animal, plant, and ecological turns foreground the interdependencies between humans, non-human life, and the environment, and thereby, draw attention to ethical, ecological, and philosophical dimensions that were previously marginal within traditional literary scholarship. In parallel, the digital and global turns extend the field beyond nation-bound and text-centred frameworks and emphasize technological mediation, transnational circulation, and global intertextuality. Together, these developments illustrate a methodological pluralism in which literary analysis increasingly integrates ecological, technological, affective, and ethical perspectives. The discipline’s responsiveness to these evolving frameworks demonstrates its adaptability to contemporary intellectual currents.</w:t>
      </w:r>
    </w:p>
    <w:p w:rsidR="00556ACA" w:rsidRPr="00C50750" w:rsidRDefault="00556ACA" w:rsidP="00556ACA">
      <w:pPr>
        <w:spacing w:line="360" w:lineRule="auto"/>
        <w:rPr>
          <w:rFonts w:ascii="Garamond" w:hAnsi="Garamond"/>
        </w:rPr>
      </w:pPr>
      <w:r w:rsidRPr="00C50750">
        <w:rPr>
          <w:rFonts w:ascii="Garamond" w:hAnsi="Garamond"/>
        </w:rPr>
        <w:t xml:space="preserve">     Second, a comparative reading of canonical and contemporary texts shows how these theoretical turns generate new interpretive possibilities. Shakespeare’s </w:t>
      </w:r>
      <w:r w:rsidRPr="00C50750">
        <w:rPr>
          <w:rFonts w:ascii="Garamond" w:hAnsi="Garamond"/>
          <w:i/>
          <w:iCs/>
        </w:rPr>
        <w:t>The Tempest</w:t>
      </w:r>
      <w:r w:rsidRPr="00C50750">
        <w:rPr>
          <w:rFonts w:ascii="Garamond" w:hAnsi="Garamond"/>
        </w:rPr>
        <w:t xml:space="preserve">, when analysed through postcolonial and ecological perspectives, reveals both its colonial imaginaries and its embeddedness within environmental interconnections. Eliot’s </w:t>
      </w:r>
      <w:r w:rsidRPr="00C50750">
        <w:rPr>
          <w:rFonts w:ascii="Garamond" w:hAnsi="Garamond"/>
          <w:i/>
          <w:iCs/>
        </w:rPr>
        <w:t>The Waste Land</w:t>
      </w:r>
      <w:r w:rsidRPr="00C50750">
        <w:rPr>
          <w:rFonts w:ascii="Garamond" w:hAnsi="Garamond"/>
        </w:rPr>
        <w:t xml:space="preserve">, read through affective or vulnerability frameworks, brings forth dimensions of trauma, displacement, and precarity that resonate with twenty-first-century concerns. Contemporary and postcolonial texts—including Achebe’s </w:t>
      </w:r>
      <w:r w:rsidRPr="00C50750">
        <w:rPr>
          <w:rFonts w:ascii="Garamond" w:hAnsi="Garamond"/>
          <w:i/>
          <w:iCs/>
        </w:rPr>
        <w:t>Things Fall Apart</w:t>
      </w:r>
      <w:r w:rsidRPr="00C50750">
        <w:rPr>
          <w:rFonts w:ascii="Garamond" w:hAnsi="Garamond"/>
        </w:rPr>
        <w:t xml:space="preserve">, Morrison’s </w:t>
      </w:r>
      <w:r w:rsidRPr="00C50750">
        <w:rPr>
          <w:rFonts w:ascii="Garamond" w:hAnsi="Garamond"/>
          <w:i/>
          <w:iCs/>
        </w:rPr>
        <w:t>Beloved</w:t>
      </w:r>
      <w:r w:rsidRPr="00C50750">
        <w:rPr>
          <w:rFonts w:ascii="Garamond" w:hAnsi="Garamond"/>
        </w:rPr>
        <w:t xml:space="preserve">, Atwood’s </w:t>
      </w:r>
      <w:r w:rsidRPr="00C50750">
        <w:rPr>
          <w:rFonts w:ascii="Garamond" w:hAnsi="Garamond"/>
          <w:i/>
          <w:iCs/>
        </w:rPr>
        <w:t>Oryx and Crake</w:t>
      </w:r>
      <w:r w:rsidRPr="00C50750">
        <w:rPr>
          <w:rFonts w:ascii="Garamond" w:hAnsi="Garamond"/>
        </w:rPr>
        <w:t xml:space="preserve">, Ghosh’s </w:t>
      </w:r>
      <w:r w:rsidRPr="00C50750">
        <w:rPr>
          <w:rFonts w:ascii="Garamond" w:hAnsi="Garamond"/>
          <w:i/>
          <w:iCs/>
        </w:rPr>
        <w:t>The Hungry Tide</w:t>
      </w:r>
      <w:r w:rsidRPr="00C50750">
        <w:rPr>
          <w:rFonts w:ascii="Garamond" w:hAnsi="Garamond"/>
        </w:rPr>
        <w:t xml:space="preserve">, Ishiguro’s </w:t>
      </w:r>
      <w:r w:rsidRPr="00C50750">
        <w:rPr>
          <w:rFonts w:ascii="Garamond" w:hAnsi="Garamond"/>
          <w:i/>
          <w:iCs/>
        </w:rPr>
        <w:t>Never Let Me Go</w:t>
      </w:r>
      <w:r w:rsidRPr="00C50750">
        <w:rPr>
          <w:rFonts w:ascii="Garamond" w:hAnsi="Garamond"/>
        </w:rPr>
        <w:t xml:space="preserve">, and Roy’s </w:t>
      </w:r>
      <w:r w:rsidRPr="00C50750">
        <w:rPr>
          <w:rFonts w:ascii="Garamond" w:hAnsi="Garamond"/>
          <w:i/>
          <w:iCs/>
        </w:rPr>
        <w:t>The God of Small Things</w:t>
      </w:r>
      <w:r w:rsidRPr="00C50750">
        <w:rPr>
          <w:rFonts w:ascii="Garamond" w:hAnsi="Garamond"/>
        </w:rPr>
        <w:t>—demonstrate the cumulative interpretive transformations produced by multiple turns. These works function as sites where ecological, ethical, technological, and affective dimensions intersect, underscoring the interpretive flexibility that epistemological shifts introduce.</w:t>
      </w:r>
    </w:p>
    <w:p w:rsidR="00556ACA" w:rsidRPr="00C50750" w:rsidRDefault="00556ACA" w:rsidP="00556ACA">
      <w:pPr>
        <w:spacing w:line="360" w:lineRule="auto"/>
        <w:rPr>
          <w:rFonts w:ascii="Garamond" w:hAnsi="Garamond"/>
        </w:rPr>
      </w:pPr>
      <w:r w:rsidRPr="00C50750">
        <w:rPr>
          <w:rFonts w:ascii="Garamond" w:hAnsi="Garamond"/>
        </w:rPr>
        <w:t xml:space="preserve">     Third, the analysis suggests that engagement with these epistemological turns fosters key intellectual capacities among English majors, including critical thinking, interdisciplinary literacy, and ethical responsiveness. Exposure to multiple theoretical frameworks encourages students to synthesize diverse perspectives, engage in comparative reasoning, and develop modes of interpretation attuned to social, environmental, technological, and affective complexities. </w:t>
      </w:r>
      <w:r w:rsidRPr="00C50750">
        <w:rPr>
          <w:rFonts w:ascii="Garamond" w:hAnsi="Garamond"/>
        </w:rPr>
        <w:lastRenderedPageBreak/>
        <w:t>Although these pedagogical implications remain inferential rather than empirically verified, they indicate the potential contribution of theoretical turns to holistic disciplinary formation.</w:t>
      </w:r>
    </w:p>
    <w:p w:rsidR="00556ACA" w:rsidRPr="00C50750" w:rsidRDefault="00556ACA" w:rsidP="00556ACA">
      <w:pPr>
        <w:spacing w:line="360" w:lineRule="auto"/>
        <w:rPr>
          <w:rFonts w:ascii="Garamond" w:hAnsi="Garamond"/>
        </w:rPr>
      </w:pPr>
      <w:r w:rsidRPr="00C50750">
        <w:rPr>
          <w:rFonts w:ascii="Garamond" w:hAnsi="Garamond"/>
        </w:rPr>
        <w:t xml:space="preserve">     Fourth, the findings also reveal that while these turns collectively expand the scope of English Studies, they generate productive tensions. For example, although the plant and green turns share ecological commitments, they differ in their emphases: the plant turn foregrounds literary and philosophical engagements with vegetal life, whereas the green turn aligns more closely with environmental activism and policy-oriented discourse. Similarly, the digital and global turns converge around questions of connectivity yet operate at different scales—technological versus transnational—producing both complementarities and divergences. These tensions illustrate the dynamic interplay within the discipline, wherein the integration of multiple epistemological perspectives generates an intentional instability that stimulates critical innovation and disciplinary renewal.</w:t>
      </w:r>
    </w:p>
    <w:p w:rsidR="00571386" w:rsidRPr="00C50750" w:rsidRDefault="00556ACA" w:rsidP="00556ACA">
      <w:pPr>
        <w:spacing w:line="360" w:lineRule="auto"/>
        <w:rPr>
          <w:rFonts w:ascii="Garamond" w:hAnsi="Garamond"/>
        </w:rPr>
      </w:pPr>
      <w:r w:rsidRPr="00C50750">
        <w:rPr>
          <w:rFonts w:ascii="Garamond" w:hAnsi="Garamond"/>
        </w:rPr>
        <w:t xml:space="preserve">     Thus, the synthesis of these findings affirms that English Studies has become increasingly adaptive, reflexive, and future-oriented. Its ongoing engagement with emerging epistemologies reflects a disciplinary capacity to integrate interdisciplinary knowledge while sustaining a critical focus on literature, pedagogy, and civic relevance. The results, therefore, position English Studies not as a static assemblage of texts or methods but as a living, evolving field responsive to cultural, ethical, technological, and ecological transformations. This adaptability enables the discipline to address contemporary global challenges—such as colonial legacies, climate crisis, digital disruption, and human vulnerability—while cultivating reflective, critically engaged practitioners.</w:t>
      </w:r>
    </w:p>
    <w:p w:rsidR="005E5FD2" w:rsidRPr="00C50750" w:rsidRDefault="005E5FD2" w:rsidP="00556ACA">
      <w:pPr>
        <w:spacing w:line="360" w:lineRule="auto"/>
        <w:rPr>
          <w:rFonts w:ascii="Garamond" w:hAnsi="Garamond"/>
          <w:b/>
          <w:bCs/>
        </w:rPr>
      </w:pPr>
      <w:r w:rsidRPr="00C50750">
        <w:rPr>
          <w:rFonts w:ascii="Garamond" w:hAnsi="Garamond"/>
          <w:b/>
          <w:bCs/>
        </w:rPr>
        <w:t>5 Discussion</w:t>
      </w:r>
    </w:p>
    <w:p w:rsidR="005E5FD2" w:rsidRPr="00C50750" w:rsidRDefault="005E5FD2" w:rsidP="005E5FD2">
      <w:pPr>
        <w:spacing w:line="360" w:lineRule="auto"/>
        <w:rPr>
          <w:rFonts w:ascii="Garamond" w:hAnsi="Garamond"/>
        </w:rPr>
      </w:pPr>
      <w:r w:rsidRPr="00C50750">
        <w:rPr>
          <w:rFonts w:ascii="Garamond" w:hAnsi="Garamond"/>
        </w:rPr>
        <w:t>The findings of this study demonstrate that recent epistemological turns have collectively reshaped the methodological orientations, conceptual boundaries, and pedagogical imperatives of English Studies. These developments position the discipline as a “living” and adaptive field responsive to contemporary cultural, technological, and ecological challenges. The thematic discussion below synthesizes these contributions and illustrates how the selected literary texts embody and extend the interpretive possibilities offered by these epistemological frameworks.</w:t>
      </w:r>
    </w:p>
    <w:p w:rsidR="005E5FD2" w:rsidRPr="00C50750" w:rsidRDefault="005E5FD2" w:rsidP="005E5FD2">
      <w:pPr>
        <w:spacing w:line="360" w:lineRule="auto"/>
        <w:rPr>
          <w:rFonts w:ascii="Garamond" w:hAnsi="Garamond"/>
        </w:rPr>
      </w:pPr>
      <w:r w:rsidRPr="00C50750">
        <w:rPr>
          <w:rFonts w:ascii="Garamond" w:hAnsi="Garamond"/>
        </w:rPr>
        <w:t xml:space="preserve">     </w:t>
      </w:r>
      <w:r w:rsidR="00A063E0" w:rsidRPr="00C50750">
        <w:rPr>
          <w:rFonts w:ascii="Garamond" w:hAnsi="Garamond"/>
        </w:rPr>
        <w:t>First, t</w:t>
      </w:r>
      <w:r w:rsidRPr="00C50750">
        <w:rPr>
          <w:rFonts w:ascii="Garamond" w:hAnsi="Garamond"/>
        </w:rPr>
        <w:t xml:space="preserve">he animal and plant turns have significantly expanded the ethical and ontological horizons of literary interpretation by foregrounding non-human subjectivities and ecological interrelations. As Andrianova (2016) demonstrates, the animal turn destabilizes anthropocentric modes of reading and invites deeper consideration of non-human agency and suffering. Tolstoy’s </w:t>
      </w:r>
      <w:r w:rsidR="00DF6994" w:rsidRPr="00C50750">
        <w:rPr>
          <w:rFonts w:ascii="Garamond" w:hAnsi="Garamond"/>
        </w:rPr>
        <w:t>“</w:t>
      </w:r>
      <w:r w:rsidRPr="00C50750">
        <w:rPr>
          <w:rFonts w:ascii="Garamond" w:hAnsi="Garamond"/>
        </w:rPr>
        <w:t>Strider</w:t>
      </w:r>
      <w:r w:rsidR="00DF6994" w:rsidRPr="00C50750">
        <w:rPr>
          <w:rFonts w:ascii="Garamond" w:hAnsi="Garamond"/>
        </w:rPr>
        <w:t>”</w:t>
      </w:r>
      <w:r w:rsidRPr="00C50750">
        <w:rPr>
          <w:rFonts w:ascii="Garamond" w:hAnsi="Garamond"/>
        </w:rPr>
        <w:t xml:space="preserve"> exemplifies this perspective, </w:t>
      </w:r>
      <w:r w:rsidR="00A063E0" w:rsidRPr="00C50750">
        <w:rPr>
          <w:rFonts w:ascii="Garamond" w:hAnsi="Garamond"/>
        </w:rPr>
        <w:t xml:space="preserve">and </w:t>
      </w:r>
      <w:r w:rsidRPr="00C50750">
        <w:rPr>
          <w:rFonts w:ascii="Garamond" w:hAnsi="Garamond"/>
        </w:rPr>
        <w:t>encourag</w:t>
      </w:r>
      <w:r w:rsidR="00A063E0" w:rsidRPr="00C50750">
        <w:rPr>
          <w:rFonts w:ascii="Garamond" w:hAnsi="Garamond"/>
        </w:rPr>
        <w:t>es</w:t>
      </w:r>
      <w:r w:rsidRPr="00C50750">
        <w:rPr>
          <w:rFonts w:ascii="Garamond" w:hAnsi="Garamond"/>
        </w:rPr>
        <w:t xml:space="preserve"> readers to engage ethically with the emotional and experiential worlds of animals. Likewise, the plant turn, articulated through Joela </w:t>
      </w:r>
      <w:r w:rsidRPr="00C50750">
        <w:rPr>
          <w:rFonts w:ascii="Garamond" w:hAnsi="Garamond"/>
        </w:rPr>
        <w:lastRenderedPageBreak/>
        <w:t xml:space="preserve">Jacobs’s (2024) formulation of </w:t>
      </w:r>
      <w:proofErr w:type="spellStart"/>
      <w:r w:rsidRPr="00C50750">
        <w:rPr>
          <w:rFonts w:ascii="Garamond" w:hAnsi="Garamond"/>
        </w:rPr>
        <w:t>phytopoetics</w:t>
      </w:r>
      <w:proofErr w:type="spellEnd"/>
      <w:r w:rsidRPr="00C50750">
        <w:rPr>
          <w:rFonts w:ascii="Garamond" w:hAnsi="Garamond"/>
        </w:rPr>
        <w:t xml:space="preserve">, reorients literary analysis towards vegetal life and ecological entanglements. Shakespeare’s </w:t>
      </w:r>
      <w:r w:rsidRPr="00C50750">
        <w:rPr>
          <w:rFonts w:ascii="Garamond" w:hAnsi="Garamond"/>
          <w:i/>
          <w:iCs/>
        </w:rPr>
        <w:t>The Tempest</w:t>
      </w:r>
      <w:r w:rsidRPr="00C50750">
        <w:rPr>
          <w:rFonts w:ascii="Garamond" w:hAnsi="Garamond"/>
        </w:rPr>
        <w:t>, when read in this light, reveals the island’s flora as an active participant in the narrative’s ecological and symbolic dynamics. These turns collectively reposition literature as a space for exploring interspecies relationality and ecological consciousness.</w:t>
      </w:r>
    </w:p>
    <w:p w:rsidR="005E5FD2" w:rsidRPr="00C50750" w:rsidRDefault="00A063E0" w:rsidP="005E5FD2">
      <w:pPr>
        <w:spacing w:line="360" w:lineRule="auto"/>
        <w:rPr>
          <w:rFonts w:ascii="Garamond" w:hAnsi="Garamond"/>
        </w:rPr>
      </w:pPr>
      <w:r w:rsidRPr="00C50750">
        <w:rPr>
          <w:rFonts w:ascii="Garamond" w:hAnsi="Garamond"/>
        </w:rPr>
        <w:t xml:space="preserve">     Second, a</w:t>
      </w:r>
      <w:r w:rsidR="005E5FD2" w:rsidRPr="00C50750">
        <w:rPr>
          <w:rFonts w:ascii="Garamond" w:hAnsi="Garamond"/>
        </w:rPr>
        <w:t xml:space="preserve">ffective theory and the vulnerability turn draw attention to the embodied, emotional, and ethical dimensions of literary experience. Building on Stephen Ahern’s (2024) work, the affective turn provides a lens through which literature is understood as a medium of emotional resonance and collective feeling. T.S. Eliot’s </w:t>
      </w:r>
      <w:r w:rsidR="005E5FD2" w:rsidRPr="00C50750">
        <w:rPr>
          <w:rFonts w:ascii="Garamond" w:hAnsi="Garamond"/>
          <w:i/>
          <w:iCs/>
        </w:rPr>
        <w:t>The Waste Land</w:t>
      </w:r>
      <w:r w:rsidR="005E5FD2" w:rsidRPr="00C50750">
        <w:rPr>
          <w:rFonts w:ascii="Garamond" w:hAnsi="Garamond"/>
        </w:rPr>
        <w:t xml:space="preserve"> illustrates this interpretive potential: its fragmentation, tonal shifts, and evocation of despair construct an affective landscape that traverses personal and historical trauma. The vulnerability turn deepens these insights by foregrounding precariousness and ethical responsibility. Ishiguro’s </w:t>
      </w:r>
      <w:r w:rsidR="005E5FD2" w:rsidRPr="00C50750">
        <w:rPr>
          <w:rFonts w:ascii="Garamond" w:hAnsi="Garamond"/>
          <w:i/>
          <w:iCs/>
        </w:rPr>
        <w:t>Never Let Me Go</w:t>
      </w:r>
      <w:r w:rsidR="005E5FD2" w:rsidRPr="00C50750">
        <w:rPr>
          <w:rFonts w:ascii="Garamond" w:hAnsi="Garamond"/>
        </w:rPr>
        <w:t xml:space="preserve"> provides a compelling example, inviting reflection on autonomy, exploitation, and human dignity. These frameworks underscore literature’s capacity to cultivate empathy, ethical awareness, and emotional literacy within English Studies.</w:t>
      </w:r>
    </w:p>
    <w:p w:rsidR="005E5FD2" w:rsidRPr="00C50750" w:rsidRDefault="00A063E0" w:rsidP="005E5FD2">
      <w:pPr>
        <w:spacing w:line="360" w:lineRule="auto"/>
        <w:rPr>
          <w:rFonts w:ascii="Garamond" w:hAnsi="Garamond"/>
        </w:rPr>
      </w:pPr>
      <w:r w:rsidRPr="00C50750">
        <w:rPr>
          <w:rFonts w:ascii="Garamond" w:hAnsi="Garamond"/>
        </w:rPr>
        <w:t xml:space="preserve">     Third, t</w:t>
      </w:r>
      <w:r w:rsidR="005E5FD2" w:rsidRPr="00C50750">
        <w:rPr>
          <w:rFonts w:ascii="Garamond" w:hAnsi="Garamond"/>
        </w:rPr>
        <w:t xml:space="preserve">he digital turn brings into focus the transformative effects of technological change on literature, culture, and scholarly practice. As Simon Murray (2025) notes, digital humanities reconfigure textuality, authorship, and interpretive methodologies. Margaret Atwood’s </w:t>
      </w:r>
      <w:r w:rsidR="005E5FD2" w:rsidRPr="00C50750">
        <w:rPr>
          <w:rFonts w:ascii="Garamond" w:hAnsi="Garamond"/>
          <w:i/>
          <w:iCs/>
        </w:rPr>
        <w:t>Oryx and Crake</w:t>
      </w:r>
      <w:r w:rsidR="005E5FD2" w:rsidRPr="00C50750">
        <w:rPr>
          <w:rFonts w:ascii="Garamond" w:hAnsi="Garamond"/>
        </w:rPr>
        <w:t xml:space="preserve"> exemplifies this turn by interrogating biotechnology, genetic engineering, and the ethical consequences of scientific advancement. The novel anticipates technological futures while critiquing their social implications, </w:t>
      </w:r>
      <w:r w:rsidRPr="00C50750">
        <w:rPr>
          <w:rFonts w:ascii="Garamond" w:hAnsi="Garamond"/>
        </w:rPr>
        <w:t xml:space="preserve">and </w:t>
      </w:r>
      <w:r w:rsidR="005E5FD2" w:rsidRPr="00C50750">
        <w:rPr>
          <w:rFonts w:ascii="Garamond" w:hAnsi="Garamond"/>
        </w:rPr>
        <w:t>thereby</w:t>
      </w:r>
      <w:r w:rsidRPr="00C50750">
        <w:rPr>
          <w:rFonts w:ascii="Garamond" w:hAnsi="Garamond"/>
        </w:rPr>
        <w:t>,</w:t>
      </w:r>
      <w:r w:rsidR="005E5FD2" w:rsidRPr="00C50750">
        <w:rPr>
          <w:rFonts w:ascii="Garamond" w:hAnsi="Garamond"/>
        </w:rPr>
        <w:t xml:space="preserve"> situat</w:t>
      </w:r>
      <w:r w:rsidRPr="00C50750">
        <w:rPr>
          <w:rFonts w:ascii="Garamond" w:hAnsi="Garamond"/>
        </w:rPr>
        <w:t>es</w:t>
      </w:r>
      <w:r w:rsidR="005E5FD2" w:rsidRPr="00C50750">
        <w:rPr>
          <w:rFonts w:ascii="Garamond" w:hAnsi="Garamond"/>
        </w:rPr>
        <w:t xml:space="preserve"> English Studies at the intersection of literary </w:t>
      </w:r>
      <w:r w:rsidRPr="00C50750">
        <w:rPr>
          <w:rFonts w:ascii="Garamond" w:hAnsi="Garamond"/>
        </w:rPr>
        <w:t>e</w:t>
      </w:r>
      <w:r w:rsidR="005E5FD2" w:rsidRPr="00C50750">
        <w:rPr>
          <w:rFonts w:ascii="Garamond" w:hAnsi="Garamond"/>
        </w:rPr>
        <w:t>nquiry, digital culture, and ethical debate. Through such works, the digital turn encourages interdisciplinary engagement and foregrounds the relevance of literary study in technologically mediated societies.</w:t>
      </w:r>
    </w:p>
    <w:p w:rsidR="005E5FD2" w:rsidRPr="00C50750" w:rsidRDefault="00A063E0" w:rsidP="005E5FD2">
      <w:pPr>
        <w:spacing w:line="360" w:lineRule="auto"/>
        <w:rPr>
          <w:rFonts w:ascii="Garamond" w:hAnsi="Garamond"/>
        </w:rPr>
      </w:pPr>
      <w:r w:rsidRPr="00C50750">
        <w:rPr>
          <w:rFonts w:ascii="Garamond" w:hAnsi="Garamond"/>
        </w:rPr>
        <w:t xml:space="preserve">     Fourth, t</w:t>
      </w:r>
      <w:r w:rsidR="005E5FD2" w:rsidRPr="00C50750">
        <w:rPr>
          <w:rFonts w:ascii="Garamond" w:hAnsi="Garamond"/>
        </w:rPr>
        <w:t xml:space="preserve">he global turn expands the scope of English Studies by foregrounding transnational flows, intercultural encounters, and global histories. Achebe’s </w:t>
      </w:r>
      <w:r w:rsidR="005E5FD2" w:rsidRPr="00C50750">
        <w:rPr>
          <w:rFonts w:ascii="Garamond" w:hAnsi="Garamond"/>
          <w:i/>
          <w:iCs/>
        </w:rPr>
        <w:t>Things Fall Apart</w:t>
      </w:r>
      <w:r w:rsidR="005E5FD2" w:rsidRPr="00C50750">
        <w:rPr>
          <w:rFonts w:ascii="Garamond" w:hAnsi="Garamond"/>
        </w:rPr>
        <w:t xml:space="preserve"> exemplifies this orientation by depicting the sociocultural upheavals wrought by colonial intervention and highlighting the resilience and complexity of Igbo society. Through this lens, English Studies moves beyond Eurocentric paradigms to embrace pluralistic and interconnected world literatures. The intersection of ecocriticism and postcolonial theory, illustrated in Morrison’s </w:t>
      </w:r>
      <w:r w:rsidR="005E5FD2" w:rsidRPr="00C50750">
        <w:rPr>
          <w:rFonts w:ascii="Garamond" w:hAnsi="Garamond"/>
          <w:i/>
          <w:iCs/>
        </w:rPr>
        <w:t>Beloved</w:t>
      </w:r>
      <w:r w:rsidR="005E5FD2" w:rsidRPr="00C50750">
        <w:rPr>
          <w:rFonts w:ascii="Garamond" w:hAnsi="Garamond"/>
        </w:rPr>
        <w:t>, further reveals how landscapes, memory, and historical trauma are mutually constitutive. These perspectives affirm the global turn’s capacity to cultivate a socially engaged and culturally inclusive literary scholarship.</w:t>
      </w:r>
    </w:p>
    <w:p w:rsidR="005E5FD2" w:rsidRPr="00C50750" w:rsidRDefault="00A063E0" w:rsidP="005E5FD2">
      <w:pPr>
        <w:spacing w:line="360" w:lineRule="auto"/>
        <w:rPr>
          <w:rFonts w:ascii="Garamond" w:hAnsi="Garamond"/>
        </w:rPr>
      </w:pPr>
      <w:r w:rsidRPr="00C50750">
        <w:rPr>
          <w:rFonts w:ascii="Garamond" w:hAnsi="Garamond"/>
        </w:rPr>
        <w:lastRenderedPageBreak/>
        <w:t xml:space="preserve">     Fifth, t</w:t>
      </w:r>
      <w:r w:rsidR="005E5FD2" w:rsidRPr="00C50750">
        <w:rPr>
          <w:rFonts w:ascii="Garamond" w:hAnsi="Garamond"/>
        </w:rPr>
        <w:t xml:space="preserve">he linguistic turn underscores the centrality of language as a cultural, social, and political force. In </w:t>
      </w:r>
      <w:r w:rsidR="005E5FD2" w:rsidRPr="00C50750">
        <w:rPr>
          <w:rFonts w:ascii="Garamond" w:hAnsi="Garamond"/>
          <w:i/>
          <w:iCs/>
        </w:rPr>
        <w:t>The Hungry Tide</w:t>
      </w:r>
      <w:r w:rsidR="005E5FD2" w:rsidRPr="00C50750">
        <w:rPr>
          <w:rFonts w:ascii="Garamond" w:hAnsi="Garamond"/>
        </w:rPr>
        <w:t>, Amitav Ghosh foregrounds multilingualism and linguistic diversity as key determinants of identity formation, social relations, and power negotiation. Reading the novel through linguistic turn methodologies highlights how language functions beyond communication—as a site of cultural memory, resistance, and belonging. This orientation reinforces the discipline’s engagement with sociolinguistic, anthropological, and cultural perspectives.</w:t>
      </w:r>
    </w:p>
    <w:p w:rsidR="005E5FD2" w:rsidRPr="00C50750" w:rsidRDefault="00A063E0" w:rsidP="005E5FD2">
      <w:pPr>
        <w:spacing w:line="360" w:lineRule="auto"/>
        <w:rPr>
          <w:rFonts w:ascii="Garamond" w:hAnsi="Garamond"/>
        </w:rPr>
      </w:pPr>
      <w:r w:rsidRPr="00C50750">
        <w:rPr>
          <w:rFonts w:ascii="Garamond" w:hAnsi="Garamond"/>
        </w:rPr>
        <w:t xml:space="preserve">     Sixth, </w:t>
      </w:r>
      <w:r w:rsidR="005E5FD2" w:rsidRPr="00C50750">
        <w:rPr>
          <w:rFonts w:ascii="Garamond" w:hAnsi="Garamond"/>
        </w:rPr>
        <w:t xml:space="preserve">Arundhati Roy’s </w:t>
      </w:r>
      <w:r w:rsidR="005E5FD2" w:rsidRPr="00C50750">
        <w:rPr>
          <w:rFonts w:ascii="Garamond" w:hAnsi="Garamond"/>
          <w:i/>
          <w:iCs/>
        </w:rPr>
        <w:t>The God of Small Things</w:t>
      </w:r>
      <w:r w:rsidR="005E5FD2" w:rsidRPr="00C50750">
        <w:rPr>
          <w:rFonts w:ascii="Garamond" w:hAnsi="Garamond"/>
        </w:rPr>
        <w:t xml:space="preserve"> exemplifies how digital and ethical perspectives intersect in contemporary literary interpretation. The narrative’s exploration of memory, trauma, and sociohistorical mediation demonstrates how personal and collective histories are shaped by broader social structures and technological conditions. These frameworks reveal the ethical dimensions embedded in narrative form and underscore the relevance of English Studies in examining the moral and technological determinants of human experience.</w:t>
      </w:r>
    </w:p>
    <w:p w:rsidR="005E5FD2" w:rsidRPr="00C50750" w:rsidRDefault="00A063E0" w:rsidP="005E5FD2">
      <w:pPr>
        <w:spacing w:line="360" w:lineRule="auto"/>
        <w:rPr>
          <w:rFonts w:ascii="Garamond" w:hAnsi="Garamond"/>
        </w:rPr>
      </w:pPr>
      <w:r w:rsidRPr="00C50750">
        <w:rPr>
          <w:rFonts w:ascii="Garamond" w:hAnsi="Garamond"/>
        </w:rPr>
        <w:t xml:space="preserve">     Last, t</w:t>
      </w:r>
      <w:r w:rsidR="005E5FD2" w:rsidRPr="00C50750">
        <w:rPr>
          <w:rFonts w:ascii="Garamond" w:hAnsi="Garamond"/>
        </w:rPr>
        <w:t>aken together, the texts analysed reflect the dynamic interplay among multiple epistemological turns. While each turn introduces unique methodological emphases, their convergence produces a critical pluralism that enriches interpretive practice and fosters disciplinary renewal. Points of intersection—such as those between ecocriticism and postcolonialism, or affect theory and vulnerability studies—demonstrate the generative potential of interdisciplinary synthesis. Conversely, tensions among turns</w:t>
      </w:r>
      <w:r w:rsidRPr="00C50750">
        <w:rPr>
          <w:rFonts w:ascii="Garamond" w:hAnsi="Garamond"/>
        </w:rPr>
        <w:t>—</w:t>
      </w:r>
      <w:r w:rsidR="005E5FD2" w:rsidRPr="00C50750">
        <w:rPr>
          <w:rFonts w:ascii="Garamond" w:hAnsi="Garamond"/>
        </w:rPr>
        <w:t>differences in emphasis between plant and green frameworks or digital and global orientations</w:t>
      </w:r>
      <w:r w:rsidRPr="00C50750">
        <w:rPr>
          <w:rFonts w:ascii="Garamond" w:hAnsi="Garamond"/>
        </w:rPr>
        <w:t>—</w:t>
      </w:r>
      <w:r w:rsidR="005E5FD2" w:rsidRPr="00C50750">
        <w:rPr>
          <w:rFonts w:ascii="Garamond" w:hAnsi="Garamond"/>
        </w:rPr>
        <w:t>highlight the productive instability that characterizes English Studies as an evolving field.</w:t>
      </w:r>
    </w:p>
    <w:p w:rsidR="005E5FD2" w:rsidRPr="00C50750" w:rsidRDefault="00A063E0" w:rsidP="005E5FD2">
      <w:pPr>
        <w:spacing w:line="360" w:lineRule="auto"/>
        <w:rPr>
          <w:rFonts w:ascii="Garamond" w:hAnsi="Garamond"/>
        </w:rPr>
      </w:pPr>
      <w:r w:rsidRPr="00C50750">
        <w:rPr>
          <w:rFonts w:ascii="Garamond" w:hAnsi="Garamond"/>
        </w:rPr>
        <w:t xml:space="preserve">     </w:t>
      </w:r>
      <w:r w:rsidR="005E5FD2" w:rsidRPr="00C50750">
        <w:rPr>
          <w:rFonts w:ascii="Garamond" w:hAnsi="Garamond"/>
        </w:rPr>
        <w:t>This thematic synthesis confirms that English Studies is increasingly adaptive, reflexive, and ethically grounded. By engaging with emerging epistemologies, the discipline extends its methodological repertoire and enhances its capacity to address contemporary global challenges—from environmental crises to technological disruption and ethical precarity. In doing so, it not only broadens its scholarly focus but also cultivates critically informed practitioners equipped to navigate the complexities of the modern world.</w:t>
      </w:r>
    </w:p>
    <w:p w:rsidR="00925D5B" w:rsidRPr="00C50750" w:rsidRDefault="00925D5B" w:rsidP="00925D5B">
      <w:pPr>
        <w:spacing w:line="360" w:lineRule="auto"/>
        <w:rPr>
          <w:rFonts w:ascii="Garamond" w:hAnsi="Garamond"/>
          <w:b/>
          <w:bCs/>
          <w:lang w:val="en-GB"/>
        </w:rPr>
      </w:pPr>
      <w:r w:rsidRPr="00C50750">
        <w:rPr>
          <w:rFonts w:ascii="Garamond" w:hAnsi="Garamond"/>
          <w:b/>
          <w:bCs/>
          <w:lang w:val="en-GB"/>
        </w:rPr>
        <w:t>5.1 How Theoretical Turns in Present Epistemology Help English Majors</w:t>
      </w:r>
    </w:p>
    <w:p w:rsidR="00925D5B" w:rsidRPr="00C50750" w:rsidRDefault="00925D5B" w:rsidP="00925D5B">
      <w:pPr>
        <w:spacing w:line="360" w:lineRule="auto"/>
        <w:rPr>
          <w:rFonts w:ascii="Garamond" w:hAnsi="Garamond"/>
          <w:b/>
          <w:bCs/>
          <w:lang w:val="en-GB"/>
        </w:rPr>
      </w:pPr>
      <w:r w:rsidRPr="00C50750">
        <w:rPr>
          <w:rFonts w:ascii="Garamond" w:hAnsi="Garamond"/>
        </w:rPr>
        <w:t xml:space="preserve">To begin with, the cultural turn in the humanities enables English majors to conceptualize literary works not merely as aesthetic artefacts but as cultural expressions embedded within specific social, political, and historical formations. For instance, Chinua Achebe’s </w:t>
      </w:r>
      <w:r w:rsidRPr="00C50750">
        <w:rPr>
          <w:rFonts w:ascii="Garamond" w:hAnsi="Garamond"/>
          <w:i/>
          <w:iCs/>
        </w:rPr>
        <w:t xml:space="preserve">Things Fall Apart </w:t>
      </w:r>
      <w:r w:rsidRPr="00C50750">
        <w:rPr>
          <w:rFonts w:ascii="Garamond" w:hAnsi="Garamond"/>
        </w:rPr>
        <w:t xml:space="preserve">(1958) functions both as a narrative of Okonkwo’s individual struggle and as a counter-discursive intervention in colonial epistemologies. When read through postcolonial theoretical frameworks such as Homi Bhabha’s concept of hybridity or Edward Said’s theory of </w:t>
      </w:r>
      <w:r w:rsidRPr="00C50750">
        <w:rPr>
          <w:rFonts w:ascii="Garamond" w:hAnsi="Garamond"/>
        </w:rPr>
        <w:lastRenderedPageBreak/>
        <w:t xml:space="preserve">Orientalism, the text becomes a site of resistance that interrogates imperial knowledge systems and amplifies subaltern perspectives. Similarly, Shakespeare’s </w:t>
      </w:r>
      <w:r w:rsidRPr="00C50750">
        <w:rPr>
          <w:rFonts w:ascii="Garamond" w:hAnsi="Garamond"/>
          <w:i/>
          <w:iCs/>
        </w:rPr>
        <w:t>The Tempest</w:t>
      </w:r>
      <w:r w:rsidRPr="00C50750">
        <w:rPr>
          <w:rFonts w:ascii="Garamond" w:hAnsi="Garamond"/>
        </w:rPr>
        <w:t xml:space="preserve"> may be approached not solely as a Renaissance romance but as a cultural text negotiating issues of power, racialisation, and colonial encounter, with Prospero and Caliban exemplifying the colonizer–colonized dynamic. Through such readings, the cultural turn expands the intellectual remit of English studies by shifting the central question from “What does this text mean?” to “What does this text do in the world?”</w:t>
      </w:r>
    </w:p>
    <w:p w:rsidR="00925D5B" w:rsidRPr="00C50750" w:rsidRDefault="00925D5B" w:rsidP="00925D5B">
      <w:pPr>
        <w:spacing w:line="360" w:lineRule="auto"/>
        <w:rPr>
          <w:rFonts w:ascii="Garamond" w:hAnsi="Garamond"/>
        </w:rPr>
      </w:pPr>
      <w:r w:rsidRPr="00C50750">
        <w:rPr>
          <w:rFonts w:ascii="Garamond" w:hAnsi="Garamond"/>
        </w:rPr>
        <w:t xml:space="preserve">     Further, the poststructuralist turn destabilizes the assumption of fixed or authoritative meaning, and thereby, encourages English majors to engage productively with interpretive multiplicity. T. S. Eliot’s </w:t>
      </w:r>
      <w:r w:rsidRPr="00C50750">
        <w:rPr>
          <w:rFonts w:ascii="Garamond" w:hAnsi="Garamond"/>
          <w:i/>
          <w:iCs/>
        </w:rPr>
        <w:t>The Waste Land</w:t>
      </w:r>
      <w:r w:rsidRPr="00C50750">
        <w:rPr>
          <w:rFonts w:ascii="Garamond" w:hAnsi="Garamond"/>
        </w:rPr>
        <w:t xml:space="preserve"> (1922), for example, resists the search for a singular, unified meaning; poststructuralist concepts such as Derrida’s </w:t>
      </w:r>
      <w:proofErr w:type="spellStart"/>
      <w:r w:rsidRPr="00C50750">
        <w:rPr>
          <w:rFonts w:ascii="Garamond" w:hAnsi="Garamond"/>
        </w:rPr>
        <w:t>différance</w:t>
      </w:r>
      <w:proofErr w:type="spellEnd"/>
      <w:r w:rsidRPr="00C50750">
        <w:rPr>
          <w:rFonts w:ascii="Garamond" w:hAnsi="Garamond"/>
        </w:rPr>
        <w:t xml:space="preserve"> illuminate the poem’s openness, fragmentation, and indeterminacy. Likewise, the poetry of Emily Dickinson, characterized by unconventional punctuation and syntactic disruption, challenges readers to confront the inherent instability of language and the impossibility of interpretive closure. Through these engagements, students learn to navigate ambiguity, analyse contradiction, and appreciate the dynamic nature of signification.</w:t>
      </w:r>
    </w:p>
    <w:p w:rsidR="00925D5B" w:rsidRPr="00C50750" w:rsidRDefault="00925D5B" w:rsidP="00925D5B">
      <w:pPr>
        <w:spacing w:line="360" w:lineRule="auto"/>
        <w:rPr>
          <w:rFonts w:ascii="Garamond" w:hAnsi="Garamond"/>
        </w:rPr>
      </w:pPr>
      <w:r w:rsidRPr="00C50750">
        <w:rPr>
          <w:rFonts w:ascii="Garamond" w:hAnsi="Garamond"/>
        </w:rPr>
        <w:t xml:space="preserve">     In addition, the affective turn foregrounds emotion, embodiment, and readerly response as integral components of literary experience. Toni Morrison’s </w:t>
      </w:r>
      <w:r w:rsidRPr="00C50750">
        <w:rPr>
          <w:rFonts w:ascii="Garamond" w:hAnsi="Garamond"/>
          <w:i/>
          <w:iCs/>
        </w:rPr>
        <w:t>Beloved</w:t>
      </w:r>
      <w:r w:rsidRPr="00C50750">
        <w:rPr>
          <w:rFonts w:ascii="Garamond" w:hAnsi="Garamond"/>
        </w:rPr>
        <w:t xml:space="preserve"> (1987) exemplifies how literature simultaneously represents historical trauma and elicits powerful affective responses—fear, empathy, sorrow—that shape ethical engagement. Drawing on affect theorists such as Sara Ahmed, students learn to examine how emotional intensities operate within and around texts, linking individual sensibilities to broader cultural and political formations. Similarly, Wilfred Owen’s poem “Dulce et Decorum Est” conveys the sensory horrors of trench warfare so viscerally that it collapses the distance between textual representation and lived human experience. Such analyses allow English majors to understand literature as a medium that activates emotional, ethical, and embodied forms of knowledge.</w:t>
      </w:r>
    </w:p>
    <w:p w:rsidR="00925D5B" w:rsidRPr="00C50750" w:rsidRDefault="00925D5B" w:rsidP="00925D5B">
      <w:pPr>
        <w:spacing w:line="360" w:lineRule="auto"/>
        <w:rPr>
          <w:rFonts w:ascii="Garamond" w:hAnsi="Garamond"/>
        </w:rPr>
      </w:pPr>
      <w:r w:rsidRPr="00C50750">
        <w:rPr>
          <w:rFonts w:ascii="Garamond" w:hAnsi="Garamond"/>
        </w:rPr>
        <w:t xml:space="preserve">     Moreover, the material and posthuman turns broaden the disciplinary boundaries of English studies by prompting students to consider literature in relation to ecology, technology, and non-human agencies. Margaret Atwood’s </w:t>
      </w:r>
      <w:r w:rsidRPr="00C50750">
        <w:rPr>
          <w:rFonts w:ascii="Garamond" w:hAnsi="Garamond"/>
          <w:i/>
          <w:iCs/>
        </w:rPr>
        <w:t>Oryx and Crake</w:t>
      </w:r>
      <w:r w:rsidRPr="00C50750">
        <w:rPr>
          <w:rFonts w:ascii="Garamond" w:hAnsi="Garamond"/>
        </w:rPr>
        <w:t xml:space="preserve"> (2003) and the </w:t>
      </w:r>
      <w:proofErr w:type="spellStart"/>
      <w:r w:rsidRPr="00C50750">
        <w:rPr>
          <w:rFonts w:ascii="Garamond" w:hAnsi="Garamond"/>
          <w:i/>
          <w:iCs/>
        </w:rPr>
        <w:t>MaddAddam</w:t>
      </w:r>
      <w:proofErr w:type="spellEnd"/>
      <w:r w:rsidRPr="00C50750">
        <w:rPr>
          <w:rFonts w:ascii="Garamond" w:hAnsi="Garamond"/>
          <w:i/>
          <w:iCs/>
        </w:rPr>
        <w:t xml:space="preserve"> trilogy</w:t>
      </w:r>
      <w:r w:rsidRPr="00C50750">
        <w:rPr>
          <w:rFonts w:ascii="Garamond" w:hAnsi="Garamond"/>
        </w:rPr>
        <w:t xml:space="preserve"> demonstrate how genetic engineering, environmental degradation, and posthuman identities intersect in contemporary narrative. When read through the theoretical contributions of </w:t>
      </w:r>
      <w:proofErr w:type="spellStart"/>
      <w:r w:rsidRPr="00C50750">
        <w:rPr>
          <w:rFonts w:ascii="Garamond" w:hAnsi="Garamond"/>
        </w:rPr>
        <w:t>Rosi</w:t>
      </w:r>
      <w:proofErr w:type="spellEnd"/>
      <w:r w:rsidRPr="00C50750">
        <w:rPr>
          <w:rFonts w:ascii="Garamond" w:hAnsi="Garamond"/>
        </w:rPr>
        <w:t xml:space="preserve"> </w:t>
      </w:r>
      <w:proofErr w:type="spellStart"/>
      <w:r w:rsidRPr="00C50750">
        <w:rPr>
          <w:rFonts w:ascii="Garamond" w:hAnsi="Garamond"/>
        </w:rPr>
        <w:t>Braidotti</w:t>
      </w:r>
      <w:proofErr w:type="spellEnd"/>
      <w:r w:rsidRPr="00C50750">
        <w:rPr>
          <w:rFonts w:ascii="Garamond" w:hAnsi="Garamond"/>
        </w:rPr>
        <w:t xml:space="preserve"> or Donna Haraway, these texts reveal the extent to which literature interrogates the shifting boundaries of the human. Likewise, Amitav Ghosh’s </w:t>
      </w:r>
      <w:r w:rsidRPr="00C50750">
        <w:rPr>
          <w:rFonts w:ascii="Garamond" w:hAnsi="Garamond"/>
          <w:i/>
          <w:iCs/>
        </w:rPr>
        <w:t>The Hungry Tide</w:t>
      </w:r>
      <w:r w:rsidRPr="00C50750">
        <w:rPr>
          <w:rFonts w:ascii="Garamond" w:hAnsi="Garamond"/>
        </w:rPr>
        <w:t xml:space="preserve"> (2004) positions the Sundarbans not as a passive backdrop but as an active ecological force, shaping human </w:t>
      </w:r>
      <w:r w:rsidRPr="00C50750">
        <w:rPr>
          <w:rFonts w:ascii="Garamond" w:hAnsi="Garamond"/>
        </w:rPr>
        <w:lastRenderedPageBreak/>
        <w:t>experience and challenging anthropocentric modes of interpretation. These perspectives foster interdisciplinary inquiry and strengthen connections between literary studies, environmental humanities, science, and technology.</w:t>
      </w:r>
    </w:p>
    <w:p w:rsidR="00925D5B" w:rsidRPr="00C50750" w:rsidRDefault="00925D5B" w:rsidP="00925D5B">
      <w:pPr>
        <w:spacing w:line="360" w:lineRule="auto"/>
        <w:rPr>
          <w:rFonts w:ascii="Garamond" w:hAnsi="Garamond"/>
        </w:rPr>
      </w:pPr>
      <w:r w:rsidRPr="00C50750">
        <w:rPr>
          <w:rFonts w:ascii="Garamond" w:hAnsi="Garamond"/>
        </w:rPr>
        <w:t xml:space="preserve">     In addition, the digital turn equips English majors with new methodological tools for both analysis and creative production. Digital humanities initiatives such as the </w:t>
      </w:r>
      <w:r w:rsidRPr="00C50750">
        <w:rPr>
          <w:rFonts w:ascii="Garamond" w:hAnsi="Garamond"/>
          <w:i/>
          <w:iCs/>
        </w:rPr>
        <w:t xml:space="preserve">Canterbury Tales Project </w:t>
      </w:r>
      <w:r w:rsidRPr="00C50750">
        <w:rPr>
          <w:rFonts w:ascii="Garamond" w:hAnsi="Garamond"/>
        </w:rPr>
        <w:t xml:space="preserve">employ hypertextual editions, mapping technologies, and data visualization to re-examine canonical works and textual histories. At the same time, digital cultures—such as online fanfiction communities responding to texts like the Harry Potter series—illustrate how readers participate in reshaping literary worlds in collaborative, networked environments. On a global scale, works such as Arundhati Roy’s </w:t>
      </w:r>
      <w:r w:rsidRPr="00C50750">
        <w:rPr>
          <w:rFonts w:ascii="Garamond" w:hAnsi="Garamond"/>
          <w:i/>
          <w:iCs/>
        </w:rPr>
        <w:t>The God of Small Things</w:t>
      </w:r>
      <w:r w:rsidRPr="00C50750">
        <w:rPr>
          <w:rFonts w:ascii="Garamond" w:hAnsi="Garamond"/>
        </w:rPr>
        <w:t xml:space="preserve"> (1997) demonstrate how English circulates transnationally, carrying with it regional histories, caste politics, and postcolonial concerns. When read alongside theories of world literature, including those proposed by David Damrosch, such texts reveal literature as a dynamic practice that crosses cultural, geographic, and digital boundaries.</w:t>
      </w:r>
    </w:p>
    <w:p w:rsidR="00925D5B" w:rsidRPr="00C50750" w:rsidRDefault="00925D5B" w:rsidP="00925D5B">
      <w:pPr>
        <w:spacing w:line="360" w:lineRule="auto"/>
        <w:rPr>
          <w:rFonts w:ascii="Garamond" w:hAnsi="Garamond"/>
        </w:rPr>
      </w:pPr>
      <w:r w:rsidRPr="00C50750">
        <w:rPr>
          <w:rFonts w:ascii="Garamond" w:hAnsi="Garamond"/>
        </w:rPr>
        <w:t xml:space="preserve">     Finally, these theoretical turns collectively help English majors connect literary study to broader civic and ethical responsibilities. The ethical turn—rooted in thinkers such as Emmanuel Levinas and Martha Nussbaum—foregrounds questions of justice, responsibility, and the ethical encounter with the Other. Kazuo Ishiguro’s </w:t>
      </w:r>
      <w:r w:rsidRPr="00C50750">
        <w:rPr>
          <w:rFonts w:ascii="Garamond" w:hAnsi="Garamond"/>
          <w:i/>
          <w:iCs/>
        </w:rPr>
        <w:t>Never Let Me Go</w:t>
      </w:r>
      <w:r w:rsidRPr="00C50750">
        <w:rPr>
          <w:rFonts w:ascii="Garamond" w:hAnsi="Garamond"/>
        </w:rPr>
        <w:t xml:space="preserve"> (2005), with its exploration of cloning, exploitation, and human dignity, encourages students to reflect critically on moral agency in technologically mediated societies. Through such engagements, English majors come to understand literature not merely as a field concerned with aesthetic appreciation but as a discipline critically involved in shaping ethical reasoning, social awareness, and global citizenship. This orientation prepares them for diverse roles as educators, cultural critics, activists, and ethically informed participants in an increasingly complex world.</w:t>
      </w:r>
    </w:p>
    <w:p w:rsidR="006B7FCA" w:rsidRPr="00C50750" w:rsidRDefault="006B7FCA" w:rsidP="006B7FCA">
      <w:pPr>
        <w:spacing w:line="360" w:lineRule="auto"/>
        <w:rPr>
          <w:rFonts w:ascii="Garamond" w:hAnsi="Garamond"/>
          <w:b/>
          <w:bCs/>
          <w:lang w:val="en-GB"/>
        </w:rPr>
      </w:pPr>
      <w:r w:rsidRPr="00C50750">
        <w:rPr>
          <w:rFonts w:ascii="Garamond" w:hAnsi="Garamond"/>
          <w:b/>
          <w:bCs/>
          <w:lang w:val="en-GB"/>
        </w:rPr>
        <w:t>5.2 Research Questions Revisited</w:t>
      </w:r>
    </w:p>
    <w:p w:rsidR="006B7FCA" w:rsidRPr="00C50750" w:rsidRDefault="006B7FCA" w:rsidP="006B7FCA">
      <w:pPr>
        <w:spacing w:line="360" w:lineRule="auto"/>
        <w:rPr>
          <w:rFonts w:ascii="Garamond" w:hAnsi="Garamond"/>
        </w:rPr>
      </w:pPr>
      <w:r w:rsidRPr="00C50750">
        <w:rPr>
          <w:rFonts w:ascii="Garamond" w:hAnsi="Garamond"/>
        </w:rPr>
        <w:t xml:space="preserve">The following responses revisit each research question by synthesizing theoretical turns with the selected literary texts, </w:t>
      </w:r>
      <w:r w:rsidR="00DF6994" w:rsidRPr="00C50750">
        <w:rPr>
          <w:rFonts w:ascii="Garamond" w:hAnsi="Garamond"/>
        </w:rPr>
        <w:t xml:space="preserve">and </w:t>
      </w:r>
      <w:r w:rsidRPr="00C50750">
        <w:rPr>
          <w:rFonts w:ascii="Garamond" w:hAnsi="Garamond"/>
        </w:rPr>
        <w:t>demonstrat</w:t>
      </w:r>
      <w:r w:rsidR="00DF6994" w:rsidRPr="00C50750">
        <w:rPr>
          <w:rFonts w:ascii="Garamond" w:hAnsi="Garamond"/>
        </w:rPr>
        <w:t>e</w:t>
      </w:r>
      <w:r w:rsidRPr="00C50750">
        <w:rPr>
          <w:rFonts w:ascii="Garamond" w:hAnsi="Garamond"/>
        </w:rPr>
        <w:t xml:space="preserve"> how contemporary epistemological shifts reposition the aims and practices of English Studies.</w:t>
      </w:r>
    </w:p>
    <w:p w:rsidR="006B7FCA" w:rsidRPr="00C50750" w:rsidRDefault="006B7FCA" w:rsidP="006B7FCA">
      <w:pPr>
        <w:spacing w:line="360" w:lineRule="auto"/>
        <w:rPr>
          <w:rFonts w:ascii="Garamond" w:hAnsi="Garamond"/>
        </w:rPr>
      </w:pPr>
      <w:r w:rsidRPr="00C50750">
        <w:rPr>
          <w:rFonts w:ascii="Garamond" w:hAnsi="Garamond"/>
          <w:b/>
          <w:bCs/>
        </w:rPr>
        <w:t>RQ1</w:t>
      </w:r>
      <w:r w:rsidRPr="00C50750">
        <w:rPr>
          <w:rFonts w:ascii="Garamond" w:hAnsi="Garamond"/>
        </w:rPr>
        <w:t xml:space="preserve">: Recent theoretical turns substantially broaden the intellectual and methodological boundaries of English Studies. Whereas earlier scholarship often privileged textual formalism and close reading, contemporary turns introduce expanded epistemic orientations that engage with ethics, ecology, digital culture, and global interdependence. The animal turn, for </w:t>
      </w:r>
      <w:r w:rsidR="00DF6994" w:rsidRPr="00C50750">
        <w:rPr>
          <w:rFonts w:ascii="Garamond" w:hAnsi="Garamond"/>
        </w:rPr>
        <w:t>example</w:t>
      </w:r>
      <w:r w:rsidRPr="00C50750">
        <w:rPr>
          <w:rFonts w:ascii="Garamond" w:hAnsi="Garamond"/>
        </w:rPr>
        <w:t xml:space="preserve">, foregrounds nonhuman subjectivities and compels scholars to interrogate how narratives represent animal suffering or agency, as illustrated in Tolstoy’s “Strider” or Coetzee’s </w:t>
      </w:r>
      <w:r w:rsidRPr="00C50750">
        <w:rPr>
          <w:rFonts w:ascii="Garamond" w:hAnsi="Garamond"/>
          <w:i/>
          <w:iCs/>
        </w:rPr>
        <w:t>Disgrace</w:t>
      </w:r>
      <w:r w:rsidRPr="00C50750">
        <w:rPr>
          <w:rFonts w:ascii="Garamond" w:hAnsi="Garamond"/>
        </w:rPr>
        <w:t xml:space="preserve">. </w:t>
      </w:r>
      <w:r w:rsidRPr="00C50750">
        <w:rPr>
          <w:rFonts w:ascii="Garamond" w:hAnsi="Garamond"/>
        </w:rPr>
        <w:lastRenderedPageBreak/>
        <w:t xml:space="preserve">The digital turn similarly reframes methodology, with hypertextual projects such as the </w:t>
      </w:r>
      <w:r w:rsidRPr="00C50750">
        <w:rPr>
          <w:rFonts w:ascii="Garamond" w:hAnsi="Garamond"/>
          <w:i/>
          <w:iCs/>
        </w:rPr>
        <w:t>Canterbury Tales Project</w:t>
      </w:r>
      <w:r w:rsidRPr="00C50750">
        <w:rPr>
          <w:rFonts w:ascii="Garamond" w:hAnsi="Garamond"/>
        </w:rPr>
        <w:t xml:space="preserve"> demonstrating how digital visualization reveals textual instability and multiplicity. Meanwhile, the affective and ethical turns challenge traditions of detached critique by emphasizing embodied response, affective resonance, and moral responsibility in acts of reading. Collectively, these shifts reveal English Studies as a dynamic, interdisciplinary field that evolves to address the critical concerns of the twenty-first century.</w:t>
      </w:r>
    </w:p>
    <w:p w:rsidR="006B7FCA" w:rsidRPr="00C50750" w:rsidRDefault="006B7FCA" w:rsidP="006B7FCA">
      <w:pPr>
        <w:spacing w:line="360" w:lineRule="auto"/>
        <w:rPr>
          <w:rFonts w:ascii="Garamond" w:hAnsi="Garamond"/>
        </w:rPr>
      </w:pPr>
      <w:r w:rsidRPr="00C50750">
        <w:rPr>
          <w:rFonts w:ascii="Garamond" w:hAnsi="Garamond"/>
          <w:b/>
          <w:bCs/>
        </w:rPr>
        <w:t>RQ2</w:t>
      </w:r>
      <w:r w:rsidRPr="00C50750">
        <w:rPr>
          <w:rFonts w:ascii="Garamond" w:hAnsi="Garamond"/>
        </w:rPr>
        <w:t xml:space="preserve">: Canonical and contemporary texts acquire renewed interpretive richness when examined through these epistemological turns. Shakespeare’s </w:t>
      </w:r>
      <w:r w:rsidRPr="00C50750">
        <w:rPr>
          <w:rFonts w:ascii="Garamond" w:hAnsi="Garamond"/>
          <w:i/>
          <w:iCs/>
        </w:rPr>
        <w:t>The Tempest</w:t>
      </w:r>
      <w:r w:rsidRPr="00C50750">
        <w:rPr>
          <w:rFonts w:ascii="Garamond" w:hAnsi="Garamond"/>
        </w:rPr>
        <w:t xml:space="preserve">, long taught as a Renaissance romance, is reconceptualized through the cultural and postcolonial turns as an allegory of power, race, and resistance, with Caliban emerging as a complex representation of the colonized subject. Similarly, Eliot’s </w:t>
      </w:r>
      <w:r w:rsidRPr="00C50750">
        <w:rPr>
          <w:rFonts w:ascii="Garamond" w:hAnsi="Garamond"/>
          <w:i/>
          <w:iCs/>
        </w:rPr>
        <w:t>The Waste Land</w:t>
      </w:r>
      <w:r w:rsidRPr="00C50750">
        <w:rPr>
          <w:rFonts w:ascii="Garamond" w:hAnsi="Garamond"/>
        </w:rPr>
        <w:t xml:space="preserve">, once interpreted through a search for unifying symbolism, becomes exemplary of poststructuralist indeterminacy, </w:t>
      </w:r>
      <w:r w:rsidR="00924884" w:rsidRPr="00C50750">
        <w:rPr>
          <w:rFonts w:ascii="Garamond" w:hAnsi="Garamond"/>
        </w:rPr>
        <w:t xml:space="preserve">and </w:t>
      </w:r>
      <w:r w:rsidRPr="00C50750">
        <w:rPr>
          <w:rFonts w:ascii="Garamond" w:hAnsi="Garamond"/>
        </w:rPr>
        <w:t>demonstrat</w:t>
      </w:r>
      <w:r w:rsidR="00924884" w:rsidRPr="00C50750">
        <w:rPr>
          <w:rFonts w:ascii="Garamond" w:hAnsi="Garamond"/>
        </w:rPr>
        <w:t>es</w:t>
      </w:r>
      <w:r w:rsidRPr="00C50750">
        <w:rPr>
          <w:rFonts w:ascii="Garamond" w:hAnsi="Garamond"/>
        </w:rPr>
        <w:t xml:space="preserve"> the ways language resists closure and proliferates meaning. Modern and postcolonial works also benefit from such reorientation: Achebe’s </w:t>
      </w:r>
      <w:r w:rsidRPr="00C50750">
        <w:rPr>
          <w:rFonts w:ascii="Garamond" w:hAnsi="Garamond"/>
          <w:i/>
          <w:iCs/>
        </w:rPr>
        <w:t>Things Fall Apart</w:t>
      </w:r>
      <w:r w:rsidRPr="00C50750">
        <w:rPr>
          <w:rFonts w:ascii="Garamond" w:hAnsi="Garamond"/>
        </w:rPr>
        <w:t xml:space="preserve"> destabilizes colonial narratives by centring Igbo epistemologies while Morrison’s </w:t>
      </w:r>
      <w:r w:rsidRPr="00C50750">
        <w:rPr>
          <w:rFonts w:ascii="Garamond" w:hAnsi="Garamond"/>
          <w:i/>
          <w:iCs/>
        </w:rPr>
        <w:t>Beloved</w:t>
      </w:r>
      <w:r w:rsidRPr="00C50750">
        <w:rPr>
          <w:rFonts w:ascii="Garamond" w:hAnsi="Garamond"/>
        </w:rPr>
        <w:t xml:space="preserve">, interpreted through the affective turn, foregrounds the emotional, corporeal, and intergenerational trauma of slavery. Atwood’s </w:t>
      </w:r>
      <w:r w:rsidRPr="00C50750">
        <w:rPr>
          <w:rFonts w:ascii="Garamond" w:hAnsi="Garamond"/>
          <w:i/>
          <w:iCs/>
        </w:rPr>
        <w:t>Oryx and Crake</w:t>
      </w:r>
      <w:r w:rsidRPr="00C50750">
        <w:rPr>
          <w:rFonts w:ascii="Garamond" w:hAnsi="Garamond"/>
        </w:rPr>
        <w:t xml:space="preserve"> and Ghosh’s </w:t>
      </w:r>
      <w:r w:rsidRPr="00C50750">
        <w:rPr>
          <w:rFonts w:ascii="Garamond" w:hAnsi="Garamond"/>
          <w:i/>
          <w:iCs/>
        </w:rPr>
        <w:t>The Hungry Tide</w:t>
      </w:r>
      <w:r w:rsidRPr="00C50750">
        <w:rPr>
          <w:rFonts w:ascii="Garamond" w:hAnsi="Garamond"/>
        </w:rPr>
        <w:t xml:space="preserve"> further reflect the posthuman and ecological turns by illustrating how human existence is entangled with technological systems and fragile environments. These turns do not merely add interpretive layers but reposition literary texts as urgent interventions in cultural, ethical, and ecological discourses.</w:t>
      </w:r>
    </w:p>
    <w:p w:rsidR="006B7FCA" w:rsidRPr="00C50750" w:rsidRDefault="006B7FCA" w:rsidP="006B7FCA">
      <w:pPr>
        <w:spacing w:line="360" w:lineRule="auto"/>
        <w:rPr>
          <w:rFonts w:ascii="Garamond" w:hAnsi="Garamond"/>
        </w:rPr>
      </w:pPr>
      <w:r w:rsidRPr="00C50750">
        <w:rPr>
          <w:rFonts w:ascii="Garamond" w:hAnsi="Garamond"/>
          <w:b/>
          <w:bCs/>
        </w:rPr>
        <w:t>RQ3</w:t>
      </w:r>
      <w:r w:rsidRPr="00C50750">
        <w:rPr>
          <w:rFonts w:ascii="Garamond" w:hAnsi="Garamond"/>
        </w:rPr>
        <w:t xml:space="preserve">: The incorporation of these theoretical frameworks into curriculum and pedagogy transforms the education of English majors into an exercise in intellectual flexibility and interdisciplinary </w:t>
      </w:r>
      <w:r w:rsidR="00924884" w:rsidRPr="00C50750">
        <w:rPr>
          <w:rFonts w:ascii="Garamond" w:hAnsi="Garamond"/>
        </w:rPr>
        <w:t>e</w:t>
      </w:r>
      <w:r w:rsidRPr="00C50750">
        <w:rPr>
          <w:rFonts w:ascii="Garamond" w:hAnsi="Garamond"/>
        </w:rPr>
        <w:t xml:space="preserve">nquiry. Students are encouraged not only to analyse narrative structures or themes but also to interrogate questions of power, identity, affect, and ethics across disciplinary contexts. Reading </w:t>
      </w:r>
      <w:r w:rsidRPr="00C50750">
        <w:rPr>
          <w:rFonts w:ascii="Garamond" w:hAnsi="Garamond"/>
          <w:i/>
          <w:iCs/>
        </w:rPr>
        <w:t>The Tempest</w:t>
      </w:r>
      <w:r w:rsidRPr="00C50750">
        <w:rPr>
          <w:rFonts w:ascii="Garamond" w:hAnsi="Garamond"/>
        </w:rPr>
        <w:t xml:space="preserve"> alongside postcolonial theory or engaging Morrison’s </w:t>
      </w:r>
      <w:r w:rsidRPr="00C50750">
        <w:rPr>
          <w:rFonts w:ascii="Garamond" w:hAnsi="Garamond"/>
          <w:i/>
          <w:iCs/>
        </w:rPr>
        <w:t>Beloved</w:t>
      </w:r>
      <w:r w:rsidRPr="00C50750">
        <w:rPr>
          <w:rFonts w:ascii="Garamond" w:hAnsi="Garamond"/>
        </w:rPr>
        <w:t xml:space="preserve"> through affect studies prompts students to consider how texts operate in the world and shape readerly perception. Interdisciplinary connections—linking literary study with trauma theory, ecocritical analysis, or digital humanities—expose students to broader domains of </w:t>
      </w:r>
      <w:r w:rsidR="00924884" w:rsidRPr="00C50750">
        <w:rPr>
          <w:rFonts w:ascii="Garamond" w:hAnsi="Garamond"/>
        </w:rPr>
        <w:t>e</w:t>
      </w:r>
      <w:r w:rsidRPr="00C50750">
        <w:rPr>
          <w:rFonts w:ascii="Garamond" w:hAnsi="Garamond"/>
        </w:rPr>
        <w:t xml:space="preserve">nquiry and cultivate methodological adaptability. The global turn, in particular, fosters cosmopolitan awareness by illustrating how texts such as Arundhati Roy’s </w:t>
      </w:r>
      <w:r w:rsidRPr="00C50750">
        <w:rPr>
          <w:rFonts w:ascii="Garamond" w:hAnsi="Garamond"/>
          <w:i/>
          <w:iCs/>
        </w:rPr>
        <w:t>The God of Small Things</w:t>
      </w:r>
      <w:r w:rsidRPr="00C50750">
        <w:rPr>
          <w:rFonts w:ascii="Garamond" w:hAnsi="Garamond"/>
        </w:rPr>
        <w:t xml:space="preserve"> or Achebe’s </w:t>
      </w:r>
      <w:r w:rsidRPr="00C50750">
        <w:rPr>
          <w:rFonts w:ascii="Garamond" w:hAnsi="Garamond"/>
          <w:i/>
          <w:iCs/>
        </w:rPr>
        <w:t>Things Fall Apart</w:t>
      </w:r>
      <w:r w:rsidRPr="00C50750">
        <w:rPr>
          <w:rFonts w:ascii="Garamond" w:hAnsi="Garamond"/>
        </w:rPr>
        <w:t xml:space="preserve"> foreground the entanglement of local histories with global readerships. Through these engagements, English majors develop a critical, reflexive, and globally attuned intellectual formation appropriate for a digitized and interconnected contemporary world.</w:t>
      </w:r>
    </w:p>
    <w:p w:rsidR="00925D5B" w:rsidRPr="00C50750" w:rsidRDefault="006B7FCA" w:rsidP="006B7FCA">
      <w:pPr>
        <w:spacing w:line="360" w:lineRule="auto"/>
        <w:rPr>
          <w:rFonts w:ascii="Garamond" w:hAnsi="Garamond"/>
        </w:rPr>
      </w:pPr>
      <w:r w:rsidRPr="00C50750">
        <w:rPr>
          <w:rFonts w:ascii="Garamond" w:hAnsi="Garamond"/>
          <w:b/>
          <w:bCs/>
        </w:rPr>
        <w:lastRenderedPageBreak/>
        <w:t>RQ4</w:t>
      </w:r>
      <w:r w:rsidRPr="00C50750">
        <w:rPr>
          <w:rFonts w:ascii="Garamond" w:hAnsi="Garamond"/>
        </w:rPr>
        <w:t xml:space="preserve">: Taken together, these theoretical turns ensure that English Studies continues to function as a “living discipline,” responsive to cultural, political, environmental, and technological transformations. Postcolonial and cultural turns sustain the discipline’s commitment to interrogating colonial legacies and articulating marginalized perspectives. The green and blue turns directly address ecological precarity by integrating environmental crises and oceanic imaginaries into literary interpretation, </w:t>
      </w:r>
      <w:r w:rsidR="00924884" w:rsidRPr="00C50750">
        <w:rPr>
          <w:rFonts w:ascii="Garamond" w:hAnsi="Garamond"/>
        </w:rPr>
        <w:t xml:space="preserve">and </w:t>
      </w:r>
      <w:r w:rsidRPr="00C50750">
        <w:rPr>
          <w:rFonts w:ascii="Garamond" w:hAnsi="Garamond"/>
        </w:rPr>
        <w:t>thereby</w:t>
      </w:r>
      <w:r w:rsidR="00924884" w:rsidRPr="00C50750">
        <w:rPr>
          <w:rFonts w:ascii="Garamond" w:hAnsi="Garamond"/>
        </w:rPr>
        <w:t>,</w:t>
      </w:r>
      <w:r w:rsidRPr="00C50750">
        <w:rPr>
          <w:rFonts w:ascii="Garamond" w:hAnsi="Garamond"/>
        </w:rPr>
        <w:t xml:space="preserve"> cultivat</w:t>
      </w:r>
      <w:r w:rsidR="00924884" w:rsidRPr="00C50750">
        <w:rPr>
          <w:rFonts w:ascii="Garamond" w:hAnsi="Garamond"/>
        </w:rPr>
        <w:t>e</w:t>
      </w:r>
      <w:r w:rsidRPr="00C50750">
        <w:rPr>
          <w:rFonts w:ascii="Garamond" w:hAnsi="Garamond"/>
        </w:rPr>
        <w:t xml:space="preserve"> ecological consciousness and responsibility. The digital turn responds to evolving technological landscapes by adapting scholarly practices to new modes of textual production, circulation, and reception. The ethical and vulnerability turns further position literature as a space for negotiating moral dilemmas and collective fragilities in an era marked by precarity. In this sense, English Studies extends beyond academic analysis to engage meaningfully with global challenges—ranging from climate change to digital ethics—thereby reinforcing its civic and cultural relevance. Ultimately, ongoing epistemological shifts reframe the discipline not simply as a scholarly pursuit but as a vital cultural practice through which individuals interpret the present and imagine possible futures.</w:t>
      </w:r>
    </w:p>
    <w:p w:rsidR="00924884" w:rsidRPr="00C50750" w:rsidRDefault="00F53DD4" w:rsidP="006B7FCA">
      <w:pPr>
        <w:spacing w:line="360" w:lineRule="auto"/>
        <w:rPr>
          <w:rFonts w:ascii="Garamond" w:hAnsi="Garamond"/>
          <w:b/>
          <w:bCs/>
        </w:rPr>
      </w:pPr>
      <w:r w:rsidRPr="00C50750">
        <w:rPr>
          <w:rFonts w:ascii="Garamond" w:hAnsi="Garamond"/>
          <w:b/>
          <w:bCs/>
        </w:rPr>
        <w:t>5.3 Limitations of the Present Study</w:t>
      </w:r>
    </w:p>
    <w:p w:rsidR="00751C29" w:rsidRPr="00C50750" w:rsidRDefault="00751C29" w:rsidP="00751C29">
      <w:pPr>
        <w:spacing w:line="360" w:lineRule="auto"/>
        <w:rPr>
          <w:rFonts w:ascii="Garamond" w:hAnsi="Garamond"/>
        </w:rPr>
      </w:pPr>
      <w:r w:rsidRPr="00C50750">
        <w:rPr>
          <w:rFonts w:ascii="Garamond" w:hAnsi="Garamond"/>
        </w:rPr>
        <w:t>Despite offering a substantial qualitative and interpretive account of recent epistemological turns within English Studies, the present study acknowledges several limitations. First, the analysis is grounded exclusively in critical-theoretical synthesis and textual illustration, without incorporating empirical methods such as surveys, interviews, or classroom-based observations. Consequently, the pedagogical implications advanced here—regarding the development of English majors’ interdisciplinary awareness, critical sensibilities, and ethical engagement—remain speculative rather than empirically substantiated.</w:t>
      </w:r>
    </w:p>
    <w:p w:rsidR="00751C29" w:rsidRPr="00C50750" w:rsidRDefault="00751C29" w:rsidP="00751C29">
      <w:pPr>
        <w:spacing w:line="360" w:lineRule="auto"/>
        <w:rPr>
          <w:rFonts w:ascii="Garamond" w:hAnsi="Garamond"/>
        </w:rPr>
      </w:pPr>
      <w:r w:rsidRPr="00C50750">
        <w:rPr>
          <w:rFonts w:ascii="Garamond" w:hAnsi="Garamond"/>
        </w:rPr>
        <w:t xml:space="preserve">     Second, the selection of literary texts, which includes canonical works such as </w:t>
      </w:r>
      <w:r w:rsidRPr="00C50750">
        <w:rPr>
          <w:rFonts w:ascii="Garamond" w:hAnsi="Garamond"/>
          <w:i/>
          <w:iCs/>
        </w:rPr>
        <w:t>The Tempest</w:t>
      </w:r>
      <w:r w:rsidRPr="00C50750">
        <w:rPr>
          <w:rFonts w:ascii="Garamond" w:hAnsi="Garamond"/>
        </w:rPr>
        <w:t xml:space="preserve"> and </w:t>
      </w:r>
      <w:r w:rsidRPr="00C50750">
        <w:rPr>
          <w:rFonts w:ascii="Garamond" w:hAnsi="Garamond"/>
          <w:i/>
          <w:iCs/>
        </w:rPr>
        <w:t>The Waste Land</w:t>
      </w:r>
      <w:r w:rsidRPr="00C50750">
        <w:rPr>
          <w:rFonts w:ascii="Garamond" w:hAnsi="Garamond"/>
        </w:rPr>
        <w:t xml:space="preserve"> alongside postcolonial and contemporary texts such as Beloved, </w:t>
      </w:r>
      <w:r w:rsidRPr="00C50750">
        <w:rPr>
          <w:rFonts w:ascii="Garamond" w:hAnsi="Garamond"/>
          <w:i/>
          <w:iCs/>
        </w:rPr>
        <w:t>Things Fall Apart</w:t>
      </w:r>
      <w:r w:rsidRPr="00C50750">
        <w:rPr>
          <w:rFonts w:ascii="Garamond" w:hAnsi="Garamond"/>
        </w:rPr>
        <w:t xml:space="preserve">, </w:t>
      </w:r>
      <w:r w:rsidRPr="00C50750">
        <w:rPr>
          <w:rFonts w:ascii="Garamond" w:hAnsi="Garamond"/>
          <w:i/>
          <w:iCs/>
        </w:rPr>
        <w:t>Oryx and Crake</w:t>
      </w:r>
      <w:r w:rsidRPr="00C50750">
        <w:rPr>
          <w:rFonts w:ascii="Garamond" w:hAnsi="Garamond"/>
        </w:rPr>
        <w:t xml:space="preserve">, </w:t>
      </w:r>
      <w:r w:rsidRPr="00C50750">
        <w:rPr>
          <w:rFonts w:ascii="Garamond" w:hAnsi="Garamond"/>
          <w:i/>
          <w:iCs/>
        </w:rPr>
        <w:t>The Hungry Tide</w:t>
      </w:r>
      <w:r w:rsidRPr="00C50750">
        <w:rPr>
          <w:rFonts w:ascii="Garamond" w:hAnsi="Garamond"/>
        </w:rPr>
        <w:t xml:space="preserve">, </w:t>
      </w:r>
      <w:r w:rsidRPr="00C50750">
        <w:rPr>
          <w:rFonts w:ascii="Garamond" w:hAnsi="Garamond"/>
          <w:i/>
          <w:iCs/>
        </w:rPr>
        <w:t>Never Let Me Go</w:t>
      </w:r>
      <w:r w:rsidRPr="00C50750">
        <w:rPr>
          <w:rFonts w:ascii="Garamond" w:hAnsi="Garamond"/>
        </w:rPr>
        <w:t xml:space="preserve">, and </w:t>
      </w:r>
      <w:r w:rsidRPr="00C50750">
        <w:rPr>
          <w:rFonts w:ascii="Garamond" w:hAnsi="Garamond"/>
          <w:i/>
          <w:iCs/>
        </w:rPr>
        <w:t>The God of Small Things</w:t>
      </w:r>
      <w:r w:rsidRPr="00C50750">
        <w:rPr>
          <w:rFonts w:ascii="Garamond" w:hAnsi="Garamond"/>
        </w:rPr>
        <w:t>, is inherently selective. Although these texts effectively demonstrate the applicability of various epistemological turns, the exclusion of other works that might provide divergent or competing perspectives limits the breadth of the analysis.</w:t>
      </w:r>
    </w:p>
    <w:p w:rsidR="00751C29" w:rsidRPr="00C50750" w:rsidRDefault="00751C29" w:rsidP="00751C29">
      <w:pPr>
        <w:spacing w:line="360" w:lineRule="auto"/>
        <w:rPr>
          <w:rFonts w:ascii="Garamond" w:hAnsi="Garamond"/>
        </w:rPr>
      </w:pPr>
      <w:r w:rsidRPr="00C50750">
        <w:rPr>
          <w:rFonts w:ascii="Garamond" w:hAnsi="Garamond"/>
        </w:rPr>
        <w:t xml:space="preserve">     Third, the study centres on a defined set of theoretical turns—namely the animal, plant, affective, ethical, digital, global, green, blue, linguistic, and vulnerability turns. While these represent significant developments in current scholarship, other emerging turns, such as the spatial, archival, or medical turns, are acknowledged but not examined. Their omission leaves aspects of the evolving intellectual terrain of English Studies unexplored.</w:t>
      </w:r>
    </w:p>
    <w:p w:rsidR="00751C29" w:rsidRPr="00C50750" w:rsidRDefault="00751C29" w:rsidP="00751C29">
      <w:pPr>
        <w:spacing w:line="360" w:lineRule="auto"/>
        <w:rPr>
          <w:rFonts w:ascii="Garamond" w:hAnsi="Garamond"/>
        </w:rPr>
      </w:pPr>
      <w:r w:rsidRPr="00C50750">
        <w:rPr>
          <w:rFonts w:ascii="Garamond" w:hAnsi="Garamond"/>
        </w:rPr>
        <w:lastRenderedPageBreak/>
        <w:t xml:space="preserve">     Fourth, the interdisciplinary orientation of the study, drawing on insights from philosophy, ecology, psychology, cultural studies, and digital media, while intellectually productive, also introduces interpretive challenges. The integration of diverse disciplinary frameworks risks overgeneralization or uneven representation, particularly where theoretical constructs extend beyond the conventional boundaries of literary studies.</w:t>
      </w:r>
    </w:p>
    <w:p w:rsidR="00F53DD4" w:rsidRPr="00C50750" w:rsidRDefault="00751C29" w:rsidP="00751C29">
      <w:pPr>
        <w:spacing w:line="360" w:lineRule="auto"/>
        <w:rPr>
          <w:rFonts w:ascii="Garamond" w:hAnsi="Garamond"/>
        </w:rPr>
      </w:pPr>
      <w:r w:rsidRPr="00C50750">
        <w:rPr>
          <w:rFonts w:ascii="Garamond" w:hAnsi="Garamond"/>
        </w:rPr>
        <w:t xml:space="preserve">     Finally, the temporal scope of the scholarship reviewed is limited to works published between 2000 and 2025. Although this range captures the most recent theoretical developments, it may inadvertently overlook earlier foundational contributions or emerging post-2025 scholarship that could further inform or complicate the understanding of epistemological shifts within the discipline.</w:t>
      </w:r>
    </w:p>
    <w:p w:rsidR="00751C29" w:rsidRPr="00C50750" w:rsidRDefault="00751C29" w:rsidP="00751C29">
      <w:pPr>
        <w:spacing w:line="360" w:lineRule="auto"/>
        <w:rPr>
          <w:rFonts w:ascii="Garamond" w:hAnsi="Garamond"/>
          <w:b/>
          <w:bCs/>
        </w:rPr>
      </w:pPr>
      <w:r w:rsidRPr="00C50750">
        <w:rPr>
          <w:rFonts w:ascii="Garamond" w:hAnsi="Garamond"/>
          <w:b/>
          <w:bCs/>
        </w:rPr>
        <w:t>5.4 Scope for Further Study</w:t>
      </w:r>
    </w:p>
    <w:p w:rsidR="00751C29" w:rsidRPr="00C50750" w:rsidRDefault="00751C29" w:rsidP="00751C29">
      <w:pPr>
        <w:spacing w:line="360" w:lineRule="auto"/>
        <w:rPr>
          <w:rFonts w:ascii="Garamond" w:hAnsi="Garamond"/>
        </w:rPr>
      </w:pPr>
      <w:r w:rsidRPr="00C50750">
        <w:rPr>
          <w:rFonts w:ascii="Garamond" w:hAnsi="Garamond"/>
        </w:rPr>
        <w:t>The present study identifies several promising directions for future enquiry. First, empirical research is needed to substantiate the pedagogical implications proposed here. Studies employing classroom observations, surveys, experimental designs, or longitudinal methods could more rigorously assess how sustained engagement with contemporary epistemological turns influences English majors’ critical thinking, interdisciplinary competence, and ethical awareness. Such empirical validation would strengthen the claims advanced in this study and contribute to evidence-based pedagogical practice.</w:t>
      </w:r>
    </w:p>
    <w:p w:rsidR="00751C29" w:rsidRPr="00C50750" w:rsidRDefault="00751C29" w:rsidP="00751C29">
      <w:pPr>
        <w:spacing w:line="360" w:lineRule="auto"/>
        <w:rPr>
          <w:rFonts w:ascii="Garamond" w:hAnsi="Garamond"/>
        </w:rPr>
      </w:pPr>
      <w:r w:rsidRPr="00C50750">
        <w:rPr>
          <w:rFonts w:ascii="Garamond" w:hAnsi="Garamond"/>
        </w:rPr>
        <w:t xml:space="preserve">     Second, future research may expand the literary corpus to encompass a broader range of linguistic, cultural, and geographic traditions. The inclusion of additional canonical, contemporary, Indigenous, and non-Western texts would enable a more comprehensive examination of how epistemological turns manifest across diverse literary cultures and intellectual histories. Such an expanded corpus could also illuminate variations, convergences, or resistances in the global reception of these theoretical developments.</w:t>
      </w:r>
    </w:p>
    <w:p w:rsidR="00751C29" w:rsidRPr="00C50750" w:rsidRDefault="00751C29" w:rsidP="00751C29">
      <w:pPr>
        <w:spacing w:line="360" w:lineRule="auto"/>
        <w:rPr>
          <w:rFonts w:ascii="Garamond" w:hAnsi="Garamond"/>
        </w:rPr>
      </w:pPr>
      <w:r w:rsidRPr="00C50750">
        <w:rPr>
          <w:rFonts w:ascii="Garamond" w:hAnsi="Garamond"/>
        </w:rPr>
        <w:t xml:space="preserve">     Third, further scholarship could incorporate additional epistemological turns—such as the spatial, archival, medical, infrastructural, or energy turns—which remained beyond the scope of the present analysis. Engaging with these emerging frameworks would yield a fuller understanding of the evolving conceptual terrain of English Studies and its responsiveness to wider intellectual and societal transformations.</w:t>
      </w:r>
    </w:p>
    <w:p w:rsidR="00751C29" w:rsidRPr="00C50750" w:rsidRDefault="00751C29" w:rsidP="00751C29">
      <w:pPr>
        <w:spacing w:line="360" w:lineRule="auto"/>
        <w:rPr>
          <w:rFonts w:ascii="Garamond" w:hAnsi="Garamond"/>
        </w:rPr>
      </w:pPr>
      <w:r w:rsidRPr="00C50750">
        <w:rPr>
          <w:rFonts w:ascii="Garamond" w:hAnsi="Garamond"/>
        </w:rPr>
        <w:t xml:space="preserve">     Fourth, comparative analyses examining the differential impact of single versus intersecting epistemological turns offer another productive line of inquiry. Investigating how individual turns interact, converge, or generate interpretive tensions could deepen understanding of the theoretical pluralism that characterizes English Studies as a “living discipline.” Such studies may </w:t>
      </w:r>
      <w:r w:rsidRPr="00C50750">
        <w:rPr>
          <w:rFonts w:ascii="Garamond" w:hAnsi="Garamond"/>
        </w:rPr>
        <w:lastRenderedPageBreak/>
        <w:t>reveal whether certain turns reinforce or complicate one another and how their interplay shapes interpretive outcomes.</w:t>
      </w:r>
    </w:p>
    <w:p w:rsidR="00751C29" w:rsidRPr="00C50750" w:rsidRDefault="00751C29" w:rsidP="00751C29">
      <w:pPr>
        <w:spacing w:line="360" w:lineRule="auto"/>
        <w:rPr>
          <w:rFonts w:ascii="Garamond" w:hAnsi="Garamond"/>
        </w:rPr>
      </w:pPr>
      <w:r w:rsidRPr="00C50750">
        <w:rPr>
          <w:rFonts w:ascii="Garamond" w:hAnsi="Garamond"/>
        </w:rPr>
        <w:t xml:space="preserve">     Last, interdisciplinary collaboration represents a significant avenue for future research. Integrating literary analysis with empirical and theoretical work in ecology, digital media studies, psychology, cognitive science, philosophy, or cultural anthropology could produce richer and more multidimensional accounts of literature and its functions. Such collaborations would further demonstrate the adaptability of English Studies and its capacity to engage with contemporary cultural, ethical, and technological challenges in a rigorous and intellectually expansive manner.</w:t>
      </w:r>
    </w:p>
    <w:p w:rsidR="00751C29" w:rsidRPr="00C50750" w:rsidRDefault="00751C29" w:rsidP="00751C29">
      <w:pPr>
        <w:spacing w:line="360" w:lineRule="auto"/>
        <w:rPr>
          <w:rFonts w:ascii="Garamond" w:hAnsi="Garamond"/>
          <w:b/>
          <w:bCs/>
        </w:rPr>
      </w:pPr>
      <w:r w:rsidRPr="00C50750">
        <w:rPr>
          <w:rFonts w:ascii="Garamond" w:hAnsi="Garamond"/>
          <w:b/>
          <w:bCs/>
        </w:rPr>
        <w:t>5.5 Pedagogical Implications of the Study</w:t>
      </w:r>
    </w:p>
    <w:p w:rsidR="00751C29" w:rsidRPr="00C50750" w:rsidRDefault="00751C29" w:rsidP="00751C29">
      <w:pPr>
        <w:spacing w:line="360" w:lineRule="auto"/>
        <w:rPr>
          <w:rFonts w:ascii="Garamond" w:hAnsi="Garamond"/>
        </w:rPr>
      </w:pPr>
      <w:r w:rsidRPr="00C50750">
        <w:rPr>
          <w:rFonts w:ascii="Garamond" w:hAnsi="Garamond"/>
        </w:rPr>
        <w:t>To begin with, the findings of this study offer significant pedagogical implications for the teaching and learning of English Studies at both undergraduate and postgraduate levels. By demonstrating how a constellation of epistemological turns reshapes disciplinary practices, the study underscores the potential for a more dynamic, interdisciplinary, and ethically grounded pedagogical framework.</w:t>
      </w:r>
    </w:p>
    <w:p w:rsidR="00751C29" w:rsidRPr="00C50750" w:rsidRDefault="00751C29" w:rsidP="00751C29">
      <w:pPr>
        <w:spacing w:line="360" w:lineRule="auto"/>
        <w:rPr>
          <w:rFonts w:ascii="Garamond" w:hAnsi="Garamond"/>
        </w:rPr>
      </w:pPr>
      <w:r w:rsidRPr="00C50750">
        <w:rPr>
          <w:rFonts w:ascii="Garamond" w:hAnsi="Garamond"/>
        </w:rPr>
        <w:t xml:space="preserve">     Further, exposure to diverse theoretical perspectives enables students to engage critically with texts rather than relying on singular or monolithic interpretations. For example, reading Shakespeare’s </w:t>
      </w:r>
      <w:r w:rsidRPr="00C50750">
        <w:rPr>
          <w:rFonts w:ascii="Garamond" w:hAnsi="Garamond"/>
          <w:i/>
          <w:iCs/>
        </w:rPr>
        <w:t>The Tempest</w:t>
      </w:r>
      <w:r w:rsidRPr="00C50750">
        <w:rPr>
          <w:rFonts w:ascii="Garamond" w:hAnsi="Garamond"/>
        </w:rPr>
        <w:t xml:space="preserve"> through ecological and postcolonial frameworks encourages reflection on human–environment interactions and colonial histories, thereby fostering nuanced analytical competencies. Similarly, affective readings of Eliot’s </w:t>
      </w:r>
      <w:r w:rsidRPr="00C50750">
        <w:rPr>
          <w:rFonts w:ascii="Garamond" w:hAnsi="Garamond"/>
          <w:i/>
          <w:iCs/>
        </w:rPr>
        <w:t>The Waste Land</w:t>
      </w:r>
      <w:r w:rsidRPr="00C50750">
        <w:rPr>
          <w:rFonts w:ascii="Garamond" w:hAnsi="Garamond"/>
        </w:rPr>
        <w:t xml:space="preserve"> cultivate sensitivity to the emotional and psychological dimensions of literary expression, enhancing students’ interpretive sophistication.</w:t>
      </w:r>
    </w:p>
    <w:p w:rsidR="00751C29" w:rsidRPr="00C50750" w:rsidRDefault="00751C29" w:rsidP="00751C29">
      <w:pPr>
        <w:spacing w:line="360" w:lineRule="auto"/>
        <w:rPr>
          <w:rFonts w:ascii="Garamond" w:hAnsi="Garamond"/>
        </w:rPr>
      </w:pPr>
      <w:r w:rsidRPr="00C50750">
        <w:rPr>
          <w:rFonts w:ascii="Garamond" w:hAnsi="Garamond"/>
        </w:rPr>
        <w:t xml:space="preserve">     In addition, the study highlights the pedagogical value of integrating insights from ecology, philosophy, psychology, digital media, and cultural studies into the analysis of literary texts. Such interdisciplinarity allows learners to appreciate literature not merely as an aesthetic object but also as a medium deeply entangled with social, ethical, and technological discourses. Texts like Margaret Atwood’s </w:t>
      </w:r>
      <w:r w:rsidRPr="00C50750">
        <w:rPr>
          <w:rFonts w:ascii="Garamond" w:hAnsi="Garamond"/>
          <w:i/>
          <w:iCs/>
        </w:rPr>
        <w:t>Oryx and Crake</w:t>
      </w:r>
      <w:r w:rsidRPr="00C50750">
        <w:rPr>
          <w:rFonts w:ascii="Garamond" w:hAnsi="Garamond"/>
        </w:rPr>
        <w:t xml:space="preserve"> exemplify how speculative fiction engages with bioethics and digital culture, and thereby illustrate the relevance of cross-disciplinary literacy for contemporary literary studies.</w:t>
      </w:r>
    </w:p>
    <w:p w:rsidR="00751C29" w:rsidRPr="00C50750" w:rsidRDefault="00751C29" w:rsidP="00751C29">
      <w:pPr>
        <w:spacing w:line="360" w:lineRule="auto"/>
        <w:rPr>
          <w:rFonts w:ascii="Garamond" w:hAnsi="Garamond"/>
        </w:rPr>
      </w:pPr>
      <w:r w:rsidRPr="00C50750">
        <w:rPr>
          <w:rFonts w:ascii="Garamond" w:hAnsi="Garamond"/>
        </w:rPr>
        <w:t xml:space="preserve">     Moreover, examining literary works through the ethical, vulnerability, and global turns promotes sustained engagement with urgent societal concerns. Toni Morrison’s </w:t>
      </w:r>
      <w:r w:rsidRPr="00C50750">
        <w:rPr>
          <w:rFonts w:ascii="Garamond" w:hAnsi="Garamond"/>
          <w:i/>
          <w:iCs/>
        </w:rPr>
        <w:t>Beloved</w:t>
      </w:r>
      <w:r w:rsidRPr="00C50750">
        <w:rPr>
          <w:rFonts w:ascii="Garamond" w:hAnsi="Garamond"/>
        </w:rPr>
        <w:t xml:space="preserve"> and Achebe’s </w:t>
      </w:r>
      <w:r w:rsidRPr="00C50750">
        <w:rPr>
          <w:rFonts w:ascii="Garamond" w:hAnsi="Garamond"/>
          <w:i/>
          <w:iCs/>
        </w:rPr>
        <w:t>Things Fall Apart</w:t>
      </w:r>
      <w:r w:rsidRPr="00C50750">
        <w:rPr>
          <w:rFonts w:ascii="Garamond" w:hAnsi="Garamond"/>
        </w:rPr>
        <w:t xml:space="preserve">, for example, illuminate histories of oppression, trauma, and cultural disruption, and prompt students to confront complex moral and ethical questions. This form of </w:t>
      </w:r>
      <w:r w:rsidRPr="00C50750">
        <w:rPr>
          <w:rFonts w:ascii="Garamond" w:hAnsi="Garamond"/>
        </w:rPr>
        <w:lastRenderedPageBreak/>
        <w:t>engagement cultivates socially responsible readers who can situate literary texts within wider ethical and cultural debates.</w:t>
      </w:r>
    </w:p>
    <w:p w:rsidR="00751C29" w:rsidRPr="00C50750" w:rsidRDefault="00751C29" w:rsidP="00751C29">
      <w:pPr>
        <w:spacing w:line="360" w:lineRule="auto"/>
        <w:rPr>
          <w:rFonts w:ascii="Garamond" w:hAnsi="Garamond"/>
        </w:rPr>
      </w:pPr>
      <w:r w:rsidRPr="00C50750">
        <w:rPr>
          <w:rFonts w:ascii="Garamond" w:hAnsi="Garamond"/>
        </w:rPr>
        <w:t xml:space="preserve">     Equally important, the multiplicity of epistemological turns demonstrates that literary interpretation is inherently fluid rather than fixed or uniform. Such an understanding encourages adaptability and openness to interpretive plurality. Amitav Ghosh’s </w:t>
      </w:r>
      <w:r w:rsidRPr="00C50750">
        <w:rPr>
          <w:rFonts w:ascii="Garamond" w:hAnsi="Garamond"/>
          <w:i/>
          <w:iCs/>
        </w:rPr>
        <w:t>The Hungry Tide</w:t>
      </w:r>
      <w:r w:rsidRPr="00C50750">
        <w:rPr>
          <w:rFonts w:ascii="Garamond" w:hAnsi="Garamond"/>
        </w:rPr>
        <w:t>, when read through linguistic, ecological, and postcolonial lenses, illustrates how different frameworks can coexist productively to generate multidimensional insights. These pedagogical strategies prepare students to navigate complexity and ambiguity—skills essential to both academic inquiry and professional practice.</w:t>
      </w:r>
    </w:p>
    <w:p w:rsidR="00751C29" w:rsidRPr="00C50750" w:rsidRDefault="00751C29" w:rsidP="00751C29">
      <w:pPr>
        <w:spacing w:line="360" w:lineRule="auto"/>
        <w:rPr>
          <w:rFonts w:ascii="Garamond" w:hAnsi="Garamond"/>
        </w:rPr>
      </w:pPr>
      <w:r w:rsidRPr="00C50750">
        <w:rPr>
          <w:rFonts w:ascii="Garamond" w:hAnsi="Garamond"/>
        </w:rPr>
        <w:t xml:space="preserve">     In addition, the global turn foregrounds literature’s transnational dimensions by encouraging students to move beyond Eurocentric models of interpretation. Works such as </w:t>
      </w:r>
      <w:r w:rsidRPr="00C50750">
        <w:rPr>
          <w:rFonts w:ascii="Garamond" w:hAnsi="Garamond"/>
          <w:i/>
          <w:iCs/>
        </w:rPr>
        <w:t>Things Fall Apart</w:t>
      </w:r>
      <w:r w:rsidRPr="00C50750">
        <w:rPr>
          <w:rFonts w:ascii="Garamond" w:hAnsi="Garamond"/>
        </w:rPr>
        <w:t xml:space="preserve"> and Arundhati Roy’s </w:t>
      </w:r>
      <w:r w:rsidRPr="00C50750">
        <w:rPr>
          <w:rFonts w:ascii="Garamond" w:hAnsi="Garamond"/>
          <w:i/>
          <w:iCs/>
        </w:rPr>
        <w:t>The God of Small Things</w:t>
      </w:r>
      <w:r w:rsidRPr="00C50750">
        <w:rPr>
          <w:rFonts w:ascii="Garamond" w:hAnsi="Garamond"/>
        </w:rPr>
        <w:t xml:space="preserve"> enable learners to examine localised narratives within the context of global histories and interactions, fostering cultural sensitivity and global awareness. This orientation aligns with contemporary educational commitments to inclusivity, pluralism, and intercultural understanding.</w:t>
      </w:r>
    </w:p>
    <w:p w:rsidR="00751C29" w:rsidRPr="00C50750" w:rsidRDefault="00751C29" w:rsidP="00751C29">
      <w:pPr>
        <w:spacing w:line="360" w:lineRule="auto"/>
        <w:rPr>
          <w:rFonts w:ascii="Garamond" w:hAnsi="Garamond"/>
        </w:rPr>
      </w:pPr>
      <w:r w:rsidRPr="00C50750">
        <w:rPr>
          <w:rFonts w:ascii="Garamond" w:hAnsi="Garamond"/>
        </w:rPr>
        <w:t xml:space="preserve">     Subsequently, by applying various epistemological turns directly to textual analysis, the study shows how abstract theoretical frameworks can meaningfully inform concrete interpretive practices. This model demonstrates to students the reciprocal relationship between theory and analysis and equips them with the capacity to apply critical perspectives effectively in both academic and real-world contexts. For example, the plant and green turns, when applied to </w:t>
      </w:r>
      <w:r w:rsidRPr="00C50750">
        <w:rPr>
          <w:rFonts w:ascii="Garamond" w:hAnsi="Garamond"/>
          <w:i/>
          <w:iCs/>
        </w:rPr>
        <w:t xml:space="preserve">The Tempest </w:t>
      </w:r>
      <w:r w:rsidRPr="00C50750">
        <w:rPr>
          <w:rFonts w:ascii="Garamond" w:hAnsi="Garamond"/>
        </w:rPr>
        <w:t xml:space="preserve">or </w:t>
      </w:r>
      <w:r w:rsidRPr="00C50750">
        <w:rPr>
          <w:rFonts w:ascii="Garamond" w:hAnsi="Garamond"/>
          <w:i/>
          <w:iCs/>
        </w:rPr>
        <w:t>Beloved</w:t>
      </w:r>
      <w:r w:rsidRPr="00C50750">
        <w:rPr>
          <w:rFonts w:ascii="Garamond" w:hAnsi="Garamond"/>
        </w:rPr>
        <w:t>, reveal ethical and environmental implications that deepen interpretive and pedagogical engagement.</w:t>
      </w:r>
    </w:p>
    <w:p w:rsidR="00751C29" w:rsidRPr="00C50750" w:rsidRDefault="00751C29" w:rsidP="00751C29">
      <w:pPr>
        <w:spacing w:line="360" w:lineRule="auto"/>
        <w:rPr>
          <w:rFonts w:ascii="Garamond" w:hAnsi="Garamond"/>
        </w:rPr>
      </w:pPr>
      <w:r w:rsidRPr="00C50750">
        <w:rPr>
          <w:rFonts w:ascii="Garamond" w:hAnsi="Garamond"/>
        </w:rPr>
        <w:t xml:space="preserve">     Finally, engagement with multiple epistemological turns cultivates intellectual skills and sensibilities that are increasingly relevant in contemporary contexts marked by technological transformation, environmental crises, and social inequalities. By promoting critical, interdisciplinary, and ethically informed modes of reading, the study positions English Studies as a discipline that not only interprets literary narratives but also prepares students to engage thoughtfully and responsibly with broader global concerns.</w:t>
      </w:r>
    </w:p>
    <w:p w:rsidR="00751C29" w:rsidRPr="00C50750" w:rsidRDefault="00751C29" w:rsidP="00751C29">
      <w:pPr>
        <w:spacing w:line="360" w:lineRule="auto"/>
        <w:rPr>
          <w:rFonts w:ascii="Garamond" w:hAnsi="Garamond"/>
          <w:b/>
          <w:bCs/>
        </w:rPr>
      </w:pPr>
      <w:r w:rsidRPr="00C50750">
        <w:rPr>
          <w:rFonts w:ascii="Garamond" w:hAnsi="Garamond"/>
          <w:b/>
          <w:bCs/>
        </w:rPr>
        <w:t>6 Conclusions</w:t>
      </w:r>
    </w:p>
    <w:p w:rsidR="00751C29" w:rsidRPr="00C50750" w:rsidRDefault="00751C29" w:rsidP="00751C29">
      <w:pPr>
        <w:spacing w:line="360" w:lineRule="auto"/>
        <w:rPr>
          <w:rFonts w:ascii="Garamond" w:hAnsi="Garamond"/>
        </w:rPr>
      </w:pPr>
      <w:r w:rsidRPr="00C50750">
        <w:rPr>
          <w:rFonts w:ascii="Garamond" w:hAnsi="Garamond"/>
        </w:rPr>
        <w:t xml:space="preserve">English Studies today stands as a distinctly “living discipline,” continually revitalized by a range of epistemological turns that expand the horizons of interpretation and reposition the field within broader intellectual and civic landscapes. These turns not only diversify analytical frameworks but also deepen interdisciplinary understanding and foreground the ethical responsibilities embedded in reading and interpretation. When applied to both canonical and </w:t>
      </w:r>
      <w:r w:rsidRPr="00C50750">
        <w:rPr>
          <w:rFonts w:ascii="Garamond" w:hAnsi="Garamond"/>
        </w:rPr>
        <w:lastRenderedPageBreak/>
        <w:t>contemporary texts, they illuminate literature’s capacity to interrogate cultural narratives, respond to technological transformations, and confront ecological and social urgencies. Through these evolving perspectives, English Studies demonstrates a remarkable ability to adapt to changing intellectual climates, bridge theoretical rigour with real-world significance, and shape readers into critically informed and ethically attuned individuals. Rather than remaining a static repository of literary knowledge, the discipline asserts itself as a forward-looking, reflexive, and socially responsive field. In doing so, it reaffirms its relevance in the twenty-first century—not merely as an academic pursuit, but as a vital cultural practice that equips learners to engage thoughtfully with the complexities of the contemporary world.</w:t>
      </w:r>
    </w:p>
    <w:p w:rsidR="003D5A5A" w:rsidRPr="00C50750" w:rsidRDefault="003D5A5A" w:rsidP="003D5A5A">
      <w:pPr>
        <w:spacing w:line="360" w:lineRule="auto"/>
        <w:rPr>
          <w:rFonts w:ascii="Garamond" w:hAnsi="Garamond"/>
          <w:b/>
          <w:bCs/>
          <w:lang w:val="en-GB"/>
        </w:rPr>
      </w:pPr>
      <w:r w:rsidRPr="00C50750">
        <w:rPr>
          <w:rFonts w:ascii="Garamond" w:hAnsi="Garamond"/>
          <w:b/>
          <w:bCs/>
          <w:lang w:val="en-GB"/>
        </w:rPr>
        <w:t>7 References</w:t>
      </w:r>
    </w:p>
    <w:p w:rsidR="0064406F" w:rsidRDefault="0064406F" w:rsidP="0064406F">
      <w:pPr>
        <w:pStyle w:val="ListParagraph"/>
        <w:numPr>
          <w:ilvl w:val="0"/>
          <w:numId w:val="4"/>
        </w:numPr>
        <w:spacing w:line="360" w:lineRule="auto"/>
        <w:rPr>
          <w:rFonts w:ascii="Garamond" w:hAnsi="Garamond"/>
          <w:lang w:val="en-GB"/>
        </w:rPr>
      </w:pPr>
      <w:r w:rsidRPr="0064406F">
        <w:rPr>
          <w:rFonts w:ascii="Garamond" w:hAnsi="Garamond"/>
          <w:lang w:val="en-GB"/>
        </w:rPr>
        <w:t xml:space="preserve">Achebe, C. (1994). Things Fall Apart. Anchor Books. </w:t>
      </w:r>
      <w:hyperlink r:id="rId7" w:history="1">
        <w:r w:rsidRPr="00B244F5">
          <w:rPr>
            <w:rStyle w:val="Hyperlink"/>
            <w:rFonts w:ascii="Garamond" w:hAnsi="Garamond"/>
            <w:lang w:val="en-GB"/>
          </w:rPr>
          <w:t>https://www.penguinrandomhouse.com/books/100000/things-fall-apart-by-chinua-achebe-9780385474542/</w:t>
        </w:r>
      </w:hyperlink>
    </w:p>
    <w:p w:rsidR="0064406F" w:rsidRDefault="0064406F" w:rsidP="0064406F">
      <w:pPr>
        <w:pStyle w:val="ListParagraph"/>
        <w:numPr>
          <w:ilvl w:val="0"/>
          <w:numId w:val="4"/>
        </w:numPr>
        <w:spacing w:line="360" w:lineRule="auto"/>
        <w:rPr>
          <w:rFonts w:ascii="Garamond" w:hAnsi="Garamond"/>
          <w:lang w:val="en-GB"/>
        </w:rPr>
      </w:pPr>
      <w:r w:rsidRPr="0064406F">
        <w:rPr>
          <w:rFonts w:ascii="Garamond" w:hAnsi="Garamond"/>
          <w:lang w:val="en-GB"/>
        </w:rPr>
        <w:t xml:space="preserve">Adams, M. (2025). Qualitative methods in psychology after the animal turn: Human-animal and multi-species relations. Qualitative Research in Psychology, 22(1), 1-14. </w:t>
      </w:r>
      <w:hyperlink r:id="rId8" w:history="1">
        <w:r w:rsidRPr="00B244F5">
          <w:rPr>
            <w:rStyle w:val="Hyperlink"/>
            <w:rFonts w:ascii="Garamond" w:hAnsi="Garamond"/>
            <w:lang w:val="en-GB"/>
          </w:rPr>
          <w:t>https://doi.org/10.1080/14780887.2024.2380878</w:t>
        </w:r>
      </w:hyperlink>
    </w:p>
    <w:p w:rsidR="003D5A5A" w:rsidRPr="00C50750" w:rsidRDefault="003D5A5A" w:rsidP="0064406F">
      <w:pPr>
        <w:pStyle w:val="ListParagraph"/>
        <w:numPr>
          <w:ilvl w:val="0"/>
          <w:numId w:val="4"/>
        </w:numPr>
        <w:spacing w:line="360" w:lineRule="auto"/>
        <w:rPr>
          <w:rFonts w:ascii="Garamond" w:hAnsi="Garamond"/>
          <w:lang w:val="en-GB"/>
        </w:rPr>
      </w:pPr>
      <w:r w:rsidRPr="00C50750">
        <w:rPr>
          <w:rFonts w:ascii="Garamond" w:hAnsi="Garamond"/>
          <w:lang w:val="en-GB"/>
        </w:rPr>
        <w:t xml:space="preserve">Ahern, Stephen. “The Affective Turn in Literary Criticism” </w:t>
      </w:r>
      <w:r w:rsidRPr="00C50750">
        <w:rPr>
          <w:rFonts w:ascii="Garamond" w:hAnsi="Garamond"/>
          <w:i/>
          <w:iCs/>
          <w:lang w:val="en-GB"/>
        </w:rPr>
        <w:t>Emotion Review</w:t>
      </w:r>
      <w:r w:rsidRPr="00C50750">
        <w:rPr>
          <w:rFonts w:ascii="Garamond" w:hAnsi="Garamond"/>
          <w:lang w:val="en-GB"/>
        </w:rPr>
        <w:t>, vol. 16, no. 2, 2024, pp.96-106.</w:t>
      </w:r>
    </w:p>
    <w:p w:rsidR="0064406F" w:rsidRDefault="0064406F" w:rsidP="0064406F">
      <w:pPr>
        <w:pStyle w:val="ListParagraph"/>
        <w:numPr>
          <w:ilvl w:val="0"/>
          <w:numId w:val="4"/>
        </w:numPr>
        <w:spacing w:line="360" w:lineRule="auto"/>
        <w:rPr>
          <w:rFonts w:ascii="Garamond" w:hAnsi="Garamond"/>
          <w:lang w:val="en-GB"/>
        </w:rPr>
      </w:pPr>
      <w:r w:rsidRPr="0064406F">
        <w:rPr>
          <w:rFonts w:ascii="Garamond" w:hAnsi="Garamond"/>
          <w:lang w:val="en-GB"/>
        </w:rPr>
        <w:t xml:space="preserve">Ahmed, S. (2014). The cultural politics of emotion. Routledge. </w:t>
      </w:r>
      <w:hyperlink r:id="rId9" w:history="1">
        <w:r w:rsidRPr="00B244F5">
          <w:rPr>
            <w:rStyle w:val="Hyperlink"/>
            <w:rFonts w:ascii="Garamond" w:hAnsi="Garamond"/>
            <w:lang w:val="en-GB"/>
          </w:rPr>
          <w:t>https://www.routledge.com/The-Cultural-Politics-of-Emotion/Ahmed-Sara/p/book/9781138805033</w:t>
        </w:r>
      </w:hyperlink>
    </w:p>
    <w:p w:rsidR="0064406F" w:rsidRDefault="0064406F" w:rsidP="0064406F">
      <w:pPr>
        <w:pStyle w:val="ListParagraph"/>
        <w:numPr>
          <w:ilvl w:val="0"/>
          <w:numId w:val="4"/>
        </w:numPr>
        <w:spacing w:line="360" w:lineRule="auto"/>
        <w:rPr>
          <w:rFonts w:ascii="Garamond" w:hAnsi="Garamond"/>
          <w:lang w:val="en-GB"/>
        </w:rPr>
      </w:pPr>
      <w:proofErr w:type="spellStart"/>
      <w:r w:rsidRPr="0064406F">
        <w:rPr>
          <w:rFonts w:ascii="Garamond" w:hAnsi="Garamond"/>
          <w:lang w:val="en-GB"/>
        </w:rPr>
        <w:t>Andrianova</w:t>
      </w:r>
      <w:proofErr w:type="spellEnd"/>
      <w:r w:rsidRPr="0064406F">
        <w:rPr>
          <w:rFonts w:ascii="Garamond" w:hAnsi="Garamond"/>
          <w:lang w:val="en-GB"/>
        </w:rPr>
        <w:t xml:space="preserve">, A. (2016). Narrating Animal Trauma in </w:t>
      </w:r>
      <w:proofErr w:type="spellStart"/>
      <w:r w:rsidRPr="0064406F">
        <w:rPr>
          <w:rFonts w:ascii="Garamond" w:hAnsi="Garamond"/>
          <w:lang w:val="en-GB"/>
        </w:rPr>
        <w:t>Bulgakov</w:t>
      </w:r>
      <w:proofErr w:type="spellEnd"/>
      <w:r w:rsidRPr="0064406F">
        <w:rPr>
          <w:rFonts w:ascii="Garamond" w:hAnsi="Garamond"/>
          <w:lang w:val="en-GB"/>
        </w:rPr>
        <w:t xml:space="preserve"> and Tolstoy. Humanities, 5(4), 84. </w:t>
      </w:r>
      <w:hyperlink r:id="rId10" w:history="1">
        <w:r w:rsidRPr="00B244F5">
          <w:rPr>
            <w:rStyle w:val="Hyperlink"/>
            <w:rFonts w:ascii="Garamond" w:hAnsi="Garamond"/>
            <w:lang w:val="en-GB"/>
          </w:rPr>
          <w:t>https://doi.org/10.3390/h5040084</w:t>
        </w:r>
      </w:hyperlink>
    </w:p>
    <w:p w:rsidR="0064406F" w:rsidRDefault="0064406F" w:rsidP="0064406F">
      <w:pPr>
        <w:pStyle w:val="ListParagraph"/>
        <w:numPr>
          <w:ilvl w:val="0"/>
          <w:numId w:val="4"/>
        </w:numPr>
        <w:spacing w:line="360" w:lineRule="auto"/>
        <w:rPr>
          <w:rFonts w:ascii="Garamond" w:hAnsi="Garamond"/>
          <w:lang w:val="en-GB"/>
        </w:rPr>
      </w:pPr>
      <w:r w:rsidRPr="0064406F">
        <w:rPr>
          <w:rFonts w:ascii="Garamond" w:hAnsi="Garamond"/>
          <w:lang w:val="en-GB"/>
        </w:rPr>
        <w:t xml:space="preserve">Atwood, M. (2004). Oryx and Crake. Anchor Books. </w:t>
      </w:r>
      <w:hyperlink r:id="rId11" w:history="1">
        <w:r w:rsidRPr="00B244F5">
          <w:rPr>
            <w:rStyle w:val="Hyperlink"/>
            <w:rFonts w:ascii="Garamond" w:hAnsi="Garamond"/>
            <w:lang w:val="en-GB"/>
          </w:rPr>
          <w:t>https://www.penguinrandomhouse.com/books/10000/oryx-and-crake-by-margaret-atwood-9780385721677/</w:t>
        </w:r>
      </w:hyperlink>
    </w:p>
    <w:p w:rsidR="0064406F" w:rsidRDefault="0064406F" w:rsidP="0064406F">
      <w:pPr>
        <w:pStyle w:val="ListParagraph"/>
        <w:numPr>
          <w:ilvl w:val="0"/>
          <w:numId w:val="4"/>
        </w:numPr>
        <w:spacing w:line="360" w:lineRule="auto"/>
        <w:rPr>
          <w:rFonts w:ascii="Garamond" w:hAnsi="Garamond"/>
          <w:lang w:val="en-GB"/>
        </w:rPr>
      </w:pPr>
      <w:r w:rsidRPr="0064406F">
        <w:rPr>
          <w:rFonts w:ascii="Garamond" w:hAnsi="Garamond"/>
          <w:lang w:val="en-GB"/>
        </w:rPr>
        <w:t xml:space="preserve">Bhabha, H. K. (1994). The location of culture. Routledge. </w:t>
      </w:r>
      <w:hyperlink r:id="rId12" w:history="1">
        <w:r w:rsidRPr="00B244F5">
          <w:rPr>
            <w:rStyle w:val="Hyperlink"/>
            <w:rFonts w:ascii="Garamond" w:hAnsi="Garamond"/>
            <w:lang w:val="en-GB"/>
          </w:rPr>
          <w:t>https://doi.org/10.4324/9780203820551</w:t>
        </w:r>
      </w:hyperlink>
    </w:p>
    <w:p w:rsidR="0064406F" w:rsidRDefault="0064406F" w:rsidP="0064406F">
      <w:pPr>
        <w:pStyle w:val="ListParagraph"/>
        <w:numPr>
          <w:ilvl w:val="0"/>
          <w:numId w:val="4"/>
        </w:numPr>
        <w:spacing w:line="360" w:lineRule="auto"/>
        <w:rPr>
          <w:rFonts w:ascii="Garamond" w:hAnsi="Garamond"/>
          <w:lang w:val="en-GB"/>
        </w:rPr>
      </w:pPr>
      <w:r w:rsidRPr="0064406F">
        <w:rPr>
          <w:rFonts w:ascii="Garamond" w:hAnsi="Garamond"/>
          <w:lang w:val="en-GB"/>
        </w:rPr>
        <w:t xml:space="preserve">Boynton, T. J. (2024). Postcolonialism without Colonialism: Vestiges of a Method. A Review Essay. Cambridge Journal of Postcolonial Literary Inquiry, 11(2), 264–269. </w:t>
      </w:r>
      <w:hyperlink r:id="rId13" w:history="1">
        <w:r w:rsidRPr="00B244F5">
          <w:rPr>
            <w:rStyle w:val="Hyperlink"/>
            <w:rFonts w:ascii="Garamond" w:hAnsi="Garamond"/>
            <w:lang w:val="en-GB"/>
          </w:rPr>
          <w:t>https://doi.org/10.1017/pli.2024.9</w:t>
        </w:r>
      </w:hyperlink>
    </w:p>
    <w:p w:rsidR="0064406F" w:rsidRDefault="0064406F" w:rsidP="0064406F">
      <w:pPr>
        <w:pStyle w:val="ListParagraph"/>
        <w:numPr>
          <w:ilvl w:val="0"/>
          <w:numId w:val="4"/>
        </w:numPr>
        <w:spacing w:line="360" w:lineRule="auto"/>
        <w:rPr>
          <w:rFonts w:ascii="Garamond" w:hAnsi="Garamond"/>
          <w:lang w:val="en-GB"/>
        </w:rPr>
      </w:pPr>
      <w:r w:rsidRPr="0064406F">
        <w:rPr>
          <w:rFonts w:ascii="Garamond" w:hAnsi="Garamond"/>
          <w:lang w:val="en-GB"/>
        </w:rPr>
        <w:t xml:space="preserve">Coetzee, J. M. (2024). *Disgrace*. Vintage Classics. </w:t>
      </w:r>
      <w:hyperlink r:id="rId14" w:history="1">
        <w:r w:rsidRPr="00B244F5">
          <w:rPr>
            <w:rStyle w:val="Hyperlink"/>
            <w:rFonts w:ascii="Garamond" w:hAnsi="Garamond"/>
            <w:lang w:val="en-GB"/>
          </w:rPr>
          <w:t>https://www.penguin.co.uk/books/1784879051/disgrace-by-j-m-coetzee/9781784879051</w:t>
        </w:r>
      </w:hyperlink>
    </w:p>
    <w:p w:rsidR="003D5A5A" w:rsidRPr="00C50750" w:rsidRDefault="003D5A5A" w:rsidP="0064406F">
      <w:pPr>
        <w:pStyle w:val="ListParagraph"/>
        <w:numPr>
          <w:ilvl w:val="0"/>
          <w:numId w:val="4"/>
        </w:numPr>
        <w:spacing w:line="360" w:lineRule="auto"/>
        <w:rPr>
          <w:rFonts w:ascii="Garamond" w:hAnsi="Garamond"/>
          <w:lang w:val="en-GB"/>
        </w:rPr>
      </w:pPr>
      <w:r w:rsidRPr="00C50750">
        <w:rPr>
          <w:rFonts w:ascii="Garamond" w:hAnsi="Garamond"/>
          <w:lang w:val="en-GB"/>
        </w:rPr>
        <w:lastRenderedPageBreak/>
        <w:t xml:space="preserve">Danilovich, Stephen. </w:t>
      </w:r>
      <w:r w:rsidRPr="00C50750">
        <w:rPr>
          <w:rFonts w:ascii="Garamond" w:hAnsi="Garamond"/>
          <w:i/>
          <w:iCs/>
          <w:lang w:val="en-GB"/>
        </w:rPr>
        <w:t xml:space="preserve">The Ethical (Re) Turn: A </w:t>
      </w:r>
      <w:proofErr w:type="spellStart"/>
      <w:r w:rsidRPr="00C50750">
        <w:rPr>
          <w:rFonts w:ascii="Garamond" w:hAnsi="Garamond"/>
          <w:i/>
          <w:iCs/>
          <w:lang w:val="en-GB"/>
        </w:rPr>
        <w:t>Metacritical</w:t>
      </w:r>
      <w:proofErr w:type="spellEnd"/>
      <w:r w:rsidRPr="00C50750">
        <w:rPr>
          <w:rFonts w:ascii="Garamond" w:hAnsi="Garamond"/>
          <w:i/>
          <w:iCs/>
          <w:lang w:val="en-GB"/>
        </w:rPr>
        <w:t xml:space="preserve"> Study of Turn-of-the-Century Literary Ethics</w:t>
      </w:r>
      <w:r w:rsidRPr="00C50750">
        <w:rPr>
          <w:rFonts w:ascii="Garamond" w:hAnsi="Garamond"/>
          <w:lang w:val="en-GB"/>
        </w:rPr>
        <w:t>. A Dissertation. University of Ottawa, 2024.</w:t>
      </w:r>
    </w:p>
    <w:p w:rsidR="0064406F" w:rsidRDefault="0064406F" w:rsidP="0064406F">
      <w:pPr>
        <w:pStyle w:val="ListParagraph"/>
        <w:numPr>
          <w:ilvl w:val="0"/>
          <w:numId w:val="4"/>
        </w:numPr>
        <w:spacing w:line="360" w:lineRule="auto"/>
        <w:rPr>
          <w:rFonts w:ascii="Garamond" w:hAnsi="Garamond"/>
          <w:lang w:val="en-GB"/>
        </w:rPr>
      </w:pPr>
      <w:r w:rsidRPr="0064406F">
        <w:rPr>
          <w:rFonts w:ascii="Garamond" w:hAnsi="Garamond"/>
          <w:lang w:val="en-GB"/>
        </w:rPr>
        <w:t xml:space="preserve">Davis, T. F., &amp; Womack, K. (Eds.). (2001). *Mapping the ethical turn: A reader in ethics, culture, and literary theory*. University of Virginia Press. </w:t>
      </w:r>
      <w:hyperlink r:id="rId15" w:history="1">
        <w:r w:rsidRPr="00B244F5">
          <w:rPr>
            <w:rStyle w:val="Hyperlink"/>
            <w:rFonts w:ascii="Garamond" w:hAnsi="Garamond"/>
            <w:lang w:val="en-GB"/>
          </w:rPr>
          <w:t>https://uvapress.virginia.edu/title/mapping-the-ethical-turn/</w:t>
        </w:r>
      </w:hyperlink>
    </w:p>
    <w:p w:rsidR="0064406F" w:rsidRDefault="0064406F" w:rsidP="0064406F">
      <w:pPr>
        <w:pStyle w:val="ListParagraph"/>
        <w:numPr>
          <w:ilvl w:val="0"/>
          <w:numId w:val="4"/>
        </w:numPr>
        <w:spacing w:line="360" w:lineRule="auto"/>
        <w:rPr>
          <w:rFonts w:ascii="Garamond" w:hAnsi="Garamond"/>
          <w:lang w:val="en-GB"/>
        </w:rPr>
      </w:pPr>
      <w:r w:rsidRPr="0064406F">
        <w:rPr>
          <w:rFonts w:ascii="Garamond" w:hAnsi="Garamond"/>
          <w:lang w:val="fr-FR"/>
        </w:rPr>
        <w:t xml:space="preserve">Derrida, J. (1982). *Positions* (A. Bass, Trans.). </w:t>
      </w:r>
      <w:r w:rsidRPr="0064406F">
        <w:rPr>
          <w:rFonts w:ascii="Garamond" w:hAnsi="Garamond"/>
          <w:lang w:val="en-GB"/>
        </w:rPr>
        <w:t xml:space="preserve">University of Chicago Press. </w:t>
      </w:r>
      <w:hyperlink r:id="rId16" w:history="1">
        <w:r w:rsidRPr="00B244F5">
          <w:rPr>
            <w:rStyle w:val="Hyperlink"/>
            <w:rFonts w:ascii="Garamond" w:hAnsi="Garamond"/>
            <w:lang w:val="en-GB"/>
          </w:rPr>
          <w:t>https://press.uchicago.edu/ucp/books/book/chicago/P/bo5953000.html</w:t>
        </w:r>
      </w:hyperlink>
    </w:p>
    <w:p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Dickinson, E. (2005). The poems of Emily Dickinson: Reading edition (R. W. Franklin, Ed.). Harvard University Press. </w:t>
      </w:r>
      <w:hyperlink r:id="rId17" w:history="1">
        <w:r w:rsidRPr="00B244F5">
          <w:rPr>
            <w:rStyle w:val="Hyperlink"/>
            <w:rFonts w:ascii="Garamond" w:hAnsi="Garamond"/>
            <w:lang w:val="en-GB"/>
          </w:rPr>
          <w:t>https://www.hup.harvard.edu/catalog.php?isbn=9780674018242</w:t>
        </w:r>
      </w:hyperlink>
    </w:p>
    <w:p w:rsidR="003D5A5A" w:rsidRPr="00C50750" w:rsidRDefault="003D5A5A" w:rsidP="0064406F">
      <w:pPr>
        <w:pStyle w:val="ListParagraph"/>
        <w:numPr>
          <w:ilvl w:val="0"/>
          <w:numId w:val="4"/>
        </w:numPr>
        <w:spacing w:line="360" w:lineRule="auto"/>
        <w:rPr>
          <w:rFonts w:ascii="Garamond" w:hAnsi="Garamond"/>
          <w:color w:val="000000" w:themeColor="text1"/>
          <w:lang w:val="en-GB"/>
        </w:rPr>
      </w:pPr>
      <w:r w:rsidRPr="00C50750">
        <w:rPr>
          <w:rFonts w:ascii="Garamond" w:hAnsi="Garamond"/>
          <w:color w:val="000000" w:themeColor="text1"/>
          <w:lang w:val="en-GB"/>
        </w:rPr>
        <w:t xml:space="preserve">Eliot, T. S. </w:t>
      </w:r>
      <w:r w:rsidRPr="00C50750">
        <w:rPr>
          <w:rFonts w:ascii="Garamond" w:hAnsi="Garamond"/>
          <w:i/>
          <w:iCs/>
          <w:color w:val="000000" w:themeColor="text1"/>
          <w:lang w:val="en-GB"/>
        </w:rPr>
        <w:t>The Waste Land</w:t>
      </w:r>
      <w:r w:rsidRPr="00C50750">
        <w:rPr>
          <w:rFonts w:ascii="Garamond" w:hAnsi="Garamond"/>
          <w:color w:val="000000" w:themeColor="text1"/>
          <w:lang w:val="en-GB"/>
        </w:rPr>
        <w:t>. Edited by Michael North, W. W. Norton, 2001.</w:t>
      </w:r>
    </w:p>
    <w:p w:rsidR="0064406F" w:rsidRPr="0064406F" w:rsidRDefault="0064406F" w:rsidP="0064406F">
      <w:pPr>
        <w:pStyle w:val="ListParagraph"/>
        <w:numPr>
          <w:ilvl w:val="0"/>
          <w:numId w:val="4"/>
        </w:numPr>
        <w:spacing w:line="360" w:lineRule="auto"/>
        <w:rPr>
          <w:rFonts w:ascii="Garamond" w:hAnsi="Garamond"/>
          <w:color w:val="000000" w:themeColor="text1"/>
          <w:lang w:val="en-GB"/>
        </w:rPr>
      </w:pPr>
      <w:proofErr w:type="spellStart"/>
      <w:r w:rsidRPr="0064406F">
        <w:rPr>
          <w:rFonts w:ascii="Garamond" w:hAnsi="Garamond"/>
          <w:lang w:val="en-GB"/>
        </w:rPr>
        <w:t>Ferwerda</w:t>
      </w:r>
      <w:proofErr w:type="spellEnd"/>
      <w:r w:rsidRPr="0064406F">
        <w:rPr>
          <w:rFonts w:ascii="Garamond" w:hAnsi="Garamond"/>
          <w:lang w:val="en-GB"/>
        </w:rPr>
        <w:t xml:space="preserve">, S. (2024). Blue Humanities and the </w:t>
      </w:r>
      <w:proofErr w:type="spellStart"/>
      <w:r w:rsidRPr="0064406F">
        <w:rPr>
          <w:rFonts w:ascii="Garamond" w:hAnsi="Garamond"/>
          <w:lang w:val="en-GB"/>
        </w:rPr>
        <w:t>Color</w:t>
      </w:r>
      <w:proofErr w:type="spellEnd"/>
      <w:r w:rsidRPr="0064406F">
        <w:rPr>
          <w:rFonts w:ascii="Garamond" w:hAnsi="Garamond"/>
          <w:lang w:val="en-GB"/>
        </w:rPr>
        <w:t xml:space="preserve"> of Colonialism. Environmental Humanities, 16(1), 1-18. </w:t>
      </w:r>
      <w:hyperlink r:id="rId18" w:history="1">
        <w:r w:rsidRPr="00B244F5">
          <w:rPr>
            <w:rStyle w:val="Hyperlink"/>
            <w:rFonts w:ascii="Garamond" w:hAnsi="Garamond"/>
            <w:lang w:val="en-GB"/>
          </w:rPr>
          <w:t>https://doi.org/10.1215/22011919-10943081</w:t>
        </w:r>
      </w:hyperlink>
    </w:p>
    <w:p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Ghosh, A. (2004). The hungry tide. HarperCollins. </w:t>
      </w:r>
      <w:hyperlink r:id="rId19" w:history="1">
        <w:r w:rsidRPr="00B244F5">
          <w:rPr>
            <w:rStyle w:val="Hyperlink"/>
            <w:rFonts w:ascii="Garamond" w:hAnsi="Garamond"/>
            <w:lang w:val="en-GB"/>
          </w:rPr>
          <w:t>https://www.harpercollins.com/products/the-hungry-tide-amitav-ghosh?variant=32207490000930</w:t>
        </w:r>
      </w:hyperlink>
      <w:r>
        <w:rPr>
          <w:rFonts w:ascii="Garamond" w:hAnsi="Garamond"/>
          <w:lang w:val="en-GB"/>
        </w:rPr>
        <w:t xml:space="preserve"> </w:t>
      </w:r>
    </w:p>
    <w:p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Haraway, D. J. (2008). When species meet. University of Minnesota Press. </w:t>
      </w:r>
      <w:hyperlink r:id="rId20" w:history="1">
        <w:r w:rsidRPr="00B244F5">
          <w:rPr>
            <w:rStyle w:val="Hyperlink"/>
            <w:rFonts w:ascii="Garamond" w:hAnsi="Garamond"/>
            <w:lang w:val="en-GB"/>
          </w:rPr>
          <w:t>http://www.upress.umn.edu</w:t>
        </w:r>
      </w:hyperlink>
    </w:p>
    <w:p w:rsid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color w:val="000000" w:themeColor="text1"/>
          <w:lang w:val="en-GB"/>
        </w:rPr>
        <w:t>Ishiguro, K. (2005). Never Let Me Go. Faber and Faber.</w:t>
      </w:r>
    </w:p>
    <w:p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Jackson, L. M. (2023). The affective turn. In Y. Goyal (Ed.), *The Cambridge companion to contemporary African American literature* (pp. 254-267). Cambridge University Press. </w:t>
      </w:r>
      <w:hyperlink r:id="rId21" w:history="1">
        <w:r w:rsidRPr="00B244F5">
          <w:rPr>
            <w:rStyle w:val="Hyperlink"/>
            <w:rFonts w:ascii="Garamond" w:hAnsi="Garamond"/>
            <w:lang w:val="en-GB"/>
          </w:rPr>
          <w:t>https://doi.org/10.1017/9781009159708.021</w:t>
        </w:r>
      </w:hyperlink>
    </w:p>
    <w:p w:rsidR="003D5A5A" w:rsidRPr="00C50750" w:rsidRDefault="003D5A5A" w:rsidP="0064406F">
      <w:pPr>
        <w:pStyle w:val="ListParagraph"/>
        <w:numPr>
          <w:ilvl w:val="0"/>
          <w:numId w:val="4"/>
        </w:numPr>
        <w:spacing w:line="360" w:lineRule="auto"/>
        <w:rPr>
          <w:rFonts w:ascii="Garamond" w:hAnsi="Garamond"/>
          <w:color w:val="000000" w:themeColor="text1"/>
          <w:lang w:val="en-GB"/>
        </w:rPr>
      </w:pPr>
      <w:r w:rsidRPr="00C50750">
        <w:rPr>
          <w:rFonts w:ascii="Garamond" w:hAnsi="Garamond"/>
          <w:lang w:val="en-GB"/>
        </w:rPr>
        <w:t xml:space="preserve">Jacobs, </w:t>
      </w:r>
      <w:proofErr w:type="spellStart"/>
      <w:r w:rsidRPr="00C50750">
        <w:rPr>
          <w:rFonts w:ascii="Garamond" w:hAnsi="Garamond"/>
          <w:lang w:val="en-GB"/>
        </w:rPr>
        <w:t>Joela</w:t>
      </w:r>
      <w:proofErr w:type="spellEnd"/>
      <w:r w:rsidRPr="00C50750">
        <w:rPr>
          <w:rFonts w:ascii="Garamond" w:hAnsi="Garamond"/>
          <w:lang w:val="en-GB"/>
        </w:rPr>
        <w:t>. “</w:t>
      </w:r>
      <w:proofErr w:type="spellStart"/>
      <w:r w:rsidRPr="00C50750">
        <w:rPr>
          <w:rFonts w:ascii="Garamond" w:hAnsi="Garamond"/>
          <w:lang w:val="en-GB"/>
        </w:rPr>
        <w:t>Phytopoetics</w:t>
      </w:r>
      <w:proofErr w:type="spellEnd"/>
      <w:r w:rsidRPr="00C50750">
        <w:rPr>
          <w:rFonts w:ascii="Garamond" w:hAnsi="Garamond"/>
          <w:lang w:val="en-GB"/>
        </w:rPr>
        <w:t xml:space="preserve">: How Plants Shape Literature and Culture—and Why They Matter in Times of Crisis.” </w:t>
      </w:r>
      <w:proofErr w:type="spellStart"/>
      <w:r w:rsidRPr="00C50750">
        <w:rPr>
          <w:rFonts w:ascii="Garamond" w:hAnsi="Garamond"/>
          <w:lang w:val="en-GB"/>
        </w:rPr>
        <w:t>Center</w:t>
      </w:r>
      <w:proofErr w:type="spellEnd"/>
      <w:r w:rsidRPr="00C50750">
        <w:rPr>
          <w:rFonts w:ascii="Garamond" w:hAnsi="Garamond"/>
          <w:lang w:val="en-GB"/>
        </w:rPr>
        <w:t xml:space="preserve"> for the Study of World Religions, Harvard Divinity School, 2024. </w:t>
      </w:r>
      <w:hyperlink r:id="rId22" w:history="1">
        <w:r w:rsidRPr="00C50750">
          <w:rPr>
            <w:rStyle w:val="Hyperlink"/>
            <w:rFonts w:ascii="Garamond" w:hAnsi="Garamond"/>
            <w:lang w:val="en-GB"/>
          </w:rPr>
          <w:t>https://cswr.hds.harvard.edu/news/2024/11/phytopoetics-how-plants-shape-literature-and-culture-and-why-they-matter-times-crisis</w:t>
        </w:r>
      </w:hyperlink>
      <w:r w:rsidRPr="00C50750">
        <w:rPr>
          <w:rFonts w:ascii="Garamond" w:hAnsi="Garamond"/>
          <w:lang w:val="en-GB"/>
        </w:rPr>
        <w:t xml:space="preserve"> </w:t>
      </w:r>
    </w:p>
    <w:p w:rsidR="0064406F" w:rsidRPr="0064406F" w:rsidRDefault="0064406F" w:rsidP="0064406F">
      <w:pPr>
        <w:pStyle w:val="ListParagraph"/>
        <w:numPr>
          <w:ilvl w:val="0"/>
          <w:numId w:val="4"/>
        </w:numPr>
        <w:spacing w:line="360" w:lineRule="auto"/>
        <w:rPr>
          <w:rFonts w:ascii="Garamond" w:hAnsi="Garamond"/>
          <w:color w:val="000000" w:themeColor="text1"/>
          <w:lang w:val="en-GB"/>
        </w:rPr>
      </w:pPr>
      <w:proofErr w:type="spellStart"/>
      <w:r w:rsidRPr="0064406F">
        <w:rPr>
          <w:rFonts w:ascii="Garamond" w:hAnsi="Garamond"/>
          <w:lang w:val="en-GB"/>
        </w:rPr>
        <w:t>Karpouzou</w:t>
      </w:r>
      <w:proofErr w:type="spellEnd"/>
      <w:r w:rsidRPr="0064406F">
        <w:rPr>
          <w:rFonts w:ascii="Garamond" w:hAnsi="Garamond"/>
          <w:lang w:val="en-GB"/>
        </w:rPr>
        <w:t xml:space="preserve">, P., &amp; </w:t>
      </w:r>
      <w:proofErr w:type="spellStart"/>
      <w:r w:rsidRPr="0064406F">
        <w:rPr>
          <w:rFonts w:ascii="Garamond" w:hAnsi="Garamond"/>
          <w:lang w:val="en-GB"/>
        </w:rPr>
        <w:t>Zampaki</w:t>
      </w:r>
      <w:proofErr w:type="spellEnd"/>
      <w:r w:rsidRPr="0064406F">
        <w:rPr>
          <w:rFonts w:ascii="Garamond" w:hAnsi="Garamond"/>
          <w:lang w:val="en-GB"/>
        </w:rPr>
        <w:t xml:space="preserve">, N. (2024). Critical Green Theories and Botanical Imaginaries: Exploring Human and More-than-Human World Entanglements. Open Cultural Studies, 8(1), 1-4. </w:t>
      </w:r>
      <w:hyperlink r:id="rId23" w:history="1">
        <w:r w:rsidRPr="00B244F5">
          <w:rPr>
            <w:rStyle w:val="Hyperlink"/>
            <w:rFonts w:ascii="Garamond" w:hAnsi="Garamond"/>
            <w:lang w:val="en-GB"/>
          </w:rPr>
          <w:t>https://doi.org/10.1515/culture-2024-0038</w:t>
        </w:r>
      </w:hyperlink>
    </w:p>
    <w:p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Mazzaferro, A. (2025). Introduction: New Directions in the Study of New World Knowledge Making. American Literature, 97(2), 185-206. </w:t>
      </w:r>
      <w:hyperlink r:id="rId24" w:history="1">
        <w:r w:rsidRPr="00B244F5">
          <w:rPr>
            <w:rStyle w:val="Hyperlink"/>
            <w:rFonts w:ascii="Garamond" w:hAnsi="Garamond"/>
            <w:lang w:val="en-GB"/>
          </w:rPr>
          <w:t>https://doi.org/10.1215/00029831-11845230</w:t>
        </w:r>
      </w:hyperlink>
    </w:p>
    <w:p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lastRenderedPageBreak/>
        <w:t xml:space="preserve">Morrison, T. (2004). Beloved. Vintage International. </w:t>
      </w:r>
      <w:hyperlink r:id="rId25" w:history="1">
        <w:r w:rsidRPr="00B244F5">
          <w:rPr>
            <w:rStyle w:val="Hyperlink"/>
            <w:rFonts w:ascii="Garamond" w:hAnsi="Garamond"/>
            <w:lang w:val="en-GB"/>
          </w:rPr>
          <w:t>https://www.penguinrandomhouse.com/books/288900/beloved-by-toni-morrison-read-by-toni-morrison-and-karen-murray-introduction-by-honoree-fanonne-jeffers/</w:t>
        </w:r>
      </w:hyperlink>
    </w:p>
    <w:p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Murray, S. (2025). Introduction: Varieties of Digital Literary Studies—Micro, Macro, Meso. In </w:t>
      </w:r>
      <w:proofErr w:type="gramStart"/>
      <w:r w:rsidRPr="0064406F">
        <w:rPr>
          <w:rFonts w:ascii="Garamond" w:hAnsi="Garamond"/>
          <w:lang w:val="en-GB"/>
        </w:rPr>
        <w:t>The</w:t>
      </w:r>
      <w:proofErr w:type="gramEnd"/>
      <w:r w:rsidRPr="0064406F">
        <w:rPr>
          <w:rFonts w:ascii="Garamond" w:hAnsi="Garamond"/>
          <w:lang w:val="en-GB"/>
        </w:rPr>
        <w:t xml:space="preserve"> Digital Future of English: Literary Media Studies. Oxford Academic. </w:t>
      </w:r>
      <w:hyperlink r:id="rId26" w:history="1">
        <w:r w:rsidRPr="00B244F5">
          <w:rPr>
            <w:rStyle w:val="Hyperlink"/>
            <w:rFonts w:ascii="Garamond" w:hAnsi="Garamond"/>
            <w:lang w:val="en-GB"/>
          </w:rPr>
          <w:t>https://doi.org/10.1093/9780198952626.003.0001</w:t>
        </w:r>
      </w:hyperlink>
    </w:p>
    <w:p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Nussbaum, M. C. (1997). Cultivating humanity: A classical </w:t>
      </w:r>
      <w:proofErr w:type="spellStart"/>
      <w:r w:rsidRPr="0064406F">
        <w:rPr>
          <w:rFonts w:ascii="Garamond" w:hAnsi="Garamond"/>
          <w:lang w:val="en-GB"/>
        </w:rPr>
        <w:t>defense</w:t>
      </w:r>
      <w:proofErr w:type="spellEnd"/>
      <w:r w:rsidRPr="0064406F">
        <w:rPr>
          <w:rFonts w:ascii="Garamond" w:hAnsi="Garamond"/>
          <w:lang w:val="en-GB"/>
        </w:rPr>
        <w:t xml:space="preserve"> of reform in liberal education. </w:t>
      </w:r>
      <w:hyperlink r:id="rId27" w:history="1">
        <w:r w:rsidRPr="00B244F5">
          <w:rPr>
            <w:rStyle w:val="Hyperlink"/>
            <w:rFonts w:ascii="Garamond" w:hAnsi="Garamond"/>
            <w:lang w:val="en-GB"/>
          </w:rPr>
          <w:t>https://www.hup.harvard.edu/catalog.php?isbn=9780674179486</w:t>
        </w:r>
      </w:hyperlink>
    </w:p>
    <w:p w:rsidR="003D5A5A" w:rsidRPr="00C50750" w:rsidRDefault="003D5A5A" w:rsidP="0064406F">
      <w:pPr>
        <w:pStyle w:val="ListParagraph"/>
        <w:numPr>
          <w:ilvl w:val="0"/>
          <w:numId w:val="4"/>
        </w:numPr>
        <w:spacing w:line="360" w:lineRule="auto"/>
        <w:rPr>
          <w:rFonts w:ascii="Garamond" w:hAnsi="Garamond"/>
          <w:color w:val="000000" w:themeColor="text1"/>
          <w:lang w:val="en-GB"/>
        </w:rPr>
      </w:pPr>
      <w:r w:rsidRPr="00C50750">
        <w:rPr>
          <w:rFonts w:ascii="Garamond" w:hAnsi="Garamond"/>
          <w:color w:val="000000" w:themeColor="text1"/>
          <w:lang w:val="en-GB"/>
        </w:rPr>
        <w:t xml:space="preserve">Owen, Wilfred. </w:t>
      </w:r>
      <w:r w:rsidRPr="00C50750">
        <w:rPr>
          <w:rFonts w:ascii="Garamond" w:hAnsi="Garamond"/>
          <w:i/>
          <w:iCs/>
          <w:color w:val="000000" w:themeColor="text1"/>
          <w:lang w:val="en-GB"/>
        </w:rPr>
        <w:t>The Poems of Wilfred Owen</w:t>
      </w:r>
      <w:r w:rsidRPr="00C50750">
        <w:rPr>
          <w:rFonts w:ascii="Garamond" w:hAnsi="Garamond"/>
          <w:color w:val="000000" w:themeColor="text1"/>
          <w:lang w:val="en-GB"/>
        </w:rPr>
        <w:t>. Edited by Jon Stallworthy, Chatto &amp; Windus, 1990.</w:t>
      </w:r>
    </w:p>
    <w:p w:rsidR="003D5A5A" w:rsidRPr="00C50750" w:rsidRDefault="003D5A5A" w:rsidP="0064406F">
      <w:pPr>
        <w:pStyle w:val="ListParagraph"/>
        <w:numPr>
          <w:ilvl w:val="0"/>
          <w:numId w:val="4"/>
        </w:numPr>
        <w:spacing w:line="360" w:lineRule="auto"/>
        <w:rPr>
          <w:rFonts w:ascii="Garamond" w:hAnsi="Garamond"/>
          <w:color w:val="000000" w:themeColor="text1"/>
          <w:lang w:val="en-GB"/>
        </w:rPr>
      </w:pPr>
      <w:proofErr w:type="spellStart"/>
      <w:r w:rsidRPr="00C50750">
        <w:rPr>
          <w:rFonts w:ascii="Garamond" w:hAnsi="Garamond"/>
          <w:lang w:val="en-GB"/>
        </w:rPr>
        <w:t>Pardayeva</w:t>
      </w:r>
      <w:proofErr w:type="spellEnd"/>
      <w:r w:rsidRPr="00C50750">
        <w:rPr>
          <w:rFonts w:ascii="Garamond" w:hAnsi="Garamond"/>
          <w:lang w:val="en-GB"/>
        </w:rPr>
        <w:t xml:space="preserve">, </w:t>
      </w:r>
      <w:proofErr w:type="spellStart"/>
      <w:r w:rsidRPr="00C50750">
        <w:rPr>
          <w:rFonts w:ascii="Garamond" w:hAnsi="Garamond"/>
          <w:lang w:val="en-GB"/>
        </w:rPr>
        <w:t>Gulhayo</w:t>
      </w:r>
      <w:proofErr w:type="spellEnd"/>
      <w:r w:rsidRPr="00C50750">
        <w:rPr>
          <w:rFonts w:ascii="Garamond" w:hAnsi="Garamond"/>
          <w:lang w:val="en-GB"/>
        </w:rPr>
        <w:t xml:space="preserve"> </w:t>
      </w:r>
      <w:proofErr w:type="spellStart"/>
      <w:r w:rsidRPr="00C50750">
        <w:rPr>
          <w:rFonts w:ascii="Garamond" w:hAnsi="Garamond"/>
          <w:lang w:val="en-GB"/>
        </w:rPr>
        <w:t>Baxtiyorovna</w:t>
      </w:r>
      <w:proofErr w:type="spellEnd"/>
      <w:r w:rsidRPr="00C50750">
        <w:rPr>
          <w:rFonts w:ascii="Garamond" w:hAnsi="Garamond"/>
          <w:lang w:val="en-GB"/>
        </w:rPr>
        <w:t>. “The Impact of Digital Technologies on Traditional Literary Studies and Linguistics” ResearchGate, 2025.</w:t>
      </w:r>
    </w:p>
    <w:p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Reshmi, S. (2024). Planetary Water and Oceanic Discourse: Blue Humanities as a New Cultural Turn. ATRAS journal, 5(2), 101-108. </w:t>
      </w:r>
      <w:hyperlink r:id="rId28" w:history="1">
        <w:r w:rsidRPr="00B244F5">
          <w:rPr>
            <w:rStyle w:val="Hyperlink"/>
            <w:rFonts w:ascii="Garamond" w:hAnsi="Garamond"/>
            <w:lang w:val="en-GB"/>
          </w:rPr>
          <w:t>https://doi.org/10.70091/Atras/vol05no2.8</w:t>
        </w:r>
      </w:hyperlink>
    </w:p>
    <w:p w:rsid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color w:val="000000" w:themeColor="text1"/>
          <w:lang w:val="en-GB"/>
        </w:rPr>
        <w:t xml:space="preserve">Roy, A. (2017). The God of Small Things. Penguin Books India. </w:t>
      </w:r>
      <w:hyperlink r:id="rId29" w:history="1">
        <w:r w:rsidRPr="00B244F5">
          <w:rPr>
            <w:rStyle w:val="Hyperlink"/>
            <w:rFonts w:ascii="Garamond" w:hAnsi="Garamond"/>
            <w:lang w:val="en-GB"/>
          </w:rPr>
          <w:t>https://penguin.co.in/book/the-god-of-small-things/</w:t>
        </w:r>
      </w:hyperlink>
    </w:p>
    <w:p w:rsid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color w:val="000000" w:themeColor="text1"/>
          <w:lang w:val="en-GB"/>
        </w:rPr>
        <w:t xml:space="preserve">Rowling, J. K. (2025). Harry Potter and the Goblet of Fire: Interactive Illustrated Edition. Scholastic. </w:t>
      </w:r>
      <w:hyperlink r:id="rId30" w:history="1">
        <w:r w:rsidRPr="00B244F5">
          <w:rPr>
            <w:rStyle w:val="Hyperlink"/>
            <w:rFonts w:ascii="Garamond" w:hAnsi="Garamond"/>
            <w:lang w:val="en-GB"/>
          </w:rPr>
          <w:t>https://www.scholastic.com/parents/books-and-reading/book-lists-and-recommendations/harry-potter-books/harry-potter-goblet-fire-interactive-illustrated-edition.html</w:t>
        </w:r>
      </w:hyperlink>
    </w:p>
    <w:p w:rsidR="0064406F"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lang w:val="en-GB"/>
        </w:rPr>
        <w:t xml:space="preserve">Shakespeare, W. (2008). The tempest. (S. Orgel, Ed.). Oxford University Press. </w:t>
      </w:r>
      <w:hyperlink r:id="rId31" w:history="1">
        <w:r w:rsidRPr="00B244F5">
          <w:rPr>
            <w:rStyle w:val="Hyperlink"/>
            <w:rFonts w:ascii="Garamond" w:hAnsi="Garamond"/>
            <w:lang w:val="en-GB"/>
          </w:rPr>
          <w:t>https://blackwells.co.uk/bookshop/product/The-Tempest-by-William-Shakespeare-Stephen-Orgel-editor/9780199535903</w:t>
        </w:r>
      </w:hyperlink>
    </w:p>
    <w:p w:rsidR="003D5A5A" w:rsidRPr="0064406F" w:rsidRDefault="0064406F" w:rsidP="0064406F">
      <w:pPr>
        <w:pStyle w:val="ListParagraph"/>
        <w:numPr>
          <w:ilvl w:val="0"/>
          <w:numId w:val="4"/>
        </w:numPr>
        <w:spacing w:line="360" w:lineRule="auto"/>
        <w:rPr>
          <w:rFonts w:ascii="Garamond" w:hAnsi="Garamond"/>
          <w:color w:val="000000" w:themeColor="text1"/>
          <w:lang w:val="en-GB"/>
        </w:rPr>
      </w:pPr>
      <w:r w:rsidRPr="0064406F">
        <w:rPr>
          <w:rFonts w:ascii="Garamond" w:hAnsi="Garamond"/>
          <w:color w:val="000000" w:themeColor="text1"/>
          <w:lang w:val="en-GB"/>
        </w:rPr>
        <w:t xml:space="preserve">Tolstoy, L. (2023). Strider: The Story of a Horse. In *The death of Ivan Ilyich and other stories*. Broadview Press. </w:t>
      </w:r>
      <w:hyperlink r:id="rId32" w:history="1">
        <w:r w:rsidRPr="0064406F">
          <w:rPr>
            <w:rStyle w:val="Hyperlink"/>
            <w:rFonts w:ascii="Garamond" w:hAnsi="Garamond"/>
            <w:lang w:val="en-GB"/>
          </w:rPr>
          <w:t>https://broadviewpress.com/product/the-death-of-ivan-ilyich-trade-edition/</w:t>
        </w:r>
      </w:hyperlink>
    </w:p>
    <w:p w:rsidR="0064406F" w:rsidRDefault="0064406F" w:rsidP="003D5A5A">
      <w:pPr>
        <w:spacing w:line="360" w:lineRule="auto"/>
        <w:rPr>
          <w:rFonts w:ascii="Garamond" w:hAnsi="Garamond"/>
          <w:lang w:val="en-GB"/>
        </w:rPr>
      </w:pPr>
    </w:p>
    <w:p w:rsidR="003D5A5A" w:rsidRDefault="003D5A5A" w:rsidP="003D5A5A">
      <w:pPr>
        <w:spacing w:line="360" w:lineRule="auto"/>
        <w:rPr>
          <w:rFonts w:ascii="Garamond" w:hAnsi="Garamond"/>
          <w:lang w:val="en-GB"/>
        </w:rPr>
      </w:pPr>
    </w:p>
    <w:p w:rsidR="000F2C0E" w:rsidRPr="00571386" w:rsidRDefault="000F2C0E" w:rsidP="00751C29">
      <w:pPr>
        <w:spacing w:line="360" w:lineRule="auto"/>
        <w:rPr>
          <w:rFonts w:ascii="Garamond" w:hAnsi="Garamond"/>
        </w:rPr>
      </w:pPr>
    </w:p>
    <w:sectPr w:rsidR="000F2C0E" w:rsidRPr="0057138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973" w:rsidRDefault="00A82973" w:rsidP="001565BE">
      <w:r>
        <w:separator/>
      </w:r>
    </w:p>
  </w:endnote>
  <w:endnote w:type="continuationSeparator" w:id="0">
    <w:p w:rsidR="00A82973" w:rsidRDefault="00A82973" w:rsidP="0015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5BE" w:rsidRDefault="0015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5BE" w:rsidRDefault="00156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5BE" w:rsidRDefault="0015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973" w:rsidRDefault="00A82973" w:rsidP="001565BE">
      <w:r>
        <w:separator/>
      </w:r>
    </w:p>
  </w:footnote>
  <w:footnote w:type="continuationSeparator" w:id="0">
    <w:p w:rsidR="00A82973" w:rsidRDefault="00A82973" w:rsidP="0015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5BE" w:rsidRDefault="001565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5BE" w:rsidRDefault="001565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5BE" w:rsidRDefault="001565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2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A3CFE"/>
    <w:multiLevelType w:val="hybridMultilevel"/>
    <w:tmpl w:val="C0DEA5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20270D"/>
    <w:multiLevelType w:val="hybridMultilevel"/>
    <w:tmpl w:val="26D068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4B32B4"/>
    <w:multiLevelType w:val="hybridMultilevel"/>
    <w:tmpl w:val="FA38CF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EF089B"/>
    <w:multiLevelType w:val="hybridMultilevel"/>
    <w:tmpl w:val="835AB59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9C"/>
    <w:rsid w:val="000F2C0E"/>
    <w:rsid w:val="00142C5E"/>
    <w:rsid w:val="0015272E"/>
    <w:rsid w:val="001565BE"/>
    <w:rsid w:val="00256BA8"/>
    <w:rsid w:val="003D5A5A"/>
    <w:rsid w:val="00432B9B"/>
    <w:rsid w:val="00450A9C"/>
    <w:rsid w:val="0052065B"/>
    <w:rsid w:val="00556ACA"/>
    <w:rsid w:val="00571386"/>
    <w:rsid w:val="005E5FD2"/>
    <w:rsid w:val="005F4B21"/>
    <w:rsid w:val="0064406F"/>
    <w:rsid w:val="00683856"/>
    <w:rsid w:val="006B7FCA"/>
    <w:rsid w:val="006D71D1"/>
    <w:rsid w:val="00751C29"/>
    <w:rsid w:val="007C5AA4"/>
    <w:rsid w:val="008C5259"/>
    <w:rsid w:val="00924884"/>
    <w:rsid w:val="00925D5B"/>
    <w:rsid w:val="00962274"/>
    <w:rsid w:val="00982B9B"/>
    <w:rsid w:val="00A063E0"/>
    <w:rsid w:val="00A82973"/>
    <w:rsid w:val="00BF10FE"/>
    <w:rsid w:val="00C50750"/>
    <w:rsid w:val="00D4066E"/>
    <w:rsid w:val="00DE0465"/>
    <w:rsid w:val="00DF6994"/>
    <w:rsid w:val="00F53D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78DC52"/>
  <w15:chartTrackingRefBased/>
  <w15:docId w15:val="{E4A2B476-EEE0-4844-94B1-8B95EB19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A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0A9C"/>
    <w:rPr>
      <w:color w:val="0000FF"/>
      <w:u w:val="single"/>
    </w:rPr>
  </w:style>
  <w:style w:type="paragraph" w:styleId="ListParagraph">
    <w:name w:val="List Paragraph"/>
    <w:basedOn w:val="Normal"/>
    <w:uiPriority w:val="34"/>
    <w:qFormat/>
    <w:rsid w:val="00BF10FE"/>
    <w:pPr>
      <w:ind w:left="720"/>
      <w:contextualSpacing/>
    </w:pPr>
  </w:style>
  <w:style w:type="character" w:styleId="UnresolvedMention">
    <w:name w:val="Unresolved Mention"/>
    <w:basedOn w:val="DefaultParagraphFont"/>
    <w:uiPriority w:val="99"/>
    <w:semiHidden/>
    <w:unhideWhenUsed/>
    <w:rsid w:val="0064406F"/>
    <w:rPr>
      <w:color w:val="605E5C"/>
      <w:shd w:val="clear" w:color="auto" w:fill="E1DFDD"/>
    </w:rPr>
  </w:style>
  <w:style w:type="paragraph" w:styleId="Header">
    <w:name w:val="header"/>
    <w:basedOn w:val="Normal"/>
    <w:link w:val="HeaderChar"/>
    <w:uiPriority w:val="99"/>
    <w:unhideWhenUsed/>
    <w:rsid w:val="001565BE"/>
    <w:pPr>
      <w:tabs>
        <w:tab w:val="center" w:pos="4680"/>
        <w:tab w:val="right" w:pos="9360"/>
      </w:tabs>
    </w:pPr>
  </w:style>
  <w:style w:type="character" w:customStyle="1" w:styleId="HeaderChar">
    <w:name w:val="Header Char"/>
    <w:basedOn w:val="DefaultParagraphFont"/>
    <w:link w:val="Header"/>
    <w:uiPriority w:val="99"/>
    <w:rsid w:val="001565BE"/>
  </w:style>
  <w:style w:type="paragraph" w:styleId="Footer">
    <w:name w:val="footer"/>
    <w:basedOn w:val="Normal"/>
    <w:link w:val="FooterChar"/>
    <w:uiPriority w:val="99"/>
    <w:unhideWhenUsed/>
    <w:rsid w:val="001565BE"/>
    <w:pPr>
      <w:tabs>
        <w:tab w:val="center" w:pos="4680"/>
        <w:tab w:val="right" w:pos="9360"/>
      </w:tabs>
    </w:pPr>
  </w:style>
  <w:style w:type="character" w:customStyle="1" w:styleId="FooterChar">
    <w:name w:val="Footer Char"/>
    <w:basedOn w:val="DefaultParagraphFont"/>
    <w:link w:val="Footer"/>
    <w:uiPriority w:val="99"/>
    <w:rsid w:val="0015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pli.2024.9" TargetMode="External"/><Relationship Id="rId18" Type="http://schemas.openxmlformats.org/officeDocument/2006/relationships/hyperlink" Target="https://doi.org/10.1215/22011919-10943081" TargetMode="External"/><Relationship Id="rId26" Type="http://schemas.openxmlformats.org/officeDocument/2006/relationships/hyperlink" Target="https://doi.org/10.1093/9780198952626.003.0001" TargetMode="External"/><Relationship Id="rId39" Type="http://schemas.openxmlformats.org/officeDocument/2006/relationships/fontTable" Target="fontTable.xml"/><Relationship Id="rId21" Type="http://schemas.openxmlformats.org/officeDocument/2006/relationships/hyperlink" Target="https://doi.org/10.1017/9781009159708.021" TargetMode="External"/><Relationship Id="rId34" Type="http://schemas.openxmlformats.org/officeDocument/2006/relationships/header" Target="header2.xml"/><Relationship Id="rId7" Type="http://schemas.openxmlformats.org/officeDocument/2006/relationships/hyperlink" Target="https://www.penguinrandomhouse.com/books/100000/things-fall-apart-by-chinua-achebe-9780385474542/" TargetMode="External"/><Relationship Id="rId12" Type="http://schemas.openxmlformats.org/officeDocument/2006/relationships/hyperlink" Target="https://doi.org/10.4324/9780203820551" TargetMode="External"/><Relationship Id="rId17" Type="http://schemas.openxmlformats.org/officeDocument/2006/relationships/hyperlink" Target="https://www.hup.harvard.edu/catalog.php?isbn=9780674018242" TargetMode="External"/><Relationship Id="rId25" Type="http://schemas.openxmlformats.org/officeDocument/2006/relationships/hyperlink" Target="https://www.penguinrandomhouse.com/books/288900/beloved-by-toni-morrison-read-by-toni-morrison-and-karen-murray-introduction-by-honoree-fanonne-jeffer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ess.uchicago.edu/ucp/books/book/chicago/P/bo5953000.html" TargetMode="External"/><Relationship Id="rId20" Type="http://schemas.openxmlformats.org/officeDocument/2006/relationships/hyperlink" Target="http://www.upress.umn.edu" TargetMode="External"/><Relationship Id="rId29" Type="http://schemas.openxmlformats.org/officeDocument/2006/relationships/hyperlink" Target="https://penguin.co.in/book/the-god-of-small-thin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nguinrandomhouse.com/books/10000/oryx-and-crake-by-margaret-atwood-9780385721677/" TargetMode="External"/><Relationship Id="rId24" Type="http://schemas.openxmlformats.org/officeDocument/2006/relationships/hyperlink" Target="https://doi.org/10.1215/00029831-11845230" TargetMode="External"/><Relationship Id="rId32" Type="http://schemas.openxmlformats.org/officeDocument/2006/relationships/hyperlink" Target="https://broadviewpress.com/product/the-death-of-ivan-ilyich-trade-edition/"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vapress.virginia.edu/title/mapping-the-ethical-turn/" TargetMode="External"/><Relationship Id="rId23" Type="http://schemas.openxmlformats.org/officeDocument/2006/relationships/hyperlink" Target="https://doi.org/10.1515/culture-2024-0038" TargetMode="External"/><Relationship Id="rId28" Type="http://schemas.openxmlformats.org/officeDocument/2006/relationships/hyperlink" Target="https://doi.org/10.70091/Atras/vol05no2.8" TargetMode="External"/><Relationship Id="rId36" Type="http://schemas.openxmlformats.org/officeDocument/2006/relationships/footer" Target="footer2.xml"/><Relationship Id="rId10" Type="http://schemas.openxmlformats.org/officeDocument/2006/relationships/hyperlink" Target="https://doi.org/10.3390/h5040084" TargetMode="External"/><Relationship Id="rId19" Type="http://schemas.openxmlformats.org/officeDocument/2006/relationships/hyperlink" Target="https://www.harpercollins.com/products/the-hungry-tide-amitav-ghosh?variant=32207490000930" TargetMode="External"/><Relationship Id="rId31" Type="http://schemas.openxmlformats.org/officeDocument/2006/relationships/hyperlink" Target="https://blackwells.co.uk/bookshop/product/The-Tempest-by-William-Shakespeare-Stephen-Orgel-editor/9780199535903" TargetMode="External"/><Relationship Id="rId4" Type="http://schemas.openxmlformats.org/officeDocument/2006/relationships/webSettings" Target="webSettings.xml"/><Relationship Id="rId9" Type="http://schemas.openxmlformats.org/officeDocument/2006/relationships/hyperlink" Target="https://www.routledge.com/The-Cultural-Politics-of-Emotion/Ahmed-Sara/p/book/9781138805033" TargetMode="External"/><Relationship Id="rId14" Type="http://schemas.openxmlformats.org/officeDocument/2006/relationships/hyperlink" Target="https://www.penguin.co.uk/books/1784879051/disgrace-by-j-m-coetzee/9781784879051" TargetMode="External"/><Relationship Id="rId22" Type="http://schemas.openxmlformats.org/officeDocument/2006/relationships/hyperlink" Target="https://cswr.hds.harvard.edu/news/2024/11/phytopoetics-how-plants-shape-literature-and-culture-and-why-they-matter-times-crisis" TargetMode="External"/><Relationship Id="rId27" Type="http://schemas.openxmlformats.org/officeDocument/2006/relationships/hyperlink" Target="https://www.hup.harvard.edu/catalog.php?isbn=9780674179486" TargetMode="External"/><Relationship Id="rId30" Type="http://schemas.openxmlformats.org/officeDocument/2006/relationships/hyperlink" Target="https://www.scholastic.com/parents/books-and-reading/book-lists-and-recommendations/harry-potter-books/harry-potter-goblet-fire-interactive-illustrated-edition.html" TargetMode="External"/><Relationship Id="rId35" Type="http://schemas.openxmlformats.org/officeDocument/2006/relationships/footer" Target="footer1.xml"/><Relationship Id="rId8" Type="http://schemas.openxmlformats.org/officeDocument/2006/relationships/hyperlink" Target="https://doi.org/10.1080/14780887.2024.238087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25</Pages>
  <Words>10721</Words>
  <Characters>61114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1180</cp:lastModifiedBy>
  <cp:revision>28</cp:revision>
  <dcterms:created xsi:type="dcterms:W3CDTF">2025-12-03T12:57:00Z</dcterms:created>
  <dcterms:modified xsi:type="dcterms:W3CDTF">2025-12-11T12:47:00Z</dcterms:modified>
</cp:coreProperties>
</file>