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7564D" w14:textId="48A81756" w:rsidR="00836DE6" w:rsidRDefault="002B6515" w:rsidP="00627E50">
      <w:pPr>
        <w:spacing w:before="120" w:after="120" w:line="360" w:lineRule="auto"/>
        <w:jc w:val="both"/>
        <w:rPr>
          <w:rFonts w:ascii="Arial" w:hAnsi="Arial"/>
          <w:b/>
          <w:bCs/>
          <w:sz w:val="22"/>
          <w:szCs w:val="22"/>
        </w:rPr>
      </w:pPr>
      <w:r w:rsidRPr="002B6515">
        <w:rPr>
          <w:rFonts w:ascii="Arial" w:hAnsi="Arial"/>
          <w:b/>
          <w:bCs/>
          <w:sz w:val="22"/>
          <w:szCs w:val="22"/>
        </w:rPr>
        <w:t>Effect of mineral fertilisation on organic carbon stocks in soils under cocoa trees in south-western Côte d'Ivoire</w:t>
      </w:r>
    </w:p>
    <w:p w14:paraId="400A4287" w14:textId="77777777" w:rsidR="00FC70AA" w:rsidRDefault="00FC70AA" w:rsidP="00836DE6">
      <w:pPr>
        <w:spacing w:before="240" w:after="120" w:line="360" w:lineRule="auto"/>
        <w:jc w:val="both"/>
        <w:rPr>
          <w:rFonts w:ascii="Arial" w:hAnsi="Arial"/>
          <w:b/>
          <w:bCs/>
          <w:sz w:val="22"/>
          <w:szCs w:val="22"/>
        </w:rPr>
      </w:pPr>
    </w:p>
    <w:p w14:paraId="7A290C4B" w14:textId="77777777" w:rsidR="00FC70AA" w:rsidRDefault="00FC70AA" w:rsidP="00836DE6">
      <w:pPr>
        <w:spacing w:before="240" w:after="120" w:line="360" w:lineRule="auto"/>
        <w:jc w:val="both"/>
        <w:rPr>
          <w:rFonts w:ascii="Arial" w:hAnsi="Arial"/>
          <w:b/>
          <w:bCs/>
          <w:sz w:val="22"/>
          <w:szCs w:val="22"/>
        </w:rPr>
      </w:pPr>
    </w:p>
    <w:p w14:paraId="40325476" w14:textId="64A71DA4" w:rsidR="002353E1" w:rsidRDefault="002353E1" w:rsidP="00836DE6">
      <w:pPr>
        <w:spacing w:before="240" w:after="120" w:line="360" w:lineRule="auto"/>
        <w:jc w:val="both"/>
        <w:rPr>
          <w:rFonts w:ascii="Arial" w:hAnsi="Arial"/>
          <w:b/>
          <w:bCs/>
          <w:sz w:val="22"/>
          <w:szCs w:val="22"/>
        </w:rPr>
      </w:pPr>
      <w:r w:rsidRPr="002353E1">
        <w:rPr>
          <w:rFonts w:ascii="Arial" w:hAnsi="Arial"/>
          <w:b/>
          <w:bCs/>
          <w:sz w:val="22"/>
          <w:szCs w:val="22"/>
        </w:rPr>
        <w:t>ABSTRAT</w:t>
      </w:r>
    </w:p>
    <w:p w14:paraId="5C66478C" w14:textId="560C6B66" w:rsidR="00604F4B" w:rsidRPr="00604F4B" w:rsidRDefault="00604F4B" w:rsidP="00604F4B">
      <w:pPr>
        <w:spacing w:line="360" w:lineRule="auto"/>
        <w:jc w:val="both"/>
        <w:rPr>
          <w:rFonts w:ascii="Arial" w:hAnsi="Arial"/>
        </w:rPr>
      </w:pPr>
      <w:r w:rsidRPr="00604F4B">
        <w:rPr>
          <w:rFonts w:ascii="Arial" w:hAnsi="Arial"/>
        </w:rPr>
        <w:t xml:space="preserve">Agriculture is partly responsible for environmental degradation due to greenhouse gas emissions. Cocoa farming is no exception because of the fertilizers used, particularly mineral fertilizers, to maintain soil fertility. With the aim of producing cocoa sustainably while preserving the environment, a study is being conducted to identify mineral fertilizers that could have </w:t>
      </w:r>
      <w:proofErr w:type="gramStart"/>
      <w:r w:rsidRPr="00604F4B">
        <w:rPr>
          <w:rFonts w:ascii="Arial" w:hAnsi="Arial"/>
        </w:rPr>
        <w:t>a</w:t>
      </w:r>
      <w:proofErr w:type="gramEnd"/>
      <w:r w:rsidRPr="00604F4B">
        <w:rPr>
          <w:rFonts w:ascii="Arial" w:hAnsi="Arial"/>
        </w:rPr>
        <w:t xml:space="preserve"> positive impact on carbon stocks in cocoa farm soils. The study was conducted over three years in three cocoa farms in the Nawa region, in south-central Côte d'Ivoire. The experimental design consisted of four complete Fisher blocks with four </w:t>
      </w:r>
      <w:proofErr w:type="gramStart"/>
      <w:r w:rsidRPr="00604F4B">
        <w:rPr>
          <w:rFonts w:ascii="Arial" w:hAnsi="Arial"/>
        </w:rPr>
        <w:t>treatments:</w:t>
      </w:r>
      <w:proofErr w:type="gramEnd"/>
      <w:r w:rsidRPr="00604F4B">
        <w:rPr>
          <w:rFonts w:ascii="Arial" w:hAnsi="Arial"/>
        </w:rPr>
        <w:t xml:space="preserve"> T0 was the control without fertilizer, and T1, T2, and T3 were NPK 0-23-19+10CaO+5MgO, NPK 0-15-15+17CaO+5MgO+1B</w:t>
      </w:r>
      <w:r>
        <w:rPr>
          <w:rFonts w:ascii="Arial" w:hAnsi="Arial"/>
          <w:vertAlign w:val="subscript"/>
        </w:rPr>
        <w:t>2</w:t>
      </w:r>
      <w:r w:rsidRPr="00604F4B">
        <w:rPr>
          <w:rFonts w:ascii="Arial" w:hAnsi="Arial"/>
        </w:rPr>
        <w:t>O</w:t>
      </w:r>
      <w:r>
        <w:rPr>
          <w:rFonts w:ascii="Arial" w:hAnsi="Arial"/>
          <w:vertAlign w:val="subscript"/>
        </w:rPr>
        <w:t>3</w:t>
      </w:r>
      <w:r w:rsidRPr="00604F4B">
        <w:rPr>
          <w:rFonts w:ascii="Arial" w:hAnsi="Arial"/>
        </w:rPr>
        <w:t>+0.5Zn, and NPK 4-10-10+19CaO+4MgO+0.8B</w:t>
      </w:r>
      <w:r>
        <w:rPr>
          <w:rFonts w:ascii="Arial" w:hAnsi="Arial"/>
          <w:vertAlign w:val="subscript"/>
        </w:rPr>
        <w:t>2</w:t>
      </w:r>
      <w:r w:rsidRPr="00604F4B">
        <w:rPr>
          <w:rFonts w:ascii="Arial" w:hAnsi="Arial"/>
        </w:rPr>
        <w:t>O</w:t>
      </w:r>
      <w:r>
        <w:rPr>
          <w:rFonts w:ascii="Arial" w:hAnsi="Arial"/>
          <w:vertAlign w:val="subscript"/>
        </w:rPr>
        <w:t>3</w:t>
      </w:r>
      <w:r w:rsidRPr="00604F4B">
        <w:rPr>
          <w:rFonts w:ascii="Arial" w:hAnsi="Arial"/>
        </w:rPr>
        <w:t>+0.3Zn, respectively. Soil carbon stocks were measured in the top 30 centimeters using a synchronous approach in the third year of the experiment.</w:t>
      </w:r>
      <w:r>
        <w:rPr>
          <w:rFonts w:ascii="Arial" w:hAnsi="Arial"/>
        </w:rPr>
        <w:t xml:space="preserve"> </w:t>
      </w:r>
      <w:r w:rsidRPr="00604F4B">
        <w:rPr>
          <w:rFonts w:ascii="Arial" w:hAnsi="Arial"/>
        </w:rPr>
        <w:t xml:space="preserve">The results indicate that soil organic carbon stocks do not differ significantly between the various treatments. However, the emerging trend reveals that T1, T3, and T2, in that order, stored more organic carbon in the soil than T0. Their average values are, in that </w:t>
      </w:r>
      <w:proofErr w:type="gramStart"/>
      <w:r w:rsidRPr="00604F4B">
        <w:rPr>
          <w:rFonts w:ascii="Arial" w:hAnsi="Arial"/>
        </w:rPr>
        <w:t>order:</w:t>
      </w:r>
      <w:proofErr w:type="gramEnd"/>
      <w:r w:rsidRPr="00604F4B">
        <w:rPr>
          <w:rFonts w:ascii="Arial" w:hAnsi="Arial"/>
        </w:rPr>
        <w:t xml:space="preserve"> 5517.3; 4747.5; 4076.7; 3650.9 gC.m</w:t>
      </w:r>
      <w:r>
        <w:rPr>
          <w:rFonts w:ascii="Arial" w:hAnsi="Arial"/>
          <w:vertAlign w:val="superscript"/>
        </w:rPr>
        <w:t>-2</w:t>
      </w:r>
      <w:r w:rsidRPr="00604F4B">
        <w:rPr>
          <w:rFonts w:ascii="Arial" w:hAnsi="Arial"/>
        </w:rPr>
        <w:t>. These results show that it is possible to make cocoa farming more sustainable by adopting mineral fertilization. However, it is necessary to conduct this study over the long term to see what changes may occur.</w:t>
      </w:r>
    </w:p>
    <w:p w14:paraId="16683F1E" w14:textId="1E122A39" w:rsidR="00836DE6" w:rsidRDefault="00836DE6" w:rsidP="00836DE6">
      <w:pPr>
        <w:spacing w:before="120" w:after="120" w:line="360" w:lineRule="auto"/>
        <w:jc w:val="both"/>
        <w:rPr>
          <w:rFonts w:ascii="Arial" w:hAnsi="Arial"/>
        </w:rPr>
      </w:pPr>
      <w:r w:rsidRPr="00836DE6">
        <w:rPr>
          <w:rFonts w:ascii="Arial" w:hAnsi="Arial"/>
        </w:rPr>
        <w:t>Keywords</w:t>
      </w:r>
      <w:r w:rsidR="00097DA9">
        <w:rPr>
          <w:rFonts w:ascii="Arial" w:hAnsi="Arial"/>
        </w:rPr>
        <w:t xml:space="preserve"> </w:t>
      </w:r>
      <w:r w:rsidRPr="00836DE6">
        <w:rPr>
          <w:rFonts w:ascii="Arial" w:hAnsi="Arial"/>
        </w:rPr>
        <w:t xml:space="preserve">: </w:t>
      </w:r>
      <w:r w:rsidR="008309FF" w:rsidRPr="008309FF">
        <w:rPr>
          <w:rFonts w:ascii="Arial" w:hAnsi="Arial"/>
        </w:rPr>
        <w:t>Mineral fertilization</w:t>
      </w:r>
      <w:r w:rsidR="008309FF">
        <w:rPr>
          <w:rFonts w:ascii="Arial" w:hAnsi="Arial"/>
        </w:rPr>
        <w:t xml:space="preserve"> - </w:t>
      </w:r>
      <w:r w:rsidR="008309FF" w:rsidRPr="008309FF">
        <w:rPr>
          <w:rFonts w:ascii="Arial" w:hAnsi="Arial"/>
        </w:rPr>
        <w:t>Carbon stock</w:t>
      </w:r>
      <w:r w:rsidR="008309FF">
        <w:rPr>
          <w:rFonts w:ascii="Arial" w:hAnsi="Arial"/>
        </w:rPr>
        <w:t xml:space="preserve"> – </w:t>
      </w:r>
      <w:r w:rsidR="008309FF" w:rsidRPr="008309FF">
        <w:rPr>
          <w:rFonts w:ascii="Arial" w:hAnsi="Arial"/>
        </w:rPr>
        <w:t>Soil</w:t>
      </w:r>
      <w:r w:rsidR="008309FF">
        <w:rPr>
          <w:rFonts w:ascii="Arial" w:hAnsi="Arial"/>
        </w:rPr>
        <w:t xml:space="preserve"> – Côte d’Ivoire</w:t>
      </w:r>
    </w:p>
    <w:p w14:paraId="2A78DE2C" w14:textId="47420EAA" w:rsidR="00627E50" w:rsidRPr="00C82124" w:rsidRDefault="005E24F7" w:rsidP="00836DE6">
      <w:pPr>
        <w:spacing w:before="240" w:after="120" w:line="360" w:lineRule="auto"/>
        <w:jc w:val="both"/>
        <w:rPr>
          <w:rFonts w:ascii="Arial" w:hAnsi="Arial"/>
          <w:b/>
          <w:bCs/>
          <w:sz w:val="22"/>
          <w:szCs w:val="22"/>
        </w:rPr>
      </w:pPr>
      <w:r>
        <w:rPr>
          <w:rFonts w:ascii="Arial" w:hAnsi="Arial"/>
          <w:b/>
          <w:bCs/>
          <w:sz w:val="22"/>
          <w:szCs w:val="22"/>
        </w:rPr>
        <w:t xml:space="preserve">1. </w:t>
      </w:r>
      <w:r w:rsidR="007F1A60" w:rsidRPr="00C82124">
        <w:rPr>
          <w:rFonts w:ascii="Arial" w:hAnsi="Arial"/>
          <w:b/>
          <w:bCs/>
          <w:sz w:val="22"/>
          <w:szCs w:val="22"/>
        </w:rPr>
        <w:t>INTRODUCTION</w:t>
      </w:r>
    </w:p>
    <w:p w14:paraId="120FE60B" w14:textId="562972C2" w:rsidR="005905E5" w:rsidRPr="007F1A60" w:rsidRDefault="005905E5" w:rsidP="006140E8">
      <w:pPr>
        <w:spacing w:before="120" w:after="240" w:line="360" w:lineRule="auto"/>
        <w:jc w:val="both"/>
        <w:rPr>
          <w:rFonts w:ascii="Arial" w:hAnsi="Arial"/>
        </w:rPr>
      </w:pPr>
      <w:r w:rsidRPr="005905E5">
        <w:rPr>
          <w:rFonts w:ascii="Arial" w:hAnsi="Arial"/>
        </w:rPr>
        <w:t xml:space="preserve">Maintaining soil fertility is essential for agricultural production. This requires efficient management of available resources, including soil organic carbon, which is the nutrient source for most soil fauna. These organisms ensure the biological fertility of soils, where they themselves become organic matter after death (Smith </w:t>
      </w:r>
      <w:r w:rsidRPr="00302D2E">
        <w:rPr>
          <w:rFonts w:ascii="Arial" w:hAnsi="Arial"/>
          <w:i/>
          <w:iCs/>
        </w:rPr>
        <w:t>et al.,</w:t>
      </w:r>
      <w:r w:rsidRPr="005905E5">
        <w:rPr>
          <w:rFonts w:ascii="Arial" w:hAnsi="Arial"/>
        </w:rPr>
        <w:t xml:space="preserve"> 2022</w:t>
      </w:r>
      <w:r w:rsidR="00302D2E">
        <w:rPr>
          <w:rFonts w:ascii="Arial" w:hAnsi="Arial"/>
        </w:rPr>
        <w:t xml:space="preserve"> </w:t>
      </w:r>
      <w:r w:rsidRPr="005905E5">
        <w:rPr>
          <w:rFonts w:ascii="Arial" w:hAnsi="Arial"/>
        </w:rPr>
        <w:t xml:space="preserve">; Lehmann &amp; Kleber, 2015). The production of soil organic carbon therefore depends on the available organic matter from animal and plant sources (Cotrufo </w:t>
      </w:r>
      <w:r w:rsidRPr="00302D2E">
        <w:rPr>
          <w:rFonts w:ascii="Arial" w:hAnsi="Arial"/>
          <w:i/>
          <w:iCs/>
        </w:rPr>
        <w:t>et al.,</w:t>
      </w:r>
      <w:r w:rsidRPr="005905E5">
        <w:rPr>
          <w:rFonts w:ascii="Arial" w:hAnsi="Arial"/>
        </w:rPr>
        <w:t xml:space="preserve"> 2019). Declining agricultural yields due to soil fertility degradation and the effects of climate change have led farmers to adopt new methods of managing their farms in order to maintain and even improve agricultural yields (Bossio </w:t>
      </w:r>
      <w:r w:rsidRPr="005905E5">
        <w:rPr>
          <w:rFonts w:ascii="Arial" w:hAnsi="Arial"/>
          <w:i/>
          <w:iCs/>
        </w:rPr>
        <w:t>et al.,</w:t>
      </w:r>
      <w:r w:rsidRPr="005905E5">
        <w:rPr>
          <w:rFonts w:ascii="Arial" w:hAnsi="Arial"/>
        </w:rPr>
        <w:t xml:space="preserve"> 2020</w:t>
      </w:r>
      <w:r w:rsidR="00302D2E">
        <w:rPr>
          <w:rFonts w:ascii="Arial" w:hAnsi="Arial"/>
        </w:rPr>
        <w:t xml:space="preserve"> </w:t>
      </w:r>
      <w:r w:rsidRPr="005905E5">
        <w:rPr>
          <w:rFonts w:ascii="Arial" w:hAnsi="Arial"/>
        </w:rPr>
        <w:t xml:space="preserve">; Lal, 2021). This observation is also evident in Côte d'Ivoire, particularly in cocoa farming, where the country is the world's leading producer and where cocoa systems are facing aging plantations, soil depletion, and increased climate pressure (Koko </w:t>
      </w:r>
      <w:r w:rsidRPr="005905E5">
        <w:rPr>
          <w:rFonts w:ascii="Arial" w:hAnsi="Arial"/>
          <w:i/>
          <w:iCs/>
        </w:rPr>
        <w:t>et al.,</w:t>
      </w:r>
      <w:r w:rsidRPr="005905E5">
        <w:rPr>
          <w:rFonts w:ascii="Arial" w:hAnsi="Arial"/>
        </w:rPr>
        <w:t xml:space="preserve"> 2021</w:t>
      </w:r>
      <w:r w:rsidR="00302D2E">
        <w:rPr>
          <w:rFonts w:ascii="Arial" w:hAnsi="Arial"/>
        </w:rPr>
        <w:t xml:space="preserve"> </w:t>
      </w:r>
      <w:r w:rsidRPr="005905E5">
        <w:rPr>
          <w:rFonts w:ascii="Arial" w:hAnsi="Arial"/>
        </w:rPr>
        <w:t xml:space="preserve">; Jagoret </w:t>
      </w:r>
      <w:r w:rsidRPr="00655513">
        <w:rPr>
          <w:rFonts w:ascii="Arial" w:hAnsi="Arial"/>
          <w:i/>
          <w:iCs/>
        </w:rPr>
        <w:t>et al.,</w:t>
      </w:r>
      <w:r w:rsidRPr="005905E5">
        <w:rPr>
          <w:rFonts w:ascii="Arial" w:hAnsi="Arial"/>
        </w:rPr>
        <w:t xml:space="preserve"> 2018). These new methods concern irrigation and fertilization, as well as the selection of new, more resistant and productive varieties.</w:t>
      </w:r>
      <w:r w:rsidRPr="005905E5">
        <w:t xml:space="preserve"> </w:t>
      </w:r>
      <w:r w:rsidRPr="005905E5">
        <w:rPr>
          <w:rFonts w:ascii="Arial" w:hAnsi="Arial"/>
        </w:rPr>
        <w:t xml:space="preserve">When it comes to fertilization, research and development organizations have always recommended the use of mineral inputs to increase soil fertility and ensure better agricultural yields. However, the excessive use of this type of fertilizer causes soil acidification and therefore soil </w:t>
      </w:r>
      <w:r w:rsidRPr="005905E5">
        <w:rPr>
          <w:rFonts w:ascii="Arial" w:hAnsi="Arial"/>
        </w:rPr>
        <w:lastRenderedPageBreak/>
        <w:t xml:space="preserve">infertility. This acidification leads to the destruction of wildlife and a reduction in plant residue production, reducing the amount of organic matter in the soil and compromising the resilience of the system (Huyan </w:t>
      </w:r>
      <w:r w:rsidRPr="00302D2E">
        <w:rPr>
          <w:rFonts w:ascii="Arial" w:hAnsi="Arial"/>
          <w:i/>
          <w:iCs/>
        </w:rPr>
        <w:t xml:space="preserve">et al., </w:t>
      </w:r>
      <w:r w:rsidRPr="005905E5">
        <w:rPr>
          <w:rFonts w:ascii="Arial" w:hAnsi="Arial"/>
        </w:rPr>
        <w:t>2021). This is why, as part of the project to research mineral fertilizers that can be used to produce cocoa sustainably, one component is devoted to their impact on soil carbon stocks.</w:t>
      </w:r>
    </w:p>
    <w:p w14:paraId="457F791B" w14:textId="7829D8A9" w:rsidR="00757B4F" w:rsidRPr="005E24F7" w:rsidRDefault="005E24F7" w:rsidP="005E24F7">
      <w:pPr>
        <w:pStyle w:val="ListParagraph"/>
        <w:numPr>
          <w:ilvl w:val="0"/>
          <w:numId w:val="30"/>
        </w:numPr>
        <w:spacing w:line="360" w:lineRule="auto"/>
        <w:rPr>
          <w:rFonts w:ascii="Arial" w:hAnsi="Arial"/>
          <w:b/>
          <w:bCs/>
          <w:sz w:val="22"/>
          <w:szCs w:val="22"/>
        </w:rPr>
      </w:pPr>
      <w:bookmarkStart w:id="0" w:name="_Hlk199808656"/>
      <w:r w:rsidRPr="005E24F7">
        <w:rPr>
          <w:rFonts w:ascii="Arial" w:hAnsi="Arial"/>
          <w:b/>
          <w:bCs/>
          <w:sz w:val="22"/>
          <w:szCs w:val="22"/>
        </w:rPr>
        <w:t>MATERIAL AND METHODS</w:t>
      </w:r>
    </w:p>
    <w:p w14:paraId="4655CB23" w14:textId="50E216BA" w:rsidR="00757B4F" w:rsidRPr="00F069B0" w:rsidRDefault="00F069B0" w:rsidP="006140E8">
      <w:pPr>
        <w:pStyle w:val="ListParagraph"/>
        <w:numPr>
          <w:ilvl w:val="1"/>
          <w:numId w:val="30"/>
        </w:numPr>
        <w:spacing w:after="120" w:line="360" w:lineRule="auto"/>
        <w:ind w:left="426" w:hanging="426"/>
        <w:rPr>
          <w:rFonts w:ascii="Arial" w:hAnsi="Arial" w:cs="Arial"/>
          <w:b/>
          <w:bCs/>
          <w:sz w:val="22"/>
          <w:szCs w:val="22"/>
        </w:rPr>
      </w:pPr>
      <w:r w:rsidRPr="00F069B0">
        <w:rPr>
          <w:rFonts w:ascii="Arial" w:hAnsi="Arial" w:cs="Arial"/>
          <w:b/>
          <w:bCs/>
          <w:sz w:val="22"/>
          <w:szCs w:val="22"/>
        </w:rPr>
        <w:t xml:space="preserve"> </w:t>
      </w:r>
      <w:r w:rsidR="005E24F7">
        <w:rPr>
          <w:rFonts w:ascii="Arial" w:hAnsi="Arial" w:cs="Arial"/>
          <w:b/>
          <w:bCs/>
          <w:sz w:val="22"/>
          <w:szCs w:val="22"/>
        </w:rPr>
        <w:t>Study Area</w:t>
      </w:r>
    </w:p>
    <w:p w14:paraId="1F7090FE" w14:textId="77777777" w:rsidR="00DD4C08" w:rsidRPr="00DD4C08" w:rsidRDefault="00DD4C08" w:rsidP="00DD4C08">
      <w:pPr>
        <w:autoSpaceDE w:val="0"/>
        <w:autoSpaceDN w:val="0"/>
        <w:adjustRightInd w:val="0"/>
        <w:spacing w:line="360" w:lineRule="auto"/>
        <w:jc w:val="both"/>
        <w:rPr>
          <w:rFonts w:ascii="Arial" w:hAnsi="Arial"/>
        </w:rPr>
      </w:pPr>
      <w:r w:rsidRPr="00DD4C08">
        <w:rPr>
          <w:rFonts w:ascii="Arial" w:hAnsi="Arial"/>
        </w:rPr>
        <w:t>The study was conducted in southwestern Côte d'Ivoire, at the Soubré, Méagui, and Mayo sites in the Nawa region. This region extends between 5°35'32'‘ and 5°58'44’' north latitude and 6°34'24'‘ and 6°36'00’' west longitude (Figure 1). This agroecological zone has a sub-equatorial climate characterized by two rainy seasons (April-June and September-November) and two dry seasons (July-August and December-March). The once dense and humid vegetation has given way to patches of forest and huge plantations of traditional or industrial perennial crops (Brou, 2005).</w:t>
      </w:r>
    </w:p>
    <w:p w14:paraId="77B90916" w14:textId="3C772A01" w:rsidR="00DD4C08" w:rsidRDefault="00DD4C08" w:rsidP="00DD4C08">
      <w:pPr>
        <w:autoSpaceDE w:val="0"/>
        <w:autoSpaceDN w:val="0"/>
        <w:adjustRightInd w:val="0"/>
        <w:spacing w:line="360" w:lineRule="auto"/>
        <w:jc w:val="both"/>
        <w:rPr>
          <w:rFonts w:ascii="Arial" w:hAnsi="Arial"/>
        </w:rPr>
      </w:pPr>
      <w:r w:rsidRPr="00DD4C08">
        <w:rPr>
          <w:rFonts w:ascii="Arial" w:hAnsi="Arial"/>
        </w:rPr>
        <w:t xml:space="preserve">Annual rainfall ranges from 1,203 mm to 1,392 mm, with an average monthly temperature of 25.8°C (Evi </w:t>
      </w:r>
      <w:r w:rsidRPr="00655513">
        <w:rPr>
          <w:rFonts w:ascii="Arial" w:hAnsi="Arial"/>
          <w:i/>
          <w:iCs/>
        </w:rPr>
        <w:t>et al.,</w:t>
      </w:r>
      <w:r w:rsidRPr="00DD4C08">
        <w:rPr>
          <w:rFonts w:ascii="Arial" w:hAnsi="Arial"/>
        </w:rPr>
        <w:t xml:space="preserve"> 2007). The soils found are mostly Ferrasols ICRAFT (2011), according to the WRB classification (2014).</w:t>
      </w:r>
    </w:p>
    <w:p w14:paraId="3F8D2F0D" w14:textId="77777777" w:rsidR="00757B4F" w:rsidRDefault="00757B4F" w:rsidP="00757B4F">
      <w:pPr>
        <w:ind w:left="1701" w:hanging="567"/>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242CF925" wp14:editId="271D86BC">
            <wp:extent cx="3867150" cy="4639111"/>
            <wp:effectExtent l="0" t="0" r="0" b="9525"/>
            <wp:docPr id="788625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25484" name="Image 788625484"/>
                    <pic:cNvPicPr/>
                  </pic:nvPicPr>
                  <pic:blipFill rotWithShape="1">
                    <a:blip r:embed="rId7" cstate="print">
                      <a:extLst>
                        <a:ext uri="{28A0092B-C50C-407E-A947-70E740481C1C}">
                          <a14:useLocalDpi xmlns:a14="http://schemas.microsoft.com/office/drawing/2010/main" val="0"/>
                        </a:ext>
                      </a:extLst>
                    </a:blip>
                    <a:srcRect t="-1" r="42020" b="911"/>
                    <a:stretch/>
                  </pic:blipFill>
                  <pic:spPr bwMode="auto">
                    <a:xfrm>
                      <a:off x="0" y="0"/>
                      <a:ext cx="3884084" cy="4659425"/>
                    </a:xfrm>
                    <a:prstGeom prst="rect">
                      <a:avLst/>
                    </a:prstGeom>
                    <a:ln>
                      <a:noFill/>
                    </a:ln>
                    <a:extLst>
                      <a:ext uri="{53640926-AAD7-44D8-BBD7-CCE9431645EC}">
                        <a14:shadowObscured xmlns:a14="http://schemas.microsoft.com/office/drawing/2010/main"/>
                      </a:ext>
                    </a:extLst>
                  </pic:spPr>
                </pic:pic>
              </a:graphicData>
            </a:graphic>
          </wp:inline>
        </w:drawing>
      </w:r>
    </w:p>
    <w:p w14:paraId="2652E290" w14:textId="4E8E5FA1" w:rsidR="00757B4F" w:rsidRPr="00655513" w:rsidRDefault="00757B4F" w:rsidP="00757B4F">
      <w:pPr>
        <w:spacing w:before="120" w:after="240"/>
        <w:ind w:left="1134"/>
        <w:rPr>
          <w:rFonts w:ascii="Arial" w:hAnsi="Arial"/>
          <w:b/>
          <w:bCs/>
          <w:sz w:val="22"/>
          <w:szCs w:val="22"/>
        </w:rPr>
      </w:pPr>
      <w:r w:rsidRPr="00655513">
        <w:rPr>
          <w:rFonts w:ascii="Arial" w:hAnsi="Arial"/>
          <w:b/>
          <w:bCs/>
          <w:sz w:val="22"/>
          <w:szCs w:val="22"/>
        </w:rPr>
        <w:t xml:space="preserve">Figure 1 : </w:t>
      </w:r>
      <w:r w:rsidR="00097DA9" w:rsidRPr="00655513">
        <w:rPr>
          <w:rFonts w:ascii="Arial" w:hAnsi="Arial"/>
          <w:b/>
          <w:bCs/>
          <w:sz w:val="22"/>
          <w:szCs w:val="22"/>
        </w:rPr>
        <w:t>Map of Côte d'Ivoire showing the study area</w:t>
      </w:r>
    </w:p>
    <w:bookmarkEnd w:id="0"/>
    <w:p w14:paraId="54CA63CF" w14:textId="7067A58F"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bookmarkStart w:id="1" w:name="_Toc116359698"/>
      <w:r w:rsidR="005E24F7">
        <w:rPr>
          <w:rFonts w:ascii="Arial" w:hAnsi="Arial" w:cs="Arial"/>
          <w:b/>
          <w:bCs/>
          <w:sz w:val="22"/>
          <w:szCs w:val="22"/>
        </w:rPr>
        <w:t>Study material</w:t>
      </w:r>
      <w:r w:rsidR="00A86EC9">
        <w:rPr>
          <w:rFonts w:ascii="Arial" w:hAnsi="Arial" w:cs="Arial"/>
          <w:b/>
          <w:bCs/>
          <w:sz w:val="22"/>
          <w:szCs w:val="22"/>
        </w:rPr>
        <w:t>s</w:t>
      </w:r>
    </w:p>
    <w:bookmarkEnd w:id="1"/>
    <w:p w14:paraId="2FAB7CED" w14:textId="77777777" w:rsidR="007C441C" w:rsidRPr="007C441C" w:rsidRDefault="007C441C" w:rsidP="007C441C">
      <w:pPr>
        <w:autoSpaceDE w:val="0"/>
        <w:autoSpaceDN w:val="0"/>
        <w:adjustRightInd w:val="0"/>
        <w:spacing w:line="360" w:lineRule="auto"/>
        <w:jc w:val="both"/>
        <w:rPr>
          <w:rFonts w:ascii="Arial" w:hAnsi="Arial"/>
          <w:color w:val="000000"/>
          <w:lang w:val="fr-CI"/>
        </w:rPr>
      </w:pPr>
      <w:r w:rsidRPr="007C441C">
        <w:rPr>
          <w:rFonts w:ascii="Arial" w:hAnsi="Arial"/>
          <w:color w:val="000000"/>
          <w:lang w:val="fr-CI"/>
        </w:rPr>
        <w:lastRenderedPageBreak/>
        <w:t>NPK 0-23-19+ 10 CaO + 5 MgO, NPK 0-15-15 + 17 CaO + 5 MgO + 1 B2O3 + 0.5 Zn, and NPK 4-10-10 + 19 CaO + 4 MgO + 0.8 B2O3 + 0.3 Zn were used to fertilize the cocoa trees.</w:t>
      </w:r>
    </w:p>
    <w:p w14:paraId="2827CB27" w14:textId="30655492" w:rsidR="007C441C" w:rsidRPr="00F069B0" w:rsidRDefault="007C441C" w:rsidP="007C441C">
      <w:pPr>
        <w:autoSpaceDE w:val="0"/>
        <w:autoSpaceDN w:val="0"/>
        <w:adjustRightInd w:val="0"/>
        <w:spacing w:after="240" w:line="360" w:lineRule="auto"/>
        <w:jc w:val="both"/>
        <w:rPr>
          <w:rFonts w:ascii="Arial" w:hAnsi="Arial"/>
          <w:color w:val="000000"/>
          <w:lang w:val="fr-CI"/>
        </w:rPr>
      </w:pPr>
      <w:r w:rsidRPr="007C441C">
        <w:rPr>
          <w:rFonts w:ascii="Arial" w:hAnsi="Arial"/>
          <w:color w:val="000000"/>
          <w:lang w:val="fr-CI"/>
        </w:rPr>
        <w:t xml:space="preserve">These fertilizers were formulated and proposed for the fertilization of cocoa trees in southwestern Côte d'Ivoire (Kassin </w:t>
      </w:r>
      <w:r w:rsidRPr="007C441C">
        <w:rPr>
          <w:rFonts w:ascii="Arial" w:hAnsi="Arial"/>
          <w:i/>
          <w:iCs/>
          <w:color w:val="000000"/>
          <w:lang w:val="fr-CI"/>
        </w:rPr>
        <w:t>et al</w:t>
      </w:r>
      <w:r w:rsidRPr="007C441C">
        <w:rPr>
          <w:rFonts w:ascii="Arial" w:hAnsi="Arial"/>
          <w:color w:val="000000"/>
          <w:lang w:val="fr-CI"/>
        </w:rPr>
        <w:t>., 2016</w:t>
      </w:r>
      <w:r>
        <w:rPr>
          <w:rFonts w:ascii="Arial" w:hAnsi="Arial"/>
          <w:color w:val="000000"/>
          <w:lang w:val="fr-CI"/>
        </w:rPr>
        <w:t xml:space="preserve"> </w:t>
      </w:r>
      <w:r w:rsidRPr="007C441C">
        <w:rPr>
          <w:rFonts w:ascii="Arial" w:hAnsi="Arial"/>
          <w:color w:val="000000"/>
          <w:lang w:val="fr-CI"/>
        </w:rPr>
        <w:t>; N'Guessan, 2017). They were developed as part of the cocoa tree soil mapping project (IDH project) led by the CNRA.</w:t>
      </w:r>
    </w:p>
    <w:p w14:paraId="0CA4DCCC" w14:textId="5E591902"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r w:rsidR="00A86EC9" w:rsidRPr="00A86EC9">
        <w:rPr>
          <w:rFonts w:ascii="Arial" w:hAnsi="Arial" w:cs="Arial"/>
          <w:b/>
          <w:bCs/>
          <w:sz w:val="22"/>
          <w:szCs w:val="22"/>
        </w:rPr>
        <w:t>Choice of fields</w:t>
      </w:r>
    </w:p>
    <w:p w14:paraId="5DCB5904" w14:textId="77777777" w:rsidR="00836846" w:rsidRPr="00836846" w:rsidRDefault="00836846" w:rsidP="00836846">
      <w:pPr>
        <w:autoSpaceDE w:val="0"/>
        <w:autoSpaceDN w:val="0"/>
        <w:adjustRightInd w:val="0"/>
        <w:spacing w:line="360" w:lineRule="auto"/>
        <w:jc w:val="both"/>
        <w:rPr>
          <w:rFonts w:ascii="Arial" w:hAnsi="Arial"/>
        </w:rPr>
      </w:pPr>
      <w:r w:rsidRPr="00836846">
        <w:rPr>
          <w:rFonts w:ascii="Arial" w:hAnsi="Arial"/>
        </w:rPr>
        <w:t xml:space="preserve">In the Nawa region, three locations were </w:t>
      </w:r>
      <w:proofErr w:type="gramStart"/>
      <w:r w:rsidRPr="00836846">
        <w:rPr>
          <w:rFonts w:ascii="Arial" w:hAnsi="Arial"/>
        </w:rPr>
        <w:t>selected:</w:t>
      </w:r>
      <w:proofErr w:type="gramEnd"/>
      <w:r w:rsidRPr="00836846">
        <w:rPr>
          <w:rFonts w:ascii="Arial" w:hAnsi="Arial"/>
        </w:rPr>
        <w:t xml:space="preserve"> Soubré, Méagui, and Mayo.</w:t>
      </w:r>
    </w:p>
    <w:p w14:paraId="2E6913FE" w14:textId="1AD23244" w:rsidR="00757B4F" w:rsidRPr="00F069B0" w:rsidRDefault="00836846" w:rsidP="00655513">
      <w:pPr>
        <w:autoSpaceDE w:val="0"/>
        <w:autoSpaceDN w:val="0"/>
        <w:adjustRightInd w:val="0"/>
        <w:spacing w:after="120" w:line="360" w:lineRule="auto"/>
        <w:jc w:val="both"/>
        <w:rPr>
          <w:rFonts w:ascii="Arial" w:hAnsi="Arial"/>
        </w:rPr>
      </w:pPr>
      <w:r w:rsidRPr="00836846">
        <w:rPr>
          <w:rFonts w:ascii="Arial" w:hAnsi="Arial"/>
        </w:rPr>
        <w:t>Next, a cocoa plantation per location was selected according to the following criteria</w:t>
      </w:r>
      <w:r>
        <w:rPr>
          <w:rFonts w:ascii="Arial" w:hAnsi="Arial"/>
        </w:rPr>
        <w:t xml:space="preserve"> </w:t>
      </w:r>
      <w:r w:rsidR="00757B4F" w:rsidRPr="00F069B0">
        <w:rPr>
          <w:rFonts w:ascii="Arial" w:hAnsi="Arial"/>
        </w:rPr>
        <w:t>:</w:t>
      </w:r>
    </w:p>
    <w:p w14:paraId="1030C547" w14:textId="24E8AC07" w:rsidR="00757B4F" w:rsidRPr="00F069B0" w:rsidRDefault="00757B4F" w:rsidP="00655513">
      <w:pPr>
        <w:autoSpaceDE w:val="0"/>
        <w:autoSpaceDN w:val="0"/>
        <w:adjustRightInd w:val="0"/>
        <w:spacing w:after="120" w:line="360" w:lineRule="auto"/>
        <w:ind w:firstLine="426"/>
        <w:jc w:val="both"/>
        <w:rPr>
          <w:rFonts w:ascii="Arial" w:hAnsi="Arial"/>
        </w:rPr>
      </w:pPr>
      <w:r w:rsidRPr="00F069B0">
        <w:rPr>
          <w:rFonts w:ascii="Arial" w:hAnsi="Arial"/>
        </w:rPr>
        <w:t xml:space="preserve">- </w:t>
      </w:r>
      <w:r w:rsidR="00836846" w:rsidRPr="00836846">
        <w:rPr>
          <w:rFonts w:ascii="Arial" w:hAnsi="Arial"/>
        </w:rPr>
        <w:t>The plot was selected as part of the cocoa tree soil mapping project (IDH project) led by the CNRA, which resulted in the development of six fertilizer formula hypotheses, four of which are applied here</w:t>
      </w:r>
      <w:r w:rsidR="00836846">
        <w:rPr>
          <w:rFonts w:ascii="Arial" w:hAnsi="Arial"/>
        </w:rPr>
        <w:t xml:space="preserve"> </w:t>
      </w:r>
      <w:r w:rsidRPr="00F069B0">
        <w:rPr>
          <w:rFonts w:ascii="Arial" w:hAnsi="Arial"/>
        </w:rPr>
        <w:t>;</w:t>
      </w:r>
    </w:p>
    <w:p w14:paraId="3A0CEBA4" w14:textId="4D3CDA9B" w:rsidR="00757B4F" w:rsidRPr="00F069B0" w:rsidRDefault="00757B4F" w:rsidP="00655513">
      <w:pPr>
        <w:autoSpaceDE w:val="0"/>
        <w:autoSpaceDN w:val="0"/>
        <w:adjustRightInd w:val="0"/>
        <w:spacing w:after="120" w:line="360" w:lineRule="auto"/>
        <w:ind w:firstLine="426"/>
        <w:jc w:val="both"/>
        <w:rPr>
          <w:rFonts w:ascii="Arial" w:hAnsi="Arial"/>
        </w:rPr>
      </w:pPr>
      <w:r w:rsidRPr="00F069B0">
        <w:rPr>
          <w:rFonts w:ascii="Arial" w:hAnsi="Arial"/>
        </w:rPr>
        <w:t xml:space="preserve">- </w:t>
      </w:r>
      <w:r w:rsidR="00836846" w:rsidRPr="00836846">
        <w:rPr>
          <w:rFonts w:ascii="Arial" w:hAnsi="Arial"/>
        </w:rPr>
        <w:t>Cocoa plantations are between 12 and 15 years old, which is the preferred age range for fertilizer application due to the general depletion of the soil after a long period of cultivation (Ruf, 2014</w:t>
      </w:r>
      <w:r w:rsidRPr="00F069B0">
        <w:rPr>
          <w:rFonts w:ascii="Arial" w:hAnsi="Arial"/>
        </w:rPr>
        <w:t>) ;</w:t>
      </w:r>
    </w:p>
    <w:p w14:paraId="03B78DB7" w14:textId="718A1F38" w:rsidR="00757B4F" w:rsidRPr="00F069B0" w:rsidRDefault="00757B4F" w:rsidP="006140E8">
      <w:pPr>
        <w:autoSpaceDE w:val="0"/>
        <w:autoSpaceDN w:val="0"/>
        <w:adjustRightInd w:val="0"/>
        <w:spacing w:after="240" w:line="360" w:lineRule="auto"/>
        <w:ind w:firstLine="426"/>
        <w:jc w:val="both"/>
        <w:rPr>
          <w:rFonts w:ascii="Arial" w:hAnsi="Arial"/>
        </w:rPr>
      </w:pPr>
      <w:r w:rsidRPr="00F069B0">
        <w:rPr>
          <w:rFonts w:ascii="Arial" w:hAnsi="Arial"/>
        </w:rPr>
        <w:t xml:space="preserve">- </w:t>
      </w:r>
      <w:r w:rsidR="00836846" w:rsidRPr="00836846">
        <w:rPr>
          <w:rFonts w:ascii="Arial" w:hAnsi="Arial"/>
        </w:rPr>
        <w:t>The soil in the cocoa plantation was not fertilized during the three years prior to the trial in order to eliminate the after-effects of the previous fertilizer, which could influence and even interact with the effect of the formulated fertilizers.</w:t>
      </w:r>
    </w:p>
    <w:p w14:paraId="33C44B8C" w14:textId="42884D14"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r w:rsidR="00A86EC9" w:rsidRPr="00A86EC9">
        <w:rPr>
          <w:rFonts w:ascii="Arial" w:hAnsi="Arial" w:cs="Arial"/>
          <w:b/>
          <w:bCs/>
          <w:sz w:val="22"/>
          <w:szCs w:val="22"/>
        </w:rPr>
        <w:t>Experimental Design and Treatments</w:t>
      </w:r>
    </w:p>
    <w:p w14:paraId="7000336C" w14:textId="2034B146" w:rsidR="007C441C" w:rsidRDefault="007C441C" w:rsidP="00757B4F">
      <w:pPr>
        <w:spacing w:after="240" w:line="360" w:lineRule="auto"/>
        <w:jc w:val="both"/>
        <w:rPr>
          <w:rFonts w:ascii="Arial" w:hAnsi="Arial"/>
        </w:rPr>
      </w:pPr>
      <w:r w:rsidRPr="007C441C">
        <w:rPr>
          <w:rFonts w:ascii="Arial" w:hAnsi="Arial"/>
        </w:rPr>
        <w:t xml:space="preserve">The experiment was conducted using a Fisher block design, with four treatments and four replicates. The four treatments consisted of a control without fertilizer (T0), fertilization with NPK 0-23-19 (T1), fertilization with NPK 0-15-15 + 3 MgO + 1 </w:t>
      </w:r>
      <w:r w:rsidRPr="00F069B0">
        <w:rPr>
          <w:rFonts w:ascii="Arial" w:hAnsi="Arial"/>
        </w:rPr>
        <w:t>B</w:t>
      </w:r>
      <w:r w:rsidRPr="00F069B0">
        <w:rPr>
          <w:rFonts w:ascii="Arial" w:hAnsi="Arial"/>
          <w:vertAlign w:val="subscript"/>
        </w:rPr>
        <w:t>2</w:t>
      </w:r>
      <w:r w:rsidRPr="00F069B0">
        <w:rPr>
          <w:rFonts w:ascii="Arial" w:hAnsi="Arial"/>
        </w:rPr>
        <w:t>O</w:t>
      </w:r>
      <w:r>
        <w:rPr>
          <w:rFonts w:ascii="Arial" w:hAnsi="Arial"/>
          <w:vertAlign w:val="subscript"/>
        </w:rPr>
        <w:t>3</w:t>
      </w:r>
      <w:r w:rsidRPr="007C441C">
        <w:rPr>
          <w:rFonts w:ascii="Arial" w:hAnsi="Arial"/>
        </w:rPr>
        <w:t xml:space="preserve"> (T2), and fertilization with NPK 4-10-10 + 2.5 MgO + 0.8 </w:t>
      </w:r>
      <w:r w:rsidRPr="00F069B0">
        <w:rPr>
          <w:rFonts w:ascii="Arial" w:hAnsi="Arial"/>
        </w:rPr>
        <w:t>B</w:t>
      </w:r>
      <w:r w:rsidRPr="00F069B0">
        <w:rPr>
          <w:rFonts w:ascii="Arial" w:hAnsi="Arial"/>
          <w:vertAlign w:val="subscript"/>
        </w:rPr>
        <w:t>2</w:t>
      </w:r>
      <w:r w:rsidRPr="00F069B0">
        <w:rPr>
          <w:rFonts w:ascii="Arial" w:hAnsi="Arial"/>
        </w:rPr>
        <w:t>O</w:t>
      </w:r>
      <w:r>
        <w:rPr>
          <w:rFonts w:ascii="Arial" w:hAnsi="Arial"/>
          <w:vertAlign w:val="subscript"/>
        </w:rPr>
        <w:t>3</w:t>
      </w:r>
      <w:r w:rsidRPr="007C441C">
        <w:rPr>
          <w:rFonts w:ascii="Arial" w:hAnsi="Arial"/>
        </w:rPr>
        <w:t xml:space="preserve"> (T3). The area of the elementary plot is estimated at 255 m² (25.5 m x 10 m). The distance between two blocks is 6 m and the distance between two treatments within the blocks is 5 m. The phosphorus in treatments T1 and T3 is triple superphosphate, while that in treatment T2 is reactive phosphate. The fertilizer dose for T1 and T2 was 400 g/plant/year and that for T3 was 800 g/plant/year. These doses were applied in two applications, the first in April-May and the second in September-October. Half the dose was applied at each application. The fertilizers were spread on the ground in a circle within a radius of 1 m from the base of the cocoa trees and covered with cocoa leaf litter to limit losses due to erosion. These fertilizers were applied for three consecutive years from 2017 to 2019.</w:t>
      </w:r>
    </w:p>
    <w:p w14:paraId="7D3A3BCE" w14:textId="57EDC7E2" w:rsidR="00757B4F" w:rsidRPr="00F069B0" w:rsidRDefault="00A86EC9" w:rsidP="006140E8">
      <w:pPr>
        <w:pStyle w:val="ListParagraph"/>
        <w:numPr>
          <w:ilvl w:val="1"/>
          <w:numId w:val="30"/>
        </w:numPr>
        <w:spacing w:after="120"/>
        <w:ind w:left="426" w:hanging="426"/>
        <w:rPr>
          <w:rFonts w:ascii="Arial" w:hAnsi="Arial" w:cs="Arial"/>
          <w:b/>
          <w:bCs/>
          <w:sz w:val="22"/>
          <w:szCs w:val="22"/>
        </w:rPr>
      </w:pPr>
      <w:r w:rsidRPr="00A86EC9">
        <w:rPr>
          <w:rFonts w:ascii="Arial" w:hAnsi="Arial" w:cs="Arial"/>
          <w:b/>
          <w:bCs/>
          <w:sz w:val="22"/>
          <w:szCs w:val="22"/>
        </w:rPr>
        <w:t>Data collection</w:t>
      </w:r>
    </w:p>
    <w:p w14:paraId="655CE3D3" w14:textId="1931E290" w:rsidR="00C657F8" w:rsidRDefault="00C657F8" w:rsidP="007A00B0">
      <w:pPr>
        <w:spacing w:line="360" w:lineRule="auto"/>
        <w:jc w:val="both"/>
        <w:rPr>
          <w:rFonts w:ascii="Arial" w:hAnsi="Arial"/>
        </w:rPr>
      </w:pPr>
      <w:r w:rsidRPr="00C657F8">
        <w:rPr>
          <w:rFonts w:ascii="Arial" w:hAnsi="Arial"/>
        </w:rPr>
        <w:t>Soil carbon stocks are measured using a synchronous approach based on the work of Bernoux et al. (2006) and Olson et al. (2014). This approach involves comparing, at a given moment, the carbon stock of a plot that has been treated for several years with that of a reference plot (conventional management) that has not undergone any major changes.</w:t>
      </w:r>
    </w:p>
    <w:p w14:paraId="55416717" w14:textId="77777777" w:rsidR="000252A0" w:rsidRDefault="000252A0" w:rsidP="007A00B0">
      <w:pPr>
        <w:spacing w:line="360" w:lineRule="auto"/>
        <w:jc w:val="both"/>
      </w:pPr>
      <w:r w:rsidRPr="000252A0">
        <w:rPr>
          <w:rFonts w:ascii="Arial" w:hAnsi="Arial"/>
        </w:rPr>
        <w:t xml:space="preserve">In the field, this approach involved taking composite soil samples at different depths (0-10, 10-20, and 20-30 cm) in each of the elementary plots under the cocoa canopy to determine the organic carbon content in the laboratory. In each plot, sixteen composite samples were taken, four per treatment, using the diagonal sampling method. To determine the soil carbon stock, which requires knowledge of the </w:t>
      </w:r>
      <w:r w:rsidRPr="000252A0">
        <w:rPr>
          <w:rFonts w:ascii="Arial" w:hAnsi="Arial"/>
        </w:rPr>
        <w:lastRenderedPageBreak/>
        <w:t>apparent soil density, samples were taken from the 0-10, 10-20, and 20-30 cm soil strata using a cylinder with a radius of 4.5 cm and a height of 10 cm, open at both ends. The cylinder is mechanically pushed into the soil. To do this, a soil profile 60 cm long, 50 cm wide, and 35 cm deep is opened in the center of each elementary plot. In each profile, a soil sample was taken from the 0-10, 10-20, and 20-30 cm strata and sent to the laboratory to determine the bulk density. Soil sampling was carried out in the third year of the trial.</w:t>
      </w:r>
      <w:r w:rsidRPr="000252A0">
        <w:t xml:space="preserve"> </w:t>
      </w:r>
    </w:p>
    <w:p w14:paraId="1CADF85B" w14:textId="4EC8CE28" w:rsidR="000252A0" w:rsidRDefault="000252A0" w:rsidP="000252A0">
      <w:pPr>
        <w:spacing w:after="120" w:line="360" w:lineRule="auto"/>
        <w:jc w:val="both"/>
        <w:rPr>
          <w:rFonts w:ascii="Arial" w:hAnsi="Arial"/>
        </w:rPr>
      </w:pPr>
      <w:r w:rsidRPr="000252A0">
        <w:rPr>
          <w:rFonts w:ascii="Arial" w:hAnsi="Arial"/>
        </w:rPr>
        <w:t xml:space="preserve">The measurement of organic carbon stocks in the soil was obtained for a given surface unit (0-10, 10-20, and 20-30 cm) by multiplying the C content by the bulk density of the soil and by the depth of the sampled soil horizon. The carbon stock in the 0-30 cm layer was obtained by adding together the carbon stocks in the 0-10, 10-20, and 20-30 cm horizons. In soil containing coarse elements (particles that are part of the soil texture and are larger than 2 mm in diameter), the coarse element content is taken into account in the estimation of soil carbon stock (Marco </w:t>
      </w:r>
      <w:r w:rsidRPr="000252A0">
        <w:rPr>
          <w:rFonts w:ascii="Arial" w:hAnsi="Arial"/>
          <w:i/>
          <w:iCs/>
        </w:rPr>
        <w:t>et al.,</w:t>
      </w:r>
      <w:r w:rsidRPr="000252A0">
        <w:rPr>
          <w:rFonts w:ascii="Arial" w:hAnsi="Arial"/>
        </w:rPr>
        <w:t xml:space="preserve"> 2010). The results were expressed in gC.m</w:t>
      </w:r>
      <w:r>
        <w:rPr>
          <w:rFonts w:ascii="Arial" w:hAnsi="Arial"/>
          <w:vertAlign w:val="superscript"/>
        </w:rPr>
        <w:t>-2</w:t>
      </w:r>
      <w:r w:rsidRPr="000252A0">
        <w:rPr>
          <w:rFonts w:ascii="Arial" w:hAnsi="Arial"/>
        </w:rPr>
        <w:t xml:space="preserve">. Carbon was calculated using the equation of De Rouw </w:t>
      </w:r>
      <w:r w:rsidRPr="000252A0">
        <w:rPr>
          <w:rFonts w:ascii="Arial" w:hAnsi="Arial"/>
          <w:i/>
          <w:iCs/>
        </w:rPr>
        <w:t>et al.,</w:t>
      </w:r>
      <w:r w:rsidRPr="000252A0">
        <w:rPr>
          <w:rFonts w:ascii="Arial" w:hAnsi="Arial"/>
        </w:rPr>
        <w:t xml:space="preserve"> 2010.</w:t>
      </w:r>
    </w:p>
    <w:p w14:paraId="7FADF817" w14:textId="77777777" w:rsidR="000252A0" w:rsidRPr="00F7789F" w:rsidRDefault="000252A0" w:rsidP="000252A0">
      <w:pPr>
        <w:tabs>
          <w:tab w:val="left" w:pos="567"/>
        </w:tabs>
        <w:jc w:val="both"/>
        <w:rPr>
          <w:rFonts w:ascii="Arial" w:hAnsi="Arial"/>
        </w:rPr>
      </w:pPr>
      <m:oMath>
        <m:r>
          <w:rPr>
            <w:rFonts w:ascii="Cambria Math" w:hAnsi="Cambria Math"/>
          </w:rPr>
          <m:t>C</m:t>
        </m:r>
        <m:r>
          <m:rPr>
            <m:sty m:val="p"/>
          </m:rPr>
          <w:rPr>
            <w:rFonts w:ascii="Cambria Math" w:hAnsi="Cambria Math"/>
          </w:rPr>
          <m:t xml:space="preserve"> </m:t>
        </m:r>
        <m:r>
          <w:rPr>
            <w:rFonts w:ascii="Cambria Math" w:hAnsi="Cambria Math"/>
          </w:rPr>
          <m:t>stock</m:t>
        </m:r>
        <m:r>
          <m:rPr>
            <m:sty m:val="p"/>
          </m:rPr>
          <w:rPr>
            <w:rFonts w:ascii="Cambria Math" w:hAnsi="Cambria Math"/>
          </w:rPr>
          <m:t>=</m:t>
        </m:r>
        <m:r>
          <w:rPr>
            <w:rFonts w:ascii="Cambria Math" w:hAnsi="Cambria Math"/>
          </w:rPr>
          <m:t>SOC</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d</m:t>
        </m:r>
      </m:oMath>
      <w:r w:rsidRPr="00F7789F">
        <w:rPr>
          <w:rFonts w:ascii="Arial" w:hAnsi="Arial"/>
        </w:rPr>
        <w:t xml:space="preserve"> (1- gr) / 10 </w:t>
      </w:r>
    </w:p>
    <w:p w14:paraId="44E48279" w14:textId="28C3645B" w:rsidR="000252A0" w:rsidRDefault="000252A0" w:rsidP="007A00B0">
      <w:pPr>
        <w:spacing w:before="120" w:after="120" w:line="360" w:lineRule="auto"/>
        <w:jc w:val="both"/>
        <w:rPr>
          <w:rFonts w:ascii="Arial" w:hAnsi="Arial"/>
        </w:rPr>
      </w:pPr>
      <w:r w:rsidRPr="000252A0">
        <w:rPr>
          <w:rFonts w:ascii="Arial" w:hAnsi="Arial"/>
        </w:rPr>
        <w:t>Where C stock</w:t>
      </w:r>
      <w:r>
        <w:rPr>
          <w:rFonts w:ascii="Arial" w:hAnsi="Arial"/>
        </w:rPr>
        <w:t xml:space="preserve"> </w:t>
      </w:r>
      <w:r w:rsidRPr="000252A0">
        <w:rPr>
          <w:rFonts w:ascii="Arial" w:hAnsi="Arial"/>
        </w:rPr>
        <w:t>: soil organic carbon stock in g m</w:t>
      </w:r>
      <w:r>
        <w:rPr>
          <w:rFonts w:ascii="Arial" w:hAnsi="Arial"/>
          <w:vertAlign w:val="superscript"/>
        </w:rPr>
        <w:t>-2</w:t>
      </w:r>
      <w:r>
        <w:rPr>
          <w:rFonts w:ascii="Cambria Math" w:hAnsi="Cambria Math" w:cs="Cambria Math"/>
        </w:rPr>
        <w:t xml:space="preserve"> </w:t>
      </w:r>
      <w:r w:rsidRPr="000252A0">
        <w:rPr>
          <w:rFonts w:ascii="Arial" w:hAnsi="Arial"/>
        </w:rPr>
        <w:t xml:space="preserve">; </w:t>
      </w:r>
      <w:r w:rsidR="00D34BB7" w:rsidRPr="000252A0">
        <w:rPr>
          <w:rFonts w:ascii="Arial" w:hAnsi="Arial"/>
        </w:rPr>
        <w:t>SOC :</w:t>
      </w:r>
      <w:r w:rsidRPr="000252A0">
        <w:rPr>
          <w:rFonts w:ascii="Arial" w:hAnsi="Arial"/>
        </w:rPr>
        <w:t xml:space="preserve"> carbon concentration in g/g </w:t>
      </w:r>
      <w:proofErr w:type="gramStart"/>
      <w:r w:rsidRPr="000252A0">
        <w:rPr>
          <w:rFonts w:ascii="Arial" w:hAnsi="Arial"/>
        </w:rPr>
        <w:t>soil;</w:t>
      </w:r>
      <w:proofErr w:type="gramEnd"/>
      <w:r w:rsidRPr="000252A0">
        <w:rPr>
          <w:rFonts w:ascii="Arial" w:hAnsi="Arial"/>
        </w:rPr>
        <w:t xml:space="preserve"> </w:t>
      </w:r>
      <w:r w:rsidR="00D34BB7" w:rsidRPr="000252A0">
        <w:rPr>
          <w:rFonts w:ascii="Arial" w:hAnsi="Arial"/>
        </w:rPr>
        <w:t>p :</w:t>
      </w:r>
      <w:r w:rsidRPr="000252A0">
        <w:rPr>
          <w:rFonts w:ascii="Arial" w:hAnsi="Arial"/>
        </w:rPr>
        <w:t xml:space="preserve"> bulk density in g.cm</w:t>
      </w:r>
      <w:r>
        <w:rPr>
          <w:rFonts w:ascii="Cambria Math" w:hAnsi="Cambria Math" w:cs="Cambria Math"/>
          <w:vertAlign w:val="superscript"/>
        </w:rPr>
        <w:t>-3</w:t>
      </w:r>
      <w:r>
        <w:rPr>
          <w:rFonts w:ascii="Arial" w:hAnsi="Arial"/>
        </w:rPr>
        <w:t xml:space="preserve"> </w:t>
      </w:r>
      <w:r w:rsidRPr="000252A0">
        <w:rPr>
          <w:rFonts w:ascii="Arial" w:hAnsi="Arial"/>
        </w:rPr>
        <w:t xml:space="preserve">; </w:t>
      </w:r>
      <w:r w:rsidR="00D34BB7" w:rsidRPr="000252A0">
        <w:rPr>
          <w:rFonts w:ascii="Arial" w:hAnsi="Arial"/>
        </w:rPr>
        <w:t>d :</w:t>
      </w:r>
      <w:r w:rsidRPr="000252A0">
        <w:rPr>
          <w:rFonts w:ascii="Arial" w:hAnsi="Arial"/>
        </w:rPr>
        <w:t xml:space="preserve"> soil layer thickness in cm</w:t>
      </w:r>
      <w:r>
        <w:rPr>
          <w:rFonts w:ascii="Arial" w:hAnsi="Arial"/>
        </w:rPr>
        <w:t xml:space="preserve"> </w:t>
      </w:r>
      <w:r w:rsidRPr="000252A0">
        <w:rPr>
          <w:rFonts w:ascii="Arial" w:hAnsi="Arial"/>
        </w:rPr>
        <w:t>; and gr</w:t>
      </w:r>
      <w:r>
        <w:rPr>
          <w:rFonts w:ascii="Arial" w:hAnsi="Arial"/>
        </w:rPr>
        <w:t xml:space="preserve"> </w:t>
      </w:r>
      <w:r w:rsidRPr="000252A0">
        <w:rPr>
          <w:rFonts w:ascii="Arial" w:hAnsi="Arial"/>
        </w:rPr>
        <w:t>: soil fraction &gt; 2 mm.</w:t>
      </w:r>
    </w:p>
    <w:p w14:paraId="310A7694" w14:textId="11BACCAD" w:rsidR="007A00B0" w:rsidRDefault="007A00B0" w:rsidP="000252A0">
      <w:pPr>
        <w:spacing w:before="120" w:after="240" w:line="360" w:lineRule="auto"/>
        <w:jc w:val="both"/>
        <w:rPr>
          <w:rFonts w:ascii="Arial" w:hAnsi="Arial"/>
        </w:rPr>
      </w:pPr>
      <w:r w:rsidRPr="007A00B0">
        <w:rPr>
          <w:rFonts w:ascii="Arial" w:hAnsi="Arial"/>
        </w:rPr>
        <w:t>In addition to soil carbon stocks, cocoa tree leaf litter was collected during the experiment. This was done using 1m x 1m x 0.5m wire mesh frames, into which a removable frame lined with fine wire mesh was fitted 0.25</w:t>
      </w:r>
      <w:r w:rsidR="006A4F1B">
        <w:rPr>
          <w:rFonts w:ascii="Arial" w:hAnsi="Arial"/>
        </w:rPr>
        <w:t xml:space="preserve"> </w:t>
      </w:r>
      <w:r w:rsidRPr="007A00B0">
        <w:rPr>
          <w:rFonts w:ascii="Arial" w:hAnsi="Arial"/>
        </w:rPr>
        <w:t>m above the ground (Boyer, 1972). The method consists of installing a wire mesh frame under the canopy of the cocoa trees in each plot. Leaf fall is determined by weighing the cocoa leaves that have fallen every six months on the removable frame installed in the wire mesh cage. The amount of litter obtained at the end of the experiment is the sum of the litter collected every six months. Litter collection lasted 30 months, or five six-month periods.</w:t>
      </w:r>
    </w:p>
    <w:p w14:paraId="077E5371" w14:textId="23E83954" w:rsidR="00757B4F" w:rsidRPr="00606841" w:rsidRDefault="00A86EC9" w:rsidP="006140E8">
      <w:pPr>
        <w:pStyle w:val="ListParagraph"/>
        <w:numPr>
          <w:ilvl w:val="1"/>
          <w:numId w:val="30"/>
        </w:numPr>
        <w:spacing w:after="120"/>
        <w:ind w:left="426" w:hanging="426"/>
        <w:rPr>
          <w:rFonts w:ascii="Arial" w:hAnsi="Arial" w:cs="Arial"/>
          <w:b/>
          <w:bCs/>
          <w:sz w:val="22"/>
          <w:szCs w:val="22"/>
        </w:rPr>
      </w:pPr>
      <w:r w:rsidRPr="00A86EC9">
        <w:rPr>
          <w:rFonts w:ascii="Arial" w:hAnsi="Arial" w:cs="Arial"/>
          <w:b/>
          <w:bCs/>
          <w:sz w:val="22"/>
          <w:szCs w:val="22"/>
        </w:rPr>
        <w:t>Statistical Analysis</w:t>
      </w:r>
    </w:p>
    <w:p w14:paraId="7C789E3F" w14:textId="5358658D" w:rsidR="00D34BB7" w:rsidRDefault="00D34BB7" w:rsidP="00757B4F">
      <w:pPr>
        <w:spacing w:after="240" w:line="360" w:lineRule="auto"/>
        <w:jc w:val="both"/>
        <w:rPr>
          <w:rFonts w:ascii="Arial" w:hAnsi="Arial"/>
        </w:rPr>
      </w:pPr>
      <w:r w:rsidRPr="00D34BB7">
        <w:rPr>
          <w:rFonts w:ascii="Arial" w:hAnsi="Arial"/>
        </w:rPr>
        <w:t>The data were subjected to analysis of variance using the GLM procedure in SAS 9.4 software. The mean values were separated using the Student-Newman-Keul (SNK) method at a 5% threshold.</w:t>
      </w:r>
    </w:p>
    <w:p w14:paraId="5AFB664C" w14:textId="1DD56D00" w:rsidR="00BF1205" w:rsidRPr="00606841" w:rsidRDefault="00A86EC9" w:rsidP="00C45F92">
      <w:pPr>
        <w:pStyle w:val="ListParagraph"/>
        <w:numPr>
          <w:ilvl w:val="0"/>
          <w:numId w:val="30"/>
        </w:numPr>
        <w:spacing w:after="120" w:line="360" w:lineRule="auto"/>
        <w:rPr>
          <w:rFonts w:ascii="Arial" w:hAnsi="Arial" w:cs="Arial"/>
          <w:b/>
          <w:bCs/>
          <w:sz w:val="22"/>
          <w:szCs w:val="22"/>
        </w:rPr>
      </w:pPr>
      <w:r w:rsidRPr="00A86EC9">
        <w:rPr>
          <w:rFonts w:ascii="Arial" w:hAnsi="Arial" w:cs="Arial"/>
          <w:b/>
          <w:bCs/>
          <w:sz w:val="22"/>
          <w:szCs w:val="22"/>
        </w:rPr>
        <w:t>RESULTS AND DISCUSSION</w:t>
      </w:r>
    </w:p>
    <w:p w14:paraId="3F790BFA" w14:textId="0C01FFF8" w:rsidR="00F028C9" w:rsidRPr="00606841" w:rsidRDefault="003D631E" w:rsidP="006140E8">
      <w:pPr>
        <w:pStyle w:val="ListParagraph"/>
        <w:numPr>
          <w:ilvl w:val="1"/>
          <w:numId w:val="30"/>
        </w:numPr>
        <w:spacing w:after="120" w:line="360" w:lineRule="auto"/>
        <w:ind w:left="426" w:hanging="426"/>
        <w:rPr>
          <w:rFonts w:ascii="Arial" w:hAnsi="Arial" w:cs="Arial"/>
          <w:b/>
          <w:bCs/>
          <w:sz w:val="22"/>
          <w:szCs w:val="22"/>
        </w:rPr>
      </w:pPr>
      <w:r w:rsidRPr="003D631E">
        <w:rPr>
          <w:rFonts w:ascii="Arial" w:hAnsi="Arial" w:cs="Arial"/>
          <w:b/>
          <w:bCs/>
          <w:sz w:val="22"/>
          <w:szCs w:val="22"/>
        </w:rPr>
        <w:t>Effect of mineral fertilization on cocoa tree leaf litter production</w:t>
      </w:r>
    </w:p>
    <w:p w14:paraId="7D5B9D8A" w14:textId="09B7F2CE" w:rsidR="002220BC" w:rsidRPr="002220BC" w:rsidRDefault="002220BC" w:rsidP="002220BC">
      <w:pPr>
        <w:spacing w:after="120" w:line="360" w:lineRule="auto"/>
        <w:jc w:val="both"/>
        <w:rPr>
          <w:rFonts w:ascii="Arial" w:hAnsi="Arial"/>
          <w:color w:val="000000" w:themeColor="text1"/>
        </w:rPr>
      </w:pPr>
      <w:r w:rsidRPr="002220BC">
        <w:rPr>
          <w:rFonts w:ascii="Arial" w:hAnsi="Arial"/>
          <w:color w:val="000000" w:themeColor="text1"/>
        </w:rPr>
        <w:t xml:space="preserve">Analysis of Figure </w:t>
      </w:r>
      <w:r w:rsidR="00655513">
        <w:rPr>
          <w:rFonts w:ascii="Arial" w:hAnsi="Arial"/>
          <w:color w:val="000000" w:themeColor="text1"/>
        </w:rPr>
        <w:t>2</w:t>
      </w:r>
      <w:r w:rsidRPr="002220BC">
        <w:rPr>
          <w:rFonts w:ascii="Arial" w:hAnsi="Arial"/>
          <w:color w:val="000000" w:themeColor="text1"/>
        </w:rPr>
        <w:t xml:space="preserve"> showing the quantities of cocoa tree leaf litter produced over five semesters reveals significant differences at the Soubré (p = 0.0481), Méagui (p = 0.0121), and Mayo (p = 0.0424) sites. The cocoa trees in the fertilized plots produced large quantities of litter that were significantly higher than those in the T0 treatments at all sites. Thus, in Soubré and Méagui, the amounts of litter produced by treatments T1 and T2 were significantly higher, while in Mayo, litter was significantly higher in treatments T1, T2, and T3. </w:t>
      </w:r>
    </w:p>
    <w:p w14:paraId="353754F9" w14:textId="3EB7BC35" w:rsidR="002220BC" w:rsidRDefault="002220BC" w:rsidP="00655513">
      <w:pPr>
        <w:spacing w:after="120" w:line="360" w:lineRule="auto"/>
        <w:jc w:val="both"/>
        <w:rPr>
          <w:rFonts w:ascii="Arial" w:hAnsi="Arial"/>
          <w:color w:val="000000" w:themeColor="text1"/>
        </w:rPr>
      </w:pPr>
      <w:r w:rsidRPr="002220BC">
        <w:rPr>
          <w:rFonts w:ascii="Arial" w:hAnsi="Arial"/>
          <w:color w:val="000000" w:themeColor="text1"/>
        </w:rPr>
        <w:t xml:space="preserve">This result is thought to be the consequence of NPK fertilizer inputs, which have led to fertile soils. Thus, cocoa trees with the nutrients necessary for their development will produce significant biomass, which will form litter. This result confirms that improved mineral nutrition increases leaf production and, </w:t>
      </w:r>
      <w:r w:rsidRPr="002220BC">
        <w:rPr>
          <w:rFonts w:ascii="Arial" w:hAnsi="Arial"/>
          <w:color w:val="000000" w:themeColor="text1"/>
        </w:rPr>
        <w:lastRenderedPageBreak/>
        <w:t>consequently, the amount of biomass returned to the soil. The observations corroborate the conclusions of the FAO (2004), according to which phosphate inputs strongly stimulate plant biomass production.</w:t>
      </w:r>
    </w:p>
    <w:p w14:paraId="43A22906" w14:textId="464AC34B" w:rsidR="002220BC" w:rsidRPr="002220BC" w:rsidRDefault="002220BC" w:rsidP="00655513">
      <w:pPr>
        <w:spacing w:after="120" w:line="360" w:lineRule="auto"/>
        <w:jc w:val="both"/>
        <w:rPr>
          <w:rFonts w:ascii="Arial" w:hAnsi="Arial"/>
          <w:color w:val="000000" w:themeColor="text1"/>
        </w:rPr>
      </w:pPr>
      <w:r w:rsidRPr="002220BC">
        <w:rPr>
          <w:rFonts w:ascii="Arial" w:hAnsi="Arial"/>
          <w:color w:val="000000" w:themeColor="text1"/>
        </w:rPr>
        <w:t xml:space="preserve">Furthermore, several recent studies show that NPK fertilization leads to an increase in annual leaf fall in tropical orchards, due to the regulation of phenological cycles by nitrogen and potassium (Dappa </w:t>
      </w:r>
      <w:r w:rsidRPr="00655513">
        <w:rPr>
          <w:rFonts w:ascii="Arial" w:hAnsi="Arial"/>
          <w:i/>
          <w:iCs/>
          <w:color w:val="000000" w:themeColor="text1"/>
        </w:rPr>
        <w:t xml:space="preserve">et al., </w:t>
      </w:r>
      <w:r w:rsidRPr="002220BC">
        <w:rPr>
          <w:rFonts w:ascii="Arial" w:hAnsi="Arial"/>
          <w:color w:val="000000" w:themeColor="text1"/>
        </w:rPr>
        <w:t>2023</w:t>
      </w:r>
      <w:r w:rsidR="006A4F1B">
        <w:rPr>
          <w:rFonts w:ascii="Arial" w:hAnsi="Arial"/>
          <w:color w:val="000000" w:themeColor="text1"/>
        </w:rPr>
        <w:t xml:space="preserve"> </w:t>
      </w:r>
      <w:r w:rsidRPr="002220BC">
        <w:rPr>
          <w:rFonts w:ascii="Arial" w:hAnsi="Arial"/>
          <w:color w:val="000000" w:themeColor="text1"/>
        </w:rPr>
        <w:t xml:space="preserve">; Koko </w:t>
      </w:r>
      <w:r w:rsidRPr="00655513">
        <w:rPr>
          <w:rFonts w:ascii="Arial" w:hAnsi="Arial"/>
          <w:i/>
          <w:iCs/>
          <w:color w:val="000000" w:themeColor="text1"/>
        </w:rPr>
        <w:t>et al.,</w:t>
      </w:r>
      <w:r w:rsidRPr="002220BC">
        <w:rPr>
          <w:rFonts w:ascii="Arial" w:hAnsi="Arial"/>
          <w:color w:val="000000" w:themeColor="text1"/>
        </w:rPr>
        <w:t xml:space="preserve"> 2021). The high levels of litter observed in fertilized treatments thus reflect improved vegetative vigor, already observed by Snoeck </w:t>
      </w:r>
      <w:r w:rsidRPr="006A4F1B">
        <w:rPr>
          <w:rFonts w:ascii="Arial" w:hAnsi="Arial"/>
          <w:i/>
          <w:iCs/>
          <w:color w:val="000000" w:themeColor="text1"/>
        </w:rPr>
        <w:t>et al.</w:t>
      </w:r>
      <w:r w:rsidRPr="002220BC">
        <w:rPr>
          <w:rFonts w:ascii="Arial" w:hAnsi="Arial"/>
          <w:color w:val="000000" w:themeColor="text1"/>
        </w:rPr>
        <w:t xml:space="preserve"> (2015, 2016) and confirmed by Barrios </w:t>
      </w:r>
      <w:r w:rsidRPr="00655513">
        <w:rPr>
          <w:rFonts w:ascii="Arial" w:hAnsi="Arial"/>
          <w:i/>
          <w:iCs/>
          <w:color w:val="000000" w:themeColor="text1"/>
        </w:rPr>
        <w:t xml:space="preserve">et al. </w:t>
      </w:r>
      <w:r w:rsidRPr="002220BC">
        <w:rPr>
          <w:rFonts w:ascii="Arial" w:hAnsi="Arial"/>
          <w:color w:val="000000" w:themeColor="text1"/>
        </w:rPr>
        <w:t>(2015). The results obtained show that the rational intensification of mineral nutrition promotes litter formation and is an important support in the restoration of soil organic matter.</w:t>
      </w:r>
    </w:p>
    <w:p w14:paraId="2C7ED48B" w14:textId="3F0CB042" w:rsidR="002220BC" w:rsidRDefault="002220BC" w:rsidP="002220BC">
      <w:pPr>
        <w:spacing w:after="120" w:line="360" w:lineRule="auto"/>
        <w:jc w:val="both"/>
        <w:rPr>
          <w:rFonts w:ascii="Arial" w:hAnsi="Arial"/>
          <w:color w:val="000000" w:themeColor="text1"/>
        </w:rPr>
      </w:pPr>
      <w:r w:rsidRPr="002220BC">
        <w:rPr>
          <w:rFonts w:ascii="Arial" w:hAnsi="Arial"/>
          <w:color w:val="000000" w:themeColor="text1"/>
        </w:rPr>
        <w:t>This observation is supported by the work of the FAO (2004). According to the FAO (2004), phosphate fertilizer inputs have a greater effect on plant litter production.</w:t>
      </w:r>
    </w:p>
    <w:p w14:paraId="4B4A9132" w14:textId="77777777" w:rsidR="002220BC" w:rsidRPr="00F7789F" w:rsidRDefault="002220BC" w:rsidP="002220BC">
      <w:pPr>
        <w:spacing w:before="120" w:after="240"/>
        <w:jc w:val="both"/>
        <w:rPr>
          <w:rFonts w:ascii="Arial" w:hAnsi="Arial"/>
          <w:i/>
          <w:iCs/>
        </w:rPr>
      </w:pPr>
      <w:r w:rsidRPr="00F7789F">
        <w:rPr>
          <w:noProof/>
        </w:rPr>
        <w:drawing>
          <wp:inline distT="0" distB="0" distL="0" distR="0" wp14:anchorId="5559B0B7" wp14:editId="6CDD3CFC">
            <wp:extent cx="5705475" cy="2514600"/>
            <wp:effectExtent l="0" t="0" r="9525" b="0"/>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14C793" w14:textId="223B5A27" w:rsidR="002220BC" w:rsidRPr="00655513" w:rsidRDefault="002220BC" w:rsidP="002220BC">
      <w:pPr>
        <w:spacing w:after="120" w:line="360" w:lineRule="auto"/>
        <w:jc w:val="both"/>
        <w:rPr>
          <w:rFonts w:ascii="Arial" w:hAnsi="Arial"/>
          <w:b/>
          <w:bCs/>
          <w:color w:val="000000" w:themeColor="text1"/>
        </w:rPr>
      </w:pPr>
      <w:bookmarkStart w:id="2" w:name="_Toc116303960"/>
      <w:r w:rsidRPr="00655513">
        <w:rPr>
          <w:rFonts w:ascii="Arial" w:hAnsi="Arial"/>
          <w:b/>
          <w:bCs/>
          <w:color w:val="000000" w:themeColor="text1"/>
        </w:rPr>
        <w:t xml:space="preserve">Figure </w:t>
      </w:r>
      <w:r w:rsidR="00655513" w:rsidRPr="00655513">
        <w:rPr>
          <w:rFonts w:ascii="Arial" w:hAnsi="Arial"/>
          <w:b/>
          <w:bCs/>
          <w:color w:val="000000" w:themeColor="text1"/>
        </w:rPr>
        <w:t>2</w:t>
      </w:r>
      <w:r w:rsidRPr="00655513">
        <w:rPr>
          <w:rFonts w:ascii="Arial" w:hAnsi="Arial"/>
          <w:b/>
          <w:bCs/>
          <w:color w:val="000000" w:themeColor="text1"/>
        </w:rPr>
        <w:t xml:space="preserve"> : </w:t>
      </w:r>
      <w:bookmarkEnd w:id="2"/>
      <w:r w:rsidRPr="00655513">
        <w:rPr>
          <w:rFonts w:ascii="Arial" w:hAnsi="Arial"/>
          <w:b/>
          <w:bCs/>
          <w:color w:val="000000" w:themeColor="text1"/>
        </w:rPr>
        <w:t>Cocoa tree leaf litter (g.m</w:t>
      </w:r>
      <w:r w:rsidR="00655513">
        <w:rPr>
          <w:rFonts w:ascii="Arial" w:hAnsi="Arial"/>
          <w:b/>
          <w:bCs/>
          <w:color w:val="000000" w:themeColor="text1"/>
          <w:vertAlign w:val="superscript"/>
        </w:rPr>
        <w:t>-2</w:t>
      </w:r>
      <w:r w:rsidRPr="00655513">
        <w:rPr>
          <w:rFonts w:ascii="Arial" w:hAnsi="Arial"/>
          <w:b/>
          <w:bCs/>
          <w:color w:val="000000" w:themeColor="text1"/>
        </w:rPr>
        <w:t>) produced according to treatments</w:t>
      </w:r>
      <w:r w:rsidRPr="00655513">
        <w:rPr>
          <w:b/>
          <w:bCs/>
        </w:rPr>
        <w:t xml:space="preserve"> </w:t>
      </w:r>
    </w:p>
    <w:p w14:paraId="4E595D36" w14:textId="124F7BCA" w:rsidR="002220BC" w:rsidRPr="00F7789F" w:rsidRDefault="002220BC" w:rsidP="00E56A8E">
      <w:pPr>
        <w:pStyle w:val="Caption"/>
        <w:spacing w:after="240" w:line="360" w:lineRule="auto"/>
        <w:rPr>
          <w:rFonts w:ascii="Times New Roman" w:hAnsi="Times New Roman" w:cs="Times New Roman"/>
          <w:i w:val="0"/>
          <w:iCs w:val="0"/>
          <w:color w:val="auto"/>
          <w:sz w:val="20"/>
          <w:szCs w:val="20"/>
          <w:lang w:val="en-ZA"/>
        </w:rPr>
      </w:pPr>
      <w:r w:rsidRPr="002220BC">
        <w:rPr>
          <w:rFonts w:ascii="Arial" w:hAnsi="Arial"/>
          <w:i w:val="0"/>
          <w:iCs w:val="0"/>
          <w:color w:val="000000" w:themeColor="text1"/>
        </w:rPr>
        <w:t>T0</w:t>
      </w:r>
      <w:r>
        <w:rPr>
          <w:rFonts w:ascii="Arial" w:hAnsi="Arial"/>
          <w:i w:val="0"/>
          <w:iCs w:val="0"/>
          <w:color w:val="000000" w:themeColor="text1"/>
        </w:rPr>
        <w:t xml:space="preserve"> </w:t>
      </w:r>
      <w:r w:rsidRPr="002220BC">
        <w:rPr>
          <w:rFonts w:ascii="Arial" w:hAnsi="Arial"/>
          <w:i w:val="0"/>
          <w:iCs w:val="0"/>
          <w:color w:val="000000" w:themeColor="text1"/>
        </w:rPr>
        <w:t>: absolute reference</w:t>
      </w:r>
      <w:r>
        <w:rPr>
          <w:rFonts w:ascii="Arial" w:hAnsi="Arial"/>
          <w:i w:val="0"/>
          <w:iCs w:val="0"/>
          <w:color w:val="000000" w:themeColor="text1"/>
        </w:rPr>
        <w:t xml:space="preserve"> </w:t>
      </w:r>
      <w:r w:rsidRPr="00F7789F">
        <w:rPr>
          <w:rFonts w:ascii="Times New Roman" w:hAnsi="Times New Roman" w:cs="Times New Roman"/>
          <w:i w:val="0"/>
          <w:iCs w:val="0"/>
          <w:color w:val="auto"/>
          <w:sz w:val="20"/>
          <w:szCs w:val="20"/>
          <w:lang w:val="en-ZA"/>
        </w:rPr>
        <w:t xml:space="preserve">; </w:t>
      </w:r>
      <w:r w:rsidRPr="002220BC">
        <w:rPr>
          <w:rFonts w:ascii="Arial" w:hAnsi="Arial" w:cs="Arial"/>
          <w:i w:val="0"/>
          <w:iCs w:val="0"/>
          <w:color w:val="000000" w:themeColor="text1"/>
        </w:rPr>
        <w:t>T1</w:t>
      </w:r>
      <w:r>
        <w:rPr>
          <w:rFonts w:ascii="Arial" w:hAnsi="Arial" w:cs="Arial"/>
          <w:i w:val="0"/>
          <w:iCs w:val="0"/>
          <w:color w:val="000000" w:themeColor="text1"/>
        </w:rPr>
        <w:t xml:space="preserve"> </w:t>
      </w:r>
      <w:r w:rsidRPr="002220BC">
        <w:rPr>
          <w:rFonts w:ascii="Arial" w:hAnsi="Arial" w:cs="Arial"/>
          <w:i w:val="0"/>
          <w:iCs w:val="0"/>
          <w:color w:val="000000" w:themeColor="text1"/>
        </w:rPr>
        <w:t>: NPK</w:t>
      </w:r>
      <w:r w:rsidRPr="002220BC">
        <w:rPr>
          <w:rFonts w:ascii="Arial" w:hAnsi="Arial" w:cs="Arial"/>
          <w:i w:val="0"/>
          <w:iCs w:val="0"/>
          <w:color w:val="auto"/>
          <w:lang w:val="en-ZA"/>
        </w:rPr>
        <w:t xml:space="preserve"> 0-23-19 + 10 </w:t>
      </w:r>
      <w:r w:rsidRPr="002220BC">
        <w:rPr>
          <w:rFonts w:ascii="Arial" w:hAnsi="Arial" w:cs="Arial"/>
          <w:i w:val="0"/>
          <w:iCs w:val="0"/>
          <w:color w:val="000000" w:themeColor="text1"/>
        </w:rPr>
        <w:t>CaO</w:t>
      </w:r>
      <w:r w:rsidRPr="002220BC">
        <w:rPr>
          <w:rFonts w:ascii="Arial" w:hAnsi="Arial" w:cs="Arial"/>
          <w:i w:val="0"/>
          <w:iCs w:val="0"/>
          <w:color w:val="auto"/>
          <w:lang w:val="en-ZA"/>
        </w:rPr>
        <w:t xml:space="preserve"> + 5 </w:t>
      </w:r>
      <w:r w:rsidRPr="002220BC">
        <w:rPr>
          <w:rFonts w:ascii="Arial" w:hAnsi="Arial" w:cs="Arial"/>
          <w:i w:val="0"/>
          <w:iCs w:val="0"/>
          <w:color w:val="000000" w:themeColor="text1"/>
        </w:rPr>
        <w:t>MgO</w:t>
      </w:r>
      <w:r>
        <w:rPr>
          <w:rFonts w:ascii="Arial" w:hAnsi="Arial" w:cs="Arial"/>
          <w:i w:val="0"/>
          <w:iCs w:val="0"/>
          <w:color w:val="000000" w:themeColor="text1"/>
        </w:rPr>
        <w:t xml:space="preserve"> </w:t>
      </w:r>
      <w:r w:rsidRPr="002220BC">
        <w:rPr>
          <w:rFonts w:ascii="Arial" w:hAnsi="Arial" w:cs="Arial"/>
          <w:i w:val="0"/>
          <w:iCs w:val="0"/>
          <w:color w:val="auto"/>
          <w:lang w:val="en-ZA"/>
        </w:rPr>
        <w:t xml:space="preserve">; </w:t>
      </w:r>
      <w:r w:rsidRPr="002220BC">
        <w:rPr>
          <w:rFonts w:ascii="Arial" w:hAnsi="Arial" w:cs="Arial"/>
          <w:i w:val="0"/>
          <w:iCs w:val="0"/>
          <w:color w:val="000000" w:themeColor="text1"/>
        </w:rPr>
        <w:t>T2</w:t>
      </w:r>
      <w:r>
        <w:rPr>
          <w:rFonts w:ascii="Arial" w:hAnsi="Arial" w:cs="Arial"/>
          <w:i w:val="0"/>
          <w:iCs w:val="0"/>
          <w:color w:val="000000" w:themeColor="text1"/>
        </w:rPr>
        <w:t xml:space="preserve"> </w:t>
      </w:r>
      <w:r w:rsidRPr="002220BC">
        <w:rPr>
          <w:rFonts w:ascii="Arial" w:hAnsi="Arial" w:cs="Arial"/>
          <w:i w:val="0"/>
          <w:iCs w:val="0"/>
          <w:color w:val="000000" w:themeColor="text1"/>
        </w:rPr>
        <w:t>: NPK</w:t>
      </w:r>
      <w:r w:rsidRPr="002220BC">
        <w:rPr>
          <w:rFonts w:ascii="Arial" w:hAnsi="Arial" w:cs="Arial"/>
          <w:i w:val="0"/>
          <w:iCs w:val="0"/>
          <w:color w:val="000000"/>
          <w:lang w:val="en-ZA"/>
        </w:rPr>
        <w:t xml:space="preserve"> 0-15-15 + 17 </w:t>
      </w:r>
      <w:r w:rsidRPr="002220BC">
        <w:rPr>
          <w:rFonts w:ascii="Arial" w:hAnsi="Arial" w:cs="Arial"/>
          <w:i w:val="0"/>
          <w:iCs w:val="0"/>
          <w:color w:val="000000" w:themeColor="text1"/>
        </w:rPr>
        <w:t>CaO</w:t>
      </w:r>
      <w:r w:rsidRPr="002220BC">
        <w:rPr>
          <w:rFonts w:ascii="Arial" w:hAnsi="Arial" w:cs="Arial"/>
          <w:i w:val="0"/>
          <w:iCs w:val="0"/>
          <w:color w:val="000000"/>
          <w:lang w:val="en-ZA"/>
        </w:rPr>
        <w:t xml:space="preserve"> + 5 </w:t>
      </w:r>
      <w:r w:rsidRPr="002220BC">
        <w:rPr>
          <w:rFonts w:ascii="Arial" w:hAnsi="Arial" w:cs="Arial"/>
          <w:i w:val="0"/>
          <w:iCs w:val="0"/>
          <w:color w:val="000000" w:themeColor="text1"/>
        </w:rPr>
        <w:t>MgO</w:t>
      </w:r>
      <w:r w:rsidRPr="002220BC">
        <w:rPr>
          <w:rFonts w:ascii="Arial" w:hAnsi="Arial" w:cs="Arial"/>
          <w:i w:val="0"/>
          <w:iCs w:val="0"/>
          <w:color w:val="000000"/>
          <w:lang w:val="en-ZA"/>
        </w:rPr>
        <w:t xml:space="preserve"> + 1 </w:t>
      </w:r>
      <w:r w:rsidRPr="002220BC">
        <w:rPr>
          <w:rFonts w:ascii="Arial" w:hAnsi="Arial" w:cs="Arial"/>
          <w:i w:val="0"/>
          <w:iCs w:val="0"/>
          <w:color w:val="000000" w:themeColor="text1"/>
        </w:rPr>
        <w:t>B</w:t>
      </w:r>
      <w:r w:rsidRPr="002220BC">
        <w:rPr>
          <w:rFonts w:ascii="Arial" w:hAnsi="Arial" w:cs="Arial"/>
          <w:i w:val="0"/>
          <w:iCs w:val="0"/>
          <w:color w:val="000000" w:themeColor="text1"/>
          <w:vertAlign w:val="subscript"/>
        </w:rPr>
        <w:t>2</w:t>
      </w:r>
      <w:r w:rsidRPr="002220BC">
        <w:rPr>
          <w:rFonts w:ascii="Arial" w:hAnsi="Arial" w:cs="Arial"/>
          <w:i w:val="0"/>
          <w:iCs w:val="0"/>
          <w:color w:val="000000" w:themeColor="text1"/>
        </w:rPr>
        <w:t>O</w:t>
      </w:r>
      <w:r w:rsidRPr="002220BC">
        <w:rPr>
          <w:rFonts w:ascii="Arial" w:hAnsi="Arial" w:cs="Arial"/>
          <w:i w:val="0"/>
          <w:iCs w:val="0"/>
          <w:color w:val="000000" w:themeColor="text1"/>
          <w:vertAlign w:val="subscript"/>
        </w:rPr>
        <w:t>3</w:t>
      </w:r>
      <w:r w:rsidRPr="002220BC">
        <w:rPr>
          <w:rFonts w:ascii="Arial" w:hAnsi="Arial" w:cs="Arial"/>
          <w:i w:val="0"/>
          <w:iCs w:val="0"/>
          <w:color w:val="000000" w:themeColor="text1"/>
        </w:rPr>
        <w:t xml:space="preserve"> </w:t>
      </w:r>
      <w:r w:rsidRPr="002220BC">
        <w:rPr>
          <w:rFonts w:ascii="Arial" w:hAnsi="Arial" w:cs="Arial"/>
          <w:i w:val="0"/>
          <w:iCs w:val="0"/>
          <w:color w:val="000000"/>
          <w:lang w:val="en-ZA"/>
        </w:rPr>
        <w:t>+ 0,5 Zn</w:t>
      </w:r>
      <w:r w:rsidR="00655513">
        <w:rPr>
          <w:rFonts w:ascii="Arial" w:hAnsi="Arial" w:cs="Arial"/>
          <w:i w:val="0"/>
          <w:iCs w:val="0"/>
          <w:color w:val="000000"/>
          <w:lang w:val="en-ZA"/>
        </w:rPr>
        <w:t xml:space="preserve"> </w:t>
      </w:r>
      <w:r>
        <w:rPr>
          <w:rFonts w:ascii="Arial" w:hAnsi="Arial" w:cs="Arial"/>
          <w:i w:val="0"/>
          <w:iCs w:val="0"/>
          <w:color w:val="auto"/>
          <w:lang w:val="en-ZA"/>
        </w:rPr>
        <w:t>;</w:t>
      </w:r>
      <w:r w:rsidRPr="002220BC">
        <w:rPr>
          <w:rFonts w:ascii="Arial" w:hAnsi="Arial" w:cs="Arial"/>
          <w:i w:val="0"/>
          <w:iCs w:val="0"/>
          <w:color w:val="auto"/>
          <w:lang w:val="en-ZA"/>
        </w:rPr>
        <w:t xml:space="preserve"> T3</w:t>
      </w:r>
      <w:r>
        <w:rPr>
          <w:rFonts w:ascii="Arial" w:hAnsi="Arial" w:cs="Arial"/>
          <w:i w:val="0"/>
          <w:iCs w:val="0"/>
          <w:color w:val="auto"/>
          <w:lang w:val="en-ZA"/>
        </w:rPr>
        <w:t xml:space="preserve"> </w:t>
      </w:r>
      <w:r w:rsidRPr="002220BC">
        <w:rPr>
          <w:rFonts w:ascii="Arial" w:hAnsi="Arial" w:cs="Arial"/>
          <w:i w:val="0"/>
          <w:iCs w:val="0"/>
          <w:color w:val="auto"/>
          <w:lang w:val="en-ZA"/>
        </w:rPr>
        <w:t xml:space="preserve">: </w:t>
      </w:r>
      <w:r w:rsidRPr="002220BC">
        <w:rPr>
          <w:rFonts w:ascii="Arial" w:hAnsi="Arial" w:cs="Arial"/>
          <w:i w:val="0"/>
          <w:iCs w:val="0"/>
          <w:color w:val="000000"/>
          <w:lang w:val="en-ZA"/>
        </w:rPr>
        <w:t xml:space="preserve">NPK 4-10-10 + 19 CaO + 4 MgO + 0,8 </w:t>
      </w:r>
      <w:r w:rsidRPr="002220BC">
        <w:rPr>
          <w:rFonts w:ascii="Arial" w:hAnsi="Arial" w:cs="Arial"/>
          <w:i w:val="0"/>
          <w:iCs w:val="0"/>
          <w:color w:val="000000" w:themeColor="text1"/>
        </w:rPr>
        <w:t>B</w:t>
      </w:r>
      <w:r w:rsidRPr="002220BC">
        <w:rPr>
          <w:rFonts w:ascii="Arial" w:hAnsi="Arial" w:cs="Arial"/>
          <w:i w:val="0"/>
          <w:iCs w:val="0"/>
          <w:color w:val="000000" w:themeColor="text1"/>
          <w:vertAlign w:val="subscript"/>
        </w:rPr>
        <w:t>2</w:t>
      </w:r>
      <w:r w:rsidRPr="002220BC">
        <w:rPr>
          <w:rFonts w:ascii="Arial" w:hAnsi="Arial" w:cs="Arial"/>
          <w:i w:val="0"/>
          <w:iCs w:val="0"/>
          <w:color w:val="000000" w:themeColor="text1"/>
        </w:rPr>
        <w:t>O</w:t>
      </w:r>
      <w:r w:rsidRPr="002220BC">
        <w:rPr>
          <w:rFonts w:ascii="Arial" w:hAnsi="Arial" w:cs="Arial"/>
          <w:i w:val="0"/>
          <w:iCs w:val="0"/>
          <w:color w:val="000000" w:themeColor="text1"/>
          <w:vertAlign w:val="subscript"/>
        </w:rPr>
        <w:t>3</w:t>
      </w:r>
      <w:r w:rsidRPr="002220BC">
        <w:rPr>
          <w:rFonts w:ascii="Arial" w:hAnsi="Arial" w:cs="Arial"/>
          <w:i w:val="0"/>
          <w:iCs w:val="0"/>
          <w:color w:val="000000"/>
          <w:lang w:val="en-ZA"/>
        </w:rPr>
        <w:t xml:space="preserve"> + 0,3 Zn</w:t>
      </w:r>
      <w:r w:rsidRPr="00F7789F">
        <w:rPr>
          <w:rFonts w:ascii="Times New Roman" w:hAnsi="Times New Roman" w:cs="Times New Roman"/>
          <w:i w:val="0"/>
          <w:iCs w:val="0"/>
          <w:color w:val="000000"/>
          <w:sz w:val="20"/>
          <w:szCs w:val="20"/>
          <w:lang w:val="en-ZA"/>
        </w:rPr>
        <w:t>.</w:t>
      </w:r>
    </w:p>
    <w:p w14:paraId="60A7687E" w14:textId="3DA18626" w:rsidR="00F028C9" w:rsidRPr="00753077" w:rsidRDefault="00E56A8E" w:rsidP="00895C0D">
      <w:pPr>
        <w:pStyle w:val="ListParagraph"/>
        <w:numPr>
          <w:ilvl w:val="1"/>
          <w:numId w:val="30"/>
        </w:numPr>
        <w:spacing w:after="120" w:line="360" w:lineRule="auto"/>
        <w:ind w:left="426" w:hanging="426"/>
        <w:rPr>
          <w:rFonts w:ascii="Arial" w:hAnsi="Arial" w:cs="Arial"/>
          <w:b/>
          <w:bCs/>
          <w:sz w:val="22"/>
          <w:szCs w:val="22"/>
        </w:rPr>
      </w:pPr>
      <w:r w:rsidRPr="00E56A8E">
        <w:rPr>
          <w:rFonts w:ascii="Arial" w:hAnsi="Arial" w:cs="Arial"/>
          <w:b/>
          <w:bCs/>
          <w:sz w:val="22"/>
          <w:szCs w:val="22"/>
        </w:rPr>
        <w:t>Effect of mineral fertilization on soil carbon stocks</w:t>
      </w:r>
    </w:p>
    <w:p w14:paraId="4A2008A4" w14:textId="0AD25520" w:rsidR="009B4092" w:rsidRDefault="009B4092" w:rsidP="0099580A">
      <w:pPr>
        <w:spacing w:after="120" w:line="360" w:lineRule="auto"/>
        <w:jc w:val="both"/>
        <w:rPr>
          <w:rFonts w:ascii="Arial" w:hAnsi="Arial"/>
          <w:color w:val="000000" w:themeColor="text1"/>
        </w:rPr>
      </w:pPr>
      <w:r w:rsidRPr="009B4092">
        <w:rPr>
          <w:rFonts w:ascii="Arial" w:hAnsi="Arial"/>
          <w:color w:val="000000" w:themeColor="text1"/>
        </w:rPr>
        <w:t xml:space="preserve">The carbon stock results recorded in Table 1 reveal that there is no significant difference between treatments, regardless of the site. This observation could be linked to several factors, including the approach used and the duration of the experiment. The approach used in this study to determine soil carbon stocks is the synchronous approach. This approach consists of comparing, at a given moment, the C stock of a plot corresponding to the stocking practice carried out over several years with that of a reference plot (Bernoux </w:t>
      </w:r>
      <w:r w:rsidRPr="006A4F1B">
        <w:rPr>
          <w:rFonts w:ascii="Arial" w:hAnsi="Arial"/>
          <w:i/>
          <w:iCs/>
          <w:color w:val="000000" w:themeColor="text1"/>
        </w:rPr>
        <w:t>et al.,</w:t>
      </w:r>
      <w:r w:rsidRPr="009B4092">
        <w:rPr>
          <w:rFonts w:ascii="Arial" w:hAnsi="Arial"/>
          <w:color w:val="000000" w:themeColor="text1"/>
        </w:rPr>
        <w:t xml:space="preserve"> 2006, Olson </w:t>
      </w:r>
      <w:r w:rsidRPr="006A4F1B">
        <w:rPr>
          <w:rFonts w:ascii="Arial" w:hAnsi="Arial"/>
          <w:i/>
          <w:iCs/>
          <w:color w:val="000000" w:themeColor="text1"/>
        </w:rPr>
        <w:t>et al.,</w:t>
      </w:r>
      <w:r w:rsidRPr="009B4092">
        <w:rPr>
          <w:rFonts w:ascii="Arial" w:hAnsi="Arial"/>
          <w:color w:val="000000" w:themeColor="text1"/>
        </w:rPr>
        <w:t xml:space="preserve"> 2014). Time (duration) is a very important factor in the accumulation of organic carbon in the </w:t>
      </w:r>
      <w:proofErr w:type="gramStart"/>
      <w:r w:rsidRPr="009B4092">
        <w:rPr>
          <w:rFonts w:ascii="Arial" w:hAnsi="Arial"/>
          <w:color w:val="000000" w:themeColor="text1"/>
        </w:rPr>
        <w:t>soil;</w:t>
      </w:r>
      <w:proofErr w:type="gramEnd"/>
      <w:r w:rsidRPr="009B4092">
        <w:rPr>
          <w:rFonts w:ascii="Arial" w:hAnsi="Arial"/>
          <w:color w:val="000000" w:themeColor="text1"/>
        </w:rPr>
        <w:t xml:space="preserve"> in this study, ours is 3 years. These observations are consistent with the recent conclusions of Smith </w:t>
      </w:r>
      <w:r w:rsidRPr="006A4F1B">
        <w:rPr>
          <w:rFonts w:ascii="Arial" w:hAnsi="Arial"/>
          <w:i/>
          <w:iCs/>
          <w:color w:val="000000" w:themeColor="text1"/>
        </w:rPr>
        <w:t>et al.</w:t>
      </w:r>
      <w:r w:rsidRPr="009B4092">
        <w:rPr>
          <w:rFonts w:ascii="Arial" w:hAnsi="Arial"/>
          <w:color w:val="000000" w:themeColor="text1"/>
        </w:rPr>
        <w:t xml:space="preserve"> (2022), according to which the assessment of stocks in heterogeneous tropical systems requires longer time steps to reveal significant trends. The duration of this study would not be sufficient to detect significant increases in soil carbon storage, as according to Shi </w:t>
      </w:r>
      <w:r w:rsidRPr="006A4F1B">
        <w:rPr>
          <w:rFonts w:ascii="Arial" w:hAnsi="Arial"/>
          <w:i/>
          <w:iCs/>
          <w:color w:val="000000" w:themeColor="text1"/>
        </w:rPr>
        <w:t>et al.</w:t>
      </w:r>
      <w:r w:rsidRPr="009B4092">
        <w:rPr>
          <w:rFonts w:ascii="Arial" w:hAnsi="Arial"/>
          <w:color w:val="000000" w:themeColor="text1"/>
        </w:rPr>
        <w:t xml:space="preserve"> (2013), soil organic carbon storage is a very slow process. This result has been </w:t>
      </w:r>
      <w:r w:rsidRPr="009B4092">
        <w:rPr>
          <w:rFonts w:ascii="Arial" w:hAnsi="Arial"/>
          <w:color w:val="000000" w:themeColor="text1"/>
        </w:rPr>
        <w:lastRenderedPageBreak/>
        <w:t xml:space="preserve">recently confirmed by Lal (2018) and Bossio </w:t>
      </w:r>
      <w:r w:rsidRPr="006A4F1B">
        <w:rPr>
          <w:rFonts w:ascii="Arial" w:hAnsi="Arial"/>
          <w:i/>
          <w:iCs/>
          <w:color w:val="000000" w:themeColor="text1"/>
        </w:rPr>
        <w:t>et al.</w:t>
      </w:r>
      <w:r w:rsidRPr="009B4092">
        <w:rPr>
          <w:rFonts w:ascii="Arial" w:hAnsi="Arial"/>
          <w:color w:val="000000" w:themeColor="text1"/>
        </w:rPr>
        <w:t xml:space="preserve"> (2020), who argue that measurable carbon sequestration in tropical soils generally requires 5 to 10 years of improved practices.</w:t>
      </w:r>
    </w:p>
    <w:p w14:paraId="2DB7C8CB" w14:textId="77777777" w:rsidR="007C2F08" w:rsidRPr="007C2F08" w:rsidRDefault="007C2F08" w:rsidP="007C2F08">
      <w:pPr>
        <w:spacing w:after="120" w:line="360" w:lineRule="auto"/>
        <w:jc w:val="both"/>
        <w:rPr>
          <w:rFonts w:ascii="Arial" w:hAnsi="Arial"/>
          <w:color w:val="000000" w:themeColor="text1"/>
        </w:rPr>
      </w:pPr>
      <w:r w:rsidRPr="007C2F08">
        <w:rPr>
          <w:rFonts w:ascii="Arial" w:hAnsi="Arial"/>
          <w:color w:val="000000" w:themeColor="text1"/>
        </w:rPr>
        <w:t xml:space="preserve">The three-year duration of this study is therefore insufficient to detect significant variations, as already noted in numerous studies reviewed by Poeplau and Don (2015). </w:t>
      </w:r>
    </w:p>
    <w:p w14:paraId="155BC78B" w14:textId="7E9EE38B" w:rsidR="007C2F08" w:rsidRDefault="007C2F08" w:rsidP="007C2F08">
      <w:pPr>
        <w:spacing w:after="120" w:line="360" w:lineRule="auto"/>
        <w:jc w:val="both"/>
        <w:rPr>
          <w:rFonts w:ascii="Arial" w:hAnsi="Arial"/>
          <w:color w:val="000000" w:themeColor="text1"/>
        </w:rPr>
      </w:pPr>
      <w:r w:rsidRPr="007C2F08">
        <w:rPr>
          <w:rFonts w:ascii="Arial" w:hAnsi="Arial"/>
          <w:color w:val="000000" w:themeColor="text1"/>
        </w:rPr>
        <w:t xml:space="preserve">In addition to these factors, the dose and formulation of mineral fertilizers can stimulate carbon sequestration or accelerate mineralization over time, according to recent work by Kujur </w:t>
      </w:r>
      <w:r w:rsidRPr="006A4F1B">
        <w:rPr>
          <w:rFonts w:ascii="Arial" w:hAnsi="Arial"/>
          <w:i/>
          <w:iCs/>
          <w:color w:val="000000" w:themeColor="text1"/>
        </w:rPr>
        <w:t>et al.</w:t>
      </w:r>
      <w:r w:rsidRPr="007C2F08">
        <w:rPr>
          <w:rFonts w:ascii="Arial" w:hAnsi="Arial"/>
          <w:color w:val="000000" w:themeColor="text1"/>
        </w:rPr>
        <w:t xml:space="preserve"> (2020). The fertilizers used here are NPK formulations and were applied six times in three years, i.e., every six months. They could stimulate the mineralization of organic matter and reduce the soil organic carbon content. These conclusions are consistent with those of Jones &amp; Donnelly (2004), who report that high N and P inputs sometimes promote rapid mineralization of soil organic matter, thereby releasing significant amounts of mineral nitrogen that can be lost through leaching, leading to the release of CO2 into the atmosphere and possibly causing a decrease in soil organic matter content.</w:t>
      </w:r>
    </w:p>
    <w:p w14:paraId="07A61898" w14:textId="77777777" w:rsidR="00386B47" w:rsidRPr="00386B47" w:rsidRDefault="00386B47" w:rsidP="00386B47">
      <w:pPr>
        <w:spacing w:after="120" w:line="360" w:lineRule="auto"/>
        <w:jc w:val="both"/>
        <w:rPr>
          <w:rFonts w:ascii="Arial" w:hAnsi="Arial"/>
          <w:color w:val="000000" w:themeColor="text1"/>
        </w:rPr>
      </w:pPr>
      <w:r w:rsidRPr="00386B47">
        <w:rPr>
          <w:rFonts w:ascii="Arial" w:hAnsi="Arial"/>
          <w:color w:val="000000" w:themeColor="text1"/>
        </w:rPr>
        <w:t xml:space="preserve">Admittedly, the carbon stocks determined in fertilized and unfertilized plots did not reveal any significant differences, but the values determined in the soils of fertilized plots were relatively higher than those of unfertilized soils, with maxima in T1. Since soil organic carbon in cropping systems derives mainly from plant and animal biomass (Bernoux, 2006), the resulting soil carbon stocks from the various fertilized treatments characterized by significant cocoa leaf litter production will be relatively higher and suggest the beginning of carbon accumulation, especially under cocoa plots. These results are consistent with the conclusions of Jagoret </w:t>
      </w:r>
      <w:r w:rsidRPr="006A4F1B">
        <w:rPr>
          <w:rFonts w:ascii="Arial" w:hAnsi="Arial"/>
          <w:i/>
          <w:iCs/>
          <w:color w:val="000000" w:themeColor="text1"/>
        </w:rPr>
        <w:t>et al.</w:t>
      </w:r>
      <w:r w:rsidRPr="00386B47">
        <w:rPr>
          <w:rFonts w:ascii="Arial" w:hAnsi="Arial"/>
          <w:color w:val="000000" w:themeColor="text1"/>
        </w:rPr>
        <w:t xml:space="preserve"> (2018).</w:t>
      </w:r>
    </w:p>
    <w:p w14:paraId="3050D18F" w14:textId="280CF802" w:rsidR="0010170E" w:rsidRPr="0010170E" w:rsidRDefault="00386B47" w:rsidP="0010170E">
      <w:pPr>
        <w:spacing w:after="120" w:line="360" w:lineRule="auto"/>
        <w:jc w:val="both"/>
        <w:rPr>
          <w:rFonts w:ascii="Arial" w:hAnsi="Arial"/>
          <w:color w:val="000000" w:themeColor="text1"/>
        </w:rPr>
      </w:pPr>
      <w:r w:rsidRPr="00386B47">
        <w:rPr>
          <w:rFonts w:ascii="Arial" w:hAnsi="Arial"/>
          <w:color w:val="000000" w:themeColor="text1"/>
        </w:rPr>
        <w:t>The carbon stocks measured in the 0-30 cm layer for fertilized treatments range from 3622.8±430 gC.m</w:t>
      </w:r>
      <w:r>
        <w:rPr>
          <w:rFonts w:ascii="Arial" w:hAnsi="Arial"/>
          <w:color w:val="000000" w:themeColor="text1"/>
          <w:vertAlign w:val="superscript"/>
        </w:rPr>
        <w:t>-2</w:t>
      </w:r>
      <w:r w:rsidRPr="00386B47">
        <w:rPr>
          <w:rFonts w:ascii="Arial" w:hAnsi="Arial"/>
          <w:color w:val="000000" w:themeColor="text1"/>
        </w:rPr>
        <w:t xml:space="preserve"> in T2 at the Soubré site to 6181.2±442.3 gC.m</w:t>
      </w:r>
      <w:r>
        <w:rPr>
          <w:rFonts w:ascii="Arial" w:hAnsi="Arial"/>
          <w:color w:val="000000" w:themeColor="text1"/>
          <w:vertAlign w:val="superscript"/>
        </w:rPr>
        <w:t>-2</w:t>
      </w:r>
      <w:r w:rsidRPr="00386B47">
        <w:rPr>
          <w:rFonts w:ascii="Arial" w:hAnsi="Arial"/>
          <w:color w:val="000000" w:themeColor="text1"/>
        </w:rPr>
        <w:t xml:space="preserve"> in T1 at the same site. The soils studied are thus rich in carbon, as are many soils under cocoa trees in agroforestry conditions, where stocks were in the order of 4200 gC.m</w:t>
      </w:r>
      <w:r>
        <w:rPr>
          <w:rFonts w:ascii="Arial" w:hAnsi="Arial"/>
          <w:color w:val="000000" w:themeColor="text1"/>
          <w:vertAlign w:val="superscript"/>
        </w:rPr>
        <w:t>-2</w:t>
      </w:r>
      <w:r w:rsidRPr="00386B47">
        <w:rPr>
          <w:rFonts w:ascii="Arial" w:hAnsi="Arial"/>
          <w:color w:val="000000" w:themeColor="text1"/>
        </w:rPr>
        <w:t xml:space="preserve"> and 5000 gC.m</w:t>
      </w:r>
      <w:r>
        <w:rPr>
          <w:rFonts w:ascii="Arial" w:hAnsi="Arial"/>
          <w:color w:val="000000" w:themeColor="text1"/>
          <w:vertAlign w:val="superscript"/>
        </w:rPr>
        <w:t>-2</w:t>
      </w:r>
      <w:r w:rsidRPr="00386B47">
        <w:rPr>
          <w:rFonts w:ascii="Arial" w:hAnsi="Arial"/>
          <w:color w:val="000000" w:themeColor="text1"/>
        </w:rPr>
        <w:t xml:space="preserve"> (Montagnini &amp; Nair, 2004). This result is thought to be the consequence of increased and continuous production of plant biomass in this type of cropping system. Indeed, phosphate fertilizer inputs have a greater effect on plant litter production (FAO, 2004).</w:t>
      </w:r>
      <w:r w:rsidR="0010170E" w:rsidRPr="0010170E">
        <w:t xml:space="preserve"> </w:t>
      </w:r>
      <w:r w:rsidR="0010170E" w:rsidRPr="0010170E">
        <w:rPr>
          <w:rFonts w:ascii="Arial" w:hAnsi="Arial"/>
          <w:color w:val="000000" w:themeColor="text1"/>
        </w:rPr>
        <w:t xml:space="preserve">Returning this biomass to the soil increased organic carbon stocks in fertilized plots. In addition, continuous soil cover by litter prevents soil temperature from rising, thereby reducing the rate of organic matter mineralization and also leading to carbon storage in the soil (Fissore </w:t>
      </w:r>
      <w:r w:rsidR="0010170E" w:rsidRPr="006A4F1B">
        <w:rPr>
          <w:rFonts w:ascii="Arial" w:hAnsi="Arial"/>
          <w:i/>
          <w:iCs/>
          <w:color w:val="000000" w:themeColor="text1"/>
        </w:rPr>
        <w:t>et al.,</w:t>
      </w:r>
      <w:r w:rsidR="0010170E" w:rsidRPr="0010170E">
        <w:rPr>
          <w:rFonts w:ascii="Arial" w:hAnsi="Arial"/>
          <w:color w:val="000000" w:themeColor="text1"/>
        </w:rPr>
        <w:t xml:space="preserve"> 2008</w:t>
      </w:r>
      <w:r w:rsidR="0010170E">
        <w:rPr>
          <w:rFonts w:ascii="Arial" w:hAnsi="Arial"/>
          <w:color w:val="000000" w:themeColor="text1"/>
        </w:rPr>
        <w:t xml:space="preserve"> </w:t>
      </w:r>
      <w:r w:rsidR="0010170E" w:rsidRPr="0010170E">
        <w:rPr>
          <w:rFonts w:ascii="Arial" w:hAnsi="Arial"/>
          <w:color w:val="000000" w:themeColor="text1"/>
        </w:rPr>
        <w:t xml:space="preserve">; FAO, 2012). Similarly, by limiting erosion, continuous soil cover reduces soil carbon losses (Scopel et al., 2005). </w:t>
      </w:r>
    </w:p>
    <w:p w14:paraId="5CBE5983" w14:textId="27843670" w:rsidR="00386B47" w:rsidRDefault="0010170E" w:rsidP="0010170E">
      <w:pPr>
        <w:spacing w:after="120" w:line="360" w:lineRule="auto"/>
        <w:jc w:val="both"/>
        <w:rPr>
          <w:rFonts w:ascii="Arial" w:hAnsi="Arial"/>
          <w:color w:val="000000" w:themeColor="text1"/>
        </w:rPr>
      </w:pPr>
      <w:r w:rsidRPr="0010170E">
        <w:rPr>
          <w:rFonts w:ascii="Arial" w:hAnsi="Arial"/>
          <w:color w:val="000000" w:themeColor="text1"/>
        </w:rPr>
        <w:t xml:space="preserve">However, among the fertilized treatments, T1 and T3 stored the largest amounts of carbon in the soil. These results corroborate the work of Poepleau </w:t>
      </w:r>
      <w:r w:rsidRPr="006A4F1B">
        <w:rPr>
          <w:rFonts w:ascii="Arial" w:hAnsi="Arial"/>
          <w:i/>
          <w:iCs/>
          <w:color w:val="000000" w:themeColor="text1"/>
        </w:rPr>
        <w:t>et al.</w:t>
      </w:r>
      <w:r w:rsidRPr="0010170E">
        <w:rPr>
          <w:rFonts w:ascii="Arial" w:hAnsi="Arial"/>
          <w:color w:val="000000" w:themeColor="text1"/>
        </w:rPr>
        <w:t xml:space="preserve"> (2018). These authors showed that mineral fertilization stimulates C storage, but with nuances depending on the fertilizer formulation (N, NP, PK, NPK) and without any real consensus among studies on the most effective formulation for C storage.</w:t>
      </w:r>
    </w:p>
    <w:p w14:paraId="698AE2F6" w14:textId="77777777" w:rsidR="004C0F8B" w:rsidRDefault="004C0F8B" w:rsidP="0010170E">
      <w:pPr>
        <w:spacing w:after="120" w:line="360" w:lineRule="auto"/>
        <w:jc w:val="both"/>
        <w:rPr>
          <w:rFonts w:ascii="Arial" w:hAnsi="Arial"/>
          <w:color w:val="000000" w:themeColor="text1"/>
        </w:rPr>
      </w:pPr>
    </w:p>
    <w:p w14:paraId="646436B5" w14:textId="77777777" w:rsidR="004C0F8B" w:rsidRDefault="004C0F8B" w:rsidP="0010170E">
      <w:pPr>
        <w:spacing w:after="120" w:line="360" w:lineRule="auto"/>
        <w:jc w:val="both"/>
        <w:rPr>
          <w:rFonts w:ascii="Arial" w:hAnsi="Arial"/>
          <w:color w:val="000000" w:themeColor="text1"/>
        </w:rPr>
      </w:pPr>
    </w:p>
    <w:p w14:paraId="0067D12E" w14:textId="77777777" w:rsidR="004C0F8B" w:rsidRDefault="004C0F8B" w:rsidP="0010170E">
      <w:pPr>
        <w:spacing w:after="120" w:line="360" w:lineRule="auto"/>
        <w:jc w:val="both"/>
        <w:rPr>
          <w:rFonts w:ascii="Arial" w:hAnsi="Arial"/>
          <w:color w:val="000000" w:themeColor="text1"/>
        </w:rPr>
      </w:pPr>
    </w:p>
    <w:p w14:paraId="3E0B65B3" w14:textId="77777777" w:rsidR="004C0F8B" w:rsidRDefault="004C0F8B" w:rsidP="0010170E">
      <w:pPr>
        <w:spacing w:after="120" w:line="360" w:lineRule="auto"/>
        <w:jc w:val="both"/>
        <w:rPr>
          <w:rFonts w:ascii="Arial" w:hAnsi="Arial"/>
          <w:color w:val="000000" w:themeColor="text1"/>
        </w:rPr>
      </w:pPr>
    </w:p>
    <w:p w14:paraId="5FDE97F3" w14:textId="21A7443E" w:rsidR="0010170E" w:rsidRPr="0010170E" w:rsidRDefault="00A12B0E" w:rsidP="0010170E">
      <w:pPr>
        <w:spacing w:line="360" w:lineRule="auto"/>
        <w:jc w:val="both"/>
        <w:rPr>
          <w:rFonts w:ascii="Arial" w:hAnsi="Arial"/>
        </w:rPr>
      </w:pPr>
      <w:r w:rsidRPr="00BC5E2C">
        <w:rPr>
          <w:rFonts w:ascii="Arial" w:hAnsi="Arial"/>
          <w:b/>
          <w:bCs/>
          <w:lang w:val="en-ZA" w:eastAsia="en-US"/>
        </w:rPr>
        <w:lastRenderedPageBreak/>
        <w:t xml:space="preserve">Tableau </w:t>
      </w:r>
      <w:r w:rsidR="0010170E">
        <w:rPr>
          <w:rFonts w:ascii="Arial" w:hAnsi="Arial"/>
          <w:b/>
          <w:bCs/>
          <w:lang w:val="en-ZA" w:eastAsia="en-US"/>
        </w:rPr>
        <w:t>1</w:t>
      </w:r>
      <w:r w:rsidR="00BF5D47">
        <w:rPr>
          <w:rFonts w:ascii="Arial" w:hAnsi="Arial"/>
          <w:b/>
          <w:bCs/>
          <w:lang w:val="en-ZA" w:eastAsia="en-US"/>
        </w:rPr>
        <w:t xml:space="preserve">. </w:t>
      </w:r>
      <w:bookmarkStart w:id="3" w:name="_Toc116304001"/>
      <w:r w:rsidR="0010170E" w:rsidRPr="0010170E">
        <w:rPr>
          <w:rFonts w:ascii="Arial" w:hAnsi="Arial"/>
          <w:b/>
          <w:bCs/>
          <w:iCs/>
        </w:rPr>
        <w:t xml:space="preserve">Stock de carbone en </w:t>
      </w:r>
      <w:r w:rsidR="0010170E" w:rsidRPr="0010170E">
        <w:rPr>
          <w:rFonts w:ascii="Arial" w:hAnsi="Arial"/>
          <w:b/>
          <w:bCs/>
          <w:color w:val="000000"/>
        </w:rPr>
        <w:t>gC.m</w:t>
      </w:r>
      <w:r w:rsidR="0010170E" w:rsidRPr="0010170E">
        <w:rPr>
          <w:rFonts w:ascii="Arial" w:hAnsi="Arial"/>
          <w:b/>
          <w:bCs/>
          <w:color w:val="000000"/>
          <w:vertAlign w:val="superscript"/>
        </w:rPr>
        <w:t>-2</w:t>
      </w:r>
      <w:r w:rsidR="0010170E" w:rsidRPr="0010170E">
        <w:rPr>
          <w:rFonts w:ascii="Arial" w:hAnsi="Arial"/>
          <w:b/>
          <w:bCs/>
          <w:iCs/>
        </w:rPr>
        <w:t xml:space="preserve"> en fonction des traitements dans la Nawa</w:t>
      </w:r>
      <w:bookmarkEnd w:id="3"/>
    </w:p>
    <w:tbl>
      <w:tblPr>
        <w:tblW w:w="8909" w:type="dxa"/>
        <w:tblLayout w:type="fixed"/>
        <w:tblCellMar>
          <w:left w:w="0" w:type="dxa"/>
          <w:right w:w="0" w:type="dxa"/>
        </w:tblCellMar>
        <w:tblLook w:val="0000" w:firstRow="0" w:lastRow="0" w:firstColumn="0" w:lastColumn="0" w:noHBand="0" w:noVBand="0"/>
      </w:tblPr>
      <w:tblGrid>
        <w:gridCol w:w="993"/>
        <w:gridCol w:w="1417"/>
        <w:gridCol w:w="1418"/>
        <w:gridCol w:w="1317"/>
        <w:gridCol w:w="1449"/>
        <w:gridCol w:w="868"/>
        <w:gridCol w:w="724"/>
        <w:gridCol w:w="723"/>
      </w:tblGrid>
      <w:tr w:rsidR="0010170E" w:rsidRPr="00F7789F" w14:paraId="3ECFA8CB" w14:textId="77777777" w:rsidTr="006A4F1B">
        <w:trPr>
          <w:trHeight w:val="501"/>
        </w:trPr>
        <w:tc>
          <w:tcPr>
            <w:tcW w:w="993" w:type="dxa"/>
            <w:tcBorders>
              <w:top w:val="single" w:sz="8" w:space="0" w:color="auto"/>
              <w:bottom w:val="single" w:sz="4" w:space="0" w:color="auto"/>
            </w:tcBorders>
            <w:vAlign w:val="center"/>
          </w:tcPr>
          <w:p w14:paraId="797841E1" w14:textId="6B5D20C0" w:rsidR="0010170E" w:rsidRPr="00F7789F" w:rsidRDefault="0010170E" w:rsidP="006A4F1B">
            <w:pPr>
              <w:rPr>
                <w:rFonts w:ascii="Arial" w:hAnsi="Arial"/>
                <w:bCs/>
                <w:sz w:val="18"/>
                <w:szCs w:val="18"/>
              </w:rPr>
            </w:pPr>
            <w:r w:rsidRPr="00F7789F">
              <w:rPr>
                <w:rFonts w:ascii="Arial" w:hAnsi="Arial"/>
                <w:bCs/>
                <w:sz w:val="18"/>
                <w:szCs w:val="18"/>
              </w:rPr>
              <w:t>Site</w:t>
            </w:r>
            <w:r>
              <w:rPr>
                <w:rFonts w:ascii="Arial" w:hAnsi="Arial"/>
                <w:bCs/>
                <w:sz w:val="18"/>
                <w:szCs w:val="18"/>
              </w:rPr>
              <w:t>s</w:t>
            </w:r>
          </w:p>
        </w:tc>
        <w:tc>
          <w:tcPr>
            <w:tcW w:w="1417" w:type="dxa"/>
            <w:tcBorders>
              <w:top w:val="single" w:sz="8" w:space="0" w:color="auto"/>
              <w:bottom w:val="single" w:sz="4" w:space="0" w:color="auto"/>
            </w:tcBorders>
            <w:vAlign w:val="center"/>
          </w:tcPr>
          <w:p w14:paraId="15845791" w14:textId="77777777" w:rsidR="0010170E" w:rsidRPr="00F7789F" w:rsidRDefault="0010170E" w:rsidP="006A4F1B">
            <w:pPr>
              <w:rPr>
                <w:rFonts w:ascii="Arial" w:eastAsia="Times New Roman" w:hAnsi="Arial"/>
                <w:sz w:val="18"/>
                <w:szCs w:val="18"/>
              </w:rPr>
            </w:pPr>
            <w:r w:rsidRPr="00F7789F">
              <w:rPr>
                <w:rFonts w:ascii="Arial" w:eastAsia="Times New Roman" w:hAnsi="Arial"/>
                <w:sz w:val="18"/>
                <w:szCs w:val="18"/>
              </w:rPr>
              <w:t>T0</w:t>
            </w:r>
          </w:p>
        </w:tc>
        <w:tc>
          <w:tcPr>
            <w:tcW w:w="1418" w:type="dxa"/>
            <w:tcBorders>
              <w:top w:val="single" w:sz="8" w:space="0" w:color="auto"/>
              <w:bottom w:val="single" w:sz="4" w:space="0" w:color="auto"/>
            </w:tcBorders>
            <w:vAlign w:val="center"/>
          </w:tcPr>
          <w:p w14:paraId="11200ED9" w14:textId="77777777" w:rsidR="0010170E" w:rsidRPr="00F7789F" w:rsidRDefault="0010170E" w:rsidP="006A4F1B">
            <w:pPr>
              <w:rPr>
                <w:rFonts w:ascii="Arial" w:eastAsia="Times New Roman" w:hAnsi="Arial"/>
                <w:sz w:val="18"/>
                <w:szCs w:val="18"/>
              </w:rPr>
            </w:pPr>
            <w:r w:rsidRPr="00F7789F">
              <w:rPr>
                <w:rFonts w:ascii="Arial" w:eastAsia="Times New Roman" w:hAnsi="Arial"/>
                <w:sz w:val="18"/>
                <w:szCs w:val="18"/>
              </w:rPr>
              <w:t>T1</w:t>
            </w:r>
          </w:p>
        </w:tc>
        <w:tc>
          <w:tcPr>
            <w:tcW w:w="1317" w:type="dxa"/>
            <w:tcBorders>
              <w:top w:val="single" w:sz="8" w:space="0" w:color="auto"/>
              <w:bottom w:val="single" w:sz="4" w:space="0" w:color="auto"/>
            </w:tcBorders>
            <w:vAlign w:val="center"/>
          </w:tcPr>
          <w:p w14:paraId="15E66504" w14:textId="77777777" w:rsidR="0010170E" w:rsidRPr="00F7789F" w:rsidRDefault="0010170E" w:rsidP="006A4F1B">
            <w:pPr>
              <w:rPr>
                <w:rFonts w:ascii="Arial" w:eastAsia="Times New Roman" w:hAnsi="Arial"/>
                <w:sz w:val="18"/>
                <w:szCs w:val="18"/>
              </w:rPr>
            </w:pPr>
            <w:r w:rsidRPr="00F7789F">
              <w:rPr>
                <w:rFonts w:ascii="Arial" w:eastAsia="Times New Roman" w:hAnsi="Arial"/>
                <w:sz w:val="18"/>
                <w:szCs w:val="18"/>
              </w:rPr>
              <w:t>T2</w:t>
            </w:r>
          </w:p>
        </w:tc>
        <w:tc>
          <w:tcPr>
            <w:tcW w:w="1449" w:type="dxa"/>
            <w:tcBorders>
              <w:top w:val="single" w:sz="8" w:space="0" w:color="auto"/>
              <w:bottom w:val="single" w:sz="4" w:space="0" w:color="auto"/>
            </w:tcBorders>
            <w:vAlign w:val="center"/>
          </w:tcPr>
          <w:p w14:paraId="42BDF72F" w14:textId="77777777" w:rsidR="0010170E" w:rsidRPr="00F7789F" w:rsidRDefault="0010170E" w:rsidP="006A4F1B">
            <w:pPr>
              <w:rPr>
                <w:rFonts w:ascii="Arial" w:eastAsia="Times New Roman" w:hAnsi="Arial"/>
                <w:sz w:val="18"/>
                <w:szCs w:val="18"/>
              </w:rPr>
            </w:pPr>
            <w:r w:rsidRPr="00F7789F">
              <w:rPr>
                <w:rFonts w:ascii="Arial" w:eastAsia="Times New Roman" w:hAnsi="Arial"/>
                <w:sz w:val="18"/>
                <w:szCs w:val="18"/>
              </w:rPr>
              <w:t>T3</w:t>
            </w:r>
          </w:p>
        </w:tc>
        <w:tc>
          <w:tcPr>
            <w:tcW w:w="868" w:type="dxa"/>
            <w:tcBorders>
              <w:top w:val="single" w:sz="8" w:space="0" w:color="auto"/>
              <w:bottom w:val="single" w:sz="4" w:space="0" w:color="auto"/>
            </w:tcBorders>
            <w:vAlign w:val="center"/>
          </w:tcPr>
          <w:p w14:paraId="0CC0B0C7" w14:textId="6AAC997A" w:rsidR="0010170E" w:rsidRPr="00F7789F" w:rsidRDefault="0010170E" w:rsidP="006A4F1B">
            <w:pPr>
              <w:rPr>
                <w:rFonts w:ascii="Arial" w:eastAsia="Times New Roman" w:hAnsi="Arial"/>
                <w:sz w:val="18"/>
                <w:szCs w:val="18"/>
              </w:rPr>
            </w:pPr>
            <w:r w:rsidRPr="00F7789F">
              <w:rPr>
                <w:rFonts w:ascii="Arial" w:eastAsia="Times New Roman" w:hAnsi="Arial"/>
                <w:sz w:val="18"/>
                <w:szCs w:val="18"/>
              </w:rPr>
              <w:t>M</w:t>
            </w:r>
            <w:r>
              <w:rPr>
                <w:rFonts w:ascii="Arial" w:eastAsia="Times New Roman" w:hAnsi="Arial"/>
                <w:sz w:val="18"/>
                <w:szCs w:val="18"/>
              </w:rPr>
              <w:t>ean</w:t>
            </w:r>
          </w:p>
        </w:tc>
        <w:tc>
          <w:tcPr>
            <w:tcW w:w="724" w:type="dxa"/>
            <w:tcBorders>
              <w:top w:val="single" w:sz="8" w:space="0" w:color="auto"/>
              <w:bottom w:val="single" w:sz="4" w:space="0" w:color="auto"/>
            </w:tcBorders>
            <w:vAlign w:val="center"/>
          </w:tcPr>
          <w:p w14:paraId="574A6895" w14:textId="77777777" w:rsidR="0010170E" w:rsidRPr="00F7789F" w:rsidRDefault="0010170E" w:rsidP="006A4F1B">
            <w:pPr>
              <w:rPr>
                <w:rFonts w:ascii="Arial" w:eastAsia="Times New Roman" w:hAnsi="Arial"/>
                <w:sz w:val="18"/>
                <w:szCs w:val="18"/>
              </w:rPr>
            </w:pPr>
            <w:r w:rsidRPr="00F7789F">
              <w:rPr>
                <w:rFonts w:ascii="Arial" w:eastAsia="Times New Roman" w:hAnsi="Arial"/>
                <w:sz w:val="18"/>
                <w:szCs w:val="18"/>
              </w:rPr>
              <w:t>CV (%)</w:t>
            </w:r>
          </w:p>
        </w:tc>
        <w:tc>
          <w:tcPr>
            <w:tcW w:w="723" w:type="dxa"/>
            <w:tcBorders>
              <w:top w:val="single" w:sz="8" w:space="0" w:color="auto"/>
              <w:bottom w:val="single" w:sz="4" w:space="0" w:color="auto"/>
            </w:tcBorders>
            <w:vAlign w:val="center"/>
          </w:tcPr>
          <w:p w14:paraId="5C9AEF00" w14:textId="77777777" w:rsidR="0010170E" w:rsidRPr="00F7789F" w:rsidRDefault="0010170E" w:rsidP="006A4F1B">
            <w:pPr>
              <w:rPr>
                <w:rFonts w:ascii="Arial" w:eastAsia="Times New Roman" w:hAnsi="Arial"/>
                <w:sz w:val="18"/>
                <w:szCs w:val="18"/>
              </w:rPr>
            </w:pPr>
            <w:proofErr w:type="gramStart"/>
            <w:r w:rsidRPr="00F7789F">
              <w:rPr>
                <w:rFonts w:ascii="Arial" w:eastAsia="Times New Roman" w:hAnsi="Arial"/>
                <w:sz w:val="18"/>
                <w:szCs w:val="18"/>
              </w:rPr>
              <w:t>p</w:t>
            </w:r>
            <w:proofErr w:type="gramEnd"/>
            <w:r w:rsidRPr="00F7789F">
              <w:rPr>
                <w:rFonts w:ascii="Arial" w:eastAsia="Times New Roman" w:hAnsi="Arial"/>
                <w:sz w:val="18"/>
                <w:szCs w:val="18"/>
              </w:rPr>
              <w:t>-value</w:t>
            </w:r>
          </w:p>
        </w:tc>
      </w:tr>
      <w:tr w:rsidR="0010170E" w:rsidRPr="00F7789F" w14:paraId="05453FFD" w14:textId="77777777" w:rsidTr="00A02803">
        <w:trPr>
          <w:trHeight w:val="501"/>
        </w:trPr>
        <w:tc>
          <w:tcPr>
            <w:tcW w:w="993" w:type="dxa"/>
            <w:vAlign w:val="center"/>
          </w:tcPr>
          <w:p w14:paraId="3F8B4CC3" w14:textId="77777777" w:rsidR="0010170E" w:rsidRPr="00F7789F" w:rsidRDefault="0010170E" w:rsidP="00A02803">
            <w:pPr>
              <w:jc w:val="both"/>
              <w:rPr>
                <w:rFonts w:ascii="Arial" w:hAnsi="Arial"/>
                <w:sz w:val="18"/>
                <w:szCs w:val="18"/>
              </w:rPr>
            </w:pPr>
            <w:r w:rsidRPr="00F7789F">
              <w:rPr>
                <w:rFonts w:ascii="Arial" w:eastAsia="Times New Roman" w:hAnsi="Arial"/>
                <w:bCs/>
                <w:iCs/>
                <w:sz w:val="18"/>
                <w:szCs w:val="18"/>
              </w:rPr>
              <w:t>Soubré</w:t>
            </w:r>
          </w:p>
        </w:tc>
        <w:tc>
          <w:tcPr>
            <w:tcW w:w="1417" w:type="dxa"/>
            <w:vAlign w:val="center"/>
          </w:tcPr>
          <w:p w14:paraId="5E0CA696" w14:textId="3629FA5A" w:rsidR="0010170E" w:rsidRPr="00F7789F" w:rsidRDefault="0010170E" w:rsidP="00A02803">
            <w:pPr>
              <w:jc w:val="both"/>
              <w:rPr>
                <w:rFonts w:ascii="Arial" w:hAnsi="Arial"/>
                <w:sz w:val="18"/>
                <w:szCs w:val="18"/>
              </w:rPr>
            </w:pPr>
            <w:r w:rsidRPr="00F7789F">
              <w:rPr>
                <w:rFonts w:ascii="Arial" w:hAnsi="Arial"/>
                <w:sz w:val="18"/>
                <w:szCs w:val="18"/>
              </w:rPr>
              <w:t>3640</w:t>
            </w:r>
            <w:r w:rsidR="006A4F1B">
              <w:rPr>
                <w:rFonts w:ascii="Arial" w:hAnsi="Arial"/>
                <w:sz w:val="18"/>
                <w:szCs w:val="18"/>
              </w:rPr>
              <w:t>.</w:t>
            </w:r>
            <w:r w:rsidRPr="00F7789F">
              <w:rPr>
                <w:rFonts w:ascii="Arial" w:hAnsi="Arial"/>
                <w:sz w:val="18"/>
                <w:szCs w:val="18"/>
              </w:rPr>
              <w:t>1±310</w:t>
            </w:r>
            <w:r w:rsidR="006A4F1B">
              <w:rPr>
                <w:rFonts w:ascii="Arial" w:hAnsi="Arial"/>
                <w:sz w:val="18"/>
                <w:szCs w:val="18"/>
              </w:rPr>
              <w:t>.</w:t>
            </w:r>
            <w:r w:rsidRPr="00F7789F">
              <w:rPr>
                <w:rFonts w:ascii="Arial" w:hAnsi="Arial"/>
                <w:sz w:val="18"/>
                <w:szCs w:val="18"/>
              </w:rPr>
              <w:t>1</w:t>
            </w:r>
            <w:r w:rsidR="00811B52">
              <w:rPr>
                <w:rFonts w:ascii="Arial" w:hAnsi="Arial"/>
                <w:sz w:val="18"/>
                <w:szCs w:val="18"/>
              </w:rPr>
              <w:t xml:space="preserve"> </w:t>
            </w:r>
            <w:r w:rsidRPr="00F7789F">
              <w:rPr>
                <w:rFonts w:ascii="Arial" w:hAnsi="Arial"/>
                <w:sz w:val="18"/>
                <w:szCs w:val="18"/>
              </w:rPr>
              <w:t>a</w:t>
            </w:r>
          </w:p>
        </w:tc>
        <w:tc>
          <w:tcPr>
            <w:tcW w:w="1418" w:type="dxa"/>
            <w:vAlign w:val="center"/>
          </w:tcPr>
          <w:p w14:paraId="265FA8DA" w14:textId="385FC86A" w:rsidR="0010170E" w:rsidRPr="00F7789F" w:rsidRDefault="0010170E" w:rsidP="00A02803">
            <w:pPr>
              <w:ind w:right="-170"/>
              <w:jc w:val="both"/>
              <w:rPr>
                <w:rFonts w:ascii="Arial" w:hAnsi="Arial"/>
                <w:sz w:val="18"/>
                <w:szCs w:val="18"/>
              </w:rPr>
            </w:pPr>
            <w:r w:rsidRPr="00F7789F">
              <w:rPr>
                <w:rFonts w:ascii="Arial" w:hAnsi="Arial"/>
                <w:sz w:val="18"/>
                <w:szCs w:val="18"/>
              </w:rPr>
              <w:t>6181</w:t>
            </w:r>
            <w:r w:rsidR="006A4F1B">
              <w:rPr>
                <w:rFonts w:ascii="Arial" w:hAnsi="Arial"/>
                <w:sz w:val="18"/>
                <w:szCs w:val="18"/>
              </w:rPr>
              <w:t>.</w:t>
            </w:r>
            <w:r w:rsidRPr="00F7789F">
              <w:rPr>
                <w:rFonts w:ascii="Arial" w:hAnsi="Arial"/>
                <w:sz w:val="18"/>
                <w:szCs w:val="18"/>
              </w:rPr>
              <w:t>2±44</w:t>
            </w:r>
            <w:r w:rsidR="006A4F1B">
              <w:rPr>
                <w:rFonts w:ascii="Arial" w:hAnsi="Arial"/>
                <w:sz w:val="18"/>
                <w:szCs w:val="18"/>
              </w:rPr>
              <w:t>.</w:t>
            </w:r>
            <w:r w:rsidRPr="00F7789F">
              <w:rPr>
                <w:rFonts w:ascii="Arial" w:hAnsi="Arial"/>
                <w:sz w:val="18"/>
                <w:szCs w:val="18"/>
              </w:rPr>
              <w:t>3 a</w:t>
            </w:r>
          </w:p>
        </w:tc>
        <w:tc>
          <w:tcPr>
            <w:tcW w:w="1317" w:type="dxa"/>
            <w:vAlign w:val="center"/>
          </w:tcPr>
          <w:p w14:paraId="3EDD7D4D" w14:textId="522F9118" w:rsidR="0010170E" w:rsidRPr="00F7789F" w:rsidRDefault="0010170E" w:rsidP="00A02803">
            <w:pPr>
              <w:ind w:right="-170"/>
              <w:jc w:val="both"/>
              <w:rPr>
                <w:rFonts w:ascii="Arial" w:hAnsi="Arial"/>
                <w:sz w:val="18"/>
                <w:szCs w:val="18"/>
              </w:rPr>
            </w:pPr>
            <w:r w:rsidRPr="00F7789F">
              <w:rPr>
                <w:rFonts w:ascii="Arial" w:hAnsi="Arial"/>
                <w:sz w:val="18"/>
                <w:szCs w:val="18"/>
              </w:rPr>
              <w:t>3622</w:t>
            </w:r>
            <w:r w:rsidR="006A4F1B">
              <w:rPr>
                <w:rFonts w:ascii="Arial" w:hAnsi="Arial"/>
                <w:sz w:val="18"/>
                <w:szCs w:val="18"/>
              </w:rPr>
              <w:t>.</w:t>
            </w:r>
            <w:r w:rsidRPr="00F7789F">
              <w:rPr>
                <w:rFonts w:ascii="Arial" w:hAnsi="Arial"/>
                <w:sz w:val="18"/>
                <w:szCs w:val="18"/>
              </w:rPr>
              <w:t>8±430 a</w:t>
            </w:r>
          </w:p>
        </w:tc>
        <w:tc>
          <w:tcPr>
            <w:tcW w:w="1449" w:type="dxa"/>
            <w:vAlign w:val="center"/>
          </w:tcPr>
          <w:p w14:paraId="521CBF19" w14:textId="5CD9DB37" w:rsidR="0010170E" w:rsidRPr="00F7789F" w:rsidRDefault="0010170E" w:rsidP="00A02803">
            <w:pPr>
              <w:ind w:right="-170"/>
              <w:jc w:val="both"/>
              <w:rPr>
                <w:rFonts w:ascii="Arial" w:hAnsi="Arial"/>
                <w:sz w:val="18"/>
                <w:szCs w:val="18"/>
              </w:rPr>
            </w:pPr>
            <w:r w:rsidRPr="00F7789F">
              <w:rPr>
                <w:rFonts w:ascii="Arial" w:hAnsi="Arial"/>
                <w:sz w:val="18"/>
                <w:szCs w:val="18"/>
              </w:rPr>
              <w:t>6051</w:t>
            </w:r>
            <w:r w:rsidR="006A4F1B">
              <w:rPr>
                <w:rFonts w:ascii="Arial" w:hAnsi="Arial"/>
                <w:sz w:val="18"/>
                <w:szCs w:val="18"/>
              </w:rPr>
              <w:t>.</w:t>
            </w:r>
            <w:r w:rsidRPr="00F7789F">
              <w:rPr>
                <w:rFonts w:ascii="Arial" w:hAnsi="Arial"/>
                <w:sz w:val="18"/>
                <w:szCs w:val="18"/>
              </w:rPr>
              <w:t>9±61</w:t>
            </w:r>
            <w:r w:rsidR="006A4F1B">
              <w:rPr>
                <w:rFonts w:ascii="Arial" w:hAnsi="Arial"/>
                <w:sz w:val="18"/>
                <w:szCs w:val="18"/>
              </w:rPr>
              <w:t>.</w:t>
            </w:r>
            <w:r w:rsidRPr="00F7789F">
              <w:rPr>
                <w:rFonts w:ascii="Arial" w:hAnsi="Arial"/>
                <w:sz w:val="18"/>
                <w:szCs w:val="18"/>
              </w:rPr>
              <w:t>4 a</w:t>
            </w:r>
          </w:p>
        </w:tc>
        <w:tc>
          <w:tcPr>
            <w:tcW w:w="868" w:type="dxa"/>
            <w:vAlign w:val="center"/>
          </w:tcPr>
          <w:p w14:paraId="33DC10E7" w14:textId="6D69D94B" w:rsidR="0010170E" w:rsidRPr="00F7789F" w:rsidRDefault="0010170E" w:rsidP="00A02803">
            <w:pPr>
              <w:ind w:right="-170"/>
              <w:jc w:val="both"/>
              <w:rPr>
                <w:rFonts w:ascii="Arial" w:hAnsi="Arial"/>
                <w:sz w:val="18"/>
                <w:szCs w:val="18"/>
              </w:rPr>
            </w:pPr>
            <w:r w:rsidRPr="00F7789F">
              <w:rPr>
                <w:rFonts w:ascii="Arial" w:hAnsi="Arial"/>
                <w:sz w:val="18"/>
                <w:szCs w:val="18"/>
              </w:rPr>
              <w:t>4874</w:t>
            </w:r>
          </w:p>
        </w:tc>
        <w:tc>
          <w:tcPr>
            <w:tcW w:w="724" w:type="dxa"/>
            <w:vAlign w:val="center"/>
          </w:tcPr>
          <w:p w14:paraId="1C813A33" w14:textId="32638FD7" w:rsidR="0010170E" w:rsidRPr="00F7789F" w:rsidRDefault="0010170E" w:rsidP="00A02803">
            <w:pPr>
              <w:jc w:val="both"/>
              <w:rPr>
                <w:rFonts w:ascii="Arial" w:hAnsi="Arial"/>
                <w:sz w:val="18"/>
                <w:szCs w:val="18"/>
              </w:rPr>
            </w:pPr>
            <w:r w:rsidRPr="00F7789F">
              <w:rPr>
                <w:rFonts w:ascii="Arial" w:hAnsi="Arial"/>
                <w:sz w:val="18"/>
                <w:szCs w:val="18"/>
              </w:rPr>
              <w:t xml:space="preserve"> 33</w:t>
            </w:r>
            <w:r w:rsidR="006A4F1B">
              <w:rPr>
                <w:rFonts w:ascii="Arial" w:hAnsi="Arial"/>
                <w:sz w:val="18"/>
                <w:szCs w:val="18"/>
              </w:rPr>
              <w:t>.</w:t>
            </w:r>
            <w:r w:rsidRPr="00F7789F">
              <w:rPr>
                <w:rFonts w:ascii="Arial" w:hAnsi="Arial"/>
                <w:sz w:val="18"/>
                <w:szCs w:val="18"/>
              </w:rPr>
              <w:t>55</w:t>
            </w:r>
          </w:p>
        </w:tc>
        <w:tc>
          <w:tcPr>
            <w:tcW w:w="723" w:type="dxa"/>
            <w:vAlign w:val="center"/>
          </w:tcPr>
          <w:p w14:paraId="24A2668F" w14:textId="7387F557" w:rsidR="0010170E" w:rsidRPr="00F7789F" w:rsidRDefault="0010170E" w:rsidP="00A02803">
            <w:pPr>
              <w:ind w:right="-170"/>
              <w:jc w:val="both"/>
              <w:rPr>
                <w:rFonts w:ascii="Arial" w:hAnsi="Arial"/>
                <w:color w:val="000000"/>
                <w:sz w:val="18"/>
                <w:szCs w:val="18"/>
              </w:rPr>
            </w:pPr>
            <w:r w:rsidRPr="00F7789F">
              <w:rPr>
                <w:rFonts w:ascii="Arial" w:hAnsi="Arial"/>
                <w:color w:val="000000"/>
                <w:sz w:val="18"/>
                <w:szCs w:val="18"/>
              </w:rPr>
              <w:t>0</w:t>
            </w:r>
            <w:r w:rsidR="006A4F1B">
              <w:rPr>
                <w:rFonts w:ascii="Arial" w:hAnsi="Arial"/>
                <w:color w:val="000000"/>
                <w:sz w:val="18"/>
                <w:szCs w:val="18"/>
              </w:rPr>
              <w:t>.</w:t>
            </w:r>
            <w:r w:rsidRPr="00F7789F">
              <w:rPr>
                <w:rFonts w:ascii="Arial" w:hAnsi="Arial"/>
                <w:color w:val="000000"/>
                <w:sz w:val="18"/>
                <w:szCs w:val="18"/>
              </w:rPr>
              <w:t>3343</w:t>
            </w:r>
          </w:p>
        </w:tc>
      </w:tr>
      <w:tr w:rsidR="0010170E" w:rsidRPr="00F7789F" w14:paraId="06CA8DC0" w14:textId="77777777" w:rsidTr="00A02803">
        <w:trPr>
          <w:trHeight w:val="501"/>
        </w:trPr>
        <w:tc>
          <w:tcPr>
            <w:tcW w:w="993" w:type="dxa"/>
            <w:vAlign w:val="center"/>
          </w:tcPr>
          <w:p w14:paraId="4CB47DB0" w14:textId="77777777" w:rsidR="0010170E" w:rsidRPr="00F7789F" w:rsidRDefault="0010170E" w:rsidP="00A02803">
            <w:pPr>
              <w:jc w:val="both"/>
              <w:rPr>
                <w:rFonts w:ascii="Arial" w:hAnsi="Arial"/>
                <w:sz w:val="18"/>
                <w:szCs w:val="18"/>
              </w:rPr>
            </w:pPr>
            <w:r w:rsidRPr="00F7789F">
              <w:rPr>
                <w:rFonts w:ascii="Arial" w:eastAsia="Times New Roman" w:hAnsi="Arial"/>
                <w:bCs/>
                <w:sz w:val="18"/>
                <w:szCs w:val="18"/>
              </w:rPr>
              <w:t>Méagui</w:t>
            </w:r>
          </w:p>
        </w:tc>
        <w:tc>
          <w:tcPr>
            <w:tcW w:w="1417" w:type="dxa"/>
            <w:vAlign w:val="center"/>
          </w:tcPr>
          <w:p w14:paraId="4346AC4B" w14:textId="03761DF9" w:rsidR="0010170E" w:rsidRPr="00F7789F" w:rsidRDefault="0010170E" w:rsidP="00A02803">
            <w:pPr>
              <w:jc w:val="both"/>
              <w:rPr>
                <w:rFonts w:ascii="Arial" w:hAnsi="Arial"/>
                <w:sz w:val="18"/>
                <w:szCs w:val="18"/>
              </w:rPr>
            </w:pPr>
            <w:r w:rsidRPr="00F7789F">
              <w:rPr>
                <w:rFonts w:ascii="Arial" w:hAnsi="Arial"/>
                <w:sz w:val="18"/>
                <w:szCs w:val="18"/>
              </w:rPr>
              <w:t>3221</w:t>
            </w:r>
            <w:r w:rsidR="006A4F1B">
              <w:rPr>
                <w:rFonts w:ascii="Arial" w:hAnsi="Arial"/>
                <w:sz w:val="18"/>
                <w:szCs w:val="18"/>
              </w:rPr>
              <w:t>.</w:t>
            </w:r>
            <w:r w:rsidRPr="00F7789F">
              <w:rPr>
                <w:rFonts w:ascii="Arial" w:hAnsi="Arial"/>
                <w:sz w:val="18"/>
                <w:szCs w:val="18"/>
              </w:rPr>
              <w:t>8±422</w:t>
            </w:r>
            <w:r w:rsidR="006A4F1B">
              <w:rPr>
                <w:rFonts w:ascii="Arial" w:hAnsi="Arial"/>
                <w:sz w:val="18"/>
                <w:szCs w:val="18"/>
              </w:rPr>
              <w:t>.</w:t>
            </w:r>
            <w:r w:rsidRPr="00F7789F">
              <w:rPr>
                <w:rFonts w:ascii="Arial" w:hAnsi="Arial"/>
                <w:sz w:val="18"/>
                <w:szCs w:val="18"/>
              </w:rPr>
              <w:t>4</w:t>
            </w:r>
            <w:r w:rsidR="00811B52">
              <w:rPr>
                <w:rFonts w:ascii="Arial" w:hAnsi="Arial"/>
                <w:sz w:val="18"/>
                <w:szCs w:val="18"/>
              </w:rPr>
              <w:t xml:space="preserve"> </w:t>
            </w:r>
            <w:r w:rsidRPr="00F7789F">
              <w:rPr>
                <w:rFonts w:ascii="Arial" w:hAnsi="Arial"/>
                <w:sz w:val="18"/>
                <w:szCs w:val="18"/>
              </w:rPr>
              <w:t>a</w:t>
            </w:r>
          </w:p>
        </w:tc>
        <w:tc>
          <w:tcPr>
            <w:tcW w:w="1418" w:type="dxa"/>
            <w:vAlign w:val="center"/>
          </w:tcPr>
          <w:p w14:paraId="094C8D8B" w14:textId="68DBACAF" w:rsidR="0010170E" w:rsidRPr="00F7789F" w:rsidRDefault="0010170E" w:rsidP="00A02803">
            <w:pPr>
              <w:ind w:right="-170"/>
              <w:jc w:val="both"/>
              <w:rPr>
                <w:rFonts w:ascii="Arial" w:hAnsi="Arial"/>
                <w:sz w:val="18"/>
                <w:szCs w:val="18"/>
              </w:rPr>
            </w:pPr>
            <w:r w:rsidRPr="00F7789F">
              <w:rPr>
                <w:rFonts w:ascii="Arial" w:hAnsi="Arial"/>
                <w:sz w:val="18"/>
                <w:szCs w:val="18"/>
              </w:rPr>
              <w:t>5068</w:t>
            </w:r>
            <w:r w:rsidR="006A4F1B">
              <w:rPr>
                <w:rFonts w:ascii="Arial" w:hAnsi="Arial"/>
                <w:sz w:val="18"/>
                <w:szCs w:val="18"/>
              </w:rPr>
              <w:t>.</w:t>
            </w:r>
            <w:r w:rsidRPr="00F7789F">
              <w:rPr>
                <w:rFonts w:ascii="Arial" w:hAnsi="Arial"/>
                <w:sz w:val="18"/>
                <w:szCs w:val="18"/>
              </w:rPr>
              <w:t>7±375</w:t>
            </w:r>
            <w:r w:rsidR="006A4F1B">
              <w:rPr>
                <w:rFonts w:ascii="Arial" w:hAnsi="Arial"/>
                <w:sz w:val="18"/>
                <w:szCs w:val="18"/>
              </w:rPr>
              <w:t>.</w:t>
            </w:r>
            <w:r w:rsidRPr="00F7789F">
              <w:rPr>
                <w:rFonts w:ascii="Arial" w:hAnsi="Arial"/>
                <w:sz w:val="18"/>
                <w:szCs w:val="18"/>
              </w:rPr>
              <w:t>1</w:t>
            </w:r>
            <w:r w:rsidR="006A4F1B">
              <w:rPr>
                <w:rFonts w:ascii="Arial" w:hAnsi="Arial"/>
                <w:sz w:val="18"/>
                <w:szCs w:val="18"/>
              </w:rPr>
              <w:t xml:space="preserve"> </w:t>
            </w:r>
            <w:r w:rsidRPr="00F7789F">
              <w:rPr>
                <w:rFonts w:ascii="Arial" w:hAnsi="Arial"/>
                <w:sz w:val="18"/>
                <w:szCs w:val="18"/>
              </w:rPr>
              <w:t>a</w:t>
            </w:r>
          </w:p>
        </w:tc>
        <w:tc>
          <w:tcPr>
            <w:tcW w:w="1317" w:type="dxa"/>
            <w:vAlign w:val="center"/>
          </w:tcPr>
          <w:p w14:paraId="58DECE3C" w14:textId="00C3026D" w:rsidR="0010170E" w:rsidRPr="00F7789F" w:rsidRDefault="0010170E" w:rsidP="00A02803">
            <w:pPr>
              <w:ind w:right="-170"/>
              <w:jc w:val="both"/>
              <w:rPr>
                <w:rFonts w:ascii="Arial" w:hAnsi="Arial"/>
                <w:sz w:val="18"/>
                <w:szCs w:val="18"/>
              </w:rPr>
            </w:pPr>
            <w:r w:rsidRPr="00F7789F">
              <w:rPr>
                <w:rFonts w:ascii="Arial" w:hAnsi="Arial"/>
                <w:sz w:val="18"/>
                <w:szCs w:val="18"/>
              </w:rPr>
              <w:t>4421±189</w:t>
            </w:r>
            <w:r w:rsidR="006A4F1B">
              <w:rPr>
                <w:rFonts w:ascii="Arial" w:hAnsi="Arial"/>
                <w:sz w:val="18"/>
                <w:szCs w:val="18"/>
              </w:rPr>
              <w:t>.</w:t>
            </w:r>
            <w:r w:rsidRPr="00F7789F">
              <w:rPr>
                <w:rFonts w:ascii="Arial" w:hAnsi="Arial"/>
                <w:sz w:val="18"/>
                <w:szCs w:val="18"/>
              </w:rPr>
              <w:t>5 a</w:t>
            </w:r>
          </w:p>
        </w:tc>
        <w:tc>
          <w:tcPr>
            <w:tcW w:w="1449" w:type="dxa"/>
            <w:vAlign w:val="center"/>
          </w:tcPr>
          <w:p w14:paraId="769AAB3C" w14:textId="2CBBBA4D" w:rsidR="0010170E" w:rsidRPr="00F7789F" w:rsidRDefault="0010170E" w:rsidP="00A02803">
            <w:pPr>
              <w:ind w:right="-170"/>
              <w:jc w:val="both"/>
              <w:rPr>
                <w:rFonts w:ascii="Arial" w:hAnsi="Arial"/>
                <w:sz w:val="18"/>
                <w:szCs w:val="18"/>
              </w:rPr>
            </w:pPr>
            <w:r w:rsidRPr="00F7789F">
              <w:rPr>
                <w:rFonts w:ascii="Arial" w:hAnsi="Arial"/>
                <w:sz w:val="18"/>
                <w:szCs w:val="18"/>
              </w:rPr>
              <w:t>4606</w:t>
            </w:r>
            <w:r w:rsidR="006A4F1B">
              <w:rPr>
                <w:rFonts w:ascii="Arial" w:hAnsi="Arial"/>
                <w:sz w:val="18"/>
                <w:szCs w:val="18"/>
              </w:rPr>
              <w:t>.</w:t>
            </w:r>
            <w:r w:rsidRPr="00F7789F">
              <w:rPr>
                <w:rFonts w:ascii="Arial" w:hAnsi="Arial"/>
                <w:sz w:val="18"/>
                <w:szCs w:val="18"/>
              </w:rPr>
              <w:t>7±564</w:t>
            </w:r>
            <w:r w:rsidR="006A4F1B">
              <w:rPr>
                <w:rFonts w:ascii="Arial" w:hAnsi="Arial"/>
                <w:sz w:val="18"/>
                <w:szCs w:val="18"/>
              </w:rPr>
              <w:t>.</w:t>
            </w:r>
            <w:r w:rsidRPr="00F7789F">
              <w:rPr>
                <w:rFonts w:ascii="Arial" w:hAnsi="Arial"/>
                <w:sz w:val="18"/>
                <w:szCs w:val="18"/>
              </w:rPr>
              <w:t>2</w:t>
            </w:r>
            <w:r w:rsidR="006A4F1B">
              <w:rPr>
                <w:rFonts w:ascii="Arial" w:hAnsi="Arial"/>
                <w:sz w:val="18"/>
                <w:szCs w:val="18"/>
              </w:rPr>
              <w:t xml:space="preserve"> </w:t>
            </w:r>
            <w:r w:rsidRPr="00F7789F">
              <w:rPr>
                <w:rFonts w:ascii="Arial" w:hAnsi="Arial"/>
                <w:sz w:val="18"/>
                <w:szCs w:val="18"/>
              </w:rPr>
              <w:t>a</w:t>
            </w:r>
          </w:p>
        </w:tc>
        <w:tc>
          <w:tcPr>
            <w:tcW w:w="868" w:type="dxa"/>
            <w:vAlign w:val="center"/>
          </w:tcPr>
          <w:p w14:paraId="26A81C07" w14:textId="3B69E95C" w:rsidR="0010170E" w:rsidRPr="00F7789F" w:rsidRDefault="0010170E" w:rsidP="00A02803">
            <w:pPr>
              <w:ind w:right="-170"/>
              <w:jc w:val="both"/>
              <w:rPr>
                <w:rFonts w:ascii="Arial" w:hAnsi="Arial"/>
                <w:sz w:val="18"/>
                <w:szCs w:val="18"/>
              </w:rPr>
            </w:pPr>
            <w:r w:rsidRPr="00F7789F">
              <w:rPr>
                <w:rFonts w:ascii="Arial" w:hAnsi="Arial"/>
                <w:sz w:val="18"/>
                <w:szCs w:val="18"/>
              </w:rPr>
              <w:t>4329</w:t>
            </w:r>
            <w:r w:rsidR="006A4F1B">
              <w:rPr>
                <w:rFonts w:ascii="Arial" w:hAnsi="Arial"/>
                <w:sz w:val="18"/>
                <w:szCs w:val="18"/>
              </w:rPr>
              <w:t>.</w:t>
            </w:r>
            <w:r w:rsidRPr="00F7789F">
              <w:rPr>
                <w:rFonts w:ascii="Arial" w:hAnsi="Arial"/>
                <w:sz w:val="18"/>
                <w:szCs w:val="18"/>
              </w:rPr>
              <w:t>5</w:t>
            </w:r>
          </w:p>
        </w:tc>
        <w:tc>
          <w:tcPr>
            <w:tcW w:w="724" w:type="dxa"/>
            <w:vAlign w:val="center"/>
          </w:tcPr>
          <w:p w14:paraId="1A47FC81" w14:textId="6B3F3BD2" w:rsidR="0010170E" w:rsidRPr="00F7789F" w:rsidRDefault="0010170E" w:rsidP="00A02803">
            <w:pPr>
              <w:jc w:val="both"/>
              <w:rPr>
                <w:rFonts w:ascii="Arial" w:hAnsi="Arial"/>
                <w:sz w:val="18"/>
                <w:szCs w:val="18"/>
              </w:rPr>
            </w:pPr>
            <w:r w:rsidRPr="00F7789F">
              <w:rPr>
                <w:rFonts w:ascii="Arial" w:hAnsi="Arial"/>
                <w:sz w:val="18"/>
                <w:szCs w:val="18"/>
              </w:rPr>
              <w:t xml:space="preserve"> 22</w:t>
            </w:r>
            <w:r w:rsidR="006A4F1B">
              <w:rPr>
                <w:rFonts w:ascii="Arial" w:hAnsi="Arial"/>
                <w:sz w:val="18"/>
                <w:szCs w:val="18"/>
              </w:rPr>
              <w:t>.</w:t>
            </w:r>
            <w:r w:rsidRPr="00F7789F">
              <w:rPr>
                <w:rFonts w:ascii="Arial" w:hAnsi="Arial"/>
                <w:sz w:val="18"/>
                <w:szCs w:val="18"/>
              </w:rPr>
              <w:t>34</w:t>
            </w:r>
          </w:p>
        </w:tc>
        <w:tc>
          <w:tcPr>
            <w:tcW w:w="723" w:type="dxa"/>
            <w:vAlign w:val="center"/>
          </w:tcPr>
          <w:p w14:paraId="56AEB109" w14:textId="5A2DE319" w:rsidR="0010170E" w:rsidRPr="00F7789F" w:rsidRDefault="0010170E" w:rsidP="00A02803">
            <w:pPr>
              <w:ind w:right="-170"/>
              <w:jc w:val="both"/>
              <w:rPr>
                <w:rFonts w:ascii="Arial" w:hAnsi="Arial"/>
                <w:color w:val="000000"/>
                <w:sz w:val="18"/>
                <w:szCs w:val="18"/>
              </w:rPr>
            </w:pPr>
            <w:r w:rsidRPr="00F7789F">
              <w:rPr>
                <w:rFonts w:ascii="Arial" w:hAnsi="Arial"/>
                <w:color w:val="000000"/>
                <w:sz w:val="18"/>
                <w:szCs w:val="18"/>
              </w:rPr>
              <w:t>0</w:t>
            </w:r>
            <w:r w:rsidR="006A4F1B">
              <w:rPr>
                <w:rFonts w:ascii="Arial" w:hAnsi="Arial"/>
                <w:color w:val="000000"/>
                <w:sz w:val="18"/>
                <w:szCs w:val="18"/>
              </w:rPr>
              <w:t>.</w:t>
            </w:r>
            <w:r w:rsidRPr="00F7789F">
              <w:rPr>
                <w:rFonts w:ascii="Arial" w:hAnsi="Arial"/>
                <w:color w:val="000000"/>
                <w:sz w:val="18"/>
                <w:szCs w:val="18"/>
              </w:rPr>
              <w:t>2922</w:t>
            </w:r>
          </w:p>
        </w:tc>
      </w:tr>
      <w:tr w:rsidR="0010170E" w:rsidRPr="00F7789F" w14:paraId="1227B83F" w14:textId="77777777" w:rsidTr="00A02803">
        <w:trPr>
          <w:trHeight w:val="501"/>
        </w:trPr>
        <w:tc>
          <w:tcPr>
            <w:tcW w:w="993" w:type="dxa"/>
            <w:tcBorders>
              <w:bottom w:val="single" w:sz="4" w:space="0" w:color="auto"/>
            </w:tcBorders>
            <w:vAlign w:val="center"/>
          </w:tcPr>
          <w:p w14:paraId="23ACAC4F" w14:textId="77777777" w:rsidR="0010170E" w:rsidRPr="00F7789F" w:rsidRDefault="0010170E" w:rsidP="00A02803">
            <w:pPr>
              <w:jc w:val="both"/>
              <w:rPr>
                <w:rFonts w:ascii="Arial" w:hAnsi="Arial"/>
                <w:sz w:val="18"/>
                <w:szCs w:val="18"/>
              </w:rPr>
            </w:pPr>
            <w:r w:rsidRPr="00F7789F">
              <w:rPr>
                <w:rFonts w:ascii="Arial" w:eastAsia="Times New Roman" w:hAnsi="Arial"/>
                <w:bCs/>
                <w:sz w:val="18"/>
                <w:szCs w:val="18"/>
              </w:rPr>
              <w:t>Mayo</w:t>
            </w:r>
          </w:p>
        </w:tc>
        <w:tc>
          <w:tcPr>
            <w:tcW w:w="1417" w:type="dxa"/>
            <w:tcBorders>
              <w:bottom w:val="single" w:sz="4" w:space="0" w:color="auto"/>
            </w:tcBorders>
            <w:vAlign w:val="center"/>
          </w:tcPr>
          <w:p w14:paraId="325B16F6" w14:textId="656893AD" w:rsidR="0010170E" w:rsidRPr="00F7789F" w:rsidRDefault="0010170E" w:rsidP="00A02803">
            <w:pPr>
              <w:jc w:val="both"/>
              <w:rPr>
                <w:rFonts w:ascii="Arial" w:hAnsi="Arial"/>
                <w:sz w:val="18"/>
                <w:szCs w:val="18"/>
              </w:rPr>
            </w:pPr>
            <w:r w:rsidRPr="00F7789F">
              <w:rPr>
                <w:rFonts w:ascii="Arial" w:hAnsi="Arial"/>
                <w:sz w:val="18"/>
                <w:szCs w:val="18"/>
              </w:rPr>
              <w:t>4090</w:t>
            </w:r>
            <w:r w:rsidR="006A4F1B">
              <w:rPr>
                <w:rFonts w:ascii="Arial" w:hAnsi="Arial"/>
                <w:sz w:val="18"/>
                <w:szCs w:val="18"/>
              </w:rPr>
              <w:t>.</w:t>
            </w:r>
            <w:r w:rsidRPr="00F7789F">
              <w:rPr>
                <w:rFonts w:ascii="Arial" w:hAnsi="Arial"/>
                <w:sz w:val="18"/>
                <w:szCs w:val="18"/>
              </w:rPr>
              <w:t>9±573</w:t>
            </w:r>
            <w:r w:rsidR="00811B52">
              <w:rPr>
                <w:rFonts w:ascii="Arial" w:hAnsi="Arial"/>
                <w:sz w:val="18"/>
                <w:szCs w:val="18"/>
              </w:rPr>
              <w:t xml:space="preserve"> </w:t>
            </w:r>
            <w:r w:rsidRPr="00F7789F">
              <w:rPr>
                <w:rFonts w:ascii="Arial" w:hAnsi="Arial"/>
                <w:sz w:val="18"/>
                <w:szCs w:val="18"/>
              </w:rPr>
              <w:t>a</w:t>
            </w:r>
          </w:p>
        </w:tc>
        <w:tc>
          <w:tcPr>
            <w:tcW w:w="1418" w:type="dxa"/>
            <w:tcBorders>
              <w:bottom w:val="single" w:sz="4" w:space="0" w:color="auto"/>
            </w:tcBorders>
            <w:vAlign w:val="center"/>
          </w:tcPr>
          <w:p w14:paraId="6B8CA10C" w14:textId="77777777" w:rsidR="0010170E" w:rsidRPr="00F7789F" w:rsidRDefault="0010170E" w:rsidP="00A02803">
            <w:pPr>
              <w:ind w:right="-170"/>
              <w:jc w:val="both"/>
              <w:rPr>
                <w:rFonts w:ascii="Arial" w:hAnsi="Arial"/>
                <w:sz w:val="18"/>
                <w:szCs w:val="18"/>
              </w:rPr>
            </w:pPr>
            <w:r w:rsidRPr="00F7789F">
              <w:rPr>
                <w:rFonts w:ascii="Arial" w:hAnsi="Arial"/>
                <w:sz w:val="18"/>
                <w:szCs w:val="18"/>
              </w:rPr>
              <w:t>5302±262 a</w:t>
            </w:r>
          </w:p>
        </w:tc>
        <w:tc>
          <w:tcPr>
            <w:tcW w:w="1317" w:type="dxa"/>
            <w:tcBorders>
              <w:bottom w:val="single" w:sz="4" w:space="0" w:color="auto"/>
            </w:tcBorders>
            <w:vAlign w:val="center"/>
          </w:tcPr>
          <w:p w14:paraId="0D0B46B8" w14:textId="401A0528" w:rsidR="0010170E" w:rsidRPr="00F7789F" w:rsidRDefault="0010170E" w:rsidP="00A02803">
            <w:pPr>
              <w:ind w:right="-170"/>
              <w:jc w:val="both"/>
              <w:rPr>
                <w:rFonts w:ascii="Arial" w:hAnsi="Arial"/>
                <w:sz w:val="18"/>
                <w:szCs w:val="18"/>
              </w:rPr>
            </w:pPr>
            <w:r w:rsidRPr="00F7789F">
              <w:rPr>
                <w:rFonts w:ascii="Arial" w:hAnsi="Arial"/>
                <w:sz w:val="18"/>
                <w:szCs w:val="18"/>
              </w:rPr>
              <w:t>4186</w:t>
            </w:r>
            <w:r w:rsidR="006A4F1B">
              <w:rPr>
                <w:rFonts w:ascii="Arial" w:hAnsi="Arial"/>
                <w:sz w:val="18"/>
                <w:szCs w:val="18"/>
              </w:rPr>
              <w:t>.</w:t>
            </w:r>
            <w:r w:rsidRPr="00F7789F">
              <w:rPr>
                <w:rFonts w:ascii="Arial" w:hAnsi="Arial"/>
                <w:sz w:val="18"/>
                <w:szCs w:val="18"/>
              </w:rPr>
              <w:t>2±201</w:t>
            </w:r>
            <w:r w:rsidR="006A4F1B">
              <w:rPr>
                <w:rFonts w:ascii="Arial" w:hAnsi="Arial"/>
                <w:sz w:val="18"/>
                <w:szCs w:val="18"/>
              </w:rPr>
              <w:t>.</w:t>
            </w:r>
            <w:r w:rsidRPr="00F7789F">
              <w:rPr>
                <w:rFonts w:ascii="Arial" w:hAnsi="Arial"/>
                <w:sz w:val="18"/>
                <w:szCs w:val="18"/>
              </w:rPr>
              <w:t>7</w:t>
            </w:r>
            <w:r w:rsidR="006A4F1B">
              <w:rPr>
                <w:rFonts w:ascii="Arial" w:hAnsi="Arial"/>
                <w:sz w:val="18"/>
                <w:szCs w:val="18"/>
              </w:rPr>
              <w:t xml:space="preserve"> </w:t>
            </w:r>
            <w:r w:rsidRPr="00F7789F">
              <w:rPr>
                <w:rFonts w:ascii="Arial" w:hAnsi="Arial"/>
                <w:sz w:val="18"/>
                <w:szCs w:val="18"/>
              </w:rPr>
              <w:t>a</w:t>
            </w:r>
          </w:p>
        </w:tc>
        <w:tc>
          <w:tcPr>
            <w:tcW w:w="1449" w:type="dxa"/>
            <w:tcBorders>
              <w:bottom w:val="single" w:sz="4" w:space="0" w:color="auto"/>
            </w:tcBorders>
            <w:vAlign w:val="center"/>
          </w:tcPr>
          <w:p w14:paraId="04A4AFFA" w14:textId="38E6F656" w:rsidR="0010170E" w:rsidRPr="00F7789F" w:rsidRDefault="0010170E" w:rsidP="00A02803">
            <w:pPr>
              <w:ind w:right="-170"/>
              <w:jc w:val="both"/>
              <w:rPr>
                <w:rFonts w:ascii="Arial" w:hAnsi="Arial"/>
                <w:sz w:val="18"/>
                <w:szCs w:val="18"/>
              </w:rPr>
            </w:pPr>
            <w:r w:rsidRPr="00F7789F">
              <w:rPr>
                <w:rFonts w:ascii="Arial" w:hAnsi="Arial"/>
                <w:sz w:val="18"/>
                <w:szCs w:val="18"/>
              </w:rPr>
              <w:t>3584±870</w:t>
            </w:r>
            <w:r w:rsidR="006A4F1B">
              <w:rPr>
                <w:rFonts w:ascii="Arial" w:hAnsi="Arial"/>
                <w:sz w:val="18"/>
                <w:szCs w:val="18"/>
              </w:rPr>
              <w:t>.</w:t>
            </w:r>
            <w:r w:rsidRPr="00F7789F">
              <w:rPr>
                <w:rFonts w:ascii="Arial" w:hAnsi="Arial"/>
                <w:sz w:val="18"/>
                <w:szCs w:val="18"/>
              </w:rPr>
              <w:t>2</w:t>
            </w:r>
            <w:r w:rsidR="006A4F1B">
              <w:rPr>
                <w:rFonts w:ascii="Arial" w:hAnsi="Arial"/>
                <w:sz w:val="18"/>
                <w:szCs w:val="18"/>
              </w:rPr>
              <w:t xml:space="preserve"> </w:t>
            </w:r>
            <w:r w:rsidRPr="00F7789F">
              <w:rPr>
                <w:rFonts w:ascii="Arial" w:hAnsi="Arial"/>
                <w:sz w:val="18"/>
                <w:szCs w:val="18"/>
              </w:rPr>
              <w:t>a</w:t>
            </w:r>
          </w:p>
        </w:tc>
        <w:tc>
          <w:tcPr>
            <w:tcW w:w="868" w:type="dxa"/>
            <w:tcBorders>
              <w:bottom w:val="single" w:sz="4" w:space="0" w:color="auto"/>
            </w:tcBorders>
            <w:vAlign w:val="center"/>
          </w:tcPr>
          <w:p w14:paraId="3CFFC6F6" w14:textId="6763EEEF" w:rsidR="0010170E" w:rsidRPr="00F7789F" w:rsidRDefault="0010170E" w:rsidP="00A02803">
            <w:pPr>
              <w:ind w:right="-170"/>
              <w:jc w:val="both"/>
              <w:rPr>
                <w:rFonts w:ascii="Arial" w:hAnsi="Arial"/>
                <w:sz w:val="18"/>
                <w:szCs w:val="18"/>
              </w:rPr>
            </w:pPr>
            <w:r w:rsidRPr="00F7789F">
              <w:rPr>
                <w:rFonts w:ascii="Arial" w:hAnsi="Arial"/>
                <w:sz w:val="18"/>
                <w:szCs w:val="18"/>
              </w:rPr>
              <w:t>4290</w:t>
            </w:r>
            <w:r w:rsidR="006A4F1B">
              <w:rPr>
                <w:rFonts w:ascii="Arial" w:hAnsi="Arial"/>
                <w:sz w:val="18"/>
                <w:szCs w:val="18"/>
              </w:rPr>
              <w:t>.</w:t>
            </w:r>
            <w:r w:rsidRPr="00F7789F">
              <w:rPr>
                <w:rFonts w:ascii="Arial" w:hAnsi="Arial"/>
                <w:sz w:val="18"/>
                <w:szCs w:val="18"/>
              </w:rPr>
              <w:t>8</w:t>
            </w:r>
          </w:p>
        </w:tc>
        <w:tc>
          <w:tcPr>
            <w:tcW w:w="724" w:type="dxa"/>
            <w:tcBorders>
              <w:bottom w:val="single" w:sz="4" w:space="0" w:color="auto"/>
            </w:tcBorders>
            <w:vAlign w:val="center"/>
          </w:tcPr>
          <w:p w14:paraId="3B80AD99" w14:textId="775237BC" w:rsidR="0010170E" w:rsidRPr="00F7789F" w:rsidRDefault="0010170E" w:rsidP="00A02803">
            <w:pPr>
              <w:jc w:val="both"/>
              <w:rPr>
                <w:rFonts w:ascii="Arial" w:hAnsi="Arial"/>
                <w:sz w:val="18"/>
                <w:szCs w:val="18"/>
              </w:rPr>
            </w:pPr>
            <w:r w:rsidRPr="00F7789F">
              <w:rPr>
                <w:rFonts w:ascii="Arial" w:hAnsi="Arial"/>
                <w:sz w:val="18"/>
                <w:szCs w:val="18"/>
              </w:rPr>
              <w:t xml:space="preserve"> 13</w:t>
            </w:r>
            <w:r w:rsidR="006A4F1B">
              <w:rPr>
                <w:rFonts w:ascii="Arial" w:hAnsi="Arial"/>
                <w:sz w:val="18"/>
                <w:szCs w:val="18"/>
              </w:rPr>
              <w:t>.</w:t>
            </w:r>
            <w:r w:rsidRPr="00F7789F">
              <w:rPr>
                <w:rFonts w:ascii="Arial" w:hAnsi="Arial"/>
                <w:sz w:val="18"/>
                <w:szCs w:val="18"/>
              </w:rPr>
              <w:t>30</w:t>
            </w:r>
          </w:p>
        </w:tc>
        <w:tc>
          <w:tcPr>
            <w:tcW w:w="723" w:type="dxa"/>
            <w:tcBorders>
              <w:bottom w:val="single" w:sz="4" w:space="0" w:color="auto"/>
            </w:tcBorders>
            <w:vAlign w:val="center"/>
          </w:tcPr>
          <w:p w14:paraId="5290A571" w14:textId="5E0DC32D" w:rsidR="0010170E" w:rsidRPr="00F7789F" w:rsidRDefault="0010170E" w:rsidP="00A02803">
            <w:pPr>
              <w:ind w:right="-170"/>
              <w:jc w:val="both"/>
              <w:rPr>
                <w:rFonts w:ascii="Arial" w:hAnsi="Arial"/>
                <w:color w:val="000000"/>
                <w:sz w:val="18"/>
                <w:szCs w:val="18"/>
              </w:rPr>
            </w:pPr>
            <w:r w:rsidRPr="00F7789F">
              <w:rPr>
                <w:rFonts w:ascii="Arial" w:hAnsi="Arial"/>
                <w:color w:val="000000"/>
                <w:sz w:val="18"/>
                <w:szCs w:val="18"/>
              </w:rPr>
              <w:t>0</w:t>
            </w:r>
            <w:r w:rsidR="006A4F1B">
              <w:rPr>
                <w:rFonts w:ascii="Arial" w:hAnsi="Arial"/>
                <w:color w:val="000000"/>
                <w:sz w:val="18"/>
                <w:szCs w:val="18"/>
              </w:rPr>
              <w:t>.</w:t>
            </w:r>
            <w:r w:rsidRPr="00F7789F">
              <w:rPr>
                <w:rFonts w:ascii="Arial" w:hAnsi="Arial"/>
                <w:color w:val="000000"/>
                <w:sz w:val="18"/>
                <w:szCs w:val="18"/>
              </w:rPr>
              <w:t>1443</w:t>
            </w:r>
          </w:p>
        </w:tc>
      </w:tr>
      <w:tr w:rsidR="0010170E" w:rsidRPr="00F7789F" w14:paraId="38CBE68C" w14:textId="77777777" w:rsidTr="00A02803">
        <w:trPr>
          <w:trHeight w:val="501"/>
        </w:trPr>
        <w:tc>
          <w:tcPr>
            <w:tcW w:w="993" w:type="dxa"/>
            <w:tcBorders>
              <w:top w:val="single" w:sz="4" w:space="0" w:color="auto"/>
              <w:bottom w:val="single" w:sz="4" w:space="0" w:color="auto"/>
            </w:tcBorders>
            <w:vAlign w:val="center"/>
          </w:tcPr>
          <w:p w14:paraId="18D3F459" w14:textId="69B814DE" w:rsidR="0010170E" w:rsidRPr="00F7789F" w:rsidRDefault="0010170E" w:rsidP="00A02803">
            <w:pPr>
              <w:jc w:val="both"/>
              <w:rPr>
                <w:rFonts w:ascii="Arial" w:eastAsia="Times New Roman" w:hAnsi="Arial"/>
                <w:bCs/>
                <w:sz w:val="18"/>
                <w:szCs w:val="18"/>
              </w:rPr>
            </w:pPr>
            <w:r w:rsidRPr="00F7789F">
              <w:rPr>
                <w:rFonts w:ascii="Arial" w:eastAsia="Times New Roman" w:hAnsi="Arial"/>
                <w:bCs/>
                <w:sz w:val="18"/>
                <w:szCs w:val="18"/>
              </w:rPr>
              <w:t>M</w:t>
            </w:r>
            <w:r>
              <w:rPr>
                <w:rFonts w:ascii="Arial" w:eastAsia="Times New Roman" w:hAnsi="Arial"/>
                <w:bCs/>
                <w:sz w:val="18"/>
                <w:szCs w:val="18"/>
              </w:rPr>
              <w:t>ean</w:t>
            </w:r>
            <w:r w:rsidRPr="00F7789F">
              <w:rPr>
                <w:rFonts w:ascii="Arial" w:eastAsia="Times New Roman" w:hAnsi="Arial"/>
                <w:bCs/>
                <w:sz w:val="18"/>
                <w:szCs w:val="18"/>
              </w:rPr>
              <w:t xml:space="preserve"> / </w:t>
            </w:r>
            <w:r w:rsidRPr="0010170E">
              <w:rPr>
                <w:rFonts w:ascii="Arial" w:eastAsia="Times New Roman" w:hAnsi="Arial"/>
                <w:bCs/>
                <w:sz w:val="18"/>
                <w:szCs w:val="18"/>
              </w:rPr>
              <w:t>treatment</w:t>
            </w:r>
          </w:p>
        </w:tc>
        <w:tc>
          <w:tcPr>
            <w:tcW w:w="1417" w:type="dxa"/>
            <w:tcBorders>
              <w:top w:val="single" w:sz="4" w:space="0" w:color="auto"/>
              <w:bottom w:val="single" w:sz="4" w:space="0" w:color="auto"/>
            </w:tcBorders>
            <w:vAlign w:val="center"/>
          </w:tcPr>
          <w:p w14:paraId="1651BB4C" w14:textId="77F632DB" w:rsidR="0010170E" w:rsidRPr="00F7789F" w:rsidRDefault="0010170E" w:rsidP="00A02803">
            <w:pPr>
              <w:jc w:val="both"/>
              <w:rPr>
                <w:rFonts w:ascii="Arial" w:hAnsi="Arial"/>
                <w:sz w:val="18"/>
                <w:szCs w:val="18"/>
              </w:rPr>
            </w:pPr>
            <w:r w:rsidRPr="00F7789F">
              <w:rPr>
                <w:rFonts w:ascii="Arial" w:hAnsi="Arial"/>
                <w:sz w:val="18"/>
                <w:szCs w:val="18"/>
              </w:rPr>
              <w:t>3650</w:t>
            </w:r>
            <w:r w:rsidR="006A4F1B">
              <w:rPr>
                <w:rFonts w:ascii="Arial" w:hAnsi="Arial"/>
                <w:sz w:val="18"/>
                <w:szCs w:val="18"/>
              </w:rPr>
              <w:t>.</w:t>
            </w:r>
            <w:r w:rsidRPr="00F7789F">
              <w:rPr>
                <w:rFonts w:ascii="Arial" w:hAnsi="Arial"/>
                <w:sz w:val="18"/>
                <w:szCs w:val="18"/>
              </w:rPr>
              <w:t>9±522</w:t>
            </w:r>
            <w:r w:rsidR="00811B52">
              <w:rPr>
                <w:rFonts w:ascii="Arial" w:hAnsi="Arial"/>
                <w:sz w:val="18"/>
                <w:szCs w:val="18"/>
              </w:rPr>
              <w:t xml:space="preserve"> </w:t>
            </w:r>
            <w:r w:rsidRPr="00F7789F">
              <w:rPr>
                <w:rFonts w:ascii="Arial" w:hAnsi="Arial"/>
                <w:sz w:val="18"/>
                <w:szCs w:val="18"/>
              </w:rPr>
              <w:t>a</w:t>
            </w:r>
          </w:p>
        </w:tc>
        <w:tc>
          <w:tcPr>
            <w:tcW w:w="1418" w:type="dxa"/>
            <w:tcBorders>
              <w:top w:val="single" w:sz="4" w:space="0" w:color="auto"/>
              <w:bottom w:val="single" w:sz="4" w:space="0" w:color="auto"/>
            </w:tcBorders>
            <w:vAlign w:val="center"/>
          </w:tcPr>
          <w:p w14:paraId="588B1897" w14:textId="20734F2F" w:rsidR="0010170E" w:rsidRPr="00F7789F" w:rsidRDefault="0010170E" w:rsidP="00A02803">
            <w:pPr>
              <w:ind w:right="-170"/>
              <w:jc w:val="both"/>
              <w:rPr>
                <w:rFonts w:ascii="Arial" w:hAnsi="Arial"/>
                <w:sz w:val="18"/>
                <w:szCs w:val="18"/>
              </w:rPr>
            </w:pPr>
            <w:r w:rsidRPr="00F7789F">
              <w:rPr>
                <w:rFonts w:ascii="Arial" w:hAnsi="Arial"/>
                <w:sz w:val="18"/>
                <w:szCs w:val="18"/>
              </w:rPr>
              <w:t>5517</w:t>
            </w:r>
            <w:r w:rsidR="006A4F1B">
              <w:rPr>
                <w:rFonts w:ascii="Arial" w:hAnsi="Arial"/>
                <w:sz w:val="18"/>
                <w:szCs w:val="18"/>
              </w:rPr>
              <w:t>.</w:t>
            </w:r>
            <w:r w:rsidRPr="00F7789F">
              <w:rPr>
                <w:rFonts w:ascii="Arial" w:hAnsi="Arial"/>
                <w:sz w:val="18"/>
                <w:szCs w:val="18"/>
              </w:rPr>
              <w:t>3±374 a</w:t>
            </w:r>
          </w:p>
        </w:tc>
        <w:tc>
          <w:tcPr>
            <w:tcW w:w="1317" w:type="dxa"/>
            <w:tcBorders>
              <w:top w:val="single" w:sz="4" w:space="0" w:color="auto"/>
              <w:bottom w:val="single" w:sz="4" w:space="0" w:color="auto"/>
            </w:tcBorders>
            <w:vAlign w:val="center"/>
          </w:tcPr>
          <w:p w14:paraId="6B3B4BB8" w14:textId="5F2913D8" w:rsidR="0010170E" w:rsidRPr="00F7789F" w:rsidRDefault="0010170E" w:rsidP="00A02803">
            <w:pPr>
              <w:ind w:right="-170"/>
              <w:jc w:val="both"/>
              <w:rPr>
                <w:rFonts w:ascii="Arial" w:hAnsi="Arial"/>
                <w:sz w:val="18"/>
                <w:szCs w:val="18"/>
              </w:rPr>
            </w:pPr>
            <w:r w:rsidRPr="00F7789F">
              <w:rPr>
                <w:rFonts w:ascii="Arial" w:hAnsi="Arial"/>
                <w:sz w:val="18"/>
                <w:szCs w:val="18"/>
              </w:rPr>
              <w:t>4076</w:t>
            </w:r>
            <w:r w:rsidR="006A4F1B">
              <w:rPr>
                <w:rFonts w:ascii="Arial" w:hAnsi="Arial"/>
                <w:sz w:val="18"/>
                <w:szCs w:val="18"/>
              </w:rPr>
              <w:t>.</w:t>
            </w:r>
            <w:r w:rsidRPr="00F7789F">
              <w:rPr>
                <w:rFonts w:ascii="Arial" w:hAnsi="Arial"/>
                <w:sz w:val="18"/>
                <w:szCs w:val="18"/>
              </w:rPr>
              <w:t>7±289 a</w:t>
            </w:r>
          </w:p>
        </w:tc>
        <w:tc>
          <w:tcPr>
            <w:tcW w:w="1449" w:type="dxa"/>
            <w:tcBorders>
              <w:top w:val="single" w:sz="4" w:space="0" w:color="auto"/>
              <w:bottom w:val="single" w:sz="4" w:space="0" w:color="auto"/>
            </w:tcBorders>
            <w:vAlign w:val="center"/>
          </w:tcPr>
          <w:p w14:paraId="5CD4BD24" w14:textId="1BF30B56" w:rsidR="0010170E" w:rsidRPr="00F7789F" w:rsidRDefault="0010170E" w:rsidP="00A02803">
            <w:pPr>
              <w:ind w:right="-170"/>
              <w:jc w:val="both"/>
              <w:rPr>
                <w:rFonts w:ascii="Arial" w:hAnsi="Arial"/>
                <w:sz w:val="18"/>
                <w:szCs w:val="18"/>
              </w:rPr>
            </w:pPr>
            <w:r w:rsidRPr="00F7789F">
              <w:rPr>
                <w:rFonts w:ascii="Arial" w:hAnsi="Arial"/>
                <w:sz w:val="18"/>
                <w:szCs w:val="18"/>
              </w:rPr>
              <w:t>4747</w:t>
            </w:r>
            <w:r w:rsidR="006A4F1B">
              <w:rPr>
                <w:rFonts w:ascii="Arial" w:hAnsi="Arial"/>
                <w:sz w:val="18"/>
                <w:szCs w:val="18"/>
              </w:rPr>
              <w:t>.</w:t>
            </w:r>
            <w:r w:rsidRPr="00F7789F">
              <w:rPr>
                <w:rFonts w:ascii="Arial" w:hAnsi="Arial"/>
                <w:sz w:val="18"/>
                <w:szCs w:val="18"/>
              </w:rPr>
              <w:t>5±532 a</w:t>
            </w:r>
          </w:p>
        </w:tc>
        <w:tc>
          <w:tcPr>
            <w:tcW w:w="868" w:type="dxa"/>
            <w:tcBorders>
              <w:top w:val="single" w:sz="4" w:space="0" w:color="auto"/>
              <w:bottom w:val="single" w:sz="4" w:space="0" w:color="auto"/>
            </w:tcBorders>
            <w:vAlign w:val="center"/>
          </w:tcPr>
          <w:p w14:paraId="6868EC1C" w14:textId="33699025" w:rsidR="0010170E" w:rsidRPr="00F7789F" w:rsidRDefault="0010170E" w:rsidP="00A02803">
            <w:pPr>
              <w:ind w:right="-170"/>
              <w:jc w:val="both"/>
              <w:rPr>
                <w:rFonts w:ascii="Arial" w:hAnsi="Arial"/>
                <w:sz w:val="18"/>
                <w:szCs w:val="18"/>
              </w:rPr>
            </w:pPr>
            <w:r w:rsidRPr="00F7789F">
              <w:rPr>
                <w:rFonts w:ascii="Arial" w:hAnsi="Arial"/>
                <w:sz w:val="18"/>
                <w:szCs w:val="18"/>
              </w:rPr>
              <w:t>4498</w:t>
            </w:r>
            <w:r w:rsidR="006A4F1B">
              <w:rPr>
                <w:rFonts w:ascii="Arial" w:hAnsi="Arial"/>
                <w:sz w:val="18"/>
                <w:szCs w:val="18"/>
              </w:rPr>
              <w:t>.</w:t>
            </w:r>
            <w:r w:rsidRPr="00F7789F">
              <w:rPr>
                <w:rFonts w:ascii="Arial" w:hAnsi="Arial"/>
                <w:sz w:val="18"/>
                <w:szCs w:val="18"/>
              </w:rPr>
              <w:t>1</w:t>
            </w:r>
          </w:p>
        </w:tc>
        <w:tc>
          <w:tcPr>
            <w:tcW w:w="724" w:type="dxa"/>
            <w:tcBorders>
              <w:top w:val="single" w:sz="4" w:space="0" w:color="auto"/>
              <w:bottom w:val="single" w:sz="4" w:space="0" w:color="auto"/>
            </w:tcBorders>
            <w:vAlign w:val="center"/>
          </w:tcPr>
          <w:p w14:paraId="1C36ECCE" w14:textId="7E58472D" w:rsidR="0010170E" w:rsidRPr="00F7789F" w:rsidRDefault="0010170E" w:rsidP="00A02803">
            <w:pPr>
              <w:jc w:val="both"/>
              <w:rPr>
                <w:rFonts w:ascii="Arial" w:hAnsi="Arial"/>
                <w:sz w:val="18"/>
                <w:szCs w:val="18"/>
              </w:rPr>
            </w:pPr>
            <w:r w:rsidRPr="00F7789F">
              <w:rPr>
                <w:rFonts w:ascii="Arial" w:hAnsi="Arial"/>
                <w:sz w:val="18"/>
                <w:szCs w:val="18"/>
              </w:rPr>
              <w:t xml:space="preserve"> 17</w:t>
            </w:r>
            <w:r w:rsidR="006A4F1B">
              <w:rPr>
                <w:rFonts w:ascii="Arial" w:hAnsi="Arial"/>
                <w:sz w:val="18"/>
                <w:szCs w:val="18"/>
              </w:rPr>
              <w:t>.</w:t>
            </w:r>
            <w:r w:rsidRPr="00F7789F">
              <w:rPr>
                <w:rFonts w:ascii="Arial" w:hAnsi="Arial"/>
                <w:sz w:val="18"/>
                <w:szCs w:val="18"/>
              </w:rPr>
              <w:t>26</w:t>
            </w:r>
          </w:p>
        </w:tc>
        <w:tc>
          <w:tcPr>
            <w:tcW w:w="723" w:type="dxa"/>
            <w:tcBorders>
              <w:top w:val="single" w:sz="4" w:space="0" w:color="auto"/>
              <w:bottom w:val="single" w:sz="4" w:space="0" w:color="auto"/>
            </w:tcBorders>
            <w:vAlign w:val="center"/>
          </w:tcPr>
          <w:p w14:paraId="02274D44" w14:textId="7F08A601" w:rsidR="0010170E" w:rsidRPr="00F7789F" w:rsidRDefault="0010170E" w:rsidP="00A02803">
            <w:pPr>
              <w:ind w:right="-170"/>
              <w:jc w:val="both"/>
              <w:rPr>
                <w:rFonts w:ascii="Arial" w:hAnsi="Arial"/>
                <w:sz w:val="18"/>
                <w:szCs w:val="18"/>
              </w:rPr>
            </w:pPr>
            <w:r w:rsidRPr="00F7789F">
              <w:rPr>
                <w:rFonts w:ascii="Arial" w:hAnsi="Arial"/>
                <w:sz w:val="18"/>
                <w:szCs w:val="18"/>
              </w:rPr>
              <w:t>0</w:t>
            </w:r>
            <w:r w:rsidR="006A4F1B">
              <w:rPr>
                <w:rFonts w:ascii="Arial" w:hAnsi="Arial"/>
                <w:sz w:val="18"/>
                <w:szCs w:val="18"/>
              </w:rPr>
              <w:t>.</w:t>
            </w:r>
            <w:r w:rsidRPr="00F7789F">
              <w:rPr>
                <w:rFonts w:ascii="Arial" w:hAnsi="Arial"/>
                <w:sz w:val="18"/>
                <w:szCs w:val="18"/>
              </w:rPr>
              <w:t>2156</w:t>
            </w:r>
          </w:p>
        </w:tc>
      </w:tr>
    </w:tbl>
    <w:p w14:paraId="4271D82A" w14:textId="77777777" w:rsidR="004C0F8B" w:rsidRPr="004C0F8B" w:rsidRDefault="004C0F8B" w:rsidP="004C0F8B">
      <w:pPr>
        <w:spacing w:before="120" w:after="240"/>
        <w:rPr>
          <w:rFonts w:ascii="Arial" w:hAnsi="Arial"/>
          <w:iCs/>
          <w:sz w:val="18"/>
          <w:szCs w:val="18"/>
        </w:rPr>
      </w:pPr>
      <w:r w:rsidRPr="004C0F8B">
        <w:rPr>
          <w:rFonts w:ascii="Arial" w:hAnsi="Arial"/>
          <w:sz w:val="18"/>
          <w:szCs w:val="18"/>
        </w:rPr>
        <w:t>*</w:t>
      </w:r>
      <w:r w:rsidRPr="004C0F8B">
        <w:rPr>
          <w:rFonts w:ascii="Arial" w:hAnsi="Arial"/>
          <w:iCs/>
          <w:sz w:val="18"/>
          <w:szCs w:val="18"/>
        </w:rPr>
        <w:t xml:space="preserve"> The means marked with the same letters in a column are not significantly different at the 5% level.</w:t>
      </w:r>
    </w:p>
    <w:p w14:paraId="26BFAC61" w14:textId="75B86F1D" w:rsidR="004C0F8B" w:rsidRPr="00F7789F" w:rsidRDefault="004C0F8B" w:rsidP="004C0F8B">
      <w:pPr>
        <w:pStyle w:val="Caption"/>
        <w:spacing w:after="240" w:line="360" w:lineRule="auto"/>
        <w:rPr>
          <w:rFonts w:ascii="Times New Roman" w:hAnsi="Times New Roman" w:cs="Times New Roman"/>
          <w:i w:val="0"/>
          <w:iCs w:val="0"/>
          <w:color w:val="auto"/>
          <w:sz w:val="20"/>
          <w:szCs w:val="20"/>
          <w:lang w:val="en-ZA"/>
        </w:rPr>
      </w:pPr>
      <w:r w:rsidRPr="002220BC">
        <w:rPr>
          <w:rFonts w:ascii="Arial" w:hAnsi="Arial"/>
          <w:i w:val="0"/>
          <w:iCs w:val="0"/>
          <w:color w:val="000000" w:themeColor="text1"/>
        </w:rPr>
        <w:t>T0</w:t>
      </w:r>
      <w:r>
        <w:rPr>
          <w:rFonts w:ascii="Arial" w:hAnsi="Arial"/>
          <w:i w:val="0"/>
          <w:iCs w:val="0"/>
          <w:color w:val="000000" w:themeColor="text1"/>
        </w:rPr>
        <w:t xml:space="preserve"> </w:t>
      </w:r>
      <w:r w:rsidRPr="002220BC">
        <w:rPr>
          <w:rFonts w:ascii="Arial" w:hAnsi="Arial"/>
          <w:i w:val="0"/>
          <w:iCs w:val="0"/>
          <w:color w:val="000000" w:themeColor="text1"/>
        </w:rPr>
        <w:t>: absolute reference</w:t>
      </w:r>
      <w:r>
        <w:rPr>
          <w:rFonts w:ascii="Arial" w:hAnsi="Arial"/>
          <w:i w:val="0"/>
          <w:iCs w:val="0"/>
          <w:color w:val="000000" w:themeColor="text1"/>
        </w:rPr>
        <w:t xml:space="preserve"> </w:t>
      </w:r>
      <w:r w:rsidRPr="00F7789F">
        <w:rPr>
          <w:rFonts w:ascii="Times New Roman" w:hAnsi="Times New Roman" w:cs="Times New Roman"/>
          <w:i w:val="0"/>
          <w:iCs w:val="0"/>
          <w:color w:val="auto"/>
          <w:sz w:val="20"/>
          <w:szCs w:val="20"/>
          <w:lang w:val="en-ZA"/>
        </w:rPr>
        <w:t xml:space="preserve">; </w:t>
      </w:r>
      <w:r w:rsidRPr="002220BC">
        <w:rPr>
          <w:rFonts w:ascii="Arial" w:hAnsi="Arial" w:cs="Arial"/>
          <w:i w:val="0"/>
          <w:iCs w:val="0"/>
          <w:color w:val="000000" w:themeColor="text1"/>
        </w:rPr>
        <w:t>T1</w:t>
      </w:r>
      <w:r>
        <w:rPr>
          <w:rFonts w:ascii="Arial" w:hAnsi="Arial" w:cs="Arial"/>
          <w:i w:val="0"/>
          <w:iCs w:val="0"/>
          <w:color w:val="000000" w:themeColor="text1"/>
        </w:rPr>
        <w:t xml:space="preserve"> </w:t>
      </w:r>
      <w:r w:rsidRPr="002220BC">
        <w:rPr>
          <w:rFonts w:ascii="Arial" w:hAnsi="Arial" w:cs="Arial"/>
          <w:i w:val="0"/>
          <w:iCs w:val="0"/>
          <w:color w:val="000000" w:themeColor="text1"/>
        </w:rPr>
        <w:t>: NPK</w:t>
      </w:r>
      <w:r w:rsidRPr="002220BC">
        <w:rPr>
          <w:rFonts w:ascii="Arial" w:hAnsi="Arial" w:cs="Arial"/>
          <w:i w:val="0"/>
          <w:iCs w:val="0"/>
          <w:color w:val="auto"/>
          <w:lang w:val="en-ZA"/>
        </w:rPr>
        <w:t xml:space="preserve"> 0-23-19 + 10 </w:t>
      </w:r>
      <w:r w:rsidRPr="002220BC">
        <w:rPr>
          <w:rFonts w:ascii="Arial" w:hAnsi="Arial" w:cs="Arial"/>
          <w:i w:val="0"/>
          <w:iCs w:val="0"/>
          <w:color w:val="000000" w:themeColor="text1"/>
        </w:rPr>
        <w:t>CaO</w:t>
      </w:r>
      <w:r w:rsidRPr="002220BC">
        <w:rPr>
          <w:rFonts w:ascii="Arial" w:hAnsi="Arial" w:cs="Arial"/>
          <w:i w:val="0"/>
          <w:iCs w:val="0"/>
          <w:color w:val="auto"/>
          <w:lang w:val="en-ZA"/>
        </w:rPr>
        <w:t xml:space="preserve"> + 5 </w:t>
      </w:r>
      <w:r w:rsidRPr="002220BC">
        <w:rPr>
          <w:rFonts w:ascii="Arial" w:hAnsi="Arial" w:cs="Arial"/>
          <w:i w:val="0"/>
          <w:iCs w:val="0"/>
          <w:color w:val="000000" w:themeColor="text1"/>
        </w:rPr>
        <w:t>MgO</w:t>
      </w:r>
      <w:r>
        <w:rPr>
          <w:rFonts w:ascii="Arial" w:hAnsi="Arial" w:cs="Arial"/>
          <w:i w:val="0"/>
          <w:iCs w:val="0"/>
          <w:color w:val="000000" w:themeColor="text1"/>
        </w:rPr>
        <w:t xml:space="preserve"> </w:t>
      </w:r>
      <w:r w:rsidRPr="002220BC">
        <w:rPr>
          <w:rFonts w:ascii="Arial" w:hAnsi="Arial" w:cs="Arial"/>
          <w:i w:val="0"/>
          <w:iCs w:val="0"/>
          <w:color w:val="auto"/>
          <w:lang w:val="en-ZA"/>
        </w:rPr>
        <w:t xml:space="preserve">; </w:t>
      </w:r>
      <w:r w:rsidRPr="002220BC">
        <w:rPr>
          <w:rFonts w:ascii="Arial" w:hAnsi="Arial" w:cs="Arial"/>
          <w:i w:val="0"/>
          <w:iCs w:val="0"/>
          <w:color w:val="000000" w:themeColor="text1"/>
        </w:rPr>
        <w:t>T2</w:t>
      </w:r>
      <w:r>
        <w:rPr>
          <w:rFonts w:ascii="Arial" w:hAnsi="Arial" w:cs="Arial"/>
          <w:i w:val="0"/>
          <w:iCs w:val="0"/>
          <w:color w:val="000000" w:themeColor="text1"/>
        </w:rPr>
        <w:t xml:space="preserve"> </w:t>
      </w:r>
      <w:r w:rsidRPr="002220BC">
        <w:rPr>
          <w:rFonts w:ascii="Arial" w:hAnsi="Arial" w:cs="Arial"/>
          <w:i w:val="0"/>
          <w:iCs w:val="0"/>
          <w:color w:val="000000" w:themeColor="text1"/>
        </w:rPr>
        <w:t>: NPK</w:t>
      </w:r>
      <w:r w:rsidRPr="002220BC">
        <w:rPr>
          <w:rFonts w:ascii="Arial" w:hAnsi="Arial" w:cs="Arial"/>
          <w:i w:val="0"/>
          <w:iCs w:val="0"/>
          <w:color w:val="000000"/>
          <w:lang w:val="en-ZA"/>
        </w:rPr>
        <w:t xml:space="preserve"> 0-15-15 + 17 </w:t>
      </w:r>
      <w:r w:rsidRPr="002220BC">
        <w:rPr>
          <w:rFonts w:ascii="Arial" w:hAnsi="Arial" w:cs="Arial"/>
          <w:i w:val="0"/>
          <w:iCs w:val="0"/>
          <w:color w:val="000000" w:themeColor="text1"/>
        </w:rPr>
        <w:t>CaO</w:t>
      </w:r>
      <w:r w:rsidRPr="002220BC">
        <w:rPr>
          <w:rFonts w:ascii="Arial" w:hAnsi="Arial" w:cs="Arial"/>
          <w:i w:val="0"/>
          <w:iCs w:val="0"/>
          <w:color w:val="000000"/>
          <w:lang w:val="en-ZA"/>
        </w:rPr>
        <w:t xml:space="preserve"> + 5 </w:t>
      </w:r>
      <w:r w:rsidRPr="002220BC">
        <w:rPr>
          <w:rFonts w:ascii="Arial" w:hAnsi="Arial" w:cs="Arial"/>
          <w:i w:val="0"/>
          <w:iCs w:val="0"/>
          <w:color w:val="000000" w:themeColor="text1"/>
        </w:rPr>
        <w:t>MgO</w:t>
      </w:r>
      <w:r w:rsidRPr="002220BC">
        <w:rPr>
          <w:rFonts w:ascii="Arial" w:hAnsi="Arial" w:cs="Arial"/>
          <w:i w:val="0"/>
          <w:iCs w:val="0"/>
          <w:color w:val="000000"/>
          <w:lang w:val="en-ZA"/>
        </w:rPr>
        <w:t xml:space="preserve"> + 1 </w:t>
      </w:r>
      <w:r w:rsidRPr="002220BC">
        <w:rPr>
          <w:rFonts w:ascii="Arial" w:hAnsi="Arial" w:cs="Arial"/>
          <w:i w:val="0"/>
          <w:iCs w:val="0"/>
          <w:color w:val="000000" w:themeColor="text1"/>
        </w:rPr>
        <w:t>B</w:t>
      </w:r>
      <w:r w:rsidRPr="002220BC">
        <w:rPr>
          <w:rFonts w:ascii="Arial" w:hAnsi="Arial" w:cs="Arial"/>
          <w:i w:val="0"/>
          <w:iCs w:val="0"/>
          <w:color w:val="000000" w:themeColor="text1"/>
          <w:vertAlign w:val="subscript"/>
        </w:rPr>
        <w:t>2</w:t>
      </w:r>
      <w:r w:rsidRPr="002220BC">
        <w:rPr>
          <w:rFonts w:ascii="Arial" w:hAnsi="Arial" w:cs="Arial"/>
          <w:i w:val="0"/>
          <w:iCs w:val="0"/>
          <w:color w:val="000000" w:themeColor="text1"/>
        </w:rPr>
        <w:t>O</w:t>
      </w:r>
      <w:r w:rsidRPr="002220BC">
        <w:rPr>
          <w:rFonts w:ascii="Arial" w:hAnsi="Arial" w:cs="Arial"/>
          <w:i w:val="0"/>
          <w:iCs w:val="0"/>
          <w:color w:val="000000" w:themeColor="text1"/>
          <w:vertAlign w:val="subscript"/>
        </w:rPr>
        <w:t>3</w:t>
      </w:r>
      <w:r w:rsidRPr="002220BC">
        <w:rPr>
          <w:rFonts w:ascii="Arial" w:hAnsi="Arial" w:cs="Arial"/>
          <w:i w:val="0"/>
          <w:iCs w:val="0"/>
          <w:color w:val="000000" w:themeColor="text1"/>
        </w:rPr>
        <w:t xml:space="preserve"> </w:t>
      </w:r>
      <w:r w:rsidRPr="002220BC">
        <w:rPr>
          <w:rFonts w:ascii="Arial" w:hAnsi="Arial" w:cs="Arial"/>
          <w:i w:val="0"/>
          <w:iCs w:val="0"/>
          <w:color w:val="000000"/>
          <w:lang w:val="en-ZA"/>
        </w:rPr>
        <w:t>+ 0,5 Zn</w:t>
      </w:r>
      <w:r>
        <w:rPr>
          <w:rFonts w:ascii="Arial" w:hAnsi="Arial" w:cs="Arial"/>
          <w:i w:val="0"/>
          <w:iCs w:val="0"/>
          <w:color w:val="000000"/>
          <w:lang w:val="en-ZA"/>
        </w:rPr>
        <w:t xml:space="preserve"> </w:t>
      </w:r>
      <w:r>
        <w:rPr>
          <w:rFonts w:ascii="Arial" w:hAnsi="Arial" w:cs="Arial"/>
          <w:i w:val="0"/>
          <w:iCs w:val="0"/>
          <w:color w:val="auto"/>
          <w:lang w:val="en-ZA"/>
        </w:rPr>
        <w:t>;</w:t>
      </w:r>
      <w:r w:rsidRPr="002220BC">
        <w:rPr>
          <w:rFonts w:ascii="Arial" w:hAnsi="Arial" w:cs="Arial"/>
          <w:i w:val="0"/>
          <w:iCs w:val="0"/>
          <w:color w:val="auto"/>
          <w:lang w:val="en-ZA"/>
        </w:rPr>
        <w:t xml:space="preserve"> T3</w:t>
      </w:r>
      <w:r>
        <w:rPr>
          <w:rFonts w:ascii="Arial" w:hAnsi="Arial" w:cs="Arial"/>
          <w:i w:val="0"/>
          <w:iCs w:val="0"/>
          <w:color w:val="auto"/>
          <w:lang w:val="en-ZA"/>
        </w:rPr>
        <w:t xml:space="preserve"> </w:t>
      </w:r>
      <w:r w:rsidRPr="002220BC">
        <w:rPr>
          <w:rFonts w:ascii="Arial" w:hAnsi="Arial" w:cs="Arial"/>
          <w:i w:val="0"/>
          <w:iCs w:val="0"/>
          <w:color w:val="auto"/>
          <w:lang w:val="en-ZA"/>
        </w:rPr>
        <w:t xml:space="preserve">: </w:t>
      </w:r>
      <w:r w:rsidRPr="002220BC">
        <w:rPr>
          <w:rFonts w:ascii="Arial" w:hAnsi="Arial" w:cs="Arial"/>
          <w:i w:val="0"/>
          <w:iCs w:val="0"/>
          <w:color w:val="000000"/>
          <w:lang w:val="en-ZA"/>
        </w:rPr>
        <w:t xml:space="preserve">NPK 4-10-10 + 19 CaO + 4 MgO + 0,8 </w:t>
      </w:r>
      <w:r w:rsidRPr="002220BC">
        <w:rPr>
          <w:rFonts w:ascii="Arial" w:hAnsi="Arial" w:cs="Arial"/>
          <w:i w:val="0"/>
          <w:iCs w:val="0"/>
          <w:color w:val="000000" w:themeColor="text1"/>
        </w:rPr>
        <w:t>B</w:t>
      </w:r>
      <w:r w:rsidRPr="002220BC">
        <w:rPr>
          <w:rFonts w:ascii="Arial" w:hAnsi="Arial" w:cs="Arial"/>
          <w:i w:val="0"/>
          <w:iCs w:val="0"/>
          <w:color w:val="000000" w:themeColor="text1"/>
          <w:vertAlign w:val="subscript"/>
        </w:rPr>
        <w:t>2</w:t>
      </w:r>
      <w:r w:rsidRPr="002220BC">
        <w:rPr>
          <w:rFonts w:ascii="Arial" w:hAnsi="Arial" w:cs="Arial"/>
          <w:i w:val="0"/>
          <w:iCs w:val="0"/>
          <w:color w:val="000000" w:themeColor="text1"/>
        </w:rPr>
        <w:t>O</w:t>
      </w:r>
      <w:r w:rsidRPr="002220BC">
        <w:rPr>
          <w:rFonts w:ascii="Arial" w:hAnsi="Arial" w:cs="Arial"/>
          <w:i w:val="0"/>
          <w:iCs w:val="0"/>
          <w:color w:val="000000" w:themeColor="text1"/>
          <w:vertAlign w:val="subscript"/>
        </w:rPr>
        <w:t>3</w:t>
      </w:r>
      <w:r w:rsidRPr="002220BC">
        <w:rPr>
          <w:rFonts w:ascii="Arial" w:hAnsi="Arial" w:cs="Arial"/>
          <w:i w:val="0"/>
          <w:iCs w:val="0"/>
          <w:color w:val="000000"/>
          <w:lang w:val="en-ZA"/>
        </w:rPr>
        <w:t xml:space="preserve"> + 0,3 Zn</w:t>
      </w:r>
      <w:r w:rsidRPr="00F7789F">
        <w:rPr>
          <w:rFonts w:ascii="Times New Roman" w:hAnsi="Times New Roman" w:cs="Times New Roman"/>
          <w:i w:val="0"/>
          <w:iCs w:val="0"/>
          <w:color w:val="000000"/>
          <w:sz w:val="20"/>
          <w:szCs w:val="20"/>
          <w:lang w:val="en-ZA"/>
        </w:rPr>
        <w:t>.</w:t>
      </w:r>
    </w:p>
    <w:p w14:paraId="55430540" w14:textId="6A310AB1" w:rsidR="009E0AC9" w:rsidRPr="00C65E12" w:rsidRDefault="007238BE" w:rsidP="00C65E12">
      <w:pPr>
        <w:pStyle w:val="ListParagraph"/>
        <w:numPr>
          <w:ilvl w:val="0"/>
          <w:numId w:val="30"/>
        </w:numPr>
        <w:spacing w:after="120" w:line="360" w:lineRule="auto"/>
        <w:rPr>
          <w:rFonts w:ascii="Arial" w:hAnsi="Arial" w:cs="Arial"/>
          <w:b/>
          <w:bCs/>
          <w:sz w:val="22"/>
          <w:szCs w:val="22"/>
          <w:lang w:val="en-ZA"/>
        </w:rPr>
      </w:pPr>
      <w:r w:rsidRPr="00C65E12">
        <w:rPr>
          <w:rFonts w:ascii="Arial" w:hAnsi="Arial" w:cs="Arial"/>
          <w:b/>
          <w:bCs/>
          <w:sz w:val="22"/>
          <w:szCs w:val="22"/>
          <w:lang w:val="en-ZA"/>
        </w:rPr>
        <w:t>CONCLUSION</w:t>
      </w:r>
    </w:p>
    <w:p w14:paraId="6631D0F1" w14:textId="04ABE3E2" w:rsidR="0010170E" w:rsidRDefault="0010170E" w:rsidP="0048307C">
      <w:pPr>
        <w:spacing w:after="240" w:line="360" w:lineRule="auto"/>
        <w:jc w:val="both"/>
        <w:rPr>
          <w:rFonts w:ascii="Arial" w:hAnsi="Arial"/>
          <w:bCs/>
        </w:rPr>
      </w:pPr>
      <w:r w:rsidRPr="0010170E">
        <w:rPr>
          <w:rFonts w:ascii="Arial" w:hAnsi="Arial"/>
          <w:bCs/>
        </w:rPr>
        <w:t>The results show that mineral fertilization significantly improves cocoa tree litter production, thereby enhancing the dynamics of organic matter return to the soil. However, no significant variation in carbon stocks was observed over three years, confirming the slow rate of accumulation in tropical environments. Nevertheless, a gradual increase in carbon is noticeable in fertilized plots. All of these observations underscore the need for rational and integrated soil fertility management. An approach combining mineral inputs, organic biomass, and conservation practices remains essential for the sustainability of cocoa farms.</w:t>
      </w:r>
    </w:p>
    <w:p w14:paraId="5312EE2A" w14:textId="3A0458A1" w:rsidR="001F6964" w:rsidRPr="002B395E" w:rsidRDefault="001F6964" w:rsidP="002B395E">
      <w:pPr>
        <w:spacing w:after="120" w:line="360" w:lineRule="auto"/>
        <w:rPr>
          <w:rFonts w:ascii="Arial" w:hAnsi="Arial"/>
          <w:b/>
          <w:bCs/>
          <w:sz w:val="22"/>
          <w:szCs w:val="22"/>
          <w:lang w:val="en-ZA"/>
        </w:rPr>
      </w:pPr>
      <w:bookmarkStart w:id="4" w:name="_GoBack"/>
      <w:bookmarkEnd w:id="4"/>
      <w:r w:rsidRPr="002B395E">
        <w:rPr>
          <w:rFonts w:ascii="Arial" w:hAnsi="Arial"/>
          <w:b/>
          <w:bCs/>
          <w:sz w:val="22"/>
          <w:szCs w:val="22"/>
          <w:lang w:val="en-ZA"/>
        </w:rPr>
        <w:t>COMPETING INTERESTS</w:t>
      </w:r>
    </w:p>
    <w:p w14:paraId="1BEA5F6A" w14:textId="0701CCE6" w:rsidR="00757EAC" w:rsidRPr="00EE5EEE" w:rsidRDefault="00757EAC" w:rsidP="002B395E">
      <w:pPr>
        <w:spacing w:before="120" w:after="240" w:line="360" w:lineRule="auto"/>
        <w:rPr>
          <w:rFonts w:ascii="Arial" w:hAnsi="Arial"/>
        </w:rPr>
      </w:pPr>
      <w:r w:rsidRPr="00EE5EEE">
        <w:rPr>
          <w:rFonts w:ascii="Arial" w:hAnsi="Arial"/>
        </w:rPr>
        <w:t>Authors declare that no competing interests exist.</w:t>
      </w:r>
    </w:p>
    <w:p w14:paraId="7B22268E" w14:textId="77777777" w:rsidR="00757EAC" w:rsidRDefault="00757EAC">
      <w:pPr>
        <w:rPr>
          <w:b/>
          <w:bCs/>
          <w:sz w:val="22"/>
          <w:szCs w:val="22"/>
        </w:rPr>
      </w:pPr>
    </w:p>
    <w:p w14:paraId="047ECC63" w14:textId="26173F43" w:rsidR="003D3428" w:rsidRPr="007238BE" w:rsidRDefault="007238BE" w:rsidP="007238BE">
      <w:pPr>
        <w:spacing w:after="240"/>
        <w:rPr>
          <w:rFonts w:ascii="Arial" w:hAnsi="Arial"/>
          <w:b/>
          <w:bCs/>
          <w:sz w:val="22"/>
          <w:szCs w:val="22"/>
        </w:rPr>
      </w:pPr>
      <w:r w:rsidRPr="007238BE">
        <w:rPr>
          <w:rFonts w:ascii="Arial" w:hAnsi="Arial"/>
          <w:b/>
          <w:bCs/>
          <w:sz w:val="22"/>
          <w:szCs w:val="22"/>
        </w:rPr>
        <w:t>REFERENCES</w:t>
      </w:r>
    </w:p>
    <w:p w14:paraId="304AD377" w14:textId="19F58C1F" w:rsidR="009B696E" w:rsidRDefault="00297B6E" w:rsidP="00297B6E">
      <w:pPr>
        <w:jc w:val="both"/>
        <w:rPr>
          <w:rFonts w:ascii="Arial" w:hAnsi="Arial"/>
          <w:lang w:val="en-ZA"/>
        </w:rPr>
      </w:pPr>
      <w:r w:rsidRPr="00297B6E">
        <w:rPr>
          <w:rFonts w:ascii="Arial" w:hAnsi="Arial"/>
          <w:lang w:val="en-ZA"/>
        </w:rPr>
        <w:t xml:space="preserve">Food and Agriculture Organization of the United Nations. (2015). Agroecology for food security and nutrition: Proceedings of the FAO International Symposium, 18–19 September 2014, Rome, Italy. </w:t>
      </w:r>
      <w:hyperlink r:id="rId9" w:history="1">
        <w:r w:rsidRPr="009C2714">
          <w:rPr>
            <w:rStyle w:val="Hyperlink"/>
            <w:rFonts w:ascii="Arial" w:hAnsi="Arial"/>
            <w:lang w:val="en-ZA"/>
          </w:rPr>
          <w:t>http://www.fao.org/3/a-i4729e.pdf</w:t>
        </w:r>
      </w:hyperlink>
      <w:r>
        <w:rPr>
          <w:rFonts w:ascii="Arial" w:hAnsi="Arial"/>
          <w:lang w:val="en-ZA"/>
        </w:rPr>
        <w:t xml:space="preserve"> </w:t>
      </w:r>
    </w:p>
    <w:p w14:paraId="7C0D3662" w14:textId="77777777" w:rsidR="00297B6E" w:rsidRPr="00360891" w:rsidRDefault="00297B6E" w:rsidP="00297B6E">
      <w:pPr>
        <w:jc w:val="both"/>
        <w:rPr>
          <w:rFonts w:ascii="Arial" w:hAnsi="Arial"/>
          <w:lang w:val="en-ZA"/>
        </w:rPr>
      </w:pPr>
    </w:p>
    <w:p w14:paraId="14AAF0C5" w14:textId="01EA7E2A" w:rsidR="009B696E" w:rsidRDefault="00297B6E" w:rsidP="00297B6E">
      <w:pPr>
        <w:jc w:val="both"/>
        <w:rPr>
          <w:rFonts w:ascii="Arial" w:hAnsi="Arial"/>
        </w:rPr>
      </w:pPr>
      <w:r w:rsidRPr="00297B6E">
        <w:rPr>
          <w:rFonts w:ascii="Arial" w:hAnsi="Arial"/>
        </w:rPr>
        <w:t xml:space="preserve">Bernoux, M., Cerri, C. C., Cerri, C. E. P., Siqueira Neto, M., Metay, A., Perrin, A. S., Scopel, E., Razafimbelo, T., Blavet, D., Piccolo, M. C., Pavei, M., &amp; Milne, E. (2006). Cropping systems, carbon sequestration and erosion in </w:t>
      </w:r>
      <w:proofErr w:type="gramStart"/>
      <w:r w:rsidRPr="00297B6E">
        <w:rPr>
          <w:rFonts w:ascii="Arial" w:hAnsi="Arial"/>
        </w:rPr>
        <w:t>Brazil:</w:t>
      </w:r>
      <w:proofErr w:type="gramEnd"/>
      <w:r w:rsidRPr="00297B6E">
        <w:rPr>
          <w:rFonts w:ascii="Arial" w:hAnsi="Arial"/>
        </w:rPr>
        <w:t xml:space="preserve"> a review. Agronomy for Sustainable Development, 26, 1-8. </w:t>
      </w:r>
      <w:hyperlink r:id="rId10" w:history="1">
        <w:r w:rsidRPr="009C2714">
          <w:rPr>
            <w:rStyle w:val="Hyperlink"/>
            <w:rFonts w:ascii="Arial" w:hAnsi="Arial"/>
          </w:rPr>
          <w:t>https://doi.org/10.1051/agro:2005055</w:t>
        </w:r>
      </w:hyperlink>
      <w:r>
        <w:rPr>
          <w:rFonts w:ascii="Arial" w:hAnsi="Arial"/>
        </w:rPr>
        <w:t xml:space="preserve"> </w:t>
      </w:r>
    </w:p>
    <w:p w14:paraId="1BF6B587" w14:textId="77777777" w:rsidR="00297B6E" w:rsidRPr="00360891" w:rsidRDefault="00297B6E" w:rsidP="00297B6E">
      <w:pPr>
        <w:jc w:val="both"/>
        <w:rPr>
          <w:rFonts w:ascii="Arial" w:hAnsi="Arial"/>
          <w:lang w:val="en-ZA"/>
        </w:rPr>
      </w:pPr>
    </w:p>
    <w:p w14:paraId="3F0D30F5" w14:textId="7AAB8F9D" w:rsidR="009B696E" w:rsidRDefault="00297B6E" w:rsidP="00297B6E">
      <w:pPr>
        <w:jc w:val="both"/>
        <w:rPr>
          <w:rFonts w:ascii="Arial" w:eastAsia="Times New Roman" w:hAnsi="Arial"/>
        </w:rPr>
      </w:pPr>
      <w:r w:rsidRPr="00297B6E">
        <w:rPr>
          <w:rFonts w:ascii="Arial" w:eastAsia="Times New Roman" w:hAnsi="Arial"/>
        </w:rPr>
        <w:t xml:space="preserve">Bossio, D. A., Cook-Patton, S. C., Ellis, P. W., Fargione, J., Sanderman, J., Smith, P., Wood, S., Zomer, R. J., von Unger, M., Emmer, I. M., &amp; Griscom, B. W. (2020). The role of soil carbon in natural climate solutions. Nature Sustainability, 3, 391–398. </w:t>
      </w:r>
      <w:hyperlink r:id="rId11" w:history="1">
        <w:r w:rsidRPr="009C2714">
          <w:rPr>
            <w:rStyle w:val="Hyperlink"/>
            <w:rFonts w:ascii="Arial" w:eastAsia="Times New Roman" w:hAnsi="Arial"/>
          </w:rPr>
          <w:t>https://doi.org/10.1038/s41893-020-0491-z</w:t>
        </w:r>
      </w:hyperlink>
      <w:r>
        <w:rPr>
          <w:rFonts w:ascii="Arial" w:eastAsia="Times New Roman" w:hAnsi="Arial"/>
        </w:rPr>
        <w:t xml:space="preserve"> </w:t>
      </w:r>
    </w:p>
    <w:p w14:paraId="269E5066" w14:textId="77777777" w:rsidR="00297B6E" w:rsidRDefault="00297B6E" w:rsidP="00297B6E">
      <w:pPr>
        <w:jc w:val="both"/>
        <w:rPr>
          <w:rFonts w:ascii="Arial" w:hAnsi="Arial"/>
          <w:lang w:val="en-ZA"/>
        </w:rPr>
      </w:pPr>
    </w:p>
    <w:p w14:paraId="6381C559" w14:textId="107654C2" w:rsidR="009B696E" w:rsidRDefault="00297B6E" w:rsidP="00297B6E">
      <w:pPr>
        <w:jc w:val="both"/>
        <w:rPr>
          <w:rFonts w:ascii="Arial" w:hAnsi="Arial"/>
        </w:rPr>
      </w:pPr>
      <w:r w:rsidRPr="00297B6E">
        <w:rPr>
          <w:rFonts w:ascii="Arial" w:hAnsi="Arial"/>
        </w:rPr>
        <w:t xml:space="preserve">Boyer, J. (1972). Evolution saisonnière de la production de litière et de la décomposition des feuilles dans une cacaoyère camerounaise. Quatrième Conférence Internationale sur les Recherches Cacaoyères, Janvier 1972, Port-d’Espagne, Trinidad. </w:t>
      </w:r>
      <w:hyperlink r:id="rId12" w:history="1">
        <w:r w:rsidRPr="009C2714">
          <w:rPr>
            <w:rStyle w:val="Hyperlink"/>
            <w:rFonts w:ascii="Arial" w:hAnsi="Arial"/>
          </w:rPr>
          <w:t>https://horizon.documentation.ird.fr/exl-doc/pleins_textes/cahiers/pedologie/00900.pdf</w:t>
        </w:r>
      </w:hyperlink>
      <w:r>
        <w:rPr>
          <w:rFonts w:ascii="Arial" w:hAnsi="Arial"/>
        </w:rPr>
        <w:t xml:space="preserve"> </w:t>
      </w:r>
    </w:p>
    <w:p w14:paraId="1BAB29FB" w14:textId="77777777" w:rsidR="00297B6E" w:rsidRPr="00360891" w:rsidRDefault="00297B6E" w:rsidP="00297B6E">
      <w:pPr>
        <w:ind w:left="1275"/>
        <w:jc w:val="both"/>
        <w:rPr>
          <w:rFonts w:ascii="Arial" w:hAnsi="Arial"/>
          <w:lang w:val="en-ZA"/>
        </w:rPr>
      </w:pPr>
    </w:p>
    <w:p w14:paraId="047CD88D" w14:textId="77777777" w:rsidR="009B696E" w:rsidRPr="00297B6E" w:rsidRDefault="009B696E" w:rsidP="00297B6E">
      <w:pPr>
        <w:spacing w:after="120"/>
        <w:ind w:left="540"/>
        <w:jc w:val="both"/>
        <w:rPr>
          <w:rFonts w:ascii="Arial" w:hAnsi="Arial"/>
          <w:lang w:val="fr-CI"/>
        </w:rPr>
      </w:pPr>
      <w:r w:rsidRPr="00297B6E">
        <w:rPr>
          <w:rFonts w:ascii="Arial" w:hAnsi="Arial"/>
          <w:lang w:val="fr-CI"/>
        </w:rPr>
        <w:lastRenderedPageBreak/>
        <w:t>Brou, Y. T. (2005). Climat, mutations socio-économiques et paysages en Côte d’Ivoire. Habilitation à diriger des recherches, Université des sciences et technologies de Lille, Lille, France, 226 p.</w:t>
      </w:r>
    </w:p>
    <w:p w14:paraId="2FCD20B9" w14:textId="07631342" w:rsidR="009B696E" w:rsidRDefault="00297B6E" w:rsidP="00297B6E">
      <w:pPr>
        <w:jc w:val="both"/>
        <w:rPr>
          <w:rFonts w:ascii="Arial" w:hAnsi="Arial"/>
        </w:rPr>
      </w:pPr>
      <w:r w:rsidRPr="00297B6E">
        <w:rPr>
          <w:rFonts w:ascii="Arial" w:hAnsi="Arial"/>
        </w:rPr>
        <w:t xml:space="preserve">Cotrufo, M. F., Ranalli, M. G., Haddix, M. L., Six, J., &amp; Lugato, E. (2019). Soil carbon storage informed by particulate and mineral-associated organic matter. Nature Geoscience, 12, 989–994. </w:t>
      </w:r>
      <w:hyperlink r:id="rId13" w:history="1">
        <w:r w:rsidRPr="009C2714">
          <w:rPr>
            <w:rStyle w:val="Hyperlink"/>
            <w:rFonts w:ascii="Arial" w:hAnsi="Arial"/>
          </w:rPr>
          <w:t>https://doi.org/10.1038/s41561-019-0484-6</w:t>
        </w:r>
      </w:hyperlink>
      <w:r>
        <w:rPr>
          <w:rFonts w:ascii="Arial" w:hAnsi="Arial"/>
        </w:rPr>
        <w:t xml:space="preserve"> </w:t>
      </w:r>
    </w:p>
    <w:p w14:paraId="7EE690BB" w14:textId="77777777" w:rsidR="00297B6E" w:rsidRPr="00360891" w:rsidRDefault="00297B6E" w:rsidP="00297B6E">
      <w:pPr>
        <w:jc w:val="both"/>
        <w:rPr>
          <w:rFonts w:ascii="Arial" w:eastAsia="Times New Roman" w:hAnsi="Arial"/>
        </w:rPr>
      </w:pPr>
    </w:p>
    <w:p w14:paraId="6B6D32BE" w14:textId="77777777" w:rsidR="009B696E" w:rsidRPr="00297B6E" w:rsidRDefault="009B696E" w:rsidP="00297B6E">
      <w:pPr>
        <w:ind w:left="540"/>
        <w:jc w:val="both"/>
        <w:rPr>
          <w:rFonts w:ascii="Arial" w:hAnsi="Arial"/>
          <w:lang w:val="en-ZA"/>
        </w:rPr>
      </w:pPr>
      <w:r w:rsidRPr="00297B6E">
        <w:rPr>
          <w:rFonts w:ascii="Arial" w:eastAsia="Times New Roman" w:hAnsi="Arial"/>
        </w:rPr>
        <w:t xml:space="preserve">Dappa, M., Okunade, S., &amp; Adebiyi, A. (2023). Nutrient-driven phenology and litterfall dynamics in tree crops of humid West Africa. </w:t>
      </w:r>
      <w:r w:rsidRPr="00297B6E">
        <w:rPr>
          <w:rFonts w:ascii="Arial" w:eastAsia="Times New Roman" w:hAnsi="Arial"/>
          <w:i/>
          <w:iCs/>
        </w:rPr>
        <w:t>International Journal of Tropical Agriculture</w:t>
      </w:r>
      <w:r w:rsidRPr="00297B6E">
        <w:rPr>
          <w:rFonts w:ascii="Arial" w:eastAsia="Times New Roman" w:hAnsi="Arial"/>
        </w:rPr>
        <w:t>, 41(2), 55–67.</w:t>
      </w:r>
    </w:p>
    <w:p w14:paraId="5740A58C" w14:textId="77777777" w:rsidR="009B696E" w:rsidRPr="00360891" w:rsidRDefault="009B696E" w:rsidP="00297B6E">
      <w:pPr>
        <w:jc w:val="both"/>
        <w:rPr>
          <w:rFonts w:ascii="Arial" w:hAnsi="Arial"/>
        </w:rPr>
      </w:pPr>
    </w:p>
    <w:p w14:paraId="54E919C4" w14:textId="361227A5" w:rsidR="009B696E" w:rsidRDefault="00297B6E" w:rsidP="00297B6E">
      <w:pPr>
        <w:jc w:val="both"/>
        <w:rPr>
          <w:rFonts w:ascii="Arial" w:hAnsi="Arial"/>
        </w:rPr>
      </w:pPr>
      <w:r w:rsidRPr="00297B6E">
        <w:rPr>
          <w:rFonts w:ascii="Arial" w:hAnsi="Arial"/>
        </w:rPr>
        <w:t xml:space="preserve">De Rouw, A., Huon, S., Soulileuth, B., Jouquet, P., Pierrot, A., Ribolzi, O., Valentin, C., &amp; Bourdoun, B. (2010). Possibilities of carbon and nitrogen sequestration under conventional tillage and no-till cover crop farming (Mekong valley, Laos). *Agriculture, Ecosystems &amp; Environment*, *136*(1-2), 148-161. </w:t>
      </w:r>
      <w:hyperlink r:id="rId14" w:history="1">
        <w:r w:rsidRPr="009C2714">
          <w:rPr>
            <w:rStyle w:val="Hyperlink"/>
            <w:rFonts w:ascii="Arial" w:hAnsi="Arial"/>
          </w:rPr>
          <w:t>https://doi.org/10.1016/j.agee.2009.12.013</w:t>
        </w:r>
      </w:hyperlink>
      <w:r>
        <w:rPr>
          <w:rFonts w:ascii="Arial" w:hAnsi="Arial"/>
        </w:rPr>
        <w:t xml:space="preserve"> </w:t>
      </w:r>
    </w:p>
    <w:p w14:paraId="7187BC28" w14:textId="77777777" w:rsidR="00297B6E" w:rsidRPr="00360891" w:rsidRDefault="00297B6E" w:rsidP="00297B6E">
      <w:pPr>
        <w:jc w:val="both"/>
        <w:rPr>
          <w:rFonts w:ascii="Arial" w:hAnsi="Arial"/>
        </w:rPr>
      </w:pPr>
    </w:p>
    <w:p w14:paraId="26189BE5" w14:textId="6306639D" w:rsidR="009B696E" w:rsidRDefault="00297B6E" w:rsidP="00297B6E">
      <w:pPr>
        <w:jc w:val="both"/>
      </w:pPr>
      <w:r w:rsidRPr="00297B6E">
        <w:rPr>
          <w:rFonts w:ascii="Arial" w:hAnsi="Arial"/>
        </w:rPr>
        <w:t xml:space="preserve">Evi, J. B., Yavo, W., Barro-Kiki, P. C., Menan, E. H. I., &amp; Koné, M. (2007). Helminthoses intestinales en milieu scolaire dans six villes du Sud-Ouest de la Côte d’Ivoire. Bulletin de la Société de Pathologie Exotique, 100(3), 176-177. </w:t>
      </w:r>
      <w:hyperlink r:id="rId15" w:history="1">
        <w:r w:rsidRPr="009C2714">
          <w:rPr>
            <w:rStyle w:val="Hyperlink"/>
            <w:rFonts w:ascii="Arial" w:hAnsi="Arial"/>
          </w:rPr>
          <w:t>https://www.spe.fr/sommaire/2007-t100-3-sommaire-resumes-et-textes-complets/</w:t>
        </w:r>
      </w:hyperlink>
    </w:p>
    <w:p w14:paraId="41160C05" w14:textId="77777777" w:rsidR="00297B6E" w:rsidRPr="00297B6E" w:rsidRDefault="00297B6E" w:rsidP="00297B6E">
      <w:pPr>
        <w:jc w:val="both"/>
      </w:pPr>
    </w:p>
    <w:p w14:paraId="3333E383" w14:textId="40CFAFA0" w:rsidR="009B696E" w:rsidRDefault="00297B6E" w:rsidP="00297B6E">
      <w:pPr>
        <w:jc w:val="both"/>
        <w:rPr>
          <w:rFonts w:ascii="Arial" w:hAnsi="Arial"/>
        </w:rPr>
      </w:pPr>
      <w:r w:rsidRPr="00297B6E">
        <w:rPr>
          <w:rFonts w:ascii="Arial" w:hAnsi="Arial"/>
        </w:rPr>
        <w:t xml:space="preserve">FAO. (2004). Utilisation des phosphates naturels pour une agriculture durable. Bulletin Engrais et Nutrition Végétale, No. 13. Rome, </w:t>
      </w:r>
      <w:proofErr w:type="gramStart"/>
      <w:r w:rsidRPr="00297B6E">
        <w:rPr>
          <w:rFonts w:ascii="Arial" w:hAnsi="Arial"/>
        </w:rPr>
        <w:t>Italie:</w:t>
      </w:r>
      <w:proofErr w:type="gramEnd"/>
      <w:r w:rsidRPr="00297B6E">
        <w:rPr>
          <w:rFonts w:ascii="Arial" w:hAnsi="Arial"/>
        </w:rPr>
        <w:t xml:space="preserve"> FAO. </w:t>
      </w:r>
      <w:hyperlink r:id="rId16" w:history="1">
        <w:r w:rsidRPr="009C2714">
          <w:rPr>
            <w:rStyle w:val="Hyperlink"/>
            <w:rFonts w:ascii="Arial" w:hAnsi="Arial"/>
          </w:rPr>
          <w:t>https://www.fao.org/3/y5030f/y5030f00.htm</w:t>
        </w:r>
      </w:hyperlink>
      <w:r>
        <w:rPr>
          <w:rFonts w:ascii="Arial" w:hAnsi="Arial"/>
        </w:rPr>
        <w:t xml:space="preserve"> </w:t>
      </w:r>
    </w:p>
    <w:p w14:paraId="7A915DD2" w14:textId="77777777" w:rsidR="00297B6E" w:rsidRPr="00360891" w:rsidRDefault="00297B6E" w:rsidP="00297B6E">
      <w:pPr>
        <w:jc w:val="both"/>
        <w:rPr>
          <w:rFonts w:ascii="Arial" w:hAnsi="Arial"/>
        </w:rPr>
      </w:pPr>
    </w:p>
    <w:p w14:paraId="25F3897B" w14:textId="799037C3" w:rsidR="009B696E" w:rsidRDefault="00297B6E" w:rsidP="00297B6E">
      <w:pPr>
        <w:jc w:val="both"/>
        <w:rPr>
          <w:rFonts w:ascii="Arial" w:hAnsi="Arial"/>
          <w:lang w:val="en-ZA"/>
        </w:rPr>
      </w:pPr>
      <w:r w:rsidRPr="00297B6E">
        <w:rPr>
          <w:rFonts w:ascii="Arial" w:hAnsi="Arial"/>
          <w:lang w:val="en-ZA"/>
        </w:rPr>
        <w:t xml:space="preserve">FAO &amp; Wetlands International. (2012). Peatlands – guidance for climate change mitigation through conservation, rehabilitation and sustainable use. </w:t>
      </w:r>
      <w:hyperlink r:id="rId17" w:history="1">
        <w:r w:rsidRPr="009C2714">
          <w:rPr>
            <w:rStyle w:val="Hyperlink"/>
            <w:rFonts w:ascii="Arial" w:hAnsi="Arial"/>
            <w:lang w:val="en-ZA"/>
          </w:rPr>
          <w:t>http://www.fao.org/docrep/015/an762e/an762e.pdf</w:t>
        </w:r>
      </w:hyperlink>
      <w:r>
        <w:rPr>
          <w:rFonts w:ascii="Arial" w:hAnsi="Arial"/>
          <w:lang w:val="en-ZA"/>
        </w:rPr>
        <w:t xml:space="preserve"> </w:t>
      </w:r>
    </w:p>
    <w:p w14:paraId="2CB82A3A" w14:textId="77777777" w:rsidR="00297B6E" w:rsidRPr="00360891" w:rsidRDefault="00297B6E" w:rsidP="00297B6E">
      <w:pPr>
        <w:jc w:val="both"/>
        <w:rPr>
          <w:rFonts w:ascii="Arial" w:hAnsi="Arial"/>
          <w:lang w:val="en-ZA"/>
        </w:rPr>
      </w:pPr>
    </w:p>
    <w:p w14:paraId="6875ABC4" w14:textId="02F0F7E0" w:rsidR="009B696E" w:rsidRDefault="00297B6E" w:rsidP="00297B6E">
      <w:pPr>
        <w:jc w:val="both"/>
        <w:rPr>
          <w:rFonts w:ascii="Arial" w:hAnsi="Arial"/>
          <w:lang w:val="en-ZA"/>
        </w:rPr>
      </w:pPr>
      <w:r w:rsidRPr="00297B6E">
        <w:rPr>
          <w:rFonts w:ascii="Arial" w:hAnsi="Arial"/>
          <w:lang w:val="en-ZA"/>
        </w:rPr>
        <w:t xml:space="preserve">Fissore, C., Giardina, C. P., Kolka, R. K., Trettin, C. C., King, G. M., Jurgensen, M. F., Barton, C. D., &amp; McDowell, S. D. (2008). Temperature and vegetation effects on soil organic carbon quality along a forested mean annual temperature gradient in North America. Global Change Biology, 14(1), 193-205. </w:t>
      </w:r>
      <w:hyperlink r:id="rId18" w:history="1">
        <w:r w:rsidRPr="009C2714">
          <w:rPr>
            <w:rStyle w:val="Hyperlink"/>
            <w:rFonts w:ascii="Arial" w:hAnsi="Arial"/>
            <w:lang w:val="en-ZA"/>
          </w:rPr>
          <w:t>https://doi.org/10.1111/j.1365-2486.2007.01478.x</w:t>
        </w:r>
      </w:hyperlink>
      <w:r>
        <w:rPr>
          <w:rFonts w:ascii="Arial" w:hAnsi="Arial"/>
          <w:lang w:val="en-ZA"/>
        </w:rPr>
        <w:t xml:space="preserve"> </w:t>
      </w:r>
    </w:p>
    <w:p w14:paraId="71620AA3" w14:textId="77777777" w:rsidR="00297B6E" w:rsidRPr="00360891" w:rsidRDefault="00297B6E" w:rsidP="00297B6E">
      <w:pPr>
        <w:jc w:val="both"/>
        <w:rPr>
          <w:rFonts w:ascii="Arial" w:hAnsi="Arial"/>
        </w:rPr>
      </w:pPr>
    </w:p>
    <w:p w14:paraId="38381BC1" w14:textId="6C35399A" w:rsidR="009B696E" w:rsidRDefault="00297B6E" w:rsidP="00297B6E">
      <w:pPr>
        <w:jc w:val="both"/>
      </w:pPr>
      <w:r w:rsidRPr="00297B6E">
        <w:rPr>
          <w:rFonts w:ascii="Arial" w:hAnsi="Arial"/>
          <w:lang w:val="en-ZA"/>
        </w:rPr>
        <w:t xml:space="preserve">Fotio, D., Monkiédje, A., Maniepi, J.S.N., Nguefack, J., &amp; Amvam Zollo, P.H. (2005). Evaluation des résidus pesticides et de leurs effets sur la qualité des récoltes et du sol en zone périurbaine de Yaoundé à cultures maraîchères. In *Le pôle de compétence en partenariat Grand-Sud Cameroun*. </w:t>
      </w:r>
      <w:hyperlink r:id="rId19" w:history="1">
        <w:r w:rsidRPr="009C2714">
          <w:rPr>
            <w:rStyle w:val="Hyperlink"/>
            <w:rFonts w:ascii="Arial" w:hAnsi="Arial"/>
            <w:lang w:val="en-ZA"/>
          </w:rPr>
          <w:t>https://agritrop.cirad.fr/529000/</w:t>
        </w:r>
      </w:hyperlink>
    </w:p>
    <w:p w14:paraId="37B7586E" w14:textId="77777777" w:rsidR="00297B6E" w:rsidRPr="00297B6E" w:rsidRDefault="00297B6E" w:rsidP="00297B6E">
      <w:pPr>
        <w:jc w:val="both"/>
      </w:pPr>
    </w:p>
    <w:p w14:paraId="4EE52B81" w14:textId="0A73071F" w:rsidR="009B696E" w:rsidRDefault="00297B6E" w:rsidP="00297B6E">
      <w:pPr>
        <w:jc w:val="both"/>
        <w:rPr>
          <w:rFonts w:ascii="Arial" w:hAnsi="Arial"/>
        </w:rPr>
      </w:pPr>
      <w:r w:rsidRPr="00297B6E">
        <w:rPr>
          <w:rFonts w:ascii="Arial" w:hAnsi="Arial"/>
        </w:rPr>
        <w:t xml:space="preserve">Zhang, H., Hobbie, E. A., Feng, P., Zhou, Z., Niu, L., Duan, W., Hao, J., &amp; Hu, K. (2021). Responses of soil organic carbon and crop yields to 33-year mineral fertilizer and straw additions under different tillage systems. Soil &amp; Tillage Research, 209, 104943. </w:t>
      </w:r>
      <w:hyperlink r:id="rId20" w:history="1">
        <w:r w:rsidRPr="009C2714">
          <w:rPr>
            <w:rStyle w:val="Hyperlink"/>
            <w:rFonts w:ascii="Arial" w:hAnsi="Arial"/>
          </w:rPr>
          <w:t>https://doi.org/10.1016/j.still.2021.104943</w:t>
        </w:r>
      </w:hyperlink>
      <w:r>
        <w:rPr>
          <w:rFonts w:ascii="Arial" w:hAnsi="Arial"/>
        </w:rPr>
        <w:t xml:space="preserve"> </w:t>
      </w:r>
    </w:p>
    <w:p w14:paraId="79E4E4EF" w14:textId="77777777" w:rsidR="00297B6E" w:rsidRPr="00360891" w:rsidRDefault="00297B6E" w:rsidP="00297B6E">
      <w:pPr>
        <w:jc w:val="both"/>
        <w:rPr>
          <w:rFonts w:ascii="Arial" w:hAnsi="Arial"/>
        </w:rPr>
      </w:pPr>
    </w:p>
    <w:p w14:paraId="48C2CAC8" w14:textId="77777777" w:rsidR="009B696E" w:rsidRPr="00297B6E" w:rsidRDefault="009B696E" w:rsidP="00297B6E">
      <w:pPr>
        <w:ind w:left="540"/>
        <w:jc w:val="both"/>
        <w:rPr>
          <w:rFonts w:ascii="Arial" w:hAnsi="Arial"/>
          <w:lang w:val="en-ZA"/>
        </w:rPr>
      </w:pPr>
      <w:r w:rsidRPr="00297B6E">
        <w:rPr>
          <w:rFonts w:ascii="Arial" w:hAnsi="Arial"/>
          <w:lang w:val="en-ZA"/>
        </w:rPr>
        <w:t>ICRAF. (2011). Présentation synoptique du département de Soubré World Agroforestry Center Vision for Change Project, Internal document, 115 p.</w:t>
      </w:r>
    </w:p>
    <w:p w14:paraId="7937D177" w14:textId="035A2573" w:rsidR="009B696E" w:rsidRPr="00297B6E" w:rsidRDefault="009B696E" w:rsidP="00297B6E">
      <w:pPr>
        <w:spacing w:before="100" w:beforeAutospacing="1"/>
        <w:ind w:left="540"/>
        <w:jc w:val="both"/>
        <w:rPr>
          <w:rFonts w:ascii="Arial" w:eastAsia="Times New Roman" w:hAnsi="Arial"/>
        </w:rPr>
      </w:pPr>
      <w:r w:rsidRPr="00297B6E">
        <w:rPr>
          <w:rFonts w:ascii="Arial" w:eastAsia="Times New Roman" w:hAnsi="Arial"/>
        </w:rPr>
        <w:t xml:space="preserve">Jagoret, P., Snoeck, D., &amp; Bastide, P. (2018). Long-term sustainability of cocoa agroforestry systems. </w:t>
      </w:r>
      <w:r w:rsidRPr="00297B6E">
        <w:rPr>
          <w:rFonts w:ascii="Arial" w:eastAsia="Times New Roman" w:hAnsi="Arial"/>
          <w:i/>
          <w:iCs/>
        </w:rPr>
        <w:t>Agroforestry Systems</w:t>
      </w:r>
      <w:r w:rsidRPr="00297B6E">
        <w:rPr>
          <w:rFonts w:ascii="Arial" w:eastAsia="Times New Roman" w:hAnsi="Arial"/>
        </w:rPr>
        <w:t>, 92, 1103–1116.</w:t>
      </w:r>
    </w:p>
    <w:p w14:paraId="60AD019C" w14:textId="07453758" w:rsidR="00360891" w:rsidRDefault="00297B6E" w:rsidP="00297B6E">
      <w:pPr>
        <w:jc w:val="both"/>
        <w:rPr>
          <w:rFonts w:ascii="Arial" w:hAnsi="Arial"/>
        </w:rPr>
      </w:pPr>
      <w:r w:rsidRPr="00297B6E">
        <w:rPr>
          <w:rFonts w:ascii="Arial" w:hAnsi="Arial"/>
        </w:rPr>
        <w:t xml:space="preserve">Jones, M., &amp; Donnelly, A. (2004). Carbon sequestration in temperate grassland ecosystems and the influence of management, climate and elevated CO2. New Phytologist, 164(3), 423-439. </w:t>
      </w:r>
      <w:hyperlink r:id="rId21" w:history="1">
        <w:r w:rsidRPr="009C2714">
          <w:rPr>
            <w:rStyle w:val="Hyperlink"/>
            <w:rFonts w:ascii="Arial" w:hAnsi="Arial"/>
          </w:rPr>
          <w:t>https://doi.org/10.1111/j.1469-8137.2004.01201.x</w:t>
        </w:r>
      </w:hyperlink>
      <w:r>
        <w:rPr>
          <w:rFonts w:ascii="Arial" w:hAnsi="Arial"/>
        </w:rPr>
        <w:t xml:space="preserve"> </w:t>
      </w:r>
    </w:p>
    <w:p w14:paraId="0568E0C5" w14:textId="77777777" w:rsidR="00297B6E" w:rsidRPr="00360891" w:rsidRDefault="00297B6E" w:rsidP="00297B6E">
      <w:pPr>
        <w:jc w:val="both"/>
        <w:rPr>
          <w:rFonts w:ascii="Arial" w:hAnsi="Arial"/>
        </w:rPr>
      </w:pPr>
    </w:p>
    <w:p w14:paraId="56269B13" w14:textId="77777777" w:rsidR="009B696E" w:rsidRPr="00297B6E" w:rsidRDefault="009B696E" w:rsidP="00297B6E">
      <w:pPr>
        <w:ind w:left="540"/>
        <w:jc w:val="both"/>
        <w:rPr>
          <w:rFonts w:ascii="Arial" w:hAnsi="Arial"/>
        </w:rPr>
      </w:pPr>
      <w:r w:rsidRPr="00297B6E">
        <w:rPr>
          <w:rFonts w:ascii="Arial" w:hAnsi="Arial"/>
          <w:lang w:val="en-ZA"/>
        </w:rPr>
        <w:t xml:space="preserve">Kassin, E., Snoeck, D., N’guessan, J. C., Yao-Kouamé, A., &amp; Camara, M. (2016). </w:t>
      </w:r>
      <w:r w:rsidRPr="00297B6E">
        <w:rPr>
          <w:rFonts w:ascii="Arial" w:hAnsi="Arial"/>
        </w:rPr>
        <w:t>Projet de cartographie des sols. Rapport final CNRA, CIRAD, Abidjan, Côte d’Ivoire, 17 p.</w:t>
      </w:r>
    </w:p>
    <w:p w14:paraId="113802F8" w14:textId="077E801C" w:rsidR="009B696E" w:rsidRPr="00297B6E" w:rsidRDefault="009B696E" w:rsidP="00297B6E">
      <w:pPr>
        <w:spacing w:before="100" w:beforeAutospacing="1"/>
        <w:ind w:left="540"/>
        <w:jc w:val="both"/>
        <w:rPr>
          <w:rFonts w:ascii="Arial" w:eastAsia="Times New Roman" w:hAnsi="Arial"/>
        </w:rPr>
      </w:pPr>
      <w:r w:rsidRPr="00297B6E">
        <w:rPr>
          <w:rFonts w:ascii="Arial" w:eastAsia="Times New Roman" w:hAnsi="Arial"/>
        </w:rPr>
        <w:t xml:space="preserve">Koko, L., Kouassi, K., &amp; Snoeck, D. (2021). Fertilisation raisonnée et dynamique de croissance </w:t>
      </w:r>
      <w:r w:rsidR="00360891" w:rsidRPr="00297B6E">
        <w:rPr>
          <w:rFonts w:ascii="Arial" w:eastAsia="Times New Roman" w:hAnsi="Arial"/>
        </w:rPr>
        <w:t>du</w:t>
      </w:r>
      <w:r w:rsidR="00297B6E" w:rsidRPr="00297B6E">
        <w:rPr>
          <w:rFonts w:ascii="Arial" w:eastAsia="Times New Roman" w:hAnsi="Arial"/>
        </w:rPr>
        <w:t xml:space="preserve"> </w:t>
      </w:r>
      <w:r w:rsidRPr="00297B6E">
        <w:rPr>
          <w:rFonts w:ascii="Arial" w:eastAsia="Times New Roman" w:hAnsi="Arial"/>
        </w:rPr>
        <w:t xml:space="preserve">cacaoyer en milieu paysan ivoirien. </w:t>
      </w:r>
      <w:r w:rsidRPr="00297B6E">
        <w:rPr>
          <w:rFonts w:ascii="Arial" w:eastAsia="Times New Roman" w:hAnsi="Arial"/>
          <w:i/>
          <w:iCs/>
        </w:rPr>
        <w:t>Cahiers Agricultures</w:t>
      </w:r>
      <w:r w:rsidRPr="00297B6E">
        <w:rPr>
          <w:rFonts w:ascii="Arial" w:eastAsia="Times New Roman" w:hAnsi="Arial"/>
        </w:rPr>
        <w:t>, 30, 14.</w:t>
      </w:r>
    </w:p>
    <w:p w14:paraId="2CD6AA01" w14:textId="77777777" w:rsidR="009B696E" w:rsidRPr="00297B6E" w:rsidRDefault="009B696E" w:rsidP="00297B6E">
      <w:pPr>
        <w:ind w:left="540"/>
        <w:jc w:val="both"/>
        <w:rPr>
          <w:rFonts w:ascii="Arial" w:eastAsia="Times New Roman" w:hAnsi="Arial"/>
        </w:rPr>
      </w:pPr>
      <w:r w:rsidRPr="00297B6E">
        <w:rPr>
          <w:rFonts w:ascii="Arial" w:eastAsia="Times New Roman" w:hAnsi="Arial"/>
        </w:rPr>
        <w:t xml:space="preserve">Kujur, A., et al. (2020). Influence of mineral fertilizers on soil carbon </w:t>
      </w:r>
      <w:proofErr w:type="gramStart"/>
      <w:r w:rsidRPr="00297B6E">
        <w:rPr>
          <w:rFonts w:ascii="Arial" w:eastAsia="Times New Roman" w:hAnsi="Arial"/>
        </w:rPr>
        <w:t>pools:</w:t>
      </w:r>
      <w:proofErr w:type="gramEnd"/>
      <w:r w:rsidRPr="00297B6E">
        <w:rPr>
          <w:rFonts w:ascii="Arial" w:eastAsia="Times New Roman" w:hAnsi="Arial"/>
        </w:rPr>
        <w:t xml:space="preserve"> a review. </w:t>
      </w:r>
      <w:r w:rsidRPr="00297B6E">
        <w:rPr>
          <w:rFonts w:ascii="Arial" w:eastAsia="Times New Roman" w:hAnsi="Arial"/>
          <w:i/>
          <w:iCs/>
        </w:rPr>
        <w:t>Soil Research</w:t>
      </w:r>
      <w:r w:rsidRPr="00297B6E">
        <w:rPr>
          <w:rFonts w:ascii="Arial" w:eastAsia="Times New Roman" w:hAnsi="Arial"/>
        </w:rPr>
        <w:t>, 58, 1–13</w:t>
      </w:r>
    </w:p>
    <w:p w14:paraId="4244ADE6" w14:textId="77777777" w:rsidR="009B696E" w:rsidRPr="00360891" w:rsidRDefault="009B696E" w:rsidP="00297B6E">
      <w:pPr>
        <w:jc w:val="both"/>
        <w:rPr>
          <w:rFonts w:ascii="Arial" w:eastAsia="Times New Roman" w:hAnsi="Arial"/>
        </w:rPr>
      </w:pPr>
    </w:p>
    <w:p w14:paraId="4D735355" w14:textId="0823BBF4" w:rsidR="009B696E" w:rsidRDefault="00297B6E" w:rsidP="00297B6E">
      <w:pPr>
        <w:jc w:val="both"/>
        <w:rPr>
          <w:rFonts w:ascii="Arial" w:eastAsia="Times New Roman" w:hAnsi="Arial"/>
        </w:rPr>
      </w:pPr>
      <w:r w:rsidRPr="00297B6E">
        <w:rPr>
          <w:rFonts w:ascii="Arial" w:eastAsia="Times New Roman" w:hAnsi="Arial"/>
        </w:rPr>
        <w:lastRenderedPageBreak/>
        <w:t xml:space="preserve">Lal, R. (2018). Digging </w:t>
      </w:r>
      <w:proofErr w:type="gramStart"/>
      <w:r w:rsidRPr="00297B6E">
        <w:rPr>
          <w:rFonts w:ascii="Arial" w:eastAsia="Times New Roman" w:hAnsi="Arial"/>
        </w:rPr>
        <w:t>deeper:</w:t>
      </w:r>
      <w:proofErr w:type="gramEnd"/>
      <w:r w:rsidRPr="00297B6E">
        <w:rPr>
          <w:rFonts w:ascii="Arial" w:eastAsia="Times New Roman" w:hAnsi="Arial"/>
        </w:rPr>
        <w:t xml:space="preserve"> A holistic perspective of factors affecting soil organic carbon sequestration in agroecosystems. Global Change Biology, 24, 3285–3301. </w:t>
      </w:r>
      <w:hyperlink r:id="rId22" w:history="1">
        <w:r w:rsidRPr="009C2714">
          <w:rPr>
            <w:rStyle w:val="Hyperlink"/>
            <w:rFonts w:ascii="Arial" w:eastAsia="Times New Roman" w:hAnsi="Arial"/>
          </w:rPr>
          <w:t>https://doi.org/10.1111/gcb.14054</w:t>
        </w:r>
      </w:hyperlink>
      <w:r>
        <w:rPr>
          <w:rFonts w:ascii="Arial" w:eastAsia="Times New Roman" w:hAnsi="Arial"/>
        </w:rPr>
        <w:t xml:space="preserve"> </w:t>
      </w:r>
    </w:p>
    <w:p w14:paraId="5DEE4672" w14:textId="77777777" w:rsidR="00297B6E" w:rsidRPr="00360891" w:rsidRDefault="00297B6E" w:rsidP="00297B6E">
      <w:pPr>
        <w:jc w:val="both"/>
        <w:rPr>
          <w:rFonts w:ascii="Arial" w:eastAsia="Times New Roman" w:hAnsi="Arial"/>
        </w:rPr>
      </w:pPr>
    </w:p>
    <w:p w14:paraId="7C2CA357" w14:textId="552FEF00" w:rsidR="00C117CF" w:rsidRDefault="00297B6E" w:rsidP="00297B6E">
      <w:pPr>
        <w:rPr>
          <w:rFonts w:ascii="Arial" w:hAnsi="Arial"/>
        </w:rPr>
      </w:pPr>
      <w:r w:rsidRPr="00297B6E">
        <w:rPr>
          <w:rFonts w:ascii="Arial" w:hAnsi="Arial"/>
        </w:rPr>
        <w:t xml:space="preserve">Lehmann, J., &amp; Kleber, M. (2015). The contentious nature of soil organic matter. Nature, 528, 60–68. </w:t>
      </w:r>
      <w:hyperlink r:id="rId23" w:history="1">
        <w:r w:rsidRPr="009C2714">
          <w:rPr>
            <w:rStyle w:val="Hyperlink"/>
            <w:rFonts w:ascii="Arial" w:hAnsi="Arial"/>
          </w:rPr>
          <w:t>https://doi.org/10.1038/nature16069</w:t>
        </w:r>
      </w:hyperlink>
      <w:r>
        <w:rPr>
          <w:rFonts w:ascii="Arial" w:hAnsi="Arial"/>
        </w:rPr>
        <w:t xml:space="preserve"> </w:t>
      </w:r>
    </w:p>
    <w:p w14:paraId="2AF0A9D8" w14:textId="77777777" w:rsidR="00297B6E" w:rsidRDefault="00297B6E" w:rsidP="00297B6E">
      <w:pPr>
        <w:rPr>
          <w:rFonts w:ascii="Arial" w:hAnsi="Arial"/>
        </w:rPr>
      </w:pPr>
    </w:p>
    <w:p w14:paraId="20D5CA28" w14:textId="075C041E" w:rsidR="009B696E" w:rsidRDefault="00297B6E" w:rsidP="00297B6E">
      <w:pPr>
        <w:jc w:val="both"/>
        <w:rPr>
          <w:rFonts w:ascii="Arial" w:hAnsi="Arial"/>
        </w:rPr>
      </w:pPr>
      <w:r w:rsidRPr="00297B6E">
        <w:rPr>
          <w:rFonts w:ascii="Arial" w:hAnsi="Arial"/>
        </w:rPr>
        <w:t xml:space="preserve">Moço, M. K. S., Gama-Rodrigues, E. F., Gama-Rodrigues, A. C., Machado, R. C. R., &amp; Baligar, V. C. (2010). Relationships between invertebrate communities, litter quality and soil attributes under different cacao agroforestry systems in the south of Bahia, Brazil. Applied Soil Ecology, 46, 347-354. </w:t>
      </w:r>
      <w:hyperlink r:id="rId24" w:history="1">
        <w:r w:rsidRPr="009C2714">
          <w:rPr>
            <w:rStyle w:val="Hyperlink"/>
            <w:rFonts w:ascii="Arial" w:hAnsi="Arial"/>
          </w:rPr>
          <w:t>https://doi.org/10.1016/j.apsoil.2010.10.006</w:t>
        </w:r>
      </w:hyperlink>
      <w:r>
        <w:rPr>
          <w:rFonts w:ascii="Arial" w:hAnsi="Arial"/>
        </w:rPr>
        <w:t xml:space="preserve"> </w:t>
      </w:r>
    </w:p>
    <w:p w14:paraId="7016B582" w14:textId="77777777" w:rsidR="00297B6E" w:rsidRPr="00360891" w:rsidRDefault="00297B6E" w:rsidP="00297B6E">
      <w:pPr>
        <w:jc w:val="both"/>
        <w:rPr>
          <w:rFonts w:ascii="Arial" w:eastAsia="Times New Roman" w:hAnsi="Arial"/>
        </w:rPr>
      </w:pPr>
    </w:p>
    <w:p w14:paraId="79EA1982" w14:textId="774A6DD9" w:rsidR="009B696E" w:rsidRDefault="00297B6E" w:rsidP="00297B6E">
      <w:pPr>
        <w:jc w:val="both"/>
        <w:rPr>
          <w:rFonts w:ascii="Arial" w:hAnsi="Arial"/>
        </w:rPr>
      </w:pPr>
      <w:r w:rsidRPr="00297B6E">
        <w:rPr>
          <w:rFonts w:ascii="Arial" w:hAnsi="Arial"/>
        </w:rPr>
        <w:t xml:space="preserve">Montagnini, F., &amp; Nair, P. K. R. (2004). Carbon </w:t>
      </w:r>
      <w:proofErr w:type="gramStart"/>
      <w:r w:rsidRPr="00297B6E">
        <w:rPr>
          <w:rFonts w:ascii="Arial" w:hAnsi="Arial"/>
        </w:rPr>
        <w:t>sequestration:</w:t>
      </w:r>
      <w:proofErr w:type="gramEnd"/>
      <w:r w:rsidRPr="00297B6E">
        <w:rPr>
          <w:rFonts w:ascii="Arial" w:hAnsi="Arial"/>
        </w:rPr>
        <w:t xml:space="preserve"> An underexploited environmental benefit of agroforestry systems. Agroforestry Systems, 61, 281–295. </w:t>
      </w:r>
      <w:hyperlink r:id="rId25" w:history="1">
        <w:r w:rsidRPr="009C2714">
          <w:rPr>
            <w:rStyle w:val="Hyperlink"/>
            <w:rFonts w:ascii="Arial" w:hAnsi="Arial"/>
          </w:rPr>
          <w:t>https://doi.org/10.1023/B:AGFO.0000029005.92691.79</w:t>
        </w:r>
      </w:hyperlink>
      <w:r>
        <w:rPr>
          <w:rFonts w:ascii="Arial" w:hAnsi="Arial"/>
        </w:rPr>
        <w:t xml:space="preserve"> </w:t>
      </w:r>
    </w:p>
    <w:p w14:paraId="7D651650" w14:textId="77777777" w:rsidR="00297B6E" w:rsidRPr="00360891" w:rsidRDefault="00297B6E" w:rsidP="00297B6E">
      <w:pPr>
        <w:jc w:val="both"/>
        <w:rPr>
          <w:rFonts w:ascii="Arial" w:hAnsi="Arial"/>
        </w:rPr>
      </w:pPr>
    </w:p>
    <w:p w14:paraId="24E183EB" w14:textId="77777777" w:rsidR="009B696E" w:rsidRPr="00297B6E" w:rsidRDefault="009B696E" w:rsidP="00297B6E">
      <w:pPr>
        <w:ind w:left="540"/>
        <w:jc w:val="both"/>
        <w:rPr>
          <w:rFonts w:ascii="Arial" w:hAnsi="Arial"/>
        </w:rPr>
      </w:pPr>
      <w:r w:rsidRPr="00297B6E">
        <w:rPr>
          <w:rFonts w:ascii="Arial" w:hAnsi="Arial"/>
        </w:rPr>
        <w:t>N’Guessan, K. J. C. (2017). Comportements, dynamiques et équilibres des cations majeurs et de certains oligo-éléments dans les sols cacaocultivés de Côte d’Ivoire. Thèse de Doctorat de l’Université Félix Houphouët-Boigny Cocody-Abidjan, Côte d’Ivoire, 141 p.</w:t>
      </w:r>
    </w:p>
    <w:p w14:paraId="7A8E933A" w14:textId="77777777" w:rsidR="009B696E" w:rsidRPr="00360891" w:rsidRDefault="009B696E" w:rsidP="00297B6E">
      <w:pPr>
        <w:jc w:val="both"/>
        <w:rPr>
          <w:rFonts w:ascii="Arial" w:hAnsi="Arial"/>
        </w:rPr>
      </w:pPr>
    </w:p>
    <w:p w14:paraId="534CAC09" w14:textId="4A8B37A9" w:rsidR="009B696E" w:rsidRDefault="00297B6E" w:rsidP="00297B6E">
      <w:pPr>
        <w:jc w:val="both"/>
        <w:rPr>
          <w:rFonts w:ascii="Arial" w:hAnsi="Arial"/>
        </w:rPr>
      </w:pPr>
      <w:r w:rsidRPr="00297B6E">
        <w:rPr>
          <w:rFonts w:ascii="Arial" w:hAnsi="Arial"/>
        </w:rPr>
        <w:t xml:space="preserve">Olson, K. R., Al-Kaisi, M. M., Lal, R., &amp; Lowery, B. (2014). Experimental Consideration, Treatments, and Methods in Determining Soil Organic Carbon Sequestration Rates. Soil Science Society of America Journal, 78, 348-360. </w:t>
      </w:r>
      <w:hyperlink r:id="rId26" w:history="1">
        <w:r w:rsidRPr="009C2714">
          <w:rPr>
            <w:rStyle w:val="Hyperlink"/>
            <w:rFonts w:ascii="Arial" w:hAnsi="Arial"/>
          </w:rPr>
          <w:t>https://doi.org/10.2136/sssaj2013.09.0412</w:t>
        </w:r>
      </w:hyperlink>
      <w:r>
        <w:rPr>
          <w:rFonts w:ascii="Arial" w:hAnsi="Arial"/>
        </w:rPr>
        <w:t xml:space="preserve"> </w:t>
      </w:r>
    </w:p>
    <w:p w14:paraId="59E32982" w14:textId="77777777" w:rsidR="00297B6E" w:rsidRPr="00360891" w:rsidRDefault="00297B6E" w:rsidP="00297B6E">
      <w:pPr>
        <w:jc w:val="both"/>
        <w:rPr>
          <w:rFonts w:ascii="Arial" w:hAnsi="Arial"/>
        </w:rPr>
      </w:pPr>
    </w:p>
    <w:p w14:paraId="3F70BB9F" w14:textId="77777777" w:rsidR="009B696E" w:rsidRPr="00297B6E" w:rsidRDefault="009B696E" w:rsidP="00297B6E">
      <w:pPr>
        <w:spacing w:after="240"/>
        <w:ind w:left="540"/>
        <w:jc w:val="both"/>
        <w:rPr>
          <w:rFonts w:ascii="Arial" w:eastAsia="Times New Roman" w:hAnsi="Arial"/>
        </w:rPr>
      </w:pPr>
      <w:r w:rsidRPr="00297B6E">
        <w:rPr>
          <w:rFonts w:ascii="Arial" w:eastAsia="Times New Roman" w:hAnsi="Arial"/>
        </w:rPr>
        <w:t xml:space="preserve">Poeplau, C., &amp; Don, A. (2015). Carbon sequestration in agricultural soils decades after conversion. </w:t>
      </w:r>
      <w:r w:rsidRPr="00297B6E">
        <w:rPr>
          <w:rFonts w:ascii="Arial" w:eastAsia="Times New Roman" w:hAnsi="Arial"/>
          <w:i/>
          <w:iCs/>
        </w:rPr>
        <w:t>Global Change Biology</w:t>
      </w:r>
      <w:r w:rsidRPr="00297B6E">
        <w:rPr>
          <w:rFonts w:ascii="Arial" w:eastAsia="Times New Roman" w:hAnsi="Arial"/>
        </w:rPr>
        <w:t>, 21, 3561–3572.</w:t>
      </w:r>
    </w:p>
    <w:p w14:paraId="7868C999" w14:textId="5935AE99" w:rsidR="009B696E" w:rsidRDefault="00297B6E" w:rsidP="00297B6E">
      <w:pPr>
        <w:jc w:val="both"/>
        <w:rPr>
          <w:rFonts w:ascii="Arial" w:hAnsi="Arial"/>
        </w:rPr>
      </w:pPr>
      <w:r w:rsidRPr="00297B6E">
        <w:rPr>
          <w:rFonts w:ascii="Arial" w:hAnsi="Arial"/>
        </w:rPr>
        <w:t xml:space="preserve">Poeplau, C., Zopf, D., Greiner, B., Geerts, R., Korvaar, H., Thumm, U., Don, A., Heidkamp, A., &amp; Flessa, H. (2018). Why does mineral fertilization increase soil carbon stocks in temperate </w:t>
      </w:r>
      <w:proofErr w:type="gramStart"/>
      <w:r w:rsidRPr="00297B6E">
        <w:rPr>
          <w:rFonts w:ascii="Arial" w:hAnsi="Arial"/>
        </w:rPr>
        <w:t>grasslands?</w:t>
      </w:r>
      <w:proofErr w:type="gramEnd"/>
      <w:r w:rsidRPr="00297B6E">
        <w:rPr>
          <w:rFonts w:ascii="Arial" w:hAnsi="Arial"/>
        </w:rPr>
        <w:t xml:space="preserve"> Agriculture, Ecosystems &amp; Environment, 265, 144-155. </w:t>
      </w:r>
      <w:hyperlink r:id="rId27" w:history="1">
        <w:r w:rsidRPr="009C2714">
          <w:rPr>
            <w:rStyle w:val="Hyperlink"/>
            <w:rFonts w:ascii="Arial" w:hAnsi="Arial"/>
          </w:rPr>
          <w:t>https://doi.org/10.1016/j.agee.2018.06.003</w:t>
        </w:r>
      </w:hyperlink>
      <w:r>
        <w:rPr>
          <w:rFonts w:ascii="Arial" w:hAnsi="Arial"/>
        </w:rPr>
        <w:t xml:space="preserve"> </w:t>
      </w:r>
    </w:p>
    <w:p w14:paraId="7B7809C8" w14:textId="77777777" w:rsidR="00297B6E" w:rsidRPr="00360891" w:rsidRDefault="00297B6E" w:rsidP="00297B6E">
      <w:pPr>
        <w:jc w:val="both"/>
        <w:rPr>
          <w:rFonts w:ascii="Arial" w:hAnsi="Arial"/>
        </w:rPr>
      </w:pPr>
    </w:p>
    <w:p w14:paraId="670AD902" w14:textId="77777777" w:rsidR="009B696E" w:rsidRPr="00297B6E" w:rsidRDefault="009B696E" w:rsidP="00297B6E">
      <w:pPr>
        <w:ind w:left="540"/>
        <w:jc w:val="both"/>
        <w:rPr>
          <w:rFonts w:ascii="Arial" w:hAnsi="Arial"/>
        </w:rPr>
      </w:pPr>
      <w:r w:rsidRPr="00297B6E">
        <w:rPr>
          <w:rFonts w:ascii="Arial" w:hAnsi="Arial"/>
        </w:rPr>
        <w:t xml:space="preserve">Shi, L., Zhang, J., Li, X., &amp; Jiang, C. (2013). Soil organic carbon dynamics under different fertilization treatments in a tropical agricultural system. </w:t>
      </w:r>
      <w:r w:rsidRPr="00297B6E">
        <w:rPr>
          <w:rFonts w:ascii="Arial" w:hAnsi="Arial"/>
          <w:i/>
          <w:iCs/>
        </w:rPr>
        <w:t>Soil &amp; Tillage Research</w:t>
      </w:r>
      <w:r w:rsidRPr="00297B6E">
        <w:rPr>
          <w:rFonts w:ascii="Arial" w:hAnsi="Arial"/>
        </w:rPr>
        <w:t>, 126, 159–166</w:t>
      </w:r>
    </w:p>
    <w:p w14:paraId="26340742" w14:textId="77777777" w:rsidR="009B696E" w:rsidRPr="00360891" w:rsidRDefault="009B696E" w:rsidP="00297B6E">
      <w:pPr>
        <w:jc w:val="both"/>
        <w:rPr>
          <w:rFonts w:ascii="Arial" w:hAnsi="Arial"/>
        </w:rPr>
      </w:pPr>
    </w:p>
    <w:p w14:paraId="6E76A5AA" w14:textId="59CEB8EB" w:rsidR="009B696E" w:rsidRDefault="00297B6E" w:rsidP="00297B6E">
      <w:pPr>
        <w:jc w:val="both"/>
      </w:pPr>
      <w:r w:rsidRPr="00297B6E">
        <w:rPr>
          <w:rFonts w:ascii="Arial" w:hAnsi="Arial"/>
        </w:rPr>
        <w:t xml:space="preserve">Scopel, E., Findeling, A., Chavez Guerra, E., &amp; Corbeels, M. (2005). Impact of direct sowing mulch-based cropping systems on soil carbon, soil erosion and maize yield. Agronomy for Sustainable Development, 25, 425-432. </w:t>
      </w:r>
      <w:hyperlink r:id="rId28" w:history="1">
        <w:r w:rsidRPr="009C2714">
          <w:rPr>
            <w:rStyle w:val="Hyperlink"/>
            <w:rFonts w:ascii="Arial" w:hAnsi="Arial"/>
          </w:rPr>
          <w:t>https://doi.org/10.1051/agro:2005041</w:t>
        </w:r>
      </w:hyperlink>
    </w:p>
    <w:p w14:paraId="222A51C2" w14:textId="77777777" w:rsidR="00297B6E" w:rsidRPr="00297B6E" w:rsidRDefault="00297B6E" w:rsidP="00297B6E">
      <w:pPr>
        <w:jc w:val="both"/>
      </w:pPr>
    </w:p>
    <w:p w14:paraId="54191BA6" w14:textId="03E77580" w:rsidR="009B696E" w:rsidRDefault="00297B6E" w:rsidP="00297B6E">
      <w:pPr>
        <w:jc w:val="both"/>
        <w:rPr>
          <w:rFonts w:ascii="Arial" w:hAnsi="Arial"/>
        </w:rPr>
      </w:pPr>
      <w:r w:rsidRPr="00297B6E">
        <w:rPr>
          <w:rFonts w:ascii="Arial" w:hAnsi="Arial"/>
        </w:rPr>
        <w:t xml:space="preserve">Smith, P., Soussana, J.-F., Angers, D., Schipper, L., Chenu, C., Rasse, D. P., Batjes, N. H., van Egmond, F., McNeill, S., Kuhnert, M., Arias-Navarro, C., Olesen, J. E., Chirinda, N., Fornara, D., Wollenberg, E., Álvaro-Fuentes, J., Sanz-Cobeña, A., &amp; Klumpp, K. (2020). How to measure, report and verify soil carbon change to realize the potential of soil carbon sequestration for atmospheric greenhouse gas removal. Global Change Biology, 26(1), 219–241. </w:t>
      </w:r>
      <w:hyperlink r:id="rId29" w:history="1">
        <w:r w:rsidRPr="009C2714">
          <w:rPr>
            <w:rStyle w:val="Hyperlink"/>
            <w:rFonts w:ascii="Arial" w:hAnsi="Arial"/>
          </w:rPr>
          <w:t>https://doi.org/10.1111/gcb.14815</w:t>
        </w:r>
      </w:hyperlink>
      <w:r>
        <w:rPr>
          <w:rFonts w:ascii="Arial" w:hAnsi="Arial"/>
        </w:rPr>
        <w:t xml:space="preserve"> </w:t>
      </w:r>
    </w:p>
    <w:p w14:paraId="61936F30" w14:textId="77777777" w:rsidR="00297B6E" w:rsidRPr="00360891" w:rsidRDefault="00297B6E" w:rsidP="00297B6E">
      <w:pPr>
        <w:jc w:val="both"/>
        <w:rPr>
          <w:rFonts w:ascii="Arial" w:hAnsi="Arial"/>
        </w:rPr>
      </w:pPr>
    </w:p>
    <w:p w14:paraId="45E2EF4E" w14:textId="3B5B516E" w:rsidR="009B696E" w:rsidRDefault="00297B6E" w:rsidP="00297B6E">
      <w:pPr>
        <w:jc w:val="both"/>
        <w:rPr>
          <w:rFonts w:ascii="Arial" w:hAnsi="Arial"/>
        </w:rPr>
      </w:pPr>
      <w:r w:rsidRPr="00297B6E">
        <w:rPr>
          <w:rFonts w:ascii="Arial" w:hAnsi="Arial"/>
        </w:rPr>
        <w:t xml:space="preserve">Snoeck, D., Koko, L., Joffre, J., Bastide, P., &amp; Jagoret, P. (2016). Cacao nutrition and fertilization. In E. Lichtfouse (Ed.), Sustainable Agriculture Reviews (Vol. 19, pp. 155-202). Springer International Publishing. </w:t>
      </w:r>
      <w:hyperlink r:id="rId30" w:history="1">
        <w:r w:rsidRPr="009C2714">
          <w:rPr>
            <w:rStyle w:val="Hyperlink"/>
            <w:rFonts w:ascii="Arial" w:hAnsi="Arial"/>
          </w:rPr>
          <w:t>https://doi.org/10.1007/978-3-319-26777-7_4</w:t>
        </w:r>
      </w:hyperlink>
      <w:r>
        <w:rPr>
          <w:rFonts w:ascii="Arial" w:hAnsi="Arial"/>
        </w:rPr>
        <w:t xml:space="preserve"> </w:t>
      </w:r>
    </w:p>
    <w:p w14:paraId="394FB863" w14:textId="77777777" w:rsidR="00297B6E" w:rsidRPr="00360891" w:rsidRDefault="00297B6E" w:rsidP="00297B6E">
      <w:pPr>
        <w:jc w:val="both"/>
        <w:rPr>
          <w:rFonts w:ascii="Arial" w:hAnsi="Arial"/>
        </w:rPr>
      </w:pPr>
    </w:p>
    <w:p w14:paraId="51C9DCA4" w14:textId="471BBA33" w:rsidR="009B696E" w:rsidRDefault="00297B6E" w:rsidP="00297B6E">
      <w:pPr>
        <w:jc w:val="both"/>
        <w:rPr>
          <w:rFonts w:ascii="Arial" w:hAnsi="Arial"/>
        </w:rPr>
      </w:pPr>
      <w:r w:rsidRPr="00297B6E">
        <w:rPr>
          <w:rFonts w:ascii="Arial" w:hAnsi="Arial"/>
        </w:rPr>
        <w:t xml:space="preserve">Snoeck, D., Koko, L., Joffre, J., Bastide, P., &amp; Jagoret, P. (2016). Cacao nutrition and fertilization. In E. Lichtfouse (Ed.), Sustainable Agriculture Reviews (Vol. 19, pp. 155–202). Cham, Springer International Publishing. </w:t>
      </w:r>
      <w:hyperlink r:id="rId31" w:history="1">
        <w:r w:rsidRPr="009C2714">
          <w:rPr>
            <w:rStyle w:val="Hyperlink"/>
            <w:rFonts w:ascii="Arial" w:hAnsi="Arial"/>
          </w:rPr>
          <w:t>https://doi.org/10.1007/978-3-319-26777-7_4</w:t>
        </w:r>
      </w:hyperlink>
      <w:r>
        <w:rPr>
          <w:rFonts w:ascii="Arial" w:hAnsi="Arial"/>
        </w:rPr>
        <w:t xml:space="preserve"> </w:t>
      </w:r>
    </w:p>
    <w:p w14:paraId="0DC30A73" w14:textId="77777777" w:rsidR="00297B6E" w:rsidRPr="00360891" w:rsidRDefault="00297B6E" w:rsidP="00297B6E">
      <w:pPr>
        <w:jc w:val="both"/>
        <w:rPr>
          <w:rFonts w:ascii="Arial" w:hAnsi="Arial"/>
        </w:rPr>
      </w:pPr>
    </w:p>
    <w:p w14:paraId="2FE73024" w14:textId="26AADD86" w:rsidR="007238BE" w:rsidRDefault="00297B6E">
      <w:pPr>
        <w:rPr>
          <w:rFonts w:ascii="Arial" w:hAnsi="Arial"/>
        </w:rPr>
      </w:pPr>
      <w:r w:rsidRPr="00297B6E">
        <w:rPr>
          <w:rFonts w:ascii="Arial" w:hAnsi="Arial"/>
        </w:rPr>
        <w:t xml:space="preserve">IUSS Working Group WRB. (2014). World reference base for soil resources 2014. International soil classification system for naming soils and creating legends for soil maps. FAO. </w:t>
      </w:r>
      <w:hyperlink r:id="rId32" w:history="1">
        <w:r w:rsidRPr="009C2714">
          <w:rPr>
            <w:rStyle w:val="Hyperlink"/>
            <w:rFonts w:ascii="Arial" w:hAnsi="Arial"/>
          </w:rPr>
          <w:t>https://doi.org/10.4060/i3794en</w:t>
        </w:r>
      </w:hyperlink>
      <w:r>
        <w:rPr>
          <w:rFonts w:ascii="Arial" w:hAnsi="Arial"/>
        </w:rPr>
        <w:t xml:space="preserve"> </w:t>
      </w:r>
    </w:p>
    <w:p w14:paraId="0401120F" w14:textId="77777777" w:rsidR="00297B6E" w:rsidRDefault="00297B6E">
      <w:pPr>
        <w:rPr>
          <w:b/>
          <w:bCs/>
          <w:sz w:val="22"/>
          <w:szCs w:val="22"/>
        </w:rPr>
      </w:pPr>
    </w:p>
    <w:p w14:paraId="32BC7A53" w14:textId="77777777" w:rsidR="007238BE" w:rsidRPr="007238BE" w:rsidRDefault="007238BE">
      <w:pPr>
        <w:rPr>
          <w:b/>
          <w:bCs/>
          <w:sz w:val="22"/>
          <w:szCs w:val="22"/>
        </w:rPr>
      </w:pPr>
    </w:p>
    <w:sectPr w:rsidR="007238BE" w:rsidRPr="007238BE">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E1C81" w14:textId="77777777" w:rsidR="00B25FE4" w:rsidRDefault="00B25FE4" w:rsidP="00F069B0">
      <w:r>
        <w:separator/>
      </w:r>
    </w:p>
  </w:endnote>
  <w:endnote w:type="continuationSeparator" w:id="0">
    <w:p w14:paraId="0C3EC59A" w14:textId="77777777" w:rsidR="00B25FE4" w:rsidRDefault="00B25FE4" w:rsidP="00F0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stric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604A" w14:textId="77777777" w:rsidR="005F34D0" w:rsidRDefault="005F3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64FB" w14:textId="7C4773C5" w:rsidR="00E940DB" w:rsidRPr="002D5664" w:rsidRDefault="00E940DB" w:rsidP="002D5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E41E" w14:textId="77777777" w:rsidR="005F34D0" w:rsidRDefault="005F3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A6534" w14:textId="77777777" w:rsidR="00B25FE4" w:rsidRDefault="00B25FE4" w:rsidP="00F069B0">
      <w:r>
        <w:separator/>
      </w:r>
    </w:p>
  </w:footnote>
  <w:footnote w:type="continuationSeparator" w:id="0">
    <w:p w14:paraId="66BFEFBD" w14:textId="77777777" w:rsidR="00B25FE4" w:rsidRDefault="00B25FE4" w:rsidP="00F0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B41E" w14:textId="2B84161E" w:rsidR="005F34D0" w:rsidRDefault="005F34D0">
    <w:pPr>
      <w:pStyle w:val="Header"/>
    </w:pPr>
    <w:r>
      <w:rPr>
        <w:noProof/>
      </w:rPr>
      <w:pict w14:anchorId="53CE4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37032" o:spid="_x0000_s2050" type="#_x0000_t136" style="position:absolute;left:0;text-align:left;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7DD6" w14:textId="2DB41216" w:rsidR="005F34D0" w:rsidRDefault="005F34D0">
    <w:pPr>
      <w:pStyle w:val="Header"/>
    </w:pPr>
    <w:r>
      <w:rPr>
        <w:noProof/>
      </w:rPr>
      <w:pict w14:anchorId="464DB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37033" o:spid="_x0000_s2051"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9BB78" w14:textId="30DC1D23" w:rsidR="005F34D0" w:rsidRDefault="005F34D0">
    <w:pPr>
      <w:pStyle w:val="Header"/>
    </w:pPr>
    <w:r>
      <w:rPr>
        <w:noProof/>
      </w:rPr>
      <w:pict w14:anchorId="0C36E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437031" o:spid="_x0000_s2049" type="#_x0000_t136" style="position:absolute;left:0;text-align:left;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3FCB"/>
    <w:multiLevelType w:val="multilevel"/>
    <w:tmpl w:val="040C001D"/>
    <w:styleLink w:val="Sty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45788"/>
    <w:multiLevelType w:val="multilevel"/>
    <w:tmpl w:val="040C001D"/>
    <w:styleLink w:val="Style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5676E"/>
    <w:multiLevelType w:val="multilevel"/>
    <w:tmpl w:val="040C001D"/>
    <w:styleLink w:val="Style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53523B"/>
    <w:multiLevelType w:val="multilevel"/>
    <w:tmpl w:val="040C001D"/>
    <w:styleLink w:val="Style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982C82"/>
    <w:multiLevelType w:val="multilevel"/>
    <w:tmpl w:val="040C001D"/>
    <w:styleLink w:val="Style5"/>
    <w:lvl w:ilvl="0">
      <w:start w:val="1"/>
      <w:numFmt w:val="decimal"/>
      <w:lvlText w:val="%1)"/>
      <w:lvlJc w:val="left"/>
      <w:pPr>
        <w:ind w:left="360" w:hanging="360"/>
      </w:pPr>
      <w:rPr>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794F47"/>
    <w:multiLevelType w:val="multilevel"/>
    <w:tmpl w:val="040C001D"/>
    <w:styleLink w:val="Style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14035F"/>
    <w:multiLevelType w:val="multilevel"/>
    <w:tmpl w:val="040C001D"/>
    <w:styleLink w:val="Styl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0830F8"/>
    <w:multiLevelType w:val="multilevel"/>
    <w:tmpl w:val="040C001D"/>
    <w:styleLink w:val="Style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0F7875"/>
    <w:multiLevelType w:val="multilevel"/>
    <w:tmpl w:val="040C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A71A08"/>
    <w:multiLevelType w:val="hybridMultilevel"/>
    <w:tmpl w:val="D4C41476"/>
    <w:lvl w:ilvl="0" w:tplc="F708B08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0E0540"/>
    <w:multiLevelType w:val="multilevel"/>
    <w:tmpl w:val="040C001D"/>
    <w:styleLink w:val="Style1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4A2CD2"/>
    <w:multiLevelType w:val="multilevel"/>
    <w:tmpl w:val="5EF8B0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FE280F"/>
    <w:multiLevelType w:val="multilevel"/>
    <w:tmpl w:val="040C001D"/>
    <w:styleLink w:val="Style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BE6C14"/>
    <w:multiLevelType w:val="multilevel"/>
    <w:tmpl w:val="040C001D"/>
    <w:styleLink w:val="Styl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C71B57"/>
    <w:multiLevelType w:val="hybridMultilevel"/>
    <w:tmpl w:val="1D0E1F8C"/>
    <w:lvl w:ilvl="0" w:tplc="4009000F">
      <w:start w:val="1"/>
      <w:numFmt w:val="decimal"/>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5" w15:restartNumberingAfterBreak="0">
    <w:nsid w:val="442E62AF"/>
    <w:multiLevelType w:val="multilevel"/>
    <w:tmpl w:val="040C001D"/>
    <w:styleLink w:val="Style7"/>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9942CD"/>
    <w:multiLevelType w:val="multilevel"/>
    <w:tmpl w:val="040C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9B6BF5"/>
    <w:multiLevelType w:val="multilevel"/>
    <w:tmpl w:val="040C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854CA5"/>
    <w:multiLevelType w:val="multilevel"/>
    <w:tmpl w:val="040C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816386"/>
    <w:multiLevelType w:val="multilevel"/>
    <w:tmpl w:val="040C001D"/>
    <w:styleLink w:val="Style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0E6318"/>
    <w:multiLevelType w:val="multilevel"/>
    <w:tmpl w:val="040C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94A2D3C"/>
    <w:multiLevelType w:val="multilevel"/>
    <w:tmpl w:val="040C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181AD0"/>
    <w:multiLevelType w:val="multilevel"/>
    <w:tmpl w:val="040C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405582"/>
    <w:multiLevelType w:val="multilevel"/>
    <w:tmpl w:val="040C001D"/>
    <w:styleLink w:val="Style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051E9"/>
    <w:multiLevelType w:val="multilevel"/>
    <w:tmpl w:val="2C9A6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8C1C73"/>
    <w:multiLevelType w:val="multilevel"/>
    <w:tmpl w:val="2C9A6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A396B4D"/>
    <w:multiLevelType w:val="multilevel"/>
    <w:tmpl w:val="040C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D25985"/>
    <w:multiLevelType w:val="multilevel"/>
    <w:tmpl w:val="040C001D"/>
    <w:styleLink w:val="Style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736E78"/>
    <w:multiLevelType w:val="hybridMultilevel"/>
    <w:tmpl w:val="1E54E1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0351A1"/>
    <w:multiLevelType w:val="multilevel"/>
    <w:tmpl w:val="040C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D03DDA"/>
    <w:multiLevelType w:val="multilevel"/>
    <w:tmpl w:val="040C001D"/>
    <w:styleLink w:val="Style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9"/>
  </w:num>
  <w:num w:numId="3">
    <w:abstractNumId w:val="24"/>
  </w:num>
  <w:num w:numId="4">
    <w:abstractNumId w:val="20"/>
  </w:num>
  <w:num w:numId="5">
    <w:abstractNumId w:val="8"/>
  </w:num>
  <w:num w:numId="6">
    <w:abstractNumId w:val="29"/>
  </w:num>
  <w:num w:numId="7">
    <w:abstractNumId w:val="22"/>
  </w:num>
  <w:num w:numId="8">
    <w:abstractNumId w:val="4"/>
  </w:num>
  <w:num w:numId="9">
    <w:abstractNumId w:val="26"/>
  </w:num>
  <w:num w:numId="10">
    <w:abstractNumId w:val="15"/>
  </w:num>
  <w:num w:numId="11">
    <w:abstractNumId w:val="16"/>
  </w:num>
  <w:num w:numId="12">
    <w:abstractNumId w:val="6"/>
  </w:num>
  <w:num w:numId="13">
    <w:abstractNumId w:val="10"/>
  </w:num>
  <w:num w:numId="14">
    <w:abstractNumId w:val="0"/>
  </w:num>
  <w:num w:numId="15">
    <w:abstractNumId w:val="13"/>
  </w:num>
  <w:num w:numId="16">
    <w:abstractNumId w:val="21"/>
  </w:num>
  <w:num w:numId="17">
    <w:abstractNumId w:val="3"/>
  </w:num>
  <w:num w:numId="18">
    <w:abstractNumId w:val="23"/>
  </w:num>
  <w:num w:numId="19">
    <w:abstractNumId w:val="12"/>
  </w:num>
  <w:num w:numId="20">
    <w:abstractNumId w:val="7"/>
  </w:num>
  <w:num w:numId="21">
    <w:abstractNumId w:val="30"/>
  </w:num>
  <w:num w:numId="22">
    <w:abstractNumId w:val="5"/>
  </w:num>
  <w:num w:numId="23">
    <w:abstractNumId w:val="18"/>
  </w:num>
  <w:num w:numId="24">
    <w:abstractNumId w:val="2"/>
  </w:num>
  <w:num w:numId="25">
    <w:abstractNumId w:val="17"/>
  </w:num>
  <w:num w:numId="26">
    <w:abstractNumId w:val="1"/>
  </w:num>
  <w:num w:numId="27">
    <w:abstractNumId w:val="27"/>
  </w:num>
  <w:num w:numId="28">
    <w:abstractNumId w:val="19"/>
  </w:num>
  <w:num w:numId="29">
    <w:abstractNumId w:val="28"/>
  </w:num>
  <w:num w:numId="30">
    <w:abstractNumId w:val="11"/>
  </w:num>
  <w:num w:numId="31">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D1"/>
    <w:rsid w:val="00003C64"/>
    <w:rsid w:val="000143F0"/>
    <w:rsid w:val="00021D7A"/>
    <w:rsid w:val="00023EA9"/>
    <w:rsid w:val="0002482F"/>
    <w:rsid w:val="000252A0"/>
    <w:rsid w:val="0003073C"/>
    <w:rsid w:val="00036EEC"/>
    <w:rsid w:val="00040B9D"/>
    <w:rsid w:val="00045481"/>
    <w:rsid w:val="000636A9"/>
    <w:rsid w:val="00065F74"/>
    <w:rsid w:val="00090D4A"/>
    <w:rsid w:val="00092917"/>
    <w:rsid w:val="0009482D"/>
    <w:rsid w:val="00097DA9"/>
    <w:rsid w:val="000A49B0"/>
    <w:rsid w:val="000C7635"/>
    <w:rsid w:val="000D3CE4"/>
    <w:rsid w:val="000D514C"/>
    <w:rsid w:val="000E26AB"/>
    <w:rsid w:val="000E7C88"/>
    <w:rsid w:val="000F1E72"/>
    <w:rsid w:val="000F41B4"/>
    <w:rsid w:val="0010170E"/>
    <w:rsid w:val="00104599"/>
    <w:rsid w:val="00124646"/>
    <w:rsid w:val="001308AE"/>
    <w:rsid w:val="00147FC6"/>
    <w:rsid w:val="00152628"/>
    <w:rsid w:val="0016305C"/>
    <w:rsid w:val="00167922"/>
    <w:rsid w:val="001940A4"/>
    <w:rsid w:val="001A0D5C"/>
    <w:rsid w:val="001C467C"/>
    <w:rsid w:val="001C5A7C"/>
    <w:rsid w:val="001F0802"/>
    <w:rsid w:val="001F6964"/>
    <w:rsid w:val="002058D5"/>
    <w:rsid w:val="00205EA2"/>
    <w:rsid w:val="00207909"/>
    <w:rsid w:val="00212B76"/>
    <w:rsid w:val="002220BC"/>
    <w:rsid w:val="002252F7"/>
    <w:rsid w:val="002353E1"/>
    <w:rsid w:val="002550B9"/>
    <w:rsid w:val="0025544B"/>
    <w:rsid w:val="00261A1A"/>
    <w:rsid w:val="00265659"/>
    <w:rsid w:val="002658E2"/>
    <w:rsid w:val="0027352D"/>
    <w:rsid w:val="00275FC6"/>
    <w:rsid w:val="002833E4"/>
    <w:rsid w:val="0028409B"/>
    <w:rsid w:val="00284B14"/>
    <w:rsid w:val="00286FFC"/>
    <w:rsid w:val="00287DAD"/>
    <w:rsid w:val="00291E66"/>
    <w:rsid w:val="0029686E"/>
    <w:rsid w:val="00297B6E"/>
    <w:rsid w:val="002A0937"/>
    <w:rsid w:val="002A286B"/>
    <w:rsid w:val="002B06DF"/>
    <w:rsid w:val="002B10D1"/>
    <w:rsid w:val="002B395E"/>
    <w:rsid w:val="002B6515"/>
    <w:rsid w:val="002C0FCF"/>
    <w:rsid w:val="002D32D6"/>
    <w:rsid w:val="002D5664"/>
    <w:rsid w:val="002E169C"/>
    <w:rsid w:val="002E783C"/>
    <w:rsid w:val="002F498C"/>
    <w:rsid w:val="002F759B"/>
    <w:rsid w:val="00302D2E"/>
    <w:rsid w:val="00303D79"/>
    <w:rsid w:val="0030781D"/>
    <w:rsid w:val="00316E67"/>
    <w:rsid w:val="00331B7B"/>
    <w:rsid w:val="003449FC"/>
    <w:rsid w:val="00357545"/>
    <w:rsid w:val="00360891"/>
    <w:rsid w:val="0036723E"/>
    <w:rsid w:val="00367DBF"/>
    <w:rsid w:val="00386B47"/>
    <w:rsid w:val="003A20B9"/>
    <w:rsid w:val="003A7648"/>
    <w:rsid w:val="003C5FDF"/>
    <w:rsid w:val="003C7665"/>
    <w:rsid w:val="003D0E40"/>
    <w:rsid w:val="003D2AF4"/>
    <w:rsid w:val="003D3428"/>
    <w:rsid w:val="003D631E"/>
    <w:rsid w:val="00401B3A"/>
    <w:rsid w:val="004031FD"/>
    <w:rsid w:val="00403802"/>
    <w:rsid w:val="0040387C"/>
    <w:rsid w:val="00410318"/>
    <w:rsid w:val="0041089C"/>
    <w:rsid w:val="00414AA1"/>
    <w:rsid w:val="004216F8"/>
    <w:rsid w:val="00431C93"/>
    <w:rsid w:val="0044449B"/>
    <w:rsid w:val="00452A0E"/>
    <w:rsid w:val="004615A4"/>
    <w:rsid w:val="00474E88"/>
    <w:rsid w:val="00476A62"/>
    <w:rsid w:val="00481D36"/>
    <w:rsid w:val="0048307C"/>
    <w:rsid w:val="00487C69"/>
    <w:rsid w:val="004B1436"/>
    <w:rsid w:val="004C0F8B"/>
    <w:rsid w:val="004D56B0"/>
    <w:rsid w:val="004F25F8"/>
    <w:rsid w:val="00516124"/>
    <w:rsid w:val="00523C33"/>
    <w:rsid w:val="00524010"/>
    <w:rsid w:val="00535847"/>
    <w:rsid w:val="00561248"/>
    <w:rsid w:val="0056546F"/>
    <w:rsid w:val="00570539"/>
    <w:rsid w:val="00582800"/>
    <w:rsid w:val="005857EC"/>
    <w:rsid w:val="005903C5"/>
    <w:rsid w:val="005905E5"/>
    <w:rsid w:val="00591C05"/>
    <w:rsid w:val="0059657A"/>
    <w:rsid w:val="005A1491"/>
    <w:rsid w:val="005A5A6C"/>
    <w:rsid w:val="005B42EE"/>
    <w:rsid w:val="005D3BA8"/>
    <w:rsid w:val="005E24F7"/>
    <w:rsid w:val="005F34D0"/>
    <w:rsid w:val="005F5DFB"/>
    <w:rsid w:val="00604F4B"/>
    <w:rsid w:val="00606841"/>
    <w:rsid w:val="00612402"/>
    <w:rsid w:val="006140E8"/>
    <w:rsid w:val="00615878"/>
    <w:rsid w:val="00616493"/>
    <w:rsid w:val="00616F3F"/>
    <w:rsid w:val="00616F46"/>
    <w:rsid w:val="006229BC"/>
    <w:rsid w:val="006232A9"/>
    <w:rsid w:val="0062701B"/>
    <w:rsid w:val="00627E50"/>
    <w:rsid w:val="00630B8A"/>
    <w:rsid w:val="0063470F"/>
    <w:rsid w:val="006455A5"/>
    <w:rsid w:val="006530C8"/>
    <w:rsid w:val="00655513"/>
    <w:rsid w:val="00656649"/>
    <w:rsid w:val="006679F5"/>
    <w:rsid w:val="00672FDD"/>
    <w:rsid w:val="00674603"/>
    <w:rsid w:val="00675309"/>
    <w:rsid w:val="006817EA"/>
    <w:rsid w:val="006A4F1B"/>
    <w:rsid w:val="006B2AF8"/>
    <w:rsid w:val="006E3845"/>
    <w:rsid w:val="006E3854"/>
    <w:rsid w:val="006F0BC2"/>
    <w:rsid w:val="006F3E36"/>
    <w:rsid w:val="006F6452"/>
    <w:rsid w:val="00714C53"/>
    <w:rsid w:val="0072341C"/>
    <w:rsid w:val="007238BE"/>
    <w:rsid w:val="007336B7"/>
    <w:rsid w:val="00736A17"/>
    <w:rsid w:val="00742A88"/>
    <w:rsid w:val="0074594F"/>
    <w:rsid w:val="0075117D"/>
    <w:rsid w:val="00753077"/>
    <w:rsid w:val="00757B4F"/>
    <w:rsid w:val="00757EAC"/>
    <w:rsid w:val="00761A20"/>
    <w:rsid w:val="0076764B"/>
    <w:rsid w:val="00771409"/>
    <w:rsid w:val="00773D6A"/>
    <w:rsid w:val="00782FDB"/>
    <w:rsid w:val="007875B9"/>
    <w:rsid w:val="00791E77"/>
    <w:rsid w:val="00793D41"/>
    <w:rsid w:val="007A00B0"/>
    <w:rsid w:val="007B5933"/>
    <w:rsid w:val="007C1075"/>
    <w:rsid w:val="007C2F08"/>
    <w:rsid w:val="007C441C"/>
    <w:rsid w:val="007D5761"/>
    <w:rsid w:val="007D7721"/>
    <w:rsid w:val="007E545A"/>
    <w:rsid w:val="007F1A60"/>
    <w:rsid w:val="00811B52"/>
    <w:rsid w:val="00814B53"/>
    <w:rsid w:val="008219B7"/>
    <w:rsid w:val="00824130"/>
    <w:rsid w:val="00824D12"/>
    <w:rsid w:val="0082754A"/>
    <w:rsid w:val="008309FF"/>
    <w:rsid w:val="0083116B"/>
    <w:rsid w:val="008322BC"/>
    <w:rsid w:val="00836846"/>
    <w:rsid w:val="00836DE6"/>
    <w:rsid w:val="00850589"/>
    <w:rsid w:val="00852DBF"/>
    <w:rsid w:val="008579BF"/>
    <w:rsid w:val="00861865"/>
    <w:rsid w:val="00863720"/>
    <w:rsid w:val="00863EA6"/>
    <w:rsid w:val="0087089D"/>
    <w:rsid w:val="00873174"/>
    <w:rsid w:val="00895C0D"/>
    <w:rsid w:val="008A12A9"/>
    <w:rsid w:val="008A2276"/>
    <w:rsid w:val="008A3C9B"/>
    <w:rsid w:val="008B6A42"/>
    <w:rsid w:val="008C1E9C"/>
    <w:rsid w:val="008D1EA9"/>
    <w:rsid w:val="008D3622"/>
    <w:rsid w:val="008D74D9"/>
    <w:rsid w:val="008E3112"/>
    <w:rsid w:val="008E358E"/>
    <w:rsid w:val="008F30D6"/>
    <w:rsid w:val="008F7670"/>
    <w:rsid w:val="008F7960"/>
    <w:rsid w:val="00906B28"/>
    <w:rsid w:val="00925AEA"/>
    <w:rsid w:val="009270AC"/>
    <w:rsid w:val="00936BD2"/>
    <w:rsid w:val="00942D13"/>
    <w:rsid w:val="009462D6"/>
    <w:rsid w:val="009537B5"/>
    <w:rsid w:val="00980375"/>
    <w:rsid w:val="00982410"/>
    <w:rsid w:val="009870F7"/>
    <w:rsid w:val="00993DD0"/>
    <w:rsid w:val="0099580A"/>
    <w:rsid w:val="009A22F8"/>
    <w:rsid w:val="009A4C46"/>
    <w:rsid w:val="009A7E2C"/>
    <w:rsid w:val="009B2BBA"/>
    <w:rsid w:val="009B4092"/>
    <w:rsid w:val="009B696E"/>
    <w:rsid w:val="009B7453"/>
    <w:rsid w:val="009B748E"/>
    <w:rsid w:val="009C6AC1"/>
    <w:rsid w:val="009E0AC9"/>
    <w:rsid w:val="009E2E3A"/>
    <w:rsid w:val="00A00557"/>
    <w:rsid w:val="00A03A91"/>
    <w:rsid w:val="00A12B0E"/>
    <w:rsid w:val="00A36515"/>
    <w:rsid w:val="00A55323"/>
    <w:rsid w:val="00A564A3"/>
    <w:rsid w:val="00A601CC"/>
    <w:rsid w:val="00A62C8E"/>
    <w:rsid w:val="00A66877"/>
    <w:rsid w:val="00A700C8"/>
    <w:rsid w:val="00A779E5"/>
    <w:rsid w:val="00A86EC9"/>
    <w:rsid w:val="00AA259F"/>
    <w:rsid w:val="00AA26C5"/>
    <w:rsid w:val="00AA6464"/>
    <w:rsid w:val="00AB1858"/>
    <w:rsid w:val="00AB4721"/>
    <w:rsid w:val="00AB7D18"/>
    <w:rsid w:val="00AC5361"/>
    <w:rsid w:val="00AE387C"/>
    <w:rsid w:val="00AF4627"/>
    <w:rsid w:val="00B0292E"/>
    <w:rsid w:val="00B0675A"/>
    <w:rsid w:val="00B16692"/>
    <w:rsid w:val="00B25FE4"/>
    <w:rsid w:val="00B3641C"/>
    <w:rsid w:val="00B60870"/>
    <w:rsid w:val="00B630A5"/>
    <w:rsid w:val="00B67BCC"/>
    <w:rsid w:val="00B90F13"/>
    <w:rsid w:val="00B94706"/>
    <w:rsid w:val="00B9681F"/>
    <w:rsid w:val="00BB431F"/>
    <w:rsid w:val="00BB5E71"/>
    <w:rsid w:val="00BC5E2C"/>
    <w:rsid w:val="00BF1205"/>
    <w:rsid w:val="00BF5CD1"/>
    <w:rsid w:val="00BF5D47"/>
    <w:rsid w:val="00C05982"/>
    <w:rsid w:val="00C11217"/>
    <w:rsid w:val="00C117CF"/>
    <w:rsid w:val="00C14354"/>
    <w:rsid w:val="00C20039"/>
    <w:rsid w:val="00C2329A"/>
    <w:rsid w:val="00C244B9"/>
    <w:rsid w:val="00C30A5A"/>
    <w:rsid w:val="00C45F92"/>
    <w:rsid w:val="00C50B22"/>
    <w:rsid w:val="00C55781"/>
    <w:rsid w:val="00C6007C"/>
    <w:rsid w:val="00C657F8"/>
    <w:rsid w:val="00C65E12"/>
    <w:rsid w:val="00C660E9"/>
    <w:rsid w:val="00C82124"/>
    <w:rsid w:val="00C82D40"/>
    <w:rsid w:val="00C96D2D"/>
    <w:rsid w:val="00C97241"/>
    <w:rsid w:val="00CB0750"/>
    <w:rsid w:val="00CB5FAF"/>
    <w:rsid w:val="00CC574F"/>
    <w:rsid w:val="00CD4327"/>
    <w:rsid w:val="00CF267B"/>
    <w:rsid w:val="00CF26A9"/>
    <w:rsid w:val="00D17512"/>
    <w:rsid w:val="00D231BE"/>
    <w:rsid w:val="00D30398"/>
    <w:rsid w:val="00D329A6"/>
    <w:rsid w:val="00D34BB7"/>
    <w:rsid w:val="00D357D3"/>
    <w:rsid w:val="00D3671A"/>
    <w:rsid w:val="00D37F94"/>
    <w:rsid w:val="00D56183"/>
    <w:rsid w:val="00D56D6C"/>
    <w:rsid w:val="00D61A01"/>
    <w:rsid w:val="00D61D87"/>
    <w:rsid w:val="00D735E6"/>
    <w:rsid w:val="00D84E19"/>
    <w:rsid w:val="00D91114"/>
    <w:rsid w:val="00DA31AE"/>
    <w:rsid w:val="00DA3B7E"/>
    <w:rsid w:val="00DA6513"/>
    <w:rsid w:val="00DB2938"/>
    <w:rsid w:val="00DB7835"/>
    <w:rsid w:val="00DC2278"/>
    <w:rsid w:val="00DD4A1B"/>
    <w:rsid w:val="00DD4C08"/>
    <w:rsid w:val="00DE7ABE"/>
    <w:rsid w:val="00DF22B1"/>
    <w:rsid w:val="00E029F2"/>
    <w:rsid w:val="00E1288D"/>
    <w:rsid w:val="00E33253"/>
    <w:rsid w:val="00E417EF"/>
    <w:rsid w:val="00E56A8E"/>
    <w:rsid w:val="00E57F2D"/>
    <w:rsid w:val="00E72F90"/>
    <w:rsid w:val="00E80C6B"/>
    <w:rsid w:val="00E814FA"/>
    <w:rsid w:val="00E8786B"/>
    <w:rsid w:val="00E940DB"/>
    <w:rsid w:val="00EA0A84"/>
    <w:rsid w:val="00EA1841"/>
    <w:rsid w:val="00EA6359"/>
    <w:rsid w:val="00EE4F29"/>
    <w:rsid w:val="00EE5EEE"/>
    <w:rsid w:val="00EF5D4D"/>
    <w:rsid w:val="00F028C9"/>
    <w:rsid w:val="00F069B0"/>
    <w:rsid w:val="00F14B00"/>
    <w:rsid w:val="00F4736C"/>
    <w:rsid w:val="00F50BBD"/>
    <w:rsid w:val="00F540D4"/>
    <w:rsid w:val="00F54344"/>
    <w:rsid w:val="00F56226"/>
    <w:rsid w:val="00F60287"/>
    <w:rsid w:val="00F6103F"/>
    <w:rsid w:val="00F67127"/>
    <w:rsid w:val="00F770C6"/>
    <w:rsid w:val="00FA1289"/>
    <w:rsid w:val="00FA542D"/>
    <w:rsid w:val="00FB3110"/>
    <w:rsid w:val="00FB4BAF"/>
    <w:rsid w:val="00FB57DC"/>
    <w:rsid w:val="00FC0934"/>
    <w:rsid w:val="00FC70AA"/>
    <w:rsid w:val="00FD5B28"/>
    <w:rsid w:val="00FE1703"/>
    <w:rsid w:val="00FF4DED"/>
    <w:rsid w:val="00FF7C5B"/>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F581E"/>
  <w15:chartTrackingRefBased/>
  <w15:docId w15:val="{DA2F920E-4D53-4455-8503-A77D7304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E50"/>
    <w:pPr>
      <w:spacing w:after="0" w:line="240" w:lineRule="auto"/>
    </w:pPr>
    <w:rPr>
      <w:rFonts w:ascii="Calibri" w:eastAsia="Calibri" w:hAnsi="Calibri" w:cs="Arial"/>
      <w:kern w:val="0"/>
      <w:sz w:val="20"/>
      <w:szCs w:val="20"/>
      <w:lang w:eastAsia="fr-FR"/>
      <w14:ligatures w14:val="none"/>
    </w:rPr>
  </w:style>
  <w:style w:type="paragraph" w:styleId="Heading1">
    <w:name w:val="heading 1"/>
    <w:basedOn w:val="Normal"/>
    <w:next w:val="Normal"/>
    <w:link w:val="Heading1Char"/>
    <w:uiPriority w:val="9"/>
    <w:qFormat/>
    <w:rsid w:val="002B10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2B10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2B10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2B10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unhideWhenUsed/>
    <w:qFormat/>
    <w:rsid w:val="002B10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unhideWhenUsed/>
    <w:qFormat/>
    <w:rsid w:val="002B10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B10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B10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B10D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1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1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B1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B1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B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0D1"/>
    <w:rPr>
      <w:rFonts w:eastAsiaTheme="majorEastAsia" w:cstheme="majorBidi"/>
      <w:color w:val="272727" w:themeColor="text1" w:themeTint="D8"/>
    </w:rPr>
  </w:style>
  <w:style w:type="paragraph" w:styleId="Title">
    <w:name w:val="Title"/>
    <w:basedOn w:val="Normal"/>
    <w:next w:val="Normal"/>
    <w:link w:val="TitleChar"/>
    <w:uiPriority w:val="10"/>
    <w:qFormat/>
    <w:rsid w:val="002B10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B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0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B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0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B10D1"/>
    <w:rPr>
      <w:i/>
      <w:iCs/>
      <w:color w:val="404040" w:themeColor="text1" w:themeTint="BF"/>
    </w:rPr>
  </w:style>
  <w:style w:type="paragraph" w:styleId="ListParagraph">
    <w:name w:val="List Paragraph"/>
    <w:basedOn w:val="Normal"/>
    <w:link w:val="ListParagraphChar"/>
    <w:uiPriority w:val="34"/>
    <w:qFormat/>
    <w:rsid w:val="002B10D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2B10D1"/>
    <w:rPr>
      <w:i/>
      <w:iCs/>
      <w:color w:val="2F5496" w:themeColor="accent1" w:themeShade="BF"/>
    </w:rPr>
  </w:style>
  <w:style w:type="paragraph" w:styleId="IntenseQuote">
    <w:name w:val="Intense Quote"/>
    <w:basedOn w:val="Normal"/>
    <w:next w:val="Normal"/>
    <w:link w:val="IntenseQuoteChar"/>
    <w:uiPriority w:val="30"/>
    <w:qFormat/>
    <w:rsid w:val="002B10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B10D1"/>
    <w:rPr>
      <w:i/>
      <w:iCs/>
      <w:color w:val="2F5496" w:themeColor="accent1" w:themeShade="BF"/>
    </w:rPr>
  </w:style>
  <w:style w:type="character" w:styleId="IntenseReference">
    <w:name w:val="Intense Reference"/>
    <w:basedOn w:val="DefaultParagraphFont"/>
    <w:uiPriority w:val="32"/>
    <w:qFormat/>
    <w:rsid w:val="002B10D1"/>
    <w:rPr>
      <w:b/>
      <w:bCs/>
      <w:smallCaps/>
      <w:color w:val="2F5496" w:themeColor="accent1" w:themeShade="BF"/>
      <w:spacing w:val="5"/>
    </w:rPr>
  </w:style>
  <w:style w:type="character" w:customStyle="1" w:styleId="ListParagraphChar">
    <w:name w:val="List Paragraph Char"/>
    <w:link w:val="ListParagraph"/>
    <w:uiPriority w:val="34"/>
    <w:rsid w:val="00757B4F"/>
  </w:style>
  <w:style w:type="character" w:customStyle="1" w:styleId="markedcontent">
    <w:name w:val="markedcontent"/>
    <w:basedOn w:val="DefaultParagraphFont"/>
    <w:rsid w:val="00757B4F"/>
  </w:style>
  <w:style w:type="paragraph" w:styleId="HTMLPreformatted">
    <w:name w:val="HTML Preformatted"/>
    <w:basedOn w:val="Normal"/>
    <w:link w:val="HTMLPreformattedChar"/>
    <w:uiPriority w:val="99"/>
    <w:unhideWhenUsed/>
    <w:rsid w:val="003C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3C7665"/>
    <w:rPr>
      <w:rFonts w:ascii="Courier New" w:eastAsia="Times New Roman" w:hAnsi="Courier New" w:cs="Courier New"/>
      <w:kern w:val="0"/>
      <w:sz w:val="20"/>
      <w:szCs w:val="20"/>
      <w:lang w:eastAsia="fr-FR"/>
      <w14:ligatures w14:val="none"/>
    </w:rPr>
  </w:style>
  <w:style w:type="paragraph" w:customStyle="1" w:styleId="Default">
    <w:name w:val="Default"/>
    <w:link w:val="DefaultCar"/>
    <w:rsid w:val="003C7665"/>
    <w:pPr>
      <w:autoSpaceDE w:val="0"/>
      <w:autoSpaceDN w:val="0"/>
      <w:adjustRightInd w:val="0"/>
      <w:spacing w:after="120" w:line="360" w:lineRule="auto"/>
      <w:jc w:val="both"/>
    </w:pPr>
    <w:rPr>
      <w:rFonts w:ascii="Arial" w:hAnsi="Arial" w:cs="Arial"/>
      <w:color w:val="000000"/>
      <w:kern w:val="0"/>
      <w14:ligatures w14:val="none"/>
    </w:rPr>
  </w:style>
  <w:style w:type="table" w:styleId="TableGrid">
    <w:name w:val="Table Grid"/>
    <w:basedOn w:val="TableNormal"/>
    <w:uiPriority w:val="59"/>
    <w:rsid w:val="003C7665"/>
    <w:pPr>
      <w:spacing w:after="120" w:line="360" w:lineRule="auto"/>
      <w:ind w:right="-113"/>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665"/>
    <w:pPr>
      <w:tabs>
        <w:tab w:val="center" w:pos="4513"/>
        <w:tab w:val="right" w:pos="9026"/>
      </w:tabs>
      <w:ind w:right="-113"/>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665"/>
    <w:rPr>
      <w:kern w:val="0"/>
      <w:sz w:val="22"/>
      <w:szCs w:val="22"/>
      <w14:ligatures w14:val="none"/>
    </w:rPr>
  </w:style>
  <w:style w:type="paragraph" w:styleId="Footer">
    <w:name w:val="footer"/>
    <w:basedOn w:val="Normal"/>
    <w:link w:val="FooterChar"/>
    <w:uiPriority w:val="99"/>
    <w:unhideWhenUsed/>
    <w:rsid w:val="003C7665"/>
    <w:pPr>
      <w:tabs>
        <w:tab w:val="center" w:pos="4513"/>
        <w:tab w:val="right" w:pos="9026"/>
      </w:tabs>
      <w:ind w:right="-113"/>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C7665"/>
    <w:rPr>
      <w:kern w:val="0"/>
      <w:sz w:val="22"/>
      <w:szCs w:val="22"/>
      <w14:ligatures w14:val="none"/>
    </w:rPr>
  </w:style>
  <w:style w:type="character" w:styleId="Hyperlink">
    <w:name w:val="Hyperlink"/>
    <w:basedOn w:val="DefaultParagraphFont"/>
    <w:uiPriority w:val="99"/>
    <w:unhideWhenUsed/>
    <w:rsid w:val="003C7665"/>
    <w:rPr>
      <w:color w:val="0563C1" w:themeColor="hyperlink"/>
      <w:u w:val="single"/>
    </w:rPr>
  </w:style>
  <w:style w:type="paragraph" w:styleId="BalloonText">
    <w:name w:val="Balloon Text"/>
    <w:basedOn w:val="Normal"/>
    <w:link w:val="BalloonTextChar"/>
    <w:uiPriority w:val="99"/>
    <w:semiHidden/>
    <w:unhideWhenUsed/>
    <w:rsid w:val="003C7665"/>
    <w:pPr>
      <w:ind w:right="-113"/>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665"/>
    <w:rPr>
      <w:rFonts w:ascii="Tahoma" w:hAnsi="Tahoma" w:cs="Tahoma"/>
      <w:kern w:val="0"/>
      <w:sz w:val="16"/>
      <w:szCs w:val="16"/>
      <w14:ligatures w14:val="none"/>
    </w:rPr>
  </w:style>
  <w:style w:type="paragraph" w:customStyle="1" w:styleId="Pa7">
    <w:name w:val="Pa7"/>
    <w:basedOn w:val="Default"/>
    <w:next w:val="Default"/>
    <w:uiPriority w:val="99"/>
    <w:rsid w:val="003C7665"/>
    <w:pPr>
      <w:spacing w:line="201" w:lineRule="atLeast"/>
    </w:pPr>
    <w:rPr>
      <w:rFonts w:ascii="District" w:hAnsi="District" w:cstheme="minorBidi"/>
      <w:color w:val="auto"/>
    </w:rPr>
  </w:style>
  <w:style w:type="character" w:styleId="Emphasis">
    <w:name w:val="Emphasis"/>
    <w:basedOn w:val="DefaultParagraphFont"/>
    <w:uiPriority w:val="20"/>
    <w:qFormat/>
    <w:rsid w:val="003C7665"/>
    <w:rPr>
      <w:i/>
      <w:iCs/>
    </w:rPr>
  </w:style>
  <w:style w:type="paragraph" w:customStyle="1" w:styleId="Texte2">
    <w:name w:val="Texte 2"/>
    <w:basedOn w:val="Normal"/>
    <w:rsid w:val="003C7665"/>
    <w:pPr>
      <w:ind w:left="567"/>
      <w:jc w:val="both"/>
    </w:pPr>
    <w:rPr>
      <w:rFonts w:ascii="Times New Roman" w:eastAsia="Times New Roman" w:hAnsi="Times New Roman" w:cs="Times New Roman"/>
      <w:sz w:val="24"/>
      <w:szCs w:val="24"/>
    </w:rPr>
  </w:style>
  <w:style w:type="paragraph" w:styleId="NormalWeb">
    <w:name w:val="Normal (Web)"/>
    <w:basedOn w:val="Normal"/>
    <w:uiPriority w:val="99"/>
    <w:rsid w:val="003C7665"/>
    <w:pPr>
      <w:spacing w:before="100" w:beforeAutospacing="1" w:after="100" w:afterAutospacing="1"/>
      <w:jc w:val="both"/>
    </w:pPr>
    <w:rPr>
      <w:rFonts w:ascii="Verdana" w:eastAsia="Times New Roman" w:hAnsi="Verdana" w:cs="Times New Roman"/>
    </w:rPr>
  </w:style>
  <w:style w:type="paragraph" w:customStyle="1" w:styleId="P1">
    <w:name w:val="P1"/>
    <w:basedOn w:val="Normal"/>
    <w:rsid w:val="003C7665"/>
    <w:pPr>
      <w:autoSpaceDE w:val="0"/>
      <w:autoSpaceDN w:val="0"/>
      <w:spacing w:before="60" w:after="60"/>
      <w:jc w:val="both"/>
    </w:pPr>
    <w:rPr>
      <w:rFonts w:ascii="Times New Roman" w:eastAsia="Times New Roman" w:hAnsi="Times New Roman" w:cs="Times New Roman"/>
      <w:sz w:val="22"/>
      <w:szCs w:val="22"/>
    </w:rPr>
  </w:style>
  <w:style w:type="paragraph" w:styleId="NoSpacing">
    <w:name w:val="No Spacing"/>
    <w:uiPriority w:val="1"/>
    <w:qFormat/>
    <w:rsid w:val="003C7665"/>
    <w:pPr>
      <w:spacing w:after="120" w:line="360" w:lineRule="auto"/>
      <w:jc w:val="both"/>
    </w:pPr>
    <w:rPr>
      <w:kern w:val="0"/>
      <w:sz w:val="22"/>
      <w:szCs w:val="22"/>
      <w14:ligatures w14:val="none"/>
    </w:rPr>
  </w:style>
  <w:style w:type="paragraph" w:styleId="BodyText">
    <w:name w:val="Body Text"/>
    <w:basedOn w:val="Normal"/>
    <w:link w:val="BodyTextChar"/>
    <w:rsid w:val="003C7665"/>
    <w:pPr>
      <w:jc w:val="center"/>
    </w:pPr>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rsid w:val="003C7665"/>
    <w:rPr>
      <w:rFonts w:ascii="Times New Roman" w:eastAsia="Times New Roman" w:hAnsi="Times New Roman" w:cs="Times New Roman"/>
      <w:b/>
      <w:bCs/>
      <w:kern w:val="0"/>
      <w:sz w:val="32"/>
      <w:szCs w:val="32"/>
      <w:lang w:eastAsia="fr-FR"/>
      <w14:ligatures w14:val="none"/>
    </w:rPr>
  </w:style>
  <w:style w:type="paragraph" w:styleId="BodyText3">
    <w:name w:val="Body Text 3"/>
    <w:basedOn w:val="Normal"/>
    <w:link w:val="BodyText3Char"/>
    <w:uiPriority w:val="99"/>
    <w:semiHidden/>
    <w:unhideWhenUsed/>
    <w:rsid w:val="003C7665"/>
    <w:pPr>
      <w:spacing w:after="120" w:line="259" w:lineRule="auto"/>
      <w:jc w:val="both"/>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semiHidden/>
    <w:rsid w:val="003C7665"/>
    <w:rPr>
      <w:kern w:val="0"/>
      <w:sz w:val="16"/>
      <w:szCs w:val="16"/>
      <w14:ligatures w14:val="none"/>
    </w:rPr>
  </w:style>
  <w:style w:type="character" w:styleId="CommentReference">
    <w:name w:val="annotation reference"/>
    <w:basedOn w:val="DefaultParagraphFont"/>
    <w:uiPriority w:val="99"/>
    <w:semiHidden/>
    <w:unhideWhenUsed/>
    <w:rsid w:val="003C7665"/>
    <w:rPr>
      <w:sz w:val="16"/>
      <w:szCs w:val="16"/>
    </w:rPr>
  </w:style>
  <w:style w:type="paragraph" w:styleId="CommentText">
    <w:name w:val="annotation text"/>
    <w:basedOn w:val="Normal"/>
    <w:link w:val="CommentTextChar"/>
    <w:uiPriority w:val="99"/>
    <w:semiHidden/>
    <w:unhideWhenUsed/>
    <w:rsid w:val="003C7665"/>
    <w:pPr>
      <w:spacing w:after="160"/>
      <w:jc w:val="both"/>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3C766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7665"/>
    <w:rPr>
      <w:b/>
      <w:bCs/>
    </w:rPr>
  </w:style>
  <w:style w:type="character" w:customStyle="1" w:styleId="CommentSubjectChar">
    <w:name w:val="Comment Subject Char"/>
    <w:basedOn w:val="CommentTextChar"/>
    <w:link w:val="CommentSubject"/>
    <w:uiPriority w:val="99"/>
    <w:semiHidden/>
    <w:rsid w:val="003C7665"/>
    <w:rPr>
      <w:b/>
      <w:bCs/>
      <w:kern w:val="0"/>
      <w:sz w:val="20"/>
      <w:szCs w:val="20"/>
      <w14:ligatures w14:val="none"/>
    </w:rPr>
  </w:style>
  <w:style w:type="paragraph" w:styleId="TOCHeading">
    <w:name w:val="TOC Heading"/>
    <w:basedOn w:val="Heading1"/>
    <w:next w:val="Normal"/>
    <w:uiPriority w:val="39"/>
    <w:unhideWhenUsed/>
    <w:qFormat/>
    <w:rsid w:val="003C7665"/>
    <w:pPr>
      <w:spacing w:before="0" w:after="120" w:line="360" w:lineRule="auto"/>
      <w:jc w:val="both"/>
      <w:outlineLvl w:val="9"/>
    </w:pPr>
    <w:rPr>
      <w:rFonts w:ascii="Times New Roman" w:eastAsia="Times New Roman" w:hAnsi="Times New Roman"/>
      <w:b/>
      <w:color w:val="auto"/>
      <w:kern w:val="0"/>
      <w:sz w:val="24"/>
      <w:szCs w:val="24"/>
      <w:lang w:eastAsia="fr-FR"/>
      <w14:ligatures w14:val="none"/>
    </w:rPr>
  </w:style>
  <w:style w:type="paragraph" w:styleId="TOC1">
    <w:name w:val="toc 1"/>
    <w:basedOn w:val="Normal"/>
    <w:next w:val="Normal"/>
    <w:autoRedefine/>
    <w:uiPriority w:val="39"/>
    <w:unhideWhenUsed/>
    <w:rsid w:val="003C7665"/>
    <w:pPr>
      <w:tabs>
        <w:tab w:val="left" w:pos="440"/>
        <w:tab w:val="right" w:leader="dot" w:pos="9040"/>
      </w:tabs>
      <w:spacing w:line="360" w:lineRule="auto"/>
      <w:jc w:val="both"/>
    </w:pPr>
    <w:rPr>
      <w:rFonts w:ascii="Times New Roman" w:eastAsiaTheme="minorHAnsi" w:hAnsi="Times New Roman" w:cstheme="minorBidi"/>
      <w:sz w:val="24"/>
      <w:szCs w:val="22"/>
      <w:lang w:eastAsia="en-US"/>
    </w:rPr>
  </w:style>
  <w:style w:type="paragraph" w:styleId="TOC2">
    <w:name w:val="toc 2"/>
    <w:basedOn w:val="Normal"/>
    <w:next w:val="Normal"/>
    <w:autoRedefine/>
    <w:uiPriority w:val="39"/>
    <w:unhideWhenUsed/>
    <w:rsid w:val="003C7665"/>
    <w:pPr>
      <w:tabs>
        <w:tab w:val="right" w:leader="dot" w:pos="9040"/>
      </w:tabs>
      <w:spacing w:after="120" w:line="259" w:lineRule="auto"/>
      <w:ind w:left="220" w:firstLine="64"/>
      <w:jc w:val="both"/>
    </w:pPr>
    <w:rPr>
      <w:rFonts w:ascii="Times New Roman" w:eastAsiaTheme="minorHAnsi" w:hAnsi="Times New Roman" w:cstheme="minorBidi"/>
      <w:sz w:val="24"/>
      <w:szCs w:val="22"/>
      <w:lang w:eastAsia="en-US"/>
    </w:rPr>
  </w:style>
  <w:style w:type="paragraph" w:customStyle="1" w:styleId="m4351358794251702603msolistparagraph">
    <w:name w:val="m_4351358794251702603msolistparagraph"/>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C7665"/>
    <w:pPr>
      <w:spacing w:after="120" w:line="480" w:lineRule="auto"/>
      <w:jc w:val="both"/>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uiPriority w:val="99"/>
    <w:semiHidden/>
    <w:rsid w:val="003C7665"/>
    <w:rPr>
      <w:kern w:val="0"/>
      <w:sz w:val="22"/>
      <w:szCs w:val="22"/>
      <w14:ligatures w14:val="none"/>
    </w:rPr>
  </w:style>
  <w:style w:type="paragraph" w:customStyle="1" w:styleId="Tableau">
    <w:name w:val="Tableau"/>
    <w:basedOn w:val="Normal"/>
    <w:qFormat/>
    <w:rsid w:val="003C7665"/>
    <w:pPr>
      <w:spacing w:after="120"/>
      <w:jc w:val="both"/>
    </w:pPr>
    <w:rPr>
      <w:rFonts w:cs="Times New Roman"/>
      <w:lang w:val="fr-CA" w:eastAsia="en-US"/>
    </w:rPr>
  </w:style>
  <w:style w:type="paragraph" w:customStyle="1" w:styleId="Textetableau">
    <w:name w:val="Texte tableau"/>
    <w:basedOn w:val="Normal"/>
    <w:rsid w:val="003C7665"/>
    <w:pPr>
      <w:autoSpaceDE w:val="0"/>
      <w:autoSpaceDN w:val="0"/>
      <w:adjustRightInd w:val="0"/>
      <w:jc w:val="both"/>
    </w:pPr>
    <w:rPr>
      <w:rFonts w:ascii="Tms Rmn" w:eastAsia="Times New Roman" w:hAnsi="Tms Rmn" w:cs="Times New Roman"/>
      <w:sz w:val="24"/>
      <w:szCs w:val="24"/>
    </w:rPr>
  </w:style>
  <w:style w:type="paragraph" w:customStyle="1" w:styleId="Texte">
    <w:name w:val="Texte"/>
    <w:basedOn w:val="Normal"/>
    <w:rsid w:val="003C7665"/>
    <w:pPr>
      <w:autoSpaceDE w:val="0"/>
      <w:autoSpaceDN w:val="0"/>
      <w:adjustRightInd w:val="0"/>
      <w:spacing w:before="141"/>
      <w:jc w:val="both"/>
    </w:pPr>
    <w:rPr>
      <w:rFonts w:ascii="Tms Rmn" w:eastAsia="Times New Roman" w:hAnsi="Tms Rmn" w:cs="Times New Roman"/>
      <w:sz w:val="24"/>
      <w:szCs w:val="24"/>
    </w:rPr>
  </w:style>
  <w:style w:type="paragraph" w:customStyle="1" w:styleId="Textepardfaut1">
    <w:name w:val="Texte par défaut:1"/>
    <w:basedOn w:val="Normal"/>
    <w:rsid w:val="003C7665"/>
    <w:pPr>
      <w:autoSpaceDE w:val="0"/>
      <w:autoSpaceDN w:val="0"/>
      <w:adjustRightInd w:val="0"/>
      <w:jc w:val="both"/>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7665"/>
    <w:pPr>
      <w:tabs>
        <w:tab w:val="left" w:pos="1320"/>
        <w:tab w:val="right" w:leader="dot" w:pos="9040"/>
      </w:tabs>
      <w:spacing w:after="120" w:line="259" w:lineRule="auto"/>
      <w:ind w:firstLine="284"/>
      <w:jc w:val="both"/>
    </w:pPr>
    <w:rPr>
      <w:rFonts w:ascii="Times New Roman" w:eastAsiaTheme="minorHAnsi" w:hAnsi="Times New Roman" w:cstheme="minorBidi"/>
      <w:sz w:val="24"/>
      <w:szCs w:val="22"/>
      <w:lang w:eastAsia="en-US"/>
    </w:rPr>
  </w:style>
  <w:style w:type="paragraph" w:styleId="TOC4">
    <w:name w:val="toc 4"/>
    <w:basedOn w:val="Normal"/>
    <w:next w:val="Normal"/>
    <w:autoRedefine/>
    <w:uiPriority w:val="39"/>
    <w:unhideWhenUsed/>
    <w:rsid w:val="003C7665"/>
    <w:pPr>
      <w:spacing w:after="100" w:line="259" w:lineRule="auto"/>
      <w:ind w:left="660"/>
      <w:jc w:val="both"/>
    </w:pPr>
    <w:rPr>
      <w:rFonts w:ascii="Times New Roman" w:eastAsiaTheme="minorHAnsi" w:hAnsi="Times New Roman" w:cstheme="minorBidi"/>
      <w:sz w:val="24"/>
      <w:szCs w:val="22"/>
      <w:lang w:eastAsia="en-US"/>
    </w:rPr>
  </w:style>
  <w:style w:type="character" w:styleId="PlaceholderText">
    <w:name w:val="Placeholder Text"/>
    <w:basedOn w:val="DefaultParagraphFont"/>
    <w:uiPriority w:val="99"/>
    <w:semiHidden/>
    <w:rsid w:val="003C7665"/>
    <w:rPr>
      <w:color w:val="808080"/>
    </w:rPr>
  </w:style>
  <w:style w:type="character" w:styleId="Strong">
    <w:name w:val="Strong"/>
    <w:basedOn w:val="DefaultParagraphFont"/>
    <w:uiPriority w:val="22"/>
    <w:qFormat/>
    <w:rsid w:val="003C7665"/>
    <w:rPr>
      <w:b/>
      <w:bCs/>
    </w:rPr>
  </w:style>
  <w:style w:type="character" w:customStyle="1" w:styleId="a">
    <w:name w:val="_"/>
    <w:basedOn w:val="DefaultParagraphFont"/>
    <w:rsid w:val="003C7665"/>
  </w:style>
  <w:style w:type="character" w:customStyle="1" w:styleId="ff2">
    <w:name w:val="ff2"/>
    <w:basedOn w:val="DefaultParagraphFont"/>
    <w:rsid w:val="003C7665"/>
  </w:style>
  <w:style w:type="character" w:customStyle="1" w:styleId="ff3">
    <w:name w:val="ff3"/>
    <w:basedOn w:val="DefaultParagraphFont"/>
    <w:rsid w:val="003C7665"/>
  </w:style>
  <w:style w:type="character" w:customStyle="1" w:styleId="ff4">
    <w:name w:val="ff4"/>
    <w:basedOn w:val="DefaultParagraphFont"/>
    <w:rsid w:val="003C7665"/>
  </w:style>
  <w:style w:type="character" w:customStyle="1" w:styleId="fs1">
    <w:name w:val="fs1"/>
    <w:basedOn w:val="DefaultParagraphFont"/>
    <w:rsid w:val="003C7665"/>
  </w:style>
  <w:style w:type="character" w:customStyle="1" w:styleId="wsa">
    <w:name w:val="wsa"/>
    <w:basedOn w:val="DefaultParagraphFont"/>
    <w:rsid w:val="003C7665"/>
  </w:style>
  <w:style w:type="character" w:customStyle="1" w:styleId="nowrap">
    <w:name w:val="nowrap"/>
    <w:basedOn w:val="DefaultParagraphFont"/>
    <w:rsid w:val="003C7665"/>
  </w:style>
  <w:style w:type="character" w:styleId="FollowedHyperlink">
    <w:name w:val="FollowedHyperlink"/>
    <w:basedOn w:val="DefaultParagraphFont"/>
    <w:uiPriority w:val="99"/>
    <w:semiHidden/>
    <w:unhideWhenUsed/>
    <w:rsid w:val="003C7665"/>
    <w:rPr>
      <w:color w:val="954F72" w:themeColor="followedHyperlink"/>
      <w:u w:val="single"/>
    </w:rPr>
  </w:style>
  <w:style w:type="character" w:customStyle="1" w:styleId="auteurs">
    <w:name w:val="auteurs"/>
    <w:basedOn w:val="DefaultParagraphFont"/>
    <w:rsid w:val="003C7665"/>
  </w:style>
  <w:style w:type="character" w:customStyle="1" w:styleId="auteurird">
    <w:name w:val="auteurird"/>
    <w:basedOn w:val="DefaultParagraphFont"/>
    <w:rsid w:val="003C7665"/>
  </w:style>
  <w:style w:type="character" w:customStyle="1" w:styleId="envaleur">
    <w:name w:val="envaleur"/>
    <w:basedOn w:val="DefaultParagraphFont"/>
    <w:rsid w:val="003C7665"/>
  </w:style>
  <w:style w:type="paragraph" w:customStyle="1" w:styleId="footnote">
    <w:name w:val="footnote"/>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paragraph" w:customStyle="1" w:styleId="texte0">
    <w:name w:val="texte"/>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character" w:customStyle="1" w:styleId="paranumber">
    <w:name w:val="paranumber"/>
    <w:basedOn w:val="DefaultParagraphFont"/>
    <w:rsid w:val="003C7665"/>
  </w:style>
  <w:style w:type="character" w:customStyle="1" w:styleId="ff5">
    <w:name w:val="ff5"/>
    <w:basedOn w:val="DefaultParagraphFont"/>
    <w:rsid w:val="003C7665"/>
  </w:style>
  <w:style w:type="character" w:customStyle="1" w:styleId="Mentionnonrsolue1">
    <w:name w:val="Mention non résolue1"/>
    <w:basedOn w:val="DefaultParagraphFont"/>
    <w:uiPriority w:val="99"/>
    <w:semiHidden/>
    <w:unhideWhenUsed/>
    <w:rsid w:val="003C7665"/>
    <w:rPr>
      <w:color w:val="605E5C"/>
      <w:shd w:val="clear" w:color="auto" w:fill="E1DFDD"/>
    </w:rPr>
  </w:style>
  <w:style w:type="character" w:customStyle="1" w:styleId="citation">
    <w:name w:val="citation"/>
    <w:basedOn w:val="DefaultParagraphFont"/>
    <w:rsid w:val="003C7665"/>
  </w:style>
  <w:style w:type="character" w:customStyle="1" w:styleId="mw-headline">
    <w:name w:val="mw-headline"/>
    <w:basedOn w:val="DefaultParagraphFont"/>
    <w:rsid w:val="003C7665"/>
  </w:style>
  <w:style w:type="character" w:customStyle="1" w:styleId="mw-editsection">
    <w:name w:val="mw-editsection"/>
    <w:basedOn w:val="DefaultParagraphFont"/>
    <w:rsid w:val="003C7665"/>
  </w:style>
  <w:style w:type="character" w:customStyle="1" w:styleId="mw-editsection-bracket">
    <w:name w:val="mw-editsection-bracket"/>
    <w:basedOn w:val="DefaultParagraphFont"/>
    <w:rsid w:val="003C7665"/>
  </w:style>
  <w:style w:type="character" w:customStyle="1" w:styleId="mw-editsection-divider">
    <w:name w:val="mw-editsection-divider"/>
    <w:basedOn w:val="DefaultParagraphFont"/>
    <w:rsid w:val="003C7665"/>
  </w:style>
  <w:style w:type="character" w:customStyle="1" w:styleId="italique">
    <w:name w:val="italique"/>
    <w:basedOn w:val="DefaultParagraphFont"/>
    <w:rsid w:val="003C7665"/>
  </w:style>
  <w:style w:type="character" w:styleId="HTMLCode">
    <w:name w:val="HTML Code"/>
    <w:basedOn w:val="DefaultParagraphFont"/>
    <w:uiPriority w:val="99"/>
    <w:semiHidden/>
    <w:unhideWhenUsed/>
    <w:rsid w:val="003C7665"/>
    <w:rPr>
      <w:rFonts w:ascii="Courier New" w:eastAsia="Times New Roman" w:hAnsi="Courier New" w:cs="Courier New"/>
      <w:sz w:val="20"/>
      <w:szCs w:val="20"/>
    </w:rPr>
  </w:style>
  <w:style w:type="character" w:customStyle="1" w:styleId="identifier">
    <w:name w:val="identifier"/>
    <w:basedOn w:val="DefaultParagraphFont"/>
    <w:rsid w:val="003C7665"/>
  </w:style>
  <w:style w:type="character" w:customStyle="1" w:styleId="paren">
    <w:name w:val="paren"/>
    <w:basedOn w:val="DefaultParagraphFont"/>
    <w:rsid w:val="003C7665"/>
  </w:style>
  <w:style w:type="character" w:customStyle="1" w:styleId="title-text">
    <w:name w:val="title-text"/>
    <w:basedOn w:val="DefaultParagraphFont"/>
    <w:rsid w:val="003C7665"/>
  </w:style>
  <w:style w:type="character" w:customStyle="1" w:styleId="sr-only">
    <w:name w:val="sr-only"/>
    <w:basedOn w:val="DefaultParagraphFont"/>
    <w:rsid w:val="003C7665"/>
  </w:style>
  <w:style w:type="character" w:customStyle="1" w:styleId="text">
    <w:name w:val="text"/>
    <w:basedOn w:val="DefaultParagraphFont"/>
    <w:rsid w:val="003C7665"/>
  </w:style>
  <w:style w:type="character" w:customStyle="1" w:styleId="author-ref">
    <w:name w:val="author-ref"/>
    <w:basedOn w:val="DefaultParagraphFont"/>
    <w:rsid w:val="003C7665"/>
  </w:style>
  <w:style w:type="character" w:customStyle="1" w:styleId="nlmarticle-title">
    <w:name w:val="nlm_article-title"/>
    <w:basedOn w:val="DefaultParagraphFont"/>
    <w:rsid w:val="003C7665"/>
  </w:style>
  <w:style w:type="character" w:customStyle="1" w:styleId="contribdegrees">
    <w:name w:val="contribdegrees"/>
    <w:basedOn w:val="DefaultParagraphFont"/>
    <w:rsid w:val="003C7665"/>
  </w:style>
  <w:style w:type="paragraph" w:customStyle="1" w:styleId="u-mb-2">
    <w:name w:val="u-mb-2"/>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character" w:customStyle="1" w:styleId="authorsname">
    <w:name w:val="authors__name"/>
    <w:basedOn w:val="DefaultParagraphFont"/>
    <w:rsid w:val="003C7665"/>
  </w:style>
  <w:style w:type="character" w:customStyle="1" w:styleId="author">
    <w:name w:val="author"/>
    <w:basedOn w:val="DefaultParagraphFont"/>
    <w:rsid w:val="003C7665"/>
  </w:style>
  <w:style w:type="character" w:customStyle="1" w:styleId="pubyear">
    <w:name w:val="pubyear"/>
    <w:basedOn w:val="DefaultParagraphFont"/>
    <w:rsid w:val="003C7665"/>
  </w:style>
  <w:style w:type="character" w:customStyle="1" w:styleId="booktitle">
    <w:name w:val="booktitle"/>
    <w:basedOn w:val="DefaultParagraphFont"/>
    <w:rsid w:val="003C7665"/>
  </w:style>
  <w:style w:type="character" w:styleId="HTMLCite">
    <w:name w:val="HTML Cite"/>
    <w:basedOn w:val="DefaultParagraphFont"/>
    <w:uiPriority w:val="99"/>
    <w:semiHidden/>
    <w:unhideWhenUsed/>
    <w:rsid w:val="003C7665"/>
    <w:rPr>
      <w:i/>
      <w:iCs/>
    </w:rPr>
  </w:style>
  <w:style w:type="paragraph" w:customStyle="1" w:styleId="c-author-listitem">
    <w:name w:val="c-author-list__item"/>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paragraph" w:customStyle="1" w:styleId="c-article-info-details">
    <w:name w:val="c-article-info-details"/>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character" w:customStyle="1" w:styleId="u-visually-hidden">
    <w:name w:val="u-visually-hidden"/>
    <w:basedOn w:val="DefaultParagraphFont"/>
    <w:rsid w:val="003C7665"/>
  </w:style>
  <w:style w:type="character" w:customStyle="1" w:styleId="epub-state">
    <w:name w:val="epub-state"/>
    <w:basedOn w:val="DefaultParagraphFont"/>
    <w:rsid w:val="003C7665"/>
  </w:style>
  <w:style w:type="character" w:customStyle="1" w:styleId="epub-date">
    <w:name w:val="epub-date"/>
    <w:basedOn w:val="DefaultParagraphFont"/>
    <w:rsid w:val="003C7665"/>
  </w:style>
  <w:style w:type="character" w:customStyle="1" w:styleId="Mentionnonrsolue2">
    <w:name w:val="Mention non résolue2"/>
    <w:basedOn w:val="DefaultParagraphFont"/>
    <w:uiPriority w:val="99"/>
    <w:semiHidden/>
    <w:unhideWhenUsed/>
    <w:rsid w:val="003C7665"/>
    <w:rPr>
      <w:color w:val="605E5C"/>
      <w:shd w:val="clear" w:color="auto" w:fill="E1DFDD"/>
    </w:rPr>
  </w:style>
  <w:style w:type="character" w:customStyle="1" w:styleId="citationpage-range">
    <w:name w:val="citation__page-range"/>
    <w:basedOn w:val="DefaultParagraphFont"/>
    <w:rsid w:val="003C7665"/>
  </w:style>
  <w:style w:type="paragraph" w:customStyle="1" w:styleId="bodytext0">
    <w:name w:val="bodytext"/>
    <w:basedOn w:val="Normal"/>
    <w:rsid w:val="003C7665"/>
    <w:pPr>
      <w:spacing w:before="100" w:beforeAutospacing="1" w:after="100" w:afterAutospacing="1"/>
    </w:pPr>
    <w:rPr>
      <w:rFonts w:ascii="Times New Roman" w:eastAsia="Times New Roman" w:hAnsi="Times New Roman" w:cs="Times New Roman"/>
      <w:sz w:val="24"/>
      <w:szCs w:val="24"/>
    </w:rPr>
  </w:style>
  <w:style w:type="character" w:customStyle="1" w:styleId="optxtulglos">
    <w:name w:val="op_txt_ul_glos"/>
    <w:basedOn w:val="DefaultParagraphFont"/>
    <w:rsid w:val="003C7665"/>
  </w:style>
  <w:style w:type="paragraph" w:customStyle="1" w:styleId="optxtp">
    <w:name w:val="op_txt_p"/>
    <w:basedOn w:val="Normal"/>
    <w:rsid w:val="003C7665"/>
    <w:pPr>
      <w:spacing w:before="100" w:beforeAutospacing="1" w:after="100" w:afterAutospacing="1"/>
    </w:pPr>
    <w:rPr>
      <w:rFonts w:ascii="Times New Roman" w:eastAsia="Times New Roman" w:hAnsi="Times New Roman" w:cs="Times New Roman"/>
      <w:sz w:val="24"/>
      <w:szCs w:val="24"/>
    </w:rPr>
  </w:style>
  <w:style w:type="character" w:customStyle="1" w:styleId="opbibtxttltitle">
    <w:name w:val="op_bibtxt_tl_title"/>
    <w:basedOn w:val="DefaultParagraphFont"/>
    <w:rsid w:val="003C7665"/>
  </w:style>
  <w:style w:type="character" w:customStyle="1" w:styleId="Mentionnonrsolue3">
    <w:name w:val="Mention non résolue3"/>
    <w:basedOn w:val="DefaultParagraphFont"/>
    <w:uiPriority w:val="99"/>
    <w:semiHidden/>
    <w:unhideWhenUsed/>
    <w:rsid w:val="003C7665"/>
    <w:rPr>
      <w:color w:val="605E5C"/>
      <w:shd w:val="clear" w:color="auto" w:fill="E1DFDD"/>
    </w:rPr>
  </w:style>
  <w:style w:type="character" w:customStyle="1" w:styleId="DefaultCar">
    <w:name w:val="Default Car"/>
    <w:link w:val="Default"/>
    <w:rsid w:val="003C7665"/>
    <w:rPr>
      <w:rFonts w:ascii="Arial" w:hAnsi="Arial" w:cs="Arial"/>
      <w:color w:val="000000"/>
      <w:kern w:val="0"/>
      <w14:ligatures w14:val="none"/>
    </w:rPr>
  </w:style>
  <w:style w:type="numbering" w:customStyle="1" w:styleId="Style1">
    <w:name w:val="Style1"/>
    <w:uiPriority w:val="99"/>
    <w:rsid w:val="003C7665"/>
    <w:pPr>
      <w:numPr>
        <w:numId w:val="4"/>
      </w:numPr>
    </w:pPr>
  </w:style>
  <w:style w:type="numbering" w:customStyle="1" w:styleId="Style2">
    <w:name w:val="Style2"/>
    <w:uiPriority w:val="99"/>
    <w:rsid w:val="003C7665"/>
    <w:pPr>
      <w:numPr>
        <w:numId w:val="5"/>
      </w:numPr>
    </w:pPr>
  </w:style>
  <w:style w:type="numbering" w:customStyle="1" w:styleId="Style3">
    <w:name w:val="Style3"/>
    <w:uiPriority w:val="99"/>
    <w:rsid w:val="003C7665"/>
    <w:pPr>
      <w:numPr>
        <w:numId w:val="6"/>
      </w:numPr>
    </w:pPr>
  </w:style>
  <w:style w:type="numbering" w:customStyle="1" w:styleId="Style4">
    <w:name w:val="Style4"/>
    <w:uiPriority w:val="99"/>
    <w:rsid w:val="003C7665"/>
    <w:pPr>
      <w:numPr>
        <w:numId w:val="7"/>
      </w:numPr>
    </w:pPr>
  </w:style>
  <w:style w:type="numbering" w:customStyle="1" w:styleId="Style5">
    <w:name w:val="Style5"/>
    <w:uiPriority w:val="99"/>
    <w:rsid w:val="003C7665"/>
    <w:pPr>
      <w:numPr>
        <w:numId w:val="8"/>
      </w:numPr>
    </w:pPr>
  </w:style>
  <w:style w:type="numbering" w:customStyle="1" w:styleId="Style6">
    <w:name w:val="Style6"/>
    <w:uiPriority w:val="99"/>
    <w:rsid w:val="003C7665"/>
    <w:pPr>
      <w:numPr>
        <w:numId w:val="9"/>
      </w:numPr>
    </w:pPr>
  </w:style>
  <w:style w:type="numbering" w:customStyle="1" w:styleId="Style7">
    <w:name w:val="Style7"/>
    <w:uiPriority w:val="99"/>
    <w:rsid w:val="003C7665"/>
    <w:pPr>
      <w:numPr>
        <w:numId w:val="10"/>
      </w:numPr>
    </w:pPr>
  </w:style>
  <w:style w:type="numbering" w:customStyle="1" w:styleId="Style8">
    <w:name w:val="Style8"/>
    <w:uiPriority w:val="99"/>
    <w:rsid w:val="003C7665"/>
    <w:pPr>
      <w:numPr>
        <w:numId w:val="11"/>
      </w:numPr>
    </w:pPr>
  </w:style>
  <w:style w:type="numbering" w:customStyle="1" w:styleId="Style9">
    <w:name w:val="Style9"/>
    <w:uiPriority w:val="99"/>
    <w:rsid w:val="003C7665"/>
    <w:pPr>
      <w:numPr>
        <w:numId w:val="12"/>
      </w:numPr>
    </w:pPr>
  </w:style>
  <w:style w:type="numbering" w:customStyle="1" w:styleId="Style10">
    <w:name w:val="Style10"/>
    <w:uiPriority w:val="99"/>
    <w:rsid w:val="003C7665"/>
    <w:pPr>
      <w:numPr>
        <w:numId w:val="13"/>
      </w:numPr>
    </w:pPr>
  </w:style>
  <w:style w:type="numbering" w:customStyle="1" w:styleId="Style11">
    <w:name w:val="Style11"/>
    <w:uiPriority w:val="99"/>
    <w:rsid w:val="003C7665"/>
    <w:pPr>
      <w:numPr>
        <w:numId w:val="14"/>
      </w:numPr>
    </w:pPr>
  </w:style>
  <w:style w:type="numbering" w:customStyle="1" w:styleId="Style12">
    <w:name w:val="Style12"/>
    <w:uiPriority w:val="99"/>
    <w:rsid w:val="003C7665"/>
    <w:pPr>
      <w:numPr>
        <w:numId w:val="15"/>
      </w:numPr>
    </w:pPr>
  </w:style>
  <w:style w:type="numbering" w:customStyle="1" w:styleId="Style13">
    <w:name w:val="Style13"/>
    <w:uiPriority w:val="99"/>
    <w:rsid w:val="003C7665"/>
    <w:pPr>
      <w:numPr>
        <w:numId w:val="16"/>
      </w:numPr>
    </w:pPr>
  </w:style>
  <w:style w:type="numbering" w:customStyle="1" w:styleId="Style14">
    <w:name w:val="Style14"/>
    <w:uiPriority w:val="99"/>
    <w:rsid w:val="003C7665"/>
    <w:pPr>
      <w:numPr>
        <w:numId w:val="17"/>
      </w:numPr>
    </w:pPr>
  </w:style>
  <w:style w:type="numbering" w:customStyle="1" w:styleId="Style15">
    <w:name w:val="Style15"/>
    <w:uiPriority w:val="99"/>
    <w:rsid w:val="003C7665"/>
    <w:pPr>
      <w:numPr>
        <w:numId w:val="18"/>
      </w:numPr>
    </w:pPr>
  </w:style>
  <w:style w:type="numbering" w:customStyle="1" w:styleId="Style16">
    <w:name w:val="Style16"/>
    <w:uiPriority w:val="99"/>
    <w:rsid w:val="003C7665"/>
    <w:pPr>
      <w:numPr>
        <w:numId w:val="19"/>
      </w:numPr>
    </w:pPr>
  </w:style>
  <w:style w:type="numbering" w:customStyle="1" w:styleId="Style17">
    <w:name w:val="Style17"/>
    <w:uiPriority w:val="99"/>
    <w:rsid w:val="003C7665"/>
    <w:pPr>
      <w:numPr>
        <w:numId w:val="20"/>
      </w:numPr>
    </w:pPr>
  </w:style>
  <w:style w:type="numbering" w:customStyle="1" w:styleId="Style18">
    <w:name w:val="Style18"/>
    <w:uiPriority w:val="99"/>
    <w:rsid w:val="003C7665"/>
    <w:pPr>
      <w:numPr>
        <w:numId w:val="21"/>
      </w:numPr>
    </w:pPr>
  </w:style>
  <w:style w:type="numbering" w:customStyle="1" w:styleId="Style19">
    <w:name w:val="Style19"/>
    <w:uiPriority w:val="99"/>
    <w:rsid w:val="003C7665"/>
    <w:pPr>
      <w:numPr>
        <w:numId w:val="22"/>
      </w:numPr>
    </w:pPr>
  </w:style>
  <w:style w:type="numbering" w:customStyle="1" w:styleId="Style20">
    <w:name w:val="Style20"/>
    <w:uiPriority w:val="99"/>
    <w:rsid w:val="003C7665"/>
    <w:pPr>
      <w:numPr>
        <w:numId w:val="23"/>
      </w:numPr>
    </w:pPr>
  </w:style>
  <w:style w:type="numbering" w:customStyle="1" w:styleId="Style21">
    <w:name w:val="Style21"/>
    <w:uiPriority w:val="99"/>
    <w:rsid w:val="003C7665"/>
    <w:pPr>
      <w:numPr>
        <w:numId w:val="24"/>
      </w:numPr>
    </w:pPr>
  </w:style>
  <w:style w:type="numbering" w:customStyle="1" w:styleId="Style22">
    <w:name w:val="Style22"/>
    <w:uiPriority w:val="99"/>
    <w:rsid w:val="003C7665"/>
    <w:pPr>
      <w:numPr>
        <w:numId w:val="25"/>
      </w:numPr>
    </w:pPr>
  </w:style>
  <w:style w:type="numbering" w:customStyle="1" w:styleId="Style23">
    <w:name w:val="Style23"/>
    <w:uiPriority w:val="99"/>
    <w:rsid w:val="003C7665"/>
    <w:pPr>
      <w:numPr>
        <w:numId w:val="26"/>
      </w:numPr>
    </w:pPr>
  </w:style>
  <w:style w:type="numbering" w:customStyle="1" w:styleId="Style24">
    <w:name w:val="Style24"/>
    <w:uiPriority w:val="99"/>
    <w:rsid w:val="003C7665"/>
    <w:pPr>
      <w:numPr>
        <w:numId w:val="27"/>
      </w:numPr>
    </w:pPr>
  </w:style>
  <w:style w:type="numbering" w:customStyle="1" w:styleId="Style25">
    <w:name w:val="Style25"/>
    <w:uiPriority w:val="99"/>
    <w:rsid w:val="003C7665"/>
    <w:pPr>
      <w:numPr>
        <w:numId w:val="28"/>
      </w:numPr>
    </w:pPr>
  </w:style>
  <w:style w:type="paragraph" w:styleId="TOC5">
    <w:name w:val="toc 5"/>
    <w:basedOn w:val="Normal"/>
    <w:next w:val="Normal"/>
    <w:autoRedefine/>
    <w:uiPriority w:val="39"/>
    <w:unhideWhenUsed/>
    <w:rsid w:val="003C7665"/>
    <w:pPr>
      <w:tabs>
        <w:tab w:val="right" w:leader="dot" w:pos="9040"/>
      </w:tabs>
      <w:spacing w:after="120" w:line="259" w:lineRule="auto"/>
    </w:pPr>
    <w:rPr>
      <w:rFonts w:ascii="Times New Roman" w:eastAsiaTheme="minorEastAsia" w:hAnsi="Times New Roman" w:cs="Times New Roman"/>
      <w:noProof/>
      <w:sz w:val="24"/>
      <w:szCs w:val="24"/>
    </w:rPr>
  </w:style>
  <w:style w:type="paragraph" w:styleId="TOC6">
    <w:name w:val="toc 6"/>
    <w:basedOn w:val="Normal"/>
    <w:next w:val="Normal"/>
    <w:autoRedefine/>
    <w:uiPriority w:val="39"/>
    <w:unhideWhenUsed/>
    <w:rsid w:val="003C76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C76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C76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C7665"/>
    <w:pPr>
      <w:spacing w:after="100" w:line="259" w:lineRule="auto"/>
      <w:ind w:left="1760"/>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3C7665"/>
    <w:pPr>
      <w:spacing w:after="200"/>
      <w:ind w:right="-113"/>
      <w:jc w:val="both"/>
    </w:pPr>
    <w:rPr>
      <w:rFonts w:asciiTheme="minorHAnsi" w:eastAsiaTheme="minorHAnsi" w:hAnsiTheme="minorHAnsi" w:cstheme="minorBidi"/>
      <w:i/>
      <w:iCs/>
      <w:color w:val="44546A" w:themeColor="text2"/>
      <w:sz w:val="18"/>
      <w:szCs w:val="18"/>
      <w:lang w:eastAsia="en-US"/>
    </w:rPr>
  </w:style>
  <w:style w:type="paragraph" w:styleId="TableofFigures">
    <w:name w:val="table of figures"/>
    <w:basedOn w:val="Normal"/>
    <w:next w:val="Normal"/>
    <w:uiPriority w:val="99"/>
    <w:unhideWhenUsed/>
    <w:rsid w:val="003C7665"/>
    <w:pPr>
      <w:spacing w:line="360" w:lineRule="auto"/>
      <w:ind w:right="-113"/>
      <w:jc w:val="both"/>
    </w:pPr>
    <w:rPr>
      <w:rFonts w:asciiTheme="minorHAnsi" w:eastAsiaTheme="minorHAnsi" w:hAnsiTheme="minorHAnsi" w:cstheme="minorBidi"/>
      <w:sz w:val="22"/>
      <w:szCs w:val="22"/>
      <w:lang w:eastAsia="en-US"/>
    </w:rPr>
  </w:style>
  <w:style w:type="character" w:customStyle="1" w:styleId="hgkelc">
    <w:name w:val="hgkelc"/>
    <w:basedOn w:val="DefaultParagraphFont"/>
    <w:rsid w:val="003C7665"/>
  </w:style>
  <w:style w:type="character" w:styleId="UnresolvedMention">
    <w:name w:val="Unresolved Mention"/>
    <w:basedOn w:val="DefaultParagraphFont"/>
    <w:uiPriority w:val="99"/>
    <w:semiHidden/>
    <w:unhideWhenUsed/>
    <w:rsid w:val="001308AE"/>
    <w:rPr>
      <w:color w:val="605E5C"/>
      <w:shd w:val="clear" w:color="auto" w:fill="E1DFDD"/>
    </w:rPr>
  </w:style>
  <w:style w:type="paragraph" w:customStyle="1" w:styleId="qowt-stl-body">
    <w:name w:val="qowt-stl-body"/>
    <w:basedOn w:val="Normal"/>
    <w:rsid w:val="002353E1"/>
    <w:pPr>
      <w:spacing w:before="100" w:beforeAutospacing="1" w:after="100" w:afterAutospacing="1"/>
    </w:pPr>
    <w:rPr>
      <w:rFonts w:ascii="Times New Roman" w:eastAsia="Times New Roman" w:hAnsi="Times New Roman" w:cs="Times New Roman"/>
      <w:sz w:val="24"/>
      <w:szCs w:val="24"/>
    </w:rPr>
  </w:style>
  <w:style w:type="character" w:customStyle="1" w:styleId="qowt-font6-arial">
    <w:name w:val="qowt-font6-arial"/>
    <w:basedOn w:val="DefaultParagraphFont"/>
    <w:rsid w:val="00235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16762">
      <w:bodyDiv w:val="1"/>
      <w:marLeft w:val="0"/>
      <w:marRight w:val="0"/>
      <w:marTop w:val="0"/>
      <w:marBottom w:val="0"/>
      <w:divBdr>
        <w:top w:val="none" w:sz="0" w:space="0" w:color="auto"/>
        <w:left w:val="none" w:sz="0" w:space="0" w:color="auto"/>
        <w:bottom w:val="none" w:sz="0" w:space="0" w:color="auto"/>
        <w:right w:val="none" w:sz="0" w:space="0" w:color="auto"/>
      </w:divBdr>
    </w:div>
    <w:div w:id="1678075941">
      <w:bodyDiv w:val="1"/>
      <w:marLeft w:val="0"/>
      <w:marRight w:val="0"/>
      <w:marTop w:val="0"/>
      <w:marBottom w:val="0"/>
      <w:divBdr>
        <w:top w:val="none" w:sz="0" w:space="0" w:color="auto"/>
        <w:left w:val="none" w:sz="0" w:space="0" w:color="auto"/>
        <w:bottom w:val="none" w:sz="0" w:space="0" w:color="auto"/>
        <w:right w:val="none" w:sz="0" w:space="0" w:color="auto"/>
      </w:divBdr>
    </w:div>
    <w:div w:id="17782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61-019-0484-6" TargetMode="External"/><Relationship Id="rId18" Type="http://schemas.openxmlformats.org/officeDocument/2006/relationships/hyperlink" Target="https://doi.org/10.1111/j.1365-2486.2007.01478.x" TargetMode="External"/><Relationship Id="rId26" Type="http://schemas.openxmlformats.org/officeDocument/2006/relationships/hyperlink" Target="https://doi.org/10.2136/sssaj2013.09.0412" TargetMode="External"/><Relationship Id="rId39" Type="http://schemas.openxmlformats.org/officeDocument/2006/relationships/fontTable" Target="fontTable.xml"/><Relationship Id="rId21" Type="http://schemas.openxmlformats.org/officeDocument/2006/relationships/hyperlink" Target="https://doi.org/10.1111/j.1469-8137.2004.01201.x"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horizon.documentation.ird.fr/exl-doc/pleins_textes/cahiers/pedologie/00900.pdf" TargetMode="External"/><Relationship Id="rId17" Type="http://schemas.openxmlformats.org/officeDocument/2006/relationships/hyperlink" Target="http://www.fao.org/docrep/015/an762e/an762e.pdf" TargetMode="External"/><Relationship Id="rId25" Type="http://schemas.openxmlformats.org/officeDocument/2006/relationships/hyperlink" Target="https://doi.org/10.1023/B:AGFO.0000029005.92691.7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fao.org/3/y5030f/y5030f00.htm" TargetMode="External"/><Relationship Id="rId20" Type="http://schemas.openxmlformats.org/officeDocument/2006/relationships/hyperlink" Target="https://doi.org/10.1016/j.still.2021.104943" TargetMode="External"/><Relationship Id="rId29" Type="http://schemas.openxmlformats.org/officeDocument/2006/relationships/hyperlink" Target="https://doi.org/10.1111/gcb.148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893-020-0491-z" TargetMode="External"/><Relationship Id="rId24" Type="http://schemas.openxmlformats.org/officeDocument/2006/relationships/hyperlink" Target="https://doi.org/10.1016/j.apsoil.2010.10.006" TargetMode="External"/><Relationship Id="rId32" Type="http://schemas.openxmlformats.org/officeDocument/2006/relationships/hyperlink" Target="https://doi.org/10.4060/i3794e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pe.fr/sommaire/2007-t100-3-sommaire-resumes-et-textes-complets/" TargetMode="External"/><Relationship Id="rId23" Type="http://schemas.openxmlformats.org/officeDocument/2006/relationships/hyperlink" Target="https://doi.org/10.1038/nature16069" TargetMode="External"/><Relationship Id="rId28" Type="http://schemas.openxmlformats.org/officeDocument/2006/relationships/hyperlink" Target="https://doi.org/10.1051/agro:2005041" TargetMode="External"/><Relationship Id="rId36" Type="http://schemas.openxmlformats.org/officeDocument/2006/relationships/footer" Target="footer2.xml"/><Relationship Id="rId10" Type="http://schemas.openxmlformats.org/officeDocument/2006/relationships/hyperlink" Target="https://doi.org/10.1051/agro:2005055" TargetMode="External"/><Relationship Id="rId19" Type="http://schemas.openxmlformats.org/officeDocument/2006/relationships/hyperlink" Target="https://agritrop.cirad.fr/529000/" TargetMode="External"/><Relationship Id="rId31" Type="http://schemas.openxmlformats.org/officeDocument/2006/relationships/hyperlink" Target="https://doi.org/10.1007/978-3-319-26777-7_4" TargetMode="External"/><Relationship Id="rId4" Type="http://schemas.openxmlformats.org/officeDocument/2006/relationships/webSettings" Target="webSettings.xml"/><Relationship Id="rId9" Type="http://schemas.openxmlformats.org/officeDocument/2006/relationships/hyperlink" Target="http://www.fao.org/3/a-i4729e.pdf" TargetMode="External"/><Relationship Id="rId14" Type="http://schemas.openxmlformats.org/officeDocument/2006/relationships/hyperlink" Target="https://doi.org/10.1016/j.agee.2009.12.013" TargetMode="External"/><Relationship Id="rId22" Type="http://schemas.openxmlformats.org/officeDocument/2006/relationships/hyperlink" Target="https://doi.org/10.1111/gcb.14054" TargetMode="External"/><Relationship Id="rId27" Type="http://schemas.openxmlformats.org/officeDocument/2006/relationships/hyperlink" Target="https://doi.org/10.1016/j.agee.2018.06.003" TargetMode="External"/><Relationship Id="rId30" Type="http://schemas.openxmlformats.org/officeDocument/2006/relationships/hyperlink" Target="https://doi.org/10.1007/978-3-319-26777-7_4" TargetMode="External"/><Relationship Id="rId35"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AKPOLES\akp%20donn&#233;es\Nouvelle%20Analyse%20Histogrammes\Copie%20de%20Liti&#232;re%20Loh-Naw.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'Nawa cumul'!$B$1</c:f>
              <c:strCache>
                <c:ptCount val="1"/>
                <c:pt idx="0">
                  <c:v>T0</c:v>
                </c:pt>
              </c:strCache>
            </c:strRef>
          </c:tx>
          <c:spPr>
            <a:solidFill>
              <a:schemeClr val="accent1"/>
            </a:solidFill>
            <a:ln>
              <a:noFill/>
            </a:ln>
            <a:effectLst/>
          </c:spPr>
          <c:invertIfNegative val="0"/>
          <c:errBars>
            <c:errBarType val="both"/>
            <c:errValType val="cust"/>
            <c:noEndCap val="0"/>
            <c:plus>
              <c:numRef>
                <c:f>'Nawa cumul'!$B$8:$B$10</c:f>
                <c:numCache>
                  <c:formatCode>General</c:formatCode>
                  <c:ptCount val="3"/>
                  <c:pt idx="0">
                    <c:v>31</c:v>
                  </c:pt>
                  <c:pt idx="1">
                    <c:v>25.6</c:v>
                  </c:pt>
                  <c:pt idx="2">
                    <c:v>70</c:v>
                  </c:pt>
                </c:numCache>
              </c:numRef>
            </c:plus>
            <c:minus>
              <c:numRef>
                <c:f>'Nawa cumul'!$B$8:$B$10</c:f>
                <c:numCache>
                  <c:formatCode>General</c:formatCode>
                  <c:ptCount val="3"/>
                  <c:pt idx="0">
                    <c:v>31</c:v>
                  </c:pt>
                  <c:pt idx="1">
                    <c:v>25.6</c:v>
                  </c:pt>
                  <c:pt idx="2">
                    <c:v>70</c:v>
                  </c:pt>
                </c:numCache>
              </c:numRef>
            </c:minus>
            <c:spPr>
              <a:noFill/>
              <a:ln w="9525" cap="flat" cmpd="sng" algn="ctr">
                <a:solidFill>
                  <a:schemeClr val="tx1">
                    <a:lumMod val="65000"/>
                    <a:lumOff val="35000"/>
                  </a:schemeClr>
                </a:solidFill>
                <a:round/>
              </a:ln>
              <a:effectLst/>
            </c:spPr>
          </c:errBars>
          <c:cat>
            <c:strRef>
              <c:f>'Nawa cumul'!$A$2:$A$4</c:f>
              <c:strCache>
                <c:ptCount val="3"/>
                <c:pt idx="0">
                  <c:v>Soubré</c:v>
                </c:pt>
                <c:pt idx="1">
                  <c:v>Méagui</c:v>
                </c:pt>
                <c:pt idx="2">
                  <c:v>Mayo</c:v>
                </c:pt>
              </c:strCache>
            </c:strRef>
          </c:cat>
          <c:val>
            <c:numRef>
              <c:f>'Nawa cumul'!$B$2:$B$4</c:f>
              <c:numCache>
                <c:formatCode>General</c:formatCode>
                <c:ptCount val="3"/>
                <c:pt idx="0">
                  <c:v>1235.5</c:v>
                </c:pt>
                <c:pt idx="1">
                  <c:v>1214.5999999999999</c:v>
                </c:pt>
                <c:pt idx="2">
                  <c:v>1365.2</c:v>
                </c:pt>
              </c:numCache>
            </c:numRef>
          </c:val>
          <c:extLst>
            <c:ext xmlns:c16="http://schemas.microsoft.com/office/drawing/2014/chart" uri="{C3380CC4-5D6E-409C-BE32-E72D297353CC}">
              <c16:uniqueId val="{00000000-AC4A-4308-B1F3-FB8CCE12A23D}"/>
            </c:ext>
          </c:extLst>
        </c:ser>
        <c:ser>
          <c:idx val="1"/>
          <c:order val="1"/>
          <c:tx>
            <c:strRef>
              <c:f>'Nawa cumul'!$C$1</c:f>
              <c:strCache>
                <c:ptCount val="1"/>
                <c:pt idx="0">
                  <c:v>T1</c:v>
                </c:pt>
              </c:strCache>
            </c:strRef>
          </c:tx>
          <c:spPr>
            <a:solidFill>
              <a:schemeClr val="accent2"/>
            </a:solidFill>
            <a:ln>
              <a:noFill/>
            </a:ln>
            <a:effectLst/>
          </c:spPr>
          <c:invertIfNegative val="0"/>
          <c:errBars>
            <c:errBarType val="both"/>
            <c:errValType val="cust"/>
            <c:noEndCap val="0"/>
            <c:plus>
              <c:numRef>
                <c:f>'Nawa cumul'!$C$8:$C$10</c:f>
                <c:numCache>
                  <c:formatCode>General</c:formatCode>
                  <c:ptCount val="3"/>
                  <c:pt idx="0">
                    <c:v>95</c:v>
                  </c:pt>
                  <c:pt idx="1">
                    <c:v>100.1</c:v>
                  </c:pt>
                  <c:pt idx="2">
                    <c:v>145.30000000000001</c:v>
                  </c:pt>
                </c:numCache>
              </c:numRef>
            </c:plus>
            <c:minus>
              <c:numRef>
                <c:f>'Nawa cumul'!$C$8:$C$10</c:f>
                <c:numCache>
                  <c:formatCode>General</c:formatCode>
                  <c:ptCount val="3"/>
                  <c:pt idx="0">
                    <c:v>95</c:v>
                  </c:pt>
                  <c:pt idx="1">
                    <c:v>100.1</c:v>
                  </c:pt>
                  <c:pt idx="2">
                    <c:v>145.30000000000001</c:v>
                  </c:pt>
                </c:numCache>
              </c:numRef>
            </c:minus>
            <c:spPr>
              <a:noFill/>
              <a:ln w="9525" cap="flat" cmpd="sng" algn="ctr">
                <a:solidFill>
                  <a:schemeClr val="tx1">
                    <a:lumMod val="65000"/>
                    <a:lumOff val="35000"/>
                  </a:schemeClr>
                </a:solidFill>
                <a:round/>
              </a:ln>
              <a:effectLst/>
            </c:spPr>
          </c:errBars>
          <c:cat>
            <c:strRef>
              <c:f>'Nawa cumul'!$A$2:$A$4</c:f>
              <c:strCache>
                <c:ptCount val="3"/>
                <c:pt idx="0">
                  <c:v>Soubré</c:v>
                </c:pt>
                <c:pt idx="1">
                  <c:v>Méagui</c:v>
                </c:pt>
                <c:pt idx="2">
                  <c:v>Mayo</c:v>
                </c:pt>
              </c:strCache>
            </c:strRef>
          </c:cat>
          <c:val>
            <c:numRef>
              <c:f>'Nawa cumul'!$C$2:$C$4</c:f>
              <c:numCache>
                <c:formatCode>General</c:formatCode>
                <c:ptCount val="3"/>
                <c:pt idx="0">
                  <c:v>1552.7</c:v>
                </c:pt>
                <c:pt idx="1">
                  <c:v>1603.1</c:v>
                </c:pt>
                <c:pt idx="2">
                  <c:v>1691.2</c:v>
                </c:pt>
              </c:numCache>
            </c:numRef>
          </c:val>
          <c:extLst>
            <c:ext xmlns:c16="http://schemas.microsoft.com/office/drawing/2014/chart" uri="{C3380CC4-5D6E-409C-BE32-E72D297353CC}">
              <c16:uniqueId val="{00000001-AC4A-4308-B1F3-FB8CCE12A23D}"/>
            </c:ext>
          </c:extLst>
        </c:ser>
        <c:ser>
          <c:idx val="2"/>
          <c:order val="2"/>
          <c:tx>
            <c:strRef>
              <c:f>'Nawa cumul'!$D$1</c:f>
              <c:strCache>
                <c:ptCount val="1"/>
                <c:pt idx="0">
                  <c:v>T2</c:v>
                </c:pt>
              </c:strCache>
            </c:strRef>
          </c:tx>
          <c:spPr>
            <a:solidFill>
              <a:schemeClr val="accent3"/>
            </a:solidFill>
            <a:ln>
              <a:noFill/>
            </a:ln>
            <a:effectLst/>
          </c:spPr>
          <c:invertIfNegative val="0"/>
          <c:errBars>
            <c:errBarType val="both"/>
            <c:errValType val="cust"/>
            <c:noEndCap val="0"/>
            <c:plus>
              <c:numRef>
                <c:f>'Nawa cumul'!$D$8:$D$10</c:f>
                <c:numCache>
                  <c:formatCode>General</c:formatCode>
                  <c:ptCount val="3"/>
                  <c:pt idx="0">
                    <c:v>108.2</c:v>
                  </c:pt>
                  <c:pt idx="1">
                    <c:v>96.2</c:v>
                  </c:pt>
                  <c:pt idx="2">
                    <c:v>80.5</c:v>
                  </c:pt>
                </c:numCache>
              </c:numRef>
            </c:plus>
            <c:minus>
              <c:numRef>
                <c:f>'Nawa cumul'!$D$8:$D$10</c:f>
                <c:numCache>
                  <c:formatCode>General</c:formatCode>
                  <c:ptCount val="3"/>
                  <c:pt idx="0">
                    <c:v>108.2</c:v>
                  </c:pt>
                  <c:pt idx="1">
                    <c:v>96.2</c:v>
                  </c:pt>
                  <c:pt idx="2">
                    <c:v>80.5</c:v>
                  </c:pt>
                </c:numCache>
              </c:numRef>
            </c:minus>
            <c:spPr>
              <a:noFill/>
              <a:ln w="9525" cap="flat" cmpd="sng" algn="ctr">
                <a:solidFill>
                  <a:schemeClr val="tx1">
                    <a:lumMod val="65000"/>
                    <a:lumOff val="35000"/>
                  </a:schemeClr>
                </a:solidFill>
                <a:round/>
              </a:ln>
              <a:effectLst/>
            </c:spPr>
          </c:errBars>
          <c:cat>
            <c:strRef>
              <c:f>'Nawa cumul'!$A$2:$A$4</c:f>
              <c:strCache>
                <c:ptCount val="3"/>
                <c:pt idx="0">
                  <c:v>Soubré</c:v>
                </c:pt>
                <c:pt idx="1">
                  <c:v>Méagui</c:v>
                </c:pt>
                <c:pt idx="2">
                  <c:v>Mayo</c:v>
                </c:pt>
              </c:strCache>
            </c:strRef>
          </c:cat>
          <c:val>
            <c:numRef>
              <c:f>'Nawa cumul'!$D$2:$D$4</c:f>
              <c:numCache>
                <c:formatCode>General</c:formatCode>
                <c:ptCount val="3"/>
                <c:pt idx="0">
                  <c:v>1415.9</c:v>
                </c:pt>
                <c:pt idx="1">
                  <c:v>1464.6</c:v>
                </c:pt>
                <c:pt idx="2">
                  <c:v>1713.9</c:v>
                </c:pt>
              </c:numCache>
            </c:numRef>
          </c:val>
          <c:extLst>
            <c:ext xmlns:c16="http://schemas.microsoft.com/office/drawing/2014/chart" uri="{C3380CC4-5D6E-409C-BE32-E72D297353CC}">
              <c16:uniqueId val="{00000002-AC4A-4308-B1F3-FB8CCE12A23D}"/>
            </c:ext>
          </c:extLst>
        </c:ser>
        <c:ser>
          <c:idx val="3"/>
          <c:order val="3"/>
          <c:tx>
            <c:strRef>
              <c:f>'Nawa cumul'!$E$1</c:f>
              <c:strCache>
                <c:ptCount val="1"/>
                <c:pt idx="0">
                  <c:v>T3</c:v>
                </c:pt>
              </c:strCache>
            </c:strRef>
          </c:tx>
          <c:spPr>
            <a:solidFill>
              <a:schemeClr val="accent4"/>
            </a:solidFill>
            <a:ln>
              <a:noFill/>
            </a:ln>
            <a:effectLst/>
          </c:spPr>
          <c:invertIfNegative val="0"/>
          <c:errBars>
            <c:errBarType val="both"/>
            <c:errValType val="cust"/>
            <c:noEndCap val="0"/>
            <c:plus>
              <c:numRef>
                <c:f>'Nawa cumul'!$E$8:$E$10</c:f>
                <c:numCache>
                  <c:formatCode>General</c:formatCode>
                  <c:ptCount val="3"/>
                  <c:pt idx="0">
                    <c:v>85.1</c:v>
                  </c:pt>
                  <c:pt idx="1">
                    <c:v>61.7</c:v>
                  </c:pt>
                  <c:pt idx="2">
                    <c:v>62.1</c:v>
                  </c:pt>
                </c:numCache>
              </c:numRef>
            </c:plus>
            <c:minus>
              <c:numRef>
                <c:f>'Nawa cumul'!$E$8:$E$10</c:f>
                <c:numCache>
                  <c:formatCode>General</c:formatCode>
                  <c:ptCount val="3"/>
                  <c:pt idx="0">
                    <c:v>85.1</c:v>
                  </c:pt>
                  <c:pt idx="1">
                    <c:v>61.7</c:v>
                  </c:pt>
                  <c:pt idx="2">
                    <c:v>62.1</c:v>
                  </c:pt>
                </c:numCache>
              </c:numRef>
            </c:minus>
            <c:spPr>
              <a:noFill/>
              <a:ln w="9525" cap="flat" cmpd="sng" algn="ctr">
                <a:solidFill>
                  <a:schemeClr val="tx1">
                    <a:lumMod val="65000"/>
                    <a:lumOff val="35000"/>
                  </a:schemeClr>
                </a:solidFill>
                <a:round/>
              </a:ln>
              <a:effectLst/>
            </c:spPr>
          </c:errBars>
          <c:cat>
            <c:strRef>
              <c:f>'Nawa cumul'!$A$2:$A$4</c:f>
              <c:strCache>
                <c:ptCount val="3"/>
                <c:pt idx="0">
                  <c:v>Soubré</c:v>
                </c:pt>
                <c:pt idx="1">
                  <c:v>Méagui</c:v>
                </c:pt>
                <c:pt idx="2">
                  <c:v>Mayo</c:v>
                </c:pt>
              </c:strCache>
            </c:strRef>
          </c:cat>
          <c:val>
            <c:numRef>
              <c:f>'Nawa cumul'!$E$2:$E$4</c:f>
              <c:numCache>
                <c:formatCode>General</c:formatCode>
                <c:ptCount val="3"/>
                <c:pt idx="0">
                  <c:v>1257.2</c:v>
                </c:pt>
                <c:pt idx="1">
                  <c:v>1328.9</c:v>
                </c:pt>
                <c:pt idx="2">
                  <c:v>1498.1</c:v>
                </c:pt>
              </c:numCache>
            </c:numRef>
          </c:val>
          <c:extLst>
            <c:ext xmlns:c16="http://schemas.microsoft.com/office/drawing/2014/chart" uri="{C3380CC4-5D6E-409C-BE32-E72D297353CC}">
              <c16:uniqueId val="{00000003-AC4A-4308-B1F3-FB8CCE12A23D}"/>
            </c:ext>
          </c:extLst>
        </c:ser>
        <c:dLbls>
          <c:showLegendKey val="0"/>
          <c:showVal val="0"/>
          <c:showCatName val="0"/>
          <c:showSerName val="0"/>
          <c:showPercent val="0"/>
          <c:showBubbleSize val="0"/>
        </c:dLbls>
        <c:gapWidth val="219"/>
        <c:overlap val="-27"/>
        <c:axId val="-1375324208"/>
        <c:axId val="-1375322576"/>
      </c:barChart>
      <c:catAx>
        <c:axId val="-137532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322576"/>
        <c:crosses val="autoZero"/>
        <c:auto val="1"/>
        <c:lblAlgn val="ctr"/>
        <c:lblOffset val="100"/>
        <c:noMultiLvlLbl val="0"/>
      </c:catAx>
      <c:valAx>
        <c:axId val="-1375322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Quantité de litière en g.m</a:t>
                </a:r>
                <a:r>
                  <a:rPr lang="fr-FR" baseline="30000"/>
                  <a:t>-2</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324208"/>
        <c:crosses val="autoZero"/>
        <c:crossBetween val="between"/>
      </c:valAx>
      <c:spPr>
        <a:noFill/>
        <a:ln>
          <a:noFill/>
        </a:ln>
        <a:effectLst/>
      </c:spPr>
    </c:plotArea>
    <c:legend>
      <c:legendPos val="t"/>
      <c:layout>
        <c:manualLayout>
          <c:xMode val="edge"/>
          <c:yMode val="edge"/>
          <c:x val="0.74683505230860237"/>
          <c:y val="1.0592941058086591E-2"/>
          <c:w val="0.2510874890638670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0.16331</cdr:x>
      <cdr:y>0.32087</cdr:y>
    </cdr:from>
    <cdr:to>
      <cdr:x>0.21127</cdr:x>
      <cdr:y>0.38339</cdr:y>
    </cdr:to>
    <cdr:sp macro="" textlink="">
      <cdr:nvSpPr>
        <cdr:cNvPr id="2" name="ZoneTexte 2"/>
        <cdr:cNvSpPr txBox="1"/>
      </cdr:nvSpPr>
      <cdr:spPr>
        <a:xfrm xmlns:a="http://schemas.openxmlformats.org/drawingml/2006/main">
          <a:off x="883544" y="956626"/>
          <a:ext cx="259456" cy="18637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0.45386</cdr:x>
      <cdr:y>0.32351</cdr:y>
    </cdr:from>
    <cdr:to>
      <cdr:x>0.49648</cdr:x>
      <cdr:y>0.38658</cdr:y>
    </cdr:to>
    <cdr:sp macro="" textlink="">
      <cdr:nvSpPr>
        <cdr:cNvPr id="3" name="ZoneTexte 2"/>
        <cdr:cNvSpPr txBox="1"/>
      </cdr:nvSpPr>
      <cdr:spPr>
        <a:xfrm xmlns:a="http://schemas.openxmlformats.org/drawingml/2006/main">
          <a:off x="2455468" y="964482"/>
          <a:ext cx="230582" cy="18804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0.4933</cdr:x>
      <cdr:y>0.14684</cdr:y>
    </cdr:from>
    <cdr:to>
      <cdr:x>0.55372</cdr:x>
      <cdr:y>0.21628</cdr:y>
    </cdr:to>
    <cdr:sp macro="" textlink="">
      <cdr:nvSpPr>
        <cdr:cNvPr id="4" name="ZoneTexte 2"/>
        <cdr:cNvSpPr txBox="1"/>
      </cdr:nvSpPr>
      <cdr:spPr>
        <a:xfrm xmlns:a="http://schemas.openxmlformats.org/drawingml/2006/main">
          <a:off x="2668828" y="437775"/>
          <a:ext cx="326884" cy="20702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0.54923</cdr:x>
      <cdr:y>0.19781</cdr:y>
    </cdr:from>
    <cdr:to>
      <cdr:x>0.60965</cdr:x>
      <cdr:y>0.26726</cdr:y>
    </cdr:to>
    <cdr:sp macro="" textlink="">
      <cdr:nvSpPr>
        <cdr:cNvPr id="5" name="ZoneTexte 2"/>
        <cdr:cNvSpPr txBox="1"/>
      </cdr:nvSpPr>
      <cdr:spPr>
        <a:xfrm xmlns:a="http://schemas.openxmlformats.org/drawingml/2006/main">
          <a:off x="2971424" y="589732"/>
          <a:ext cx="326884" cy="20705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ab</a:t>
          </a:r>
        </a:p>
      </cdr:txBody>
    </cdr:sp>
  </cdr:relSizeAnchor>
  <cdr:relSizeAnchor xmlns:cdr="http://schemas.openxmlformats.org/drawingml/2006/chartDrawing">
    <cdr:from>
      <cdr:x>0.60019</cdr:x>
      <cdr:y>0.27864</cdr:y>
    </cdr:from>
    <cdr:to>
      <cdr:x>0.66061</cdr:x>
      <cdr:y>0.34809</cdr:y>
    </cdr:to>
    <cdr:sp macro="" textlink="">
      <cdr:nvSpPr>
        <cdr:cNvPr id="6" name="ZoneTexte 2"/>
        <cdr:cNvSpPr txBox="1"/>
      </cdr:nvSpPr>
      <cdr:spPr>
        <a:xfrm xmlns:a="http://schemas.openxmlformats.org/drawingml/2006/main">
          <a:off x="3247172" y="830724"/>
          <a:ext cx="326885" cy="20705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0.73432</cdr:x>
      <cdr:y>0.26796</cdr:y>
    </cdr:from>
    <cdr:to>
      <cdr:x>0.77963</cdr:x>
      <cdr:y>0.35985</cdr:y>
    </cdr:to>
    <cdr:sp macro="" textlink="">
      <cdr:nvSpPr>
        <cdr:cNvPr id="7" name="ZoneTexte 2"/>
        <cdr:cNvSpPr txBox="1"/>
      </cdr:nvSpPr>
      <cdr:spPr>
        <a:xfrm xmlns:a="http://schemas.openxmlformats.org/drawingml/2006/main">
          <a:off x="4189644" y="673811"/>
          <a:ext cx="258531" cy="23106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0.78641</cdr:x>
      <cdr:y>0.12114</cdr:y>
    </cdr:from>
    <cdr:to>
      <cdr:x>0.82746</cdr:x>
      <cdr:y>0.1853</cdr:y>
    </cdr:to>
    <cdr:sp macro="" textlink="">
      <cdr:nvSpPr>
        <cdr:cNvPr id="8" name="ZoneTexte 2"/>
        <cdr:cNvSpPr txBox="1"/>
      </cdr:nvSpPr>
      <cdr:spPr>
        <a:xfrm xmlns:a="http://schemas.openxmlformats.org/drawingml/2006/main">
          <a:off x="4254618" y="361168"/>
          <a:ext cx="222132" cy="19128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0.82648</cdr:x>
      <cdr:y>0.14434</cdr:y>
    </cdr:from>
    <cdr:to>
      <cdr:x>0.8869</cdr:x>
      <cdr:y>0.21378</cdr:y>
    </cdr:to>
    <cdr:sp macro="" textlink="">
      <cdr:nvSpPr>
        <cdr:cNvPr id="9" name="ZoneTexte 2"/>
        <cdr:cNvSpPr txBox="1"/>
      </cdr:nvSpPr>
      <cdr:spPr>
        <a:xfrm xmlns:a="http://schemas.openxmlformats.org/drawingml/2006/main">
          <a:off x="4471434" y="430334"/>
          <a:ext cx="326885" cy="20702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0.87986</cdr:x>
      <cdr:y>0.22226</cdr:y>
    </cdr:from>
    <cdr:to>
      <cdr:x>0.94324</cdr:x>
      <cdr:y>0.29924</cdr:y>
    </cdr:to>
    <cdr:sp macro="" textlink="">
      <cdr:nvSpPr>
        <cdr:cNvPr id="10" name="ZoneTexte 2"/>
        <cdr:cNvSpPr txBox="1"/>
      </cdr:nvSpPr>
      <cdr:spPr>
        <a:xfrm xmlns:a="http://schemas.openxmlformats.org/drawingml/2006/main">
          <a:off x="5020019" y="558895"/>
          <a:ext cx="361606" cy="19358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100"/>
            <a:t>ab</a:t>
          </a:r>
        </a:p>
      </cdr:txBody>
    </cdr:sp>
  </cdr:relSizeAnchor>
  <cdr:relSizeAnchor xmlns:cdr="http://schemas.openxmlformats.org/drawingml/2006/chartDrawing">
    <cdr:from>
      <cdr:x>0.18955</cdr:x>
      <cdr:y>0.07482</cdr:y>
    </cdr:from>
    <cdr:to>
      <cdr:x>0.33984</cdr:x>
      <cdr:y>0.16187</cdr:y>
    </cdr:to>
    <cdr:sp macro="" textlink="">
      <cdr:nvSpPr>
        <cdr:cNvPr id="12" name="ZoneTexte 2"/>
        <cdr:cNvSpPr txBox="1"/>
      </cdr:nvSpPr>
      <cdr:spPr>
        <a:xfrm xmlns:a="http://schemas.openxmlformats.org/drawingml/2006/main">
          <a:off x="1025529" y="223068"/>
          <a:ext cx="813050" cy="259528"/>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fr-FR">
              <a:latin typeface="Times New Roman" panose="02020603050405020304" pitchFamily="18" charset="0"/>
              <a:cs typeface="Times New Roman" panose="02020603050405020304" pitchFamily="18" charset="0"/>
            </a:rPr>
            <a:t>p = 0,0481</a:t>
          </a:r>
        </a:p>
      </cdr:txBody>
    </cdr:sp>
  </cdr:relSizeAnchor>
  <cdr:relSizeAnchor xmlns:cdr="http://schemas.openxmlformats.org/drawingml/2006/chartDrawing">
    <cdr:from>
      <cdr:x>0.21671</cdr:x>
      <cdr:y>0.17497</cdr:y>
    </cdr:from>
    <cdr:to>
      <cdr:x>0.26467</cdr:x>
      <cdr:y>0.23749</cdr:y>
    </cdr:to>
    <cdr:sp macro="" textlink="">
      <cdr:nvSpPr>
        <cdr:cNvPr id="14" name="ZoneTexte 2"/>
        <cdr:cNvSpPr txBox="1"/>
      </cdr:nvSpPr>
      <cdr:spPr>
        <a:xfrm xmlns:a="http://schemas.openxmlformats.org/drawingml/2006/main">
          <a:off x="1172469" y="521651"/>
          <a:ext cx="259456" cy="18637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fr-FR"/>
            <a:t>a</a:t>
          </a:r>
        </a:p>
      </cdr:txBody>
    </cdr:sp>
  </cdr:relSizeAnchor>
  <cdr:relSizeAnchor xmlns:cdr="http://schemas.openxmlformats.org/drawingml/2006/chartDrawing">
    <cdr:from>
      <cdr:x>0.27129</cdr:x>
      <cdr:y>0.21651</cdr:y>
    </cdr:from>
    <cdr:to>
      <cdr:x>0.31925</cdr:x>
      <cdr:y>0.27902</cdr:y>
    </cdr:to>
    <cdr:sp macro="" textlink="">
      <cdr:nvSpPr>
        <cdr:cNvPr id="15" name="ZoneTexte 2"/>
        <cdr:cNvSpPr txBox="1"/>
      </cdr:nvSpPr>
      <cdr:spPr>
        <a:xfrm xmlns:a="http://schemas.openxmlformats.org/drawingml/2006/main">
          <a:off x="1467744" y="645476"/>
          <a:ext cx="259456" cy="18637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fr-FR"/>
            <a:t>a</a:t>
          </a:r>
        </a:p>
      </cdr:txBody>
    </cdr:sp>
  </cdr:relSizeAnchor>
  <cdr:relSizeAnchor xmlns:cdr="http://schemas.openxmlformats.org/drawingml/2006/chartDrawing">
    <cdr:from>
      <cdr:x>0.32411</cdr:x>
      <cdr:y>0.28679</cdr:y>
    </cdr:from>
    <cdr:to>
      <cdr:x>0.37207</cdr:x>
      <cdr:y>0.34931</cdr:y>
    </cdr:to>
    <cdr:sp macro="" textlink="">
      <cdr:nvSpPr>
        <cdr:cNvPr id="16" name="ZoneTexte 2"/>
        <cdr:cNvSpPr txBox="1"/>
      </cdr:nvSpPr>
      <cdr:spPr>
        <a:xfrm xmlns:a="http://schemas.openxmlformats.org/drawingml/2006/main">
          <a:off x="1753494" y="855026"/>
          <a:ext cx="259456" cy="18637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fr-FR"/>
            <a:t>b</a:t>
          </a:r>
        </a:p>
      </cdr:txBody>
    </cdr:sp>
  </cdr:relSizeAnchor>
  <cdr:relSizeAnchor xmlns:cdr="http://schemas.openxmlformats.org/drawingml/2006/chartDrawing">
    <cdr:from>
      <cdr:x>0.46831</cdr:x>
      <cdr:y>0.06311</cdr:y>
    </cdr:from>
    <cdr:to>
      <cdr:x>0.61859</cdr:x>
      <cdr:y>0.15016</cdr:y>
    </cdr:to>
    <cdr:sp macro="" textlink="">
      <cdr:nvSpPr>
        <cdr:cNvPr id="17" name="ZoneTexte 2"/>
        <cdr:cNvSpPr txBox="1"/>
      </cdr:nvSpPr>
      <cdr:spPr>
        <a:xfrm xmlns:a="http://schemas.openxmlformats.org/drawingml/2006/main">
          <a:off x="2533654" y="188143"/>
          <a:ext cx="813050" cy="259528"/>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fr-FR">
              <a:latin typeface="Times New Roman" panose="02020603050405020304" pitchFamily="18" charset="0"/>
              <a:cs typeface="Times New Roman" panose="02020603050405020304" pitchFamily="18" charset="0"/>
            </a:rPr>
            <a:t>p = 0,0121</a:t>
          </a:r>
        </a:p>
      </cdr:txBody>
    </cdr:sp>
  </cdr:relSizeAnchor>
  <cdr:relSizeAnchor xmlns:cdr="http://schemas.openxmlformats.org/drawingml/2006/chartDrawing">
    <cdr:from>
      <cdr:x>0.84214</cdr:x>
      <cdr:y>0.07695</cdr:y>
    </cdr:from>
    <cdr:to>
      <cdr:x>0.99242</cdr:x>
      <cdr:y>0.164</cdr:y>
    </cdr:to>
    <cdr:sp macro="" textlink="">
      <cdr:nvSpPr>
        <cdr:cNvPr id="18" name="ZoneTexte 2"/>
        <cdr:cNvSpPr txBox="1"/>
      </cdr:nvSpPr>
      <cdr:spPr>
        <a:xfrm xmlns:a="http://schemas.openxmlformats.org/drawingml/2006/main">
          <a:off x="4556129" y="229418"/>
          <a:ext cx="813050" cy="259528"/>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fr-FR">
              <a:latin typeface="Times New Roman" panose="02020603050405020304" pitchFamily="18" charset="0"/>
              <a:cs typeface="Times New Roman" panose="02020603050405020304" pitchFamily="18" charset="0"/>
            </a:rPr>
            <a:t>p</a:t>
          </a:r>
          <a:r>
            <a:rPr lang="fr-FR" baseline="0">
              <a:latin typeface="Times New Roman" panose="02020603050405020304" pitchFamily="18" charset="0"/>
              <a:cs typeface="Times New Roman" panose="02020603050405020304" pitchFamily="18" charset="0"/>
            </a:rPr>
            <a:t> = 0,0424</a:t>
          </a:r>
          <a:endParaRPr lang="fr-FR">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1861</TotalTime>
  <Pages>9</Pages>
  <Words>4159</Words>
  <Characters>23712</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hypolith kouadio</dc:creator>
  <cp:keywords/>
  <dc:description/>
  <cp:lastModifiedBy>SDI 1084</cp:lastModifiedBy>
  <cp:revision>245</cp:revision>
  <dcterms:created xsi:type="dcterms:W3CDTF">2025-03-26T08:26:00Z</dcterms:created>
  <dcterms:modified xsi:type="dcterms:W3CDTF">2025-12-11T07:16:00Z</dcterms:modified>
</cp:coreProperties>
</file>