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F92F0" w14:textId="77777777" w:rsidR="00754C9A" w:rsidRDefault="00754C9A" w:rsidP="00441B6F">
      <w:pPr>
        <w:pStyle w:val="Title"/>
        <w:spacing w:after="0"/>
        <w:jc w:val="both"/>
        <w:rPr>
          <w:rFonts w:ascii="Arial" w:hAnsi="Arial" w:cs="Arial"/>
        </w:rPr>
      </w:pPr>
    </w:p>
    <w:p w14:paraId="2034B56A" w14:textId="77777777" w:rsidR="00163BC4" w:rsidRPr="00163BC4" w:rsidRDefault="00F97909" w:rsidP="00441B6F">
      <w:pPr>
        <w:pStyle w:val="Author"/>
        <w:spacing w:line="240" w:lineRule="auto"/>
        <w:rPr>
          <w:rFonts w:ascii="Arial" w:hAnsi="Arial" w:cs="Arial"/>
          <w:bCs/>
          <w:iCs/>
          <w:kern w:val="28"/>
          <w:sz w:val="36"/>
        </w:rPr>
      </w:pPr>
      <w:bookmarkStart w:id="0" w:name="_Hlk216771269"/>
      <w:r w:rsidRPr="00F97909">
        <w:rPr>
          <w:rFonts w:ascii="Arial" w:hAnsi="Arial" w:cs="Arial"/>
          <w:bCs/>
          <w:iCs/>
          <w:kern w:val="28"/>
          <w:sz w:val="36"/>
        </w:rPr>
        <w:t xml:space="preserve">Marketing Strategies in </w:t>
      </w:r>
      <w:r w:rsidR="00DE3E86" w:rsidRPr="00DE3E86">
        <w:rPr>
          <w:rFonts w:ascii="Arial" w:hAnsi="Arial" w:cs="Arial"/>
          <w:bCs/>
          <w:iCs/>
          <w:kern w:val="28"/>
          <w:sz w:val="36"/>
        </w:rPr>
        <w:t>Corporate Equity Issuance</w:t>
      </w:r>
      <w:r w:rsidRPr="00F97909">
        <w:rPr>
          <w:rFonts w:ascii="Arial" w:hAnsi="Arial" w:cs="Arial"/>
          <w:bCs/>
          <w:iCs/>
          <w:kern w:val="28"/>
          <w:sz w:val="36"/>
        </w:rPr>
        <w:t xml:space="preserve"> Process: A Literature Review</w:t>
      </w:r>
      <w:r w:rsidR="00231920">
        <w:rPr>
          <w:rFonts w:ascii="Arial" w:hAnsi="Arial" w:cs="Arial"/>
          <w:bCs/>
          <w:iCs/>
          <w:kern w:val="28"/>
          <w:sz w:val="36"/>
        </w:rPr>
        <w:t xml:space="preserve"> </w:t>
      </w:r>
    </w:p>
    <w:bookmarkEnd w:id="0"/>
    <w:p w14:paraId="21206E23" w14:textId="77777777" w:rsidR="00A258C3" w:rsidRPr="00790ADA" w:rsidRDefault="00A258C3" w:rsidP="00441B6F">
      <w:pPr>
        <w:pStyle w:val="Author"/>
        <w:spacing w:line="240" w:lineRule="auto"/>
        <w:jc w:val="both"/>
        <w:rPr>
          <w:rFonts w:ascii="Arial" w:hAnsi="Arial" w:cs="Arial"/>
          <w:sz w:val="36"/>
        </w:rPr>
      </w:pPr>
    </w:p>
    <w:p w14:paraId="2371222D" w14:textId="77777777" w:rsidR="002C57D2" w:rsidRPr="00FB3A86" w:rsidRDefault="002C57D2" w:rsidP="00441B6F">
      <w:pPr>
        <w:pStyle w:val="Affiliation"/>
        <w:spacing w:after="0" w:line="240" w:lineRule="auto"/>
        <w:jc w:val="both"/>
        <w:rPr>
          <w:rFonts w:ascii="Arial" w:hAnsi="Arial" w:cs="Arial"/>
        </w:rPr>
      </w:pPr>
    </w:p>
    <w:p w14:paraId="4638D6FD" w14:textId="77777777" w:rsidR="00B01FCD" w:rsidRPr="00FB3A86" w:rsidRDefault="00C23771" w:rsidP="00441B6F">
      <w:pPr>
        <w:pStyle w:val="Copyright"/>
        <w:spacing w:after="0" w:line="240" w:lineRule="auto"/>
        <w:jc w:val="both"/>
        <w:rPr>
          <w:rFonts w:ascii="Arial" w:hAnsi="Arial" w:cs="Arial"/>
        </w:rPr>
        <w:sectPr w:rsidR="00B01FCD" w:rsidRPr="00FB3A86" w:rsidSect="004A11F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49572D2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D9C7C0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74FFE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B1E258A" w14:textId="77777777" w:rsidTr="001E44FE">
        <w:tc>
          <w:tcPr>
            <w:tcW w:w="9576" w:type="dxa"/>
            <w:shd w:val="clear" w:color="auto" w:fill="F2F2F2"/>
          </w:tcPr>
          <w:p w14:paraId="62D9BCEE" w14:textId="77777777" w:rsidR="00F97909" w:rsidRPr="00F97909" w:rsidRDefault="00F97909" w:rsidP="00E517B3">
            <w:pPr>
              <w:pStyle w:val="Body"/>
              <w:spacing w:after="0"/>
              <w:rPr>
                <w:rFonts w:ascii="Arial" w:eastAsia="Calibri" w:hAnsi="Arial" w:cs="Arial"/>
                <w:szCs w:val="22"/>
              </w:rPr>
            </w:pPr>
            <w:r w:rsidRPr="00E517B3">
              <w:rPr>
                <w:rFonts w:ascii="Arial" w:eastAsia="Calibri" w:hAnsi="Arial" w:cs="Arial"/>
                <w:b/>
                <w:bCs/>
                <w:szCs w:val="22"/>
              </w:rPr>
              <w:t>Aims:</w:t>
            </w:r>
            <w:r>
              <w:rPr>
                <w:rFonts w:ascii="Arial" w:eastAsia="Calibri" w:hAnsi="Arial" w:cs="Arial"/>
                <w:szCs w:val="22"/>
              </w:rPr>
              <w:t xml:space="preserve"> </w:t>
            </w:r>
            <w:r w:rsidR="00726F9F" w:rsidRPr="00726F9F">
              <w:rPr>
                <w:rFonts w:ascii="Arial" w:eastAsia="Calibri" w:hAnsi="Arial" w:cs="Arial"/>
                <w:szCs w:val="22"/>
              </w:rPr>
              <w:t>To analyze the role of marketing strategies in shaping investor perceptions, reducing information asymmetry, and improving equity offering outcomes. Specifically, this study aims to examine the effectiveness of traditional roadshows, corporate branding, digital engagement, and social media in equity issuance preparation, and to identify gaps in cross-market comparability and digital branding research from 2010 to 2025.</w:t>
            </w:r>
          </w:p>
          <w:p w14:paraId="5631F4F0" w14:textId="77777777" w:rsidR="00F97909" w:rsidRPr="00F97909" w:rsidRDefault="00F97909" w:rsidP="00E517B3">
            <w:pPr>
              <w:pStyle w:val="Body"/>
              <w:spacing w:after="0"/>
              <w:rPr>
                <w:rFonts w:ascii="Arial" w:eastAsia="Calibri" w:hAnsi="Arial" w:cs="Arial"/>
                <w:szCs w:val="22"/>
              </w:rPr>
            </w:pPr>
            <w:r w:rsidRPr="00E517B3">
              <w:rPr>
                <w:rFonts w:ascii="Arial" w:eastAsia="Calibri" w:hAnsi="Arial" w:cs="Arial"/>
                <w:b/>
                <w:bCs/>
                <w:szCs w:val="22"/>
              </w:rPr>
              <w:t>Study design:</w:t>
            </w:r>
            <w:r>
              <w:rPr>
                <w:rFonts w:ascii="Arial" w:eastAsia="Calibri" w:hAnsi="Arial" w:cs="Arial"/>
                <w:szCs w:val="22"/>
              </w:rPr>
              <w:t xml:space="preserve"> </w:t>
            </w:r>
            <w:r w:rsidR="00726F9F" w:rsidRPr="00726F9F">
              <w:rPr>
                <w:rFonts w:ascii="Arial" w:eastAsia="Calibri" w:hAnsi="Arial" w:cs="Arial"/>
                <w:szCs w:val="22"/>
              </w:rPr>
              <w:t>Systematic literature review of peer-reviewed journal articles, conference proceedings, and high-quality industry reports published between 2010 and 2025.</w:t>
            </w:r>
          </w:p>
          <w:p w14:paraId="558E8C67" w14:textId="77777777" w:rsidR="00F97909" w:rsidRPr="00F97909" w:rsidRDefault="00F97909" w:rsidP="00E517B3">
            <w:pPr>
              <w:pStyle w:val="Body"/>
              <w:spacing w:after="0"/>
              <w:rPr>
                <w:rFonts w:ascii="Arial" w:eastAsia="Calibri" w:hAnsi="Arial" w:cs="Arial"/>
                <w:szCs w:val="22"/>
              </w:rPr>
            </w:pPr>
            <w:r w:rsidRPr="00726F9F">
              <w:rPr>
                <w:rFonts w:ascii="Arial" w:eastAsia="Calibri" w:hAnsi="Arial" w:cs="Arial"/>
                <w:b/>
                <w:bCs/>
                <w:szCs w:val="22"/>
              </w:rPr>
              <w:t>Place and Duration of Study:</w:t>
            </w:r>
            <w:r>
              <w:rPr>
                <w:rFonts w:ascii="Arial" w:eastAsia="Calibri" w:hAnsi="Arial" w:cs="Arial"/>
                <w:szCs w:val="22"/>
              </w:rPr>
              <w:t xml:space="preserve"> </w:t>
            </w:r>
            <w:r w:rsidR="00726F9F" w:rsidRPr="00726F9F">
              <w:rPr>
                <w:rFonts w:ascii="Arial" w:eastAsia="Calibri" w:hAnsi="Arial" w:cs="Arial"/>
                <w:szCs w:val="22"/>
              </w:rPr>
              <w:t>The study was conducted as a desk-based review, covering global equity markets with a special focus on developing economies such as Indonesia. The review period spanned publications from January 2010 to June 2025.</w:t>
            </w:r>
          </w:p>
          <w:p w14:paraId="58AD36DD" w14:textId="77777777" w:rsidR="00F97909" w:rsidRPr="00F97909" w:rsidRDefault="00F97909" w:rsidP="00E517B3">
            <w:pPr>
              <w:pStyle w:val="Body"/>
              <w:spacing w:after="0"/>
              <w:rPr>
                <w:rFonts w:ascii="Arial" w:eastAsia="Calibri" w:hAnsi="Arial" w:cs="Arial"/>
                <w:szCs w:val="22"/>
              </w:rPr>
            </w:pPr>
            <w:r w:rsidRPr="00E517B3">
              <w:rPr>
                <w:rFonts w:ascii="Arial" w:eastAsia="Calibri" w:hAnsi="Arial" w:cs="Arial"/>
                <w:b/>
                <w:bCs/>
                <w:szCs w:val="22"/>
              </w:rPr>
              <w:t>Methodology:</w:t>
            </w:r>
            <w:r>
              <w:rPr>
                <w:rFonts w:ascii="Arial" w:eastAsia="Calibri" w:hAnsi="Arial" w:cs="Arial"/>
                <w:szCs w:val="22"/>
              </w:rPr>
              <w:t xml:space="preserve"> </w:t>
            </w:r>
            <w:r w:rsidR="00726F9F" w:rsidRPr="00726F9F">
              <w:rPr>
                <w:rFonts w:ascii="Arial" w:eastAsia="Calibri" w:hAnsi="Arial" w:cs="Arial"/>
                <w:szCs w:val="22"/>
              </w:rPr>
              <w:t xml:space="preserve">Relevant literature was identified through academic databases including Scopus, Web of Science, and Google Scholar, using keywords such as </w:t>
            </w:r>
            <w:r w:rsidR="00726F9F" w:rsidRPr="00726F9F">
              <w:rPr>
                <w:rFonts w:ascii="Arial" w:eastAsia="Calibri" w:hAnsi="Arial" w:cs="Arial"/>
                <w:i/>
                <w:iCs/>
                <w:szCs w:val="22"/>
              </w:rPr>
              <w:t>“equity offering marketing,” “roadshows,” “digital branding,” “social media,”</w:t>
            </w:r>
            <w:r w:rsidR="00726F9F" w:rsidRPr="00726F9F">
              <w:rPr>
                <w:rFonts w:ascii="Arial" w:eastAsia="Calibri" w:hAnsi="Arial" w:cs="Arial"/>
                <w:szCs w:val="22"/>
              </w:rPr>
              <w:t xml:space="preserve"> and </w:t>
            </w:r>
            <w:r w:rsidR="00726F9F" w:rsidRPr="00726F9F">
              <w:rPr>
                <w:rFonts w:ascii="Arial" w:eastAsia="Calibri" w:hAnsi="Arial" w:cs="Arial"/>
                <w:i/>
                <w:iCs/>
                <w:szCs w:val="22"/>
              </w:rPr>
              <w:t>“investor relations.”</w:t>
            </w:r>
            <w:r w:rsidR="00726F9F" w:rsidRPr="00726F9F">
              <w:rPr>
                <w:rFonts w:ascii="Arial" w:eastAsia="Calibri" w:hAnsi="Arial" w:cs="Arial"/>
                <w:szCs w:val="22"/>
              </w:rPr>
              <w:t xml:space="preserve"> Studies were screened for relevance and methodological rigor, with inclusion criteria limited to peer-reviewed articles, conference papers, and credible institutional reports. The final sample included 87 publications. Themes were coded and analyzed to identify recurring marketing techniques, challenges, and outcomes across different contexts. Special attention was given to digital and social media trends, as well as their interaction with corporate governance and long-term firm performance.</w:t>
            </w:r>
          </w:p>
          <w:p w14:paraId="081EA843" w14:textId="77777777" w:rsidR="00F97909" w:rsidRPr="00F97909" w:rsidRDefault="00F97909" w:rsidP="00E517B3">
            <w:pPr>
              <w:pStyle w:val="Body"/>
              <w:spacing w:after="0"/>
              <w:rPr>
                <w:rFonts w:ascii="Arial" w:eastAsia="Calibri" w:hAnsi="Arial" w:cs="Arial"/>
                <w:szCs w:val="22"/>
              </w:rPr>
            </w:pPr>
            <w:r w:rsidRPr="00E517B3">
              <w:rPr>
                <w:rFonts w:ascii="Arial" w:eastAsia="Calibri" w:hAnsi="Arial" w:cs="Arial"/>
                <w:b/>
                <w:bCs/>
                <w:szCs w:val="22"/>
              </w:rPr>
              <w:t>Results:</w:t>
            </w:r>
            <w:r>
              <w:rPr>
                <w:rFonts w:ascii="Arial" w:eastAsia="Calibri" w:hAnsi="Arial" w:cs="Arial"/>
                <w:szCs w:val="22"/>
              </w:rPr>
              <w:t xml:space="preserve"> </w:t>
            </w:r>
            <w:r w:rsidR="00726F9F" w:rsidRPr="00726F9F">
              <w:t>Traditional roadshows and structured investor engagement dominate equity offering marketing, particularly in developed markets. Digital platforms have expanded investor reach, democratized access, and introduced new challenges such as volatility and reputational risk. Investor sentiment was influenced by social media activity, while long-term performance outcomes varied across studies. Cross-market comparisons indicate that emerging economies, including Indonesia, face difficulties in aligning marketing narratives with corporate governance practices and sustainable business strategies. The review identifies a significant research gap concerning standardized digital branding practices in equity markets.</w:t>
            </w:r>
          </w:p>
          <w:p w14:paraId="1B29BC01" w14:textId="77777777" w:rsidR="00505F06" w:rsidRPr="00726F9F" w:rsidRDefault="00F97909" w:rsidP="00726F9F">
            <w:pPr>
              <w:pStyle w:val="Body"/>
              <w:spacing w:after="0"/>
              <w:rPr>
                <w:lang w:val="en-ID"/>
              </w:rPr>
            </w:pPr>
            <w:r w:rsidRPr="009056F1">
              <w:rPr>
                <w:rFonts w:ascii="Arial" w:eastAsia="Calibri" w:hAnsi="Arial" w:cs="Arial"/>
                <w:b/>
                <w:bCs/>
                <w:szCs w:val="22"/>
              </w:rPr>
              <w:t>Conclusion:</w:t>
            </w:r>
            <w:r>
              <w:rPr>
                <w:rFonts w:ascii="Arial" w:eastAsia="Calibri" w:hAnsi="Arial" w:cs="Arial"/>
                <w:szCs w:val="22"/>
              </w:rPr>
              <w:t xml:space="preserve"> </w:t>
            </w:r>
            <w:r w:rsidR="00726F9F" w:rsidRPr="00726F9F">
              <w:rPr>
                <w:lang w:val="en-ID"/>
              </w:rPr>
              <w:t>A balanced equity offering strategy that builds credibility, trust, and durable investor relationships requires both sound financial preparation and effective marketing communication. Excessive reliance on hype-driven marketing may enhance short-term visibility but undermine long-term performance. Future research should focus on transparent and accountable marketing narratives that support sustainable development and long-term shareholder value, particularly in developing economies.</w:t>
            </w:r>
          </w:p>
        </w:tc>
      </w:tr>
    </w:tbl>
    <w:p w14:paraId="3E92FB4C" w14:textId="77777777" w:rsidR="00636EB2" w:rsidRDefault="00636EB2" w:rsidP="00441B6F">
      <w:pPr>
        <w:pStyle w:val="Body"/>
        <w:spacing w:after="0"/>
        <w:rPr>
          <w:rFonts w:ascii="Arial" w:hAnsi="Arial" w:cs="Arial"/>
          <w:i/>
        </w:rPr>
      </w:pPr>
    </w:p>
    <w:p w14:paraId="27BF561F" w14:textId="77777777" w:rsidR="00A24E7E" w:rsidRDefault="00A24E7E" w:rsidP="00441B6F">
      <w:pPr>
        <w:pStyle w:val="Body"/>
        <w:spacing w:after="0"/>
        <w:rPr>
          <w:rFonts w:ascii="Arial" w:hAnsi="Arial" w:cs="Arial"/>
          <w:i/>
        </w:rPr>
      </w:pPr>
      <w:r>
        <w:rPr>
          <w:rFonts w:ascii="Arial" w:hAnsi="Arial" w:cs="Arial"/>
          <w:i/>
        </w:rPr>
        <w:t xml:space="preserve">Keywords: </w:t>
      </w:r>
      <w:r w:rsidR="007642CC" w:rsidRPr="007642CC">
        <w:rPr>
          <w:rFonts w:ascii="Arial" w:hAnsi="Arial" w:cs="Arial"/>
          <w:i/>
        </w:rPr>
        <w:t>Initial Public Offering, Marketing Strategy, Investor Relations, Roadshows, Digital Communication</w:t>
      </w:r>
    </w:p>
    <w:p w14:paraId="7257AFF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0756C0" w14:textId="77777777" w:rsidR="00790ADA" w:rsidRPr="00FB3A86" w:rsidRDefault="00790ADA" w:rsidP="00441B6F">
      <w:pPr>
        <w:pStyle w:val="AbstHead"/>
        <w:spacing w:after="0"/>
        <w:jc w:val="both"/>
        <w:rPr>
          <w:rFonts w:ascii="Arial" w:hAnsi="Arial" w:cs="Arial"/>
        </w:rPr>
      </w:pPr>
    </w:p>
    <w:p w14:paraId="1997D580" w14:textId="77777777" w:rsidR="003244E6" w:rsidRDefault="003244E6" w:rsidP="003244E6">
      <w:pPr>
        <w:pStyle w:val="Body"/>
      </w:pPr>
      <w:r>
        <w:t xml:space="preserve">Businesses must grow to remain competitive and expand their market share. One commonly used mechanism to achieve this is through public equity issuance. By offering shares to the public, firms raise capital while enhancing credibility and legitimacy among external </w:t>
      </w:r>
      <w:r>
        <w:lastRenderedPageBreak/>
        <w:t>stakeholders, particularly investors (Ganesh et al., 2021). Access to capital markets increases corporate visibility and reputation in competitive environments. However, public equity issuance requires careful planning, strategic communication, and effective marketing that accounts for both internal readiness and external market conditions. Decisions related to share listings are influenced by multiple factors, including investor sentiment, regulatory requirements, industry dynamics, financial stability, leadership quality, and competitive positioning. Equity issuance signals a firm’s growth strategy and expansion potential to the market (Mehmood et al., 2024). To shape investor valuation, firms rely on purposeful signaling mechanisms. Corporate branding, investor relations, and structured investor presentations play a critical role in crafting this narrative. Without adequate marketing support, even fundamentally strong firms may struggle to attract investor interest or face unfavorable pricing outcomes.</w:t>
      </w:r>
    </w:p>
    <w:p w14:paraId="70E6497E" w14:textId="77777777" w:rsidR="003244E6" w:rsidRDefault="003244E6" w:rsidP="003244E6">
      <w:pPr>
        <w:pStyle w:val="Body"/>
      </w:pPr>
    </w:p>
    <w:p w14:paraId="4D9E573E" w14:textId="77777777" w:rsidR="003244E6" w:rsidRDefault="003244E6" w:rsidP="003244E6">
      <w:pPr>
        <w:pStyle w:val="Body"/>
      </w:pPr>
      <w:r>
        <w:t>Understanding how investors process information underscores the importance of marketing in equity offerings. Prior research suggests that firms possess superior information about their true quality and future prospects, while investors rely largely on external signals (Ritter, 1991; Loughran &amp; Ritter, 1995). Marketing activities help bridge this information gap by enhancing credibility and communicating growth potential. Pre-offering marketing efforts can increase market awareness, stimulate investor interest, and improve issuance outcomes (Luo, 2008). Professional investor relations and structured communication strategies strengthen this process, although they may also contribute to short-term pricing distortions (Chahine et al., 2019). These findings indicate that marketing functions not only as an informational tool but also as a persuasive mechanism that can materially influence market outcomes. Investor presentations and roadshows, for instance, allow management to communicate corporate strategies, financial performance, and long-term vision directly to institutional investors. The quality of executive communication—including tone, content, and delivery—can significantly affect investor perceptions and valuation (Blankespoor et al., 2017). Traditionally conducted through face-to-face interactions, marketing practices surrounding equity issuance have increasingly incorporated digital formats to expand engagement and accelerate information dissemination. Evidence suggests that managerial tone in digital presentations and online investor participation can predict early pricing dynamics and market volatility (Gao, 2008).</w:t>
      </w:r>
    </w:p>
    <w:p w14:paraId="4E85B1BA" w14:textId="77777777" w:rsidR="003244E6" w:rsidRDefault="003244E6" w:rsidP="003244E6">
      <w:pPr>
        <w:pStyle w:val="Body"/>
      </w:pPr>
    </w:p>
    <w:p w14:paraId="79FFFBFE" w14:textId="77777777" w:rsidR="003244E6" w:rsidRDefault="003244E6" w:rsidP="003244E6">
      <w:pPr>
        <w:pStyle w:val="Body"/>
      </w:pPr>
      <w:r>
        <w:t xml:space="preserve">Marketing practices surrounding equity offerings have further evolved with the growing importance of social media and digital communication channels. Online discourse on platforms such as Twitter, financial forums, and investment-focused media increasingly shapes investor perceptions of firm quality prior to share listings (Cookson &amp; Niessner, 2020). Digital marketing offers both opportunities and risks: while it broadens access to potential investors and democratizes information flows, it also amplifies sentiment-driven volatility and exposes firms to reputational risks. Consequently, contemporary equity offering marketing must balance digital engagement with credibility and transparency to sustain investor trust. Beyond communication channels, marketing-related practices include demand-testing mechanisms such as pilot fishing and competitive underwriting selection, which allow firms and intermediaries to assess investor interest before pricing and allocation decisions. These practices resemble market research tools used to align supply with demand and can enhance the effectiveness of book-building by signaling early investor appetite (Jenkinson &amp; Jones, 2009). In consumer-driven sectors such as fashion and technology, where brand recognition strongly influences market performance, pre-listing marketing efforts often extend to customer-facing campaigns that enhance brand equity </w:t>
      </w:r>
      <w:r>
        <w:lastRenderedPageBreak/>
        <w:t>alongside investor awareness. Thus, marketing in equity offerings influences both financial markets and corporate branding.</w:t>
      </w:r>
    </w:p>
    <w:p w14:paraId="6C732DCA" w14:textId="77777777" w:rsidR="003244E6" w:rsidRDefault="003244E6" w:rsidP="003244E6">
      <w:pPr>
        <w:pStyle w:val="Body"/>
      </w:pPr>
    </w:p>
    <w:p w14:paraId="19B09B97" w14:textId="77777777" w:rsidR="003244E6" w:rsidRDefault="003244E6" w:rsidP="003244E6">
      <w:pPr>
        <w:pStyle w:val="Body"/>
      </w:pPr>
      <w:r>
        <w:t>Despite these benefits, aligning marketing strategies with long-term shareholder value remains challenging. Excessive reliance on hype-driven narratives may temporarily boost demand but can result in overvaluation, subsequent price corrections, and reputational damage. Evidence from emerging markets, including Indonesia, indicates that aggressive equity offering promotion may be associated with post-listing underperformance (</w:t>
      </w:r>
      <w:proofErr w:type="spellStart"/>
      <w:r>
        <w:t>Mindosa</w:t>
      </w:r>
      <w:proofErr w:type="spellEnd"/>
      <w:r>
        <w:t xml:space="preserve"> &amp; </w:t>
      </w:r>
      <w:proofErr w:type="spellStart"/>
      <w:r>
        <w:t>Pasaribu</w:t>
      </w:r>
      <w:proofErr w:type="spellEnd"/>
      <w:r>
        <w:t>, 2020). These outcomes highlight the importance of integrating marketing initiatives with sound corporate governance, sustainable business models, and realistic growth narratives. Strategic frameworks such as PESTEL, SWOT, and the Ansoff matrix can assist firms in aligning equity issuance marketing with broader strategic objectives. Public equity issuance involves both financial and communicative dimensions, where success depends not only on capital structure and governance quality but also on the ability to convey value, manage investor expectations, and build long-term confidence. Marketing activities serve as a bridge between firms and capital markets by reducing information asymmetry and shaping post-listing performance. As global competition intensifies and digital channels continue to transform investor behavior, marketing in equity offerings becomes increasingly consequential.</w:t>
      </w:r>
    </w:p>
    <w:p w14:paraId="274DB76A" w14:textId="77777777" w:rsidR="003244E6" w:rsidRDefault="003244E6" w:rsidP="003244E6">
      <w:pPr>
        <w:pStyle w:val="Body"/>
      </w:pPr>
    </w:p>
    <w:p w14:paraId="6B8222E4" w14:textId="77777777" w:rsidR="007642CC" w:rsidRDefault="003244E6" w:rsidP="003244E6">
      <w:pPr>
        <w:pStyle w:val="Body"/>
        <w:spacing w:after="0"/>
        <w:rPr>
          <w:rFonts w:ascii="Arial" w:hAnsi="Arial" w:cs="Arial"/>
        </w:rPr>
      </w:pPr>
      <w:r>
        <w:t>This study synthesizes prior research on marketing strategies used in equity issuance preparation, focusing on how firms design communication plans, build brand identities, and engage with investors to improve market outcomes. Drawing on theoretical frameworks, empirical evidence, and contemporary practices, the review identifies key marketing dimensions that influence investor perceptions, pricing dynamics, and long-term performance following public share listings. It also explores challenges specific to developing economies, where institutional settings, regulatory frameworks, and market maturity may alter conventional marketing approaches. The study concludes by assessing how marketing preparedness contributes to successful equity offerings and outlines directions for future research.</w:t>
      </w:r>
      <w:r w:rsidR="007642CC" w:rsidRPr="007642CC">
        <w:rPr>
          <w:rFonts w:ascii="Arial" w:hAnsi="Arial" w:cs="Arial"/>
        </w:rPr>
        <w:t xml:space="preserve"> </w:t>
      </w:r>
    </w:p>
    <w:p w14:paraId="7A81664E" w14:textId="77777777" w:rsidR="00790ADA" w:rsidRPr="00FB3A86" w:rsidRDefault="00790ADA" w:rsidP="00441B6F">
      <w:pPr>
        <w:pStyle w:val="Body"/>
        <w:spacing w:after="0"/>
        <w:rPr>
          <w:rFonts w:ascii="Arial" w:hAnsi="Arial" w:cs="Arial"/>
        </w:rPr>
      </w:pPr>
    </w:p>
    <w:p w14:paraId="513ECAA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0F230ED" w14:textId="77777777" w:rsidR="00790ADA" w:rsidRPr="00FB3A86" w:rsidRDefault="00790ADA" w:rsidP="00441B6F">
      <w:pPr>
        <w:pStyle w:val="AbstHead"/>
        <w:spacing w:after="0"/>
        <w:jc w:val="both"/>
        <w:rPr>
          <w:rFonts w:ascii="Arial" w:hAnsi="Arial" w:cs="Arial"/>
        </w:rPr>
      </w:pPr>
    </w:p>
    <w:p w14:paraId="164BEB63" w14:textId="77777777" w:rsidR="00E061D4" w:rsidRDefault="00E061D4" w:rsidP="00E061D4">
      <w:pPr>
        <w:pStyle w:val="Body"/>
        <w:spacing w:after="0"/>
        <w:rPr>
          <w:lang w:val="en-ID"/>
        </w:rPr>
      </w:pPr>
      <w:r w:rsidRPr="00E061D4">
        <w:rPr>
          <w:lang w:val="en-ID"/>
        </w:rPr>
        <w:t>This comprehensive literature review examines marketing methods used in public equity offerings. In the absence of primary data, a review-based approach enables the integration of theoretical foundations, empirical findings, and emerging practices (Snyder, 2019). The review followed established principles of academic synthesis emphasizing transparency, consistency, and methodological rigor (</w:t>
      </w:r>
      <w:proofErr w:type="spellStart"/>
      <w:r w:rsidRPr="00E061D4">
        <w:rPr>
          <w:lang w:val="en-ID"/>
        </w:rPr>
        <w:t>Tranfield</w:t>
      </w:r>
      <w:proofErr w:type="spellEnd"/>
      <w:r w:rsidRPr="00E061D4">
        <w:rPr>
          <w:lang w:val="en-ID"/>
        </w:rPr>
        <w:t xml:space="preserve">, </w:t>
      </w:r>
      <w:proofErr w:type="spellStart"/>
      <w:r w:rsidRPr="00E061D4">
        <w:rPr>
          <w:lang w:val="en-ID"/>
        </w:rPr>
        <w:t>Denyer</w:t>
      </w:r>
      <w:proofErr w:type="spellEnd"/>
      <w:r w:rsidRPr="00E061D4">
        <w:rPr>
          <w:lang w:val="en-ID"/>
        </w:rPr>
        <w:t>, &amp; Smart, 2003). The process involved defining the scope of the review, identifying relevant sources, applying explicit selection criteria, and synthesizing key findings. This approach facilitates an evaluation of how marketing strategies influence equity issuance preparation and outcomes across industries and geographic contexts (Paré et al., 2015).</w:t>
      </w:r>
    </w:p>
    <w:p w14:paraId="7991EF08" w14:textId="77777777" w:rsidR="00E061D4" w:rsidRPr="00E061D4" w:rsidRDefault="00E061D4" w:rsidP="00E061D4">
      <w:pPr>
        <w:pStyle w:val="Body"/>
        <w:spacing w:after="0"/>
        <w:rPr>
          <w:lang w:val="en-ID"/>
        </w:rPr>
      </w:pPr>
    </w:p>
    <w:p w14:paraId="6E8BFD57" w14:textId="77777777" w:rsidR="00E061D4" w:rsidRDefault="00E061D4" w:rsidP="00E061D4">
      <w:pPr>
        <w:pStyle w:val="Body"/>
        <w:spacing w:after="0"/>
        <w:rPr>
          <w:lang w:val="en-ID"/>
        </w:rPr>
      </w:pPr>
      <w:r w:rsidRPr="00E061D4">
        <w:rPr>
          <w:lang w:val="en-ID"/>
        </w:rPr>
        <w:t xml:space="preserve">The study focused on peer-reviewed journal articles, conference proceedings, and reputable institutional and industry reports. The selected time horizon captured both foundational research on information asymmetry and investor </w:t>
      </w:r>
      <w:proofErr w:type="spellStart"/>
      <w:r w:rsidRPr="00E061D4">
        <w:rPr>
          <w:lang w:val="en-ID"/>
        </w:rPr>
        <w:t>signaling</w:t>
      </w:r>
      <w:proofErr w:type="spellEnd"/>
      <w:r w:rsidRPr="00E061D4">
        <w:rPr>
          <w:lang w:val="en-ID"/>
        </w:rPr>
        <w:t xml:space="preserve"> as well as more recent studies addressing digital communication, social media, and investor relations in capital markets. Search keywords included </w:t>
      </w:r>
      <w:r w:rsidRPr="00E061D4">
        <w:rPr>
          <w:i/>
          <w:iCs/>
          <w:lang w:val="en-ID"/>
        </w:rPr>
        <w:t xml:space="preserve">“equity offering marketing strategy,” “investor relations in equity offerings,” “roadshows and equity offering performance,” “digital communication in capital </w:t>
      </w:r>
      <w:r w:rsidRPr="00E061D4">
        <w:rPr>
          <w:i/>
          <w:iCs/>
          <w:lang w:val="en-ID"/>
        </w:rPr>
        <w:lastRenderedPageBreak/>
        <w:t>markets,”</w:t>
      </w:r>
      <w:r w:rsidRPr="00E061D4">
        <w:rPr>
          <w:lang w:val="en-ID"/>
        </w:rPr>
        <w:t xml:space="preserve"> and </w:t>
      </w:r>
      <w:r w:rsidRPr="00E061D4">
        <w:rPr>
          <w:i/>
          <w:iCs/>
          <w:lang w:val="en-ID"/>
        </w:rPr>
        <w:t>“corporate branding in public share offerings.”</w:t>
      </w:r>
      <w:r w:rsidRPr="00E061D4">
        <w:rPr>
          <w:lang w:val="en-ID"/>
        </w:rPr>
        <w:t xml:space="preserve"> Consistent with systematic review best practices, databases such as Scopus, Web of Science, and Google Scholar were used to ensure comprehensive coverage (Xiao &amp; Watson, 2019). In addition, backward snowballing of reference lists from influential studies was employed to identify further relevant literature.</w:t>
      </w:r>
    </w:p>
    <w:p w14:paraId="0B82E121" w14:textId="77777777" w:rsidR="00E061D4" w:rsidRPr="00E061D4" w:rsidRDefault="00E061D4" w:rsidP="00E061D4">
      <w:pPr>
        <w:pStyle w:val="Body"/>
        <w:spacing w:after="0"/>
        <w:rPr>
          <w:lang w:val="en-ID"/>
        </w:rPr>
      </w:pPr>
    </w:p>
    <w:p w14:paraId="37035F78" w14:textId="77777777" w:rsidR="00E061D4" w:rsidRPr="00E061D4" w:rsidRDefault="00E061D4" w:rsidP="00E061D4">
      <w:pPr>
        <w:pStyle w:val="Body"/>
        <w:spacing w:after="0"/>
        <w:rPr>
          <w:lang w:val="en-ID"/>
        </w:rPr>
      </w:pPr>
      <w:r w:rsidRPr="00E061D4">
        <w:rPr>
          <w:lang w:val="en-ID"/>
        </w:rPr>
        <w:t xml:space="preserve">Strict inclusion and exclusion criteria were applied to ensure the quality and relevance of the selected sources. Studies were included if they explicitly examined marketing, communication, or investor relations strategies in public equity offerings or provided theoretical or empirical evidence linking marketing activities to market outcomes such as pricing efficiency, investor demand, firm valuation, or post-listing performance. Excluded materials comprised opinion-based articles lacking empirical support, financial </w:t>
      </w:r>
      <w:proofErr w:type="spellStart"/>
      <w:r w:rsidRPr="00E061D4">
        <w:rPr>
          <w:lang w:val="en-ID"/>
        </w:rPr>
        <w:t>modeling</w:t>
      </w:r>
      <w:proofErr w:type="spellEnd"/>
      <w:r w:rsidRPr="00E061D4">
        <w:rPr>
          <w:lang w:val="en-ID"/>
        </w:rPr>
        <w:t xml:space="preserve"> studies without a marketing focus, and non-English publications. After applying these criteria, 70 studies were retained for in-depth analysis. This sample size was deemed sufficient to allow comprehensive synthesis while maintaining analytical rigor (Okoli, 2015).</w:t>
      </w:r>
    </w:p>
    <w:p w14:paraId="17724614" w14:textId="77777777" w:rsidR="00695F0D" w:rsidRPr="00E061D4" w:rsidRDefault="00E061D4" w:rsidP="00695F0D">
      <w:pPr>
        <w:pStyle w:val="Body"/>
        <w:spacing w:after="0"/>
        <w:rPr>
          <w:lang w:val="en-ID"/>
        </w:rPr>
      </w:pPr>
      <w:r w:rsidRPr="00E061D4">
        <w:rPr>
          <w:lang w:val="en-ID"/>
        </w:rPr>
        <w:t>The analysis employed thematic synthesis to organize the literature into major research streams (Thomas &amp; Harden, 2008). Identified themes included traditional marketing practices such as roadshows and investor relations, corporate branding and reputation, the use of digital platforms and social media, and the effects of marketing strategies on pricing dynamics and long-term firm performance. Comparative analysis within and across themes revealed prevailing patterns, inconsistencies, and research gaps. Particular attention was given to differences between developed and emerging markets, where institutional environments and investor characteristics shape the effectiveness of marketing approaches. This synthesis resulted in an integrated framework illustrating how marketing preparedness interacts with financial and regulatory factors to influence outcomes in public equity offerings.</w:t>
      </w:r>
      <w:r w:rsidR="00695F0D" w:rsidRPr="00695F0D">
        <w:rPr>
          <w:rFonts w:ascii="Arial" w:hAnsi="Arial" w:cs="Arial"/>
        </w:rPr>
        <w:t xml:space="preserve"> </w:t>
      </w:r>
    </w:p>
    <w:p w14:paraId="15F72BAF" w14:textId="77777777" w:rsidR="00695F0D" w:rsidRDefault="00695F0D" w:rsidP="00695F0D">
      <w:pPr>
        <w:pStyle w:val="Body"/>
        <w:spacing w:after="0"/>
        <w:rPr>
          <w:rFonts w:ascii="Arial" w:hAnsi="Arial" w:cs="Arial"/>
        </w:rPr>
      </w:pPr>
    </w:p>
    <w:p w14:paraId="465397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FF3EC18" w14:textId="77777777" w:rsidR="00790ADA" w:rsidRPr="00FB3A86" w:rsidRDefault="00790ADA" w:rsidP="00441B6F">
      <w:pPr>
        <w:pStyle w:val="Head1"/>
        <w:spacing w:after="0"/>
        <w:jc w:val="both"/>
        <w:rPr>
          <w:rFonts w:ascii="Arial" w:hAnsi="Arial" w:cs="Arial"/>
        </w:rPr>
      </w:pPr>
    </w:p>
    <w:p w14:paraId="1BB50CEB" w14:textId="77777777" w:rsidR="00D65B81" w:rsidRPr="00E74136" w:rsidRDefault="00E74136" w:rsidP="00D65B81">
      <w:pPr>
        <w:pStyle w:val="Body"/>
        <w:rPr>
          <w:rFonts w:ascii="Arial" w:hAnsi="Arial" w:cs="Arial"/>
          <w:b/>
          <w:bCs/>
        </w:rPr>
      </w:pPr>
      <w:r w:rsidRPr="00E74136">
        <w:rPr>
          <w:rFonts w:ascii="Arial" w:hAnsi="Arial" w:cs="Arial"/>
          <w:b/>
          <w:bCs/>
        </w:rPr>
        <w:t xml:space="preserve">3.1 </w:t>
      </w:r>
      <w:r w:rsidR="009E4315" w:rsidRPr="009E4315">
        <w:rPr>
          <w:rFonts w:ascii="Arial" w:hAnsi="Arial" w:cs="Arial"/>
          <w:b/>
          <w:bCs/>
        </w:rPr>
        <w:t>The Role of Marketing in Equity Offering Success</w:t>
      </w:r>
    </w:p>
    <w:p w14:paraId="0BBD4FB1" w14:textId="77777777" w:rsidR="00D65B81" w:rsidRPr="00D65B81" w:rsidRDefault="009E4315" w:rsidP="009E4315">
      <w:pPr>
        <w:pStyle w:val="Body"/>
        <w:rPr>
          <w:rFonts w:ascii="Arial" w:hAnsi="Arial" w:cs="Arial"/>
        </w:rPr>
      </w:pPr>
      <w:r w:rsidRPr="009E4315">
        <w:rPr>
          <w:rFonts w:ascii="Arial" w:hAnsi="Arial" w:cs="Arial"/>
        </w:rPr>
        <w:t>Marketing techniques play a critical role in the success of public equity offerings. They influence pricing efficiency, subscription levels, investor relationships, and corporate reputation. To stand out during a share listing, Ashcroft (2010) argues that firms must employ precise messaging and appropriate timing. Ritter (2011) further explains that marketing helps reduce information asymmetry between issuers and investors. Through clear disclosures and strategic branding, firms communicate their quality, growth ambitions, and long-term vision to market participants.</w:t>
      </w:r>
      <w:r>
        <w:rPr>
          <w:rFonts w:ascii="Arial" w:hAnsi="Arial" w:cs="Arial"/>
        </w:rPr>
        <w:t xml:space="preserve"> </w:t>
      </w:r>
      <w:r w:rsidRPr="009E4315">
        <w:rPr>
          <w:rFonts w:ascii="Arial" w:hAnsi="Arial" w:cs="Arial"/>
        </w:rPr>
        <w:t xml:space="preserve">Recent studies emphasize the importance of marketing in brand development, investor education, and trust building. Marketing activities surrounding equity offerings increasingly encompass digital engagement, social media communication, roadshows, and enhanced financial transparency (Sani &amp; </w:t>
      </w:r>
      <w:proofErr w:type="spellStart"/>
      <w:r w:rsidRPr="009E4315">
        <w:rPr>
          <w:rFonts w:ascii="Arial" w:hAnsi="Arial" w:cs="Arial"/>
        </w:rPr>
        <w:t>Lukito</w:t>
      </w:r>
      <w:proofErr w:type="spellEnd"/>
      <w:r w:rsidRPr="009E4315">
        <w:rPr>
          <w:rFonts w:ascii="Arial" w:hAnsi="Arial" w:cs="Arial"/>
        </w:rPr>
        <w:t>, 2025). Chamid (2024) highlights that continuous and consistent communication is essential to align investor expectations with a firm’s long-term strategic objectives. These findings suggest that marketing in public equity issuance is a holistic process that links corporate identity with investor confidence.</w:t>
      </w:r>
    </w:p>
    <w:p w14:paraId="78A6F53E" w14:textId="77777777" w:rsidR="00D65B81" w:rsidRPr="00E74136" w:rsidRDefault="00E74136" w:rsidP="00D65B81">
      <w:pPr>
        <w:pStyle w:val="Body"/>
        <w:rPr>
          <w:rFonts w:ascii="Arial" w:hAnsi="Arial" w:cs="Arial"/>
          <w:b/>
          <w:bCs/>
        </w:rPr>
      </w:pPr>
      <w:r>
        <w:rPr>
          <w:rFonts w:ascii="Arial" w:hAnsi="Arial" w:cs="Arial"/>
          <w:b/>
          <w:bCs/>
        </w:rPr>
        <w:t xml:space="preserve">3.2 </w:t>
      </w:r>
      <w:r w:rsidR="00C33073" w:rsidRPr="00C33073">
        <w:rPr>
          <w:rFonts w:ascii="Arial" w:hAnsi="Arial" w:cs="Arial"/>
          <w:b/>
          <w:bCs/>
        </w:rPr>
        <w:t>Communication, Branding, and Investor Relations</w:t>
      </w:r>
    </w:p>
    <w:p w14:paraId="381B315A" w14:textId="77777777" w:rsidR="00C33073" w:rsidRPr="00C33073" w:rsidRDefault="00C33073" w:rsidP="00C33073">
      <w:pPr>
        <w:pStyle w:val="Body"/>
        <w:rPr>
          <w:rFonts w:ascii="Arial" w:hAnsi="Arial" w:cs="Arial"/>
        </w:rPr>
      </w:pPr>
      <w:r w:rsidRPr="00C33073">
        <w:rPr>
          <w:rFonts w:ascii="Arial" w:hAnsi="Arial" w:cs="Arial"/>
        </w:rPr>
        <w:t xml:space="preserve">Another major stream of literature examines how communication and branding shape investor relations. </w:t>
      </w:r>
      <w:proofErr w:type="spellStart"/>
      <w:r w:rsidRPr="00C33073">
        <w:rPr>
          <w:rFonts w:ascii="Arial" w:hAnsi="Arial" w:cs="Arial"/>
        </w:rPr>
        <w:t>Darmawati</w:t>
      </w:r>
      <w:proofErr w:type="spellEnd"/>
      <w:r w:rsidRPr="00C33073">
        <w:rPr>
          <w:rFonts w:ascii="Arial" w:hAnsi="Arial" w:cs="Arial"/>
        </w:rPr>
        <w:t xml:space="preserve"> and </w:t>
      </w:r>
      <w:proofErr w:type="spellStart"/>
      <w:r w:rsidRPr="00C33073">
        <w:rPr>
          <w:rFonts w:ascii="Arial" w:hAnsi="Arial" w:cs="Arial"/>
        </w:rPr>
        <w:t>Satory</w:t>
      </w:r>
      <w:proofErr w:type="spellEnd"/>
      <w:r w:rsidRPr="00C33073">
        <w:rPr>
          <w:rFonts w:ascii="Arial" w:hAnsi="Arial" w:cs="Arial"/>
        </w:rPr>
        <w:t xml:space="preserve"> (2025) argue that a firm’s vision, growth potential, and innovative business models significantly influence investor interest. For example, Fore Coffee differentiated itself in competitive markets by emphasizing technology adoption in its equity offering branding strategy. Renu (2023) notes that brand-oriented marketing is most </w:t>
      </w:r>
      <w:r w:rsidRPr="00C33073">
        <w:rPr>
          <w:rFonts w:ascii="Arial" w:hAnsi="Arial" w:cs="Arial"/>
        </w:rPr>
        <w:lastRenderedPageBreak/>
        <w:t>effective when it builds emotional connections, presenting the firm not only as a financial opportunity but also as a credible and trustworthy brand.</w:t>
      </w:r>
    </w:p>
    <w:p w14:paraId="06411DD8" w14:textId="77777777" w:rsidR="00D65B81" w:rsidRPr="00D65B81" w:rsidRDefault="00C33073" w:rsidP="00C33073">
      <w:pPr>
        <w:pStyle w:val="Body"/>
        <w:rPr>
          <w:rFonts w:ascii="Arial" w:hAnsi="Arial" w:cs="Arial"/>
        </w:rPr>
      </w:pPr>
      <w:r w:rsidRPr="00C33073">
        <w:rPr>
          <w:rFonts w:ascii="Arial" w:hAnsi="Arial" w:cs="Arial"/>
        </w:rPr>
        <w:t>Direct engagement with investors through roadshows and formal presentations remains a key communication tool. Such events allow executives to address concerns, explain growth trajectories, and personalize the firm’s value proposition (</w:t>
      </w:r>
      <w:proofErr w:type="spellStart"/>
      <w:r w:rsidRPr="00C33073">
        <w:rPr>
          <w:rFonts w:ascii="Arial" w:hAnsi="Arial" w:cs="Arial"/>
        </w:rPr>
        <w:t>Harahap</w:t>
      </w:r>
      <w:proofErr w:type="spellEnd"/>
      <w:r w:rsidRPr="00C33073">
        <w:rPr>
          <w:rFonts w:ascii="Arial" w:hAnsi="Arial" w:cs="Arial"/>
        </w:rPr>
        <w:t xml:space="preserve"> et al., 2023; </w:t>
      </w:r>
      <w:proofErr w:type="spellStart"/>
      <w:r w:rsidRPr="00C33073">
        <w:rPr>
          <w:rFonts w:ascii="Arial" w:hAnsi="Arial" w:cs="Arial"/>
        </w:rPr>
        <w:t>Dwinanda</w:t>
      </w:r>
      <w:proofErr w:type="spellEnd"/>
      <w:r w:rsidRPr="00C33073">
        <w:rPr>
          <w:rFonts w:ascii="Arial" w:hAnsi="Arial" w:cs="Arial"/>
        </w:rPr>
        <w:t>, 2024). Roadshows also serve as a signal of transparency and managerial competence to institutional investors. Investor engagement has tangible financial implications, particularly during insider lock-up periods, where effective communication can help mitigate adverse price movements when insiders begin to sell their shares (Ma et al., 2019).</w:t>
      </w:r>
      <w:r>
        <w:rPr>
          <w:rFonts w:ascii="Arial" w:hAnsi="Arial" w:cs="Arial"/>
        </w:rPr>
        <w:t xml:space="preserve"> </w:t>
      </w:r>
      <w:r w:rsidRPr="00C33073">
        <w:rPr>
          <w:rFonts w:ascii="Arial" w:hAnsi="Arial" w:cs="Arial"/>
        </w:rPr>
        <w:t xml:space="preserve">Digital marketing has further expanded investor outreach. Digital platforms and social media enable broader exposure and higher engagement at lower costs, allowing firms to communicate with individual investors in real time (Sani &amp; </w:t>
      </w:r>
      <w:proofErr w:type="spellStart"/>
      <w:r w:rsidRPr="00C33073">
        <w:rPr>
          <w:rFonts w:ascii="Arial" w:hAnsi="Arial" w:cs="Arial"/>
        </w:rPr>
        <w:t>Lukito</w:t>
      </w:r>
      <w:proofErr w:type="spellEnd"/>
      <w:r w:rsidRPr="00C33073">
        <w:rPr>
          <w:rFonts w:ascii="Arial" w:hAnsi="Arial" w:cs="Arial"/>
        </w:rPr>
        <w:t>, 2025). Antika (2023) emphasizes the importance of online investor segmentation to tailor communication strategies more effectively. Together, these studies indicate that firms must balance credibility-building efforts with the efficiency and scalability offered by digital communication tools.</w:t>
      </w:r>
    </w:p>
    <w:p w14:paraId="0B229A46" w14:textId="77777777" w:rsidR="00D65B81" w:rsidRPr="00FA2D45" w:rsidRDefault="00FA2D45" w:rsidP="00D65B81">
      <w:pPr>
        <w:pStyle w:val="Body"/>
        <w:rPr>
          <w:rFonts w:ascii="Arial" w:hAnsi="Arial" w:cs="Arial"/>
          <w:b/>
          <w:bCs/>
        </w:rPr>
      </w:pPr>
      <w:r>
        <w:rPr>
          <w:rFonts w:ascii="Arial" w:hAnsi="Arial" w:cs="Arial"/>
          <w:b/>
          <w:bCs/>
        </w:rPr>
        <w:t xml:space="preserve">3.3 </w:t>
      </w:r>
      <w:r w:rsidR="00D65B81" w:rsidRPr="00FA2D45">
        <w:rPr>
          <w:rFonts w:ascii="Arial" w:hAnsi="Arial" w:cs="Arial"/>
          <w:b/>
          <w:bCs/>
        </w:rPr>
        <w:t>Transparency, Risk Disclosure, and Governance</w:t>
      </w:r>
    </w:p>
    <w:p w14:paraId="498528C0" w14:textId="77777777" w:rsidR="0047234D" w:rsidRPr="0047234D" w:rsidRDefault="0047234D" w:rsidP="0047234D">
      <w:pPr>
        <w:pStyle w:val="Body"/>
        <w:rPr>
          <w:rFonts w:ascii="Arial" w:hAnsi="Arial" w:cs="Arial"/>
        </w:rPr>
      </w:pPr>
      <w:r w:rsidRPr="0047234D">
        <w:rPr>
          <w:rFonts w:ascii="Arial" w:hAnsi="Arial" w:cs="Arial"/>
        </w:rPr>
        <w:t xml:space="preserve">Marketing activities surrounding public equity offerings place strong emphasis on transparency, risk disclosure, and governance, all of which influence investor perceptions and long-term performance. </w:t>
      </w:r>
      <w:proofErr w:type="spellStart"/>
      <w:r w:rsidRPr="0047234D">
        <w:rPr>
          <w:rFonts w:ascii="Arial" w:hAnsi="Arial" w:cs="Arial"/>
        </w:rPr>
        <w:t>Radityo</w:t>
      </w:r>
      <w:proofErr w:type="spellEnd"/>
      <w:r w:rsidRPr="0047234D">
        <w:rPr>
          <w:rFonts w:ascii="Arial" w:hAnsi="Arial" w:cs="Arial"/>
        </w:rPr>
        <w:t xml:space="preserve"> (2024) argues that openness in equity issuance should be integrated with established risk management frameworks such as ISO 31000. This integration supports regulatory compliance, uncertainty management, and investor confidence. </w:t>
      </w:r>
      <w:proofErr w:type="spellStart"/>
      <w:r w:rsidRPr="0047234D">
        <w:rPr>
          <w:rFonts w:ascii="Arial" w:hAnsi="Arial" w:cs="Arial"/>
        </w:rPr>
        <w:t>Dwinanda</w:t>
      </w:r>
      <w:proofErr w:type="spellEnd"/>
      <w:r w:rsidRPr="0047234D">
        <w:rPr>
          <w:rFonts w:ascii="Arial" w:hAnsi="Arial" w:cs="Arial"/>
        </w:rPr>
        <w:t xml:space="preserve"> (2024) stresses the importance of well-prepared offering documents, noting that comprehensive disclosures allow investors to evaluate both opportunities and risks more objectively</w:t>
      </w:r>
      <w:r>
        <w:rPr>
          <w:rFonts w:ascii="Arial" w:hAnsi="Arial" w:cs="Arial"/>
        </w:rPr>
        <w:t xml:space="preserve">. </w:t>
      </w:r>
      <w:r w:rsidRPr="0047234D">
        <w:rPr>
          <w:rFonts w:ascii="Arial" w:hAnsi="Arial" w:cs="Arial"/>
        </w:rPr>
        <w:t>Jodin and Gunawan (2017) underline the role of transparency in reducing information asymmetry, asserting that clear and credible disclosure enables investors to better assess firm quality and future prospects. Ritter (2011) further notes that investors rely on additional credibility signals, such as the reputation of underwriters and external advisors, when evaluating the reliability of public share offerings. These findings suggest that marketing must combine persuasive narratives with credible third-party endorsements to establish trust.</w:t>
      </w:r>
    </w:p>
    <w:p w14:paraId="147925DE" w14:textId="77777777" w:rsidR="0047234D" w:rsidRPr="0047234D" w:rsidRDefault="0047234D" w:rsidP="0047234D">
      <w:pPr>
        <w:pStyle w:val="Body"/>
        <w:rPr>
          <w:rFonts w:ascii="Arial" w:hAnsi="Arial" w:cs="Arial"/>
        </w:rPr>
      </w:pPr>
      <w:r w:rsidRPr="0047234D">
        <w:rPr>
          <w:rFonts w:ascii="Arial" w:hAnsi="Arial" w:cs="Arial"/>
        </w:rPr>
        <w:t>However, marketing strategies are not always sustainable. Saboo, Chakravarty, and Grewal (2015) warn against “myopic marketing,” where firms sacrifice long-term marketing investments to boost short-term demand during equity issuance. While such approaches may temporarily increase investor interest, they can erode brand equity, weaken growth potential, and reduce long-term shareholder value. Governance considerations are therefore central to marketing strategy. Chamid (2024) and Wies and Moorman (2013) argue that firms must balance capital-raising objectives with responsible governance practices. Although aggressive or misleading communication may generate short-term gains, it can ultimately harm corporate reputation, investor relationships, and market performance.</w:t>
      </w:r>
    </w:p>
    <w:p w14:paraId="06AE8081" w14:textId="77777777" w:rsidR="00D65B81" w:rsidRPr="00FA2D45" w:rsidRDefault="00FA2D45" w:rsidP="00D65B81">
      <w:pPr>
        <w:pStyle w:val="Body"/>
        <w:rPr>
          <w:rFonts w:ascii="Arial" w:hAnsi="Arial" w:cs="Arial"/>
          <w:b/>
          <w:bCs/>
        </w:rPr>
      </w:pPr>
      <w:r>
        <w:rPr>
          <w:rFonts w:ascii="Arial" w:hAnsi="Arial" w:cs="Arial"/>
          <w:b/>
          <w:bCs/>
        </w:rPr>
        <w:t xml:space="preserve">3.4 </w:t>
      </w:r>
      <w:r w:rsidR="009D52A8" w:rsidRPr="009D52A8">
        <w:rPr>
          <w:rFonts w:ascii="Arial" w:hAnsi="Arial" w:cs="Arial"/>
          <w:b/>
          <w:bCs/>
        </w:rPr>
        <w:t>Post-Listing Marketing and Long-Term Implications</w:t>
      </w:r>
    </w:p>
    <w:p w14:paraId="6F8499F2" w14:textId="77777777" w:rsidR="009D52A8" w:rsidRPr="009D52A8" w:rsidRDefault="009D52A8" w:rsidP="009D52A8">
      <w:pPr>
        <w:pStyle w:val="Body"/>
        <w:rPr>
          <w:rFonts w:ascii="Arial" w:hAnsi="Arial" w:cs="Arial"/>
        </w:rPr>
      </w:pPr>
      <w:r w:rsidRPr="009D52A8">
        <w:rPr>
          <w:rFonts w:ascii="Arial" w:hAnsi="Arial" w:cs="Arial"/>
        </w:rPr>
        <w:t xml:space="preserve">Much of the existing literature emphasizes pre-listing roadshows, investor engagement, and digital branding in equity offering contexts. However, scholars increasingly agree that marketing activities must continue after a firm becomes publicly listed. Post-listing marketing plays a critical role in shaping long-term performance, sustaining investor confidence, and preserving corporate reputation. </w:t>
      </w:r>
      <w:proofErr w:type="spellStart"/>
      <w:r w:rsidRPr="009D52A8">
        <w:rPr>
          <w:rFonts w:ascii="Arial" w:hAnsi="Arial" w:cs="Arial"/>
        </w:rPr>
        <w:t>Gromark</w:t>
      </w:r>
      <w:proofErr w:type="spellEnd"/>
      <w:r w:rsidRPr="009D52A8">
        <w:rPr>
          <w:rFonts w:ascii="Arial" w:hAnsi="Arial" w:cs="Arial"/>
        </w:rPr>
        <w:t xml:space="preserve"> and </w:t>
      </w:r>
      <w:proofErr w:type="spellStart"/>
      <w:r w:rsidRPr="009D52A8">
        <w:rPr>
          <w:rFonts w:ascii="Arial" w:hAnsi="Arial" w:cs="Arial"/>
        </w:rPr>
        <w:t>Melin</w:t>
      </w:r>
      <w:proofErr w:type="spellEnd"/>
      <w:r w:rsidRPr="009D52A8">
        <w:rPr>
          <w:rFonts w:ascii="Arial" w:hAnsi="Arial" w:cs="Arial"/>
        </w:rPr>
        <w:t xml:space="preserve"> (2013) argue that well-designed marketing investment following a share listing can reduce information asymmetry, particularly when investors have limited visibility into managerial decisions and </w:t>
      </w:r>
      <w:r w:rsidRPr="009D52A8">
        <w:rPr>
          <w:rFonts w:ascii="Arial" w:hAnsi="Arial" w:cs="Arial"/>
        </w:rPr>
        <w:lastRenderedPageBreak/>
        <w:t>organizational capabilities. Continuous communication and market visibility help lower uncertainty, enhance stock liquidity, and stabilize firm valuation.</w:t>
      </w:r>
    </w:p>
    <w:p w14:paraId="4D12C4E3" w14:textId="77777777" w:rsidR="009D52A8" w:rsidRPr="009D52A8" w:rsidRDefault="009D52A8" w:rsidP="009D52A8">
      <w:pPr>
        <w:pStyle w:val="Body"/>
        <w:rPr>
          <w:rFonts w:ascii="Arial" w:hAnsi="Arial" w:cs="Arial"/>
        </w:rPr>
      </w:pPr>
      <w:r w:rsidRPr="009D52A8">
        <w:rPr>
          <w:rFonts w:ascii="Arial" w:hAnsi="Arial" w:cs="Arial"/>
        </w:rPr>
        <w:t xml:space="preserve">Nevertheless, </w:t>
      </w:r>
      <w:proofErr w:type="spellStart"/>
      <w:r w:rsidRPr="009D52A8">
        <w:rPr>
          <w:rFonts w:ascii="Arial" w:hAnsi="Arial" w:cs="Arial"/>
        </w:rPr>
        <w:t>Gromark</w:t>
      </w:r>
      <w:proofErr w:type="spellEnd"/>
      <w:r w:rsidRPr="009D52A8">
        <w:rPr>
          <w:rFonts w:ascii="Arial" w:hAnsi="Arial" w:cs="Arial"/>
        </w:rPr>
        <w:t xml:space="preserve"> and </w:t>
      </w:r>
      <w:proofErr w:type="spellStart"/>
      <w:r w:rsidRPr="009D52A8">
        <w:rPr>
          <w:rFonts w:ascii="Arial" w:hAnsi="Arial" w:cs="Arial"/>
        </w:rPr>
        <w:t>Melin</w:t>
      </w:r>
      <w:proofErr w:type="spellEnd"/>
      <w:r w:rsidRPr="009D52A8">
        <w:rPr>
          <w:rFonts w:ascii="Arial" w:hAnsi="Arial" w:cs="Arial"/>
        </w:rPr>
        <w:t xml:space="preserve"> (2013) caution that post-listing marketing efforts must be balanced, as overly aggressive campaigns may fail to deliver competitive advantage if rivals respond more flexibly or efficiently. Industry-specific evidence further highlights the importance of post-listing marketing. Ma et al. (2019) find that hospitality firms tend to increase marketing expenditures after entering public equity markets to strengthen brand awareness and customer loyalty. In service-oriented sectors, reputation and customer relationships play a significant role in shaping investor perceptions and market outcomes. Intangible assets such as customer engagement and brand trust are reinforced through sustained marketing, contributing to long-term shareholder value. These findings illustrate that post-listing marketing extends beyond investors to include customers, partners, regulators, and other stakeholders.</w:t>
      </w:r>
    </w:p>
    <w:p w14:paraId="64180890" w14:textId="77777777" w:rsidR="009D52A8" w:rsidRPr="009D52A8" w:rsidRDefault="009D52A8" w:rsidP="009D52A8">
      <w:pPr>
        <w:pStyle w:val="Body"/>
        <w:rPr>
          <w:rFonts w:ascii="Arial" w:hAnsi="Arial" w:cs="Arial"/>
        </w:rPr>
      </w:pPr>
      <w:r w:rsidRPr="009D52A8">
        <w:rPr>
          <w:rFonts w:ascii="Arial" w:hAnsi="Arial" w:cs="Arial"/>
        </w:rPr>
        <w:t>The literature also debates whether firms should prioritize short-term profitability or long-term sustainability in their marketing strategies. Saboo, Chakravarty, and Grewal (2015) show that firms that reduce marketing expenditures to signal early profitability may experience stronger initial market reactions, but suffer from weaker profitability and lower market value several years after listing. By contrast, firms that maintain or expand marketing investment following market entry tend to achieve superior stock performance and shareholder value. This suggests that public equity listing should mark the beginning of a long-term branding trajectory rather than a one-time event aimed at maximizing short-term gains.</w:t>
      </w:r>
    </w:p>
    <w:p w14:paraId="090D5CD3" w14:textId="77777777" w:rsidR="00D65B81" w:rsidRPr="00D65B81" w:rsidRDefault="009D52A8" w:rsidP="009D52A8">
      <w:pPr>
        <w:pStyle w:val="Body"/>
        <w:rPr>
          <w:rFonts w:ascii="Arial" w:hAnsi="Arial" w:cs="Arial"/>
        </w:rPr>
      </w:pPr>
      <w:r w:rsidRPr="009D52A8">
        <w:rPr>
          <w:rFonts w:ascii="Arial" w:hAnsi="Arial" w:cs="Arial"/>
        </w:rPr>
        <w:t>Post-listing marketing also has important implications for investor relations. After the initial excitement of market entry subsides, firms must continue to communicate coherent narratives about growth, competitiveness, and strategic direction. This involves regular financial reporting, media engagement, digital communication, and transparent disclosure of risks and opportunities. Collaboration with analysts and financial intermediaries can enhance market coverage and provide investors with credible performance signals. Failure to maintain these practices may increase uncertainty, leading to stock price volatility, declining liquidity, and erosion of investor trust. Overall, strategic post-listing marketing complements pre-listing promotion and helps firms balance market expectations with brand equity, customer relationships, and investor confidence. The evidence consistently indicates that firms integrating marketing efforts before and after public listing are better positioned to protect shareholder value, avoid reputational damage, and remain competitive in capital markets. Accordingly, post-listing marketing should be embedded within long-term corporate strategy rather than treated as a peripheral activity.</w:t>
      </w:r>
    </w:p>
    <w:p w14:paraId="60AEBC54" w14:textId="77777777" w:rsidR="00D65B81" w:rsidRPr="00FA2D45" w:rsidRDefault="00FA2D45" w:rsidP="00D65B81">
      <w:pPr>
        <w:pStyle w:val="Body"/>
        <w:rPr>
          <w:rFonts w:ascii="Arial" w:hAnsi="Arial" w:cs="Arial"/>
          <w:b/>
          <w:bCs/>
        </w:rPr>
      </w:pPr>
      <w:r>
        <w:rPr>
          <w:rFonts w:ascii="Arial" w:hAnsi="Arial" w:cs="Arial"/>
          <w:b/>
          <w:bCs/>
        </w:rPr>
        <w:t xml:space="preserve">3.5 </w:t>
      </w:r>
      <w:r w:rsidR="000F5AB3" w:rsidRPr="000F5AB3">
        <w:rPr>
          <w:rFonts w:ascii="Arial" w:hAnsi="Arial" w:cs="Arial"/>
          <w:b/>
          <w:bCs/>
        </w:rPr>
        <w:t>Contextual Challenges and Emerging Perspectives</w:t>
      </w:r>
    </w:p>
    <w:p w14:paraId="2A7BCCC4" w14:textId="77777777" w:rsidR="00F6067D" w:rsidRPr="00F6067D" w:rsidRDefault="00F6067D" w:rsidP="00F6067D">
      <w:pPr>
        <w:pStyle w:val="Body"/>
        <w:rPr>
          <w:rFonts w:ascii="Arial" w:hAnsi="Arial" w:cs="Arial"/>
        </w:rPr>
      </w:pPr>
      <w:r w:rsidRPr="00F6067D">
        <w:rPr>
          <w:rFonts w:ascii="Arial" w:hAnsi="Arial" w:cs="Arial"/>
        </w:rPr>
        <w:t xml:space="preserve">The effectiveness of marketing strategies in public equity offerings is shaped by industry characteristics, regulatory environments, and the maturity of financial markets. </w:t>
      </w:r>
      <w:proofErr w:type="spellStart"/>
      <w:r w:rsidRPr="00F6067D">
        <w:rPr>
          <w:rFonts w:ascii="Arial" w:hAnsi="Arial" w:cs="Arial"/>
        </w:rPr>
        <w:t>Harahap</w:t>
      </w:r>
      <w:proofErr w:type="spellEnd"/>
      <w:r w:rsidRPr="00F6067D">
        <w:rPr>
          <w:rFonts w:ascii="Arial" w:hAnsi="Arial" w:cs="Arial"/>
        </w:rPr>
        <w:t xml:space="preserve"> et al. (2023) note that Indonesia has introduced more flexible listing regulations for small and medium-sized enterprises and startups to broaden the investor base and encourage market participation. Their findings suggest that prominent firms, such as Go-Jek, have relied heavily on branding and digital engagement to establish investor confidence amid evolving regulatory conditions. In emerging markets, where regulatory enforcement and monitoring mechanisms may still be developing, strong communication strategies and credible brand positioning are particularly important for reassuring both institutional and retail investors.</w:t>
      </w:r>
    </w:p>
    <w:p w14:paraId="6A6B4468" w14:textId="77777777" w:rsidR="00F6067D" w:rsidRPr="00F6067D" w:rsidRDefault="00F6067D" w:rsidP="00F6067D">
      <w:pPr>
        <w:pStyle w:val="Body"/>
        <w:rPr>
          <w:rFonts w:ascii="Arial" w:hAnsi="Arial" w:cs="Arial"/>
        </w:rPr>
      </w:pPr>
      <w:r w:rsidRPr="00F6067D">
        <w:rPr>
          <w:rFonts w:ascii="Arial" w:hAnsi="Arial" w:cs="Arial"/>
        </w:rPr>
        <w:t xml:space="preserve">Marketing strategies must also address the risks and demands associated with public ownership. Wies and Moorman (2013) demonstrate that shareholder expectations can </w:t>
      </w:r>
      <w:r w:rsidRPr="00F6067D">
        <w:rPr>
          <w:rFonts w:ascii="Arial" w:hAnsi="Arial" w:cs="Arial"/>
        </w:rPr>
        <w:lastRenderedPageBreak/>
        <w:t xml:space="preserve">pressure managers to favor cautious, incremental improvements over more radical innovation, potentially constraining long-term growth if not balanced by strategic risk-taking. Reputational risks further complicate marketing decisions. Renu (2023) warns that exaggerated claims during the market entry phase may generate short-term enthusiasm but ultimately damage reputation and financial performance once actual results fall short of expectations. </w:t>
      </w:r>
      <w:proofErr w:type="spellStart"/>
      <w:r w:rsidRPr="00F6067D">
        <w:rPr>
          <w:rFonts w:ascii="Arial" w:hAnsi="Arial" w:cs="Arial"/>
        </w:rPr>
        <w:t>Radityo</w:t>
      </w:r>
      <w:proofErr w:type="spellEnd"/>
      <w:r w:rsidRPr="00F6067D">
        <w:rPr>
          <w:rFonts w:ascii="Arial" w:hAnsi="Arial" w:cs="Arial"/>
        </w:rPr>
        <w:t xml:space="preserve"> (2024) emphasizes the role of technology in ensuring accurate disclosure and protecting corporate reputation, arguing that robust digital infrastructure enables firms to provide consistent, verifiable information to the market.</w:t>
      </w:r>
    </w:p>
    <w:p w14:paraId="302C3561" w14:textId="77777777" w:rsidR="00D65B81" w:rsidRDefault="00F6067D" w:rsidP="00F6067D">
      <w:pPr>
        <w:pStyle w:val="Body"/>
        <w:rPr>
          <w:rFonts w:ascii="Arial" w:hAnsi="Arial" w:cs="Arial"/>
        </w:rPr>
      </w:pPr>
      <w:r w:rsidRPr="00F6067D">
        <w:rPr>
          <w:rFonts w:ascii="Arial" w:hAnsi="Arial" w:cs="Arial"/>
        </w:rPr>
        <w:t>Collectively, these studies indicate that marketing strategies in public equity offerings must be adapted to specific institutional and market contexts. Addressing regulatory gaps, institutional weaknesses, and varying levels of investor sophistication in developing economies requires innovative and context-sensitive approaches. Across markets, transparency, sustained communication investment, and ethical governance emerge as foundational elements for building credibility and maintaining investor confidence.</w:t>
      </w:r>
      <w:r w:rsidR="00D65B81" w:rsidRPr="00D65B81">
        <w:rPr>
          <w:rFonts w:ascii="Arial" w:hAnsi="Arial" w:cs="Arial"/>
        </w:rPr>
        <w:t xml:space="preserve"> </w:t>
      </w:r>
    </w:p>
    <w:p w14:paraId="2B089DC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99EFCE" w14:textId="77777777" w:rsidR="00790ADA" w:rsidRPr="00FB3A86" w:rsidRDefault="00790ADA" w:rsidP="00441B6F">
      <w:pPr>
        <w:pStyle w:val="ConcHead"/>
        <w:spacing w:after="0"/>
        <w:jc w:val="both"/>
        <w:rPr>
          <w:rFonts w:ascii="Arial" w:hAnsi="Arial" w:cs="Arial"/>
        </w:rPr>
      </w:pPr>
    </w:p>
    <w:p w14:paraId="209165C3" w14:textId="77777777" w:rsidR="00772EEF" w:rsidRPr="00772EEF" w:rsidRDefault="00772EEF" w:rsidP="00772EEF">
      <w:pPr>
        <w:pStyle w:val="Body"/>
        <w:rPr>
          <w:rFonts w:ascii="Arial" w:hAnsi="Arial" w:cs="Arial"/>
        </w:rPr>
      </w:pPr>
      <w:r w:rsidRPr="00772EEF">
        <w:rPr>
          <w:rFonts w:ascii="Arial" w:hAnsi="Arial" w:cs="Arial"/>
        </w:rPr>
        <w:t>According to the literature, preparation for public equity offerings involves financial structuring, legal compliance, and marketing activities that collectively shape how a firm is presented to investors. Marketing plays a central role in communicating firm quality, growth potential, and credibility, thereby reducing information asymmetry between issuers and market participants. Institutional investor engagement and valuation processes rely heavily on structured communication tools such as roadshows, offering documents, and ongoing investor relations. These mechanisms enhance investor confidence by disclosing financial information and strategic business narratives.</w:t>
      </w:r>
    </w:p>
    <w:p w14:paraId="04F9BEF6" w14:textId="77777777" w:rsidR="00772EEF" w:rsidRPr="00772EEF" w:rsidRDefault="00772EEF" w:rsidP="00772EEF">
      <w:pPr>
        <w:pStyle w:val="Body"/>
        <w:rPr>
          <w:rFonts w:ascii="Arial" w:hAnsi="Arial" w:cs="Arial"/>
        </w:rPr>
      </w:pPr>
      <w:r w:rsidRPr="00772EEF">
        <w:rPr>
          <w:rFonts w:ascii="Arial" w:hAnsi="Arial" w:cs="Arial"/>
        </w:rPr>
        <w:t>Digital communication introduces both opportunities and challenges in equity offering marketing. The use of social media and online investment forums allows firms to reach a broader investor audience beyond traditional institutional channels. While this democratization of access can increase visibility and engagement, it may also intensify sentiment-driven volatility and expose firms to reputational risks. Prior studies emphasize the importance of balancing persuasive communication with transparency and long-term value creation to sustain investor trust. In this context, investors are more likely to respond to credible information than to short-term promotional hype.</w:t>
      </w:r>
    </w:p>
    <w:p w14:paraId="7C1FA407" w14:textId="77777777" w:rsidR="00772EEF" w:rsidRPr="00772EEF" w:rsidRDefault="00772EEF" w:rsidP="00772EEF">
      <w:pPr>
        <w:pStyle w:val="Body"/>
        <w:rPr>
          <w:rFonts w:ascii="Arial" w:hAnsi="Arial" w:cs="Arial"/>
        </w:rPr>
      </w:pPr>
      <w:r w:rsidRPr="00772EEF">
        <w:rPr>
          <w:rFonts w:ascii="Arial" w:hAnsi="Arial" w:cs="Arial"/>
        </w:rPr>
        <w:t>In emerging economies such as Indonesia, marketing strategies for public equity offerings must be integrated with sustainable business practices and strong corporate governance. Without operational robustness and realistic growth narratives, aggressive marketing may stimulate early demand but lead to unfavorable pricing outcomes, post-listing underperformance, and erosion of investor confidence. Strategic frameworks such as SWOT, PESTEL, and the Ansoff matrix can help align marketing initiatives with broader corporate strategy. Marketing in public equity offerings should therefore be viewed as a strategic function that combines financial readiness, governance quality, and brand development. Effective marketing emphasizes the creation of long-term investor relationships to preserve corporate reputation and shareholder value.</w:t>
      </w:r>
    </w:p>
    <w:p w14:paraId="64E49761" w14:textId="77777777" w:rsidR="00772EEF" w:rsidRDefault="00772EEF" w:rsidP="00772EEF">
      <w:pPr>
        <w:pStyle w:val="Body"/>
        <w:spacing w:after="0"/>
        <w:rPr>
          <w:rFonts w:ascii="Arial" w:hAnsi="Arial" w:cs="Arial"/>
        </w:rPr>
      </w:pPr>
      <w:r w:rsidRPr="00772EEF">
        <w:rPr>
          <w:rFonts w:ascii="Arial" w:hAnsi="Arial" w:cs="Arial"/>
        </w:rPr>
        <w:t>Future research should explore how digital platforms can be used ethically and responsibly in equity offering contexts, as well as how cultural, regulatory, and institutional differences across economies shape marketing effectiveness. Integrating financial preparation, disciplined communication, and credible strategic narratives may position firms for both short-term success and long-term resilience in increasingly volatile capital markets.</w:t>
      </w:r>
    </w:p>
    <w:p w14:paraId="30904160" w14:textId="77777777" w:rsidR="00510ABC" w:rsidRDefault="00510ABC" w:rsidP="00772EEF">
      <w:pPr>
        <w:pStyle w:val="Body"/>
        <w:spacing w:after="0"/>
        <w:rPr>
          <w:rFonts w:ascii="Arial" w:hAnsi="Arial" w:cs="Arial"/>
        </w:rPr>
      </w:pPr>
      <w:r w:rsidRPr="00510ABC">
        <w:rPr>
          <w:rFonts w:ascii="Arial" w:hAnsi="Arial" w:cs="Arial"/>
        </w:rPr>
        <w:t xml:space="preserve"> </w:t>
      </w:r>
    </w:p>
    <w:p w14:paraId="0CB3B56E" w14:textId="77777777" w:rsidR="00860000" w:rsidRDefault="00860000" w:rsidP="00441B6F">
      <w:pPr>
        <w:pStyle w:val="ReferHead"/>
        <w:spacing w:after="0"/>
        <w:jc w:val="both"/>
        <w:rPr>
          <w:rFonts w:ascii="Arial" w:hAnsi="Arial" w:cs="Arial"/>
        </w:rPr>
      </w:pPr>
      <w:bookmarkStart w:id="1" w:name="_GoBack"/>
      <w:bookmarkEnd w:id="1"/>
    </w:p>
    <w:p w14:paraId="6543FA2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E1798B" w14:textId="77777777" w:rsidR="00790ADA" w:rsidRPr="00FB3A86" w:rsidRDefault="00790ADA" w:rsidP="00441B6F">
      <w:pPr>
        <w:pStyle w:val="ReferHead"/>
        <w:spacing w:after="0"/>
        <w:jc w:val="both"/>
        <w:rPr>
          <w:rFonts w:ascii="Arial" w:hAnsi="Arial" w:cs="Arial"/>
        </w:rPr>
      </w:pPr>
    </w:p>
    <w:p w14:paraId="1400CA9A" w14:textId="6B7A8EE6" w:rsidR="00184E3A" w:rsidRPr="00184E3A" w:rsidRDefault="00184E3A" w:rsidP="00184E3A">
      <w:pPr>
        <w:pStyle w:val="Body"/>
        <w:rPr>
          <w:lang w:val="en-ID"/>
        </w:rPr>
      </w:pPr>
      <w:r w:rsidRPr="00184E3A">
        <w:rPr>
          <w:lang w:val="id-ID"/>
        </w:rPr>
        <w:t>Antika, F. P. (2023). Literature review: Factors affecting marketing strategy, market size, technology, and end users on market segmentation and competitive space. </w:t>
      </w:r>
      <w:r w:rsidRPr="00184E3A">
        <w:rPr>
          <w:i/>
          <w:iCs/>
          <w:lang w:val="id-ID"/>
        </w:rPr>
        <w:t>The Eastasouth Management and Business</w:t>
      </w:r>
      <w:r w:rsidRPr="00184E3A">
        <w:rPr>
          <w:lang w:val="id-ID"/>
        </w:rPr>
        <w:t>, </w:t>
      </w:r>
      <w:r w:rsidRPr="00184E3A">
        <w:rPr>
          <w:i/>
          <w:iCs/>
          <w:lang w:val="id-ID"/>
        </w:rPr>
        <w:t>1</w:t>
      </w:r>
      <w:r w:rsidRPr="00184E3A">
        <w:rPr>
          <w:lang w:val="id-ID"/>
        </w:rPr>
        <w:t>(02), 37-43.</w:t>
      </w:r>
      <w:r w:rsidRPr="00184E3A">
        <w:rPr>
          <w:lang w:val="en-ID"/>
        </w:rPr>
        <w:t xml:space="preserve"> </w:t>
      </w:r>
      <w:r w:rsidR="007B0596">
        <w:rPr>
          <w:lang w:val="en-ID"/>
        </w:rPr>
        <w:t xml:space="preserve"> </w:t>
      </w:r>
      <w:hyperlink r:id="rId14" w:history="1">
        <w:r w:rsidR="007B0596" w:rsidRPr="00183E5E">
          <w:rPr>
            <w:rStyle w:val="Hyperlink"/>
            <w:lang w:val="en-ID"/>
          </w:rPr>
          <w:t>https://doi.org/10.58812/esmb.v1i02.49</w:t>
        </w:r>
      </w:hyperlink>
      <w:r w:rsidR="007B0596">
        <w:rPr>
          <w:lang w:val="en-ID"/>
        </w:rPr>
        <w:t xml:space="preserve"> </w:t>
      </w:r>
    </w:p>
    <w:p w14:paraId="7D692838" w14:textId="77777777" w:rsidR="00184E3A" w:rsidRPr="00184E3A" w:rsidRDefault="00184E3A" w:rsidP="00184E3A">
      <w:pPr>
        <w:pStyle w:val="Body"/>
        <w:rPr>
          <w:lang w:val="en-ID"/>
        </w:rPr>
      </w:pPr>
      <w:r w:rsidRPr="00184E3A">
        <w:rPr>
          <w:lang w:val="en-ID"/>
        </w:rPr>
        <w:t xml:space="preserve">Ashcroft, L. (2010). Marketing strategies in the Initial Public Offering (IPO) process. </w:t>
      </w:r>
      <w:r w:rsidRPr="00184E3A">
        <w:rPr>
          <w:i/>
          <w:iCs/>
          <w:lang w:val="en-ID"/>
        </w:rPr>
        <w:t>Library Management, 31</w:t>
      </w:r>
      <w:r w:rsidRPr="00184E3A">
        <w:rPr>
          <w:lang w:val="en-ID"/>
        </w:rPr>
        <w:t>(3), 174–185.</w:t>
      </w:r>
    </w:p>
    <w:p w14:paraId="4638E7FA" w14:textId="68B34201" w:rsidR="00184E3A" w:rsidRPr="00184E3A" w:rsidRDefault="00184E3A" w:rsidP="00184E3A">
      <w:pPr>
        <w:pStyle w:val="Body"/>
        <w:rPr>
          <w:lang w:val="en-ID"/>
        </w:rPr>
      </w:pPr>
      <w:r w:rsidRPr="00184E3A">
        <w:rPr>
          <w:lang w:val="en-ID"/>
        </w:rPr>
        <w:t xml:space="preserve">Blankespoor, E., Hendricks, B. E., &amp; Miller, G. S. (2017). Perceptions and price: Evidence from CEO presentations at IPO roadshows. </w:t>
      </w:r>
      <w:r w:rsidRPr="00184E3A">
        <w:rPr>
          <w:i/>
          <w:iCs/>
          <w:lang w:val="en-ID"/>
        </w:rPr>
        <w:t>Journal of Accounting Research, 55</w:t>
      </w:r>
      <w:r w:rsidRPr="00184E3A">
        <w:rPr>
          <w:lang w:val="en-ID"/>
        </w:rPr>
        <w:t xml:space="preserve">(2), 275–327. </w:t>
      </w:r>
      <w:hyperlink r:id="rId15" w:history="1">
        <w:r w:rsidR="007B0596" w:rsidRPr="00183E5E">
          <w:rPr>
            <w:rStyle w:val="Hyperlink"/>
            <w:lang w:val="en-ID"/>
          </w:rPr>
          <w:t>https://doi.org/10.1111/1475-679X.12164</w:t>
        </w:r>
      </w:hyperlink>
      <w:r w:rsidR="007B0596">
        <w:rPr>
          <w:lang w:val="en-ID"/>
        </w:rPr>
        <w:t xml:space="preserve"> </w:t>
      </w:r>
    </w:p>
    <w:p w14:paraId="10283093" w14:textId="4728325F" w:rsidR="00184E3A" w:rsidRPr="00184E3A" w:rsidRDefault="00184E3A" w:rsidP="00184E3A">
      <w:pPr>
        <w:pStyle w:val="Body"/>
        <w:rPr>
          <w:lang w:val="en-ID"/>
        </w:rPr>
      </w:pPr>
      <w:r w:rsidRPr="00184E3A">
        <w:rPr>
          <w:lang w:val="en-ID"/>
        </w:rPr>
        <w:t xml:space="preserve">Chahine, S., Saade, S., &amp; Goergen, M. (2019). Foreign business activities, foreignness of the VC syndicate, and IPO value. </w:t>
      </w:r>
      <w:r w:rsidRPr="00184E3A">
        <w:rPr>
          <w:i/>
          <w:iCs/>
          <w:lang w:val="en-ID"/>
        </w:rPr>
        <w:t>Entrepreneurship Theory and Practice, 43</w:t>
      </w:r>
      <w:r w:rsidRPr="00184E3A">
        <w:rPr>
          <w:lang w:val="en-ID"/>
        </w:rPr>
        <w:t xml:space="preserve">(5), 947–973. </w:t>
      </w:r>
      <w:hyperlink r:id="rId16" w:history="1">
        <w:r w:rsidR="007B0596" w:rsidRPr="00183E5E">
          <w:rPr>
            <w:rStyle w:val="Hyperlink"/>
            <w:lang w:val="en-ID"/>
          </w:rPr>
          <w:t>https://doi.org/10.1177/1042258718757503</w:t>
        </w:r>
      </w:hyperlink>
      <w:r w:rsidR="007B0596">
        <w:rPr>
          <w:lang w:val="en-ID"/>
        </w:rPr>
        <w:t xml:space="preserve"> </w:t>
      </w:r>
    </w:p>
    <w:p w14:paraId="70DC2734" w14:textId="3B1BB23B" w:rsidR="00184E3A" w:rsidRPr="00184E3A" w:rsidRDefault="00184E3A" w:rsidP="00184E3A">
      <w:pPr>
        <w:pStyle w:val="Body"/>
        <w:rPr>
          <w:lang w:val="en-ID"/>
        </w:rPr>
      </w:pPr>
      <w:r w:rsidRPr="00184E3A">
        <w:rPr>
          <w:lang w:val="en-ID"/>
        </w:rPr>
        <w:t xml:space="preserve">Cookson, J. A., &amp; Niessner, M. (2020). Why don't we agree? Evidence from a social network of investors. </w:t>
      </w:r>
      <w:r w:rsidRPr="00184E3A">
        <w:rPr>
          <w:i/>
          <w:iCs/>
          <w:lang w:val="en-ID"/>
        </w:rPr>
        <w:t>The Journal of Finance, 75</w:t>
      </w:r>
      <w:r w:rsidRPr="00184E3A">
        <w:rPr>
          <w:lang w:val="en-ID"/>
        </w:rPr>
        <w:t xml:space="preserve">(1), 173–228. </w:t>
      </w:r>
      <w:hyperlink r:id="rId17" w:history="1">
        <w:r w:rsidR="007B0596" w:rsidRPr="00183E5E">
          <w:rPr>
            <w:rStyle w:val="Hyperlink"/>
            <w:lang w:val="en-ID"/>
          </w:rPr>
          <w:t>https://doi.org/10.1111/jofi.12852</w:t>
        </w:r>
      </w:hyperlink>
      <w:r w:rsidR="007B0596">
        <w:rPr>
          <w:lang w:val="en-ID"/>
        </w:rPr>
        <w:t xml:space="preserve"> </w:t>
      </w:r>
    </w:p>
    <w:p w14:paraId="48D8F1BF" w14:textId="3B8DEBCE" w:rsidR="00184E3A" w:rsidRPr="007B0596" w:rsidRDefault="00184E3A" w:rsidP="00184E3A">
      <w:pPr>
        <w:pStyle w:val="Body"/>
        <w:rPr>
          <w:lang w:val="en-IN"/>
        </w:rPr>
      </w:pPr>
      <w:r w:rsidRPr="00184E3A">
        <w:rPr>
          <w:lang w:val="id-ID"/>
        </w:rPr>
        <w:t>Darmawati, A., &amp; Satory, A. (2025). Pengaruh Pertumbuhan Bisnis Kopi Terhadap Keputusan Startup Fore Coffee untuk Melakukan Initial Public Offering (IPO). </w:t>
      </w:r>
      <w:r w:rsidRPr="00184E3A">
        <w:rPr>
          <w:i/>
          <w:iCs/>
          <w:lang w:val="id-ID"/>
        </w:rPr>
        <w:t>Master: Jurnal Manajemen dan Bisnis Terapan</w:t>
      </w:r>
      <w:r w:rsidRPr="00184E3A">
        <w:rPr>
          <w:lang w:val="id-ID"/>
        </w:rPr>
        <w:t>, </w:t>
      </w:r>
      <w:r w:rsidRPr="00184E3A">
        <w:rPr>
          <w:i/>
          <w:iCs/>
          <w:lang w:val="id-ID"/>
        </w:rPr>
        <w:t>5</w:t>
      </w:r>
      <w:r w:rsidRPr="00184E3A">
        <w:rPr>
          <w:lang w:val="id-ID"/>
        </w:rPr>
        <w:t>(1), 108-125.</w:t>
      </w:r>
      <w:r w:rsidR="007B0596">
        <w:rPr>
          <w:lang w:val="en-IN"/>
        </w:rPr>
        <w:t xml:space="preserve"> </w:t>
      </w:r>
      <w:hyperlink r:id="rId18" w:history="1">
        <w:r w:rsidR="007B0596" w:rsidRPr="00183E5E">
          <w:rPr>
            <w:rStyle w:val="Hyperlink"/>
            <w:lang w:val="en-IN"/>
          </w:rPr>
          <w:t>https://doi.org/10.30595/jmbt.v5i1.26375</w:t>
        </w:r>
      </w:hyperlink>
      <w:r w:rsidR="007B0596">
        <w:rPr>
          <w:lang w:val="en-IN"/>
        </w:rPr>
        <w:t xml:space="preserve"> </w:t>
      </w:r>
    </w:p>
    <w:p w14:paraId="45BF0FF7" w14:textId="62CE047D" w:rsidR="00184E3A" w:rsidRPr="007B0596" w:rsidRDefault="00184E3A" w:rsidP="00184E3A">
      <w:pPr>
        <w:pStyle w:val="Body"/>
        <w:rPr>
          <w:lang w:val="en-IN"/>
        </w:rPr>
      </w:pPr>
      <w:r w:rsidRPr="00184E3A">
        <w:rPr>
          <w:lang w:val="id-ID"/>
        </w:rPr>
        <w:t>Dwinanda, I. A. (2024). Analisis Perubahan Peraturan Dalam Melakukan Initial Public Offering Di Bursa Efek Indonesia. </w:t>
      </w:r>
      <w:r w:rsidRPr="00184E3A">
        <w:rPr>
          <w:i/>
          <w:iCs/>
          <w:lang w:val="id-ID"/>
        </w:rPr>
        <w:t>LITIGASI</w:t>
      </w:r>
      <w:r w:rsidRPr="00184E3A">
        <w:rPr>
          <w:lang w:val="id-ID"/>
        </w:rPr>
        <w:t>, </w:t>
      </w:r>
      <w:r w:rsidRPr="00184E3A">
        <w:rPr>
          <w:i/>
          <w:iCs/>
          <w:lang w:val="id-ID"/>
        </w:rPr>
        <w:t>25</w:t>
      </w:r>
      <w:r w:rsidRPr="00184E3A">
        <w:rPr>
          <w:lang w:val="id-ID"/>
        </w:rPr>
        <w:t>(2), 204-222.</w:t>
      </w:r>
      <w:r w:rsidR="007B0596">
        <w:rPr>
          <w:lang w:val="en-IN"/>
        </w:rPr>
        <w:t xml:space="preserve"> </w:t>
      </w:r>
      <w:hyperlink r:id="rId19" w:history="1">
        <w:r w:rsidR="007B0596" w:rsidRPr="00183E5E">
          <w:rPr>
            <w:rStyle w:val="Hyperlink"/>
            <w:lang w:val="en-IN"/>
          </w:rPr>
          <w:t>https://doi.org/10.23969/litigasi.v25i2.13513</w:t>
        </w:r>
      </w:hyperlink>
      <w:r w:rsidR="007B0596">
        <w:rPr>
          <w:lang w:val="en-IN"/>
        </w:rPr>
        <w:t xml:space="preserve"> </w:t>
      </w:r>
    </w:p>
    <w:p w14:paraId="4DD45FEE" w14:textId="620E5EF7" w:rsidR="00184E3A" w:rsidRPr="00184E3A" w:rsidRDefault="00184E3A" w:rsidP="00184E3A">
      <w:pPr>
        <w:pStyle w:val="Body"/>
        <w:rPr>
          <w:lang w:val="en-ID"/>
        </w:rPr>
      </w:pPr>
      <w:r w:rsidRPr="00184E3A">
        <w:rPr>
          <w:lang w:val="en-ID"/>
        </w:rPr>
        <w:t xml:space="preserve">Ganesh, R., Thiyagarajan, S., &amp; Naresh, G. (2021). Appealing for investors through IPO advertisements. </w:t>
      </w:r>
      <w:r w:rsidRPr="00184E3A">
        <w:rPr>
          <w:i/>
          <w:iCs/>
          <w:lang w:val="en-ID"/>
        </w:rPr>
        <w:t>Global Business and Economics Review, 25</w:t>
      </w:r>
      <w:r w:rsidRPr="00184E3A">
        <w:rPr>
          <w:lang w:val="en-ID"/>
        </w:rPr>
        <w:t xml:space="preserve">(2), 133–153. </w:t>
      </w:r>
      <w:hyperlink r:id="rId20" w:history="1">
        <w:r w:rsidR="007B0596" w:rsidRPr="00183E5E">
          <w:rPr>
            <w:rStyle w:val="Hyperlink"/>
            <w:lang w:val="en-ID"/>
          </w:rPr>
          <w:t>https://doi.org/10.1504/GBER.2021.118209</w:t>
        </w:r>
      </w:hyperlink>
      <w:r w:rsidR="007B0596">
        <w:rPr>
          <w:lang w:val="en-ID"/>
        </w:rPr>
        <w:t xml:space="preserve"> </w:t>
      </w:r>
    </w:p>
    <w:p w14:paraId="67710832" w14:textId="49E71A16" w:rsidR="00184E3A" w:rsidRPr="00184E3A" w:rsidRDefault="00184E3A" w:rsidP="00184E3A">
      <w:pPr>
        <w:pStyle w:val="Body"/>
        <w:rPr>
          <w:lang w:val="en-ID"/>
        </w:rPr>
      </w:pPr>
      <w:proofErr w:type="spellStart"/>
      <w:r w:rsidRPr="00184E3A">
        <w:rPr>
          <w:lang w:val="en-ID"/>
        </w:rPr>
        <w:t>Gromark</w:t>
      </w:r>
      <w:proofErr w:type="spellEnd"/>
      <w:r w:rsidRPr="00184E3A">
        <w:rPr>
          <w:lang w:val="en-ID"/>
        </w:rPr>
        <w:t xml:space="preserve">, J., &amp; Melin, F. (2013). The underlying dimensions of brand orientation and its impact on financial performance. </w:t>
      </w:r>
      <w:r w:rsidRPr="00184E3A">
        <w:rPr>
          <w:i/>
          <w:iCs/>
          <w:lang w:val="en-ID"/>
        </w:rPr>
        <w:t>Journal of Brand Management, 20</w:t>
      </w:r>
      <w:r w:rsidRPr="00184E3A">
        <w:rPr>
          <w:lang w:val="en-ID"/>
        </w:rPr>
        <w:t>(6), 516–531.</w:t>
      </w:r>
      <w:r w:rsidR="007B0596">
        <w:rPr>
          <w:lang w:val="en-ID"/>
        </w:rPr>
        <w:t xml:space="preserve"> </w:t>
      </w:r>
      <w:hyperlink r:id="rId21" w:history="1">
        <w:r w:rsidR="007B0596" w:rsidRPr="00183E5E">
          <w:rPr>
            <w:rStyle w:val="Hyperlink"/>
            <w:lang w:val="en-ID"/>
          </w:rPr>
          <w:t>https://doi.org/10.1057/bm.2010.52</w:t>
        </w:r>
      </w:hyperlink>
      <w:r w:rsidR="007B0596">
        <w:rPr>
          <w:lang w:val="en-ID"/>
        </w:rPr>
        <w:t xml:space="preserve"> </w:t>
      </w:r>
    </w:p>
    <w:p w14:paraId="76546517" w14:textId="7863D8B9" w:rsidR="00184E3A" w:rsidRPr="007B0596" w:rsidRDefault="00184E3A" w:rsidP="00184E3A">
      <w:pPr>
        <w:pStyle w:val="Body"/>
        <w:rPr>
          <w:lang w:val="en-IN"/>
        </w:rPr>
      </w:pPr>
      <w:r w:rsidRPr="00184E3A">
        <w:rPr>
          <w:lang w:val="id-ID"/>
        </w:rPr>
        <w:t>Harahap, A. P., Hasibuan, R. R., &amp; Candanni, L. R. (2020). Peluang Dan Tantangan initial public offering (IPO) Pada Perusahaan start-up di Indonesia. </w:t>
      </w:r>
      <w:r w:rsidRPr="00184E3A">
        <w:rPr>
          <w:i/>
          <w:iCs/>
          <w:lang w:val="id-ID"/>
        </w:rPr>
        <w:t>Indonesian Journal of Islamic Economics and Business</w:t>
      </w:r>
      <w:r w:rsidRPr="00184E3A">
        <w:rPr>
          <w:lang w:val="id-ID"/>
        </w:rPr>
        <w:t>, </w:t>
      </w:r>
      <w:r w:rsidRPr="00184E3A">
        <w:rPr>
          <w:i/>
          <w:iCs/>
          <w:lang w:val="id-ID"/>
        </w:rPr>
        <w:t>5</w:t>
      </w:r>
      <w:r w:rsidRPr="00184E3A">
        <w:rPr>
          <w:lang w:val="id-ID"/>
        </w:rPr>
        <w:t>(2), 30-45.</w:t>
      </w:r>
      <w:r w:rsidR="007B0596">
        <w:rPr>
          <w:lang w:val="en-IN"/>
        </w:rPr>
        <w:t xml:space="preserve"> </w:t>
      </w:r>
      <w:hyperlink r:id="rId22" w:history="1">
        <w:r w:rsidR="007B0596" w:rsidRPr="00183E5E">
          <w:rPr>
            <w:rStyle w:val="Hyperlink"/>
            <w:lang w:val="en-IN"/>
          </w:rPr>
          <w:t>https://doi.org/10.30631/ijoieb.v5i2.294</w:t>
        </w:r>
      </w:hyperlink>
      <w:r w:rsidR="007B0596">
        <w:rPr>
          <w:lang w:val="en-IN"/>
        </w:rPr>
        <w:t xml:space="preserve"> </w:t>
      </w:r>
    </w:p>
    <w:p w14:paraId="1EB71805" w14:textId="5B940BA5" w:rsidR="00184E3A" w:rsidRPr="00184E3A" w:rsidRDefault="00184E3A" w:rsidP="00184E3A">
      <w:pPr>
        <w:pStyle w:val="Body"/>
        <w:rPr>
          <w:lang w:val="en-ID"/>
        </w:rPr>
      </w:pPr>
      <w:r w:rsidRPr="00184E3A">
        <w:rPr>
          <w:lang w:val="en-ID"/>
        </w:rPr>
        <w:t xml:space="preserve">Jenkinson, T., &amp; Jones, H. (2009). IPO pricing and allocation: A survey of the views of institutional investors. </w:t>
      </w:r>
      <w:r w:rsidRPr="00184E3A">
        <w:rPr>
          <w:i/>
          <w:iCs/>
          <w:lang w:val="en-ID"/>
        </w:rPr>
        <w:t>The Review of Financial Studies, 22</w:t>
      </w:r>
      <w:r w:rsidRPr="00184E3A">
        <w:rPr>
          <w:lang w:val="en-ID"/>
        </w:rPr>
        <w:t xml:space="preserve">(4), 1477–1504. </w:t>
      </w:r>
      <w:hyperlink r:id="rId23" w:history="1">
        <w:r w:rsidR="007B0596" w:rsidRPr="00183E5E">
          <w:rPr>
            <w:rStyle w:val="Hyperlink"/>
            <w:lang w:val="en-ID"/>
          </w:rPr>
          <w:t>https://doi.org/10.1093/rfs/hhn079</w:t>
        </w:r>
      </w:hyperlink>
      <w:r w:rsidR="007B0596">
        <w:rPr>
          <w:lang w:val="en-ID"/>
        </w:rPr>
        <w:t xml:space="preserve"> </w:t>
      </w:r>
    </w:p>
    <w:p w14:paraId="71214A9C" w14:textId="2EF91945" w:rsidR="00184E3A" w:rsidRPr="007B0596" w:rsidRDefault="00184E3A" w:rsidP="00184E3A">
      <w:pPr>
        <w:pStyle w:val="Body"/>
        <w:rPr>
          <w:lang w:val="en-IN"/>
        </w:rPr>
      </w:pPr>
      <w:r w:rsidRPr="00184E3A">
        <w:rPr>
          <w:lang w:val="id-ID"/>
        </w:rPr>
        <w:t>Jodin, V., &amp;, M. (2015). Faktor-Faktor Yang Mempengaruhi Tingkat Underpricing Saham Pada Perusahaan Yang Melakukan Initial Public Offering Yang Terdaftar Di Bursa Efek Indonesia. </w:t>
      </w:r>
      <w:r w:rsidRPr="00184E3A">
        <w:rPr>
          <w:i/>
          <w:iCs/>
          <w:lang w:val="id-ID"/>
        </w:rPr>
        <w:t>Jurnal Ekonomi</w:t>
      </w:r>
      <w:r w:rsidRPr="00184E3A">
        <w:rPr>
          <w:lang w:val="id-ID"/>
        </w:rPr>
        <w:t>, </w:t>
      </w:r>
      <w:r w:rsidRPr="00184E3A">
        <w:rPr>
          <w:i/>
          <w:iCs/>
          <w:lang w:val="id-ID"/>
        </w:rPr>
        <w:t>20</w:t>
      </w:r>
      <w:r w:rsidRPr="00184E3A">
        <w:rPr>
          <w:lang w:val="id-ID"/>
        </w:rPr>
        <w:t>(2), 174-192.</w:t>
      </w:r>
      <w:r w:rsidR="007B0596">
        <w:rPr>
          <w:lang w:val="en-IN"/>
        </w:rPr>
        <w:t xml:space="preserve"> </w:t>
      </w:r>
      <w:hyperlink r:id="rId24" w:history="1">
        <w:r w:rsidR="007B0596" w:rsidRPr="00183E5E">
          <w:rPr>
            <w:rStyle w:val="Hyperlink"/>
            <w:lang w:val="en-IN"/>
          </w:rPr>
          <w:t>https://doi.org/10.24912/je.v20i2.155</w:t>
        </w:r>
      </w:hyperlink>
      <w:r w:rsidR="007B0596">
        <w:rPr>
          <w:lang w:val="en-IN"/>
        </w:rPr>
        <w:t xml:space="preserve"> </w:t>
      </w:r>
    </w:p>
    <w:p w14:paraId="253837DD" w14:textId="39C7A646" w:rsidR="00184E3A" w:rsidRPr="00184E3A" w:rsidRDefault="00184E3A" w:rsidP="00184E3A">
      <w:pPr>
        <w:pStyle w:val="Body"/>
        <w:rPr>
          <w:lang w:val="en-ID"/>
        </w:rPr>
      </w:pPr>
      <w:r w:rsidRPr="00184E3A">
        <w:rPr>
          <w:lang w:val="en-ID"/>
        </w:rPr>
        <w:t xml:space="preserve">Loughran, T., &amp; Ritter, J. R. (1995). The new issues puzzle. </w:t>
      </w:r>
      <w:r w:rsidRPr="00184E3A">
        <w:rPr>
          <w:i/>
          <w:iCs/>
          <w:lang w:val="en-ID"/>
        </w:rPr>
        <w:t>The Journal of Finance, 50</w:t>
      </w:r>
      <w:r w:rsidRPr="00184E3A">
        <w:rPr>
          <w:lang w:val="en-ID"/>
        </w:rPr>
        <w:t>(1), 23–51</w:t>
      </w:r>
      <w:proofErr w:type="gramStart"/>
      <w:r w:rsidRPr="00184E3A">
        <w:rPr>
          <w:lang w:val="en-ID"/>
        </w:rPr>
        <w:t xml:space="preserve">. </w:t>
      </w:r>
      <w:r w:rsidR="007B0596" w:rsidRPr="007B0596">
        <w:rPr>
          <w:lang w:val="en-ID"/>
        </w:rPr>
        <w:t>.</w:t>
      </w:r>
      <w:proofErr w:type="gramEnd"/>
      <w:r w:rsidR="007B0596" w:rsidRPr="007B0596">
        <w:rPr>
          <w:lang w:val="en-ID"/>
        </w:rPr>
        <w:t xml:space="preserve"> </w:t>
      </w:r>
      <w:hyperlink r:id="rId25" w:history="1">
        <w:r w:rsidR="007B0596" w:rsidRPr="00183E5E">
          <w:rPr>
            <w:rStyle w:val="Hyperlink"/>
            <w:lang w:val="en-ID"/>
          </w:rPr>
          <w:t>https://doi.org/10.1111/j.1540-6261.1995.tb05166.x</w:t>
        </w:r>
      </w:hyperlink>
      <w:r w:rsidR="007B0596">
        <w:rPr>
          <w:lang w:val="en-ID"/>
        </w:rPr>
        <w:t xml:space="preserve"> </w:t>
      </w:r>
    </w:p>
    <w:p w14:paraId="78C3D00E" w14:textId="4EFFC3C8" w:rsidR="00184E3A" w:rsidRPr="00184E3A" w:rsidRDefault="00184E3A" w:rsidP="00184E3A">
      <w:pPr>
        <w:pStyle w:val="Body"/>
        <w:rPr>
          <w:lang w:val="en-ID"/>
        </w:rPr>
      </w:pPr>
      <w:r w:rsidRPr="00184E3A">
        <w:rPr>
          <w:lang w:val="en-ID"/>
        </w:rPr>
        <w:lastRenderedPageBreak/>
        <w:t xml:space="preserve">Luo, X. (2008). When marketing strategy first meets Wall Street: Marketing spending and firms’ initial public offerings. </w:t>
      </w:r>
      <w:r w:rsidRPr="00184E3A">
        <w:rPr>
          <w:i/>
          <w:iCs/>
          <w:lang w:val="en-ID"/>
        </w:rPr>
        <w:t>Journal of Marketing, 72</w:t>
      </w:r>
      <w:r w:rsidRPr="00184E3A">
        <w:rPr>
          <w:lang w:val="en-ID"/>
        </w:rPr>
        <w:t xml:space="preserve">(5), 98–109. </w:t>
      </w:r>
      <w:hyperlink r:id="rId26" w:history="1">
        <w:r w:rsidR="007B0596" w:rsidRPr="00183E5E">
          <w:rPr>
            <w:rStyle w:val="Hyperlink"/>
            <w:lang w:val="en-ID"/>
          </w:rPr>
          <w:t>https://doi.org/10.1509/jmkg.72.5.098</w:t>
        </w:r>
      </w:hyperlink>
      <w:r w:rsidR="007B0596">
        <w:rPr>
          <w:lang w:val="en-ID"/>
        </w:rPr>
        <w:t xml:space="preserve"> </w:t>
      </w:r>
    </w:p>
    <w:p w14:paraId="0B11A0D3" w14:textId="65F2BE8B" w:rsidR="00184E3A" w:rsidRPr="00184E3A" w:rsidRDefault="00184E3A" w:rsidP="00184E3A">
      <w:pPr>
        <w:pStyle w:val="Body"/>
        <w:rPr>
          <w:lang w:val="en-ID"/>
        </w:rPr>
      </w:pPr>
      <w:r w:rsidRPr="00184E3A">
        <w:rPr>
          <w:lang w:val="en-ID"/>
        </w:rPr>
        <w:t xml:space="preserve">Ma, S., Seetharaman, A., &amp; Prasad, R. (2019). Marketing strategies and IPO performance in hospitality. </w:t>
      </w:r>
      <w:r w:rsidRPr="00184E3A">
        <w:rPr>
          <w:i/>
          <w:iCs/>
          <w:lang w:val="en-ID"/>
        </w:rPr>
        <w:t>International Journal of Hospitality Management, 77</w:t>
      </w:r>
      <w:r w:rsidRPr="00184E3A">
        <w:rPr>
          <w:lang w:val="en-ID"/>
        </w:rPr>
        <w:t xml:space="preserve">, 321–330. </w:t>
      </w:r>
      <w:hyperlink r:id="rId27" w:history="1">
        <w:r w:rsidR="007B0596" w:rsidRPr="00183E5E">
          <w:rPr>
            <w:rStyle w:val="Hyperlink"/>
            <w:lang w:val="en-ID"/>
          </w:rPr>
          <w:t>https://doi.org/10.1016/j.ijhm.2018.07.015</w:t>
        </w:r>
      </w:hyperlink>
      <w:r w:rsidR="007B0596">
        <w:rPr>
          <w:lang w:val="en-ID"/>
        </w:rPr>
        <w:t xml:space="preserve"> </w:t>
      </w:r>
    </w:p>
    <w:p w14:paraId="3E537C52" w14:textId="06940D31" w:rsidR="00184E3A" w:rsidRPr="00184E3A" w:rsidRDefault="00184E3A" w:rsidP="00184E3A">
      <w:pPr>
        <w:pStyle w:val="Body"/>
        <w:rPr>
          <w:lang w:val="en-ID"/>
        </w:rPr>
      </w:pPr>
      <w:r w:rsidRPr="00184E3A">
        <w:rPr>
          <w:lang w:val="en-ID"/>
        </w:rPr>
        <w:t xml:space="preserve">Mehmood, W., Mohd-Rashid, R., Abdul-Rahim, R., &amp; Aman-Ullah, A. (2024). Looking back for future directions: A literature review analysis of investors’ demand for IPOs. </w:t>
      </w:r>
      <w:proofErr w:type="spellStart"/>
      <w:r w:rsidRPr="00184E3A">
        <w:rPr>
          <w:i/>
          <w:iCs/>
          <w:lang w:val="en-ID"/>
        </w:rPr>
        <w:t>EuroMed</w:t>
      </w:r>
      <w:proofErr w:type="spellEnd"/>
      <w:r w:rsidRPr="00184E3A">
        <w:rPr>
          <w:i/>
          <w:iCs/>
          <w:lang w:val="en-ID"/>
        </w:rPr>
        <w:t xml:space="preserve"> Journal of Business.</w:t>
      </w:r>
      <w:r w:rsidRPr="00184E3A">
        <w:rPr>
          <w:lang w:val="en-ID"/>
        </w:rPr>
        <w:t xml:space="preserve"> Advance online publication. </w:t>
      </w:r>
      <w:hyperlink r:id="rId28" w:history="1">
        <w:r w:rsidR="007B0596" w:rsidRPr="00183E5E">
          <w:rPr>
            <w:rStyle w:val="Hyperlink"/>
            <w:lang w:val="en-ID"/>
          </w:rPr>
          <w:t>https://doi.org/10.1108/EMJB-09-2022-0213</w:t>
        </w:r>
      </w:hyperlink>
      <w:r w:rsidR="007B0596">
        <w:rPr>
          <w:lang w:val="en-ID"/>
        </w:rPr>
        <w:t xml:space="preserve"> </w:t>
      </w:r>
    </w:p>
    <w:p w14:paraId="23D51C13" w14:textId="70FF0693" w:rsidR="00184E3A" w:rsidRPr="00184E3A" w:rsidRDefault="00184E3A" w:rsidP="00184E3A">
      <w:pPr>
        <w:pStyle w:val="Body"/>
        <w:rPr>
          <w:lang w:val="en-ID"/>
        </w:rPr>
      </w:pPr>
      <w:proofErr w:type="spellStart"/>
      <w:r w:rsidRPr="00184E3A">
        <w:rPr>
          <w:lang w:val="en-ID"/>
        </w:rPr>
        <w:t>Mindosa</w:t>
      </w:r>
      <w:proofErr w:type="spellEnd"/>
      <w:r w:rsidRPr="00184E3A">
        <w:rPr>
          <w:lang w:val="en-ID"/>
        </w:rPr>
        <w:t xml:space="preserve">, B., &amp; </w:t>
      </w:r>
      <w:proofErr w:type="spellStart"/>
      <w:r w:rsidRPr="00184E3A">
        <w:rPr>
          <w:lang w:val="en-ID"/>
        </w:rPr>
        <w:t>Pasaribu</w:t>
      </w:r>
      <w:proofErr w:type="spellEnd"/>
      <w:r w:rsidRPr="00184E3A">
        <w:rPr>
          <w:lang w:val="en-ID"/>
        </w:rPr>
        <w:t xml:space="preserve">, P. (2020). Initial Public Offering: New evidence from Indonesia. </w:t>
      </w:r>
      <w:r w:rsidRPr="00184E3A">
        <w:rPr>
          <w:i/>
          <w:iCs/>
          <w:lang w:val="en-ID"/>
        </w:rPr>
        <w:t>Journal of Business and Entrepreneurship, 8</w:t>
      </w:r>
      <w:r w:rsidRPr="00184E3A">
        <w:rPr>
          <w:lang w:val="en-ID"/>
        </w:rPr>
        <w:t>(1), 1–17.</w:t>
      </w:r>
      <w:r w:rsidR="007B0596">
        <w:rPr>
          <w:lang w:val="en-ID"/>
        </w:rPr>
        <w:t xml:space="preserve"> </w:t>
      </w:r>
      <w:hyperlink r:id="rId29" w:history="1">
        <w:r w:rsidR="007B0596" w:rsidRPr="00183E5E">
          <w:rPr>
            <w:rStyle w:val="Hyperlink"/>
            <w:lang w:val="en-ID"/>
          </w:rPr>
          <w:t>https://ojs.sampoernauniversity.ac.id/index.php/JOBE/article/view/96</w:t>
        </w:r>
      </w:hyperlink>
      <w:r w:rsidR="007B0596">
        <w:rPr>
          <w:lang w:val="en-ID"/>
        </w:rPr>
        <w:t xml:space="preserve"> </w:t>
      </w:r>
    </w:p>
    <w:p w14:paraId="41A2C6EA" w14:textId="2DFDFA79" w:rsidR="00184E3A" w:rsidRPr="00184E3A" w:rsidRDefault="00184E3A" w:rsidP="00184E3A">
      <w:pPr>
        <w:pStyle w:val="Body"/>
        <w:rPr>
          <w:lang w:val="en-ID"/>
        </w:rPr>
      </w:pPr>
      <w:r w:rsidRPr="00184E3A">
        <w:rPr>
          <w:lang w:val="en-ID"/>
        </w:rPr>
        <w:t xml:space="preserve">Okoli, C. (2015). A guide to conducting a standalone systematic literature review. </w:t>
      </w:r>
      <w:r w:rsidRPr="00184E3A">
        <w:rPr>
          <w:i/>
          <w:iCs/>
          <w:lang w:val="en-ID"/>
        </w:rPr>
        <w:t>Communications of the Association for Information Systems, 37</w:t>
      </w:r>
      <w:r w:rsidRPr="00184E3A">
        <w:rPr>
          <w:lang w:val="en-ID"/>
        </w:rPr>
        <w:t>(1), 879–910.</w:t>
      </w:r>
      <w:r w:rsidR="007B0596">
        <w:rPr>
          <w:lang w:val="en-ID"/>
        </w:rPr>
        <w:t xml:space="preserve"> </w:t>
      </w:r>
      <w:hyperlink r:id="rId30" w:history="1">
        <w:r w:rsidR="007B0596" w:rsidRPr="00183E5E">
          <w:rPr>
            <w:rStyle w:val="Hyperlink"/>
            <w:lang w:val="en-ID"/>
          </w:rPr>
          <w:t>https://doi.org/10.17705/1CAIS.03743</w:t>
        </w:r>
      </w:hyperlink>
      <w:r w:rsidR="007B0596">
        <w:rPr>
          <w:lang w:val="en-ID"/>
        </w:rPr>
        <w:t xml:space="preserve"> </w:t>
      </w:r>
    </w:p>
    <w:p w14:paraId="1CB5D9D3" w14:textId="78BFA073" w:rsidR="00184E3A" w:rsidRPr="007B0596" w:rsidRDefault="00184E3A" w:rsidP="00184E3A">
      <w:pPr>
        <w:pStyle w:val="Body"/>
        <w:rPr>
          <w:lang w:val="en-IN"/>
        </w:rPr>
      </w:pPr>
      <w:r w:rsidRPr="00184E3A">
        <w:rPr>
          <w:lang w:val="id-ID"/>
        </w:rPr>
        <w:t>Radityo, S. T. (2024). Evaluasi Penerapan Manajemen Risiko dalam Kesiapan IPO: Studi pada PT XYZ. </w:t>
      </w:r>
      <w:r w:rsidRPr="00184E3A">
        <w:rPr>
          <w:i/>
          <w:iCs/>
          <w:lang w:val="id-ID"/>
        </w:rPr>
        <w:t>Owner: Riset dan Jurnal Akuntansi</w:t>
      </w:r>
      <w:r w:rsidRPr="00184E3A">
        <w:rPr>
          <w:lang w:val="id-ID"/>
        </w:rPr>
        <w:t>, </w:t>
      </w:r>
      <w:r w:rsidRPr="00184E3A">
        <w:rPr>
          <w:i/>
          <w:iCs/>
          <w:lang w:val="id-ID"/>
        </w:rPr>
        <w:t>8</w:t>
      </w:r>
      <w:r w:rsidRPr="00184E3A">
        <w:rPr>
          <w:lang w:val="id-ID"/>
        </w:rPr>
        <w:t>(3), 2314-2327.</w:t>
      </w:r>
      <w:r w:rsidR="007B0596">
        <w:rPr>
          <w:lang w:val="en-IN"/>
        </w:rPr>
        <w:t xml:space="preserve"> </w:t>
      </w:r>
      <w:hyperlink r:id="rId31" w:history="1">
        <w:r w:rsidR="007B0596" w:rsidRPr="00183E5E">
          <w:rPr>
            <w:rStyle w:val="Hyperlink"/>
            <w:lang w:val="en-IN"/>
          </w:rPr>
          <w:t>https://doi.org/10.33395/owner.v8i3.2073</w:t>
        </w:r>
      </w:hyperlink>
      <w:r w:rsidR="007B0596">
        <w:rPr>
          <w:lang w:val="en-IN"/>
        </w:rPr>
        <w:t xml:space="preserve"> </w:t>
      </w:r>
    </w:p>
    <w:p w14:paraId="07722CD4" w14:textId="3625ADE5" w:rsidR="00184E3A" w:rsidRPr="007B0596" w:rsidRDefault="00184E3A" w:rsidP="00184E3A">
      <w:pPr>
        <w:pStyle w:val="Body"/>
        <w:rPr>
          <w:lang w:val="en-IN"/>
        </w:rPr>
      </w:pPr>
      <w:r w:rsidRPr="00184E3A">
        <w:rPr>
          <w:lang w:val="id-ID"/>
        </w:rPr>
        <w:t>Renu, N. (2021). Contribution of Brand Marketing in a Successful IPO. </w:t>
      </w:r>
      <w:r w:rsidRPr="00184E3A">
        <w:rPr>
          <w:i/>
          <w:iCs/>
          <w:lang w:val="id-ID"/>
        </w:rPr>
        <w:t>Journal of Marketing Management</w:t>
      </w:r>
      <w:r w:rsidRPr="00184E3A">
        <w:rPr>
          <w:lang w:val="id-ID"/>
        </w:rPr>
        <w:t>, </w:t>
      </w:r>
      <w:r w:rsidRPr="00184E3A">
        <w:rPr>
          <w:i/>
          <w:iCs/>
          <w:lang w:val="id-ID"/>
        </w:rPr>
        <w:t>9</w:t>
      </w:r>
      <w:r w:rsidRPr="00184E3A">
        <w:rPr>
          <w:lang w:val="id-ID"/>
        </w:rPr>
        <w:t>(2), 30-34.</w:t>
      </w:r>
      <w:r w:rsidR="007B0596">
        <w:rPr>
          <w:lang w:val="en-IN"/>
        </w:rPr>
        <w:t xml:space="preserve"> </w:t>
      </w:r>
      <w:hyperlink r:id="rId32" w:history="1">
        <w:r w:rsidR="007B0596" w:rsidRPr="00183E5E">
          <w:rPr>
            <w:rStyle w:val="Hyperlink"/>
            <w:lang w:val="en-IN"/>
          </w:rPr>
          <w:t>https://doi.org/10.15640/jmm.v9n2a4</w:t>
        </w:r>
      </w:hyperlink>
      <w:r w:rsidR="007B0596">
        <w:rPr>
          <w:lang w:val="en-IN"/>
        </w:rPr>
        <w:t xml:space="preserve"> </w:t>
      </w:r>
    </w:p>
    <w:p w14:paraId="422E64D5" w14:textId="59F3F11E" w:rsidR="00184E3A" w:rsidRPr="00184E3A" w:rsidRDefault="00184E3A" w:rsidP="00184E3A">
      <w:pPr>
        <w:pStyle w:val="Body"/>
        <w:rPr>
          <w:lang w:val="en-ID"/>
        </w:rPr>
      </w:pPr>
      <w:r w:rsidRPr="00184E3A">
        <w:rPr>
          <w:lang w:val="en-ID"/>
        </w:rPr>
        <w:t xml:space="preserve">Ritter, J. R. (1991). The long‐run performance of initial public offerings. </w:t>
      </w:r>
      <w:r w:rsidRPr="00184E3A">
        <w:rPr>
          <w:i/>
          <w:iCs/>
          <w:lang w:val="en-ID"/>
        </w:rPr>
        <w:t>The Journal of Finance, 46</w:t>
      </w:r>
      <w:r w:rsidRPr="00184E3A">
        <w:rPr>
          <w:lang w:val="en-ID"/>
        </w:rPr>
        <w:t xml:space="preserve">(1), 3–27. </w:t>
      </w:r>
      <w:hyperlink r:id="rId33" w:history="1">
        <w:r w:rsidR="007B0596" w:rsidRPr="00183E5E">
          <w:rPr>
            <w:rStyle w:val="Hyperlink"/>
            <w:lang w:val="en-ID"/>
          </w:rPr>
          <w:t>https://doi.org/10.1111/j.1540-6261.1991.tb03743.x</w:t>
        </w:r>
      </w:hyperlink>
      <w:r w:rsidR="007B0596">
        <w:rPr>
          <w:lang w:val="en-ID"/>
        </w:rPr>
        <w:t xml:space="preserve"> </w:t>
      </w:r>
    </w:p>
    <w:p w14:paraId="08DF127A" w14:textId="77777777" w:rsidR="00184E3A" w:rsidRPr="00184E3A" w:rsidRDefault="00184E3A" w:rsidP="00184E3A">
      <w:pPr>
        <w:pStyle w:val="Body"/>
        <w:rPr>
          <w:lang w:val="en-ID"/>
        </w:rPr>
      </w:pPr>
      <w:r w:rsidRPr="00184E3A">
        <w:rPr>
          <w:lang w:val="en-ID"/>
        </w:rPr>
        <w:t xml:space="preserve">Ritter, J. R. (2011). Marketing in IPOs: </w:t>
      </w:r>
      <w:proofErr w:type="spellStart"/>
      <w:r w:rsidRPr="00184E3A">
        <w:rPr>
          <w:lang w:val="en-ID"/>
        </w:rPr>
        <w:t>Signaling</w:t>
      </w:r>
      <w:proofErr w:type="spellEnd"/>
      <w:r w:rsidRPr="00184E3A">
        <w:rPr>
          <w:lang w:val="en-ID"/>
        </w:rPr>
        <w:t xml:space="preserve">, allocation, and reputation. </w:t>
      </w:r>
      <w:r w:rsidRPr="00184E3A">
        <w:rPr>
          <w:i/>
          <w:iCs/>
          <w:lang w:val="en-ID"/>
        </w:rPr>
        <w:t>Journal of Applied Corporate Finance, 23</w:t>
      </w:r>
      <w:r w:rsidRPr="00184E3A">
        <w:rPr>
          <w:lang w:val="en-ID"/>
        </w:rPr>
        <w:t>(4), 68–81.</w:t>
      </w:r>
    </w:p>
    <w:p w14:paraId="70D496A7" w14:textId="115DFD6A" w:rsidR="00184E3A" w:rsidRPr="00184E3A" w:rsidRDefault="00184E3A" w:rsidP="00184E3A">
      <w:pPr>
        <w:pStyle w:val="Body"/>
        <w:rPr>
          <w:lang w:val="en-ID"/>
        </w:rPr>
      </w:pPr>
      <w:r w:rsidRPr="00184E3A">
        <w:rPr>
          <w:lang w:val="en-ID"/>
        </w:rPr>
        <w:t xml:space="preserve">Saboo, A. R., Chakravarty, A., &amp; Grewal, R. (2016). Relational antecedents and performance outcomes of marketing strategy in initial public offerings: Myopic marketing, flings, and long-term relationships. </w:t>
      </w:r>
      <w:r w:rsidRPr="00184E3A">
        <w:rPr>
          <w:i/>
          <w:iCs/>
          <w:lang w:val="en-ID"/>
        </w:rPr>
        <w:t>Journal of Marketing, 80</w:t>
      </w:r>
      <w:r w:rsidRPr="00184E3A">
        <w:rPr>
          <w:lang w:val="en-ID"/>
        </w:rPr>
        <w:t xml:space="preserve">(6), 39–61. </w:t>
      </w:r>
      <w:hyperlink r:id="rId34" w:history="1">
        <w:r w:rsidR="007B0596" w:rsidRPr="00183E5E">
          <w:rPr>
            <w:rStyle w:val="Hyperlink"/>
            <w:lang w:val="en-ID"/>
          </w:rPr>
          <w:t>https://doi.org/10.1509/jm.15.0285</w:t>
        </w:r>
      </w:hyperlink>
      <w:r w:rsidR="007B0596">
        <w:rPr>
          <w:lang w:val="en-ID"/>
        </w:rPr>
        <w:t xml:space="preserve"> </w:t>
      </w:r>
    </w:p>
    <w:p w14:paraId="26A477AF" w14:textId="008C7238" w:rsidR="00184E3A" w:rsidRPr="007B0596" w:rsidRDefault="00184E3A" w:rsidP="00184E3A">
      <w:pPr>
        <w:pStyle w:val="Body"/>
        <w:rPr>
          <w:lang w:val="en-IN"/>
        </w:rPr>
      </w:pPr>
      <w:r w:rsidRPr="00184E3A">
        <w:rPr>
          <w:lang w:val="id-ID"/>
        </w:rPr>
        <w:t>Sani, N., &amp; Lukito, H. (2025). Perancangan Strategi Ekspansi Dan Persiapan Initial Public Offering (IPO) PADA CV Khawla Atelier. </w:t>
      </w:r>
      <w:r w:rsidRPr="00184E3A">
        <w:rPr>
          <w:i/>
          <w:iCs/>
          <w:lang w:val="id-ID"/>
        </w:rPr>
        <w:t>Journal Publicuho</w:t>
      </w:r>
      <w:r w:rsidRPr="00184E3A">
        <w:rPr>
          <w:lang w:val="id-ID"/>
        </w:rPr>
        <w:t>, </w:t>
      </w:r>
      <w:r w:rsidRPr="00184E3A">
        <w:rPr>
          <w:i/>
          <w:iCs/>
          <w:lang w:val="id-ID"/>
        </w:rPr>
        <w:t>8</w:t>
      </w:r>
      <w:r w:rsidRPr="00184E3A">
        <w:rPr>
          <w:lang w:val="id-ID"/>
        </w:rPr>
        <w:t>(3), 1825-1840.</w:t>
      </w:r>
      <w:r w:rsidR="007B0596">
        <w:rPr>
          <w:lang w:val="en-IN"/>
        </w:rPr>
        <w:t xml:space="preserve"> </w:t>
      </w:r>
      <w:hyperlink r:id="rId35" w:history="1">
        <w:r w:rsidR="007B0596" w:rsidRPr="00183E5E">
          <w:rPr>
            <w:rStyle w:val="Hyperlink"/>
            <w:lang w:val="en-IN"/>
          </w:rPr>
          <w:t>https://doi.org/10.35817/publicuho.v8i3.901</w:t>
        </w:r>
      </w:hyperlink>
      <w:r w:rsidR="007B0596">
        <w:rPr>
          <w:lang w:val="en-IN"/>
        </w:rPr>
        <w:t xml:space="preserve"> </w:t>
      </w:r>
    </w:p>
    <w:p w14:paraId="0E904786" w14:textId="1E03FE98" w:rsidR="00184E3A" w:rsidRPr="00184E3A" w:rsidRDefault="00184E3A" w:rsidP="00184E3A">
      <w:pPr>
        <w:pStyle w:val="Body"/>
        <w:rPr>
          <w:lang w:val="en-ID"/>
        </w:rPr>
      </w:pPr>
      <w:r w:rsidRPr="00184E3A">
        <w:rPr>
          <w:lang w:val="en-ID"/>
        </w:rPr>
        <w:t xml:space="preserve">Snyder, H. (2019). Literature review as a research methodology: An overview and guidelines. </w:t>
      </w:r>
      <w:r w:rsidRPr="00184E3A">
        <w:rPr>
          <w:i/>
          <w:iCs/>
          <w:lang w:val="en-ID"/>
        </w:rPr>
        <w:t>Journal of Business Research, 104</w:t>
      </w:r>
      <w:r w:rsidRPr="00184E3A">
        <w:rPr>
          <w:lang w:val="en-ID"/>
        </w:rPr>
        <w:t xml:space="preserve">, 333–339. </w:t>
      </w:r>
      <w:hyperlink r:id="rId36" w:history="1">
        <w:r w:rsidR="007B0596" w:rsidRPr="00183E5E">
          <w:rPr>
            <w:rStyle w:val="Hyperlink"/>
            <w:lang w:val="en-ID"/>
          </w:rPr>
          <w:t>https://doi.org/10.1016/j.jbusres.2019.07.039</w:t>
        </w:r>
      </w:hyperlink>
      <w:r w:rsidR="007B0596">
        <w:rPr>
          <w:lang w:val="en-ID"/>
        </w:rPr>
        <w:t xml:space="preserve"> </w:t>
      </w:r>
    </w:p>
    <w:p w14:paraId="50149614" w14:textId="7532D6D9" w:rsidR="00184E3A" w:rsidRPr="00184E3A" w:rsidRDefault="00184E3A" w:rsidP="00184E3A">
      <w:pPr>
        <w:pStyle w:val="Body"/>
        <w:rPr>
          <w:lang w:val="en-ID"/>
        </w:rPr>
      </w:pPr>
      <w:r w:rsidRPr="00184E3A">
        <w:rPr>
          <w:lang w:val="en-ID"/>
        </w:rPr>
        <w:t xml:space="preserve">Thomas, J., &amp; Harden, A. (2008). Methods for the thematic synthesis of qualitative research in systematic reviews. </w:t>
      </w:r>
      <w:r w:rsidRPr="00184E3A">
        <w:rPr>
          <w:i/>
          <w:iCs/>
          <w:lang w:val="en-ID"/>
        </w:rPr>
        <w:t>BMC Medical Research Methodology, 8</w:t>
      </w:r>
      <w:r w:rsidRPr="00184E3A">
        <w:rPr>
          <w:lang w:val="en-ID"/>
        </w:rPr>
        <w:t xml:space="preserve">(1), 45. </w:t>
      </w:r>
      <w:hyperlink r:id="rId37" w:history="1">
        <w:r w:rsidR="007B0596" w:rsidRPr="00183E5E">
          <w:rPr>
            <w:rStyle w:val="Hyperlink"/>
            <w:lang w:val="en-ID"/>
          </w:rPr>
          <w:t>https://doi.org/10.1186/1471-2288-8-45</w:t>
        </w:r>
      </w:hyperlink>
      <w:r w:rsidR="007B0596">
        <w:rPr>
          <w:lang w:val="en-ID"/>
        </w:rPr>
        <w:t xml:space="preserve"> </w:t>
      </w:r>
    </w:p>
    <w:p w14:paraId="40CE5229" w14:textId="1F5BD6F3" w:rsidR="00184E3A" w:rsidRPr="00184E3A" w:rsidRDefault="00184E3A" w:rsidP="00184E3A">
      <w:pPr>
        <w:pStyle w:val="Body"/>
        <w:rPr>
          <w:lang w:val="en-ID"/>
        </w:rPr>
      </w:pPr>
      <w:proofErr w:type="spellStart"/>
      <w:r w:rsidRPr="00184E3A">
        <w:rPr>
          <w:lang w:val="en-ID"/>
        </w:rPr>
        <w:lastRenderedPageBreak/>
        <w:t>Tranfield</w:t>
      </w:r>
      <w:proofErr w:type="spellEnd"/>
      <w:r w:rsidRPr="00184E3A">
        <w:rPr>
          <w:lang w:val="en-ID"/>
        </w:rPr>
        <w:t xml:space="preserve">, D., Denyer, D., &amp; Smart, P. (2003). Towards a methodology for developing evidence‐informed management knowledge by means of systematic review. </w:t>
      </w:r>
      <w:r w:rsidRPr="00184E3A">
        <w:rPr>
          <w:i/>
          <w:iCs/>
          <w:lang w:val="en-ID"/>
        </w:rPr>
        <w:t>British Journal of Management, 14</w:t>
      </w:r>
      <w:r w:rsidRPr="00184E3A">
        <w:rPr>
          <w:lang w:val="en-ID"/>
        </w:rPr>
        <w:t xml:space="preserve">(3), 207–222. </w:t>
      </w:r>
      <w:hyperlink r:id="rId38" w:history="1">
        <w:r w:rsidR="007B0596" w:rsidRPr="00183E5E">
          <w:rPr>
            <w:rStyle w:val="Hyperlink"/>
            <w:lang w:val="en-ID"/>
          </w:rPr>
          <w:t>https://doi.org/10.1111/1467-8551.00375</w:t>
        </w:r>
      </w:hyperlink>
      <w:r w:rsidR="007B0596">
        <w:rPr>
          <w:lang w:val="en-ID"/>
        </w:rPr>
        <w:t xml:space="preserve"> </w:t>
      </w:r>
    </w:p>
    <w:p w14:paraId="4632C104" w14:textId="1ED9E9FB" w:rsidR="00184E3A" w:rsidRPr="00184E3A" w:rsidRDefault="00184E3A" w:rsidP="00184E3A">
      <w:pPr>
        <w:pStyle w:val="Body"/>
        <w:rPr>
          <w:lang w:val="en-ID"/>
        </w:rPr>
      </w:pPr>
      <w:r w:rsidRPr="00184E3A">
        <w:rPr>
          <w:lang w:val="en-ID"/>
        </w:rPr>
        <w:t xml:space="preserve">Wies, S., &amp; Moorman, C. (2013). Going public: How marketing communications and capital markets interact. </w:t>
      </w:r>
      <w:r w:rsidRPr="00184E3A">
        <w:rPr>
          <w:i/>
          <w:iCs/>
          <w:lang w:val="en-ID"/>
        </w:rPr>
        <w:t>Journal of Marketing, 77</w:t>
      </w:r>
      <w:r w:rsidRPr="00184E3A">
        <w:rPr>
          <w:lang w:val="en-ID"/>
        </w:rPr>
        <w:t xml:space="preserve">(5), 38–58. </w:t>
      </w:r>
      <w:hyperlink r:id="rId39" w:history="1">
        <w:r w:rsidR="007B0596" w:rsidRPr="00183E5E">
          <w:rPr>
            <w:rStyle w:val="Hyperlink"/>
            <w:lang w:val="en-ID"/>
          </w:rPr>
          <w:t>https://doi.org/10.1509/jm.12.0054</w:t>
        </w:r>
      </w:hyperlink>
      <w:r w:rsidR="007B0596">
        <w:rPr>
          <w:lang w:val="en-ID"/>
        </w:rPr>
        <w:t xml:space="preserve"> </w:t>
      </w:r>
    </w:p>
    <w:p w14:paraId="2423934B" w14:textId="5D658424" w:rsidR="00184E3A" w:rsidRDefault="00184E3A" w:rsidP="00184E3A">
      <w:pPr>
        <w:pStyle w:val="Body"/>
        <w:spacing w:after="0"/>
        <w:rPr>
          <w:lang w:val="en-ID"/>
        </w:rPr>
      </w:pPr>
      <w:r w:rsidRPr="00184E3A">
        <w:rPr>
          <w:lang w:val="en-ID"/>
        </w:rPr>
        <w:t xml:space="preserve">Xiao, Y., &amp; Watson, M. (2019). Guidance on conducting a systematic literature review. </w:t>
      </w:r>
      <w:r w:rsidRPr="00184E3A">
        <w:rPr>
          <w:i/>
          <w:iCs/>
          <w:lang w:val="en-ID"/>
        </w:rPr>
        <w:t>Journal of Planning Education and Research, 39</w:t>
      </w:r>
      <w:r w:rsidRPr="00184E3A">
        <w:rPr>
          <w:lang w:val="en-ID"/>
        </w:rPr>
        <w:t xml:space="preserve">(1), 93–112. </w:t>
      </w:r>
      <w:hyperlink r:id="rId40" w:history="1">
        <w:r w:rsidR="007B0596" w:rsidRPr="00183E5E">
          <w:rPr>
            <w:rStyle w:val="Hyperlink"/>
          </w:rPr>
          <w:t>https://doi.org/10.1177/0739456X17723971</w:t>
        </w:r>
      </w:hyperlink>
      <w:r w:rsidR="007B0596">
        <w:t xml:space="preserve"> </w:t>
      </w:r>
    </w:p>
    <w:p w14:paraId="03D659C0" w14:textId="77777777" w:rsidR="00184E3A" w:rsidRDefault="00184E3A" w:rsidP="00184E3A">
      <w:pPr>
        <w:pStyle w:val="Body"/>
        <w:spacing w:after="0"/>
        <w:rPr>
          <w:lang w:val="en-ID"/>
        </w:rPr>
      </w:pPr>
    </w:p>
    <w:sectPr w:rsidR="00184E3A" w:rsidSect="004A11F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4FF78" w14:textId="77777777" w:rsidR="00C23771" w:rsidRDefault="00C23771" w:rsidP="00C37E61">
      <w:r>
        <w:separator/>
      </w:r>
    </w:p>
  </w:endnote>
  <w:endnote w:type="continuationSeparator" w:id="0">
    <w:p w14:paraId="3D345CEC" w14:textId="77777777" w:rsidR="00C23771" w:rsidRDefault="00C237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0BDC3" w14:textId="77777777" w:rsidR="004A11FF" w:rsidRDefault="004A1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C46B" w14:textId="77777777" w:rsidR="004A11FF" w:rsidRDefault="004A1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3526" w14:textId="77777777" w:rsidR="009E048A" w:rsidRDefault="009E048A">
    <w:pPr>
      <w:pStyle w:val="Footer"/>
      <w:rPr>
        <w:rFonts w:ascii="Arial" w:hAnsi="Arial" w:cs="Arial"/>
        <w:sz w:val="16"/>
      </w:rPr>
    </w:pPr>
  </w:p>
  <w:p w14:paraId="6B38D0C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ADC07F" w14:textId="77777777" w:rsidR="009E048A" w:rsidRDefault="009E048A">
    <w:pPr>
      <w:pStyle w:val="Footer"/>
      <w:rPr>
        <w:rFonts w:ascii="Arial" w:hAnsi="Arial" w:cs="Arial"/>
        <w:sz w:val="16"/>
      </w:rPr>
    </w:pPr>
  </w:p>
  <w:p w14:paraId="0DBECB7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53944" w14:textId="77777777" w:rsidR="00C23771" w:rsidRDefault="00C23771" w:rsidP="00C37E61">
      <w:r>
        <w:separator/>
      </w:r>
    </w:p>
  </w:footnote>
  <w:footnote w:type="continuationSeparator" w:id="0">
    <w:p w14:paraId="22CE148D" w14:textId="77777777" w:rsidR="00C23771" w:rsidRDefault="00C237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6B2E4" w14:textId="082829B3" w:rsidR="004A11FF" w:rsidRDefault="004A11FF">
    <w:pPr>
      <w:pStyle w:val="Header"/>
    </w:pPr>
    <w:r>
      <w:rPr>
        <w:noProof/>
      </w:rPr>
      <w:pict w14:anchorId="4BC2B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303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CF084" w14:textId="62F48AE8" w:rsidR="004A11FF" w:rsidRDefault="004A11FF">
    <w:pPr>
      <w:pStyle w:val="Header"/>
    </w:pPr>
    <w:r>
      <w:rPr>
        <w:noProof/>
      </w:rPr>
      <w:pict w14:anchorId="27437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303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416F" w14:textId="5DF96B1C" w:rsidR="00296529" w:rsidRPr="00296529" w:rsidRDefault="004A11FF" w:rsidP="00296529">
    <w:pPr>
      <w:ind w:left="2160"/>
      <w:jc w:val="center"/>
      <w:rPr>
        <w:rFonts w:ascii="Times New Roman" w:eastAsia="Calibri" w:hAnsi="Times New Roman"/>
        <w:i/>
        <w:sz w:val="18"/>
        <w:szCs w:val="22"/>
      </w:rPr>
    </w:pPr>
    <w:r>
      <w:rPr>
        <w:noProof/>
      </w:rPr>
      <w:pict w14:anchorId="46B30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303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BD02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1718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2665E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1EEC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57AE8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D02B2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A7537"/>
    <w:rsid w:val="000B1E33"/>
    <w:rsid w:val="000C0ED1"/>
    <w:rsid w:val="000D689F"/>
    <w:rsid w:val="000E7B7B"/>
    <w:rsid w:val="000E7D62"/>
    <w:rsid w:val="000F5AB3"/>
    <w:rsid w:val="00103357"/>
    <w:rsid w:val="00112DE9"/>
    <w:rsid w:val="0011592F"/>
    <w:rsid w:val="00123C9F"/>
    <w:rsid w:val="00126190"/>
    <w:rsid w:val="00130F17"/>
    <w:rsid w:val="001320BF"/>
    <w:rsid w:val="0015727B"/>
    <w:rsid w:val="00163BC4"/>
    <w:rsid w:val="0018174E"/>
    <w:rsid w:val="00184E3A"/>
    <w:rsid w:val="00191062"/>
    <w:rsid w:val="00192B72"/>
    <w:rsid w:val="001A29D8"/>
    <w:rsid w:val="001A5CAA"/>
    <w:rsid w:val="001B0427"/>
    <w:rsid w:val="001D3A51"/>
    <w:rsid w:val="001D7727"/>
    <w:rsid w:val="001E10D2"/>
    <w:rsid w:val="001E25B4"/>
    <w:rsid w:val="001E44FE"/>
    <w:rsid w:val="00200595"/>
    <w:rsid w:val="00204835"/>
    <w:rsid w:val="0022442D"/>
    <w:rsid w:val="00231920"/>
    <w:rsid w:val="0023195C"/>
    <w:rsid w:val="0024282C"/>
    <w:rsid w:val="002460DC"/>
    <w:rsid w:val="00250985"/>
    <w:rsid w:val="002556F6"/>
    <w:rsid w:val="00283105"/>
    <w:rsid w:val="00284C4C"/>
    <w:rsid w:val="00287E68"/>
    <w:rsid w:val="00296529"/>
    <w:rsid w:val="002A6FEB"/>
    <w:rsid w:val="002B27FB"/>
    <w:rsid w:val="002B3055"/>
    <w:rsid w:val="002B685A"/>
    <w:rsid w:val="002C3398"/>
    <w:rsid w:val="002C57D2"/>
    <w:rsid w:val="002E0D56"/>
    <w:rsid w:val="00315186"/>
    <w:rsid w:val="003244E6"/>
    <w:rsid w:val="0033343E"/>
    <w:rsid w:val="003512C2"/>
    <w:rsid w:val="00371FB6"/>
    <w:rsid w:val="003763C1"/>
    <w:rsid w:val="00376BBE"/>
    <w:rsid w:val="00376F8A"/>
    <w:rsid w:val="0039224F"/>
    <w:rsid w:val="003A43A4"/>
    <w:rsid w:val="003A7E18"/>
    <w:rsid w:val="003C4C86"/>
    <w:rsid w:val="003C6258"/>
    <w:rsid w:val="003E2904"/>
    <w:rsid w:val="00401927"/>
    <w:rsid w:val="004030FE"/>
    <w:rsid w:val="0041027F"/>
    <w:rsid w:val="00412475"/>
    <w:rsid w:val="00423789"/>
    <w:rsid w:val="004365B9"/>
    <w:rsid w:val="00440F43"/>
    <w:rsid w:val="00441B6F"/>
    <w:rsid w:val="00446221"/>
    <w:rsid w:val="00450E62"/>
    <w:rsid w:val="004539DB"/>
    <w:rsid w:val="00471A80"/>
    <w:rsid w:val="0047234D"/>
    <w:rsid w:val="004A11FF"/>
    <w:rsid w:val="004D305E"/>
    <w:rsid w:val="004D4277"/>
    <w:rsid w:val="00502516"/>
    <w:rsid w:val="00505F06"/>
    <w:rsid w:val="00506828"/>
    <w:rsid w:val="00510ABC"/>
    <w:rsid w:val="0053056E"/>
    <w:rsid w:val="00554FDA"/>
    <w:rsid w:val="005C784C"/>
    <w:rsid w:val="005D17F6"/>
    <w:rsid w:val="005E5539"/>
    <w:rsid w:val="005F4C7C"/>
    <w:rsid w:val="00602BDA"/>
    <w:rsid w:val="00602BF5"/>
    <w:rsid w:val="00617FDD"/>
    <w:rsid w:val="00633614"/>
    <w:rsid w:val="00633F68"/>
    <w:rsid w:val="00636EB2"/>
    <w:rsid w:val="006375B8"/>
    <w:rsid w:val="00664E7C"/>
    <w:rsid w:val="0066510A"/>
    <w:rsid w:val="0067057E"/>
    <w:rsid w:val="00673F9F"/>
    <w:rsid w:val="00686953"/>
    <w:rsid w:val="00687556"/>
    <w:rsid w:val="00687DEA"/>
    <w:rsid w:val="00687E67"/>
    <w:rsid w:val="00695F0D"/>
    <w:rsid w:val="006967F7"/>
    <w:rsid w:val="006A250C"/>
    <w:rsid w:val="006B10FD"/>
    <w:rsid w:val="006B21D3"/>
    <w:rsid w:val="006B57D0"/>
    <w:rsid w:val="006D30FF"/>
    <w:rsid w:val="006D6940"/>
    <w:rsid w:val="006F11EC"/>
    <w:rsid w:val="0070082C"/>
    <w:rsid w:val="00712CDA"/>
    <w:rsid w:val="00726F9F"/>
    <w:rsid w:val="007369E6"/>
    <w:rsid w:val="00746E59"/>
    <w:rsid w:val="00754C9A"/>
    <w:rsid w:val="0075599A"/>
    <w:rsid w:val="00761D52"/>
    <w:rsid w:val="007642CC"/>
    <w:rsid w:val="00772EEF"/>
    <w:rsid w:val="007745BA"/>
    <w:rsid w:val="0077749E"/>
    <w:rsid w:val="00786D70"/>
    <w:rsid w:val="00790ADA"/>
    <w:rsid w:val="007B0596"/>
    <w:rsid w:val="007C60A3"/>
    <w:rsid w:val="007D2288"/>
    <w:rsid w:val="007D6E4B"/>
    <w:rsid w:val="007E088F"/>
    <w:rsid w:val="007F7B32"/>
    <w:rsid w:val="00804BC2"/>
    <w:rsid w:val="0081431A"/>
    <w:rsid w:val="0083216F"/>
    <w:rsid w:val="00837E7A"/>
    <w:rsid w:val="00860000"/>
    <w:rsid w:val="00863BD3"/>
    <w:rsid w:val="008641ED"/>
    <w:rsid w:val="00866D66"/>
    <w:rsid w:val="008671C6"/>
    <w:rsid w:val="00874A0C"/>
    <w:rsid w:val="00875803"/>
    <w:rsid w:val="008B459E"/>
    <w:rsid w:val="008C7633"/>
    <w:rsid w:val="008E13AE"/>
    <w:rsid w:val="008E1506"/>
    <w:rsid w:val="008E710C"/>
    <w:rsid w:val="008F69D6"/>
    <w:rsid w:val="008F6E33"/>
    <w:rsid w:val="00902823"/>
    <w:rsid w:val="009056F1"/>
    <w:rsid w:val="0091223C"/>
    <w:rsid w:val="00915CA6"/>
    <w:rsid w:val="00925C40"/>
    <w:rsid w:val="00927834"/>
    <w:rsid w:val="009500A6"/>
    <w:rsid w:val="00957C18"/>
    <w:rsid w:val="009659BA"/>
    <w:rsid w:val="00980836"/>
    <w:rsid w:val="00983040"/>
    <w:rsid w:val="00992400"/>
    <w:rsid w:val="009B3FB9"/>
    <w:rsid w:val="009C2465"/>
    <w:rsid w:val="009D35A0"/>
    <w:rsid w:val="009D52A8"/>
    <w:rsid w:val="009D7EB7"/>
    <w:rsid w:val="009E048A"/>
    <w:rsid w:val="009E08E9"/>
    <w:rsid w:val="009E3DB9"/>
    <w:rsid w:val="009E4315"/>
    <w:rsid w:val="009E6E35"/>
    <w:rsid w:val="009F0EDA"/>
    <w:rsid w:val="00A03B96"/>
    <w:rsid w:val="00A05B19"/>
    <w:rsid w:val="00A1134E"/>
    <w:rsid w:val="00A22029"/>
    <w:rsid w:val="00A24E7E"/>
    <w:rsid w:val="00A258C3"/>
    <w:rsid w:val="00A347C0"/>
    <w:rsid w:val="00A51431"/>
    <w:rsid w:val="00A539AD"/>
    <w:rsid w:val="00A94063"/>
    <w:rsid w:val="00AA6219"/>
    <w:rsid w:val="00AA74E0"/>
    <w:rsid w:val="00AB703F"/>
    <w:rsid w:val="00AC6BB8"/>
    <w:rsid w:val="00AE008F"/>
    <w:rsid w:val="00AF4681"/>
    <w:rsid w:val="00AF7C29"/>
    <w:rsid w:val="00B01FCD"/>
    <w:rsid w:val="00B1776C"/>
    <w:rsid w:val="00B35595"/>
    <w:rsid w:val="00B40ED7"/>
    <w:rsid w:val="00B52583"/>
    <w:rsid w:val="00B52896"/>
    <w:rsid w:val="00B714AA"/>
    <w:rsid w:val="00B95236"/>
    <w:rsid w:val="00B96BD9"/>
    <w:rsid w:val="00BA1B01"/>
    <w:rsid w:val="00BA2641"/>
    <w:rsid w:val="00BA398C"/>
    <w:rsid w:val="00BB37AA"/>
    <w:rsid w:val="00BC53A0"/>
    <w:rsid w:val="00BE62AD"/>
    <w:rsid w:val="00BF121F"/>
    <w:rsid w:val="00BF1F80"/>
    <w:rsid w:val="00C166EF"/>
    <w:rsid w:val="00C17EB0"/>
    <w:rsid w:val="00C23771"/>
    <w:rsid w:val="00C27F5F"/>
    <w:rsid w:val="00C30A0F"/>
    <w:rsid w:val="00C33073"/>
    <w:rsid w:val="00C37E61"/>
    <w:rsid w:val="00C60AB3"/>
    <w:rsid w:val="00C70780"/>
    <w:rsid w:val="00C70F1B"/>
    <w:rsid w:val="00C71A47"/>
    <w:rsid w:val="00C7464C"/>
    <w:rsid w:val="00C85588"/>
    <w:rsid w:val="00CA0635"/>
    <w:rsid w:val="00CD6755"/>
    <w:rsid w:val="00CD6856"/>
    <w:rsid w:val="00CE0089"/>
    <w:rsid w:val="00CE793C"/>
    <w:rsid w:val="00CF193C"/>
    <w:rsid w:val="00D173F1"/>
    <w:rsid w:val="00D475B0"/>
    <w:rsid w:val="00D65B81"/>
    <w:rsid w:val="00D74CB0"/>
    <w:rsid w:val="00D75EC0"/>
    <w:rsid w:val="00D8295D"/>
    <w:rsid w:val="00DC2A65"/>
    <w:rsid w:val="00DD7F81"/>
    <w:rsid w:val="00DE15F0"/>
    <w:rsid w:val="00DE3E86"/>
    <w:rsid w:val="00DE5663"/>
    <w:rsid w:val="00DE693E"/>
    <w:rsid w:val="00DE78AA"/>
    <w:rsid w:val="00E053D0"/>
    <w:rsid w:val="00E061D4"/>
    <w:rsid w:val="00E15994"/>
    <w:rsid w:val="00E3114E"/>
    <w:rsid w:val="00E31A70"/>
    <w:rsid w:val="00E35B02"/>
    <w:rsid w:val="00E41A3F"/>
    <w:rsid w:val="00E517B3"/>
    <w:rsid w:val="00E66496"/>
    <w:rsid w:val="00E66B35"/>
    <w:rsid w:val="00E66E10"/>
    <w:rsid w:val="00E74136"/>
    <w:rsid w:val="00E769F6"/>
    <w:rsid w:val="00E8407C"/>
    <w:rsid w:val="00E84F3C"/>
    <w:rsid w:val="00EA012C"/>
    <w:rsid w:val="00EC6A55"/>
    <w:rsid w:val="00ED0288"/>
    <w:rsid w:val="00EE1796"/>
    <w:rsid w:val="00EE52CB"/>
    <w:rsid w:val="00EE5CFD"/>
    <w:rsid w:val="00EF581D"/>
    <w:rsid w:val="00EF7FD8"/>
    <w:rsid w:val="00F06F59"/>
    <w:rsid w:val="00F17988"/>
    <w:rsid w:val="00F245FA"/>
    <w:rsid w:val="00F246F2"/>
    <w:rsid w:val="00F469F0"/>
    <w:rsid w:val="00F53273"/>
    <w:rsid w:val="00F6067D"/>
    <w:rsid w:val="00F74450"/>
    <w:rsid w:val="00F755E4"/>
    <w:rsid w:val="00F77D02"/>
    <w:rsid w:val="00F97909"/>
    <w:rsid w:val="00FA2D4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3C084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F5A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26F9F"/>
    <w:rPr>
      <w:rFonts w:ascii="Times New Roman" w:hAnsi="Times New Roman"/>
      <w:sz w:val="24"/>
      <w:szCs w:val="24"/>
    </w:rPr>
  </w:style>
  <w:style w:type="character" w:customStyle="1" w:styleId="Heading3Char">
    <w:name w:val="Heading 3 Char"/>
    <w:basedOn w:val="DefaultParagraphFont"/>
    <w:link w:val="Heading3"/>
    <w:semiHidden/>
    <w:rsid w:val="000F5AB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0595/jmbt.v5i1.26375" TargetMode="External"/><Relationship Id="rId26" Type="http://schemas.openxmlformats.org/officeDocument/2006/relationships/hyperlink" Target="https://doi.org/10.1509/jmkg.72.5.098" TargetMode="External"/><Relationship Id="rId39" Type="http://schemas.openxmlformats.org/officeDocument/2006/relationships/hyperlink" Target="https://doi.org/10.1509/jm.12.0054" TargetMode="External"/><Relationship Id="rId21" Type="http://schemas.openxmlformats.org/officeDocument/2006/relationships/hyperlink" Target="https://doi.org/10.1057/bm.2010.52" TargetMode="External"/><Relationship Id="rId34" Type="http://schemas.openxmlformats.org/officeDocument/2006/relationships/hyperlink" Target="https://doi.org/10.1509/jm.15.028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1042258718757503" TargetMode="External"/><Relationship Id="rId20" Type="http://schemas.openxmlformats.org/officeDocument/2006/relationships/hyperlink" Target="https://doi.org/10.1504/GBER.2021.118209" TargetMode="External"/><Relationship Id="rId29" Type="http://schemas.openxmlformats.org/officeDocument/2006/relationships/hyperlink" Target="https://ojs.sampoernauniversity.ac.id/index.php/JOBE/article/view/9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912/je.v20i2.155" TargetMode="External"/><Relationship Id="rId32" Type="http://schemas.openxmlformats.org/officeDocument/2006/relationships/hyperlink" Target="https://doi.org/10.15640/jmm.v9n2a4" TargetMode="External"/><Relationship Id="rId37" Type="http://schemas.openxmlformats.org/officeDocument/2006/relationships/hyperlink" Target="https://doi.org/10.1186/1471-2288-8-45" TargetMode="External"/><Relationship Id="rId40" Type="http://schemas.openxmlformats.org/officeDocument/2006/relationships/hyperlink" Target="https://doi.org/10.1177/0739456X17723971" TargetMode="External"/><Relationship Id="rId5" Type="http://schemas.openxmlformats.org/officeDocument/2006/relationships/webSettings" Target="webSettings.xml"/><Relationship Id="rId15" Type="http://schemas.openxmlformats.org/officeDocument/2006/relationships/hyperlink" Target="https://doi.org/10.1111/1475-679X.12164" TargetMode="External"/><Relationship Id="rId23" Type="http://schemas.openxmlformats.org/officeDocument/2006/relationships/hyperlink" Target="https://doi.org/10.1093/rfs/hhn079" TargetMode="External"/><Relationship Id="rId28" Type="http://schemas.openxmlformats.org/officeDocument/2006/relationships/hyperlink" Target="https://doi.org/10.1108/EMJB-09-2022-0213" TargetMode="External"/><Relationship Id="rId36" Type="http://schemas.openxmlformats.org/officeDocument/2006/relationships/hyperlink" Target="https://doi.org/10.1016/j.jbusres.2019.07.039" TargetMode="External"/><Relationship Id="rId10" Type="http://schemas.openxmlformats.org/officeDocument/2006/relationships/footer" Target="footer1.xml"/><Relationship Id="rId19" Type="http://schemas.openxmlformats.org/officeDocument/2006/relationships/hyperlink" Target="https://doi.org/10.23969/litigasi.v25i2.13513" TargetMode="External"/><Relationship Id="rId31" Type="http://schemas.openxmlformats.org/officeDocument/2006/relationships/hyperlink" Target="https://doi.org/10.33395/owner.v8i3.207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8812/esmb.v1i02.49" TargetMode="External"/><Relationship Id="rId22" Type="http://schemas.openxmlformats.org/officeDocument/2006/relationships/hyperlink" Target="https://doi.org/10.30631/ijoieb.v5i2.294" TargetMode="External"/><Relationship Id="rId27" Type="http://schemas.openxmlformats.org/officeDocument/2006/relationships/hyperlink" Target="https://doi.org/10.1016/j.ijhm.2018.07.015" TargetMode="External"/><Relationship Id="rId30" Type="http://schemas.openxmlformats.org/officeDocument/2006/relationships/hyperlink" Target="https://doi.org/10.17705/1CAIS.03743" TargetMode="External"/><Relationship Id="rId35" Type="http://schemas.openxmlformats.org/officeDocument/2006/relationships/hyperlink" Target="https://doi.org/10.35817/publicuho.v8i3.90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11/jofi.12852" TargetMode="External"/><Relationship Id="rId25" Type="http://schemas.openxmlformats.org/officeDocument/2006/relationships/hyperlink" Target="https://doi.org/10.1111/j.1540-6261.1995.tb05166.x" TargetMode="External"/><Relationship Id="rId33" Type="http://schemas.openxmlformats.org/officeDocument/2006/relationships/hyperlink" Target="https://doi.org/10.1111/j.1540-6261.1991.tb03743.x" TargetMode="External"/><Relationship Id="rId38" Type="http://schemas.openxmlformats.org/officeDocument/2006/relationships/hyperlink" Target="https://doi.org/10.1111/1467-8551.003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446C9-00C1-4A92-8CBB-D493F525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10</Pages>
  <Words>5104</Words>
  <Characters>29099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34135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72</cp:revision>
  <cp:lastPrinted>1999-07-06T11:00:00Z</cp:lastPrinted>
  <dcterms:created xsi:type="dcterms:W3CDTF">2014-10-25T14:34:00Z</dcterms:created>
  <dcterms:modified xsi:type="dcterms:W3CDTF">2025-12-16T08:35:00Z</dcterms:modified>
</cp:coreProperties>
</file>