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A6C70A" w14:textId="38D21E63" w:rsidR="00E7798F" w:rsidRDefault="00C16C91" w:rsidP="00381943">
      <w:pPr>
        <w:jc w:val="right"/>
        <w:rPr>
          <w:rFonts w:ascii="Arial" w:eastAsiaTheme="majorEastAsia" w:hAnsi="Arial" w:cs="Arial"/>
          <w:b/>
          <w:bCs/>
          <w:sz w:val="36"/>
          <w:szCs w:val="36"/>
        </w:rPr>
      </w:pPr>
      <w:bookmarkStart w:id="0" w:name="_Hlk208243299"/>
      <w:r w:rsidRPr="00C16C91">
        <w:rPr>
          <w:rFonts w:ascii="Arial" w:eastAsiaTheme="majorEastAsia" w:hAnsi="Arial" w:cs="Arial"/>
          <w:b/>
          <w:bCs/>
          <w:sz w:val="36"/>
          <w:szCs w:val="36"/>
        </w:rPr>
        <w:t>Systematic Review</w:t>
      </w:r>
    </w:p>
    <w:p w14:paraId="2BD60E84" w14:textId="389426F1" w:rsidR="005639E9" w:rsidRDefault="00C6528B" w:rsidP="00381943">
      <w:pPr>
        <w:jc w:val="right"/>
        <w:rPr>
          <w:rFonts w:ascii="Arial" w:eastAsiaTheme="majorEastAsia" w:hAnsi="Arial" w:cs="Arial"/>
          <w:b/>
          <w:bCs/>
          <w:sz w:val="36"/>
          <w:szCs w:val="36"/>
        </w:rPr>
      </w:pPr>
      <w:r w:rsidRPr="00381943">
        <w:rPr>
          <w:rFonts w:ascii="Arial" w:eastAsiaTheme="majorEastAsia" w:hAnsi="Arial" w:cs="Arial"/>
          <w:b/>
          <w:bCs/>
          <w:sz w:val="36"/>
          <w:szCs w:val="36"/>
        </w:rPr>
        <w:t>Potential Drivers of Gender Equity in Maritime Logistics: A Systematic Review through the Lens of Gendered Organization Theory</w:t>
      </w:r>
    </w:p>
    <w:bookmarkStart w:id="1" w:name="_GoBack"/>
    <w:bookmarkEnd w:id="1"/>
    <w:p w14:paraId="2F68E627" w14:textId="6477DB93" w:rsidR="00381943" w:rsidRPr="00381943" w:rsidRDefault="00381943" w:rsidP="00381943">
      <w:pPr>
        <w:pStyle w:val="Affiliation"/>
        <w:spacing w:after="0" w:line="240" w:lineRule="auto"/>
        <w:rPr>
          <w:rFonts w:ascii="Arial" w:hAnsi="Arial" w:cs="Arial"/>
          <w:i/>
        </w:rPr>
      </w:pPr>
      <w:r>
        <w:rPr>
          <w:rFonts w:ascii="Arial" w:hAnsi="Arial" w:cs="Arial"/>
          <w:noProof/>
        </w:rPr>
        <mc:AlternateContent>
          <mc:Choice Requires="wps">
            <w:drawing>
              <wp:inline distT="0" distB="0" distL="0" distR="0" wp14:anchorId="66523451" wp14:editId="632176B9">
                <wp:extent cx="5974080" cy="45719"/>
                <wp:effectExtent l="0" t="0" r="26670" b="31115"/>
                <wp:docPr id="2013620319"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4080" cy="45719"/>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3218C16" id="_x0000_t32" coordsize="21600,21600" o:spt="32" o:oned="t" path="m,l21600,21600e" filled="f">
                <v:path arrowok="t" fillok="f" o:connecttype="none"/>
                <o:lock v:ext="edit" shapetype="t"/>
              </v:shapetype>
              <v:shape id="Straight Arrow Connector 1" o:spid="_x0000_s1026" type="#_x0000_t32" style="width:470.4pt;height:3.6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" strokeweight="1.5pt">
                <w10:anchorlock/>
              </v:shape>
            </w:pict>
          </mc:Fallback>
        </mc:AlternateContent>
      </w:r>
    </w:p>
    <w:p w14:paraId="09CC7ED2" w14:textId="77777777" w:rsidR="00D82732" w:rsidRDefault="00D82732" w:rsidP="000E5606">
      <w:pPr>
        <w:jc w:val="both"/>
        <w:rPr>
          <w:rFonts w:ascii="Arial" w:eastAsiaTheme="majorEastAsia" w:hAnsi="Arial" w:cs="Arial"/>
          <w:b/>
          <w:sz w:val="22"/>
          <w:szCs w:val="22"/>
        </w:rPr>
      </w:pPr>
      <w:r w:rsidRPr="00D82732">
        <w:rPr>
          <w:rFonts w:ascii="Arial" w:eastAsiaTheme="majorEastAsia" w:hAnsi="Arial" w:cs="Arial"/>
          <w:b/>
          <w:sz w:val="22"/>
          <w:szCs w:val="22"/>
        </w:rPr>
        <w:t>ABSTRACT</w:t>
      </w:r>
    </w:p>
    <w:p w14:paraId="2DAB1F3F" w14:textId="67DCAD47" w:rsidR="00D82732" w:rsidRPr="00AF078C" w:rsidRDefault="00D82732" w:rsidP="000E5606">
      <w:pPr>
        <w:jc w:val="both"/>
        <w:rPr>
          <w:rFonts w:ascii="Arial" w:hAnsi="Arial" w:cs="Arial"/>
          <w:sz w:val="20"/>
          <w:szCs w:val="20"/>
        </w:rPr>
      </w:pPr>
      <w:r w:rsidRPr="00AF078C">
        <w:rPr>
          <w:rFonts w:ascii="Arial" w:hAnsi="Arial" w:cs="Arial"/>
          <w:b/>
          <w:bCs/>
          <w:sz w:val="20"/>
          <w:szCs w:val="20"/>
        </w:rPr>
        <w:t>Aims:</w:t>
      </w:r>
      <w:r w:rsidR="006C75B6" w:rsidRPr="00AF078C">
        <w:t xml:space="preserve"> </w:t>
      </w:r>
      <w:r w:rsidR="006C75B6" w:rsidRPr="00AF078C">
        <w:rPr>
          <w:rFonts w:ascii="Arial" w:hAnsi="Arial" w:cs="Arial"/>
          <w:sz w:val="20"/>
          <w:szCs w:val="20"/>
        </w:rPr>
        <w:t>To employ Gendered Organization Theory (GOT) through a Systematic Literature Review (SLR) to synthesize research on drivers of gender equity in male-dominated sectors, especially maritime logistics.</w:t>
      </w:r>
    </w:p>
    <w:p w14:paraId="39AFF24E" w14:textId="77777777" w:rsidR="007005E1" w:rsidRPr="00AF078C" w:rsidRDefault="006C75B6" w:rsidP="000E5606">
      <w:pPr>
        <w:jc w:val="both"/>
        <w:rPr>
          <w:rFonts w:ascii="Arial" w:hAnsi="Arial" w:cs="Arial"/>
          <w:sz w:val="20"/>
          <w:szCs w:val="20"/>
        </w:rPr>
      </w:pPr>
      <w:r w:rsidRPr="00AF078C">
        <w:rPr>
          <w:rFonts w:ascii="Arial" w:hAnsi="Arial" w:cs="Arial"/>
          <w:b/>
          <w:bCs/>
          <w:sz w:val="20"/>
          <w:szCs w:val="20"/>
        </w:rPr>
        <w:t xml:space="preserve">Study design: </w:t>
      </w:r>
      <w:r w:rsidRPr="00AF078C">
        <w:rPr>
          <w:rFonts w:ascii="Arial" w:hAnsi="Arial" w:cs="Arial"/>
          <w:sz w:val="20"/>
          <w:szCs w:val="20"/>
        </w:rPr>
        <w:t>Systematic Literature Review (SLR)</w:t>
      </w:r>
    </w:p>
    <w:p w14:paraId="080069D7" w14:textId="3D8F334D" w:rsidR="006C75B6" w:rsidRPr="00AF078C" w:rsidRDefault="006C75B6" w:rsidP="000E5606">
      <w:pPr>
        <w:jc w:val="both"/>
        <w:rPr>
          <w:rFonts w:ascii="Arial" w:hAnsi="Arial" w:cs="Arial"/>
          <w:sz w:val="20"/>
          <w:szCs w:val="20"/>
        </w:rPr>
      </w:pPr>
      <w:r w:rsidRPr="00AF078C">
        <w:rPr>
          <w:rFonts w:ascii="Arial" w:hAnsi="Arial" w:cs="Arial"/>
          <w:b/>
          <w:bCs/>
          <w:sz w:val="20"/>
          <w:szCs w:val="20"/>
        </w:rPr>
        <w:t xml:space="preserve">Methodology: </w:t>
      </w:r>
      <w:r w:rsidRPr="00AF078C">
        <w:rPr>
          <w:rFonts w:ascii="Arial" w:hAnsi="Arial" w:cs="Arial"/>
          <w:sz w:val="20"/>
          <w:szCs w:val="20"/>
        </w:rPr>
        <w:t>A PRISMA-based methodology was used for the SLR. A structured Scopus database search was performed using keywords related to "Gendered Organization Theory". The search was filtered for journal articles and refined using gender-related keywords. A total of 40 peer-reviewed articles were selected after two phases of title/abstract and full-text screening. Thematic analysis was used to consolidate the diverse findings into a coherent framework.</w:t>
      </w:r>
    </w:p>
    <w:p w14:paraId="75E77750" w14:textId="6624EF40" w:rsidR="00A148A6" w:rsidRPr="00AF078C" w:rsidRDefault="006C75B6" w:rsidP="000E5606">
      <w:pPr>
        <w:jc w:val="both"/>
        <w:rPr>
          <w:rFonts w:ascii="Arial" w:hAnsi="Arial" w:cs="Arial"/>
          <w:sz w:val="20"/>
          <w:szCs w:val="20"/>
        </w:rPr>
      </w:pPr>
      <w:r w:rsidRPr="00AF078C">
        <w:rPr>
          <w:rFonts w:ascii="Arial" w:hAnsi="Arial" w:cs="Arial"/>
          <w:b/>
          <w:bCs/>
          <w:sz w:val="20"/>
          <w:szCs w:val="20"/>
        </w:rPr>
        <w:t xml:space="preserve">Results: </w:t>
      </w:r>
      <w:r w:rsidR="00A148A6" w:rsidRPr="00AF078C">
        <w:rPr>
          <w:rFonts w:ascii="Arial" w:hAnsi="Arial" w:cs="Arial"/>
          <w:sz w:val="20"/>
          <w:szCs w:val="20"/>
        </w:rPr>
        <w:t>The review has identified structural constraints, organizational culture, and practices that limit women in their participation in and career development in male-dominated sectors. Thematic analysis revealed that six areas of intervention exist, including institutionalized norms, a challenge to the ideal worker norm, gender-sensitive HR, mentorship, organizational culture, and bias awareness with structural change. The results highlight the necessity of comprehensive interventions, such as leadership training, work-life balance interventions, transparent promotions, and continued bias training.</w:t>
      </w:r>
    </w:p>
    <w:p w14:paraId="169F5717" w14:textId="1F0DF7C8" w:rsidR="006C75B6" w:rsidRPr="00AF078C" w:rsidRDefault="006C75B6" w:rsidP="000E5606">
      <w:pPr>
        <w:jc w:val="both"/>
        <w:rPr>
          <w:rFonts w:ascii="Arial" w:hAnsi="Arial" w:cs="Arial"/>
          <w:b/>
          <w:bCs/>
          <w:sz w:val="20"/>
          <w:szCs w:val="20"/>
        </w:rPr>
      </w:pPr>
      <w:r w:rsidRPr="00AF078C">
        <w:rPr>
          <w:rFonts w:ascii="Arial" w:hAnsi="Arial" w:cs="Arial"/>
          <w:b/>
          <w:bCs/>
          <w:sz w:val="20"/>
          <w:szCs w:val="20"/>
        </w:rPr>
        <w:t xml:space="preserve">Conclusion: </w:t>
      </w:r>
      <w:r w:rsidRPr="00AF078C">
        <w:rPr>
          <w:rFonts w:ascii="Arial" w:hAnsi="Arial" w:cs="Arial"/>
          <w:sz w:val="20"/>
          <w:szCs w:val="20"/>
        </w:rPr>
        <w:t>The findings provide a GOT-grounded framework for advancing equity. They underscore that a holistic, intersectional approach is crucial for addressing the complex, multi-layered barriers women face, moving organizations beyond tokenistic gestures.</w:t>
      </w:r>
    </w:p>
    <w:p w14:paraId="35EC550B" w14:textId="4A5311B1" w:rsidR="000E5606" w:rsidRPr="00AF078C" w:rsidRDefault="000E5606" w:rsidP="00C42824">
      <w:pPr>
        <w:spacing w:line="240" w:lineRule="auto"/>
        <w:jc w:val="both"/>
        <w:rPr>
          <w:rFonts w:ascii="Arial" w:hAnsi="Arial" w:cs="Arial"/>
          <w:i/>
          <w:iCs/>
          <w:sz w:val="20"/>
          <w:szCs w:val="20"/>
        </w:rPr>
      </w:pPr>
      <w:r w:rsidRPr="00AF078C">
        <w:rPr>
          <w:rFonts w:ascii="Arial" w:hAnsi="Arial" w:cs="Arial"/>
          <w:i/>
          <w:iCs/>
          <w:sz w:val="20"/>
          <w:szCs w:val="20"/>
        </w:rPr>
        <w:t xml:space="preserve">Keywords: </w:t>
      </w:r>
      <w:r w:rsidR="00C42824" w:rsidRPr="00AF078C">
        <w:rPr>
          <w:rFonts w:ascii="Arial" w:hAnsi="Arial" w:cs="Arial"/>
          <w:i/>
          <w:iCs/>
          <w:sz w:val="20"/>
          <w:szCs w:val="20"/>
        </w:rPr>
        <w:t>Gender equity, maritime logistics, gendered organization theory, Systematic Review, Ideal Worker Norm, Work-Life Balance</w:t>
      </w:r>
    </w:p>
    <w:p w14:paraId="2854F47A" w14:textId="21A0A708" w:rsidR="00C5375F" w:rsidRPr="00AF078C" w:rsidRDefault="0069441D" w:rsidP="00C42824">
      <w:pPr>
        <w:rPr>
          <w:rFonts w:ascii="Arial" w:hAnsi="Arial" w:cs="Arial"/>
          <w:b/>
          <w:bCs/>
          <w:sz w:val="22"/>
          <w:szCs w:val="22"/>
        </w:rPr>
      </w:pPr>
      <w:r w:rsidRPr="00AF078C">
        <w:rPr>
          <w:rFonts w:ascii="Arial" w:hAnsi="Arial" w:cs="Arial"/>
          <w:b/>
          <w:bCs/>
          <w:sz w:val="22"/>
          <w:szCs w:val="22"/>
        </w:rPr>
        <w:t>1.</w:t>
      </w:r>
      <w:r w:rsidR="00AA0820" w:rsidRPr="00AF078C">
        <w:rPr>
          <w:rFonts w:ascii="Arial" w:hAnsi="Arial" w:cs="Arial"/>
          <w:b/>
          <w:bCs/>
          <w:sz w:val="22"/>
          <w:szCs w:val="22"/>
        </w:rPr>
        <w:t xml:space="preserve"> INTRODUCTION</w:t>
      </w:r>
    </w:p>
    <w:p w14:paraId="1A012941" w14:textId="77777777" w:rsidR="00C75AB2" w:rsidRDefault="00C75AB2" w:rsidP="00717978">
      <w:pPr>
        <w:jc w:val="both"/>
        <w:rPr>
          <w:rFonts w:ascii="Arial" w:hAnsi="Arial" w:cs="Arial"/>
          <w:sz w:val="20"/>
          <w:szCs w:val="20"/>
        </w:rPr>
      </w:pPr>
      <w:r w:rsidRPr="00C75AB2">
        <w:rPr>
          <w:rFonts w:ascii="Arial" w:hAnsi="Arial" w:cs="Arial"/>
          <w:sz w:val="20"/>
          <w:szCs w:val="20"/>
        </w:rPr>
        <w:t>The maritime logistics industry plays a critical role in global trade by managing the majority of cargo worldwide, yet it remains one of the most male-dominated sectors. Despite advances in gender equality globally, women continue to be underrepresented in maritime logistics, particularly in senior management and operational roles (Khan et al., 2025; UNCTAD, 2021). Research from related fields such as healthcare, academia, and manufacturing reveals persistent gender disparities, driven by structural and informal exclusion and unequal access to resources (Mousa et al., 2023; Tran et al., 2024). However, scholarly attention specifically devoted to maritime logistics gender equity is limited, leaving many questions on fostering equity in this demanding sector unanswered.</w:t>
      </w:r>
    </w:p>
    <w:p w14:paraId="278EF4A0" w14:textId="77777777" w:rsidR="00C75AB2" w:rsidRDefault="00C75AB2" w:rsidP="00717978">
      <w:pPr>
        <w:jc w:val="both"/>
        <w:rPr>
          <w:rFonts w:ascii="Arial" w:hAnsi="Arial" w:cs="Arial"/>
          <w:sz w:val="20"/>
          <w:szCs w:val="20"/>
        </w:rPr>
      </w:pPr>
      <w:r w:rsidRPr="00C75AB2">
        <w:rPr>
          <w:rFonts w:ascii="Arial" w:hAnsi="Arial" w:cs="Arial"/>
          <w:sz w:val="20"/>
          <w:szCs w:val="20"/>
        </w:rPr>
        <w:t>Gendered Organization Theory (GOT), introduced by Acker (1990), offers a useful framework to understand how organizational structures, routines, and interactions inherently favor men over women. Over the past three decades, GOT has been successfully applied to study gender inequities in education (Tran et al., 2024), healthcare (Mousa et al., 2023), and manufacturing (</w:t>
      </w:r>
      <w:proofErr w:type="spellStart"/>
      <w:r w:rsidRPr="00C75AB2">
        <w:rPr>
          <w:rFonts w:ascii="Arial" w:hAnsi="Arial" w:cs="Arial"/>
          <w:sz w:val="20"/>
          <w:szCs w:val="20"/>
        </w:rPr>
        <w:t>Shivhare</w:t>
      </w:r>
      <w:proofErr w:type="spellEnd"/>
      <w:r w:rsidRPr="00C75AB2">
        <w:rPr>
          <w:rFonts w:ascii="Arial" w:hAnsi="Arial" w:cs="Arial"/>
          <w:sz w:val="20"/>
          <w:szCs w:val="20"/>
        </w:rPr>
        <w:t xml:space="preserve"> &amp; L, 2025). Nevertheless, its application in maritime logistics remains scarce despite its potential to reveal the impact of institutionalized </w:t>
      </w:r>
      <w:r w:rsidRPr="00C75AB2">
        <w:rPr>
          <w:rFonts w:ascii="Arial" w:hAnsi="Arial" w:cs="Arial"/>
          <w:sz w:val="20"/>
          <w:szCs w:val="20"/>
        </w:rPr>
        <w:lastRenderedPageBreak/>
        <w:t>norms, “ideal worker” assumptions, and organizational culture on sustaining gender inequities in male-dominated workplaces.</w:t>
      </w:r>
    </w:p>
    <w:p w14:paraId="30CE272F" w14:textId="77777777" w:rsidR="00C75AB2" w:rsidRDefault="00C75AB2" w:rsidP="00717978">
      <w:pPr>
        <w:jc w:val="both"/>
        <w:rPr>
          <w:rFonts w:ascii="Arial" w:hAnsi="Arial" w:cs="Arial"/>
          <w:sz w:val="20"/>
          <w:szCs w:val="20"/>
        </w:rPr>
      </w:pPr>
      <w:r w:rsidRPr="00C75AB2">
        <w:rPr>
          <w:rFonts w:ascii="Arial" w:hAnsi="Arial" w:cs="Arial"/>
          <w:sz w:val="20"/>
          <w:szCs w:val="20"/>
        </w:rPr>
        <w:t xml:space="preserve">Within Asian and developing countries, gender equity research has primarily focused on finance, manufacturing, and education (Khan et al., 2025; </w:t>
      </w:r>
      <w:proofErr w:type="spellStart"/>
      <w:r w:rsidRPr="00C75AB2">
        <w:rPr>
          <w:rFonts w:ascii="Arial" w:hAnsi="Arial" w:cs="Arial"/>
          <w:sz w:val="20"/>
          <w:szCs w:val="20"/>
        </w:rPr>
        <w:t>Shivhare</w:t>
      </w:r>
      <w:proofErr w:type="spellEnd"/>
      <w:r w:rsidRPr="00C75AB2">
        <w:rPr>
          <w:rFonts w:ascii="Arial" w:hAnsi="Arial" w:cs="Arial"/>
          <w:sz w:val="20"/>
          <w:szCs w:val="20"/>
        </w:rPr>
        <w:t xml:space="preserve"> &amp; L, 2025), with few investigations into how GOT can support equity promotion in shipping and logistics industries characterized by strict hierarchies, operational intensity, and cultural resistance to change.</w:t>
      </w:r>
    </w:p>
    <w:p w14:paraId="687B3DD4" w14:textId="77777777" w:rsidR="00C75AB2" w:rsidRDefault="00C75AB2" w:rsidP="00717978">
      <w:pPr>
        <w:jc w:val="both"/>
        <w:rPr>
          <w:rFonts w:ascii="Arial" w:hAnsi="Arial" w:cs="Arial"/>
          <w:sz w:val="20"/>
          <w:szCs w:val="20"/>
        </w:rPr>
      </w:pPr>
      <w:r w:rsidRPr="00C75AB2">
        <w:rPr>
          <w:rFonts w:ascii="Arial" w:hAnsi="Arial" w:cs="Arial"/>
          <w:sz w:val="20"/>
          <w:szCs w:val="20"/>
        </w:rPr>
        <w:t>To address this knowledge gap, this paper employs a Systematic Literature Review (SLR) approach to identify and assess key drivers facilitating gender equity in male-dominated industries through the lens of GOT. Unlike narrative reviews prone to bias, SLRs follow transparent, replicable protocols to rigorously synthesize existing studies. By integrating global and regional research, this review aims to identify drivers applicable to the Sri Lankan maritime logistics sector.</w:t>
      </w:r>
    </w:p>
    <w:p w14:paraId="26B21CC5" w14:textId="3C6E2481" w:rsidR="00A92071" w:rsidRPr="00AF078C" w:rsidRDefault="00A92071" w:rsidP="00717978">
      <w:pPr>
        <w:jc w:val="both"/>
        <w:rPr>
          <w:rFonts w:ascii="Arial" w:hAnsi="Arial" w:cs="Arial"/>
          <w:sz w:val="20"/>
          <w:szCs w:val="20"/>
        </w:rPr>
      </w:pPr>
      <w:r w:rsidRPr="00AF078C">
        <w:rPr>
          <w:rFonts w:ascii="Arial" w:hAnsi="Arial" w:cs="Arial"/>
          <w:sz w:val="20"/>
          <w:szCs w:val="20"/>
        </w:rPr>
        <w:t>The objectives of this SLR are therefore as follows:</w:t>
      </w:r>
    </w:p>
    <w:p w14:paraId="02C0E446" w14:textId="77777777" w:rsidR="00A92071" w:rsidRPr="00AF078C" w:rsidRDefault="00A92071" w:rsidP="00717978">
      <w:pPr>
        <w:numPr>
          <w:ilvl w:val="0"/>
          <w:numId w:val="1"/>
        </w:numPr>
        <w:jc w:val="both"/>
        <w:rPr>
          <w:rFonts w:ascii="Arial" w:hAnsi="Arial" w:cs="Arial"/>
          <w:sz w:val="20"/>
          <w:szCs w:val="20"/>
        </w:rPr>
      </w:pPr>
      <w:r w:rsidRPr="00AF078C">
        <w:rPr>
          <w:rFonts w:ascii="Arial" w:hAnsi="Arial" w:cs="Arial"/>
          <w:sz w:val="20"/>
          <w:szCs w:val="20"/>
        </w:rPr>
        <w:t>To identify the potential drivers that promote gender equity across organizational structures, policies, and cultural practices in the maritime logistics sector.</w:t>
      </w:r>
    </w:p>
    <w:p w14:paraId="6DD9A294" w14:textId="77777777" w:rsidR="00A92071" w:rsidRPr="00AF078C" w:rsidRDefault="00A92071" w:rsidP="00717978">
      <w:pPr>
        <w:numPr>
          <w:ilvl w:val="0"/>
          <w:numId w:val="1"/>
        </w:numPr>
        <w:jc w:val="both"/>
        <w:rPr>
          <w:rFonts w:ascii="Arial" w:hAnsi="Arial" w:cs="Arial"/>
          <w:sz w:val="20"/>
          <w:szCs w:val="20"/>
        </w:rPr>
      </w:pPr>
      <w:r w:rsidRPr="00AF078C">
        <w:rPr>
          <w:rFonts w:ascii="Arial" w:hAnsi="Arial" w:cs="Arial"/>
          <w:sz w:val="20"/>
          <w:szCs w:val="20"/>
        </w:rPr>
        <w:t>To critically evaluate the potential drivers and highlight the most relevant ones for advancing gender equity in this sector.</w:t>
      </w:r>
    </w:p>
    <w:p w14:paraId="4F66D597" w14:textId="553822FE" w:rsidR="00D50A58" w:rsidRDefault="00D50A58" w:rsidP="00B37114">
      <w:pPr>
        <w:rPr>
          <w:rFonts w:ascii="Arial" w:hAnsi="Arial" w:cs="Arial"/>
          <w:sz w:val="20"/>
          <w:szCs w:val="20"/>
        </w:rPr>
      </w:pPr>
      <w:r w:rsidRPr="00D50A58">
        <w:rPr>
          <w:rFonts w:ascii="Arial" w:hAnsi="Arial" w:cs="Arial"/>
          <w:sz w:val="20"/>
          <w:szCs w:val="20"/>
        </w:rPr>
        <w:t>In summary, while gender equity is a global research priority, its exploration in maritime logistics remains fragmented. This study contributes by applying Gendered Organization Theory and systematic review methodology to consolidate insights, identify actionable drivers, and provide an evidence-based foundation for addressing gender equity challenges in maritime logistics</w:t>
      </w:r>
      <w:r>
        <w:rPr>
          <w:rFonts w:ascii="Arial" w:hAnsi="Arial" w:cs="Arial"/>
          <w:sz w:val="20"/>
          <w:szCs w:val="20"/>
        </w:rPr>
        <w:t>.</w:t>
      </w:r>
    </w:p>
    <w:p w14:paraId="5644FB24" w14:textId="1EFF9E41" w:rsidR="00A92071" w:rsidRPr="00AF078C" w:rsidRDefault="00B37114" w:rsidP="00B37114">
      <w:pPr>
        <w:rPr>
          <w:b/>
          <w:bCs/>
          <w:sz w:val="22"/>
          <w:szCs w:val="22"/>
        </w:rPr>
      </w:pPr>
      <w:r w:rsidRPr="00AF078C">
        <w:rPr>
          <w:b/>
          <w:bCs/>
          <w:sz w:val="22"/>
          <w:szCs w:val="22"/>
        </w:rPr>
        <w:t xml:space="preserve">2. </w:t>
      </w:r>
      <w:r w:rsidR="00AA0820" w:rsidRPr="00AF078C">
        <w:rPr>
          <w:b/>
          <w:bCs/>
          <w:sz w:val="22"/>
          <w:szCs w:val="22"/>
        </w:rPr>
        <w:t>CURRENT STATE OF RESEARCH ON GENDER EQUITY IN THE MARITIME LOGISTICS SECTOR</w:t>
      </w:r>
    </w:p>
    <w:p w14:paraId="6A31685D" w14:textId="77777777" w:rsidR="00D50A58" w:rsidRDefault="00D50A58" w:rsidP="000E5606">
      <w:pPr>
        <w:jc w:val="both"/>
        <w:rPr>
          <w:rFonts w:ascii="Arial" w:hAnsi="Arial" w:cs="Arial"/>
          <w:sz w:val="20"/>
          <w:szCs w:val="20"/>
        </w:rPr>
      </w:pPr>
      <w:r w:rsidRPr="00D50A58">
        <w:rPr>
          <w:rFonts w:ascii="Arial" w:hAnsi="Arial" w:cs="Arial"/>
          <w:sz w:val="20"/>
          <w:szCs w:val="20"/>
        </w:rPr>
        <w:t xml:space="preserve">Gender equity has emerged as a critical research area, with structural barriers and interventions extensively documented across healthcare, academia, manufacturing, and finance (Mousa et al., 2023; </w:t>
      </w:r>
      <w:proofErr w:type="spellStart"/>
      <w:r w:rsidRPr="00D50A58">
        <w:rPr>
          <w:rFonts w:ascii="Arial" w:hAnsi="Arial" w:cs="Arial"/>
          <w:sz w:val="20"/>
          <w:szCs w:val="20"/>
        </w:rPr>
        <w:t>Shivhare</w:t>
      </w:r>
      <w:proofErr w:type="spellEnd"/>
      <w:r w:rsidRPr="00D50A58">
        <w:rPr>
          <w:rFonts w:ascii="Arial" w:hAnsi="Arial" w:cs="Arial"/>
          <w:sz w:val="20"/>
          <w:szCs w:val="20"/>
        </w:rPr>
        <w:t xml:space="preserve"> &amp; L, 2025; Islam et al., 2025). Global organizations such as the International </w:t>
      </w:r>
      <w:proofErr w:type="spellStart"/>
      <w:r w:rsidRPr="00D50A58">
        <w:rPr>
          <w:rFonts w:ascii="Arial" w:hAnsi="Arial" w:cs="Arial"/>
          <w:sz w:val="20"/>
          <w:szCs w:val="20"/>
        </w:rPr>
        <w:t>Labour</w:t>
      </w:r>
      <w:proofErr w:type="spellEnd"/>
      <w:r w:rsidRPr="00D50A58">
        <w:rPr>
          <w:rFonts w:ascii="Arial" w:hAnsi="Arial" w:cs="Arial"/>
          <w:sz w:val="20"/>
          <w:szCs w:val="20"/>
        </w:rPr>
        <w:t xml:space="preserve"> Organization (ILO) and International Maritime Organization (IMO) increasingly emphasize women's inclusion in male-dominated industries as both an ethical and economic imperative, yet maritime logistics receives disproportionately limited scholarly attention despite its entrenched gender inequities (UNCTAD, 2021).</w:t>
      </w:r>
    </w:p>
    <w:p w14:paraId="37862907" w14:textId="77777777" w:rsidR="00D50A58" w:rsidRDefault="00D50A58" w:rsidP="000E5606">
      <w:pPr>
        <w:jc w:val="both"/>
        <w:rPr>
          <w:rFonts w:ascii="Arial" w:hAnsi="Arial" w:cs="Arial"/>
          <w:sz w:val="20"/>
          <w:szCs w:val="20"/>
        </w:rPr>
      </w:pPr>
      <w:r w:rsidRPr="00D50A58">
        <w:rPr>
          <w:rFonts w:ascii="Arial" w:hAnsi="Arial" w:cs="Arial"/>
          <w:sz w:val="20"/>
          <w:szCs w:val="20"/>
        </w:rPr>
        <w:t>Emerging patterns from maritime-related gender equity research highlight institutionalized norms, ideal worker expectations, pay disparities, and occupational segregation (</w:t>
      </w:r>
      <w:proofErr w:type="spellStart"/>
      <w:r w:rsidRPr="00D50A58">
        <w:rPr>
          <w:rFonts w:ascii="Arial" w:hAnsi="Arial" w:cs="Arial"/>
          <w:sz w:val="20"/>
          <w:szCs w:val="20"/>
        </w:rPr>
        <w:t>Randev</w:t>
      </w:r>
      <w:proofErr w:type="spellEnd"/>
      <w:r w:rsidRPr="00D50A58">
        <w:rPr>
          <w:rFonts w:ascii="Arial" w:hAnsi="Arial" w:cs="Arial"/>
          <w:sz w:val="20"/>
          <w:szCs w:val="20"/>
        </w:rPr>
        <w:t xml:space="preserve">, 2024; Ahmad, 2022). Interventions like mentoring, gender-sensitive HR practices, and bias awareness training demonstrate effectiveness in sectors such as military and academia (Schulz et al., 2024; </w:t>
      </w:r>
      <w:proofErr w:type="spellStart"/>
      <w:r w:rsidRPr="00D50A58">
        <w:rPr>
          <w:rFonts w:ascii="Arial" w:hAnsi="Arial" w:cs="Arial"/>
          <w:sz w:val="20"/>
          <w:szCs w:val="20"/>
        </w:rPr>
        <w:t>Möller</w:t>
      </w:r>
      <w:proofErr w:type="spellEnd"/>
      <w:r w:rsidRPr="00D50A58">
        <w:rPr>
          <w:rFonts w:ascii="Arial" w:hAnsi="Arial" w:cs="Arial"/>
          <w:sz w:val="20"/>
          <w:szCs w:val="20"/>
        </w:rPr>
        <w:t xml:space="preserve"> et al., 2024), but their systematic application in maritime logistics remains inconsistent and underdeveloped. This fragmentation underscores the need for a unified theoretical framework to guide equity promotion in this sector.</w:t>
      </w:r>
    </w:p>
    <w:p w14:paraId="06950987" w14:textId="77777777" w:rsidR="00D50A58" w:rsidRDefault="00D50A58" w:rsidP="000E5606">
      <w:pPr>
        <w:jc w:val="both"/>
        <w:rPr>
          <w:rFonts w:ascii="Arial" w:hAnsi="Arial" w:cs="Arial"/>
          <w:sz w:val="20"/>
          <w:szCs w:val="20"/>
        </w:rPr>
      </w:pPr>
      <w:r w:rsidRPr="00D50A58">
        <w:rPr>
          <w:rFonts w:ascii="Arial" w:hAnsi="Arial" w:cs="Arial"/>
          <w:sz w:val="20"/>
          <w:szCs w:val="20"/>
        </w:rPr>
        <w:t xml:space="preserve">Research from Asia and developing contexts remains particularly sparse, with STEM academia and manufacturing studies from India and Pakistan identifying key barriers including workplace bullying, inflexible schedules, and limited leadership pathways (Khan et al., 2025; </w:t>
      </w:r>
      <w:proofErr w:type="spellStart"/>
      <w:r w:rsidRPr="00D50A58">
        <w:rPr>
          <w:rFonts w:ascii="Arial" w:hAnsi="Arial" w:cs="Arial"/>
          <w:sz w:val="20"/>
          <w:szCs w:val="20"/>
        </w:rPr>
        <w:t>Shivhare</w:t>
      </w:r>
      <w:proofErr w:type="spellEnd"/>
      <w:r w:rsidRPr="00D50A58">
        <w:rPr>
          <w:rFonts w:ascii="Arial" w:hAnsi="Arial" w:cs="Arial"/>
          <w:sz w:val="20"/>
          <w:szCs w:val="20"/>
        </w:rPr>
        <w:t xml:space="preserve"> &amp; L, 2025). Maritime logistics, despite its global economic significance and structural complexity, is massively underrepresented, creating a critical knowledge gap regarding how gender equity drivers operate differently in this high-pressure, hierarchical industry compared to others.</w:t>
      </w:r>
    </w:p>
    <w:p w14:paraId="42F1C88A" w14:textId="77777777" w:rsidR="00D50A58" w:rsidRDefault="00D50A58" w:rsidP="000E5606">
      <w:pPr>
        <w:jc w:val="both"/>
        <w:rPr>
          <w:rFonts w:ascii="Arial" w:hAnsi="Arial" w:cs="Arial"/>
          <w:sz w:val="20"/>
          <w:szCs w:val="20"/>
        </w:rPr>
      </w:pPr>
    </w:p>
    <w:p w14:paraId="2BFBDBBF" w14:textId="1E9B329F" w:rsidR="007936BF" w:rsidRPr="00AF078C" w:rsidRDefault="00B37114" w:rsidP="00A758DA">
      <w:pPr>
        <w:tabs>
          <w:tab w:val="left" w:pos="1350"/>
        </w:tabs>
        <w:jc w:val="both"/>
        <w:rPr>
          <w:rFonts w:ascii="Arial" w:hAnsi="Arial" w:cs="Arial"/>
          <w:b/>
          <w:bCs/>
          <w:sz w:val="20"/>
          <w:szCs w:val="20"/>
          <w:u w:val="single"/>
        </w:rPr>
      </w:pPr>
      <w:r w:rsidRPr="00AF078C">
        <w:rPr>
          <w:rFonts w:ascii="Arial" w:hAnsi="Arial" w:cs="Arial"/>
          <w:b/>
          <w:bCs/>
          <w:sz w:val="20"/>
          <w:szCs w:val="20"/>
          <w:u w:val="single"/>
        </w:rPr>
        <w:t xml:space="preserve">2.1.1 </w:t>
      </w:r>
      <w:r w:rsidR="007936BF" w:rsidRPr="00AF078C">
        <w:rPr>
          <w:rFonts w:ascii="Arial" w:hAnsi="Arial" w:cs="Arial"/>
          <w:b/>
          <w:bCs/>
          <w:sz w:val="20"/>
          <w:szCs w:val="20"/>
          <w:u w:val="single"/>
        </w:rPr>
        <w:t>What is Gender Equity in the Workplace?</w:t>
      </w:r>
    </w:p>
    <w:p w14:paraId="6F587146" w14:textId="34451D3B" w:rsidR="00184353" w:rsidRPr="00AF078C" w:rsidRDefault="00184353" w:rsidP="000E5606">
      <w:pPr>
        <w:jc w:val="both"/>
        <w:rPr>
          <w:rFonts w:ascii="Arial" w:hAnsi="Arial" w:cs="Arial"/>
          <w:sz w:val="20"/>
          <w:szCs w:val="20"/>
        </w:rPr>
      </w:pPr>
      <w:r w:rsidRPr="00AF078C">
        <w:rPr>
          <w:rFonts w:ascii="Arial" w:hAnsi="Arial" w:cs="Arial"/>
          <w:sz w:val="20"/>
          <w:szCs w:val="20"/>
        </w:rPr>
        <w:lastRenderedPageBreak/>
        <w:t>Gender equity refers to the fair and impartial treatment of individuals based on gender, often requiring differential treatment to correct historically embedded structural inequalities in opportunities, pay, recognition, and career progression (Acker, 1990). Unlike gender equality, which emphasizes identical treatment, gender equity aims to redress imbalances by altering organizational practices and norms.</w:t>
      </w:r>
    </w:p>
    <w:p w14:paraId="259B7B15" w14:textId="77777777" w:rsidR="00D50A58" w:rsidRDefault="00D50A58" w:rsidP="000E5606">
      <w:pPr>
        <w:jc w:val="both"/>
        <w:rPr>
          <w:rFonts w:ascii="Arial" w:hAnsi="Arial" w:cs="Arial"/>
          <w:sz w:val="20"/>
          <w:szCs w:val="20"/>
        </w:rPr>
      </w:pPr>
      <w:r w:rsidRPr="00D50A58">
        <w:rPr>
          <w:rFonts w:ascii="Arial" w:hAnsi="Arial" w:cs="Arial"/>
          <w:sz w:val="20"/>
          <w:szCs w:val="20"/>
        </w:rPr>
        <w:t>Work organizations have historically embodied patriarchal structures, assigning men to technical and leadership roles while confining women to administrative support functions. Acker's (1990) Gendered Organization Theory illustrates how ostensibly neutral policies and hierarchies perpetuate male dominance, maintaining disparities in power distribution, career pathways, and recognition. Despite global policy initiatives, women remain severely underrepresented in male-dominated fields like engineering, logistics, and maritime sectors (Hindman, 2025; UNCTAD, 2021).</w:t>
      </w:r>
    </w:p>
    <w:p w14:paraId="7BF3C98C" w14:textId="77777777" w:rsidR="00D50A58" w:rsidRDefault="00D50A58" w:rsidP="000E5606">
      <w:pPr>
        <w:jc w:val="both"/>
        <w:rPr>
          <w:rFonts w:ascii="Arial" w:hAnsi="Arial" w:cs="Arial"/>
          <w:sz w:val="20"/>
          <w:szCs w:val="20"/>
        </w:rPr>
      </w:pPr>
      <w:r w:rsidRPr="00D50A58">
        <w:rPr>
          <w:rFonts w:ascii="Arial" w:hAnsi="Arial" w:cs="Arial"/>
          <w:sz w:val="20"/>
          <w:szCs w:val="20"/>
        </w:rPr>
        <w:t>Women frequently encounter harassment, inadequate gender-sensitive HR policies, and resistance to diversity initiatives, fostering exclusionary environments (</w:t>
      </w:r>
      <w:proofErr w:type="spellStart"/>
      <w:r w:rsidRPr="00D50A58">
        <w:rPr>
          <w:rFonts w:ascii="Arial" w:hAnsi="Arial" w:cs="Arial"/>
          <w:sz w:val="20"/>
          <w:szCs w:val="20"/>
        </w:rPr>
        <w:t>Coupaud</w:t>
      </w:r>
      <w:proofErr w:type="spellEnd"/>
      <w:r w:rsidRPr="00D50A58">
        <w:rPr>
          <w:rFonts w:ascii="Arial" w:hAnsi="Arial" w:cs="Arial"/>
          <w:sz w:val="20"/>
          <w:szCs w:val="20"/>
        </w:rPr>
        <w:t>, 2025; Ahmad, 2022). Conversely, evidence demonstrates that inclusive leadership, mentorship programs, and flexible arrangements enhance job satisfaction, reduce turnover, and improve performance (Mousa et al., 2023; Schulz et al., 2024). Equity-focused organizations gain legitimacy, ensure regulatory compliance, and advance UN Sustainable Development Goal 5 (Gender Equality).</w:t>
      </w:r>
    </w:p>
    <w:p w14:paraId="058F3A38" w14:textId="77777777" w:rsidR="00D50A58" w:rsidRDefault="00D50A58" w:rsidP="000E5606">
      <w:pPr>
        <w:jc w:val="both"/>
        <w:rPr>
          <w:rFonts w:ascii="Arial" w:hAnsi="Arial" w:cs="Arial"/>
          <w:sz w:val="20"/>
          <w:szCs w:val="20"/>
        </w:rPr>
      </w:pPr>
      <w:r w:rsidRPr="00D50A58">
        <w:rPr>
          <w:rFonts w:ascii="Arial" w:hAnsi="Arial" w:cs="Arial"/>
          <w:sz w:val="20"/>
          <w:szCs w:val="20"/>
        </w:rPr>
        <w:t>Gender equity thus represents both an ethical mandate and strategic advantage, enabling cultural transformation, expanded women's career opportunities, and enhanced organizational resilience in competitive global industries (Acker, 1990; Mousa et al., 2023).</w:t>
      </w:r>
    </w:p>
    <w:p w14:paraId="391F498D" w14:textId="68079295" w:rsidR="00184353" w:rsidRPr="00AF078C" w:rsidRDefault="00B37114" w:rsidP="000E5606">
      <w:pPr>
        <w:jc w:val="both"/>
        <w:rPr>
          <w:rFonts w:ascii="Arial" w:hAnsi="Arial" w:cs="Arial"/>
          <w:b/>
          <w:bCs/>
          <w:sz w:val="20"/>
          <w:szCs w:val="20"/>
          <w:u w:val="single"/>
        </w:rPr>
      </w:pPr>
      <w:r w:rsidRPr="00AF078C">
        <w:rPr>
          <w:rFonts w:ascii="Arial" w:hAnsi="Arial" w:cs="Arial"/>
          <w:b/>
          <w:bCs/>
          <w:sz w:val="20"/>
          <w:szCs w:val="20"/>
          <w:u w:val="single"/>
        </w:rPr>
        <w:t xml:space="preserve">2.1.2 </w:t>
      </w:r>
      <w:r w:rsidR="00184353" w:rsidRPr="00AF078C">
        <w:rPr>
          <w:rFonts w:ascii="Arial" w:hAnsi="Arial" w:cs="Arial"/>
          <w:b/>
          <w:bCs/>
          <w:sz w:val="20"/>
          <w:szCs w:val="20"/>
          <w:u w:val="single"/>
        </w:rPr>
        <w:t>What is Gender Equity in the Maritime and Logistics Sector</w:t>
      </w:r>
    </w:p>
    <w:p w14:paraId="0A43F399" w14:textId="2B86DFFB" w:rsidR="00184353" w:rsidRPr="00AF078C" w:rsidRDefault="00184353" w:rsidP="000E5606">
      <w:pPr>
        <w:jc w:val="both"/>
        <w:rPr>
          <w:rFonts w:ascii="Arial" w:hAnsi="Arial" w:cs="Arial"/>
          <w:sz w:val="20"/>
          <w:szCs w:val="20"/>
        </w:rPr>
      </w:pPr>
      <w:r w:rsidRPr="00AF078C">
        <w:rPr>
          <w:rFonts w:ascii="Arial" w:hAnsi="Arial" w:cs="Arial"/>
          <w:sz w:val="20"/>
          <w:szCs w:val="20"/>
        </w:rPr>
        <w:t>The maritime and logistics sector is one of the most male-dominated industries worldwide, characterized by entrenched structural norms that marginalize women’s participation. Globally, women represent only about 2% of the seafaring workforce and remain underrepresented in port operations, logistics management, and maritime engineering (UNCTAD, 2021). The persistence of inequities in this sector reflects deeply rooted workplace cultures, hierarchical career structures, and unsafe working environments.</w:t>
      </w:r>
    </w:p>
    <w:p w14:paraId="06161ECC" w14:textId="77777777" w:rsidR="00D50A58" w:rsidRDefault="000F65E3" w:rsidP="000E5606">
      <w:pPr>
        <w:jc w:val="both"/>
        <w:rPr>
          <w:rFonts w:ascii="Arial" w:hAnsi="Arial" w:cs="Arial"/>
          <w:sz w:val="20"/>
          <w:szCs w:val="20"/>
        </w:rPr>
      </w:pPr>
      <w:r w:rsidRPr="00AF078C">
        <w:rPr>
          <w:rFonts w:ascii="Arial" w:hAnsi="Arial" w:cs="Arial"/>
          <w:sz w:val="20"/>
          <w:szCs w:val="20"/>
        </w:rPr>
        <w:t>Institutional norms in maritime logistics value traits linked to traditional masculinity, such as physical strength, assertiveness, and constant availability (Acker, 1990; Williams et al., 2012). Long working hours, lengthy sea trips, and mobility demands reinforce the idea of the “ideal” maritime employee as male, free from family responsibilities and able to handle isolated, tough environments</w:t>
      </w:r>
      <w:r w:rsidR="00153265" w:rsidRPr="00AF078C">
        <w:rPr>
          <w:rFonts w:ascii="Arial" w:hAnsi="Arial" w:cs="Arial"/>
          <w:sz w:val="20"/>
          <w:szCs w:val="20"/>
        </w:rPr>
        <w:t xml:space="preserve">. </w:t>
      </w:r>
      <w:r w:rsidR="00D50A58" w:rsidRPr="00D50A58">
        <w:rPr>
          <w:rFonts w:ascii="Arial" w:hAnsi="Arial" w:cs="Arial"/>
          <w:sz w:val="20"/>
          <w:szCs w:val="20"/>
        </w:rPr>
        <w:t>Women entering the field frequently confront glass ceilings, confining them to administrative or support roles rather than technical or leadership positions (</w:t>
      </w:r>
      <w:proofErr w:type="spellStart"/>
      <w:r w:rsidR="00D50A58" w:rsidRPr="00D50A58">
        <w:rPr>
          <w:rFonts w:ascii="Arial" w:hAnsi="Arial" w:cs="Arial"/>
          <w:sz w:val="20"/>
          <w:szCs w:val="20"/>
        </w:rPr>
        <w:t>Shivhare</w:t>
      </w:r>
      <w:proofErr w:type="spellEnd"/>
      <w:r w:rsidR="00D50A58" w:rsidRPr="00D50A58">
        <w:rPr>
          <w:rFonts w:ascii="Arial" w:hAnsi="Arial" w:cs="Arial"/>
          <w:sz w:val="20"/>
          <w:szCs w:val="20"/>
        </w:rPr>
        <w:t xml:space="preserve"> &amp; L, 2025).</w:t>
      </w:r>
    </w:p>
    <w:p w14:paraId="4A509A78" w14:textId="7807268D" w:rsidR="00184353" w:rsidRPr="00AF078C" w:rsidRDefault="00184353" w:rsidP="000E5606">
      <w:pPr>
        <w:jc w:val="both"/>
        <w:rPr>
          <w:rFonts w:ascii="Arial" w:hAnsi="Arial" w:cs="Arial"/>
          <w:sz w:val="20"/>
          <w:szCs w:val="20"/>
        </w:rPr>
      </w:pPr>
      <w:r w:rsidRPr="00AF078C">
        <w:rPr>
          <w:rFonts w:ascii="Arial" w:hAnsi="Arial" w:cs="Arial"/>
          <w:sz w:val="20"/>
          <w:szCs w:val="20"/>
        </w:rPr>
        <w:t>Promotion pathways are often opaque and shaped by informal male-dominated networks, making career advancement particularly challenging for women (</w:t>
      </w:r>
      <w:r w:rsidR="00951E86" w:rsidRPr="00951E86">
        <w:rPr>
          <w:rFonts w:ascii="Arial" w:hAnsi="Arial" w:cs="Arial"/>
          <w:sz w:val="20"/>
          <w:szCs w:val="20"/>
        </w:rPr>
        <w:t>Islam et al., 2025</w:t>
      </w:r>
      <w:r w:rsidRPr="00AF078C">
        <w:rPr>
          <w:rFonts w:ascii="Arial" w:hAnsi="Arial" w:cs="Arial"/>
          <w:sz w:val="20"/>
          <w:szCs w:val="20"/>
        </w:rPr>
        <w:t>). Safety concerns add further complexity: cases of harassment, gender-based violence, and unfair treatment are frequently reported at sea and in port facilities. Organizational responses to such incidents are often inadequate, reinforcing a culture of silence and undermining women’s psychological safety</w:t>
      </w:r>
      <w:r w:rsidR="00D50A58" w:rsidRPr="00D50A58">
        <w:rPr>
          <w:rFonts w:ascii="Arial" w:hAnsi="Arial" w:cs="Arial"/>
          <w:sz w:val="20"/>
          <w:szCs w:val="20"/>
        </w:rPr>
        <w:t xml:space="preserve"> (</w:t>
      </w:r>
      <w:proofErr w:type="spellStart"/>
      <w:r w:rsidR="00D50A58" w:rsidRPr="00D50A58">
        <w:rPr>
          <w:rFonts w:ascii="Arial" w:hAnsi="Arial" w:cs="Arial"/>
          <w:sz w:val="20"/>
          <w:szCs w:val="20"/>
        </w:rPr>
        <w:t>Coupaud</w:t>
      </w:r>
      <w:proofErr w:type="spellEnd"/>
      <w:r w:rsidR="00D50A58" w:rsidRPr="00D50A58">
        <w:rPr>
          <w:rFonts w:ascii="Arial" w:hAnsi="Arial" w:cs="Arial"/>
          <w:sz w:val="20"/>
          <w:szCs w:val="20"/>
        </w:rPr>
        <w:t>, 2025; Erwin, 2023)</w:t>
      </w:r>
      <w:r w:rsidRPr="00AF078C">
        <w:rPr>
          <w:rFonts w:ascii="Arial" w:hAnsi="Arial" w:cs="Arial"/>
          <w:sz w:val="20"/>
          <w:szCs w:val="20"/>
        </w:rPr>
        <w:t>.</w:t>
      </w:r>
    </w:p>
    <w:p w14:paraId="281E2BF5" w14:textId="77777777" w:rsidR="00D50A58" w:rsidRPr="00D50A58" w:rsidRDefault="00D50A58" w:rsidP="00D50A58">
      <w:pPr>
        <w:jc w:val="both"/>
        <w:rPr>
          <w:rFonts w:ascii="Arial" w:hAnsi="Arial" w:cs="Arial"/>
          <w:sz w:val="20"/>
          <w:szCs w:val="20"/>
        </w:rPr>
      </w:pPr>
      <w:r w:rsidRPr="00D50A58">
        <w:rPr>
          <w:rFonts w:ascii="Arial" w:hAnsi="Arial" w:cs="Arial"/>
          <w:sz w:val="20"/>
          <w:szCs w:val="20"/>
        </w:rPr>
        <w:t>Mid-career retention crises plague the sector, as women depart due to inflexible schedules, insufficient maternity provisions, and scarce mentorship or leadership pathways (</w:t>
      </w:r>
      <w:proofErr w:type="spellStart"/>
      <w:r w:rsidRPr="00D50A58">
        <w:rPr>
          <w:rFonts w:ascii="Arial" w:hAnsi="Arial" w:cs="Arial"/>
          <w:sz w:val="20"/>
          <w:szCs w:val="20"/>
        </w:rPr>
        <w:t>Siegele</w:t>
      </w:r>
      <w:proofErr w:type="spellEnd"/>
      <w:r w:rsidRPr="00D50A58">
        <w:rPr>
          <w:rFonts w:ascii="Arial" w:hAnsi="Arial" w:cs="Arial"/>
          <w:sz w:val="20"/>
          <w:szCs w:val="20"/>
        </w:rPr>
        <w:t xml:space="preserve"> et al., 2024; </w:t>
      </w:r>
      <w:proofErr w:type="spellStart"/>
      <w:r w:rsidRPr="00D50A58">
        <w:rPr>
          <w:rFonts w:ascii="Arial" w:hAnsi="Arial" w:cs="Arial"/>
          <w:sz w:val="20"/>
          <w:szCs w:val="20"/>
        </w:rPr>
        <w:t>Snickare</w:t>
      </w:r>
      <w:proofErr w:type="spellEnd"/>
      <w:r w:rsidRPr="00D50A58">
        <w:rPr>
          <w:rFonts w:ascii="Arial" w:hAnsi="Arial" w:cs="Arial"/>
          <w:sz w:val="20"/>
          <w:szCs w:val="20"/>
        </w:rPr>
        <w:t xml:space="preserve"> &amp; Wahl, 2024). Cultures resistant to work-life integration further limit sustained female participation.</w:t>
      </w:r>
    </w:p>
    <w:p w14:paraId="2889269C" w14:textId="77777777" w:rsidR="00D50A58" w:rsidRPr="00D50A58" w:rsidRDefault="00D50A58" w:rsidP="00D50A58">
      <w:pPr>
        <w:jc w:val="both"/>
        <w:rPr>
          <w:rFonts w:ascii="Arial" w:hAnsi="Arial" w:cs="Arial"/>
          <w:sz w:val="20"/>
          <w:szCs w:val="20"/>
        </w:rPr>
      </w:pPr>
    </w:p>
    <w:p w14:paraId="4257E84D" w14:textId="77777777" w:rsidR="00D50A58" w:rsidRDefault="00D50A58" w:rsidP="00D50A58">
      <w:pPr>
        <w:jc w:val="both"/>
        <w:rPr>
          <w:rFonts w:ascii="Arial" w:hAnsi="Arial" w:cs="Arial"/>
          <w:sz w:val="20"/>
          <w:szCs w:val="20"/>
        </w:rPr>
      </w:pPr>
      <w:r w:rsidRPr="00D50A58">
        <w:rPr>
          <w:rFonts w:ascii="Arial" w:hAnsi="Arial" w:cs="Arial"/>
          <w:sz w:val="20"/>
          <w:szCs w:val="20"/>
        </w:rPr>
        <w:t xml:space="preserve">While bodies like the International Maritime Organization (IMO) advocate gender audits, inclusive recruitment, and leadership programs, implementation remains sporadic and symbolic. Without confronting </w:t>
      </w:r>
      <w:r w:rsidRPr="00D50A58">
        <w:rPr>
          <w:rFonts w:ascii="Arial" w:hAnsi="Arial" w:cs="Arial"/>
          <w:sz w:val="20"/>
          <w:szCs w:val="20"/>
        </w:rPr>
        <w:lastRenderedPageBreak/>
        <w:t>embedded biases and restructuring policies and cultures, such efforts fail to achieve substantive change (</w:t>
      </w:r>
      <w:proofErr w:type="spellStart"/>
      <w:r w:rsidRPr="00D50A58">
        <w:rPr>
          <w:rFonts w:ascii="Arial" w:hAnsi="Arial" w:cs="Arial"/>
          <w:sz w:val="20"/>
          <w:szCs w:val="20"/>
        </w:rPr>
        <w:t>Snickare</w:t>
      </w:r>
      <w:proofErr w:type="spellEnd"/>
      <w:r w:rsidRPr="00D50A58">
        <w:rPr>
          <w:rFonts w:ascii="Arial" w:hAnsi="Arial" w:cs="Arial"/>
          <w:sz w:val="20"/>
          <w:szCs w:val="20"/>
        </w:rPr>
        <w:t xml:space="preserve"> &amp; Wahl, 2024; UNCTAD, 2021).</w:t>
      </w:r>
    </w:p>
    <w:p w14:paraId="4EE07299" w14:textId="449FD269" w:rsidR="00184353" w:rsidRPr="00AF078C" w:rsidRDefault="00B37114" w:rsidP="00D50A58">
      <w:pPr>
        <w:jc w:val="both"/>
        <w:rPr>
          <w:rFonts w:ascii="Arial" w:hAnsi="Arial" w:cs="Arial"/>
          <w:sz w:val="20"/>
          <w:szCs w:val="20"/>
          <w:u w:val="single"/>
        </w:rPr>
      </w:pPr>
      <w:r w:rsidRPr="00AF078C">
        <w:rPr>
          <w:rFonts w:ascii="Arial" w:hAnsi="Arial" w:cs="Arial"/>
          <w:b/>
          <w:bCs/>
          <w:sz w:val="20"/>
          <w:szCs w:val="20"/>
          <w:u w:val="single"/>
        </w:rPr>
        <w:t xml:space="preserve">2.1.3 </w:t>
      </w:r>
      <w:r w:rsidR="00760D51" w:rsidRPr="00AF078C">
        <w:rPr>
          <w:rFonts w:ascii="Arial" w:hAnsi="Arial" w:cs="Arial"/>
          <w:b/>
          <w:bCs/>
          <w:sz w:val="20"/>
          <w:szCs w:val="20"/>
          <w:u w:val="single"/>
        </w:rPr>
        <w:t>Theoretical Lens: Gendered Organization Theory</w:t>
      </w:r>
    </w:p>
    <w:p w14:paraId="39579573" w14:textId="47A1BDAF" w:rsidR="00E8469A" w:rsidRPr="00E8469A" w:rsidRDefault="00E8469A" w:rsidP="00E8469A">
      <w:pPr>
        <w:rPr>
          <w:rFonts w:ascii="Arial" w:hAnsi="Arial" w:cs="Arial"/>
          <w:sz w:val="20"/>
          <w:szCs w:val="20"/>
        </w:rPr>
      </w:pPr>
      <w:r w:rsidRPr="00E8469A">
        <w:rPr>
          <w:rFonts w:ascii="Arial" w:hAnsi="Arial" w:cs="Arial"/>
          <w:sz w:val="20"/>
          <w:szCs w:val="20"/>
        </w:rPr>
        <w:t>This study employs Gendered Organization Theory (GOT), developed by Acker (1990), as the primary analytical framework to examine barriers to gender equity in maritime logistics. GOT asserts that organizations are inherently gendered through structures, interactions, symbols, and power dynamics that reproduce male privilege via five interconnected processes: gendered labor divisions, interactions, symbols, structures, and internalized identities.​</w:t>
      </w:r>
    </w:p>
    <w:p w14:paraId="4517C707" w14:textId="22F6C927" w:rsidR="00E8469A" w:rsidRPr="00E8469A" w:rsidRDefault="00E8469A" w:rsidP="00E8469A">
      <w:pPr>
        <w:rPr>
          <w:rFonts w:ascii="Arial" w:hAnsi="Arial" w:cs="Arial"/>
          <w:sz w:val="20"/>
          <w:szCs w:val="20"/>
        </w:rPr>
      </w:pPr>
      <w:r w:rsidRPr="00E8469A">
        <w:rPr>
          <w:rFonts w:ascii="Arial" w:hAnsi="Arial" w:cs="Arial"/>
          <w:sz w:val="20"/>
          <w:szCs w:val="20"/>
        </w:rPr>
        <w:t>The "ideal worker" norm exemplifies this, demanding uninterrupted careers and total availability, which disadvantages women with caregiving roles and reinforces bias (Hindman, 2025; Williams et al., 2012). Recent literature applies GOT to male-dominated sectors, demonstrating how women's presence in leadership roles fosters female-friendly policies and challenges male-centric structures (</w:t>
      </w:r>
      <w:proofErr w:type="spellStart"/>
      <w:r w:rsidRPr="00E8469A">
        <w:rPr>
          <w:rFonts w:ascii="Arial" w:hAnsi="Arial" w:cs="Arial"/>
          <w:sz w:val="20"/>
          <w:szCs w:val="20"/>
        </w:rPr>
        <w:t>Allemand</w:t>
      </w:r>
      <w:proofErr w:type="spellEnd"/>
      <w:r w:rsidRPr="00E8469A">
        <w:rPr>
          <w:rFonts w:ascii="Arial" w:hAnsi="Arial" w:cs="Arial"/>
          <w:sz w:val="20"/>
          <w:szCs w:val="20"/>
        </w:rPr>
        <w:t xml:space="preserve"> et al., 2025).​</w:t>
      </w:r>
    </w:p>
    <w:p w14:paraId="1DC8A6AF" w14:textId="77777777" w:rsidR="00E8469A" w:rsidRDefault="00E8469A" w:rsidP="00E8469A">
      <w:pPr>
        <w:rPr>
          <w:rFonts w:ascii="Arial" w:hAnsi="Arial" w:cs="Arial"/>
          <w:sz w:val="20"/>
          <w:szCs w:val="20"/>
        </w:rPr>
      </w:pPr>
      <w:proofErr w:type="spellStart"/>
      <w:r w:rsidRPr="00E8469A">
        <w:rPr>
          <w:rFonts w:ascii="Arial" w:hAnsi="Arial" w:cs="Arial"/>
          <w:sz w:val="20"/>
          <w:szCs w:val="20"/>
        </w:rPr>
        <w:t>Borgkvist</w:t>
      </w:r>
      <w:proofErr w:type="spellEnd"/>
      <w:r w:rsidRPr="00E8469A">
        <w:rPr>
          <w:rFonts w:ascii="Arial" w:hAnsi="Arial" w:cs="Arial"/>
          <w:sz w:val="20"/>
          <w:szCs w:val="20"/>
        </w:rPr>
        <w:t xml:space="preserve"> et al. (2021) reveal how gender-neutral flexibility policies are undermined by organizational norms that enable male advancement while penalizing women under ideal worker expectations, limiting leadership access. Comparative studies confirm persistent gendered practices globally: </w:t>
      </w:r>
      <w:proofErr w:type="spellStart"/>
      <w:r w:rsidRPr="00E8469A">
        <w:rPr>
          <w:rFonts w:ascii="Arial" w:hAnsi="Arial" w:cs="Arial"/>
          <w:sz w:val="20"/>
          <w:szCs w:val="20"/>
        </w:rPr>
        <w:t>Siegele</w:t>
      </w:r>
      <w:proofErr w:type="spellEnd"/>
      <w:r w:rsidRPr="00E8469A">
        <w:rPr>
          <w:rFonts w:ascii="Arial" w:hAnsi="Arial" w:cs="Arial"/>
          <w:sz w:val="20"/>
          <w:szCs w:val="20"/>
        </w:rPr>
        <w:t xml:space="preserve"> et al. (2024) document biases against mothers in athletics, while Tran et al. (2024) identify systemic hiring barriers for women principals, both illustrating how superficial equality initiatives fail against embedded biases.</w:t>
      </w:r>
    </w:p>
    <w:p w14:paraId="6A526B9A" w14:textId="7131F9A8" w:rsidR="00E8469A" w:rsidRDefault="00E8469A" w:rsidP="00E8469A">
      <w:pPr>
        <w:rPr>
          <w:rFonts w:ascii="Arial" w:hAnsi="Arial" w:cs="Arial"/>
          <w:sz w:val="20"/>
          <w:szCs w:val="20"/>
        </w:rPr>
      </w:pPr>
      <w:r w:rsidRPr="00E8469A">
        <w:rPr>
          <w:rFonts w:ascii="Arial" w:hAnsi="Arial" w:cs="Arial"/>
          <w:sz w:val="20"/>
          <w:szCs w:val="20"/>
        </w:rPr>
        <w:t>​GOT thus illuminates how gender constitutes organizational logic rather than an add-on variable (Acker, 1990), providing a robust lens for dissecting inequities in maritime logistics' hierarchical, high-pressure environment and identifying transformative interventions.</w:t>
      </w:r>
    </w:p>
    <w:p w14:paraId="2F84BF4A" w14:textId="52810F83" w:rsidR="00184353" w:rsidRPr="00AF078C" w:rsidRDefault="00B37114" w:rsidP="00E8469A">
      <w:pPr>
        <w:rPr>
          <w:rFonts w:ascii="Arial" w:hAnsi="Arial" w:cs="Arial"/>
          <w:b/>
          <w:bCs/>
          <w:sz w:val="22"/>
          <w:szCs w:val="22"/>
        </w:rPr>
      </w:pPr>
      <w:r w:rsidRPr="00AF078C">
        <w:rPr>
          <w:rFonts w:ascii="Arial" w:hAnsi="Arial" w:cs="Arial"/>
          <w:b/>
          <w:bCs/>
          <w:sz w:val="22"/>
          <w:szCs w:val="22"/>
        </w:rPr>
        <w:t xml:space="preserve">3. </w:t>
      </w:r>
      <w:r w:rsidR="00AA0820" w:rsidRPr="00AF078C">
        <w:rPr>
          <w:rFonts w:ascii="Arial" w:hAnsi="Arial" w:cs="Arial"/>
          <w:b/>
          <w:bCs/>
          <w:sz w:val="22"/>
          <w:szCs w:val="22"/>
        </w:rPr>
        <w:t>METHODOLOGY</w:t>
      </w:r>
    </w:p>
    <w:p w14:paraId="44CC2B89" w14:textId="6F6BEB4D" w:rsidR="002242B3" w:rsidRPr="00AF078C" w:rsidRDefault="00B37114" w:rsidP="000E5606">
      <w:pPr>
        <w:jc w:val="both"/>
        <w:rPr>
          <w:rFonts w:ascii="Arial" w:hAnsi="Arial" w:cs="Arial"/>
          <w:b/>
          <w:bCs/>
          <w:sz w:val="22"/>
          <w:szCs w:val="22"/>
        </w:rPr>
      </w:pPr>
      <w:r w:rsidRPr="00AF078C">
        <w:rPr>
          <w:rFonts w:ascii="Arial" w:hAnsi="Arial" w:cs="Arial"/>
          <w:b/>
          <w:bCs/>
          <w:sz w:val="22"/>
          <w:szCs w:val="22"/>
        </w:rPr>
        <w:t xml:space="preserve">3.1 </w:t>
      </w:r>
      <w:r w:rsidR="001F7D07" w:rsidRPr="00AF078C">
        <w:rPr>
          <w:rFonts w:ascii="Arial" w:hAnsi="Arial" w:cs="Arial"/>
          <w:b/>
          <w:bCs/>
          <w:sz w:val="22"/>
          <w:szCs w:val="22"/>
        </w:rPr>
        <w:t xml:space="preserve">Review Design </w:t>
      </w:r>
    </w:p>
    <w:p w14:paraId="7A54F8D6" w14:textId="7797E0AE" w:rsidR="00E8469A" w:rsidRPr="00E8469A" w:rsidRDefault="008A4461" w:rsidP="000E5606">
      <w:pPr>
        <w:jc w:val="both"/>
        <w:rPr>
          <w:rFonts w:ascii="Arial" w:eastAsia="Times New Roman" w:hAnsi="Arial" w:cs="Arial"/>
          <w:sz w:val="20"/>
          <w:szCs w:val="20"/>
        </w:rPr>
      </w:pPr>
      <w:r w:rsidRPr="00AF078C">
        <w:rPr>
          <w:rFonts w:ascii="Arial" w:eastAsia="Times New Roman" w:hAnsi="Arial" w:cs="Arial"/>
          <w:sz w:val="20"/>
          <w:szCs w:val="20"/>
        </w:rPr>
        <w:t xml:space="preserve">This study employs a Systematic Literature Review (SLR) to identify factors that promote gender equity in the maritime sector. A systematic approach was chosen over a narrative review to ensure </w:t>
      </w:r>
      <w:r w:rsidR="009779FF" w:rsidRPr="00AF078C">
        <w:rPr>
          <w:rFonts w:ascii="Arial" w:eastAsia="Times New Roman" w:hAnsi="Arial" w:cs="Arial"/>
          <w:sz w:val="20"/>
          <w:szCs w:val="20"/>
        </w:rPr>
        <w:t>rigor</w:t>
      </w:r>
      <w:r w:rsidRPr="00AF078C">
        <w:rPr>
          <w:rFonts w:ascii="Arial" w:eastAsia="Times New Roman" w:hAnsi="Arial" w:cs="Arial"/>
          <w:sz w:val="20"/>
          <w:szCs w:val="20"/>
        </w:rPr>
        <w:t xml:space="preserve">, replicability, and transparency in </w:t>
      </w:r>
      <w:r w:rsidR="009779FF" w:rsidRPr="00AF078C">
        <w:rPr>
          <w:rFonts w:ascii="Arial" w:eastAsia="Times New Roman" w:hAnsi="Arial" w:cs="Arial"/>
          <w:sz w:val="20"/>
          <w:szCs w:val="20"/>
        </w:rPr>
        <w:t>synthesizing</w:t>
      </w:r>
      <w:r w:rsidRPr="00AF078C">
        <w:rPr>
          <w:rFonts w:ascii="Arial" w:eastAsia="Times New Roman" w:hAnsi="Arial" w:cs="Arial"/>
          <w:sz w:val="20"/>
          <w:szCs w:val="20"/>
        </w:rPr>
        <w:t xml:space="preserve"> evidence across multiple studies following the PRISMA protocol to guide structured study identification, screening, and inclusion/exclusion decisions (Moher et al., 2009). A similar approach has also been adopted in previous systematic literature reviews in related are</w:t>
      </w:r>
      <w:r w:rsidR="009779FF" w:rsidRPr="00AF078C">
        <w:rPr>
          <w:rFonts w:ascii="Arial" w:eastAsia="Times New Roman" w:hAnsi="Arial" w:cs="Arial"/>
          <w:sz w:val="20"/>
          <w:szCs w:val="20"/>
        </w:rPr>
        <w:t>as (</w:t>
      </w:r>
      <w:r w:rsidR="0010176B" w:rsidRPr="00AF078C">
        <w:rPr>
          <w:rFonts w:ascii="Arial" w:eastAsia="Times New Roman" w:hAnsi="Arial" w:cs="Arial"/>
          <w:sz w:val="20"/>
          <w:szCs w:val="20"/>
        </w:rPr>
        <w:t xml:space="preserve">e.g. </w:t>
      </w:r>
      <w:proofErr w:type="spellStart"/>
      <w:r w:rsidR="0010176B" w:rsidRPr="00AF078C">
        <w:rPr>
          <w:rFonts w:ascii="Arial" w:eastAsia="Times New Roman" w:hAnsi="Arial" w:cs="Arial"/>
          <w:sz w:val="20"/>
          <w:szCs w:val="20"/>
        </w:rPr>
        <w:t>Chathuranga</w:t>
      </w:r>
      <w:proofErr w:type="spellEnd"/>
      <w:r w:rsidR="0010176B" w:rsidRPr="00AF078C">
        <w:rPr>
          <w:rFonts w:ascii="Arial" w:eastAsia="Times New Roman" w:hAnsi="Arial" w:cs="Arial"/>
          <w:sz w:val="20"/>
          <w:szCs w:val="20"/>
        </w:rPr>
        <w:t xml:space="preserve"> et al., 2023; De Silva et al., 2025; Dias et al., 2025; </w:t>
      </w:r>
      <w:proofErr w:type="spellStart"/>
      <w:r w:rsidR="0010176B" w:rsidRPr="00AF078C">
        <w:rPr>
          <w:rFonts w:ascii="Arial" w:eastAsia="Times New Roman" w:hAnsi="Arial" w:cs="Arial"/>
          <w:sz w:val="20"/>
          <w:szCs w:val="20"/>
        </w:rPr>
        <w:t>Dilhara</w:t>
      </w:r>
      <w:proofErr w:type="spellEnd"/>
      <w:r w:rsidR="0010176B" w:rsidRPr="00AF078C">
        <w:rPr>
          <w:rFonts w:ascii="Arial" w:eastAsia="Times New Roman" w:hAnsi="Arial" w:cs="Arial"/>
          <w:sz w:val="20"/>
          <w:szCs w:val="20"/>
        </w:rPr>
        <w:t xml:space="preserve"> et al., 2024; Fathima et al., 2024; </w:t>
      </w:r>
      <w:proofErr w:type="spellStart"/>
      <w:r w:rsidR="0010176B" w:rsidRPr="00AF078C">
        <w:rPr>
          <w:rFonts w:ascii="Arial" w:eastAsia="Times New Roman" w:hAnsi="Arial" w:cs="Arial"/>
          <w:sz w:val="20"/>
          <w:szCs w:val="20"/>
        </w:rPr>
        <w:t>Galappaththi</w:t>
      </w:r>
      <w:proofErr w:type="spellEnd"/>
      <w:r w:rsidR="0010176B" w:rsidRPr="00AF078C">
        <w:rPr>
          <w:rFonts w:ascii="Arial" w:eastAsia="Times New Roman" w:hAnsi="Arial" w:cs="Arial"/>
          <w:sz w:val="20"/>
          <w:szCs w:val="20"/>
        </w:rPr>
        <w:t xml:space="preserve"> et al., 2024</w:t>
      </w:r>
      <w:r w:rsidR="009779FF" w:rsidRPr="00AF078C">
        <w:rPr>
          <w:rFonts w:ascii="Arial" w:eastAsia="Times New Roman" w:hAnsi="Arial" w:cs="Arial"/>
          <w:sz w:val="20"/>
          <w:szCs w:val="20"/>
        </w:rPr>
        <w:t>)</w:t>
      </w:r>
    </w:p>
    <w:p w14:paraId="78BB82EA" w14:textId="77777777" w:rsidR="00E8469A" w:rsidRDefault="00E8469A" w:rsidP="000E5606">
      <w:pPr>
        <w:jc w:val="both"/>
        <w:rPr>
          <w:rFonts w:ascii="Arial" w:hAnsi="Arial" w:cs="Arial"/>
          <w:b/>
          <w:bCs/>
          <w:sz w:val="22"/>
          <w:szCs w:val="22"/>
        </w:rPr>
      </w:pPr>
    </w:p>
    <w:p w14:paraId="57F354F7" w14:textId="77777777" w:rsidR="00E8469A" w:rsidRDefault="00E8469A" w:rsidP="000E5606">
      <w:pPr>
        <w:jc w:val="both"/>
        <w:rPr>
          <w:rFonts w:ascii="Arial" w:hAnsi="Arial" w:cs="Arial"/>
          <w:b/>
          <w:bCs/>
          <w:sz w:val="22"/>
          <w:szCs w:val="22"/>
        </w:rPr>
      </w:pPr>
    </w:p>
    <w:p w14:paraId="42724BF6" w14:textId="77777777" w:rsidR="00E8469A" w:rsidRDefault="00E8469A" w:rsidP="000E5606">
      <w:pPr>
        <w:jc w:val="both"/>
        <w:rPr>
          <w:rFonts w:ascii="Arial" w:hAnsi="Arial" w:cs="Arial"/>
          <w:b/>
          <w:bCs/>
          <w:sz w:val="22"/>
          <w:szCs w:val="22"/>
        </w:rPr>
      </w:pPr>
    </w:p>
    <w:p w14:paraId="5EAF4955" w14:textId="77777777" w:rsidR="00E8469A" w:rsidRDefault="00E8469A" w:rsidP="000E5606">
      <w:pPr>
        <w:jc w:val="both"/>
        <w:rPr>
          <w:rFonts w:ascii="Arial" w:hAnsi="Arial" w:cs="Arial"/>
          <w:b/>
          <w:bCs/>
          <w:sz w:val="22"/>
          <w:szCs w:val="22"/>
        </w:rPr>
      </w:pPr>
    </w:p>
    <w:p w14:paraId="77121574" w14:textId="77777777" w:rsidR="00E8469A" w:rsidRDefault="00E8469A" w:rsidP="000E5606">
      <w:pPr>
        <w:jc w:val="both"/>
        <w:rPr>
          <w:rFonts w:ascii="Arial" w:hAnsi="Arial" w:cs="Arial"/>
          <w:b/>
          <w:bCs/>
          <w:sz w:val="22"/>
          <w:szCs w:val="22"/>
        </w:rPr>
      </w:pPr>
    </w:p>
    <w:p w14:paraId="7715D34D" w14:textId="77777777" w:rsidR="00E8469A" w:rsidRDefault="00E8469A" w:rsidP="000E5606">
      <w:pPr>
        <w:jc w:val="both"/>
        <w:rPr>
          <w:rFonts w:ascii="Arial" w:hAnsi="Arial" w:cs="Arial"/>
          <w:b/>
          <w:bCs/>
          <w:sz w:val="22"/>
          <w:szCs w:val="22"/>
        </w:rPr>
      </w:pPr>
    </w:p>
    <w:p w14:paraId="14079DC0" w14:textId="0BCDF3FC" w:rsidR="007936BF" w:rsidRPr="00AF078C" w:rsidRDefault="00B37114" w:rsidP="000E5606">
      <w:pPr>
        <w:jc w:val="both"/>
        <w:rPr>
          <w:rFonts w:ascii="Arial" w:hAnsi="Arial" w:cs="Arial"/>
          <w:b/>
          <w:bCs/>
          <w:sz w:val="22"/>
          <w:szCs w:val="22"/>
        </w:rPr>
      </w:pPr>
      <w:r w:rsidRPr="00AF078C">
        <w:rPr>
          <w:rFonts w:ascii="Arial" w:hAnsi="Arial" w:cs="Arial"/>
          <w:b/>
          <w:bCs/>
          <w:sz w:val="22"/>
          <w:szCs w:val="22"/>
        </w:rPr>
        <w:t xml:space="preserve">3.2 </w:t>
      </w:r>
      <w:r w:rsidR="00036B57" w:rsidRPr="00AF078C">
        <w:rPr>
          <w:rFonts w:ascii="Arial" w:hAnsi="Arial" w:cs="Arial"/>
          <w:b/>
          <w:bCs/>
          <w:sz w:val="22"/>
          <w:szCs w:val="22"/>
        </w:rPr>
        <w:t>Search Strategy</w:t>
      </w:r>
    </w:p>
    <w:p w14:paraId="7CCB5051" w14:textId="77777777" w:rsidR="00214BE2" w:rsidRPr="00AF078C" w:rsidRDefault="00036B57" w:rsidP="00214BE2">
      <w:pPr>
        <w:keepNext/>
        <w:jc w:val="both"/>
      </w:pPr>
      <w:r w:rsidRPr="00AF078C">
        <w:rPr>
          <w:rFonts w:ascii="Times New Roman" w:hAnsi="Times New Roman" w:cs="Times New Roman"/>
          <w:noProof/>
          <w:sz w:val="22"/>
          <w:szCs w:val="22"/>
        </w:rPr>
        <w:lastRenderedPageBreak/>
        <w:drawing>
          <wp:inline distT="0" distB="0" distL="0" distR="0" wp14:anchorId="27B950D3" wp14:editId="694A442B">
            <wp:extent cx="4257004" cy="3426979"/>
            <wp:effectExtent l="0" t="0" r="0" b="2540"/>
            <wp:docPr id="798995400" name="Picture 1" descr="A diagram of a research proc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995400" name="Picture 1" descr="A diagram of a research process&#10;&#10;AI-generated content may be incorrect."/>
                    <pic:cNvPicPr/>
                  </pic:nvPicPr>
                  <pic:blipFill>
                    <a:blip r:embed="rId8"/>
                    <a:stretch>
                      <a:fillRect/>
                    </a:stretch>
                  </pic:blipFill>
                  <pic:spPr>
                    <a:xfrm>
                      <a:off x="0" y="0"/>
                      <a:ext cx="4274488" cy="3441054"/>
                    </a:xfrm>
                    <a:prstGeom prst="rect">
                      <a:avLst/>
                    </a:prstGeom>
                  </pic:spPr>
                </pic:pic>
              </a:graphicData>
            </a:graphic>
          </wp:inline>
        </w:drawing>
      </w:r>
    </w:p>
    <w:p w14:paraId="784C0F9E" w14:textId="6204AEC5" w:rsidR="00036B57" w:rsidRPr="00AF078C" w:rsidRDefault="00214BE2" w:rsidP="00214BE2">
      <w:pPr>
        <w:pStyle w:val="Caption"/>
        <w:jc w:val="both"/>
        <w:rPr>
          <w:rFonts w:ascii="Arial" w:hAnsi="Arial" w:cs="Arial"/>
          <w:b/>
          <w:bCs/>
          <w:i w:val="0"/>
          <w:iCs w:val="0"/>
          <w:color w:val="000000" w:themeColor="text1"/>
          <w:sz w:val="20"/>
          <w:szCs w:val="20"/>
        </w:rPr>
      </w:pPr>
      <w:r w:rsidRPr="00AF078C">
        <w:rPr>
          <w:rFonts w:ascii="Arial" w:hAnsi="Arial" w:cs="Arial"/>
          <w:b/>
          <w:bCs/>
          <w:i w:val="0"/>
          <w:iCs w:val="0"/>
          <w:color w:val="000000" w:themeColor="text1"/>
          <w:sz w:val="20"/>
          <w:szCs w:val="20"/>
        </w:rPr>
        <w:t xml:space="preserve">Figure </w:t>
      </w:r>
      <w:r w:rsidR="00162939" w:rsidRPr="00AF078C">
        <w:rPr>
          <w:rFonts w:ascii="Arial" w:hAnsi="Arial" w:cs="Arial"/>
          <w:b/>
          <w:bCs/>
          <w:i w:val="0"/>
          <w:iCs w:val="0"/>
          <w:color w:val="000000" w:themeColor="text1"/>
          <w:sz w:val="20"/>
          <w:szCs w:val="20"/>
        </w:rPr>
        <w:t xml:space="preserve">1. </w:t>
      </w:r>
      <w:r w:rsidRPr="00AF078C">
        <w:rPr>
          <w:rFonts w:ascii="Arial" w:hAnsi="Arial" w:cs="Arial"/>
          <w:b/>
          <w:bCs/>
          <w:i w:val="0"/>
          <w:iCs w:val="0"/>
          <w:color w:val="000000" w:themeColor="text1"/>
          <w:sz w:val="20"/>
          <w:szCs w:val="20"/>
        </w:rPr>
        <w:t>Article Selection</w:t>
      </w:r>
    </w:p>
    <w:p w14:paraId="50A37F20" w14:textId="7850B82C" w:rsidR="00036B57" w:rsidRPr="00AF078C" w:rsidRDefault="00036B57" w:rsidP="000E5606">
      <w:pPr>
        <w:jc w:val="both"/>
        <w:rPr>
          <w:rFonts w:ascii="Arial" w:hAnsi="Arial" w:cs="Arial"/>
          <w:sz w:val="20"/>
          <w:szCs w:val="20"/>
        </w:rPr>
      </w:pPr>
      <w:r w:rsidRPr="00AF078C">
        <w:rPr>
          <w:rFonts w:ascii="Arial" w:hAnsi="Arial" w:cs="Arial"/>
          <w:sz w:val="20"/>
          <w:szCs w:val="20"/>
        </w:rPr>
        <w:t xml:space="preserve">To ensure methodological rigor and thematic relevance, the inclusion criteria for this systematic literature review were established based on a structured Scopus database search. The primary goal was to identify peer-reviewed journal articles that explicitly engage with Gendered Organization Theory in the context of gender-related workplace dynamics. The search began by using the query TITLE-ABS-KEY ("gendered" AND "organization" AND "theory"), which yielded 725 results. To narrow the focus to peer-reviewed empirical and theoretical contributions, the filter for document type: journal article was applied, reducing the dataset to 556 articles. To further ensure relevance to the study's focus on gender equity, a keyword refinement was implemented. </w:t>
      </w:r>
    </w:p>
    <w:p w14:paraId="2430B20E" w14:textId="32AC2C2D" w:rsidR="00036B57" w:rsidRPr="00AF078C" w:rsidRDefault="00036B57" w:rsidP="000E5606">
      <w:pPr>
        <w:jc w:val="both"/>
        <w:rPr>
          <w:rFonts w:ascii="Arial" w:hAnsi="Arial" w:cs="Arial"/>
          <w:sz w:val="20"/>
          <w:szCs w:val="20"/>
        </w:rPr>
      </w:pPr>
      <w:r w:rsidRPr="00AF078C">
        <w:rPr>
          <w:rFonts w:ascii="Arial" w:hAnsi="Arial" w:cs="Arial"/>
          <w:sz w:val="20"/>
          <w:szCs w:val="20"/>
        </w:rPr>
        <w:t>This involved selecting only those studies that included at least one of the following gender-related keywords:</w:t>
      </w:r>
      <w:r w:rsidR="00DE47C2" w:rsidRPr="00AF078C">
        <w:rPr>
          <w:rFonts w:ascii="Arial" w:hAnsi="Arial" w:cs="Arial"/>
          <w:sz w:val="20"/>
          <w:szCs w:val="20"/>
        </w:rPr>
        <w:t xml:space="preserve"> </w:t>
      </w:r>
      <w:r w:rsidRPr="00AF078C">
        <w:rPr>
          <w:rFonts w:ascii="Arial" w:hAnsi="Arial" w:cs="Arial"/>
          <w:sz w:val="20"/>
          <w:szCs w:val="20"/>
        </w:rPr>
        <w:t xml:space="preserve">Gender, Gendered Organizations, Gender Role, Gender Relations, Gender Equality, Gender Disparity, Gender Equity, Gender Identity, Gender Inequality, Gender Theory, Gender Discrimination, Gendered Organization, Gender Roles, or Gendered Organization Theory. </w:t>
      </w:r>
    </w:p>
    <w:p w14:paraId="58068584" w14:textId="58F7597B" w:rsidR="00036B57" w:rsidRDefault="00036B57" w:rsidP="000E5606">
      <w:pPr>
        <w:jc w:val="both"/>
        <w:rPr>
          <w:rFonts w:ascii="Arial" w:hAnsi="Arial" w:cs="Arial"/>
          <w:sz w:val="20"/>
          <w:szCs w:val="20"/>
        </w:rPr>
      </w:pPr>
      <w:r w:rsidRPr="00AF078C">
        <w:rPr>
          <w:rFonts w:ascii="Arial" w:hAnsi="Arial" w:cs="Arial"/>
          <w:sz w:val="20"/>
          <w:szCs w:val="20"/>
        </w:rPr>
        <w:t>This refinement produced a final set of 274 journal articles suitable for thematic screening and critical appraisal. The selected articles were reviewed to identify theoretical insights, recurring themes, and organizational-level interventions or factors that influence gender equity, particularly within male dominated sectors such as logistics, maritime, STEM, and industrial domains. This process informed the identification of relevant antecedents for the present study, interpreted through the lens of Gendered Organization Theory.</w:t>
      </w:r>
    </w:p>
    <w:p w14:paraId="23449C2D" w14:textId="77777777" w:rsidR="00E8469A" w:rsidRPr="00AF078C" w:rsidRDefault="00E8469A" w:rsidP="000E5606">
      <w:pPr>
        <w:jc w:val="both"/>
        <w:rPr>
          <w:rFonts w:ascii="Arial" w:hAnsi="Arial" w:cs="Arial"/>
          <w:sz w:val="20"/>
          <w:szCs w:val="20"/>
        </w:rPr>
      </w:pPr>
    </w:p>
    <w:p w14:paraId="72B252C1" w14:textId="77777777" w:rsidR="00863F02" w:rsidRDefault="00863F02" w:rsidP="000E5606">
      <w:pPr>
        <w:jc w:val="both"/>
        <w:rPr>
          <w:rFonts w:ascii="Arial" w:hAnsi="Arial" w:cs="Arial"/>
          <w:sz w:val="20"/>
          <w:szCs w:val="20"/>
        </w:rPr>
      </w:pPr>
    </w:p>
    <w:p w14:paraId="2A91D923" w14:textId="77777777" w:rsidR="00A758DA" w:rsidRPr="00AF078C" w:rsidRDefault="00A758DA" w:rsidP="000E5606">
      <w:pPr>
        <w:jc w:val="both"/>
        <w:rPr>
          <w:rFonts w:ascii="Arial" w:hAnsi="Arial" w:cs="Arial"/>
          <w:sz w:val="20"/>
          <w:szCs w:val="20"/>
        </w:rPr>
      </w:pPr>
    </w:p>
    <w:p w14:paraId="06788D71" w14:textId="0067F08E" w:rsidR="004E3488" w:rsidRPr="00AF078C" w:rsidRDefault="00B37114" w:rsidP="000E5606">
      <w:pPr>
        <w:jc w:val="both"/>
        <w:rPr>
          <w:rFonts w:ascii="Arial" w:hAnsi="Arial" w:cs="Arial"/>
          <w:b/>
          <w:bCs/>
          <w:sz w:val="20"/>
          <w:szCs w:val="20"/>
          <w:u w:val="single"/>
        </w:rPr>
      </w:pPr>
      <w:bookmarkStart w:id="2" w:name="_Hlk208251651"/>
      <w:r w:rsidRPr="00AF078C">
        <w:rPr>
          <w:rFonts w:ascii="Arial" w:hAnsi="Arial" w:cs="Arial"/>
          <w:b/>
          <w:bCs/>
          <w:sz w:val="20"/>
          <w:szCs w:val="20"/>
          <w:u w:val="single"/>
        </w:rPr>
        <w:t>3.3</w:t>
      </w:r>
      <w:r w:rsidR="00AA0820" w:rsidRPr="00AF078C">
        <w:rPr>
          <w:rFonts w:ascii="Arial" w:hAnsi="Arial" w:cs="Arial"/>
          <w:b/>
          <w:bCs/>
          <w:sz w:val="20"/>
          <w:szCs w:val="20"/>
          <w:u w:val="single"/>
        </w:rPr>
        <w:t>.1</w:t>
      </w:r>
      <w:r w:rsidRPr="00AF078C">
        <w:rPr>
          <w:rFonts w:ascii="Arial" w:hAnsi="Arial" w:cs="Arial"/>
          <w:b/>
          <w:bCs/>
          <w:sz w:val="20"/>
          <w:szCs w:val="20"/>
          <w:u w:val="single"/>
        </w:rPr>
        <w:t xml:space="preserve"> </w:t>
      </w:r>
      <w:r w:rsidR="004E3488" w:rsidRPr="00AF078C">
        <w:rPr>
          <w:rFonts w:ascii="Arial" w:hAnsi="Arial" w:cs="Arial"/>
          <w:b/>
          <w:bCs/>
          <w:sz w:val="20"/>
          <w:szCs w:val="20"/>
          <w:u w:val="single"/>
        </w:rPr>
        <w:t>Study Selection</w:t>
      </w:r>
    </w:p>
    <w:p w14:paraId="77805749" w14:textId="77777777" w:rsidR="00723BF9" w:rsidRPr="00AF078C" w:rsidRDefault="00723BF9" w:rsidP="000E5606">
      <w:pPr>
        <w:jc w:val="both"/>
        <w:rPr>
          <w:rFonts w:ascii="Arial" w:hAnsi="Arial" w:cs="Arial"/>
          <w:sz w:val="20"/>
          <w:szCs w:val="20"/>
        </w:rPr>
      </w:pPr>
      <w:r w:rsidRPr="00AF078C">
        <w:rPr>
          <w:rFonts w:ascii="Arial" w:hAnsi="Arial" w:cs="Arial"/>
          <w:sz w:val="20"/>
          <w:szCs w:val="20"/>
        </w:rPr>
        <w:lastRenderedPageBreak/>
        <w:t xml:space="preserve">The study selection was conducted in two phases. </w:t>
      </w:r>
    </w:p>
    <w:p w14:paraId="7A04B1C8" w14:textId="77777777" w:rsidR="00723BF9" w:rsidRPr="00AF078C" w:rsidRDefault="00723BF9" w:rsidP="000E5606">
      <w:pPr>
        <w:jc w:val="both"/>
        <w:rPr>
          <w:rFonts w:ascii="Arial" w:hAnsi="Arial" w:cs="Arial"/>
          <w:sz w:val="20"/>
          <w:szCs w:val="20"/>
        </w:rPr>
      </w:pPr>
      <w:r w:rsidRPr="00AF078C">
        <w:rPr>
          <w:rFonts w:ascii="Arial" w:hAnsi="Arial" w:cs="Arial"/>
          <w:sz w:val="20"/>
          <w:szCs w:val="20"/>
        </w:rPr>
        <w:t xml:space="preserve">Phase 1 – Title and Abstract Screening involved examining each study for explicit reference to gender equity, gendered organizational practices, or women’s participation in male-dominated sectors such as maritime logistics. Studies not addressing gender equity in organizational contexts were excluded. </w:t>
      </w:r>
    </w:p>
    <w:p w14:paraId="2F6E69CE" w14:textId="77777777" w:rsidR="00723BF9" w:rsidRPr="00AF078C" w:rsidRDefault="00723BF9" w:rsidP="000E5606">
      <w:pPr>
        <w:jc w:val="both"/>
        <w:rPr>
          <w:rFonts w:ascii="Arial" w:hAnsi="Arial" w:cs="Arial"/>
          <w:sz w:val="20"/>
          <w:szCs w:val="20"/>
        </w:rPr>
      </w:pPr>
      <w:r w:rsidRPr="00AF078C">
        <w:rPr>
          <w:rFonts w:ascii="Arial" w:hAnsi="Arial" w:cs="Arial"/>
          <w:sz w:val="20"/>
          <w:szCs w:val="20"/>
        </w:rPr>
        <w:t xml:space="preserve">Phase 2 – Full-Text Review entailed a detailed assessment to confirm substantial engagement with themes aligned to Gendered Organization Theory. Only studies providing theoretical, conceptual, or empirical insights into workplace or sectoral gender equity were retained. </w:t>
      </w:r>
    </w:p>
    <w:p w14:paraId="7323D8CB" w14:textId="21254FAD" w:rsidR="004E3488" w:rsidRPr="00AF078C" w:rsidRDefault="00723BF9" w:rsidP="000E5606">
      <w:pPr>
        <w:jc w:val="both"/>
        <w:rPr>
          <w:rFonts w:ascii="Arial" w:hAnsi="Arial" w:cs="Arial"/>
          <w:sz w:val="20"/>
          <w:szCs w:val="20"/>
        </w:rPr>
      </w:pPr>
      <w:r w:rsidRPr="00AF078C">
        <w:rPr>
          <w:rFonts w:ascii="Arial" w:hAnsi="Arial" w:cs="Arial"/>
          <w:sz w:val="20"/>
          <w:szCs w:val="20"/>
        </w:rPr>
        <w:t>This dual-phase process refined the pool of studies, ensuring theoretical relevance and contextual alignment with the research aim of identifying drivers of gender equity in the maritime logistics sector, while minimizing the inclusion of tangential or superficial literature.</w:t>
      </w:r>
    </w:p>
    <w:p w14:paraId="1B6C7302" w14:textId="63EC5A57" w:rsidR="00447CEB" w:rsidRPr="00AF078C" w:rsidRDefault="00B37114" w:rsidP="00447CEB">
      <w:pPr>
        <w:rPr>
          <w:rFonts w:ascii="Arial" w:hAnsi="Arial" w:cs="Arial"/>
          <w:b/>
          <w:bCs/>
          <w:sz w:val="20"/>
          <w:szCs w:val="20"/>
          <w:u w:val="single"/>
        </w:rPr>
      </w:pPr>
      <w:r w:rsidRPr="00AF078C">
        <w:rPr>
          <w:rFonts w:ascii="Arial" w:hAnsi="Arial" w:cs="Arial"/>
          <w:b/>
          <w:bCs/>
          <w:sz w:val="20"/>
          <w:szCs w:val="20"/>
          <w:u w:val="single"/>
        </w:rPr>
        <w:t>3.</w:t>
      </w:r>
      <w:r w:rsidR="00AA0820" w:rsidRPr="00AF078C">
        <w:rPr>
          <w:rFonts w:ascii="Arial" w:hAnsi="Arial" w:cs="Arial"/>
          <w:b/>
          <w:bCs/>
          <w:sz w:val="20"/>
          <w:szCs w:val="20"/>
          <w:u w:val="single"/>
        </w:rPr>
        <w:t>3.2</w:t>
      </w:r>
      <w:r w:rsidRPr="00AF078C">
        <w:rPr>
          <w:rFonts w:ascii="Arial" w:hAnsi="Arial" w:cs="Arial"/>
          <w:b/>
          <w:bCs/>
          <w:sz w:val="20"/>
          <w:szCs w:val="20"/>
          <w:u w:val="single"/>
        </w:rPr>
        <w:t xml:space="preserve"> </w:t>
      </w:r>
      <w:r w:rsidR="00447CEB" w:rsidRPr="00AF078C">
        <w:rPr>
          <w:rFonts w:ascii="Arial" w:hAnsi="Arial" w:cs="Arial"/>
          <w:b/>
          <w:bCs/>
          <w:sz w:val="20"/>
          <w:szCs w:val="20"/>
          <w:u w:val="single"/>
        </w:rPr>
        <w:t>Inclusion and Exclusion Criteria</w:t>
      </w:r>
    </w:p>
    <w:p w14:paraId="64DD5E03" w14:textId="14023629" w:rsidR="00447CEB" w:rsidRPr="00AF078C" w:rsidRDefault="00447CEB" w:rsidP="000E5606">
      <w:pPr>
        <w:jc w:val="both"/>
        <w:rPr>
          <w:rFonts w:ascii="Arial" w:eastAsiaTheme="majorEastAsia" w:hAnsi="Arial" w:cs="Arial"/>
          <w:i/>
          <w:color w:val="000000" w:themeColor="text1"/>
          <w:sz w:val="20"/>
          <w:szCs w:val="20"/>
        </w:rPr>
      </w:pPr>
      <w:r w:rsidRPr="00AF078C">
        <w:rPr>
          <w:rFonts w:ascii="Arial" w:hAnsi="Arial" w:cs="Arial"/>
          <w:sz w:val="20"/>
          <w:szCs w:val="20"/>
        </w:rPr>
        <w:t>To ensure transparency and rigor, clear inclusion and exclusion criteria were applied. Included studies were peer-reviewed journal articles explicitly engaging with Gendered Organization Theory in workplace gender dynamics, focusing on male-dominated sectors such as the industrial and logistics industries. Studies were required to provide theoretical or empirical insights into gender equity, gendered organizational practices, or women’s participation. Only English-language articles were considered. Excluded were non-peer-reviewed sources, working papers, and Articles unrelated to organizational gender equity or addressing only general societal gender issues without workplace relevance were also removed. These criteria ensured a dataset with robust, relevant contributions directly aligned with the research aim.</w:t>
      </w:r>
    </w:p>
    <w:p w14:paraId="4EF106C8" w14:textId="5AD28152" w:rsidR="004E3488" w:rsidRPr="00AF078C" w:rsidRDefault="00B37114" w:rsidP="000E5606">
      <w:pPr>
        <w:jc w:val="both"/>
        <w:rPr>
          <w:rFonts w:ascii="Arial" w:hAnsi="Arial" w:cs="Arial"/>
          <w:b/>
          <w:bCs/>
          <w:sz w:val="20"/>
          <w:szCs w:val="20"/>
          <w:u w:val="single"/>
        </w:rPr>
      </w:pPr>
      <w:r w:rsidRPr="00AF078C">
        <w:rPr>
          <w:rFonts w:ascii="Arial" w:hAnsi="Arial" w:cs="Arial"/>
          <w:b/>
          <w:bCs/>
          <w:sz w:val="20"/>
          <w:szCs w:val="20"/>
          <w:u w:val="single"/>
        </w:rPr>
        <w:t>3</w:t>
      </w:r>
      <w:r w:rsidR="00AA0820" w:rsidRPr="00AF078C">
        <w:rPr>
          <w:rFonts w:ascii="Arial" w:hAnsi="Arial" w:cs="Arial"/>
          <w:b/>
          <w:bCs/>
          <w:sz w:val="20"/>
          <w:szCs w:val="20"/>
          <w:u w:val="single"/>
        </w:rPr>
        <w:t>.3.3</w:t>
      </w:r>
      <w:r w:rsidRPr="00AF078C">
        <w:rPr>
          <w:rFonts w:ascii="Arial" w:hAnsi="Arial" w:cs="Arial"/>
          <w:b/>
          <w:bCs/>
          <w:sz w:val="20"/>
          <w:szCs w:val="20"/>
          <w:u w:val="single"/>
        </w:rPr>
        <w:t xml:space="preserve"> </w:t>
      </w:r>
      <w:r w:rsidR="003D28D8" w:rsidRPr="00AF078C">
        <w:rPr>
          <w:rFonts w:ascii="Arial" w:hAnsi="Arial" w:cs="Arial"/>
          <w:b/>
          <w:bCs/>
          <w:sz w:val="20"/>
          <w:szCs w:val="20"/>
          <w:u w:val="single"/>
        </w:rPr>
        <w:t>Data Extraction</w:t>
      </w:r>
    </w:p>
    <w:p w14:paraId="585B3CB3" w14:textId="41BD31F7" w:rsidR="00AF36A7" w:rsidRPr="00AF078C" w:rsidRDefault="00AF36A7" w:rsidP="00E57B1E">
      <w:pPr>
        <w:jc w:val="both"/>
        <w:rPr>
          <w:rFonts w:ascii="Arial" w:hAnsi="Arial" w:cs="Arial"/>
          <w:sz w:val="20"/>
          <w:szCs w:val="20"/>
        </w:rPr>
      </w:pPr>
      <w:bookmarkStart w:id="3" w:name="_Hlk208311654"/>
      <w:r w:rsidRPr="00AF078C">
        <w:rPr>
          <w:rFonts w:ascii="Arial" w:hAnsi="Arial" w:cs="Arial"/>
          <w:sz w:val="20"/>
          <w:szCs w:val="20"/>
        </w:rPr>
        <w:t>After the process of inclusion criteria, a standardized template was used to systematically remove data out of the sampled studies in order to achieve uniformity. In each study, the information about the title, authors, publication year, country/region, research design, methodology, and context of gender equity in industries dominated by males</w:t>
      </w:r>
      <w:r w:rsidR="005044C2" w:rsidRPr="00AF078C">
        <w:rPr>
          <w:rFonts w:ascii="Arial" w:hAnsi="Arial" w:cs="Arial"/>
          <w:sz w:val="20"/>
          <w:szCs w:val="20"/>
        </w:rPr>
        <w:t>,</w:t>
      </w:r>
      <w:r w:rsidRPr="00AF078C">
        <w:rPr>
          <w:rFonts w:ascii="Arial" w:hAnsi="Arial" w:cs="Arial"/>
          <w:sz w:val="20"/>
          <w:szCs w:val="20"/>
        </w:rPr>
        <w:t xml:space="preserve"> which include maritime and logistics</w:t>
      </w:r>
      <w:r w:rsidR="005044C2" w:rsidRPr="00AF078C">
        <w:rPr>
          <w:rFonts w:ascii="Arial" w:hAnsi="Arial" w:cs="Arial"/>
          <w:sz w:val="20"/>
          <w:szCs w:val="20"/>
        </w:rPr>
        <w:t>,</w:t>
      </w:r>
      <w:r w:rsidRPr="00AF078C">
        <w:rPr>
          <w:rFonts w:ascii="Arial" w:hAnsi="Arial" w:cs="Arial"/>
          <w:sz w:val="20"/>
          <w:szCs w:val="20"/>
        </w:rPr>
        <w:t xml:space="preserve"> was captured. Data about the application of the Gendered Organization Theory (GOT) or other gender-oriented organizational approaches were also recorded in order to keep the theoretical consistency at a high level. All the found drivers and barriers of gender equity</w:t>
      </w:r>
      <w:r w:rsidR="005044C2" w:rsidRPr="00AF078C">
        <w:rPr>
          <w:rFonts w:ascii="Arial" w:hAnsi="Arial" w:cs="Arial"/>
          <w:sz w:val="20"/>
          <w:szCs w:val="20"/>
        </w:rPr>
        <w:t>,</w:t>
      </w:r>
      <w:r w:rsidRPr="00AF078C">
        <w:rPr>
          <w:rFonts w:ascii="Arial" w:hAnsi="Arial" w:cs="Arial"/>
          <w:sz w:val="20"/>
          <w:szCs w:val="20"/>
        </w:rPr>
        <w:t xml:space="preserve"> such as the institutionalized norms, the ideal worker assumptions, the HR practices, mentoring, cultural aspects, and bias awareness</w:t>
      </w:r>
      <w:r w:rsidR="005044C2" w:rsidRPr="00AF078C">
        <w:rPr>
          <w:rFonts w:ascii="Arial" w:hAnsi="Arial" w:cs="Arial"/>
          <w:sz w:val="20"/>
          <w:szCs w:val="20"/>
        </w:rPr>
        <w:t>,</w:t>
      </w:r>
      <w:r w:rsidRPr="00AF078C">
        <w:rPr>
          <w:rFonts w:ascii="Arial" w:hAnsi="Arial" w:cs="Arial"/>
          <w:sz w:val="20"/>
          <w:szCs w:val="20"/>
        </w:rPr>
        <w:t xml:space="preserve"> were identified and classified. Such a systematic method helped to make sure that all the necessary data was gathered in a similar way throughout the dataset, allowing </w:t>
      </w:r>
      <w:r w:rsidR="00DE47C2" w:rsidRPr="00AF078C">
        <w:rPr>
          <w:rFonts w:ascii="Arial" w:hAnsi="Arial" w:cs="Arial"/>
          <w:sz w:val="20"/>
          <w:szCs w:val="20"/>
        </w:rPr>
        <w:t>for</w:t>
      </w:r>
      <w:r w:rsidRPr="00AF078C">
        <w:rPr>
          <w:rFonts w:ascii="Arial" w:hAnsi="Arial" w:cs="Arial"/>
          <w:sz w:val="20"/>
          <w:szCs w:val="20"/>
        </w:rPr>
        <w:t xml:space="preserve"> </w:t>
      </w:r>
      <w:r w:rsidR="005044C2" w:rsidRPr="00AF078C">
        <w:rPr>
          <w:rFonts w:ascii="Arial" w:hAnsi="Arial" w:cs="Arial"/>
          <w:sz w:val="20"/>
          <w:szCs w:val="20"/>
        </w:rPr>
        <w:t>comparison</w:t>
      </w:r>
      <w:r w:rsidRPr="00AF078C">
        <w:rPr>
          <w:rFonts w:ascii="Arial" w:hAnsi="Arial" w:cs="Arial"/>
          <w:sz w:val="20"/>
          <w:szCs w:val="20"/>
        </w:rPr>
        <w:t xml:space="preserve"> and </w:t>
      </w:r>
      <w:r w:rsidR="005044C2" w:rsidRPr="00AF078C">
        <w:rPr>
          <w:rFonts w:ascii="Arial" w:hAnsi="Arial" w:cs="Arial"/>
          <w:sz w:val="20"/>
          <w:szCs w:val="20"/>
        </w:rPr>
        <w:t>synthesis</w:t>
      </w:r>
      <w:r w:rsidRPr="00AF078C">
        <w:rPr>
          <w:rFonts w:ascii="Arial" w:hAnsi="Arial" w:cs="Arial"/>
          <w:sz w:val="20"/>
          <w:szCs w:val="20"/>
        </w:rPr>
        <w:t xml:space="preserve"> </w:t>
      </w:r>
      <w:r w:rsidR="00DE47C2" w:rsidRPr="00AF078C">
        <w:rPr>
          <w:rFonts w:ascii="Arial" w:hAnsi="Arial" w:cs="Arial"/>
          <w:sz w:val="20"/>
          <w:szCs w:val="20"/>
        </w:rPr>
        <w:t xml:space="preserve">of </w:t>
      </w:r>
      <w:r w:rsidRPr="00AF078C">
        <w:rPr>
          <w:rFonts w:ascii="Arial" w:hAnsi="Arial" w:cs="Arial"/>
          <w:sz w:val="20"/>
          <w:szCs w:val="20"/>
        </w:rPr>
        <w:t>the common themes.</w:t>
      </w:r>
    </w:p>
    <w:p w14:paraId="29D6EC27" w14:textId="27DCFC91" w:rsidR="005044C2" w:rsidRPr="00AF078C" w:rsidRDefault="00AA0820" w:rsidP="00AA0820">
      <w:pPr>
        <w:rPr>
          <w:rFonts w:ascii="Arial" w:hAnsi="Arial" w:cs="Arial"/>
          <w:b/>
          <w:bCs/>
          <w:sz w:val="22"/>
          <w:szCs w:val="22"/>
        </w:rPr>
      </w:pPr>
      <w:r w:rsidRPr="00AF078C">
        <w:rPr>
          <w:rFonts w:ascii="Arial" w:hAnsi="Arial" w:cs="Arial"/>
          <w:b/>
          <w:bCs/>
          <w:sz w:val="22"/>
          <w:szCs w:val="22"/>
        </w:rPr>
        <w:t xml:space="preserve">3.4 </w:t>
      </w:r>
      <w:r w:rsidR="003D28D8" w:rsidRPr="00AF078C">
        <w:rPr>
          <w:rFonts w:ascii="Arial" w:hAnsi="Arial" w:cs="Arial"/>
          <w:b/>
          <w:bCs/>
          <w:sz w:val="22"/>
          <w:szCs w:val="22"/>
        </w:rPr>
        <w:t xml:space="preserve">Data Synthesis </w:t>
      </w:r>
      <w:r w:rsidR="005044C2" w:rsidRPr="00AF078C">
        <w:rPr>
          <w:rFonts w:ascii="Arial" w:hAnsi="Arial" w:cs="Arial"/>
          <w:b/>
          <w:bCs/>
          <w:sz w:val="22"/>
          <w:szCs w:val="22"/>
        </w:rPr>
        <w:t>&amp; Writeup</w:t>
      </w:r>
    </w:p>
    <w:p w14:paraId="141F31D2" w14:textId="77777777" w:rsidR="00427F23" w:rsidRPr="00AF078C" w:rsidRDefault="00427F23" w:rsidP="000E5606">
      <w:pPr>
        <w:jc w:val="both"/>
        <w:rPr>
          <w:rFonts w:ascii="Arial" w:hAnsi="Arial" w:cs="Arial"/>
          <w:sz w:val="20"/>
          <w:szCs w:val="20"/>
        </w:rPr>
      </w:pPr>
      <w:r w:rsidRPr="00AF078C">
        <w:rPr>
          <w:rFonts w:ascii="Arial" w:hAnsi="Arial" w:cs="Arial"/>
          <w:sz w:val="20"/>
          <w:szCs w:val="20"/>
        </w:rPr>
        <w:t>As relationships among the extracted factors were explored, distinct sub-themes began to emerge, reflecting recurring patterns across the literature on gender equity in male-dominated sectors such as maritime and logistics. These sub-themes were then systematically grouped into broader overarching themes, each representing a critical dimension of organizational and structural interventions required to promote gender equity.</w:t>
      </w:r>
    </w:p>
    <w:p w14:paraId="0BC70641" w14:textId="77777777" w:rsidR="00427F23" w:rsidRPr="00AF078C" w:rsidRDefault="00427F23" w:rsidP="000E5606">
      <w:pPr>
        <w:jc w:val="both"/>
        <w:rPr>
          <w:rFonts w:ascii="Arial" w:hAnsi="Arial" w:cs="Arial"/>
          <w:sz w:val="20"/>
          <w:szCs w:val="20"/>
        </w:rPr>
      </w:pPr>
      <w:r w:rsidRPr="00AF078C">
        <w:rPr>
          <w:rFonts w:ascii="Arial" w:hAnsi="Arial" w:cs="Arial"/>
          <w:sz w:val="20"/>
          <w:szCs w:val="20"/>
        </w:rPr>
        <w:t>This iterative process consolidated the diverse findings into a coherent framework of drivers and interventions grounded in Gendered Organization Theory. Thematic synthesis enabled the translation of over 120 extracted factors into 25 sub-themes and 6 overarching themes, ensuring conceptual clarity while retaining the richness of the data.</w:t>
      </w:r>
    </w:p>
    <w:p w14:paraId="6D47B198" w14:textId="77777777" w:rsidR="00427F23" w:rsidRPr="00AF078C" w:rsidRDefault="00427F23" w:rsidP="000E5606">
      <w:pPr>
        <w:jc w:val="both"/>
        <w:rPr>
          <w:rFonts w:ascii="Arial" w:hAnsi="Arial" w:cs="Arial"/>
          <w:sz w:val="20"/>
          <w:szCs w:val="20"/>
        </w:rPr>
      </w:pPr>
      <w:r w:rsidRPr="00AF078C">
        <w:rPr>
          <w:rFonts w:ascii="Arial" w:hAnsi="Arial" w:cs="Arial"/>
          <w:sz w:val="20"/>
          <w:szCs w:val="20"/>
        </w:rPr>
        <w:lastRenderedPageBreak/>
        <w:t>The final framework is presented in Table 1, which organizes potential interventions into actionable categories. These categories provide a structured foundation for evaluating, prioritizing, and implementing strategies to advance gender equity in the maritime logistics sector.</w:t>
      </w:r>
    </w:p>
    <w:p w14:paraId="291CD2E2" w14:textId="65CF7EF0" w:rsidR="00447CEB" w:rsidRPr="00AF078C" w:rsidRDefault="00447CEB" w:rsidP="00447CEB">
      <w:pPr>
        <w:pStyle w:val="Caption"/>
        <w:keepNext/>
        <w:rPr>
          <w:rFonts w:ascii="Arial" w:hAnsi="Arial" w:cs="Arial"/>
          <w:b/>
          <w:bCs/>
          <w:i w:val="0"/>
          <w:iCs w:val="0"/>
          <w:color w:val="auto"/>
          <w:sz w:val="20"/>
          <w:szCs w:val="20"/>
        </w:rPr>
      </w:pPr>
      <w:r w:rsidRPr="00AF078C">
        <w:rPr>
          <w:rFonts w:ascii="Arial" w:hAnsi="Arial" w:cs="Arial"/>
          <w:b/>
          <w:bCs/>
          <w:i w:val="0"/>
          <w:iCs w:val="0"/>
          <w:color w:val="auto"/>
          <w:sz w:val="20"/>
          <w:szCs w:val="20"/>
        </w:rPr>
        <w:t xml:space="preserve">Table </w:t>
      </w:r>
      <w:r w:rsidRPr="00AF078C">
        <w:rPr>
          <w:rFonts w:ascii="Arial" w:hAnsi="Arial" w:cs="Arial"/>
          <w:b/>
          <w:bCs/>
          <w:i w:val="0"/>
          <w:iCs w:val="0"/>
          <w:color w:val="auto"/>
          <w:sz w:val="20"/>
          <w:szCs w:val="20"/>
        </w:rPr>
        <w:fldChar w:fldCharType="begin"/>
      </w:r>
      <w:r w:rsidRPr="00AF078C">
        <w:rPr>
          <w:rFonts w:ascii="Arial" w:hAnsi="Arial" w:cs="Arial"/>
          <w:b/>
          <w:bCs/>
          <w:i w:val="0"/>
          <w:iCs w:val="0"/>
          <w:color w:val="auto"/>
          <w:sz w:val="20"/>
          <w:szCs w:val="20"/>
        </w:rPr>
        <w:instrText xml:space="preserve"> SEQ Table \* ARABIC </w:instrText>
      </w:r>
      <w:r w:rsidRPr="00AF078C">
        <w:rPr>
          <w:rFonts w:ascii="Arial" w:hAnsi="Arial" w:cs="Arial"/>
          <w:b/>
          <w:bCs/>
          <w:i w:val="0"/>
          <w:iCs w:val="0"/>
          <w:color w:val="auto"/>
          <w:sz w:val="20"/>
          <w:szCs w:val="20"/>
        </w:rPr>
        <w:fldChar w:fldCharType="separate"/>
      </w:r>
      <w:r w:rsidRPr="00AF078C">
        <w:rPr>
          <w:rFonts w:ascii="Arial" w:hAnsi="Arial" w:cs="Arial"/>
          <w:b/>
          <w:bCs/>
          <w:i w:val="0"/>
          <w:iCs w:val="0"/>
          <w:noProof/>
          <w:color w:val="auto"/>
          <w:sz w:val="20"/>
          <w:szCs w:val="20"/>
        </w:rPr>
        <w:t>1</w:t>
      </w:r>
      <w:r w:rsidRPr="00AF078C">
        <w:rPr>
          <w:rFonts w:ascii="Arial" w:hAnsi="Arial" w:cs="Arial"/>
          <w:b/>
          <w:bCs/>
          <w:i w:val="0"/>
          <w:iCs w:val="0"/>
          <w:color w:val="auto"/>
          <w:sz w:val="20"/>
          <w:szCs w:val="20"/>
        </w:rPr>
        <w:fldChar w:fldCharType="end"/>
      </w:r>
      <w:r w:rsidRPr="00AF078C">
        <w:rPr>
          <w:rFonts w:ascii="Arial" w:hAnsi="Arial" w:cs="Arial"/>
          <w:b/>
          <w:bCs/>
          <w:i w:val="0"/>
          <w:iCs w:val="0"/>
          <w:color w:val="auto"/>
          <w:sz w:val="20"/>
          <w:szCs w:val="20"/>
        </w:rPr>
        <w:t>-Thematic Synthesis of Gendered Organization Theory Factors in Promoting Gender Equity</w:t>
      </w:r>
    </w:p>
    <w:tbl>
      <w:tblPr>
        <w:tblStyle w:val="TableGrid"/>
        <w:tblW w:w="9350" w:type="dxa"/>
        <w:tblLook w:val="04A0" w:firstRow="1" w:lastRow="0" w:firstColumn="1" w:lastColumn="0" w:noHBand="0" w:noVBand="1"/>
      </w:tblPr>
      <w:tblGrid>
        <w:gridCol w:w="1646"/>
        <w:gridCol w:w="2039"/>
        <w:gridCol w:w="2610"/>
        <w:gridCol w:w="3055"/>
      </w:tblGrid>
      <w:tr w:rsidR="00466CB1" w:rsidRPr="00AF078C" w14:paraId="7801AFAA" w14:textId="38B8BB85" w:rsidTr="00466CB1">
        <w:tc>
          <w:tcPr>
            <w:tcW w:w="1646" w:type="dxa"/>
          </w:tcPr>
          <w:p w14:paraId="68ADA399" w14:textId="77777777" w:rsidR="00466CB1" w:rsidRPr="00AF078C" w:rsidRDefault="00466CB1">
            <w:pPr>
              <w:jc w:val="both"/>
              <w:rPr>
                <w:rFonts w:ascii="Arial" w:hAnsi="Arial" w:cs="Arial"/>
                <w:b/>
                <w:bCs/>
                <w:sz w:val="20"/>
                <w:szCs w:val="20"/>
              </w:rPr>
            </w:pPr>
            <w:r w:rsidRPr="00AF078C">
              <w:rPr>
                <w:rFonts w:ascii="Arial" w:hAnsi="Arial" w:cs="Arial"/>
                <w:b/>
                <w:bCs/>
                <w:sz w:val="20"/>
                <w:szCs w:val="20"/>
              </w:rPr>
              <w:t>Main Themes</w:t>
            </w:r>
          </w:p>
        </w:tc>
        <w:tc>
          <w:tcPr>
            <w:tcW w:w="2039" w:type="dxa"/>
          </w:tcPr>
          <w:p w14:paraId="686A15B9" w14:textId="77777777" w:rsidR="00466CB1" w:rsidRPr="00AF078C" w:rsidRDefault="00466CB1">
            <w:pPr>
              <w:jc w:val="both"/>
              <w:rPr>
                <w:rFonts w:ascii="Arial" w:hAnsi="Arial" w:cs="Arial"/>
                <w:b/>
                <w:bCs/>
                <w:sz w:val="20"/>
                <w:szCs w:val="20"/>
              </w:rPr>
            </w:pPr>
            <w:r w:rsidRPr="00AF078C">
              <w:rPr>
                <w:rFonts w:ascii="Arial" w:hAnsi="Arial" w:cs="Arial"/>
                <w:b/>
                <w:bCs/>
                <w:sz w:val="20"/>
                <w:szCs w:val="20"/>
              </w:rPr>
              <w:t>Sub Themes</w:t>
            </w:r>
          </w:p>
        </w:tc>
        <w:tc>
          <w:tcPr>
            <w:tcW w:w="2610" w:type="dxa"/>
          </w:tcPr>
          <w:p w14:paraId="48D03EB0" w14:textId="77777777" w:rsidR="00466CB1" w:rsidRPr="00AF078C" w:rsidRDefault="00466CB1">
            <w:pPr>
              <w:jc w:val="both"/>
              <w:rPr>
                <w:rFonts w:ascii="Arial" w:hAnsi="Arial" w:cs="Arial"/>
                <w:b/>
                <w:bCs/>
                <w:sz w:val="20"/>
                <w:szCs w:val="20"/>
              </w:rPr>
            </w:pPr>
            <w:r w:rsidRPr="00AF078C">
              <w:rPr>
                <w:rFonts w:ascii="Arial" w:hAnsi="Arial" w:cs="Arial"/>
                <w:b/>
                <w:bCs/>
                <w:sz w:val="20"/>
                <w:szCs w:val="20"/>
              </w:rPr>
              <w:t>Extracted factors</w:t>
            </w:r>
          </w:p>
        </w:tc>
        <w:tc>
          <w:tcPr>
            <w:tcW w:w="3055" w:type="dxa"/>
          </w:tcPr>
          <w:p w14:paraId="21FEB61C" w14:textId="27530E03" w:rsidR="00466CB1" w:rsidRPr="00AF078C" w:rsidRDefault="00466CB1">
            <w:pPr>
              <w:jc w:val="both"/>
              <w:rPr>
                <w:rFonts w:ascii="Arial" w:hAnsi="Arial" w:cs="Arial"/>
                <w:b/>
                <w:bCs/>
                <w:sz w:val="20"/>
                <w:szCs w:val="20"/>
              </w:rPr>
            </w:pPr>
            <w:r w:rsidRPr="00AF078C">
              <w:rPr>
                <w:rFonts w:ascii="Arial" w:hAnsi="Arial" w:cs="Arial"/>
                <w:b/>
                <w:bCs/>
                <w:sz w:val="20"/>
                <w:szCs w:val="20"/>
              </w:rPr>
              <w:t>Source</w:t>
            </w:r>
          </w:p>
        </w:tc>
      </w:tr>
      <w:tr w:rsidR="00466CB1" w:rsidRPr="00AF078C" w14:paraId="2F7F5A97" w14:textId="439D0D04" w:rsidTr="00466CB1">
        <w:tc>
          <w:tcPr>
            <w:tcW w:w="1646" w:type="dxa"/>
            <w:vMerge w:val="restart"/>
          </w:tcPr>
          <w:p w14:paraId="73BD02C4" w14:textId="77777777" w:rsidR="00466CB1" w:rsidRPr="00AF078C" w:rsidRDefault="00466CB1">
            <w:pPr>
              <w:rPr>
                <w:rFonts w:ascii="Arial" w:hAnsi="Arial" w:cs="Arial"/>
                <w:sz w:val="20"/>
                <w:szCs w:val="20"/>
              </w:rPr>
            </w:pPr>
            <w:r w:rsidRPr="00AF078C">
              <w:rPr>
                <w:rFonts w:ascii="Arial" w:hAnsi="Arial" w:cs="Arial"/>
                <w:sz w:val="20"/>
                <w:szCs w:val="20"/>
              </w:rPr>
              <w:t xml:space="preserve">Institutionalized Norms </w:t>
            </w:r>
          </w:p>
        </w:tc>
        <w:tc>
          <w:tcPr>
            <w:tcW w:w="2039" w:type="dxa"/>
          </w:tcPr>
          <w:p w14:paraId="35201CB4" w14:textId="77777777" w:rsidR="00466CB1" w:rsidRPr="00AF078C" w:rsidRDefault="00466CB1">
            <w:pPr>
              <w:rPr>
                <w:rFonts w:ascii="Arial" w:hAnsi="Arial" w:cs="Arial"/>
                <w:sz w:val="20"/>
                <w:szCs w:val="20"/>
              </w:rPr>
            </w:pPr>
            <w:r w:rsidRPr="00AF078C">
              <w:rPr>
                <w:rFonts w:ascii="Arial" w:hAnsi="Arial" w:cs="Arial"/>
                <w:sz w:val="20"/>
                <w:szCs w:val="20"/>
              </w:rPr>
              <w:t>Gendered Organizational Structures</w:t>
            </w:r>
          </w:p>
        </w:tc>
        <w:tc>
          <w:tcPr>
            <w:tcW w:w="2610" w:type="dxa"/>
          </w:tcPr>
          <w:p w14:paraId="2BF9F6D7" w14:textId="77777777" w:rsidR="00466CB1" w:rsidRPr="00AF078C" w:rsidRDefault="00466CB1">
            <w:pPr>
              <w:rPr>
                <w:rFonts w:ascii="Arial" w:hAnsi="Arial" w:cs="Arial"/>
                <w:sz w:val="20"/>
                <w:szCs w:val="20"/>
              </w:rPr>
            </w:pPr>
            <w:r w:rsidRPr="00AF078C">
              <w:rPr>
                <w:rFonts w:ascii="Arial" w:hAnsi="Arial" w:cs="Arial"/>
                <w:sz w:val="20"/>
                <w:szCs w:val="20"/>
              </w:rPr>
              <w:t>sex segregation, Power imbalances, accountability, Patriarchal institutions</w:t>
            </w:r>
          </w:p>
        </w:tc>
        <w:tc>
          <w:tcPr>
            <w:tcW w:w="3055" w:type="dxa"/>
          </w:tcPr>
          <w:p w14:paraId="7B0918CF" w14:textId="32B00A75" w:rsidR="00466CB1" w:rsidRPr="00AF078C" w:rsidRDefault="00E8469A">
            <w:pPr>
              <w:rPr>
                <w:rFonts w:ascii="Arial" w:hAnsi="Arial" w:cs="Arial"/>
                <w:sz w:val="20"/>
                <w:szCs w:val="20"/>
              </w:rPr>
            </w:pPr>
            <w:r w:rsidRPr="00E8469A">
              <w:rPr>
                <w:rFonts w:ascii="Arial" w:hAnsi="Arial" w:cs="Arial"/>
                <w:sz w:val="20"/>
                <w:szCs w:val="20"/>
              </w:rPr>
              <w:t xml:space="preserve">Ahmad (2022), Hindman (2025), </w:t>
            </w:r>
            <w:proofErr w:type="spellStart"/>
            <w:r w:rsidRPr="00E8469A">
              <w:rPr>
                <w:rFonts w:ascii="Arial" w:hAnsi="Arial" w:cs="Arial"/>
                <w:sz w:val="20"/>
                <w:szCs w:val="20"/>
              </w:rPr>
              <w:t>Randev</w:t>
            </w:r>
            <w:proofErr w:type="spellEnd"/>
            <w:r w:rsidRPr="00E8469A">
              <w:rPr>
                <w:rFonts w:ascii="Arial" w:hAnsi="Arial" w:cs="Arial"/>
                <w:sz w:val="20"/>
                <w:szCs w:val="20"/>
              </w:rPr>
              <w:t xml:space="preserve"> (2024), Tran et al. (2024), White et al. (2021), </w:t>
            </w:r>
            <w:proofErr w:type="spellStart"/>
            <w:r w:rsidRPr="00E8469A">
              <w:rPr>
                <w:rFonts w:ascii="Arial" w:hAnsi="Arial" w:cs="Arial"/>
                <w:sz w:val="20"/>
                <w:szCs w:val="20"/>
              </w:rPr>
              <w:t>Šmídová</w:t>
            </w:r>
            <w:proofErr w:type="spellEnd"/>
            <w:r w:rsidRPr="00E8469A">
              <w:rPr>
                <w:rFonts w:ascii="Arial" w:hAnsi="Arial" w:cs="Arial"/>
                <w:sz w:val="20"/>
                <w:szCs w:val="20"/>
              </w:rPr>
              <w:t xml:space="preserve"> (2016)</w:t>
            </w:r>
          </w:p>
        </w:tc>
      </w:tr>
      <w:tr w:rsidR="00466CB1" w:rsidRPr="00AF078C" w14:paraId="73994D1A" w14:textId="2709AC8B" w:rsidTr="00466CB1">
        <w:tc>
          <w:tcPr>
            <w:tcW w:w="1646" w:type="dxa"/>
            <w:vMerge/>
          </w:tcPr>
          <w:p w14:paraId="43C32D72" w14:textId="77777777" w:rsidR="00466CB1" w:rsidRPr="00AF078C" w:rsidRDefault="00466CB1">
            <w:pPr>
              <w:rPr>
                <w:rFonts w:ascii="Arial" w:hAnsi="Arial" w:cs="Arial"/>
                <w:sz w:val="20"/>
                <w:szCs w:val="20"/>
              </w:rPr>
            </w:pPr>
          </w:p>
        </w:tc>
        <w:tc>
          <w:tcPr>
            <w:tcW w:w="2039" w:type="dxa"/>
          </w:tcPr>
          <w:p w14:paraId="31B3390B" w14:textId="77777777" w:rsidR="00466CB1" w:rsidRPr="00AF078C" w:rsidRDefault="00466CB1">
            <w:pPr>
              <w:rPr>
                <w:rFonts w:ascii="Arial" w:hAnsi="Arial" w:cs="Arial"/>
                <w:sz w:val="20"/>
                <w:szCs w:val="20"/>
              </w:rPr>
            </w:pPr>
            <w:r w:rsidRPr="00AF078C">
              <w:rPr>
                <w:rFonts w:ascii="Arial" w:hAnsi="Arial" w:cs="Arial"/>
                <w:sz w:val="20"/>
                <w:szCs w:val="20"/>
              </w:rPr>
              <w:t>Mechanisms of Inequality</w:t>
            </w:r>
          </w:p>
        </w:tc>
        <w:tc>
          <w:tcPr>
            <w:tcW w:w="2610" w:type="dxa"/>
          </w:tcPr>
          <w:p w14:paraId="43A0318A" w14:textId="35D1D4FB" w:rsidR="00466CB1" w:rsidRPr="00AF078C" w:rsidRDefault="00466CB1">
            <w:pPr>
              <w:rPr>
                <w:rFonts w:ascii="Arial" w:hAnsi="Arial" w:cs="Arial"/>
                <w:sz w:val="20"/>
                <w:szCs w:val="20"/>
              </w:rPr>
            </w:pPr>
            <w:r w:rsidRPr="00AF078C">
              <w:rPr>
                <w:rFonts w:ascii="Arial" w:hAnsi="Arial" w:cs="Arial"/>
                <w:sz w:val="20"/>
                <w:szCs w:val="20"/>
              </w:rPr>
              <w:t>Informal exclusion networks, performance expectations, Structural framing of inequality</w:t>
            </w:r>
          </w:p>
        </w:tc>
        <w:tc>
          <w:tcPr>
            <w:tcW w:w="3055" w:type="dxa"/>
          </w:tcPr>
          <w:p w14:paraId="392D2757" w14:textId="6BBC69CE" w:rsidR="00466CB1" w:rsidRPr="00AF078C" w:rsidRDefault="00E8469A">
            <w:pPr>
              <w:rPr>
                <w:rFonts w:ascii="Arial" w:hAnsi="Arial" w:cs="Arial"/>
                <w:sz w:val="20"/>
                <w:szCs w:val="20"/>
              </w:rPr>
            </w:pPr>
            <w:r w:rsidRPr="00E8469A">
              <w:rPr>
                <w:rFonts w:ascii="Arial" w:hAnsi="Arial" w:cs="Arial"/>
                <w:sz w:val="20"/>
                <w:szCs w:val="20"/>
              </w:rPr>
              <w:t xml:space="preserve">Balmer et al. (2020), </w:t>
            </w:r>
            <w:proofErr w:type="spellStart"/>
            <w:r w:rsidRPr="00E8469A">
              <w:rPr>
                <w:rFonts w:ascii="Arial" w:hAnsi="Arial" w:cs="Arial"/>
                <w:sz w:val="20"/>
                <w:szCs w:val="20"/>
              </w:rPr>
              <w:t>Góral</w:t>
            </w:r>
            <w:proofErr w:type="spellEnd"/>
            <w:r w:rsidRPr="00E8469A">
              <w:rPr>
                <w:rFonts w:ascii="Arial" w:hAnsi="Arial" w:cs="Arial"/>
                <w:sz w:val="20"/>
                <w:szCs w:val="20"/>
              </w:rPr>
              <w:t xml:space="preserve"> (2023), Tran et al. (2024), </w:t>
            </w:r>
            <w:proofErr w:type="spellStart"/>
            <w:r w:rsidRPr="00E8469A">
              <w:rPr>
                <w:rFonts w:ascii="Arial" w:hAnsi="Arial" w:cs="Arial"/>
                <w:sz w:val="20"/>
                <w:szCs w:val="20"/>
              </w:rPr>
              <w:t>Xiu</w:t>
            </w:r>
            <w:proofErr w:type="spellEnd"/>
            <w:r w:rsidRPr="00E8469A">
              <w:rPr>
                <w:rFonts w:ascii="Arial" w:hAnsi="Arial" w:cs="Arial"/>
                <w:sz w:val="20"/>
                <w:szCs w:val="20"/>
              </w:rPr>
              <w:t xml:space="preserve"> et al. (2024)</w:t>
            </w:r>
          </w:p>
        </w:tc>
      </w:tr>
      <w:tr w:rsidR="00466CB1" w:rsidRPr="00AF078C" w14:paraId="5BA0F121" w14:textId="144AFC17" w:rsidTr="00466CB1">
        <w:tc>
          <w:tcPr>
            <w:tcW w:w="1646" w:type="dxa"/>
            <w:vMerge/>
          </w:tcPr>
          <w:p w14:paraId="5B2FD3B5" w14:textId="77777777" w:rsidR="00466CB1" w:rsidRPr="00AF078C" w:rsidRDefault="00466CB1">
            <w:pPr>
              <w:rPr>
                <w:rFonts w:ascii="Arial" w:hAnsi="Arial" w:cs="Arial"/>
                <w:sz w:val="20"/>
                <w:szCs w:val="20"/>
              </w:rPr>
            </w:pPr>
          </w:p>
        </w:tc>
        <w:tc>
          <w:tcPr>
            <w:tcW w:w="2039" w:type="dxa"/>
          </w:tcPr>
          <w:p w14:paraId="54D9AAEF" w14:textId="77777777" w:rsidR="00466CB1" w:rsidRPr="00AF078C" w:rsidRDefault="00466CB1">
            <w:pPr>
              <w:rPr>
                <w:rFonts w:ascii="Arial" w:hAnsi="Arial" w:cs="Arial"/>
                <w:sz w:val="20"/>
                <w:szCs w:val="20"/>
              </w:rPr>
            </w:pPr>
            <w:r w:rsidRPr="00AF078C">
              <w:rPr>
                <w:rFonts w:ascii="Arial" w:hAnsi="Arial" w:cs="Arial"/>
                <w:sz w:val="20"/>
                <w:szCs w:val="20"/>
              </w:rPr>
              <w:t>Career Advancement Gaps</w:t>
            </w:r>
          </w:p>
        </w:tc>
        <w:tc>
          <w:tcPr>
            <w:tcW w:w="2610" w:type="dxa"/>
          </w:tcPr>
          <w:p w14:paraId="3D7F670B" w14:textId="7178534E" w:rsidR="00466CB1" w:rsidRPr="00AF078C" w:rsidRDefault="00466CB1">
            <w:pPr>
              <w:rPr>
                <w:rFonts w:ascii="Arial" w:hAnsi="Arial" w:cs="Arial"/>
                <w:sz w:val="20"/>
                <w:szCs w:val="20"/>
              </w:rPr>
            </w:pPr>
            <w:r w:rsidRPr="00AF078C">
              <w:rPr>
                <w:rFonts w:ascii="Arial" w:hAnsi="Arial" w:cs="Arial"/>
                <w:sz w:val="20"/>
                <w:szCs w:val="20"/>
              </w:rPr>
              <w:t>pay inequities, Glass ceilings, transparency, reward systems</w:t>
            </w:r>
          </w:p>
        </w:tc>
        <w:tc>
          <w:tcPr>
            <w:tcW w:w="3055" w:type="dxa"/>
          </w:tcPr>
          <w:p w14:paraId="1BB5BCC6" w14:textId="195979C8" w:rsidR="00466CB1" w:rsidRPr="00AF078C" w:rsidRDefault="00E8469A">
            <w:pPr>
              <w:rPr>
                <w:rFonts w:ascii="Arial" w:hAnsi="Arial" w:cs="Arial"/>
                <w:sz w:val="20"/>
                <w:szCs w:val="20"/>
              </w:rPr>
            </w:pPr>
            <w:r w:rsidRPr="00E8469A">
              <w:rPr>
                <w:rFonts w:ascii="Arial" w:hAnsi="Arial" w:cs="Arial"/>
                <w:sz w:val="20"/>
                <w:szCs w:val="20"/>
              </w:rPr>
              <w:t xml:space="preserve">Hindman (2025), Islam et al. (2025), Tran et al. (2024), </w:t>
            </w:r>
            <w:proofErr w:type="spellStart"/>
            <w:r w:rsidRPr="00E8469A">
              <w:rPr>
                <w:rFonts w:ascii="Arial" w:hAnsi="Arial" w:cs="Arial"/>
                <w:sz w:val="20"/>
                <w:szCs w:val="20"/>
              </w:rPr>
              <w:t>Allemand</w:t>
            </w:r>
            <w:proofErr w:type="spellEnd"/>
            <w:r w:rsidRPr="00E8469A">
              <w:rPr>
                <w:rFonts w:ascii="Arial" w:hAnsi="Arial" w:cs="Arial"/>
                <w:sz w:val="20"/>
                <w:szCs w:val="20"/>
              </w:rPr>
              <w:t xml:space="preserve"> et al. (2025)</w:t>
            </w:r>
          </w:p>
        </w:tc>
      </w:tr>
      <w:tr w:rsidR="00466CB1" w:rsidRPr="00AF078C" w14:paraId="2FB6CC68" w14:textId="2617B72C" w:rsidTr="00466CB1">
        <w:tc>
          <w:tcPr>
            <w:tcW w:w="1646" w:type="dxa"/>
            <w:vMerge w:val="restart"/>
          </w:tcPr>
          <w:p w14:paraId="484F5A8D" w14:textId="77777777" w:rsidR="00466CB1" w:rsidRPr="00AF078C" w:rsidRDefault="00466CB1">
            <w:pPr>
              <w:rPr>
                <w:rFonts w:ascii="Arial" w:hAnsi="Arial" w:cs="Arial"/>
                <w:sz w:val="20"/>
                <w:szCs w:val="20"/>
              </w:rPr>
            </w:pPr>
            <w:r w:rsidRPr="00AF078C">
              <w:rPr>
                <w:rFonts w:ascii="Arial" w:hAnsi="Arial" w:cs="Arial"/>
                <w:sz w:val="20"/>
                <w:szCs w:val="20"/>
              </w:rPr>
              <w:t>Challenging the Ideal Worker Norm</w:t>
            </w:r>
          </w:p>
        </w:tc>
        <w:tc>
          <w:tcPr>
            <w:tcW w:w="2039" w:type="dxa"/>
          </w:tcPr>
          <w:p w14:paraId="2751ABB7" w14:textId="77777777" w:rsidR="00466CB1" w:rsidRPr="00AF078C" w:rsidRDefault="00466CB1">
            <w:pPr>
              <w:rPr>
                <w:rFonts w:ascii="Arial" w:hAnsi="Arial" w:cs="Arial"/>
                <w:sz w:val="20"/>
                <w:szCs w:val="20"/>
              </w:rPr>
            </w:pPr>
            <w:r w:rsidRPr="00AF078C">
              <w:rPr>
                <w:rFonts w:ascii="Arial" w:hAnsi="Arial" w:cs="Arial"/>
                <w:sz w:val="20"/>
                <w:szCs w:val="20"/>
              </w:rPr>
              <w:t>Flexibility &amp; Work-Life Integration</w:t>
            </w:r>
          </w:p>
        </w:tc>
        <w:tc>
          <w:tcPr>
            <w:tcW w:w="2610" w:type="dxa"/>
          </w:tcPr>
          <w:p w14:paraId="033552D1" w14:textId="56D2D669" w:rsidR="00466CB1" w:rsidRPr="00AF078C" w:rsidRDefault="00466CB1">
            <w:pPr>
              <w:rPr>
                <w:rFonts w:ascii="Arial" w:hAnsi="Arial" w:cs="Arial"/>
                <w:sz w:val="20"/>
                <w:szCs w:val="20"/>
              </w:rPr>
            </w:pPr>
            <w:r w:rsidRPr="00AF078C">
              <w:rPr>
                <w:rFonts w:ascii="Arial" w:hAnsi="Arial" w:cs="Arial"/>
                <w:sz w:val="20"/>
                <w:szCs w:val="20"/>
              </w:rPr>
              <w:t>Work intensity/strain, family support systems, Balancing work &amp; care</w:t>
            </w:r>
          </w:p>
        </w:tc>
        <w:tc>
          <w:tcPr>
            <w:tcW w:w="3055" w:type="dxa"/>
          </w:tcPr>
          <w:p w14:paraId="76DAD225" w14:textId="4E26C9AF" w:rsidR="00114755" w:rsidRPr="00AF078C" w:rsidRDefault="00E8469A">
            <w:pPr>
              <w:rPr>
                <w:rFonts w:ascii="Arial" w:hAnsi="Arial" w:cs="Arial"/>
                <w:sz w:val="20"/>
                <w:szCs w:val="20"/>
              </w:rPr>
            </w:pPr>
            <w:proofErr w:type="spellStart"/>
            <w:r w:rsidRPr="00E8469A">
              <w:rPr>
                <w:rFonts w:ascii="Arial" w:hAnsi="Arial" w:cs="Arial"/>
                <w:sz w:val="20"/>
                <w:szCs w:val="20"/>
              </w:rPr>
              <w:t>Coupaud</w:t>
            </w:r>
            <w:proofErr w:type="spellEnd"/>
            <w:r w:rsidRPr="00E8469A">
              <w:rPr>
                <w:rFonts w:ascii="Arial" w:hAnsi="Arial" w:cs="Arial"/>
                <w:sz w:val="20"/>
                <w:szCs w:val="20"/>
              </w:rPr>
              <w:t xml:space="preserve"> (2025), Islam et al. (2025), </w:t>
            </w:r>
            <w:proofErr w:type="spellStart"/>
            <w:r w:rsidRPr="00E8469A">
              <w:rPr>
                <w:rFonts w:ascii="Arial" w:hAnsi="Arial" w:cs="Arial"/>
                <w:sz w:val="20"/>
                <w:szCs w:val="20"/>
              </w:rPr>
              <w:t>Šmídová</w:t>
            </w:r>
            <w:proofErr w:type="spellEnd"/>
            <w:r w:rsidRPr="00E8469A">
              <w:rPr>
                <w:rFonts w:ascii="Arial" w:hAnsi="Arial" w:cs="Arial"/>
                <w:sz w:val="20"/>
                <w:szCs w:val="20"/>
              </w:rPr>
              <w:t xml:space="preserve"> (2016), </w:t>
            </w:r>
            <w:proofErr w:type="spellStart"/>
            <w:r w:rsidRPr="00E8469A">
              <w:rPr>
                <w:rFonts w:ascii="Arial" w:hAnsi="Arial" w:cs="Arial"/>
                <w:sz w:val="20"/>
                <w:szCs w:val="20"/>
              </w:rPr>
              <w:t>Góral</w:t>
            </w:r>
            <w:proofErr w:type="spellEnd"/>
            <w:r w:rsidRPr="00E8469A">
              <w:rPr>
                <w:rFonts w:ascii="Arial" w:hAnsi="Arial" w:cs="Arial"/>
                <w:sz w:val="20"/>
                <w:szCs w:val="20"/>
              </w:rPr>
              <w:t xml:space="preserve"> (2023)</w:t>
            </w:r>
          </w:p>
        </w:tc>
      </w:tr>
      <w:tr w:rsidR="00466CB1" w:rsidRPr="00AF078C" w14:paraId="1FB56877" w14:textId="43BCDA5D" w:rsidTr="00466CB1">
        <w:tc>
          <w:tcPr>
            <w:tcW w:w="1646" w:type="dxa"/>
            <w:vMerge/>
          </w:tcPr>
          <w:p w14:paraId="12CC7945" w14:textId="77777777" w:rsidR="00466CB1" w:rsidRPr="00AF078C" w:rsidRDefault="00466CB1">
            <w:pPr>
              <w:rPr>
                <w:rFonts w:ascii="Arial" w:hAnsi="Arial" w:cs="Arial"/>
                <w:sz w:val="20"/>
                <w:szCs w:val="20"/>
              </w:rPr>
            </w:pPr>
          </w:p>
        </w:tc>
        <w:tc>
          <w:tcPr>
            <w:tcW w:w="2039" w:type="dxa"/>
          </w:tcPr>
          <w:p w14:paraId="4954FB1F" w14:textId="77777777" w:rsidR="00466CB1" w:rsidRPr="00AF078C" w:rsidRDefault="00466CB1">
            <w:pPr>
              <w:rPr>
                <w:rFonts w:ascii="Arial" w:hAnsi="Arial" w:cs="Arial"/>
                <w:sz w:val="20"/>
                <w:szCs w:val="20"/>
              </w:rPr>
            </w:pPr>
            <w:r w:rsidRPr="00AF078C">
              <w:rPr>
                <w:rFonts w:ascii="Arial" w:hAnsi="Arial" w:cs="Arial"/>
                <w:sz w:val="20"/>
                <w:szCs w:val="20"/>
              </w:rPr>
              <w:t>Family-Friendly Policies</w:t>
            </w:r>
          </w:p>
        </w:tc>
        <w:tc>
          <w:tcPr>
            <w:tcW w:w="2610" w:type="dxa"/>
          </w:tcPr>
          <w:p w14:paraId="4C48CEAE" w14:textId="77777777" w:rsidR="00466CB1" w:rsidRPr="00AF078C" w:rsidRDefault="00466CB1">
            <w:pPr>
              <w:rPr>
                <w:rFonts w:ascii="Arial" w:hAnsi="Arial" w:cs="Arial"/>
                <w:sz w:val="20"/>
                <w:szCs w:val="20"/>
              </w:rPr>
            </w:pPr>
            <w:r w:rsidRPr="00AF078C">
              <w:rPr>
                <w:rFonts w:ascii="Arial" w:hAnsi="Arial" w:cs="Arial"/>
                <w:sz w:val="20"/>
                <w:szCs w:val="20"/>
              </w:rPr>
              <w:t>Maternity/paternity leave, Childcare support, Equal use of family benefits,</w:t>
            </w:r>
          </w:p>
          <w:p w14:paraId="5C32B0CC" w14:textId="7EC0FA21" w:rsidR="00466CB1" w:rsidRPr="00AF078C" w:rsidRDefault="00466CB1">
            <w:pPr>
              <w:rPr>
                <w:rFonts w:ascii="Arial" w:hAnsi="Arial" w:cs="Arial"/>
                <w:sz w:val="20"/>
                <w:szCs w:val="20"/>
              </w:rPr>
            </w:pPr>
            <w:r w:rsidRPr="00AF078C">
              <w:rPr>
                <w:rFonts w:ascii="Arial" w:hAnsi="Arial" w:cs="Arial"/>
                <w:sz w:val="20"/>
                <w:szCs w:val="20"/>
              </w:rPr>
              <w:t>Acknowledgment of motherhood at work</w:t>
            </w:r>
          </w:p>
        </w:tc>
        <w:tc>
          <w:tcPr>
            <w:tcW w:w="3055" w:type="dxa"/>
          </w:tcPr>
          <w:p w14:paraId="3F12049E" w14:textId="49AF6DC6" w:rsidR="00466CB1" w:rsidRPr="002A2DC1" w:rsidRDefault="00E8469A">
            <w:pPr>
              <w:rPr>
                <w:rFonts w:ascii="Arial" w:hAnsi="Arial" w:cs="Arial"/>
                <w:sz w:val="20"/>
                <w:szCs w:val="20"/>
              </w:rPr>
            </w:pPr>
            <w:proofErr w:type="spellStart"/>
            <w:r w:rsidRPr="00E8469A">
              <w:rPr>
                <w:rFonts w:ascii="Arial" w:hAnsi="Arial" w:cs="Arial"/>
                <w:sz w:val="20"/>
                <w:szCs w:val="20"/>
              </w:rPr>
              <w:t>Siegele</w:t>
            </w:r>
            <w:proofErr w:type="spellEnd"/>
            <w:r w:rsidRPr="00E8469A">
              <w:rPr>
                <w:rFonts w:ascii="Arial" w:hAnsi="Arial" w:cs="Arial"/>
                <w:sz w:val="20"/>
                <w:szCs w:val="20"/>
              </w:rPr>
              <w:t xml:space="preserve"> et al. (2024), Ahmad (2022), </w:t>
            </w:r>
            <w:proofErr w:type="spellStart"/>
            <w:r w:rsidRPr="00E8469A">
              <w:rPr>
                <w:rFonts w:ascii="Arial" w:hAnsi="Arial" w:cs="Arial"/>
                <w:sz w:val="20"/>
                <w:szCs w:val="20"/>
              </w:rPr>
              <w:t>Coupaud</w:t>
            </w:r>
            <w:proofErr w:type="spellEnd"/>
            <w:r w:rsidRPr="00E8469A">
              <w:rPr>
                <w:rFonts w:ascii="Arial" w:hAnsi="Arial" w:cs="Arial"/>
                <w:sz w:val="20"/>
                <w:szCs w:val="20"/>
              </w:rPr>
              <w:t xml:space="preserve"> (2025)</w:t>
            </w:r>
          </w:p>
        </w:tc>
      </w:tr>
      <w:tr w:rsidR="00466CB1" w:rsidRPr="00AF078C" w14:paraId="0E2FA3B6" w14:textId="3147EB47" w:rsidTr="00466CB1">
        <w:tc>
          <w:tcPr>
            <w:tcW w:w="1646" w:type="dxa"/>
            <w:vMerge/>
          </w:tcPr>
          <w:p w14:paraId="0D75555B" w14:textId="77777777" w:rsidR="00466CB1" w:rsidRPr="00AF078C" w:rsidRDefault="00466CB1">
            <w:pPr>
              <w:rPr>
                <w:rFonts w:ascii="Arial" w:hAnsi="Arial" w:cs="Arial"/>
                <w:sz w:val="20"/>
                <w:szCs w:val="20"/>
              </w:rPr>
            </w:pPr>
          </w:p>
        </w:tc>
        <w:tc>
          <w:tcPr>
            <w:tcW w:w="2039" w:type="dxa"/>
          </w:tcPr>
          <w:p w14:paraId="69583968" w14:textId="77777777" w:rsidR="00466CB1" w:rsidRPr="00AF078C" w:rsidRDefault="00466CB1">
            <w:pPr>
              <w:rPr>
                <w:rFonts w:ascii="Arial" w:hAnsi="Arial" w:cs="Arial"/>
                <w:sz w:val="20"/>
                <w:szCs w:val="20"/>
              </w:rPr>
            </w:pPr>
            <w:r w:rsidRPr="00AF078C">
              <w:rPr>
                <w:rFonts w:ascii="Arial" w:hAnsi="Arial" w:cs="Arial"/>
                <w:sz w:val="20"/>
                <w:szCs w:val="20"/>
              </w:rPr>
              <w:t>Redefining Flexibility</w:t>
            </w:r>
          </w:p>
        </w:tc>
        <w:tc>
          <w:tcPr>
            <w:tcW w:w="2610" w:type="dxa"/>
          </w:tcPr>
          <w:p w14:paraId="789F3135" w14:textId="77777777" w:rsidR="00466CB1" w:rsidRPr="00AF078C" w:rsidRDefault="00466CB1">
            <w:pPr>
              <w:rPr>
                <w:rFonts w:ascii="Arial" w:hAnsi="Arial" w:cs="Arial"/>
                <w:sz w:val="20"/>
                <w:szCs w:val="20"/>
              </w:rPr>
            </w:pPr>
            <w:r w:rsidRPr="00AF078C">
              <w:rPr>
                <w:rFonts w:ascii="Arial" w:hAnsi="Arial" w:cs="Arial"/>
                <w:sz w:val="20"/>
                <w:szCs w:val="20"/>
              </w:rPr>
              <w:t>Adaptive scheduling, Remote/hybrid options, Operational flexibility</w:t>
            </w:r>
          </w:p>
        </w:tc>
        <w:tc>
          <w:tcPr>
            <w:tcW w:w="3055" w:type="dxa"/>
          </w:tcPr>
          <w:p w14:paraId="2F19E061" w14:textId="5B0F42A5" w:rsidR="00466CB1" w:rsidRPr="00AF078C" w:rsidRDefault="00E8469A">
            <w:pPr>
              <w:rPr>
                <w:rFonts w:ascii="Arial" w:hAnsi="Arial" w:cs="Arial"/>
                <w:sz w:val="20"/>
                <w:szCs w:val="20"/>
              </w:rPr>
            </w:pPr>
            <w:proofErr w:type="spellStart"/>
            <w:r w:rsidRPr="00E8469A">
              <w:rPr>
                <w:rFonts w:ascii="Arial" w:hAnsi="Arial" w:cs="Arial"/>
                <w:sz w:val="20"/>
                <w:szCs w:val="20"/>
              </w:rPr>
              <w:t>Góral</w:t>
            </w:r>
            <w:proofErr w:type="spellEnd"/>
            <w:r w:rsidRPr="00E8469A">
              <w:rPr>
                <w:rFonts w:ascii="Arial" w:hAnsi="Arial" w:cs="Arial"/>
                <w:sz w:val="20"/>
                <w:szCs w:val="20"/>
              </w:rPr>
              <w:t xml:space="preserve"> (2023), </w:t>
            </w:r>
            <w:proofErr w:type="spellStart"/>
            <w:r w:rsidRPr="00E8469A">
              <w:rPr>
                <w:rFonts w:ascii="Arial" w:hAnsi="Arial" w:cs="Arial"/>
                <w:sz w:val="20"/>
                <w:szCs w:val="20"/>
              </w:rPr>
              <w:t>Idelji</w:t>
            </w:r>
            <w:proofErr w:type="spellEnd"/>
            <w:r w:rsidRPr="00E8469A">
              <w:rPr>
                <w:rFonts w:ascii="Arial" w:hAnsi="Arial" w:cs="Arial"/>
                <w:sz w:val="20"/>
                <w:szCs w:val="20"/>
              </w:rPr>
              <w:t xml:space="preserve">-Tehrani &amp; Al-Jawad (2019), </w:t>
            </w:r>
            <w:proofErr w:type="spellStart"/>
            <w:r w:rsidRPr="00E8469A">
              <w:rPr>
                <w:rFonts w:ascii="Arial" w:hAnsi="Arial" w:cs="Arial"/>
                <w:sz w:val="20"/>
                <w:szCs w:val="20"/>
              </w:rPr>
              <w:t>Shivhare</w:t>
            </w:r>
            <w:proofErr w:type="spellEnd"/>
            <w:r w:rsidRPr="00E8469A">
              <w:rPr>
                <w:rFonts w:ascii="Arial" w:hAnsi="Arial" w:cs="Arial"/>
                <w:sz w:val="20"/>
                <w:szCs w:val="20"/>
              </w:rPr>
              <w:t xml:space="preserve"> &amp; L (2025), Balmer et al. (2020)</w:t>
            </w:r>
          </w:p>
        </w:tc>
      </w:tr>
      <w:tr w:rsidR="00466CB1" w:rsidRPr="00AF078C" w14:paraId="345C28E4" w14:textId="0EC1BE0F" w:rsidTr="00466CB1">
        <w:tc>
          <w:tcPr>
            <w:tcW w:w="1646" w:type="dxa"/>
            <w:vMerge w:val="restart"/>
          </w:tcPr>
          <w:p w14:paraId="54A82E7E" w14:textId="77777777" w:rsidR="00466CB1" w:rsidRPr="00AF078C" w:rsidRDefault="00466CB1">
            <w:pPr>
              <w:rPr>
                <w:rFonts w:ascii="Arial" w:hAnsi="Arial" w:cs="Arial"/>
                <w:sz w:val="20"/>
                <w:szCs w:val="20"/>
              </w:rPr>
            </w:pPr>
            <w:r w:rsidRPr="00AF078C">
              <w:rPr>
                <w:rFonts w:ascii="Arial" w:hAnsi="Arial" w:cs="Arial"/>
                <w:sz w:val="20"/>
                <w:szCs w:val="20"/>
              </w:rPr>
              <w:t xml:space="preserve">Gender-Sensitive HR </w:t>
            </w:r>
          </w:p>
        </w:tc>
        <w:tc>
          <w:tcPr>
            <w:tcW w:w="2039" w:type="dxa"/>
          </w:tcPr>
          <w:p w14:paraId="530C8C83" w14:textId="77777777" w:rsidR="00466CB1" w:rsidRPr="00AF078C" w:rsidRDefault="00466CB1">
            <w:pPr>
              <w:rPr>
                <w:rFonts w:ascii="Arial" w:hAnsi="Arial" w:cs="Arial"/>
                <w:sz w:val="20"/>
                <w:szCs w:val="20"/>
              </w:rPr>
            </w:pPr>
            <w:r w:rsidRPr="00AF078C">
              <w:rPr>
                <w:rFonts w:ascii="Arial" w:hAnsi="Arial" w:cs="Arial"/>
                <w:sz w:val="20"/>
                <w:szCs w:val="20"/>
              </w:rPr>
              <w:t>Transparent Promotion &amp; Advancement</w:t>
            </w:r>
          </w:p>
        </w:tc>
        <w:tc>
          <w:tcPr>
            <w:tcW w:w="2610" w:type="dxa"/>
          </w:tcPr>
          <w:p w14:paraId="23775748" w14:textId="77777777" w:rsidR="00466CB1" w:rsidRPr="00AF078C" w:rsidRDefault="00466CB1">
            <w:pPr>
              <w:rPr>
                <w:rFonts w:ascii="Arial" w:hAnsi="Arial" w:cs="Arial"/>
                <w:sz w:val="20"/>
                <w:szCs w:val="20"/>
              </w:rPr>
            </w:pPr>
            <w:r w:rsidRPr="00AF078C">
              <w:rPr>
                <w:rFonts w:ascii="Arial" w:hAnsi="Arial" w:cs="Arial"/>
                <w:sz w:val="20"/>
                <w:szCs w:val="20"/>
              </w:rPr>
              <w:t xml:space="preserve">Promotion transparency, Equitable participation, </w:t>
            </w:r>
            <w:proofErr w:type="gramStart"/>
            <w:r w:rsidRPr="00AF078C">
              <w:rPr>
                <w:rFonts w:ascii="Arial" w:hAnsi="Arial" w:cs="Arial"/>
                <w:sz w:val="20"/>
                <w:szCs w:val="20"/>
              </w:rPr>
              <w:t>Redesigning</w:t>
            </w:r>
            <w:proofErr w:type="gramEnd"/>
            <w:r w:rsidRPr="00AF078C">
              <w:rPr>
                <w:rFonts w:ascii="Arial" w:hAnsi="Arial" w:cs="Arial"/>
                <w:sz w:val="20"/>
                <w:szCs w:val="20"/>
              </w:rPr>
              <w:t xml:space="preserve"> criteria, Addressing glass ceilings</w:t>
            </w:r>
          </w:p>
        </w:tc>
        <w:tc>
          <w:tcPr>
            <w:tcW w:w="3055" w:type="dxa"/>
          </w:tcPr>
          <w:p w14:paraId="39A5109A" w14:textId="5259613E" w:rsidR="00466CB1" w:rsidRPr="002A2DC1" w:rsidRDefault="00E8469A">
            <w:pPr>
              <w:rPr>
                <w:rFonts w:ascii="Arial" w:hAnsi="Arial" w:cs="Arial"/>
                <w:sz w:val="20"/>
                <w:szCs w:val="20"/>
              </w:rPr>
            </w:pPr>
            <w:r w:rsidRPr="00E8469A">
              <w:rPr>
                <w:rFonts w:ascii="Arial" w:hAnsi="Arial" w:cs="Arial"/>
                <w:sz w:val="20"/>
                <w:szCs w:val="20"/>
              </w:rPr>
              <w:t xml:space="preserve">Tran et al. (2024), </w:t>
            </w:r>
            <w:proofErr w:type="spellStart"/>
            <w:r w:rsidRPr="00E8469A">
              <w:rPr>
                <w:rFonts w:ascii="Arial" w:hAnsi="Arial" w:cs="Arial"/>
                <w:sz w:val="20"/>
                <w:szCs w:val="20"/>
              </w:rPr>
              <w:t>Allemand</w:t>
            </w:r>
            <w:proofErr w:type="spellEnd"/>
            <w:r w:rsidRPr="00E8469A">
              <w:rPr>
                <w:rFonts w:ascii="Arial" w:hAnsi="Arial" w:cs="Arial"/>
                <w:sz w:val="20"/>
                <w:szCs w:val="20"/>
              </w:rPr>
              <w:t xml:space="preserve"> et al. (2025), </w:t>
            </w:r>
            <w:proofErr w:type="spellStart"/>
            <w:r w:rsidRPr="00E8469A">
              <w:rPr>
                <w:rFonts w:ascii="Arial" w:hAnsi="Arial" w:cs="Arial"/>
                <w:sz w:val="20"/>
                <w:szCs w:val="20"/>
              </w:rPr>
              <w:t>Siegele</w:t>
            </w:r>
            <w:proofErr w:type="spellEnd"/>
            <w:r w:rsidRPr="00E8469A">
              <w:rPr>
                <w:rFonts w:ascii="Arial" w:hAnsi="Arial" w:cs="Arial"/>
                <w:sz w:val="20"/>
                <w:szCs w:val="20"/>
              </w:rPr>
              <w:t xml:space="preserve"> et al. (2024), Islam et al. (2025)</w:t>
            </w:r>
          </w:p>
        </w:tc>
      </w:tr>
      <w:tr w:rsidR="00466CB1" w:rsidRPr="00AF078C" w14:paraId="2104281B" w14:textId="0C7AC4E8" w:rsidTr="00466CB1">
        <w:tc>
          <w:tcPr>
            <w:tcW w:w="1646" w:type="dxa"/>
            <w:vMerge/>
          </w:tcPr>
          <w:p w14:paraId="4E999476" w14:textId="77777777" w:rsidR="00466CB1" w:rsidRPr="00AF078C" w:rsidRDefault="00466CB1">
            <w:pPr>
              <w:rPr>
                <w:rFonts w:ascii="Arial" w:hAnsi="Arial" w:cs="Arial"/>
                <w:sz w:val="20"/>
                <w:szCs w:val="20"/>
              </w:rPr>
            </w:pPr>
          </w:p>
        </w:tc>
        <w:tc>
          <w:tcPr>
            <w:tcW w:w="2039" w:type="dxa"/>
          </w:tcPr>
          <w:p w14:paraId="74E14057" w14:textId="77777777" w:rsidR="00466CB1" w:rsidRPr="00AF078C" w:rsidRDefault="00466CB1">
            <w:pPr>
              <w:rPr>
                <w:rFonts w:ascii="Arial" w:hAnsi="Arial" w:cs="Arial"/>
                <w:sz w:val="20"/>
                <w:szCs w:val="20"/>
              </w:rPr>
            </w:pPr>
            <w:r w:rsidRPr="00AF078C">
              <w:rPr>
                <w:rFonts w:ascii="Arial" w:hAnsi="Arial" w:cs="Arial"/>
                <w:sz w:val="20"/>
                <w:szCs w:val="20"/>
              </w:rPr>
              <w:t>Gender-Sensitive HR Policies</w:t>
            </w:r>
          </w:p>
        </w:tc>
        <w:tc>
          <w:tcPr>
            <w:tcW w:w="2610" w:type="dxa"/>
          </w:tcPr>
          <w:p w14:paraId="006E42C5" w14:textId="77777777" w:rsidR="00466CB1" w:rsidRPr="00AF078C" w:rsidRDefault="00466CB1">
            <w:pPr>
              <w:rPr>
                <w:rFonts w:ascii="Arial" w:hAnsi="Arial" w:cs="Arial"/>
                <w:sz w:val="20"/>
                <w:szCs w:val="20"/>
              </w:rPr>
            </w:pPr>
            <w:r w:rsidRPr="00AF078C">
              <w:rPr>
                <w:rFonts w:ascii="Arial" w:hAnsi="Arial" w:cs="Arial"/>
                <w:sz w:val="20"/>
                <w:szCs w:val="20"/>
              </w:rPr>
              <w:t>Gender-sensitive recruitment, Diversity audits, HR training interventions</w:t>
            </w:r>
          </w:p>
        </w:tc>
        <w:tc>
          <w:tcPr>
            <w:tcW w:w="3055" w:type="dxa"/>
          </w:tcPr>
          <w:p w14:paraId="5CE0AD67" w14:textId="7BF85F88" w:rsidR="00466CB1" w:rsidRPr="002A2DC1" w:rsidRDefault="00E8469A">
            <w:pPr>
              <w:rPr>
                <w:rFonts w:ascii="Arial" w:hAnsi="Arial" w:cs="Arial"/>
                <w:sz w:val="20"/>
                <w:szCs w:val="20"/>
              </w:rPr>
            </w:pPr>
            <w:proofErr w:type="spellStart"/>
            <w:r w:rsidRPr="00E8469A">
              <w:rPr>
                <w:rFonts w:ascii="Arial" w:hAnsi="Arial" w:cs="Arial"/>
                <w:sz w:val="20"/>
                <w:szCs w:val="20"/>
              </w:rPr>
              <w:t>Coupaud</w:t>
            </w:r>
            <w:proofErr w:type="spellEnd"/>
            <w:r w:rsidRPr="00E8469A">
              <w:rPr>
                <w:rFonts w:ascii="Arial" w:hAnsi="Arial" w:cs="Arial"/>
                <w:sz w:val="20"/>
                <w:szCs w:val="20"/>
              </w:rPr>
              <w:t xml:space="preserve"> (2025), Erwin (2023), Tran et al. (2024)</w:t>
            </w:r>
          </w:p>
        </w:tc>
      </w:tr>
      <w:tr w:rsidR="00466CB1" w:rsidRPr="00AF078C" w14:paraId="0BAA81F6" w14:textId="3269404E" w:rsidTr="00466CB1">
        <w:tc>
          <w:tcPr>
            <w:tcW w:w="1646" w:type="dxa"/>
            <w:vMerge/>
          </w:tcPr>
          <w:p w14:paraId="3783518D" w14:textId="77777777" w:rsidR="00466CB1" w:rsidRPr="00AF078C" w:rsidRDefault="00466CB1">
            <w:pPr>
              <w:rPr>
                <w:rFonts w:ascii="Arial" w:hAnsi="Arial" w:cs="Arial"/>
                <w:sz w:val="20"/>
                <w:szCs w:val="20"/>
              </w:rPr>
            </w:pPr>
          </w:p>
        </w:tc>
        <w:tc>
          <w:tcPr>
            <w:tcW w:w="2039" w:type="dxa"/>
          </w:tcPr>
          <w:p w14:paraId="43DC66FA" w14:textId="77777777" w:rsidR="00466CB1" w:rsidRPr="00AF078C" w:rsidRDefault="00466CB1">
            <w:pPr>
              <w:rPr>
                <w:rFonts w:ascii="Arial" w:hAnsi="Arial" w:cs="Arial"/>
                <w:sz w:val="20"/>
                <w:szCs w:val="20"/>
              </w:rPr>
            </w:pPr>
            <w:r w:rsidRPr="00AF078C">
              <w:rPr>
                <w:rFonts w:ascii="Arial" w:hAnsi="Arial" w:cs="Arial"/>
                <w:sz w:val="20"/>
                <w:szCs w:val="20"/>
              </w:rPr>
              <w:t>Skills and Professional Development</w:t>
            </w:r>
          </w:p>
        </w:tc>
        <w:tc>
          <w:tcPr>
            <w:tcW w:w="2610" w:type="dxa"/>
          </w:tcPr>
          <w:p w14:paraId="79675165" w14:textId="77777777" w:rsidR="00466CB1" w:rsidRPr="00AF078C" w:rsidRDefault="00466CB1">
            <w:pPr>
              <w:rPr>
                <w:rFonts w:ascii="Arial" w:hAnsi="Arial" w:cs="Arial"/>
                <w:sz w:val="20"/>
                <w:szCs w:val="20"/>
              </w:rPr>
            </w:pPr>
            <w:r w:rsidRPr="00AF078C">
              <w:rPr>
                <w:rFonts w:ascii="Arial" w:hAnsi="Arial" w:cs="Arial"/>
                <w:sz w:val="20"/>
                <w:szCs w:val="20"/>
              </w:rPr>
              <w:t>Upskilling opportunities, Targeted advancement programs, Professional training</w:t>
            </w:r>
          </w:p>
        </w:tc>
        <w:tc>
          <w:tcPr>
            <w:tcW w:w="3055" w:type="dxa"/>
          </w:tcPr>
          <w:p w14:paraId="0AD4BBCB" w14:textId="60BA4142" w:rsidR="00466CB1" w:rsidRPr="00AF078C" w:rsidRDefault="00E8469A">
            <w:pPr>
              <w:rPr>
                <w:rFonts w:ascii="Arial" w:hAnsi="Arial" w:cs="Arial"/>
                <w:sz w:val="20"/>
                <w:szCs w:val="20"/>
              </w:rPr>
            </w:pPr>
            <w:proofErr w:type="spellStart"/>
            <w:r w:rsidRPr="00E8469A">
              <w:rPr>
                <w:rFonts w:ascii="Arial" w:hAnsi="Arial" w:cs="Arial"/>
                <w:sz w:val="20"/>
                <w:szCs w:val="20"/>
              </w:rPr>
              <w:t>Góral</w:t>
            </w:r>
            <w:proofErr w:type="spellEnd"/>
            <w:r w:rsidRPr="00E8469A">
              <w:rPr>
                <w:rFonts w:ascii="Arial" w:hAnsi="Arial" w:cs="Arial"/>
                <w:sz w:val="20"/>
                <w:szCs w:val="20"/>
              </w:rPr>
              <w:t xml:space="preserve"> (2023), Islam et al. (2025), </w:t>
            </w:r>
            <w:proofErr w:type="spellStart"/>
            <w:r w:rsidRPr="00E8469A">
              <w:rPr>
                <w:rFonts w:ascii="Arial" w:hAnsi="Arial" w:cs="Arial"/>
                <w:sz w:val="20"/>
                <w:szCs w:val="20"/>
              </w:rPr>
              <w:t>Šmídová</w:t>
            </w:r>
            <w:proofErr w:type="spellEnd"/>
            <w:r w:rsidRPr="00E8469A">
              <w:rPr>
                <w:rFonts w:ascii="Arial" w:hAnsi="Arial" w:cs="Arial"/>
                <w:sz w:val="20"/>
                <w:szCs w:val="20"/>
              </w:rPr>
              <w:t xml:space="preserve"> (2016)</w:t>
            </w:r>
          </w:p>
        </w:tc>
      </w:tr>
      <w:tr w:rsidR="00466CB1" w:rsidRPr="00AF078C" w14:paraId="6008C139" w14:textId="1E350ADA" w:rsidTr="00466CB1">
        <w:tc>
          <w:tcPr>
            <w:tcW w:w="1646" w:type="dxa"/>
            <w:vMerge/>
          </w:tcPr>
          <w:p w14:paraId="27486DFF" w14:textId="77777777" w:rsidR="00466CB1" w:rsidRPr="00AF078C" w:rsidRDefault="00466CB1">
            <w:pPr>
              <w:rPr>
                <w:rFonts w:ascii="Arial" w:hAnsi="Arial" w:cs="Arial"/>
                <w:sz w:val="20"/>
                <w:szCs w:val="20"/>
              </w:rPr>
            </w:pPr>
          </w:p>
        </w:tc>
        <w:tc>
          <w:tcPr>
            <w:tcW w:w="2039" w:type="dxa"/>
          </w:tcPr>
          <w:p w14:paraId="20B088E2" w14:textId="77777777" w:rsidR="00466CB1" w:rsidRPr="00AF078C" w:rsidRDefault="00466CB1">
            <w:pPr>
              <w:rPr>
                <w:rFonts w:ascii="Arial" w:hAnsi="Arial" w:cs="Arial"/>
                <w:sz w:val="20"/>
                <w:szCs w:val="20"/>
              </w:rPr>
            </w:pPr>
            <w:r w:rsidRPr="00AF078C">
              <w:rPr>
                <w:rFonts w:ascii="Arial" w:hAnsi="Arial" w:cs="Arial"/>
                <w:sz w:val="20"/>
                <w:szCs w:val="20"/>
              </w:rPr>
              <w:t>Pay and Policy Equity</w:t>
            </w:r>
          </w:p>
        </w:tc>
        <w:tc>
          <w:tcPr>
            <w:tcW w:w="2610" w:type="dxa"/>
          </w:tcPr>
          <w:p w14:paraId="2F801740" w14:textId="77777777" w:rsidR="00466CB1" w:rsidRPr="00AF078C" w:rsidRDefault="00466CB1">
            <w:pPr>
              <w:rPr>
                <w:rFonts w:ascii="Arial" w:hAnsi="Arial" w:cs="Arial"/>
                <w:sz w:val="20"/>
                <w:szCs w:val="20"/>
              </w:rPr>
            </w:pPr>
            <w:r w:rsidRPr="00AF078C">
              <w:rPr>
                <w:rFonts w:ascii="Arial" w:hAnsi="Arial" w:cs="Arial"/>
                <w:sz w:val="20"/>
                <w:szCs w:val="20"/>
              </w:rPr>
              <w:t>Transparent wage policies, Regulatory compliance</w:t>
            </w:r>
          </w:p>
        </w:tc>
        <w:tc>
          <w:tcPr>
            <w:tcW w:w="3055" w:type="dxa"/>
          </w:tcPr>
          <w:p w14:paraId="73EE1832" w14:textId="595F033E" w:rsidR="00466CB1" w:rsidRPr="00AF078C" w:rsidRDefault="00E8469A">
            <w:pPr>
              <w:rPr>
                <w:rFonts w:ascii="Arial" w:hAnsi="Arial" w:cs="Arial"/>
                <w:sz w:val="20"/>
                <w:szCs w:val="20"/>
              </w:rPr>
            </w:pPr>
            <w:r w:rsidRPr="00E8469A">
              <w:rPr>
                <w:rFonts w:ascii="Arial" w:hAnsi="Arial" w:cs="Arial"/>
                <w:sz w:val="20"/>
                <w:szCs w:val="20"/>
              </w:rPr>
              <w:t>Islam et al. (2025), Hindman (2025)</w:t>
            </w:r>
          </w:p>
        </w:tc>
      </w:tr>
      <w:tr w:rsidR="00466CB1" w:rsidRPr="00AF078C" w14:paraId="06E6320D" w14:textId="10232F8D" w:rsidTr="00466CB1">
        <w:tc>
          <w:tcPr>
            <w:tcW w:w="1646" w:type="dxa"/>
            <w:vMerge w:val="restart"/>
          </w:tcPr>
          <w:p w14:paraId="4AE992C7" w14:textId="77777777" w:rsidR="00466CB1" w:rsidRPr="00AF078C" w:rsidRDefault="00466CB1">
            <w:pPr>
              <w:rPr>
                <w:rFonts w:ascii="Arial" w:hAnsi="Arial" w:cs="Arial"/>
                <w:sz w:val="20"/>
                <w:szCs w:val="20"/>
              </w:rPr>
            </w:pPr>
            <w:r w:rsidRPr="00AF078C">
              <w:rPr>
                <w:rFonts w:ascii="Arial" w:hAnsi="Arial" w:cs="Arial"/>
                <w:sz w:val="20"/>
                <w:szCs w:val="20"/>
              </w:rPr>
              <w:t xml:space="preserve">Mentorship </w:t>
            </w:r>
          </w:p>
        </w:tc>
        <w:tc>
          <w:tcPr>
            <w:tcW w:w="2039" w:type="dxa"/>
          </w:tcPr>
          <w:p w14:paraId="7DB0CBC8" w14:textId="77777777" w:rsidR="00466CB1" w:rsidRPr="00AF078C" w:rsidRDefault="00466CB1">
            <w:pPr>
              <w:rPr>
                <w:rFonts w:ascii="Arial" w:hAnsi="Arial" w:cs="Arial"/>
                <w:sz w:val="20"/>
                <w:szCs w:val="20"/>
              </w:rPr>
            </w:pPr>
            <w:r w:rsidRPr="00AF078C">
              <w:rPr>
                <w:rFonts w:ascii="Arial" w:hAnsi="Arial" w:cs="Arial"/>
                <w:sz w:val="20"/>
                <w:szCs w:val="20"/>
              </w:rPr>
              <w:t>Mentorship &amp; Sponsorship Programs</w:t>
            </w:r>
          </w:p>
        </w:tc>
        <w:tc>
          <w:tcPr>
            <w:tcW w:w="2610" w:type="dxa"/>
          </w:tcPr>
          <w:p w14:paraId="0286C2A7" w14:textId="77777777" w:rsidR="00466CB1" w:rsidRPr="00AF078C" w:rsidRDefault="00466CB1">
            <w:pPr>
              <w:rPr>
                <w:rFonts w:ascii="Arial" w:hAnsi="Arial" w:cs="Arial"/>
                <w:sz w:val="20"/>
                <w:szCs w:val="20"/>
              </w:rPr>
            </w:pPr>
            <w:r w:rsidRPr="00AF078C">
              <w:rPr>
                <w:rFonts w:ascii="Arial" w:hAnsi="Arial" w:cs="Arial"/>
                <w:sz w:val="20"/>
                <w:szCs w:val="20"/>
              </w:rPr>
              <w:t>Formal mentoring, Sponsorship, Inclusive networking</w:t>
            </w:r>
          </w:p>
        </w:tc>
        <w:tc>
          <w:tcPr>
            <w:tcW w:w="3055" w:type="dxa"/>
          </w:tcPr>
          <w:p w14:paraId="30E3F197" w14:textId="68A4B022" w:rsidR="00466CB1" w:rsidRPr="002A2DC1" w:rsidRDefault="00E8469A">
            <w:pPr>
              <w:rPr>
                <w:rFonts w:ascii="Arial" w:hAnsi="Arial" w:cs="Arial"/>
                <w:sz w:val="20"/>
                <w:szCs w:val="20"/>
              </w:rPr>
            </w:pPr>
            <w:r w:rsidRPr="00E8469A">
              <w:rPr>
                <w:rFonts w:ascii="Arial" w:hAnsi="Arial" w:cs="Arial"/>
                <w:sz w:val="20"/>
                <w:szCs w:val="20"/>
              </w:rPr>
              <w:t xml:space="preserve">Schulz et al. (2024), Mousa et al. (2023), Erwin (2023), Tran et al. (2024), </w:t>
            </w:r>
            <w:proofErr w:type="spellStart"/>
            <w:r w:rsidRPr="00E8469A">
              <w:rPr>
                <w:rFonts w:ascii="Arial" w:hAnsi="Arial" w:cs="Arial"/>
                <w:sz w:val="20"/>
                <w:szCs w:val="20"/>
              </w:rPr>
              <w:t>Allemand</w:t>
            </w:r>
            <w:proofErr w:type="spellEnd"/>
            <w:r w:rsidRPr="00E8469A">
              <w:rPr>
                <w:rFonts w:ascii="Arial" w:hAnsi="Arial" w:cs="Arial"/>
                <w:sz w:val="20"/>
                <w:szCs w:val="20"/>
              </w:rPr>
              <w:t xml:space="preserve"> et al. (2025)</w:t>
            </w:r>
          </w:p>
        </w:tc>
      </w:tr>
      <w:tr w:rsidR="00466CB1" w:rsidRPr="00AF078C" w14:paraId="676F50D1" w14:textId="33B7FEA1" w:rsidTr="00E8469A">
        <w:trPr>
          <w:trHeight w:val="1205"/>
        </w:trPr>
        <w:tc>
          <w:tcPr>
            <w:tcW w:w="1646" w:type="dxa"/>
            <w:vMerge/>
          </w:tcPr>
          <w:p w14:paraId="481AC4BD" w14:textId="77777777" w:rsidR="00466CB1" w:rsidRPr="00AF078C" w:rsidRDefault="00466CB1">
            <w:pPr>
              <w:rPr>
                <w:rFonts w:ascii="Arial" w:hAnsi="Arial" w:cs="Arial"/>
                <w:sz w:val="20"/>
                <w:szCs w:val="20"/>
              </w:rPr>
            </w:pPr>
          </w:p>
        </w:tc>
        <w:tc>
          <w:tcPr>
            <w:tcW w:w="2039" w:type="dxa"/>
          </w:tcPr>
          <w:p w14:paraId="45FA50FB" w14:textId="77777777" w:rsidR="00466CB1" w:rsidRPr="00AF078C" w:rsidRDefault="00466CB1">
            <w:pPr>
              <w:rPr>
                <w:rFonts w:ascii="Arial" w:hAnsi="Arial" w:cs="Arial"/>
                <w:sz w:val="20"/>
                <w:szCs w:val="20"/>
              </w:rPr>
            </w:pPr>
            <w:r w:rsidRPr="00AF078C">
              <w:rPr>
                <w:rFonts w:ascii="Arial" w:hAnsi="Arial" w:cs="Arial"/>
                <w:sz w:val="20"/>
                <w:szCs w:val="20"/>
              </w:rPr>
              <w:t>Leadership Development</w:t>
            </w:r>
          </w:p>
        </w:tc>
        <w:tc>
          <w:tcPr>
            <w:tcW w:w="2610" w:type="dxa"/>
          </w:tcPr>
          <w:p w14:paraId="2F017EEF" w14:textId="77777777" w:rsidR="00466CB1" w:rsidRPr="00AF078C" w:rsidRDefault="00466CB1">
            <w:pPr>
              <w:rPr>
                <w:rFonts w:ascii="Arial" w:hAnsi="Arial" w:cs="Arial"/>
                <w:sz w:val="20"/>
                <w:szCs w:val="20"/>
              </w:rPr>
            </w:pPr>
            <w:r w:rsidRPr="00AF078C">
              <w:rPr>
                <w:rFonts w:ascii="Arial" w:hAnsi="Arial" w:cs="Arial"/>
                <w:sz w:val="20"/>
                <w:szCs w:val="20"/>
              </w:rPr>
              <w:t>Inclusive leadership programs, Early exposure to women leaders, Supportive structures from mentors</w:t>
            </w:r>
          </w:p>
        </w:tc>
        <w:tc>
          <w:tcPr>
            <w:tcW w:w="3055" w:type="dxa"/>
          </w:tcPr>
          <w:p w14:paraId="34B038FC" w14:textId="07A042E1" w:rsidR="00466CB1" w:rsidRPr="002A2DC1" w:rsidRDefault="002A2DC1">
            <w:pPr>
              <w:rPr>
                <w:rFonts w:ascii="Arial" w:hAnsi="Arial" w:cs="Arial"/>
                <w:sz w:val="20"/>
                <w:szCs w:val="20"/>
              </w:rPr>
            </w:pPr>
            <w:r w:rsidRPr="002A2DC1">
              <w:rPr>
                <w:rFonts w:ascii="Arial" w:hAnsi="Arial" w:cs="Arial"/>
                <w:sz w:val="20"/>
                <w:szCs w:val="20"/>
              </w:rPr>
              <w:t xml:space="preserve">Schulz E.V. et al. (2024), Mousa M. et al. (2023), Erwin S.K. &amp; </w:t>
            </w:r>
            <w:proofErr w:type="spellStart"/>
            <w:r w:rsidRPr="002A2DC1">
              <w:rPr>
                <w:rFonts w:ascii="Arial" w:hAnsi="Arial" w:cs="Arial"/>
                <w:sz w:val="20"/>
                <w:szCs w:val="20"/>
              </w:rPr>
              <w:t>Cseh</w:t>
            </w:r>
            <w:proofErr w:type="spellEnd"/>
            <w:r w:rsidRPr="002A2DC1">
              <w:rPr>
                <w:rFonts w:ascii="Arial" w:hAnsi="Arial" w:cs="Arial"/>
                <w:sz w:val="20"/>
                <w:szCs w:val="20"/>
              </w:rPr>
              <w:t xml:space="preserve"> M. (2023), Tran H. et al. (2024), </w:t>
            </w:r>
            <w:proofErr w:type="spellStart"/>
            <w:r w:rsidRPr="002A2DC1">
              <w:rPr>
                <w:rFonts w:ascii="Arial" w:hAnsi="Arial" w:cs="Arial"/>
                <w:sz w:val="20"/>
                <w:szCs w:val="20"/>
              </w:rPr>
              <w:t>Allemand</w:t>
            </w:r>
            <w:proofErr w:type="spellEnd"/>
            <w:r w:rsidRPr="002A2DC1">
              <w:rPr>
                <w:rFonts w:ascii="Arial" w:hAnsi="Arial" w:cs="Arial"/>
                <w:sz w:val="20"/>
                <w:szCs w:val="20"/>
              </w:rPr>
              <w:t xml:space="preserve"> I. et al. (2025)</w:t>
            </w:r>
          </w:p>
        </w:tc>
      </w:tr>
      <w:tr w:rsidR="00466CB1" w:rsidRPr="00AF078C" w14:paraId="41DE23AA" w14:textId="6786F4DC" w:rsidTr="00466CB1">
        <w:tc>
          <w:tcPr>
            <w:tcW w:w="1646" w:type="dxa"/>
            <w:vMerge/>
          </w:tcPr>
          <w:p w14:paraId="347C5265" w14:textId="77777777" w:rsidR="00466CB1" w:rsidRPr="00AF078C" w:rsidRDefault="00466CB1">
            <w:pPr>
              <w:rPr>
                <w:rFonts w:ascii="Arial" w:hAnsi="Arial" w:cs="Arial"/>
                <w:sz w:val="20"/>
                <w:szCs w:val="20"/>
              </w:rPr>
            </w:pPr>
          </w:p>
        </w:tc>
        <w:tc>
          <w:tcPr>
            <w:tcW w:w="2039" w:type="dxa"/>
          </w:tcPr>
          <w:p w14:paraId="2071B8D2" w14:textId="77777777" w:rsidR="00466CB1" w:rsidRPr="00AF078C" w:rsidRDefault="00466CB1">
            <w:pPr>
              <w:rPr>
                <w:rFonts w:ascii="Arial" w:hAnsi="Arial" w:cs="Arial"/>
                <w:sz w:val="20"/>
                <w:szCs w:val="20"/>
              </w:rPr>
            </w:pPr>
            <w:r w:rsidRPr="00AF078C">
              <w:rPr>
                <w:rFonts w:ascii="Arial" w:hAnsi="Arial" w:cs="Arial"/>
                <w:sz w:val="20"/>
                <w:szCs w:val="20"/>
              </w:rPr>
              <w:t>Gender-Diverse Leadership</w:t>
            </w:r>
          </w:p>
        </w:tc>
        <w:tc>
          <w:tcPr>
            <w:tcW w:w="2610" w:type="dxa"/>
          </w:tcPr>
          <w:p w14:paraId="45CC18BF" w14:textId="77777777" w:rsidR="00466CB1" w:rsidRPr="00AF078C" w:rsidRDefault="00466CB1">
            <w:pPr>
              <w:rPr>
                <w:rFonts w:ascii="Arial" w:hAnsi="Arial" w:cs="Arial"/>
                <w:sz w:val="20"/>
                <w:szCs w:val="20"/>
              </w:rPr>
            </w:pPr>
            <w:r w:rsidRPr="00AF078C">
              <w:rPr>
                <w:rFonts w:ascii="Arial" w:hAnsi="Arial" w:cs="Arial"/>
                <w:sz w:val="20"/>
                <w:szCs w:val="20"/>
              </w:rPr>
              <w:t xml:space="preserve">Increasing female representation, Reforming mentorship, Challenging </w:t>
            </w:r>
            <w:r w:rsidRPr="00AF078C">
              <w:rPr>
                <w:rFonts w:ascii="Arial" w:hAnsi="Arial" w:cs="Arial"/>
                <w:sz w:val="20"/>
                <w:szCs w:val="20"/>
              </w:rPr>
              <w:lastRenderedPageBreak/>
              <w:t>masculine leadership norms</w:t>
            </w:r>
          </w:p>
        </w:tc>
        <w:tc>
          <w:tcPr>
            <w:tcW w:w="3055" w:type="dxa"/>
          </w:tcPr>
          <w:p w14:paraId="3F6C898B" w14:textId="6E32AC9C" w:rsidR="00466CB1" w:rsidRPr="00AF078C" w:rsidRDefault="00E8469A">
            <w:pPr>
              <w:rPr>
                <w:rFonts w:ascii="Arial" w:hAnsi="Arial" w:cs="Arial"/>
                <w:sz w:val="20"/>
                <w:szCs w:val="20"/>
              </w:rPr>
            </w:pPr>
            <w:r w:rsidRPr="00E8469A">
              <w:rPr>
                <w:rFonts w:ascii="Arial" w:hAnsi="Arial" w:cs="Arial"/>
                <w:sz w:val="20"/>
                <w:szCs w:val="20"/>
              </w:rPr>
              <w:lastRenderedPageBreak/>
              <w:t xml:space="preserve">Simon (2019), </w:t>
            </w:r>
            <w:proofErr w:type="spellStart"/>
            <w:r w:rsidRPr="00E8469A">
              <w:rPr>
                <w:rFonts w:ascii="Arial" w:hAnsi="Arial" w:cs="Arial"/>
                <w:sz w:val="20"/>
                <w:szCs w:val="20"/>
              </w:rPr>
              <w:t>Xiu</w:t>
            </w:r>
            <w:proofErr w:type="spellEnd"/>
            <w:r w:rsidRPr="00E8469A">
              <w:rPr>
                <w:rFonts w:ascii="Arial" w:hAnsi="Arial" w:cs="Arial"/>
                <w:sz w:val="20"/>
                <w:szCs w:val="20"/>
              </w:rPr>
              <w:t xml:space="preserve"> et al. (2024)</w:t>
            </w:r>
          </w:p>
        </w:tc>
      </w:tr>
      <w:tr w:rsidR="00466CB1" w:rsidRPr="00AF078C" w14:paraId="5110A643" w14:textId="41E5695F" w:rsidTr="00466CB1">
        <w:tc>
          <w:tcPr>
            <w:tcW w:w="1646" w:type="dxa"/>
            <w:vMerge w:val="restart"/>
          </w:tcPr>
          <w:p w14:paraId="020B0727" w14:textId="77777777" w:rsidR="00466CB1" w:rsidRPr="00AF078C" w:rsidRDefault="00466CB1">
            <w:pPr>
              <w:rPr>
                <w:rFonts w:ascii="Arial" w:hAnsi="Arial" w:cs="Arial"/>
                <w:sz w:val="20"/>
                <w:szCs w:val="20"/>
              </w:rPr>
            </w:pPr>
            <w:r w:rsidRPr="00AF078C">
              <w:rPr>
                <w:rFonts w:ascii="Arial" w:hAnsi="Arial" w:cs="Arial"/>
                <w:sz w:val="20"/>
                <w:szCs w:val="20"/>
              </w:rPr>
              <w:t xml:space="preserve">Organizational Culture </w:t>
            </w:r>
          </w:p>
        </w:tc>
        <w:tc>
          <w:tcPr>
            <w:tcW w:w="2039" w:type="dxa"/>
          </w:tcPr>
          <w:p w14:paraId="7C1E2733" w14:textId="77777777" w:rsidR="00466CB1" w:rsidRPr="00AF078C" w:rsidRDefault="00466CB1">
            <w:pPr>
              <w:rPr>
                <w:rFonts w:ascii="Arial" w:hAnsi="Arial" w:cs="Arial"/>
                <w:sz w:val="20"/>
                <w:szCs w:val="20"/>
              </w:rPr>
            </w:pPr>
            <w:r w:rsidRPr="00AF078C">
              <w:rPr>
                <w:rFonts w:ascii="Arial" w:hAnsi="Arial" w:cs="Arial"/>
                <w:sz w:val="20"/>
                <w:szCs w:val="20"/>
              </w:rPr>
              <w:t>Supportive &amp; Inclusive Culture</w:t>
            </w:r>
          </w:p>
        </w:tc>
        <w:tc>
          <w:tcPr>
            <w:tcW w:w="2610" w:type="dxa"/>
          </w:tcPr>
          <w:p w14:paraId="2BD2CD09" w14:textId="7DB94FCA" w:rsidR="00466CB1" w:rsidRPr="00AF078C" w:rsidRDefault="00466CB1">
            <w:pPr>
              <w:rPr>
                <w:rFonts w:ascii="Arial" w:hAnsi="Arial" w:cs="Arial"/>
                <w:sz w:val="20"/>
                <w:szCs w:val="20"/>
              </w:rPr>
            </w:pPr>
            <w:r w:rsidRPr="00AF078C">
              <w:rPr>
                <w:rFonts w:ascii="Arial" w:hAnsi="Arial" w:cs="Arial"/>
                <w:sz w:val="20"/>
                <w:szCs w:val="20"/>
              </w:rPr>
              <w:t>Building credibility, Safe workspaces, Non-judgmental climate</w:t>
            </w:r>
            <w:r w:rsidR="00347BC6" w:rsidRPr="00AF078C">
              <w:rPr>
                <w:rFonts w:ascii="Arial" w:hAnsi="Arial" w:cs="Arial"/>
                <w:sz w:val="20"/>
                <w:szCs w:val="20"/>
              </w:rPr>
              <w:t>,</w:t>
            </w:r>
            <w:r w:rsidRPr="00AF078C">
              <w:rPr>
                <w:rFonts w:ascii="Arial" w:hAnsi="Arial" w:cs="Arial"/>
                <w:sz w:val="20"/>
                <w:szCs w:val="20"/>
              </w:rPr>
              <w:t xml:space="preserve"> Inclusive team dynamics</w:t>
            </w:r>
          </w:p>
        </w:tc>
        <w:tc>
          <w:tcPr>
            <w:tcW w:w="3055" w:type="dxa"/>
          </w:tcPr>
          <w:p w14:paraId="19082D1E" w14:textId="47525851" w:rsidR="00466CB1" w:rsidRPr="00AF078C" w:rsidRDefault="00E8469A">
            <w:pPr>
              <w:rPr>
                <w:rFonts w:ascii="Arial" w:hAnsi="Arial" w:cs="Arial"/>
                <w:sz w:val="20"/>
                <w:szCs w:val="20"/>
              </w:rPr>
            </w:pPr>
            <w:r w:rsidRPr="00E8469A">
              <w:rPr>
                <w:rFonts w:ascii="Arial" w:hAnsi="Arial" w:cs="Arial"/>
                <w:sz w:val="20"/>
                <w:szCs w:val="20"/>
              </w:rPr>
              <w:t xml:space="preserve">Ahmad (2022), Mousa et al. (2023), </w:t>
            </w:r>
            <w:proofErr w:type="spellStart"/>
            <w:r w:rsidRPr="00E8469A">
              <w:rPr>
                <w:rFonts w:ascii="Arial" w:hAnsi="Arial" w:cs="Arial"/>
                <w:sz w:val="20"/>
                <w:szCs w:val="20"/>
              </w:rPr>
              <w:t>Xiu</w:t>
            </w:r>
            <w:proofErr w:type="spellEnd"/>
            <w:r w:rsidRPr="00E8469A">
              <w:rPr>
                <w:rFonts w:ascii="Arial" w:hAnsi="Arial" w:cs="Arial"/>
                <w:sz w:val="20"/>
                <w:szCs w:val="20"/>
              </w:rPr>
              <w:t xml:space="preserve"> et al. (2024)</w:t>
            </w:r>
          </w:p>
        </w:tc>
      </w:tr>
      <w:tr w:rsidR="00466CB1" w:rsidRPr="00AF078C" w14:paraId="30AE76C7" w14:textId="69B795F0" w:rsidTr="00466CB1">
        <w:tc>
          <w:tcPr>
            <w:tcW w:w="1646" w:type="dxa"/>
            <w:vMerge/>
          </w:tcPr>
          <w:p w14:paraId="06C749EF" w14:textId="77777777" w:rsidR="00466CB1" w:rsidRPr="00AF078C" w:rsidRDefault="00466CB1">
            <w:pPr>
              <w:rPr>
                <w:rFonts w:ascii="Arial" w:hAnsi="Arial" w:cs="Arial"/>
                <w:sz w:val="20"/>
                <w:szCs w:val="20"/>
              </w:rPr>
            </w:pPr>
          </w:p>
        </w:tc>
        <w:tc>
          <w:tcPr>
            <w:tcW w:w="2039" w:type="dxa"/>
          </w:tcPr>
          <w:p w14:paraId="266C1763" w14:textId="77777777" w:rsidR="00466CB1" w:rsidRPr="00AF078C" w:rsidRDefault="00466CB1">
            <w:pPr>
              <w:rPr>
                <w:rFonts w:ascii="Arial" w:hAnsi="Arial" w:cs="Arial"/>
                <w:sz w:val="20"/>
                <w:szCs w:val="20"/>
              </w:rPr>
            </w:pPr>
            <w:r w:rsidRPr="00AF078C">
              <w:rPr>
                <w:rFonts w:ascii="Arial" w:hAnsi="Arial" w:cs="Arial"/>
                <w:sz w:val="20"/>
                <w:szCs w:val="20"/>
              </w:rPr>
              <w:t>Lived Workplace Experiences</w:t>
            </w:r>
          </w:p>
        </w:tc>
        <w:tc>
          <w:tcPr>
            <w:tcW w:w="2610" w:type="dxa"/>
          </w:tcPr>
          <w:p w14:paraId="1BCA0855" w14:textId="77777777" w:rsidR="00466CB1" w:rsidRPr="00AF078C" w:rsidRDefault="00466CB1">
            <w:pPr>
              <w:rPr>
                <w:rFonts w:ascii="Arial" w:hAnsi="Arial" w:cs="Arial"/>
                <w:sz w:val="20"/>
                <w:szCs w:val="20"/>
              </w:rPr>
            </w:pPr>
            <w:r w:rsidRPr="00AF078C">
              <w:rPr>
                <w:rFonts w:ascii="Arial" w:hAnsi="Arial" w:cs="Arial"/>
                <w:sz w:val="20"/>
                <w:szCs w:val="20"/>
              </w:rPr>
              <w:t>Recognizing women’s experiences, Addressing coworker bias, Harassment prevention</w:t>
            </w:r>
          </w:p>
        </w:tc>
        <w:tc>
          <w:tcPr>
            <w:tcW w:w="3055" w:type="dxa"/>
          </w:tcPr>
          <w:p w14:paraId="43000150" w14:textId="47223FB1" w:rsidR="00466CB1" w:rsidRPr="00AF078C" w:rsidRDefault="00E8469A">
            <w:pPr>
              <w:rPr>
                <w:rFonts w:ascii="Arial" w:hAnsi="Arial" w:cs="Arial"/>
                <w:sz w:val="20"/>
                <w:szCs w:val="20"/>
              </w:rPr>
            </w:pPr>
            <w:r w:rsidRPr="00E8469A">
              <w:rPr>
                <w:rFonts w:ascii="Arial" w:hAnsi="Arial" w:cs="Arial"/>
                <w:sz w:val="20"/>
                <w:szCs w:val="20"/>
              </w:rPr>
              <w:t xml:space="preserve">Baines &amp; Armstrong (2019), Erwin (2023), </w:t>
            </w:r>
            <w:proofErr w:type="spellStart"/>
            <w:r w:rsidRPr="00E8469A">
              <w:rPr>
                <w:rFonts w:ascii="Arial" w:hAnsi="Arial" w:cs="Arial"/>
                <w:sz w:val="20"/>
                <w:szCs w:val="20"/>
              </w:rPr>
              <w:t>Xiu</w:t>
            </w:r>
            <w:proofErr w:type="spellEnd"/>
            <w:r w:rsidRPr="00E8469A">
              <w:rPr>
                <w:rFonts w:ascii="Arial" w:hAnsi="Arial" w:cs="Arial"/>
                <w:sz w:val="20"/>
                <w:szCs w:val="20"/>
              </w:rPr>
              <w:t xml:space="preserve"> et al. (2024)</w:t>
            </w:r>
          </w:p>
        </w:tc>
      </w:tr>
      <w:tr w:rsidR="00466CB1" w:rsidRPr="00AF078C" w14:paraId="482C9DCE" w14:textId="723F2DD4" w:rsidTr="00466CB1">
        <w:tc>
          <w:tcPr>
            <w:tcW w:w="1646" w:type="dxa"/>
            <w:vMerge/>
          </w:tcPr>
          <w:p w14:paraId="300F783A" w14:textId="77777777" w:rsidR="00466CB1" w:rsidRPr="00AF078C" w:rsidRDefault="00466CB1">
            <w:pPr>
              <w:rPr>
                <w:rFonts w:ascii="Arial" w:hAnsi="Arial" w:cs="Arial"/>
                <w:sz w:val="20"/>
                <w:szCs w:val="20"/>
              </w:rPr>
            </w:pPr>
          </w:p>
        </w:tc>
        <w:tc>
          <w:tcPr>
            <w:tcW w:w="2039" w:type="dxa"/>
          </w:tcPr>
          <w:p w14:paraId="5C840AEE" w14:textId="77777777" w:rsidR="00466CB1" w:rsidRPr="00AF078C" w:rsidRDefault="00466CB1">
            <w:pPr>
              <w:rPr>
                <w:rFonts w:ascii="Arial" w:hAnsi="Arial" w:cs="Arial"/>
                <w:sz w:val="20"/>
                <w:szCs w:val="20"/>
              </w:rPr>
            </w:pPr>
            <w:r w:rsidRPr="00AF078C">
              <w:rPr>
                <w:rFonts w:ascii="Arial" w:hAnsi="Arial" w:cs="Arial"/>
                <w:sz w:val="20"/>
                <w:szCs w:val="20"/>
              </w:rPr>
              <w:t>Cultural Change</w:t>
            </w:r>
          </w:p>
        </w:tc>
        <w:tc>
          <w:tcPr>
            <w:tcW w:w="2610" w:type="dxa"/>
          </w:tcPr>
          <w:p w14:paraId="50A43FB3" w14:textId="77777777" w:rsidR="00466CB1" w:rsidRPr="00AF078C" w:rsidRDefault="00466CB1">
            <w:pPr>
              <w:rPr>
                <w:rFonts w:ascii="Arial" w:hAnsi="Arial" w:cs="Arial"/>
                <w:sz w:val="20"/>
                <w:szCs w:val="20"/>
              </w:rPr>
            </w:pPr>
            <w:r w:rsidRPr="00AF078C">
              <w:rPr>
                <w:rFonts w:ascii="Arial" w:hAnsi="Arial" w:cs="Arial"/>
                <w:sz w:val="20"/>
                <w:szCs w:val="20"/>
              </w:rPr>
              <w:t xml:space="preserve">Challenging masculine norms, </w:t>
            </w:r>
            <w:proofErr w:type="gramStart"/>
            <w:r w:rsidRPr="00AF078C">
              <w:rPr>
                <w:rFonts w:ascii="Arial" w:hAnsi="Arial" w:cs="Arial"/>
                <w:sz w:val="20"/>
                <w:szCs w:val="20"/>
              </w:rPr>
              <w:t>Promoting</w:t>
            </w:r>
            <w:proofErr w:type="gramEnd"/>
            <w:r w:rsidRPr="00AF078C">
              <w:rPr>
                <w:rFonts w:ascii="Arial" w:hAnsi="Arial" w:cs="Arial"/>
                <w:sz w:val="20"/>
                <w:szCs w:val="20"/>
              </w:rPr>
              <w:t xml:space="preserve"> diverse leadership styles, Encouraging inclusive social spaces</w:t>
            </w:r>
          </w:p>
        </w:tc>
        <w:tc>
          <w:tcPr>
            <w:tcW w:w="3055" w:type="dxa"/>
          </w:tcPr>
          <w:p w14:paraId="7CCE2110" w14:textId="1FDE566A" w:rsidR="00466CB1" w:rsidRPr="002A2DC1" w:rsidRDefault="00E8469A">
            <w:pPr>
              <w:rPr>
                <w:rFonts w:ascii="Arial" w:hAnsi="Arial" w:cs="Arial"/>
                <w:sz w:val="20"/>
                <w:szCs w:val="20"/>
              </w:rPr>
            </w:pPr>
            <w:proofErr w:type="spellStart"/>
            <w:r w:rsidRPr="00E8469A">
              <w:rPr>
                <w:rFonts w:ascii="Arial" w:hAnsi="Arial" w:cs="Arial"/>
                <w:sz w:val="20"/>
                <w:szCs w:val="20"/>
              </w:rPr>
              <w:t>Shivhare</w:t>
            </w:r>
            <w:proofErr w:type="spellEnd"/>
            <w:r w:rsidRPr="00E8469A">
              <w:rPr>
                <w:rFonts w:ascii="Arial" w:hAnsi="Arial" w:cs="Arial"/>
                <w:sz w:val="20"/>
                <w:szCs w:val="20"/>
              </w:rPr>
              <w:t xml:space="preserve"> &amp; L (2025), Tran et al. (2024), Simon (2019)</w:t>
            </w:r>
          </w:p>
        </w:tc>
      </w:tr>
      <w:tr w:rsidR="00466CB1" w:rsidRPr="00AF078C" w14:paraId="06376F73" w14:textId="0AD7572E" w:rsidTr="00466CB1">
        <w:tc>
          <w:tcPr>
            <w:tcW w:w="1646" w:type="dxa"/>
            <w:vMerge w:val="restart"/>
          </w:tcPr>
          <w:p w14:paraId="72AEB143" w14:textId="0E006D6B" w:rsidR="00466CB1" w:rsidRPr="00AF078C" w:rsidRDefault="00466CB1">
            <w:pPr>
              <w:rPr>
                <w:rFonts w:ascii="Arial" w:hAnsi="Arial" w:cs="Arial"/>
                <w:sz w:val="20"/>
                <w:szCs w:val="20"/>
              </w:rPr>
            </w:pPr>
            <w:r w:rsidRPr="00AF078C">
              <w:rPr>
                <w:rFonts w:ascii="Arial" w:hAnsi="Arial" w:cs="Arial"/>
                <w:sz w:val="20"/>
                <w:szCs w:val="20"/>
              </w:rPr>
              <w:t>Bias Awareness</w:t>
            </w:r>
          </w:p>
        </w:tc>
        <w:tc>
          <w:tcPr>
            <w:tcW w:w="2039" w:type="dxa"/>
          </w:tcPr>
          <w:p w14:paraId="32D357D8" w14:textId="77777777" w:rsidR="00466CB1" w:rsidRPr="00AF078C" w:rsidRDefault="00466CB1">
            <w:pPr>
              <w:rPr>
                <w:rFonts w:ascii="Arial" w:hAnsi="Arial" w:cs="Arial"/>
                <w:sz w:val="20"/>
                <w:szCs w:val="20"/>
              </w:rPr>
            </w:pPr>
            <w:r w:rsidRPr="00AF078C">
              <w:rPr>
                <w:rFonts w:ascii="Arial" w:hAnsi="Arial" w:cs="Arial"/>
                <w:sz w:val="20"/>
                <w:szCs w:val="20"/>
              </w:rPr>
              <w:t>Awareness &amp; Sensitization</w:t>
            </w:r>
          </w:p>
        </w:tc>
        <w:tc>
          <w:tcPr>
            <w:tcW w:w="2610" w:type="dxa"/>
          </w:tcPr>
          <w:p w14:paraId="70DDC0B9" w14:textId="77777777" w:rsidR="00466CB1" w:rsidRPr="00AF078C" w:rsidRDefault="00466CB1">
            <w:pPr>
              <w:rPr>
                <w:rFonts w:ascii="Arial" w:hAnsi="Arial" w:cs="Arial"/>
                <w:sz w:val="20"/>
                <w:szCs w:val="20"/>
              </w:rPr>
            </w:pPr>
            <w:r w:rsidRPr="00AF078C">
              <w:rPr>
                <w:rFonts w:ascii="Arial" w:hAnsi="Arial" w:cs="Arial"/>
                <w:sz w:val="20"/>
                <w:szCs w:val="20"/>
              </w:rPr>
              <w:t>Unconscious bias training, Gender sensitization programs, Awareness of barriers</w:t>
            </w:r>
          </w:p>
        </w:tc>
        <w:tc>
          <w:tcPr>
            <w:tcW w:w="3055" w:type="dxa"/>
          </w:tcPr>
          <w:p w14:paraId="023836A3" w14:textId="5DFF43AF" w:rsidR="00466CB1" w:rsidRPr="002A2DC1" w:rsidRDefault="00E8469A">
            <w:pPr>
              <w:rPr>
                <w:rFonts w:ascii="Arial" w:hAnsi="Arial" w:cs="Arial"/>
                <w:sz w:val="20"/>
                <w:szCs w:val="20"/>
              </w:rPr>
            </w:pPr>
            <w:r w:rsidRPr="00E8469A">
              <w:rPr>
                <w:rFonts w:ascii="Arial" w:hAnsi="Arial" w:cs="Arial"/>
                <w:sz w:val="20"/>
                <w:szCs w:val="20"/>
              </w:rPr>
              <w:t xml:space="preserve">David et al. (2023), Erwin (2023), </w:t>
            </w:r>
            <w:proofErr w:type="spellStart"/>
            <w:r w:rsidRPr="00E8469A">
              <w:rPr>
                <w:rFonts w:ascii="Arial" w:hAnsi="Arial" w:cs="Arial"/>
                <w:sz w:val="20"/>
                <w:szCs w:val="20"/>
              </w:rPr>
              <w:t>Möller</w:t>
            </w:r>
            <w:proofErr w:type="spellEnd"/>
            <w:r w:rsidRPr="00E8469A">
              <w:rPr>
                <w:rFonts w:ascii="Arial" w:hAnsi="Arial" w:cs="Arial"/>
                <w:sz w:val="20"/>
                <w:szCs w:val="20"/>
              </w:rPr>
              <w:t xml:space="preserve"> et al. (2024), Tran et al. (2024), </w:t>
            </w:r>
            <w:proofErr w:type="spellStart"/>
            <w:r w:rsidRPr="00E8469A">
              <w:rPr>
                <w:rFonts w:ascii="Arial" w:hAnsi="Arial" w:cs="Arial"/>
                <w:sz w:val="20"/>
                <w:szCs w:val="20"/>
              </w:rPr>
              <w:t>Shivhare</w:t>
            </w:r>
            <w:proofErr w:type="spellEnd"/>
            <w:r w:rsidRPr="00E8469A">
              <w:rPr>
                <w:rFonts w:ascii="Arial" w:hAnsi="Arial" w:cs="Arial"/>
                <w:sz w:val="20"/>
                <w:szCs w:val="20"/>
              </w:rPr>
              <w:t xml:space="preserve"> &amp; L (2025)</w:t>
            </w:r>
          </w:p>
        </w:tc>
      </w:tr>
      <w:tr w:rsidR="00466CB1" w:rsidRPr="00AF078C" w14:paraId="542068C0" w14:textId="4194C429" w:rsidTr="00466CB1">
        <w:tc>
          <w:tcPr>
            <w:tcW w:w="1646" w:type="dxa"/>
            <w:vMerge/>
          </w:tcPr>
          <w:p w14:paraId="17BB342B" w14:textId="77777777" w:rsidR="00466CB1" w:rsidRPr="00AF078C" w:rsidRDefault="00466CB1">
            <w:pPr>
              <w:rPr>
                <w:rFonts w:ascii="Arial" w:hAnsi="Arial" w:cs="Arial"/>
                <w:sz w:val="20"/>
                <w:szCs w:val="20"/>
              </w:rPr>
            </w:pPr>
          </w:p>
        </w:tc>
        <w:tc>
          <w:tcPr>
            <w:tcW w:w="2039" w:type="dxa"/>
          </w:tcPr>
          <w:p w14:paraId="03CD219A" w14:textId="77777777" w:rsidR="00466CB1" w:rsidRPr="00AF078C" w:rsidRDefault="00466CB1">
            <w:pPr>
              <w:rPr>
                <w:rFonts w:ascii="Arial" w:hAnsi="Arial" w:cs="Arial"/>
                <w:sz w:val="20"/>
                <w:szCs w:val="20"/>
              </w:rPr>
            </w:pPr>
            <w:r w:rsidRPr="00AF078C">
              <w:rPr>
                <w:rFonts w:ascii="Arial" w:hAnsi="Arial" w:cs="Arial"/>
                <w:sz w:val="20"/>
                <w:szCs w:val="20"/>
              </w:rPr>
              <w:t>Anti-Harassment &amp; Safety</w:t>
            </w:r>
          </w:p>
        </w:tc>
        <w:tc>
          <w:tcPr>
            <w:tcW w:w="2610" w:type="dxa"/>
          </w:tcPr>
          <w:p w14:paraId="6F8ECB76" w14:textId="77777777" w:rsidR="00466CB1" w:rsidRPr="00AF078C" w:rsidRDefault="00466CB1">
            <w:pPr>
              <w:rPr>
                <w:rFonts w:ascii="Arial" w:hAnsi="Arial" w:cs="Arial"/>
                <w:sz w:val="20"/>
                <w:szCs w:val="20"/>
              </w:rPr>
            </w:pPr>
            <w:r w:rsidRPr="00AF078C">
              <w:rPr>
                <w:rFonts w:ascii="Arial" w:hAnsi="Arial" w:cs="Arial"/>
                <w:sz w:val="20"/>
                <w:szCs w:val="20"/>
              </w:rPr>
              <w:t xml:space="preserve">Harassment interventions; Anti-bullying policies, Gender-based violence </w:t>
            </w:r>
          </w:p>
        </w:tc>
        <w:tc>
          <w:tcPr>
            <w:tcW w:w="3055" w:type="dxa"/>
          </w:tcPr>
          <w:p w14:paraId="0336348A" w14:textId="2B471D9F" w:rsidR="00466CB1" w:rsidRPr="00AF078C" w:rsidRDefault="00E8469A">
            <w:pPr>
              <w:rPr>
                <w:rFonts w:ascii="Arial" w:hAnsi="Arial" w:cs="Arial"/>
                <w:sz w:val="20"/>
                <w:szCs w:val="20"/>
              </w:rPr>
            </w:pPr>
            <w:proofErr w:type="spellStart"/>
            <w:r w:rsidRPr="00E8469A">
              <w:rPr>
                <w:rFonts w:ascii="Arial" w:hAnsi="Arial" w:cs="Arial"/>
                <w:sz w:val="20"/>
                <w:szCs w:val="20"/>
              </w:rPr>
              <w:t>Coupaud</w:t>
            </w:r>
            <w:proofErr w:type="spellEnd"/>
            <w:r w:rsidRPr="00E8469A">
              <w:rPr>
                <w:rFonts w:ascii="Arial" w:hAnsi="Arial" w:cs="Arial"/>
                <w:sz w:val="20"/>
                <w:szCs w:val="20"/>
              </w:rPr>
              <w:t xml:space="preserve"> (2025), </w:t>
            </w:r>
            <w:proofErr w:type="spellStart"/>
            <w:r w:rsidRPr="00E8469A">
              <w:rPr>
                <w:rFonts w:ascii="Arial" w:hAnsi="Arial" w:cs="Arial"/>
                <w:sz w:val="20"/>
                <w:szCs w:val="20"/>
              </w:rPr>
              <w:t>Soeters</w:t>
            </w:r>
            <w:proofErr w:type="spellEnd"/>
            <w:r w:rsidRPr="00E8469A">
              <w:rPr>
                <w:rFonts w:ascii="Arial" w:hAnsi="Arial" w:cs="Arial"/>
                <w:sz w:val="20"/>
                <w:szCs w:val="20"/>
              </w:rPr>
              <w:t xml:space="preserve"> et al. (2021)</w:t>
            </w:r>
          </w:p>
        </w:tc>
      </w:tr>
      <w:tr w:rsidR="00466CB1" w:rsidRPr="00AF078C" w14:paraId="7FC16DEF" w14:textId="518A3BDE" w:rsidTr="00466CB1">
        <w:tc>
          <w:tcPr>
            <w:tcW w:w="1646" w:type="dxa"/>
            <w:vMerge/>
          </w:tcPr>
          <w:p w14:paraId="7A5F6364" w14:textId="77777777" w:rsidR="00466CB1" w:rsidRPr="00AF078C" w:rsidRDefault="00466CB1">
            <w:pPr>
              <w:rPr>
                <w:rFonts w:ascii="Arial" w:hAnsi="Arial" w:cs="Arial"/>
                <w:sz w:val="22"/>
                <w:szCs w:val="22"/>
              </w:rPr>
            </w:pPr>
          </w:p>
        </w:tc>
        <w:tc>
          <w:tcPr>
            <w:tcW w:w="2039" w:type="dxa"/>
          </w:tcPr>
          <w:p w14:paraId="3874E4C5" w14:textId="77777777" w:rsidR="00466CB1" w:rsidRPr="00AF078C" w:rsidRDefault="00466CB1">
            <w:pPr>
              <w:rPr>
                <w:rFonts w:ascii="Arial" w:hAnsi="Arial" w:cs="Arial"/>
                <w:sz w:val="20"/>
                <w:szCs w:val="20"/>
              </w:rPr>
            </w:pPr>
            <w:r w:rsidRPr="00AF078C">
              <w:rPr>
                <w:rFonts w:ascii="Arial" w:hAnsi="Arial" w:cs="Arial"/>
                <w:sz w:val="20"/>
                <w:szCs w:val="20"/>
              </w:rPr>
              <w:t>Structural &amp; Policy Change</w:t>
            </w:r>
          </w:p>
        </w:tc>
        <w:tc>
          <w:tcPr>
            <w:tcW w:w="2610" w:type="dxa"/>
          </w:tcPr>
          <w:p w14:paraId="777933B4" w14:textId="77777777" w:rsidR="00466CB1" w:rsidRPr="00AF078C" w:rsidRDefault="00466CB1">
            <w:pPr>
              <w:rPr>
                <w:rFonts w:ascii="Arial" w:hAnsi="Arial" w:cs="Arial"/>
                <w:sz w:val="20"/>
                <w:szCs w:val="20"/>
              </w:rPr>
            </w:pPr>
            <w:r w:rsidRPr="00AF078C">
              <w:rPr>
                <w:rFonts w:ascii="Arial" w:hAnsi="Arial" w:cs="Arial"/>
                <w:sz w:val="20"/>
                <w:szCs w:val="20"/>
              </w:rPr>
              <w:t>Institutional reforms, Gender-transformative policies, Accountability mechanisms</w:t>
            </w:r>
          </w:p>
        </w:tc>
        <w:tc>
          <w:tcPr>
            <w:tcW w:w="3055" w:type="dxa"/>
          </w:tcPr>
          <w:p w14:paraId="3F279429" w14:textId="490397B0" w:rsidR="00466CB1" w:rsidRPr="002A2DC1" w:rsidRDefault="00E8469A">
            <w:pPr>
              <w:rPr>
                <w:rFonts w:ascii="Arial" w:hAnsi="Arial" w:cs="Arial"/>
                <w:sz w:val="20"/>
                <w:szCs w:val="20"/>
              </w:rPr>
            </w:pPr>
            <w:r w:rsidRPr="00E8469A">
              <w:rPr>
                <w:rFonts w:ascii="Arial" w:hAnsi="Arial" w:cs="Arial"/>
                <w:sz w:val="20"/>
                <w:szCs w:val="20"/>
              </w:rPr>
              <w:t xml:space="preserve">Hindman (2025), </w:t>
            </w:r>
            <w:proofErr w:type="spellStart"/>
            <w:r w:rsidRPr="00E8469A">
              <w:rPr>
                <w:rFonts w:ascii="Arial" w:hAnsi="Arial" w:cs="Arial"/>
                <w:sz w:val="20"/>
                <w:szCs w:val="20"/>
              </w:rPr>
              <w:t>Soeters</w:t>
            </w:r>
            <w:proofErr w:type="spellEnd"/>
            <w:r w:rsidRPr="00E8469A">
              <w:rPr>
                <w:rFonts w:ascii="Arial" w:hAnsi="Arial" w:cs="Arial"/>
                <w:sz w:val="20"/>
                <w:szCs w:val="20"/>
              </w:rPr>
              <w:t xml:space="preserve"> et al. (2021)</w:t>
            </w:r>
          </w:p>
        </w:tc>
      </w:tr>
      <w:tr w:rsidR="00466CB1" w:rsidRPr="00AF078C" w14:paraId="69790235" w14:textId="6C6BB193" w:rsidTr="00466CB1">
        <w:tc>
          <w:tcPr>
            <w:tcW w:w="1646" w:type="dxa"/>
            <w:vMerge/>
          </w:tcPr>
          <w:p w14:paraId="3AA3593E" w14:textId="77777777" w:rsidR="00466CB1" w:rsidRPr="00AF078C" w:rsidRDefault="00466CB1">
            <w:pPr>
              <w:rPr>
                <w:rFonts w:ascii="Arial" w:hAnsi="Arial" w:cs="Arial"/>
                <w:sz w:val="22"/>
                <w:szCs w:val="22"/>
              </w:rPr>
            </w:pPr>
          </w:p>
        </w:tc>
        <w:tc>
          <w:tcPr>
            <w:tcW w:w="2039" w:type="dxa"/>
          </w:tcPr>
          <w:p w14:paraId="27A37D43" w14:textId="77777777" w:rsidR="00466CB1" w:rsidRPr="00AF078C" w:rsidRDefault="00466CB1">
            <w:pPr>
              <w:rPr>
                <w:rFonts w:ascii="Arial" w:hAnsi="Arial" w:cs="Arial"/>
                <w:sz w:val="20"/>
                <w:szCs w:val="20"/>
              </w:rPr>
            </w:pPr>
            <w:r w:rsidRPr="00AF078C">
              <w:rPr>
                <w:rFonts w:ascii="Arial" w:hAnsi="Arial" w:cs="Arial"/>
                <w:sz w:val="20"/>
                <w:szCs w:val="20"/>
              </w:rPr>
              <w:t>Intersectionality &amp; Inclusion</w:t>
            </w:r>
          </w:p>
        </w:tc>
        <w:tc>
          <w:tcPr>
            <w:tcW w:w="2610" w:type="dxa"/>
          </w:tcPr>
          <w:p w14:paraId="46092FBB" w14:textId="148F36A7" w:rsidR="00466CB1" w:rsidRPr="00AF078C" w:rsidRDefault="00E8469A">
            <w:pPr>
              <w:rPr>
                <w:rFonts w:ascii="Arial" w:hAnsi="Arial" w:cs="Arial"/>
                <w:sz w:val="20"/>
                <w:szCs w:val="20"/>
              </w:rPr>
            </w:pPr>
            <w:r w:rsidRPr="00E8469A">
              <w:rPr>
                <w:rFonts w:ascii="Arial" w:hAnsi="Arial" w:cs="Arial"/>
                <w:sz w:val="20"/>
                <w:szCs w:val="20"/>
              </w:rPr>
              <w:t>Discrimination, cultural policy sensitivity, holistic identity support</w:t>
            </w:r>
          </w:p>
        </w:tc>
        <w:tc>
          <w:tcPr>
            <w:tcW w:w="3055" w:type="dxa"/>
          </w:tcPr>
          <w:p w14:paraId="7A883595" w14:textId="400B7B35" w:rsidR="00466CB1" w:rsidRPr="00AF078C" w:rsidRDefault="00E8469A">
            <w:pPr>
              <w:rPr>
                <w:rFonts w:ascii="Arial" w:hAnsi="Arial" w:cs="Arial"/>
                <w:sz w:val="20"/>
                <w:szCs w:val="20"/>
              </w:rPr>
            </w:pPr>
            <w:r w:rsidRPr="00E8469A">
              <w:rPr>
                <w:rFonts w:ascii="Arial" w:hAnsi="Arial" w:cs="Arial"/>
                <w:sz w:val="20"/>
                <w:szCs w:val="20"/>
              </w:rPr>
              <w:t xml:space="preserve">Ahmad (2022), </w:t>
            </w:r>
            <w:proofErr w:type="spellStart"/>
            <w:r w:rsidRPr="00E8469A">
              <w:rPr>
                <w:rFonts w:ascii="Arial" w:hAnsi="Arial" w:cs="Arial"/>
                <w:sz w:val="20"/>
                <w:szCs w:val="20"/>
              </w:rPr>
              <w:t>Soeters</w:t>
            </w:r>
            <w:proofErr w:type="spellEnd"/>
            <w:r w:rsidRPr="00E8469A">
              <w:rPr>
                <w:rFonts w:ascii="Arial" w:hAnsi="Arial" w:cs="Arial"/>
                <w:sz w:val="20"/>
                <w:szCs w:val="20"/>
              </w:rPr>
              <w:t xml:space="preserve"> et al. (2021), Tran et al. (2024)</w:t>
            </w:r>
          </w:p>
        </w:tc>
      </w:tr>
    </w:tbl>
    <w:p w14:paraId="79513B45" w14:textId="77777777" w:rsidR="00427F23" w:rsidRPr="00AF078C" w:rsidRDefault="00427F23" w:rsidP="000E5606">
      <w:pPr>
        <w:jc w:val="both"/>
        <w:rPr>
          <w:rFonts w:ascii="Times New Roman" w:hAnsi="Times New Roman" w:cs="Times New Roman"/>
          <w:sz w:val="22"/>
          <w:szCs w:val="22"/>
        </w:rPr>
      </w:pPr>
    </w:p>
    <w:p w14:paraId="48A63BA1" w14:textId="02D7D200" w:rsidR="00001F09" w:rsidRPr="00AF078C" w:rsidRDefault="00001F09" w:rsidP="000E5606">
      <w:pPr>
        <w:jc w:val="both"/>
        <w:rPr>
          <w:rFonts w:ascii="Arial" w:hAnsi="Arial" w:cs="Arial"/>
          <w:sz w:val="20"/>
          <w:szCs w:val="20"/>
        </w:rPr>
      </w:pPr>
      <w:r w:rsidRPr="00AF078C">
        <w:rPr>
          <w:rFonts w:ascii="Arial" w:hAnsi="Arial" w:cs="Arial"/>
          <w:sz w:val="20"/>
          <w:szCs w:val="20"/>
        </w:rPr>
        <w:t xml:space="preserve">This </w:t>
      </w:r>
      <w:r w:rsidR="00723BF9" w:rsidRPr="00AF078C">
        <w:rPr>
          <w:rFonts w:ascii="Arial" w:hAnsi="Arial" w:cs="Arial"/>
          <w:sz w:val="20"/>
          <w:szCs w:val="20"/>
        </w:rPr>
        <w:t>table</w:t>
      </w:r>
      <w:r w:rsidRPr="00AF078C">
        <w:rPr>
          <w:rFonts w:ascii="Arial" w:hAnsi="Arial" w:cs="Arial"/>
          <w:sz w:val="20"/>
          <w:szCs w:val="20"/>
        </w:rPr>
        <w:t xml:space="preserve"> highlights not only the barriers but also actionable levers such as mentorship programs, flexible work arrangements, bias awareness training, and transparent promotion systems. It thus provides a theory-grounded and evidence-based foundation for designing interventions to promote gender equity in male-dominated sectors.</w:t>
      </w:r>
    </w:p>
    <w:p w14:paraId="1600A33D" w14:textId="71474737" w:rsidR="00126A68" w:rsidRPr="00AF078C" w:rsidRDefault="00AA0820" w:rsidP="00AA0820">
      <w:pPr>
        <w:rPr>
          <w:rFonts w:ascii="Arial" w:hAnsi="Arial" w:cs="Arial"/>
          <w:b/>
          <w:bCs/>
          <w:sz w:val="22"/>
          <w:szCs w:val="22"/>
        </w:rPr>
      </w:pPr>
      <w:r w:rsidRPr="00AF078C">
        <w:rPr>
          <w:rFonts w:ascii="Arial" w:hAnsi="Arial" w:cs="Arial"/>
          <w:b/>
          <w:bCs/>
          <w:sz w:val="22"/>
          <w:szCs w:val="22"/>
        </w:rPr>
        <w:t>4. FINDINGS</w:t>
      </w:r>
    </w:p>
    <w:p w14:paraId="18F2C2BE" w14:textId="4FCB9344" w:rsidR="00126A68" w:rsidRPr="00AF078C" w:rsidRDefault="00126A68" w:rsidP="000E5606">
      <w:pPr>
        <w:jc w:val="both"/>
        <w:rPr>
          <w:rFonts w:ascii="Arial" w:hAnsi="Arial" w:cs="Arial"/>
          <w:sz w:val="20"/>
          <w:szCs w:val="20"/>
        </w:rPr>
      </w:pPr>
      <w:r w:rsidRPr="00AF078C">
        <w:rPr>
          <w:rFonts w:ascii="Arial" w:hAnsi="Arial" w:cs="Arial"/>
          <w:sz w:val="20"/>
          <w:szCs w:val="20"/>
        </w:rPr>
        <w:t>This section begins with a descriptive overview of the 40 included articles, outlining publication trends, study types, methodologies, and geographic contexts. It then presents the core contribution of this review: six key thematic areas synthesized from the literature to understand and address gender equity in male-dominated organizational sectors, with a focus on maritime logistics.</w:t>
      </w:r>
    </w:p>
    <w:p w14:paraId="330401BD" w14:textId="478F1955" w:rsidR="00126A68" w:rsidRPr="00AF078C" w:rsidRDefault="00AA0820" w:rsidP="000E5606">
      <w:pPr>
        <w:jc w:val="both"/>
        <w:rPr>
          <w:rFonts w:ascii="Arial" w:hAnsi="Arial" w:cs="Arial"/>
          <w:b/>
          <w:bCs/>
          <w:sz w:val="22"/>
          <w:szCs w:val="22"/>
        </w:rPr>
      </w:pPr>
      <w:r w:rsidRPr="00AF078C">
        <w:rPr>
          <w:rFonts w:ascii="Arial" w:hAnsi="Arial" w:cs="Arial"/>
          <w:b/>
          <w:bCs/>
          <w:sz w:val="22"/>
          <w:szCs w:val="22"/>
        </w:rPr>
        <w:t xml:space="preserve">4.1 </w:t>
      </w:r>
      <w:r w:rsidR="00126A68" w:rsidRPr="00AF078C">
        <w:rPr>
          <w:rFonts w:ascii="Arial" w:hAnsi="Arial" w:cs="Arial"/>
          <w:b/>
          <w:bCs/>
          <w:sz w:val="22"/>
          <w:szCs w:val="22"/>
        </w:rPr>
        <w:t>Overview of the Included Articles</w:t>
      </w:r>
    </w:p>
    <w:p w14:paraId="3BC39198" w14:textId="77777777" w:rsidR="00126A68" w:rsidRPr="00AF078C" w:rsidRDefault="00126A68" w:rsidP="000E5606">
      <w:pPr>
        <w:jc w:val="both"/>
        <w:rPr>
          <w:rFonts w:ascii="Arial" w:hAnsi="Arial" w:cs="Arial"/>
          <w:sz w:val="20"/>
          <w:szCs w:val="20"/>
        </w:rPr>
      </w:pPr>
      <w:r w:rsidRPr="00AF078C">
        <w:rPr>
          <w:rFonts w:ascii="Arial" w:hAnsi="Arial" w:cs="Arial"/>
          <w:sz w:val="20"/>
          <w:szCs w:val="20"/>
        </w:rPr>
        <w:t>This systematic literature review included 40 peer-reviewed journal articles published between 2015 and 2025. A gradual increase in scholarly attention was observed, with only a small number of relevant studies before 2018, but accelerating growth from 2020 onward, reflecting increasing recognition of gender equity as both a research priority and a policy concern within organizations.</w:t>
      </w:r>
    </w:p>
    <w:p w14:paraId="58B53734" w14:textId="7C655E28" w:rsidR="00126A68" w:rsidRPr="00AF078C" w:rsidRDefault="00126A68" w:rsidP="000E5606">
      <w:pPr>
        <w:jc w:val="both"/>
        <w:rPr>
          <w:rFonts w:ascii="Arial" w:hAnsi="Arial" w:cs="Arial"/>
          <w:sz w:val="20"/>
          <w:szCs w:val="20"/>
        </w:rPr>
      </w:pPr>
      <w:r w:rsidRPr="00AF078C">
        <w:rPr>
          <w:rFonts w:ascii="Arial" w:hAnsi="Arial" w:cs="Arial"/>
          <w:sz w:val="20"/>
          <w:szCs w:val="20"/>
        </w:rPr>
        <w:t xml:space="preserve">In terms of study design, qualitative approaches dominated the dataset (n = 26), primarily using semi-structured or in-depth interviews to capture women’s lived experiences in workplaces such as healthcare, academia, police, military, and maritime sectors. Quantitative studies (n = 9) used surveys or secondary datasets to examine pay gaps, occupational segregation, and leadership representation. Mixed-methods </w:t>
      </w:r>
      <w:r w:rsidRPr="00AF078C">
        <w:rPr>
          <w:rFonts w:ascii="Arial" w:hAnsi="Arial" w:cs="Arial"/>
          <w:sz w:val="20"/>
          <w:szCs w:val="20"/>
        </w:rPr>
        <w:lastRenderedPageBreak/>
        <w:t>research was employed in 3 cases, and 2 studies were integrative/systematic reviews that consolidated broader conceptual insights.</w:t>
      </w:r>
    </w:p>
    <w:p w14:paraId="26ED3251" w14:textId="7A84089B" w:rsidR="006225A8" w:rsidRPr="00AF078C" w:rsidRDefault="00126A68" w:rsidP="000E5606">
      <w:pPr>
        <w:jc w:val="both"/>
        <w:rPr>
          <w:rFonts w:ascii="Arial" w:hAnsi="Arial" w:cs="Arial"/>
          <w:sz w:val="20"/>
          <w:szCs w:val="20"/>
        </w:rPr>
      </w:pPr>
      <w:r w:rsidRPr="00AF078C">
        <w:rPr>
          <w:rFonts w:ascii="Arial" w:hAnsi="Arial" w:cs="Arial"/>
          <w:sz w:val="20"/>
          <w:szCs w:val="20"/>
        </w:rPr>
        <w:t>Geographically, the studies covered a wide range of contexts, spanning Asia (Pakistan, India, Bangladesh, China, Indonesia, etc.), Africa (Ethiopia, Kenya, South Africa), Europe (UK, Sweden, Poland, Malta, EU), North America (USA, Canada), and Oceania (Australia, Pacific region). This distribution highlights both the global scope of gender inequities and the sector-specific dynamics of male-dominated industries.</w:t>
      </w:r>
    </w:p>
    <w:p w14:paraId="35BE371E" w14:textId="436980E7" w:rsidR="006225A8" w:rsidRPr="00AF078C" w:rsidRDefault="006225A8" w:rsidP="000E5606">
      <w:pPr>
        <w:jc w:val="both"/>
        <w:rPr>
          <w:rFonts w:ascii="Arial" w:hAnsi="Arial" w:cs="Arial"/>
          <w:sz w:val="20"/>
          <w:szCs w:val="20"/>
        </w:rPr>
      </w:pPr>
      <w:r w:rsidRPr="00AF078C">
        <w:rPr>
          <w:rFonts w:ascii="Arial" w:hAnsi="Arial" w:cs="Arial"/>
          <w:sz w:val="20"/>
          <w:szCs w:val="20"/>
        </w:rPr>
        <w:t>Contextually, the articles examined healthcare (n = 6), academia/STEM (n = 8), finance and manufacturing (n = 5), military and police (n = 5), sports and cultural industries (n = 4), and maritime/logistics (n = 4), among others. While only a handful directly addressed the maritime logistics sector, the broader organizational studies provided transferable insights into gendered norms, workplace cultures, and structural inequities that inform this study’s focus.</w:t>
      </w:r>
    </w:p>
    <w:p w14:paraId="5324EC0C" w14:textId="5B6759CF" w:rsidR="00126A68" w:rsidRPr="00AF078C" w:rsidRDefault="00126A68" w:rsidP="000E5606">
      <w:pPr>
        <w:jc w:val="both"/>
        <w:rPr>
          <w:rFonts w:ascii="Arial" w:hAnsi="Arial" w:cs="Arial"/>
          <w:sz w:val="20"/>
          <w:szCs w:val="20"/>
        </w:rPr>
      </w:pPr>
      <w:r w:rsidRPr="00AF078C">
        <w:rPr>
          <w:rFonts w:ascii="Arial" w:hAnsi="Arial" w:cs="Arial"/>
          <w:sz w:val="20"/>
          <w:szCs w:val="20"/>
        </w:rPr>
        <w:t>In terms of data collection methods, semi-structured interviews (n = 20) and in-depth qualitative narratives (n = 9) were the most common, followed by surveys (n = 7) and secondary data analyses (n = 2). This methodological diversity provides a robust foundation for identifying patterns across both lived experiences and systemic organizational processes.</w:t>
      </w:r>
    </w:p>
    <w:p w14:paraId="7CF58940" w14:textId="6A488B3B" w:rsidR="00577828" w:rsidRPr="00AF078C" w:rsidRDefault="00126A68" w:rsidP="000E5606">
      <w:pPr>
        <w:jc w:val="both"/>
        <w:rPr>
          <w:rFonts w:ascii="Arial" w:hAnsi="Arial" w:cs="Arial"/>
          <w:sz w:val="20"/>
          <w:szCs w:val="20"/>
        </w:rPr>
      </w:pPr>
      <w:r w:rsidRPr="00AF078C">
        <w:rPr>
          <w:rFonts w:ascii="Arial" w:hAnsi="Arial" w:cs="Arial"/>
          <w:sz w:val="20"/>
          <w:szCs w:val="20"/>
        </w:rPr>
        <w:t>Overall, the reviewed literature demonstrates a methodologically diverse and globally distributed body of research, unified by the application (explicit or implicit) of Gendered Organization Theory. It offers a strong base for synthesizing the drivers, barriers, and interventions that shape gender equity outcomes in male-dominated sectors such as maritime logistics.</w:t>
      </w:r>
    </w:p>
    <w:p w14:paraId="11044434" w14:textId="64AFCF73" w:rsidR="00072ED9" w:rsidRPr="00AF078C" w:rsidRDefault="00AA0820" w:rsidP="000E5606">
      <w:pPr>
        <w:jc w:val="both"/>
        <w:rPr>
          <w:rFonts w:ascii="Arial" w:hAnsi="Arial" w:cs="Arial"/>
          <w:b/>
          <w:bCs/>
          <w:sz w:val="22"/>
          <w:szCs w:val="22"/>
        </w:rPr>
      </w:pPr>
      <w:r w:rsidRPr="00AF078C">
        <w:rPr>
          <w:rFonts w:ascii="Arial" w:hAnsi="Arial" w:cs="Arial"/>
          <w:b/>
          <w:bCs/>
          <w:sz w:val="22"/>
          <w:szCs w:val="22"/>
        </w:rPr>
        <w:t xml:space="preserve">4.2 </w:t>
      </w:r>
      <w:r w:rsidR="00072ED9" w:rsidRPr="00AF078C">
        <w:rPr>
          <w:rFonts w:ascii="Arial" w:hAnsi="Arial" w:cs="Arial"/>
          <w:b/>
          <w:bCs/>
          <w:sz w:val="22"/>
          <w:szCs w:val="22"/>
        </w:rPr>
        <w:t xml:space="preserve">Institutionalized </w:t>
      </w:r>
      <w:r w:rsidRPr="00AF078C">
        <w:rPr>
          <w:rFonts w:ascii="Arial" w:hAnsi="Arial" w:cs="Arial"/>
          <w:b/>
          <w:bCs/>
          <w:sz w:val="22"/>
          <w:szCs w:val="22"/>
        </w:rPr>
        <w:t>N</w:t>
      </w:r>
      <w:r w:rsidR="00072ED9" w:rsidRPr="00AF078C">
        <w:rPr>
          <w:rFonts w:ascii="Arial" w:hAnsi="Arial" w:cs="Arial"/>
          <w:b/>
          <w:bCs/>
          <w:sz w:val="22"/>
          <w:szCs w:val="22"/>
        </w:rPr>
        <w:t xml:space="preserve">orms </w:t>
      </w:r>
    </w:p>
    <w:p w14:paraId="514DD87E" w14:textId="69183EC5" w:rsidR="005C4C6F" w:rsidRPr="005C4C6F" w:rsidRDefault="005C4C6F" w:rsidP="005C4C6F">
      <w:pPr>
        <w:jc w:val="both"/>
        <w:rPr>
          <w:rFonts w:ascii="Arial" w:hAnsi="Arial" w:cs="Arial"/>
          <w:sz w:val="20"/>
          <w:szCs w:val="20"/>
        </w:rPr>
      </w:pPr>
      <w:r w:rsidRPr="005C4C6F">
        <w:rPr>
          <w:rFonts w:ascii="Arial" w:hAnsi="Arial" w:cs="Arial"/>
          <w:sz w:val="20"/>
          <w:szCs w:val="20"/>
        </w:rPr>
        <w:t>Literature consistently identifies institutionalized norms and structural barriers as primary drivers of gender inequity beyond individual biases. Gendered organizations perpetuate patriarchal structures where male dominance is embedded through subordinating practices (Acker, 1990). This manifests as occupational sex segregation, with women disproportionately confined to administrative roles while excluded from leadership positions (Williams et al., 2012; Ahmad, 2022).​</w:t>
      </w:r>
    </w:p>
    <w:p w14:paraId="21A2241B" w14:textId="622D0253" w:rsidR="005C4C6F" w:rsidRPr="005C4C6F" w:rsidRDefault="005C4C6F" w:rsidP="005C4C6F">
      <w:pPr>
        <w:jc w:val="both"/>
        <w:rPr>
          <w:rFonts w:ascii="Arial" w:hAnsi="Arial" w:cs="Arial"/>
          <w:sz w:val="20"/>
          <w:szCs w:val="20"/>
        </w:rPr>
      </w:pPr>
      <w:r w:rsidRPr="005C4C6F">
        <w:rPr>
          <w:rFonts w:ascii="Arial" w:hAnsi="Arial" w:cs="Arial"/>
          <w:sz w:val="20"/>
          <w:szCs w:val="20"/>
        </w:rPr>
        <w:t xml:space="preserve">Gendered accountability mechanisms and absence of formal structural inequality interventions exacerbate power imbalances (Acker, 1990; </w:t>
      </w:r>
      <w:proofErr w:type="spellStart"/>
      <w:r w:rsidRPr="005C4C6F">
        <w:rPr>
          <w:rFonts w:ascii="Arial" w:hAnsi="Arial" w:cs="Arial"/>
          <w:sz w:val="20"/>
          <w:szCs w:val="20"/>
        </w:rPr>
        <w:t>Randev</w:t>
      </w:r>
      <w:proofErr w:type="spellEnd"/>
      <w:r w:rsidRPr="005C4C6F">
        <w:rPr>
          <w:rFonts w:ascii="Arial" w:hAnsi="Arial" w:cs="Arial"/>
          <w:sz w:val="20"/>
          <w:szCs w:val="20"/>
        </w:rPr>
        <w:t xml:space="preserve">, 2024). Subtle mechanisms of inequality include informal exclusion networks that restrict women's access to critical opportunities and performance expectations rooted in ideal worker norms, which burden women with disproportionate family responsibilities and impede career advancement (Balmer et al., 2020; </w:t>
      </w:r>
      <w:proofErr w:type="spellStart"/>
      <w:r w:rsidRPr="005C4C6F">
        <w:rPr>
          <w:rFonts w:ascii="Arial" w:hAnsi="Arial" w:cs="Arial"/>
          <w:sz w:val="20"/>
          <w:szCs w:val="20"/>
        </w:rPr>
        <w:t>Góral</w:t>
      </w:r>
      <w:proofErr w:type="spellEnd"/>
      <w:r w:rsidRPr="005C4C6F">
        <w:rPr>
          <w:rFonts w:ascii="Arial" w:hAnsi="Arial" w:cs="Arial"/>
          <w:sz w:val="20"/>
          <w:szCs w:val="20"/>
        </w:rPr>
        <w:t>, 2023).​</w:t>
      </w:r>
    </w:p>
    <w:p w14:paraId="62EC46EA" w14:textId="644FEBDC" w:rsidR="00863F02" w:rsidRPr="00AF078C" w:rsidRDefault="005C4C6F" w:rsidP="005C4C6F">
      <w:pPr>
        <w:jc w:val="both"/>
        <w:rPr>
          <w:rFonts w:ascii="Arial" w:hAnsi="Arial" w:cs="Arial"/>
          <w:sz w:val="20"/>
          <w:szCs w:val="20"/>
        </w:rPr>
      </w:pPr>
      <w:r w:rsidRPr="005C4C6F">
        <w:rPr>
          <w:rFonts w:ascii="Arial" w:hAnsi="Arial" w:cs="Arial"/>
          <w:sz w:val="20"/>
          <w:szCs w:val="20"/>
        </w:rPr>
        <w:t>Structural barriers directly generate pay disparities and career stagnation. Women face persistent glass ceilings, opaque promotion practices, wage gaps, and undervaluation of contributions despite advancement (Hindman, 2025; Islam et al., 2025; Tran et al., 2024). These institutionalized patterns in maritime logistics demand comprehensive structural reforms to dismantle entrenched inequities and foster genuine equity</w:t>
      </w:r>
    </w:p>
    <w:p w14:paraId="63E5506C" w14:textId="5527784F" w:rsidR="00072ED9" w:rsidRPr="00AF078C" w:rsidRDefault="00AA0820" w:rsidP="000E5606">
      <w:pPr>
        <w:jc w:val="both"/>
        <w:rPr>
          <w:rFonts w:ascii="Arial" w:hAnsi="Arial" w:cs="Arial"/>
          <w:b/>
          <w:bCs/>
          <w:sz w:val="22"/>
          <w:szCs w:val="22"/>
        </w:rPr>
      </w:pPr>
      <w:r w:rsidRPr="00AF078C">
        <w:rPr>
          <w:rFonts w:ascii="Arial" w:hAnsi="Arial" w:cs="Arial"/>
          <w:b/>
          <w:bCs/>
          <w:sz w:val="22"/>
          <w:szCs w:val="22"/>
        </w:rPr>
        <w:t xml:space="preserve">4.3 </w:t>
      </w:r>
      <w:r w:rsidR="00072ED9" w:rsidRPr="00AF078C">
        <w:rPr>
          <w:rFonts w:ascii="Arial" w:hAnsi="Arial" w:cs="Arial"/>
          <w:b/>
          <w:bCs/>
          <w:sz w:val="22"/>
          <w:szCs w:val="22"/>
        </w:rPr>
        <w:t>Challenging the Ideal Worker Norm</w:t>
      </w:r>
    </w:p>
    <w:p w14:paraId="106B390D" w14:textId="18D41D04" w:rsidR="005C4C6F" w:rsidRPr="005C4C6F" w:rsidRDefault="005C4C6F" w:rsidP="005C4C6F">
      <w:pPr>
        <w:jc w:val="both"/>
        <w:rPr>
          <w:rFonts w:ascii="Arial" w:hAnsi="Arial" w:cs="Arial"/>
          <w:sz w:val="20"/>
          <w:szCs w:val="20"/>
        </w:rPr>
      </w:pPr>
      <w:r w:rsidRPr="005C4C6F">
        <w:rPr>
          <w:rFonts w:ascii="Arial" w:hAnsi="Arial" w:cs="Arial"/>
          <w:sz w:val="20"/>
          <w:szCs w:val="20"/>
        </w:rPr>
        <w:t>Literature identifies challenging the "ideal worker" norm</w:t>
      </w:r>
      <w:r w:rsidR="00A758DA">
        <w:rPr>
          <w:rFonts w:ascii="Arial" w:hAnsi="Arial" w:cs="Arial"/>
          <w:sz w:val="20"/>
          <w:szCs w:val="20"/>
        </w:rPr>
        <w:t xml:space="preserve"> </w:t>
      </w:r>
      <w:r w:rsidRPr="005C4C6F">
        <w:rPr>
          <w:rFonts w:ascii="Arial" w:hAnsi="Arial" w:cs="Arial"/>
          <w:sz w:val="20"/>
          <w:szCs w:val="20"/>
        </w:rPr>
        <w:t>assuming constant availability without family responsibilities</w:t>
      </w:r>
      <w:r w:rsidR="00A758DA">
        <w:rPr>
          <w:rFonts w:ascii="Arial" w:hAnsi="Arial" w:cs="Arial"/>
          <w:sz w:val="20"/>
          <w:szCs w:val="20"/>
        </w:rPr>
        <w:t xml:space="preserve"> </w:t>
      </w:r>
      <w:r w:rsidRPr="005C4C6F">
        <w:rPr>
          <w:rFonts w:ascii="Arial" w:hAnsi="Arial" w:cs="Arial"/>
          <w:sz w:val="20"/>
          <w:szCs w:val="20"/>
        </w:rPr>
        <w:t>as essential for gender equity in high-pressure maritime logistics (Acker, 1990; Williams et al., 2012). This norm creates formidable barriers for women, necessitating interventions in flexibility, supportive policies, and cultural shifts.​</w:t>
      </w:r>
    </w:p>
    <w:p w14:paraId="51C62E45" w14:textId="137D5688" w:rsidR="005C4C6F" w:rsidRPr="005C4C6F" w:rsidRDefault="005C4C6F" w:rsidP="005C4C6F">
      <w:pPr>
        <w:jc w:val="both"/>
        <w:rPr>
          <w:rFonts w:ascii="Arial" w:hAnsi="Arial" w:cs="Arial"/>
          <w:sz w:val="20"/>
          <w:szCs w:val="20"/>
        </w:rPr>
      </w:pPr>
      <w:r w:rsidRPr="005C4C6F">
        <w:rPr>
          <w:rFonts w:ascii="Arial" w:hAnsi="Arial" w:cs="Arial"/>
          <w:sz w:val="20"/>
          <w:szCs w:val="20"/>
        </w:rPr>
        <w:t xml:space="preserve">Flexibility and work-life integration emerge as critical. High work intensity and physical demands compel women to balance careers with caregiving, while inadequate family support undermines retention </w:t>
      </w:r>
      <w:r w:rsidRPr="005C4C6F">
        <w:rPr>
          <w:rFonts w:ascii="Arial" w:hAnsi="Arial" w:cs="Arial"/>
          <w:sz w:val="20"/>
          <w:szCs w:val="20"/>
        </w:rPr>
        <w:lastRenderedPageBreak/>
        <w:t>(</w:t>
      </w:r>
      <w:proofErr w:type="spellStart"/>
      <w:r w:rsidRPr="005C4C6F">
        <w:rPr>
          <w:rFonts w:ascii="Arial" w:hAnsi="Arial" w:cs="Arial"/>
          <w:sz w:val="20"/>
          <w:szCs w:val="20"/>
        </w:rPr>
        <w:t>Coupaud</w:t>
      </w:r>
      <w:proofErr w:type="spellEnd"/>
      <w:r w:rsidRPr="005C4C6F">
        <w:rPr>
          <w:rFonts w:ascii="Arial" w:hAnsi="Arial" w:cs="Arial"/>
          <w:sz w:val="20"/>
          <w:szCs w:val="20"/>
        </w:rPr>
        <w:t>, 2025; Islam et al., 2025). Effective strategies integrate professional and personal roles to enhance well-being and long-term participation (</w:t>
      </w:r>
      <w:proofErr w:type="spellStart"/>
      <w:r w:rsidRPr="005C4C6F">
        <w:rPr>
          <w:rFonts w:ascii="Arial" w:hAnsi="Arial" w:cs="Arial"/>
          <w:sz w:val="20"/>
          <w:szCs w:val="20"/>
        </w:rPr>
        <w:t>Šmídová</w:t>
      </w:r>
      <w:proofErr w:type="spellEnd"/>
      <w:r w:rsidRPr="005C4C6F">
        <w:rPr>
          <w:rFonts w:ascii="Arial" w:hAnsi="Arial" w:cs="Arial"/>
          <w:sz w:val="20"/>
          <w:szCs w:val="20"/>
        </w:rPr>
        <w:t xml:space="preserve">, 2016; </w:t>
      </w:r>
      <w:proofErr w:type="spellStart"/>
      <w:r w:rsidRPr="005C4C6F">
        <w:rPr>
          <w:rFonts w:ascii="Arial" w:hAnsi="Arial" w:cs="Arial"/>
          <w:sz w:val="20"/>
          <w:szCs w:val="20"/>
        </w:rPr>
        <w:t>Góral</w:t>
      </w:r>
      <w:proofErr w:type="spellEnd"/>
      <w:r w:rsidRPr="005C4C6F">
        <w:rPr>
          <w:rFonts w:ascii="Arial" w:hAnsi="Arial" w:cs="Arial"/>
          <w:sz w:val="20"/>
          <w:szCs w:val="20"/>
        </w:rPr>
        <w:t>, 2023).​</w:t>
      </w:r>
    </w:p>
    <w:p w14:paraId="3BC4B303" w14:textId="69AB561B" w:rsidR="005C4C6F" w:rsidRPr="005C4C6F" w:rsidRDefault="005C4C6F" w:rsidP="005C4C6F">
      <w:pPr>
        <w:jc w:val="both"/>
        <w:rPr>
          <w:rFonts w:ascii="Arial" w:hAnsi="Arial" w:cs="Arial"/>
          <w:sz w:val="20"/>
          <w:szCs w:val="20"/>
        </w:rPr>
      </w:pPr>
      <w:r w:rsidRPr="005C4C6F">
        <w:rPr>
          <w:rFonts w:ascii="Arial" w:hAnsi="Arial" w:cs="Arial"/>
          <w:sz w:val="20"/>
          <w:szCs w:val="20"/>
        </w:rPr>
        <w:t>Family-friendly policies require substance beyond formalities. Transparent maternity/paternity leave, accessible childcare, equal male uptake, and motherhood recognition prevent career penalties and promote equity (</w:t>
      </w:r>
      <w:proofErr w:type="spellStart"/>
      <w:r w:rsidRPr="005C4C6F">
        <w:rPr>
          <w:rFonts w:ascii="Arial" w:hAnsi="Arial" w:cs="Arial"/>
          <w:sz w:val="20"/>
          <w:szCs w:val="20"/>
        </w:rPr>
        <w:t>Siegele</w:t>
      </w:r>
      <w:proofErr w:type="spellEnd"/>
      <w:r w:rsidRPr="005C4C6F">
        <w:rPr>
          <w:rFonts w:ascii="Arial" w:hAnsi="Arial" w:cs="Arial"/>
          <w:sz w:val="20"/>
          <w:szCs w:val="20"/>
        </w:rPr>
        <w:t xml:space="preserve"> et al., 2024; Ahmad, 2022; </w:t>
      </w:r>
      <w:proofErr w:type="spellStart"/>
      <w:r w:rsidRPr="005C4C6F">
        <w:rPr>
          <w:rFonts w:ascii="Arial" w:hAnsi="Arial" w:cs="Arial"/>
          <w:sz w:val="20"/>
          <w:szCs w:val="20"/>
        </w:rPr>
        <w:t>Coupaud</w:t>
      </w:r>
      <w:proofErr w:type="spellEnd"/>
      <w:r w:rsidRPr="005C4C6F">
        <w:rPr>
          <w:rFonts w:ascii="Arial" w:hAnsi="Arial" w:cs="Arial"/>
          <w:sz w:val="20"/>
          <w:szCs w:val="20"/>
        </w:rPr>
        <w:t>, 2025).​</w:t>
      </w:r>
    </w:p>
    <w:p w14:paraId="4A7F5F71" w14:textId="77777777" w:rsidR="005C4C6F" w:rsidRDefault="005C4C6F" w:rsidP="005C4C6F">
      <w:pPr>
        <w:jc w:val="both"/>
        <w:rPr>
          <w:rFonts w:ascii="Arial" w:hAnsi="Arial" w:cs="Arial"/>
          <w:sz w:val="20"/>
          <w:szCs w:val="20"/>
        </w:rPr>
      </w:pPr>
      <w:r w:rsidRPr="005C4C6F">
        <w:rPr>
          <w:rFonts w:ascii="Arial" w:hAnsi="Arial" w:cs="Arial"/>
          <w:sz w:val="20"/>
          <w:szCs w:val="20"/>
        </w:rPr>
        <w:t xml:space="preserve">Redefining flexibility proves vital for operational sectors. Beyond remote work, adaptive scheduling, hybrid options for shore-based roles, and operational accommodations enable inclusion (Balmer et al., 2020; </w:t>
      </w:r>
      <w:proofErr w:type="spellStart"/>
      <w:r w:rsidRPr="005C4C6F">
        <w:rPr>
          <w:rFonts w:ascii="Arial" w:hAnsi="Arial" w:cs="Arial"/>
          <w:sz w:val="20"/>
          <w:szCs w:val="20"/>
        </w:rPr>
        <w:t>Góral</w:t>
      </w:r>
      <w:proofErr w:type="spellEnd"/>
      <w:r w:rsidRPr="005C4C6F">
        <w:rPr>
          <w:rFonts w:ascii="Arial" w:hAnsi="Arial" w:cs="Arial"/>
          <w:sz w:val="20"/>
          <w:szCs w:val="20"/>
        </w:rPr>
        <w:t xml:space="preserve">, 2023; </w:t>
      </w:r>
      <w:proofErr w:type="spellStart"/>
      <w:r w:rsidRPr="005C4C6F">
        <w:rPr>
          <w:rFonts w:ascii="Arial" w:hAnsi="Arial" w:cs="Arial"/>
          <w:sz w:val="20"/>
          <w:szCs w:val="20"/>
        </w:rPr>
        <w:t>Shivhare</w:t>
      </w:r>
      <w:proofErr w:type="spellEnd"/>
      <w:r w:rsidRPr="005C4C6F">
        <w:rPr>
          <w:rFonts w:ascii="Arial" w:hAnsi="Arial" w:cs="Arial"/>
          <w:sz w:val="20"/>
          <w:szCs w:val="20"/>
        </w:rPr>
        <w:t xml:space="preserve"> &amp; L, 2025). Dismantling rigid time/location expectations fosters diverse, sustainable workforces in maritime logistics.</w:t>
      </w:r>
    </w:p>
    <w:p w14:paraId="0D9477CD" w14:textId="1A6908B2" w:rsidR="00072ED9" w:rsidRPr="00AF078C" w:rsidRDefault="00AA0820" w:rsidP="005C4C6F">
      <w:pPr>
        <w:jc w:val="both"/>
        <w:rPr>
          <w:rFonts w:ascii="Arial" w:hAnsi="Arial" w:cs="Arial"/>
          <w:b/>
          <w:bCs/>
          <w:sz w:val="22"/>
          <w:szCs w:val="22"/>
        </w:rPr>
      </w:pPr>
      <w:r w:rsidRPr="00AF078C">
        <w:rPr>
          <w:rFonts w:ascii="Arial" w:hAnsi="Arial" w:cs="Arial"/>
          <w:b/>
          <w:bCs/>
          <w:sz w:val="22"/>
          <w:szCs w:val="22"/>
        </w:rPr>
        <w:t xml:space="preserve">4.4 </w:t>
      </w:r>
      <w:r w:rsidR="00072ED9" w:rsidRPr="00AF078C">
        <w:rPr>
          <w:rFonts w:ascii="Arial" w:hAnsi="Arial" w:cs="Arial"/>
          <w:b/>
          <w:bCs/>
          <w:sz w:val="22"/>
          <w:szCs w:val="22"/>
        </w:rPr>
        <w:t xml:space="preserve">Gender-Sensitive HR </w:t>
      </w:r>
    </w:p>
    <w:p w14:paraId="2783E700" w14:textId="0B4B74D7" w:rsidR="005C4C6F" w:rsidRPr="005C4C6F" w:rsidRDefault="005C4C6F" w:rsidP="005C4C6F">
      <w:pPr>
        <w:jc w:val="both"/>
        <w:rPr>
          <w:rFonts w:ascii="Arial" w:hAnsi="Arial" w:cs="Arial"/>
          <w:sz w:val="20"/>
          <w:szCs w:val="20"/>
        </w:rPr>
      </w:pPr>
      <w:r w:rsidRPr="005C4C6F">
        <w:rPr>
          <w:rFonts w:ascii="Arial" w:hAnsi="Arial" w:cs="Arial"/>
          <w:sz w:val="20"/>
          <w:szCs w:val="20"/>
        </w:rPr>
        <w:t>Literature emphasizes gender-sensitive HR and career development frameworks as essential complements to cultural and flexibility initiatives, requiring formal, transparent policies (Acker, 1990). Transparent promotion and advancement serve as key catalysts for equity in male-dominated sectors like maritime logistics, where opaque processes favor informal networks over merit (Islam et al., 2025; Tran et al., 2024). Organizations must implement objective promotion criteria, equitable decision-making participation, and redesigned evaluation systems to eliminate subjective biases (</w:t>
      </w:r>
      <w:proofErr w:type="spellStart"/>
      <w:r w:rsidRPr="005C4C6F">
        <w:rPr>
          <w:rFonts w:ascii="Arial" w:hAnsi="Arial" w:cs="Arial"/>
          <w:sz w:val="20"/>
          <w:szCs w:val="20"/>
        </w:rPr>
        <w:t>Allemand</w:t>
      </w:r>
      <w:proofErr w:type="spellEnd"/>
      <w:r w:rsidRPr="005C4C6F">
        <w:rPr>
          <w:rFonts w:ascii="Arial" w:hAnsi="Arial" w:cs="Arial"/>
          <w:sz w:val="20"/>
          <w:szCs w:val="20"/>
        </w:rPr>
        <w:t xml:space="preserve"> et al., 2025; </w:t>
      </w:r>
      <w:proofErr w:type="spellStart"/>
      <w:r w:rsidRPr="005C4C6F">
        <w:rPr>
          <w:rFonts w:ascii="Arial" w:hAnsi="Arial" w:cs="Arial"/>
          <w:sz w:val="20"/>
          <w:szCs w:val="20"/>
        </w:rPr>
        <w:t>Siegele</w:t>
      </w:r>
      <w:proofErr w:type="spellEnd"/>
      <w:r w:rsidRPr="005C4C6F">
        <w:rPr>
          <w:rFonts w:ascii="Arial" w:hAnsi="Arial" w:cs="Arial"/>
          <w:sz w:val="20"/>
          <w:szCs w:val="20"/>
        </w:rPr>
        <w:t xml:space="preserve"> et al., 2024).​</w:t>
      </w:r>
    </w:p>
    <w:p w14:paraId="14D38431" w14:textId="68CE0371" w:rsidR="005C4C6F" w:rsidRPr="005C4C6F" w:rsidRDefault="005C4C6F" w:rsidP="005C4C6F">
      <w:pPr>
        <w:jc w:val="both"/>
        <w:rPr>
          <w:rFonts w:ascii="Arial" w:hAnsi="Arial" w:cs="Arial"/>
          <w:sz w:val="20"/>
          <w:szCs w:val="20"/>
        </w:rPr>
      </w:pPr>
      <w:r w:rsidRPr="005C4C6F">
        <w:rPr>
          <w:rFonts w:ascii="Arial" w:hAnsi="Arial" w:cs="Arial"/>
          <w:sz w:val="20"/>
          <w:szCs w:val="20"/>
        </w:rPr>
        <w:t>Gender-sensitive HR policies span the employee lifecycle. Effective strategies include bias-mitigating recruitment targeting female candidates, regular diversity audits, and specialized HR training to address hiring and retention inequities (</w:t>
      </w:r>
      <w:proofErr w:type="spellStart"/>
      <w:r w:rsidRPr="005C4C6F">
        <w:rPr>
          <w:rFonts w:ascii="Arial" w:hAnsi="Arial" w:cs="Arial"/>
          <w:sz w:val="20"/>
          <w:szCs w:val="20"/>
        </w:rPr>
        <w:t>Coupaud</w:t>
      </w:r>
      <w:proofErr w:type="spellEnd"/>
      <w:r w:rsidRPr="005C4C6F">
        <w:rPr>
          <w:rFonts w:ascii="Arial" w:hAnsi="Arial" w:cs="Arial"/>
          <w:sz w:val="20"/>
          <w:szCs w:val="20"/>
        </w:rPr>
        <w:t>, 2025; Erwin, 2023; Tran et al., 2024). These systemic interventions dismantle barriers at entry and progression stages.​</w:t>
      </w:r>
    </w:p>
    <w:p w14:paraId="68E9FF93" w14:textId="4266EDC0" w:rsidR="005C4C6F" w:rsidRPr="005C4C6F" w:rsidRDefault="005C4C6F" w:rsidP="005C4C6F">
      <w:pPr>
        <w:jc w:val="both"/>
        <w:rPr>
          <w:rFonts w:ascii="Arial" w:hAnsi="Arial" w:cs="Arial"/>
          <w:sz w:val="20"/>
          <w:szCs w:val="20"/>
        </w:rPr>
      </w:pPr>
      <w:r w:rsidRPr="005C4C6F">
        <w:rPr>
          <w:rFonts w:ascii="Arial" w:hAnsi="Arial" w:cs="Arial"/>
          <w:sz w:val="20"/>
          <w:szCs w:val="20"/>
        </w:rPr>
        <w:t>Equitable skills and professional development access addresses women's persistent opportunity gaps. Targeted upskilling programs and leadership advancement initiatives equip women for senior roles in evolving industries (</w:t>
      </w:r>
      <w:proofErr w:type="spellStart"/>
      <w:r w:rsidRPr="005C4C6F">
        <w:rPr>
          <w:rFonts w:ascii="Arial" w:hAnsi="Arial" w:cs="Arial"/>
          <w:sz w:val="20"/>
          <w:szCs w:val="20"/>
        </w:rPr>
        <w:t>Góral</w:t>
      </w:r>
      <w:proofErr w:type="spellEnd"/>
      <w:r w:rsidRPr="005C4C6F">
        <w:rPr>
          <w:rFonts w:ascii="Arial" w:hAnsi="Arial" w:cs="Arial"/>
          <w:sz w:val="20"/>
          <w:szCs w:val="20"/>
        </w:rPr>
        <w:t xml:space="preserve">, 2023; Islam et al., 2025; </w:t>
      </w:r>
      <w:proofErr w:type="spellStart"/>
      <w:r w:rsidRPr="005C4C6F">
        <w:rPr>
          <w:rFonts w:ascii="Arial" w:hAnsi="Arial" w:cs="Arial"/>
          <w:sz w:val="20"/>
          <w:szCs w:val="20"/>
        </w:rPr>
        <w:t>Šmídová</w:t>
      </w:r>
      <w:proofErr w:type="spellEnd"/>
      <w:r w:rsidRPr="005C4C6F">
        <w:rPr>
          <w:rFonts w:ascii="Arial" w:hAnsi="Arial" w:cs="Arial"/>
          <w:sz w:val="20"/>
          <w:szCs w:val="20"/>
        </w:rPr>
        <w:t>, 2016). Such investments prevent skill obsolescence and promote competitive parity.​</w:t>
      </w:r>
    </w:p>
    <w:p w14:paraId="06514982" w14:textId="73FEA6A1" w:rsidR="00D63B98" w:rsidRPr="00AF078C" w:rsidRDefault="005C4C6F" w:rsidP="005C4C6F">
      <w:pPr>
        <w:jc w:val="both"/>
        <w:rPr>
          <w:rFonts w:ascii="Arial" w:hAnsi="Arial" w:cs="Arial"/>
          <w:sz w:val="20"/>
          <w:szCs w:val="20"/>
        </w:rPr>
      </w:pPr>
      <w:r w:rsidRPr="005C4C6F">
        <w:rPr>
          <w:rFonts w:ascii="Arial" w:hAnsi="Arial" w:cs="Arial"/>
          <w:sz w:val="20"/>
          <w:szCs w:val="20"/>
        </w:rPr>
        <w:t>Pay and policy equity demands transparency and compliance to eliminate wage gaps. Organizations must value and fairly compensate "women's work" in administrative/support roles while enforcing clear wage policies (Hindman, 2025; Islam et al., 2025; Farrugia et al., 2024). Comprehensive HR transformation creates equitable career architectures essential for maritime logistics.​</w:t>
      </w:r>
    </w:p>
    <w:p w14:paraId="2B20BBD9" w14:textId="4F2F26E8" w:rsidR="00072ED9" w:rsidRPr="00AF078C" w:rsidRDefault="00AA0820" w:rsidP="000E5606">
      <w:pPr>
        <w:jc w:val="both"/>
        <w:rPr>
          <w:rFonts w:ascii="Arial" w:hAnsi="Arial" w:cs="Arial"/>
          <w:b/>
          <w:bCs/>
          <w:sz w:val="22"/>
          <w:szCs w:val="22"/>
        </w:rPr>
      </w:pPr>
      <w:r w:rsidRPr="00AF078C">
        <w:rPr>
          <w:rFonts w:ascii="Arial" w:hAnsi="Arial" w:cs="Arial"/>
          <w:b/>
          <w:bCs/>
          <w:sz w:val="22"/>
          <w:szCs w:val="22"/>
        </w:rPr>
        <w:t xml:space="preserve">4.5 </w:t>
      </w:r>
      <w:r w:rsidR="00072ED9" w:rsidRPr="00AF078C">
        <w:rPr>
          <w:rFonts w:ascii="Arial" w:hAnsi="Arial" w:cs="Arial"/>
          <w:b/>
          <w:bCs/>
          <w:sz w:val="22"/>
          <w:szCs w:val="22"/>
        </w:rPr>
        <w:t>Mentorship Development</w:t>
      </w:r>
    </w:p>
    <w:p w14:paraId="4BA76972" w14:textId="4F881775" w:rsidR="005C4C6F" w:rsidRPr="005C4C6F" w:rsidRDefault="005C4C6F" w:rsidP="005C4C6F">
      <w:pPr>
        <w:jc w:val="both"/>
        <w:rPr>
          <w:rFonts w:ascii="Arial" w:hAnsi="Arial" w:cs="Arial"/>
          <w:sz w:val="20"/>
          <w:szCs w:val="20"/>
        </w:rPr>
      </w:pPr>
      <w:r w:rsidRPr="005C4C6F">
        <w:rPr>
          <w:rFonts w:ascii="Arial" w:hAnsi="Arial" w:cs="Arial"/>
          <w:sz w:val="20"/>
          <w:szCs w:val="20"/>
        </w:rPr>
        <w:t>Mentorship, sponsorship, and leadership development emerge as the fourth critical theme, providing targeted interventions that empower women to navigate male-dominated career landscapes beyond policy and cultural reforms (Schulz et al., 2024; Mousa et al., 2023).​</w:t>
      </w:r>
    </w:p>
    <w:p w14:paraId="3D3B89B7" w14:textId="06F7125C" w:rsidR="005C4C6F" w:rsidRPr="005C4C6F" w:rsidRDefault="005C4C6F" w:rsidP="005C4C6F">
      <w:pPr>
        <w:jc w:val="both"/>
        <w:rPr>
          <w:rFonts w:ascii="Arial" w:hAnsi="Arial" w:cs="Arial"/>
          <w:sz w:val="20"/>
          <w:szCs w:val="20"/>
        </w:rPr>
      </w:pPr>
      <w:r w:rsidRPr="005C4C6F">
        <w:rPr>
          <w:rFonts w:ascii="Arial" w:hAnsi="Arial" w:cs="Arial"/>
          <w:sz w:val="20"/>
          <w:szCs w:val="20"/>
        </w:rPr>
        <w:t xml:space="preserve">Mentorship and sponsorship programs counter exclusion from informal male networks prevalent in maritime logistics. Sponsorship engages senior leaders to actively advocate for women's advancement, bridging access gaps to key opportunities (Schulz et al., 2024; Tran et al., 2024; </w:t>
      </w:r>
      <w:proofErr w:type="spellStart"/>
      <w:r w:rsidRPr="005C4C6F">
        <w:rPr>
          <w:rFonts w:ascii="Arial" w:hAnsi="Arial" w:cs="Arial"/>
          <w:sz w:val="20"/>
          <w:szCs w:val="20"/>
        </w:rPr>
        <w:t>Borgkvist</w:t>
      </w:r>
      <w:proofErr w:type="spellEnd"/>
      <w:r w:rsidRPr="005C4C6F">
        <w:rPr>
          <w:rFonts w:ascii="Arial" w:hAnsi="Arial" w:cs="Arial"/>
          <w:sz w:val="20"/>
          <w:szCs w:val="20"/>
        </w:rPr>
        <w:t xml:space="preserve"> et al., 2021). These relationships build visibility and credibility essential for progression.​</w:t>
      </w:r>
    </w:p>
    <w:p w14:paraId="323B97E0" w14:textId="1CDF7985" w:rsidR="005C4C6F" w:rsidRPr="005C4C6F" w:rsidRDefault="005C4C6F" w:rsidP="005C4C6F">
      <w:pPr>
        <w:jc w:val="both"/>
        <w:rPr>
          <w:rFonts w:ascii="Arial" w:hAnsi="Arial" w:cs="Arial"/>
          <w:sz w:val="20"/>
          <w:szCs w:val="20"/>
        </w:rPr>
      </w:pPr>
      <w:r w:rsidRPr="005C4C6F">
        <w:rPr>
          <w:rFonts w:ascii="Arial" w:hAnsi="Arial" w:cs="Arial"/>
          <w:sz w:val="20"/>
          <w:szCs w:val="20"/>
        </w:rPr>
        <w:t xml:space="preserve">Targeted leadership development proves equally vital. Inclusive programs and early exposure to female leaders normalize women in authority roles, providing role models and skill-building (Mousa et al., 2023; </w:t>
      </w:r>
      <w:proofErr w:type="spellStart"/>
      <w:r w:rsidRPr="005C4C6F">
        <w:rPr>
          <w:rFonts w:ascii="Arial" w:hAnsi="Arial" w:cs="Arial"/>
          <w:sz w:val="20"/>
          <w:szCs w:val="20"/>
        </w:rPr>
        <w:t>Allemand</w:t>
      </w:r>
      <w:proofErr w:type="spellEnd"/>
      <w:r w:rsidRPr="005C4C6F">
        <w:rPr>
          <w:rFonts w:ascii="Arial" w:hAnsi="Arial" w:cs="Arial"/>
          <w:sz w:val="20"/>
          <w:szCs w:val="20"/>
        </w:rPr>
        <w:t xml:space="preserve"> et al., 2025). Supportive structures help women overcome gendered obstacles and cultivate leadership confidence (Erwin, 2023).​</w:t>
      </w:r>
    </w:p>
    <w:p w14:paraId="2F0B5E06" w14:textId="77777777" w:rsidR="005C4C6F" w:rsidRDefault="005C4C6F" w:rsidP="005C4C6F">
      <w:pPr>
        <w:jc w:val="both"/>
        <w:rPr>
          <w:rFonts w:ascii="Arial" w:hAnsi="Arial" w:cs="Arial"/>
          <w:sz w:val="20"/>
          <w:szCs w:val="20"/>
        </w:rPr>
      </w:pPr>
      <w:r w:rsidRPr="005C4C6F">
        <w:rPr>
          <w:rFonts w:ascii="Arial" w:hAnsi="Arial" w:cs="Arial"/>
          <w:sz w:val="20"/>
          <w:szCs w:val="20"/>
        </w:rPr>
        <w:lastRenderedPageBreak/>
        <w:t xml:space="preserve">Gender-diverse leadership catalyzes systemic change. Beyond hiring quotas, success requires mentorship reform and challenging masculine norms favoring assertiveness over collaboration (Simon, 2019; </w:t>
      </w:r>
      <w:proofErr w:type="spellStart"/>
      <w:r w:rsidRPr="005C4C6F">
        <w:rPr>
          <w:rFonts w:ascii="Arial" w:hAnsi="Arial" w:cs="Arial"/>
          <w:sz w:val="20"/>
          <w:szCs w:val="20"/>
        </w:rPr>
        <w:t>Xiu</w:t>
      </w:r>
      <w:proofErr w:type="spellEnd"/>
      <w:r w:rsidRPr="005C4C6F">
        <w:rPr>
          <w:rFonts w:ascii="Arial" w:hAnsi="Arial" w:cs="Arial"/>
          <w:sz w:val="20"/>
          <w:szCs w:val="20"/>
        </w:rPr>
        <w:t xml:space="preserve"> et al., 2024). Diverse leadership representation transforms organizational culture and decision-making paradigms.</w:t>
      </w:r>
    </w:p>
    <w:p w14:paraId="120EB238" w14:textId="762CC841" w:rsidR="00D217EA" w:rsidRPr="00AF078C" w:rsidRDefault="00AA0820" w:rsidP="005C4C6F">
      <w:pPr>
        <w:jc w:val="both"/>
        <w:rPr>
          <w:rFonts w:ascii="Arial" w:hAnsi="Arial" w:cs="Arial"/>
          <w:b/>
          <w:bCs/>
          <w:sz w:val="20"/>
          <w:szCs w:val="20"/>
        </w:rPr>
      </w:pPr>
      <w:r w:rsidRPr="00AF078C">
        <w:rPr>
          <w:rFonts w:ascii="Arial" w:hAnsi="Arial" w:cs="Arial"/>
          <w:b/>
          <w:bCs/>
          <w:sz w:val="20"/>
          <w:szCs w:val="20"/>
        </w:rPr>
        <w:t xml:space="preserve">4.6 </w:t>
      </w:r>
      <w:r w:rsidR="002A0AE4" w:rsidRPr="00AF078C">
        <w:rPr>
          <w:rFonts w:ascii="Arial" w:hAnsi="Arial" w:cs="Arial"/>
          <w:b/>
          <w:bCs/>
          <w:sz w:val="20"/>
          <w:szCs w:val="20"/>
        </w:rPr>
        <w:t xml:space="preserve">Organizational Culture </w:t>
      </w:r>
      <w:r w:rsidR="00F03C59" w:rsidRPr="00AF078C">
        <w:rPr>
          <w:rFonts w:ascii="Arial" w:hAnsi="Arial" w:cs="Arial"/>
          <w:b/>
          <w:bCs/>
          <w:sz w:val="20"/>
          <w:szCs w:val="20"/>
        </w:rPr>
        <w:t>Shift</w:t>
      </w:r>
    </w:p>
    <w:p w14:paraId="7153CE93" w14:textId="5BAC6E89" w:rsidR="005C4C6F" w:rsidRPr="005C4C6F" w:rsidRDefault="005C4C6F" w:rsidP="005C4C6F">
      <w:pPr>
        <w:jc w:val="both"/>
        <w:rPr>
          <w:rFonts w:ascii="Arial" w:hAnsi="Arial" w:cs="Arial"/>
          <w:sz w:val="20"/>
          <w:szCs w:val="20"/>
        </w:rPr>
      </w:pPr>
      <w:r w:rsidRPr="005C4C6F">
        <w:rPr>
          <w:rFonts w:ascii="Arial" w:hAnsi="Arial" w:cs="Arial"/>
          <w:sz w:val="20"/>
          <w:szCs w:val="20"/>
        </w:rPr>
        <w:t>The fifth key theme emphasizes organizational culture and climate as pivotal for gender equity, where daily environments and norms either empower or marginalize women beyond formal policies (Ahmad, 2022; Mousa et al., 2023).​</w:t>
      </w:r>
    </w:p>
    <w:p w14:paraId="3606B244" w14:textId="01195FA1" w:rsidR="005C4C6F" w:rsidRPr="005C4C6F" w:rsidRDefault="005C4C6F" w:rsidP="005C4C6F">
      <w:pPr>
        <w:jc w:val="both"/>
        <w:rPr>
          <w:rFonts w:ascii="Arial" w:hAnsi="Arial" w:cs="Arial"/>
          <w:sz w:val="20"/>
          <w:szCs w:val="20"/>
        </w:rPr>
      </w:pPr>
      <w:r w:rsidRPr="005C4C6F">
        <w:rPr>
          <w:rFonts w:ascii="Arial" w:hAnsi="Arial" w:cs="Arial"/>
          <w:sz w:val="20"/>
          <w:szCs w:val="20"/>
        </w:rPr>
        <w:t xml:space="preserve">Supportive, inclusive cultures form the foundation. Building credibility, trust, harassment-free safe spaces, non-judgmental climates, and inclusive team dynamics dismantle informal barriers and foster psychological safety where women's contributions are valued (Ahmad, 2022; Mousa et al., 2023; </w:t>
      </w:r>
      <w:proofErr w:type="spellStart"/>
      <w:r w:rsidRPr="005C4C6F">
        <w:rPr>
          <w:rFonts w:ascii="Arial" w:hAnsi="Arial" w:cs="Arial"/>
          <w:sz w:val="20"/>
          <w:szCs w:val="20"/>
        </w:rPr>
        <w:t>Xiu</w:t>
      </w:r>
      <w:proofErr w:type="spellEnd"/>
      <w:r w:rsidRPr="005C4C6F">
        <w:rPr>
          <w:rFonts w:ascii="Arial" w:hAnsi="Arial" w:cs="Arial"/>
          <w:sz w:val="20"/>
          <w:szCs w:val="20"/>
        </w:rPr>
        <w:t xml:space="preserve"> et al., 2024).​</w:t>
      </w:r>
    </w:p>
    <w:p w14:paraId="071E3BE4" w14:textId="45765F81" w:rsidR="005C4C6F" w:rsidRPr="005C4C6F" w:rsidRDefault="005C4C6F" w:rsidP="005C4C6F">
      <w:pPr>
        <w:jc w:val="both"/>
        <w:rPr>
          <w:rFonts w:ascii="Arial" w:hAnsi="Arial" w:cs="Arial"/>
          <w:sz w:val="20"/>
          <w:szCs w:val="20"/>
        </w:rPr>
      </w:pPr>
      <w:r w:rsidRPr="005C4C6F">
        <w:rPr>
          <w:rFonts w:ascii="Arial" w:hAnsi="Arial" w:cs="Arial"/>
          <w:sz w:val="20"/>
          <w:szCs w:val="20"/>
        </w:rPr>
        <w:t xml:space="preserve">Validating lived workplace experiences proves essential. Direct interventions addressing coworker bias and robust, enforced harassment prevention acknowledge women's realities, transforming policies into empathetic action that builds belonging (Baines &amp; Armstrong, 2019; Erwin, 2023; </w:t>
      </w:r>
      <w:proofErr w:type="spellStart"/>
      <w:r w:rsidRPr="005C4C6F">
        <w:rPr>
          <w:rFonts w:ascii="Arial" w:hAnsi="Arial" w:cs="Arial"/>
          <w:sz w:val="20"/>
          <w:szCs w:val="20"/>
        </w:rPr>
        <w:t>Xiu</w:t>
      </w:r>
      <w:proofErr w:type="spellEnd"/>
      <w:r w:rsidRPr="005C4C6F">
        <w:rPr>
          <w:rFonts w:ascii="Arial" w:hAnsi="Arial" w:cs="Arial"/>
          <w:sz w:val="20"/>
          <w:szCs w:val="20"/>
        </w:rPr>
        <w:t xml:space="preserve"> et al., 2024).​</w:t>
      </w:r>
    </w:p>
    <w:p w14:paraId="33AFD68F" w14:textId="2DEC41FE" w:rsidR="00DF4A3F" w:rsidRPr="00AF078C" w:rsidRDefault="005C4C6F" w:rsidP="005C4C6F">
      <w:pPr>
        <w:jc w:val="both"/>
        <w:rPr>
          <w:rFonts w:ascii="Arial" w:hAnsi="Arial" w:cs="Arial"/>
          <w:sz w:val="20"/>
          <w:szCs w:val="20"/>
        </w:rPr>
      </w:pPr>
      <w:r w:rsidRPr="005C4C6F">
        <w:rPr>
          <w:rFonts w:ascii="Arial" w:hAnsi="Arial" w:cs="Arial"/>
          <w:sz w:val="20"/>
          <w:szCs w:val="20"/>
        </w:rPr>
        <w:t>Fundamental cultural transformation challenges masculine leadership standards and ideal worker norms (</w:t>
      </w:r>
      <w:proofErr w:type="spellStart"/>
      <w:r w:rsidRPr="005C4C6F">
        <w:rPr>
          <w:rFonts w:ascii="Arial" w:hAnsi="Arial" w:cs="Arial"/>
          <w:sz w:val="20"/>
          <w:szCs w:val="20"/>
        </w:rPr>
        <w:t>Shivhare</w:t>
      </w:r>
      <w:proofErr w:type="spellEnd"/>
      <w:r w:rsidRPr="005C4C6F">
        <w:rPr>
          <w:rFonts w:ascii="Arial" w:hAnsi="Arial" w:cs="Arial"/>
          <w:sz w:val="20"/>
          <w:szCs w:val="20"/>
        </w:rPr>
        <w:t xml:space="preserve"> &amp; L, 2025). Promoting diverse leadership styles valuing collaboration alongside assertiveness, plus inclusive social spaces, dismantles male networks and cultivates equitable cohesion (</w:t>
      </w:r>
      <w:proofErr w:type="spellStart"/>
      <w:r w:rsidRPr="005C4C6F">
        <w:rPr>
          <w:rFonts w:ascii="Arial" w:hAnsi="Arial" w:cs="Arial"/>
          <w:sz w:val="20"/>
          <w:szCs w:val="20"/>
        </w:rPr>
        <w:t>Shivhare</w:t>
      </w:r>
      <w:proofErr w:type="spellEnd"/>
      <w:r w:rsidRPr="005C4C6F">
        <w:rPr>
          <w:rFonts w:ascii="Arial" w:hAnsi="Arial" w:cs="Arial"/>
          <w:sz w:val="20"/>
          <w:szCs w:val="20"/>
        </w:rPr>
        <w:t xml:space="preserve"> &amp; L, 2025; Tran et al., 2024; Simon, 2019). Integrating bias awareness, sensitization, and structural reforms ensures sustained, transformative equity beyond isolated interventions.</w:t>
      </w:r>
    </w:p>
    <w:p w14:paraId="19DD4E99" w14:textId="77777777" w:rsidR="00DF4A3F" w:rsidRPr="00AF078C" w:rsidRDefault="00DF4A3F" w:rsidP="000E5606">
      <w:pPr>
        <w:jc w:val="both"/>
        <w:rPr>
          <w:rFonts w:ascii="Arial" w:hAnsi="Arial" w:cs="Arial"/>
          <w:sz w:val="20"/>
          <w:szCs w:val="20"/>
        </w:rPr>
      </w:pPr>
    </w:p>
    <w:p w14:paraId="51AA5C2E" w14:textId="7C17B279" w:rsidR="002A0AE4" w:rsidRPr="00AF078C" w:rsidRDefault="00AA0820" w:rsidP="000E5606">
      <w:pPr>
        <w:jc w:val="both"/>
        <w:rPr>
          <w:rFonts w:ascii="Arial" w:hAnsi="Arial" w:cs="Arial"/>
          <w:b/>
          <w:bCs/>
          <w:sz w:val="20"/>
          <w:szCs w:val="20"/>
        </w:rPr>
      </w:pPr>
      <w:r w:rsidRPr="00AF078C">
        <w:rPr>
          <w:rFonts w:ascii="Arial" w:hAnsi="Arial" w:cs="Arial"/>
          <w:b/>
          <w:bCs/>
          <w:sz w:val="20"/>
          <w:szCs w:val="20"/>
        </w:rPr>
        <w:t xml:space="preserve">4.7 </w:t>
      </w:r>
      <w:r w:rsidR="002A0AE4" w:rsidRPr="00AF078C">
        <w:rPr>
          <w:rFonts w:ascii="Arial" w:hAnsi="Arial" w:cs="Arial"/>
          <w:b/>
          <w:bCs/>
          <w:sz w:val="20"/>
          <w:szCs w:val="20"/>
        </w:rPr>
        <w:t>Awareness &amp; Sensitization</w:t>
      </w:r>
    </w:p>
    <w:bookmarkEnd w:id="2"/>
    <w:p w14:paraId="454FB131" w14:textId="063B23A0" w:rsidR="005C4C6F" w:rsidRPr="005C4C6F" w:rsidRDefault="005C4C6F" w:rsidP="005C4C6F">
      <w:pPr>
        <w:jc w:val="both"/>
        <w:rPr>
          <w:rFonts w:ascii="Arial" w:hAnsi="Arial" w:cs="Arial"/>
          <w:sz w:val="20"/>
          <w:szCs w:val="20"/>
        </w:rPr>
      </w:pPr>
      <w:r w:rsidRPr="005C4C6F">
        <w:rPr>
          <w:rFonts w:ascii="Arial" w:hAnsi="Arial" w:cs="Arial"/>
          <w:sz w:val="20"/>
          <w:szCs w:val="20"/>
        </w:rPr>
        <w:t xml:space="preserve">Promoting gender equity demands comprehensive awareness initiatives. Unconscious bias training and gender sensitization programs expose covert biases in interactions and decision-making, cultivating critical awareness among leaders about microaggressions, stereotypes, and power dynamics (David et al., 2023; Erwin, 2023; </w:t>
      </w:r>
      <w:proofErr w:type="spellStart"/>
      <w:r w:rsidRPr="005C4C6F">
        <w:rPr>
          <w:rFonts w:ascii="Arial" w:hAnsi="Arial" w:cs="Arial"/>
          <w:sz w:val="20"/>
          <w:szCs w:val="20"/>
        </w:rPr>
        <w:t>Möller</w:t>
      </w:r>
      <w:proofErr w:type="spellEnd"/>
      <w:r w:rsidRPr="005C4C6F">
        <w:rPr>
          <w:rFonts w:ascii="Arial" w:hAnsi="Arial" w:cs="Arial"/>
          <w:sz w:val="20"/>
          <w:szCs w:val="20"/>
        </w:rPr>
        <w:t xml:space="preserve"> et al., 2024; </w:t>
      </w:r>
      <w:proofErr w:type="spellStart"/>
      <w:r w:rsidRPr="005C4C6F">
        <w:rPr>
          <w:rFonts w:ascii="Arial" w:hAnsi="Arial" w:cs="Arial"/>
          <w:sz w:val="20"/>
          <w:szCs w:val="20"/>
        </w:rPr>
        <w:t>Shivhare</w:t>
      </w:r>
      <w:proofErr w:type="spellEnd"/>
      <w:r w:rsidRPr="005C4C6F">
        <w:rPr>
          <w:rFonts w:ascii="Arial" w:hAnsi="Arial" w:cs="Arial"/>
          <w:sz w:val="20"/>
          <w:szCs w:val="20"/>
        </w:rPr>
        <w:t xml:space="preserve"> &amp; L, 2025).​</w:t>
      </w:r>
    </w:p>
    <w:p w14:paraId="3E682920" w14:textId="25D26E58" w:rsidR="005C4C6F" w:rsidRPr="005C4C6F" w:rsidRDefault="005C4C6F" w:rsidP="005C4C6F">
      <w:pPr>
        <w:jc w:val="both"/>
        <w:rPr>
          <w:rFonts w:ascii="Arial" w:hAnsi="Arial" w:cs="Arial"/>
          <w:sz w:val="20"/>
          <w:szCs w:val="20"/>
        </w:rPr>
      </w:pPr>
      <w:r w:rsidRPr="005C4C6F">
        <w:rPr>
          <w:rFonts w:ascii="Arial" w:hAnsi="Arial" w:cs="Arial"/>
          <w:sz w:val="20"/>
          <w:szCs w:val="20"/>
        </w:rPr>
        <w:t>Safe, non-judgmental environments require robust enforcement. Anti-bullying, anti-harassment policies with top-down accountability and retaliation-free reporting systems address women's lived experiences, transforming commitments into secure workplaces (</w:t>
      </w:r>
      <w:proofErr w:type="spellStart"/>
      <w:r w:rsidRPr="005C4C6F">
        <w:rPr>
          <w:rFonts w:ascii="Arial" w:hAnsi="Arial" w:cs="Arial"/>
          <w:sz w:val="20"/>
          <w:szCs w:val="20"/>
        </w:rPr>
        <w:t>Coupaud</w:t>
      </w:r>
      <w:proofErr w:type="spellEnd"/>
      <w:r w:rsidRPr="005C4C6F">
        <w:rPr>
          <w:rFonts w:ascii="Arial" w:hAnsi="Arial" w:cs="Arial"/>
          <w:sz w:val="20"/>
          <w:szCs w:val="20"/>
        </w:rPr>
        <w:t xml:space="preserve">, 2025; </w:t>
      </w:r>
      <w:proofErr w:type="spellStart"/>
      <w:r w:rsidRPr="005C4C6F">
        <w:rPr>
          <w:rFonts w:ascii="Arial" w:hAnsi="Arial" w:cs="Arial"/>
          <w:sz w:val="20"/>
          <w:szCs w:val="20"/>
        </w:rPr>
        <w:t>Soeters</w:t>
      </w:r>
      <w:proofErr w:type="spellEnd"/>
      <w:r w:rsidRPr="005C4C6F">
        <w:rPr>
          <w:rFonts w:ascii="Arial" w:hAnsi="Arial" w:cs="Arial"/>
          <w:sz w:val="20"/>
          <w:szCs w:val="20"/>
        </w:rPr>
        <w:t xml:space="preserve"> et al., 2021</w:t>
      </w:r>
      <w:proofErr w:type="gramStart"/>
      <w:r w:rsidRPr="005C4C6F">
        <w:rPr>
          <w:rFonts w:ascii="Arial" w:hAnsi="Arial" w:cs="Arial"/>
          <w:sz w:val="20"/>
          <w:szCs w:val="20"/>
        </w:rPr>
        <w:t>).​</w:t>
      </w:r>
      <w:proofErr w:type="gramEnd"/>
    </w:p>
    <w:p w14:paraId="0AF075F8" w14:textId="14DFE8CF" w:rsidR="005C4C6F" w:rsidRPr="005C4C6F" w:rsidRDefault="005C4C6F" w:rsidP="005C4C6F">
      <w:pPr>
        <w:jc w:val="both"/>
        <w:rPr>
          <w:rFonts w:ascii="Arial" w:hAnsi="Arial" w:cs="Arial"/>
          <w:sz w:val="20"/>
          <w:szCs w:val="20"/>
        </w:rPr>
      </w:pPr>
      <w:r w:rsidRPr="005C4C6F">
        <w:rPr>
          <w:rFonts w:ascii="Arial" w:hAnsi="Arial" w:cs="Arial"/>
          <w:sz w:val="20"/>
          <w:szCs w:val="20"/>
        </w:rPr>
        <w:t>Structural reforms complement awareness efforts. Gender-transformative policies challenge embedded assumptions, embedding equity into processes with managerial accountability for monitoring implementation (Acker, 1990; Hindman, 2025).​</w:t>
      </w:r>
    </w:p>
    <w:p w14:paraId="6AC44294" w14:textId="77777777" w:rsidR="005C4C6F" w:rsidRDefault="005C4C6F" w:rsidP="005C4C6F">
      <w:pPr>
        <w:jc w:val="both"/>
        <w:rPr>
          <w:rFonts w:ascii="Arial" w:hAnsi="Arial" w:cs="Arial"/>
          <w:sz w:val="20"/>
          <w:szCs w:val="20"/>
        </w:rPr>
      </w:pPr>
      <w:r w:rsidRPr="005C4C6F">
        <w:rPr>
          <w:rFonts w:ascii="Arial" w:hAnsi="Arial" w:cs="Arial"/>
          <w:sz w:val="20"/>
          <w:szCs w:val="20"/>
        </w:rPr>
        <w:t xml:space="preserve">Intersectionality proves essential. Policies addressing compounded discrimination based on race, class, and nationality ensure cultural sensitivity for women of color and marginalized groups, creating holistic inclusion (Ahmad, 2022; </w:t>
      </w:r>
      <w:proofErr w:type="spellStart"/>
      <w:r w:rsidRPr="005C4C6F">
        <w:rPr>
          <w:rFonts w:ascii="Arial" w:hAnsi="Arial" w:cs="Arial"/>
          <w:sz w:val="20"/>
          <w:szCs w:val="20"/>
        </w:rPr>
        <w:t>Soeters</w:t>
      </w:r>
      <w:proofErr w:type="spellEnd"/>
      <w:r w:rsidRPr="005C4C6F">
        <w:rPr>
          <w:rFonts w:ascii="Arial" w:hAnsi="Arial" w:cs="Arial"/>
          <w:sz w:val="20"/>
          <w:szCs w:val="20"/>
        </w:rPr>
        <w:t xml:space="preserve"> et al., 2021; Tran et al., 2024).​</w:t>
      </w:r>
    </w:p>
    <w:p w14:paraId="07FEF4A6" w14:textId="4A4C4372" w:rsidR="00DE1C63" w:rsidRPr="00AF078C" w:rsidRDefault="00AA0820" w:rsidP="005C4C6F">
      <w:pPr>
        <w:rPr>
          <w:rFonts w:ascii="Arial" w:hAnsi="Arial" w:cs="Arial"/>
          <w:b/>
          <w:bCs/>
          <w:sz w:val="22"/>
          <w:szCs w:val="22"/>
        </w:rPr>
      </w:pPr>
      <w:r w:rsidRPr="00AF078C">
        <w:rPr>
          <w:rFonts w:ascii="Arial" w:hAnsi="Arial" w:cs="Arial"/>
          <w:b/>
          <w:bCs/>
          <w:sz w:val="22"/>
          <w:szCs w:val="22"/>
        </w:rPr>
        <w:t>5. DISCUSSION</w:t>
      </w:r>
    </w:p>
    <w:p w14:paraId="24DE4A3C" w14:textId="77777777" w:rsidR="00DE1C63" w:rsidRDefault="00DE1C63" w:rsidP="00DE1C63">
      <w:pPr>
        <w:jc w:val="both"/>
        <w:rPr>
          <w:rFonts w:ascii="Arial" w:hAnsi="Arial" w:cs="Arial"/>
          <w:sz w:val="20"/>
          <w:szCs w:val="20"/>
        </w:rPr>
      </w:pPr>
      <w:r w:rsidRPr="00AF078C">
        <w:rPr>
          <w:rFonts w:ascii="Arial" w:hAnsi="Arial" w:cs="Arial"/>
          <w:sz w:val="20"/>
          <w:szCs w:val="20"/>
        </w:rPr>
        <w:t>This section begins with a descriptive overview of the 40 included articles, outlining publication trends, study types, methodologies, and geographic contexts. It then presents the core contribution of this review: six key thematic areas synthesized from the literature to understand and address gender equity in male-dominated organizational sectors, with a focus on maritime logistics.</w:t>
      </w:r>
    </w:p>
    <w:p w14:paraId="29F99854" w14:textId="77777777" w:rsidR="005C4C6F" w:rsidRPr="00AF078C" w:rsidRDefault="005C4C6F" w:rsidP="00DE1C63">
      <w:pPr>
        <w:jc w:val="both"/>
        <w:rPr>
          <w:rFonts w:ascii="Arial" w:hAnsi="Arial" w:cs="Arial"/>
          <w:sz w:val="20"/>
          <w:szCs w:val="20"/>
        </w:rPr>
      </w:pPr>
    </w:p>
    <w:p w14:paraId="7ED2AB19" w14:textId="7FA17DC6" w:rsidR="00DE1C63" w:rsidRPr="00AF078C" w:rsidRDefault="00AA0820" w:rsidP="00DE1C63">
      <w:pPr>
        <w:jc w:val="both"/>
        <w:rPr>
          <w:rFonts w:ascii="Arial" w:hAnsi="Arial" w:cs="Arial"/>
          <w:b/>
          <w:bCs/>
          <w:sz w:val="22"/>
          <w:szCs w:val="22"/>
        </w:rPr>
      </w:pPr>
      <w:r w:rsidRPr="00AF078C">
        <w:rPr>
          <w:rFonts w:ascii="Arial" w:hAnsi="Arial" w:cs="Arial"/>
          <w:b/>
          <w:bCs/>
          <w:sz w:val="22"/>
          <w:szCs w:val="22"/>
        </w:rPr>
        <w:lastRenderedPageBreak/>
        <w:t xml:space="preserve">5.1 </w:t>
      </w:r>
      <w:r w:rsidR="00DE1C63" w:rsidRPr="00AF078C">
        <w:rPr>
          <w:rFonts w:ascii="Arial" w:hAnsi="Arial" w:cs="Arial"/>
          <w:b/>
          <w:bCs/>
          <w:sz w:val="22"/>
          <w:szCs w:val="22"/>
        </w:rPr>
        <w:t>Theoretical Implications</w:t>
      </w:r>
    </w:p>
    <w:p w14:paraId="69716A79" w14:textId="6D0E4865" w:rsidR="005C4C6F" w:rsidRPr="005C4C6F" w:rsidRDefault="005C4C6F" w:rsidP="005C4C6F">
      <w:pPr>
        <w:jc w:val="both"/>
        <w:rPr>
          <w:rFonts w:ascii="Arial" w:hAnsi="Arial" w:cs="Arial"/>
          <w:sz w:val="20"/>
          <w:szCs w:val="20"/>
        </w:rPr>
      </w:pPr>
      <w:r w:rsidRPr="005C4C6F">
        <w:rPr>
          <w:rFonts w:ascii="Arial" w:hAnsi="Arial" w:cs="Arial"/>
          <w:sz w:val="20"/>
          <w:szCs w:val="20"/>
        </w:rPr>
        <w:t xml:space="preserve">This systematic literature review validates Gendered Organization Theory (GOT)'s enduring relevance for dissecting gender inequities in contemporary male-dominated industries, particularly maritime logistics (Acker, 1990; Mousa et al., 2023). Synthesizing </w:t>
      </w:r>
      <w:r w:rsidR="00E966E1">
        <w:rPr>
          <w:rFonts w:ascii="Arial" w:hAnsi="Arial" w:cs="Arial"/>
          <w:sz w:val="20"/>
          <w:szCs w:val="20"/>
        </w:rPr>
        <w:t>40</w:t>
      </w:r>
      <w:r w:rsidRPr="005C4C6F">
        <w:rPr>
          <w:rFonts w:ascii="Arial" w:hAnsi="Arial" w:cs="Arial"/>
          <w:sz w:val="20"/>
          <w:szCs w:val="20"/>
        </w:rPr>
        <w:t xml:space="preserve"> diverse sectoral studies extends Acker's foundational framework, demonstrating how gendered structures</w:t>
      </w:r>
      <w:r w:rsidR="00E966E1">
        <w:rPr>
          <w:rFonts w:ascii="Arial" w:hAnsi="Arial" w:cs="Arial"/>
          <w:sz w:val="20"/>
          <w:szCs w:val="20"/>
        </w:rPr>
        <w:t xml:space="preserve"> </w:t>
      </w:r>
      <w:r w:rsidRPr="005C4C6F">
        <w:rPr>
          <w:rFonts w:ascii="Arial" w:hAnsi="Arial" w:cs="Arial"/>
          <w:sz w:val="20"/>
          <w:szCs w:val="20"/>
        </w:rPr>
        <w:t>divisions of labor, interactions, symbols, power hierarchies, and identities</w:t>
      </w:r>
      <w:r w:rsidR="00E966E1">
        <w:rPr>
          <w:rFonts w:ascii="Arial" w:hAnsi="Arial" w:cs="Arial"/>
          <w:sz w:val="20"/>
          <w:szCs w:val="20"/>
        </w:rPr>
        <w:t xml:space="preserve"> </w:t>
      </w:r>
      <w:r w:rsidRPr="005C4C6F">
        <w:rPr>
          <w:rFonts w:ascii="Arial" w:hAnsi="Arial" w:cs="Arial"/>
          <w:sz w:val="20"/>
          <w:szCs w:val="20"/>
        </w:rPr>
        <w:t>persist and evolve across modern organizational contexts (</w:t>
      </w:r>
      <w:proofErr w:type="spellStart"/>
      <w:r w:rsidRPr="005C4C6F">
        <w:rPr>
          <w:rFonts w:ascii="Arial" w:hAnsi="Arial" w:cs="Arial"/>
          <w:sz w:val="20"/>
          <w:szCs w:val="20"/>
        </w:rPr>
        <w:t>Shivhare</w:t>
      </w:r>
      <w:proofErr w:type="spellEnd"/>
      <w:r w:rsidRPr="005C4C6F">
        <w:rPr>
          <w:rFonts w:ascii="Arial" w:hAnsi="Arial" w:cs="Arial"/>
          <w:sz w:val="20"/>
          <w:szCs w:val="20"/>
        </w:rPr>
        <w:t xml:space="preserve"> &amp; L, 2025; Williams et al., 2012; Balmer et al., 2020).</w:t>
      </w:r>
    </w:p>
    <w:p w14:paraId="2AAC24E5" w14:textId="5DF81D07" w:rsidR="005C4C6F" w:rsidRPr="005C4C6F" w:rsidRDefault="005C4C6F" w:rsidP="005C4C6F">
      <w:pPr>
        <w:jc w:val="both"/>
        <w:rPr>
          <w:rFonts w:ascii="Arial" w:hAnsi="Arial" w:cs="Arial"/>
          <w:sz w:val="20"/>
          <w:szCs w:val="20"/>
        </w:rPr>
      </w:pPr>
      <w:r w:rsidRPr="005C4C6F">
        <w:rPr>
          <w:rFonts w:ascii="Arial" w:hAnsi="Arial" w:cs="Arial"/>
          <w:sz w:val="20"/>
          <w:szCs w:val="20"/>
        </w:rPr>
        <w:t>The findings advance GOT by empirically confirming gender inequality as systematically produced and reproduced through institutionalized mechanisms rather than isolated individual biases. The "ideal worker" schema demanding constant availability, opaque promotion networks, and occupational sex segregation represent concrete manifestations of Acker's abstract processes, enriching theoretical understandings of how gender is actively "performed" and normalized within high-pressure industries (</w:t>
      </w:r>
      <w:proofErr w:type="spellStart"/>
      <w:r w:rsidRPr="005C4C6F">
        <w:rPr>
          <w:rFonts w:ascii="Arial" w:hAnsi="Arial" w:cs="Arial"/>
          <w:sz w:val="20"/>
          <w:szCs w:val="20"/>
        </w:rPr>
        <w:t>Randev</w:t>
      </w:r>
      <w:proofErr w:type="spellEnd"/>
      <w:r w:rsidRPr="005C4C6F">
        <w:rPr>
          <w:rFonts w:ascii="Arial" w:hAnsi="Arial" w:cs="Arial"/>
          <w:sz w:val="20"/>
          <w:szCs w:val="20"/>
        </w:rPr>
        <w:t xml:space="preserve">, 2024; Islam et al., 2025; </w:t>
      </w:r>
      <w:proofErr w:type="spellStart"/>
      <w:r w:rsidRPr="005C4C6F">
        <w:rPr>
          <w:rFonts w:ascii="Arial" w:hAnsi="Arial" w:cs="Arial"/>
          <w:sz w:val="20"/>
          <w:szCs w:val="20"/>
        </w:rPr>
        <w:t>Góral</w:t>
      </w:r>
      <w:proofErr w:type="spellEnd"/>
      <w:r w:rsidRPr="005C4C6F">
        <w:rPr>
          <w:rFonts w:ascii="Arial" w:hAnsi="Arial" w:cs="Arial"/>
          <w:sz w:val="20"/>
          <w:szCs w:val="20"/>
        </w:rPr>
        <w:t>, 2023).</w:t>
      </w:r>
    </w:p>
    <w:p w14:paraId="6C102CF3" w14:textId="127E88B6" w:rsidR="005C4C6F" w:rsidRPr="005C4C6F" w:rsidRDefault="005C4C6F" w:rsidP="005C4C6F">
      <w:pPr>
        <w:jc w:val="both"/>
        <w:rPr>
          <w:rFonts w:ascii="Arial" w:hAnsi="Arial" w:cs="Arial"/>
          <w:sz w:val="20"/>
          <w:szCs w:val="20"/>
        </w:rPr>
      </w:pPr>
      <w:r w:rsidRPr="005C4C6F">
        <w:rPr>
          <w:rFonts w:ascii="Arial" w:hAnsi="Arial" w:cs="Arial"/>
          <w:sz w:val="20"/>
          <w:szCs w:val="20"/>
        </w:rPr>
        <w:t xml:space="preserve">Applying GOT to maritime logistics yields sector-specific theoretical insights, illuminating unique power dynamics in ultra-patriarchal environments. The framework exposes how mobility demands, safety vulnerabilities, and hierarchical command structures amplify gendered barriers beyond generic workplaces, while intersectional factors like nationality and class compound exclusion for women from developing contexts (UNCTAD, 2021; Hindman, 2025; </w:t>
      </w:r>
      <w:proofErr w:type="spellStart"/>
      <w:r w:rsidRPr="005C4C6F">
        <w:rPr>
          <w:rFonts w:ascii="Arial" w:hAnsi="Arial" w:cs="Arial"/>
          <w:sz w:val="20"/>
          <w:szCs w:val="20"/>
        </w:rPr>
        <w:t>Coupaud</w:t>
      </w:r>
      <w:proofErr w:type="spellEnd"/>
      <w:r w:rsidRPr="005C4C6F">
        <w:rPr>
          <w:rFonts w:ascii="Arial" w:hAnsi="Arial" w:cs="Arial"/>
          <w:sz w:val="20"/>
          <w:szCs w:val="20"/>
        </w:rPr>
        <w:t>, 2025; Ahmad, 2022).</w:t>
      </w:r>
    </w:p>
    <w:p w14:paraId="6F2E2C28" w14:textId="1B4F6890" w:rsidR="005C4C6F" w:rsidRPr="005C4C6F" w:rsidRDefault="005C4C6F" w:rsidP="005C4C6F">
      <w:pPr>
        <w:jc w:val="both"/>
        <w:rPr>
          <w:rFonts w:ascii="Arial" w:hAnsi="Arial" w:cs="Arial"/>
          <w:sz w:val="20"/>
          <w:szCs w:val="20"/>
        </w:rPr>
      </w:pPr>
      <w:r w:rsidRPr="005C4C6F">
        <w:rPr>
          <w:rFonts w:ascii="Arial" w:hAnsi="Arial" w:cs="Arial"/>
          <w:sz w:val="20"/>
          <w:szCs w:val="20"/>
        </w:rPr>
        <w:t>This review bridges GOT's macro-structural focus with micro-level interventions, theorizing how bias awareness training, mentorship networks, and policy reforms interact with entrenched norms to either reinforce or dismantle gender hierarchies (</w:t>
      </w:r>
      <w:proofErr w:type="spellStart"/>
      <w:r w:rsidRPr="005C4C6F">
        <w:rPr>
          <w:rFonts w:ascii="Arial" w:hAnsi="Arial" w:cs="Arial"/>
          <w:sz w:val="20"/>
          <w:szCs w:val="20"/>
        </w:rPr>
        <w:t>Möller</w:t>
      </w:r>
      <w:proofErr w:type="spellEnd"/>
      <w:r w:rsidRPr="005C4C6F">
        <w:rPr>
          <w:rFonts w:ascii="Arial" w:hAnsi="Arial" w:cs="Arial"/>
          <w:sz w:val="20"/>
          <w:szCs w:val="20"/>
        </w:rPr>
        <w:t xml:space="preserve"> et al., 2024; Schulz et al., 2024). It establishes a dynamic model where organizational culture mediates between structural constraints and equity outcomes, extending theory to explain both persistence and pathways for transformation.</w:t>
      </w:r>
    </w:p>
    <w:p w14:paraId="73AEA799" w14:textId="506B29DD" w:rsidR="005C4C6F" w:rsidRPr="005C4C6F" w:rsidRDefault="005C4C6F" w:rsidP="005C4C6F">
      <w:pPr>
        <w:jc w:val="both"/>
        <w:rPr>
          <w:rFonts w:ascii="Arial" w:hAnsi="Arial" w:cs="Arial"/>
          <w:sz w:val="20"/>
          <w:szCs w:val="20"/>
        </w:rPr>
      </w:pPr>
      <w:r w:rsidRPr="005C4C6F">
        <w:rPr>
          <w:rFonts w:ascii="Arial" w:hAnsi="Arial" w:cs="Arial"/>
          <w:sz w:val="20"/>
          <w:szCs w:val="20"/>
        </w:rPr>
        <w:t>Theoretically, these findings challenge gender-neutral organizational scholarship by demonstrating that "universal" HR practices like flexibility policies reproduce inequities when filtered through gendered logics (</w:t>
      </w:r>
      <w:proofErr w:type="spellStart"/>
      <w:r w:rsidRPr="005C4C6F">
        <w:rPr>
          <w:rFonts w:ascii="Arial" w:hAnsi="Arial" w:cs="Arial"/>
          <w:sz w:val="20"/>
          <w:szCs w:val="20"/>
        </w:rPr>
        <w:t>Borgkvist</w:t>
      </w:r>
      <w:proofErr w:type="spellEnd"/>
      <w:r w:rsidRPr="005C4C6F">
        <w:rPr>
          <w:rFonts w:ascii="Arial" w:hAnsi="Arial" w:cs="Arial"/>
          <w:sz w:val="20"/>
          <w:szCs w:val="20"/>
        </w:rPr>
        <w:t xml:space="preserve"> et al., 2021). GOT emerges not only as diagnostic but as prescriptive, guiding intersectional, multi-level interventions essential for industries resisting cultural evolution (Tran et al., 2024; </w:t>
      </w:r>
      <w:proofErr w:type="spellStart"/>
      <w:r w:rsidRPr="005C4C6F">
        <w:rPr>
          <w:rFonts w:ascii="Arial" w:hAnsi="Arial" w:cs="Arial"/>
          <w:sz w:val="20"/>
          <w:szCs w:val="20"/>
        </w:rPr>
        <w:t>Soeters</w:t>
      </w:r>
      <w:proofErr w:type="spellEnd"/>
      <w:r w:rsidRPr="005C4C6F">
        <w:rPr>
          <w:rFonts w:ascii="Arial" w:hAnsi="Arial" w:cs="Arial"/>
          <w:sz w:val="20"/>
          <w:szCs w:val="20"/>
        </w:rPr>
        <w:t xml:space="preserve"> et al., 2021).</w:t>
      </w:r>
    </w:p>
    <w:p w14:paraId="25FA066E" w14:textId="77777777" w:rsidR="005C4C6F" w:rsidRDefault="005C4C6F" w:rsidP="005C4C6F">
      <w:pPr>
        <w:jc w:val="both"/>
        <w:rPr>
          <w:rFonts w:ascii="Arial" w:hAnsi="Arial" w:cs="Arial"/>
          <w:sz w:val="20"/>
          <w:szCs w:val="20"/>
        </w:rPr>
      </w:pPr>
      <w:r w:rsidRPr="005C4C6F">
        <w:rPr>
          <w:rFonts w:ascii="Arial" w:hAnsi="Arial" w:cs="Arial"/>
          <w:sz w:val="20"/>
          <w:szCs w:val="20"/>
        </w:rPr>
        <w:t xml:space="preserve">Finally, this synthesis positions maritime logistics as a critical test case for GOT's generalizability, validating its transportability from Western healthcare/academia contexts to Global South operational sectors while identifying contextual adaptations needed for high-mobility, safety-critical industries (Khan et al., 2025; </w:t>
      </w:r>
      <w:proofErr w:type="spellStart"/>
      <w:r w:rsidRPr="005C4C6F">
        <w:rPr>
          <w:rFonts w:ascii="Arial" w:hAnsi="Arial" w:cs="Arial"/>
          <w:sz w:val="20"/>
          <w:szCs w:val="20"/>
        </w:rPr>
        <w:t>Siegele</w:t>
      </w:r>
      <w:proofErr w:type="spellEnd"/>
      <w:r w:rsidRPr="005C4C6F">
        <w:rPr>
          <w:rFonts w:ascii="Arial" w:hAnsi="Arial" w:cs="Arial"/>
          <w:sz w:val="20"/>
          <w:szCs w:val="20"/>
        </w:rPr>
        <w:t xml:space="preserve"> et al., 2024). The review thus contributes a refined, industry-calibrated iteration of GOT equipped to address 21st-century workforce challenges.</w:t>
      </w:r>
    </w:p>
    <w:p w14:paraId="3B0E1C0F" w14:textId="3A31DD0D" w:rsidR="00DE1C63" w:rsidRPr="00AF078C" w:rsidRDefault="00AA0820" w:rsidP="005C4C6F">
      <w:pPr>
        <w:jc w:val="both"/>
        <w:rPr>
          <w:rFonts w:ascii="Arial" w:hAnsi="Arial" w:cs="Arial"/>
          <w:sz w:val="22"/>
          <w:szCs w:val="22"/>
        </w:rPr>
      </w:pPr>
      <w:r w:rsidRPr="00AF078C">
        <w:rPr>
          <w:rFonts w:ascii="Arial" w:hAnsi="Arial" w:cs="Arial"/>
          <w:b/>
          <w:bCs/>
          <w:sz w:val="22"/>
          <w:szCs w:val="22"/>
        </w:rPr>
        <w:t xml:space="preserve">5.2 </w:t>
      </w:r>
      <w:r w:rsidR="00DE1C63" w:rsidRPr="00AF078C">
        <w:rPr>
          <w:rFonts w:ascii="Arial" w:hAnsi="Arial" w:cs="Arial"/>
          <w:b/>
          <w:bCs/>
          <w:sz w:val="22"/>
          <w:szCs w:val="22"/>
        </w:rPr>
        <w:t>Practical Implications</w:t>
      </w:r>
    </w:p>
    <w:p w14:paraId="1C2B36A3" w14:textId="36CE0A23" w:rsidR="005C4C6F" w:rsidRPr="005C4C6F" w:rsidRDefault="005C4C6F" w:rsidP="005C4C6F">
      <w:pPr>
        <w:jc w:val="both"/>
        <w:rPr>
          <w:rFonts w:ascii="Arial" w:hAnsi="Arial" w:cs="Arial"/>
          <w:sz w:val="20"/>
          <w:szCs w:val="20"/>
        </w:rPr>
      </w:pPr>
      <w:r w:rsidRPr="005C4C6F">
        <w:rPr>
          <w:rFonts w:ascii="Arial" w:hAnsi="Arial" w:cs="Arial"/>
          <w:sz w:val="20"/>
          <w:szCs w:val="20"/>
        </w:rPr>
        <w:t>This review provides maritime logistics leaders, HR practitioners, and policymakers with comprehensive, evidence-based strategies to systematically dismantle gender barriers (UNCTAD, 2021; Islam et al., 2025). Initial workforce planning requires gender audits of current composition followed by targeted recruitment campaigns partnering with maritime academies and women's networks to address the critical 2% female seafarer representation (</w:t>
      </w:r>
      <w:proofErr w:type="spellStart"/>
      <w:r w:rsidRPr="005C4C6F">
        <w:rPr>
          <w:rFonts w:ascii="Arial" w:hAnsi="Arial" w:cs="Arial"/>
          <w:sz w:val="20"/>
          <w:szCs w:val="20"/>
        </w:rPr>
        <w:t>Coupaud</w:t>
      </w:r>
      <w:proofErr w:type="spellEnd"/>
      <w:r w:rsidRPr="005C4C6F">
        <w:rPr>
          <w:rFonts w:ascii="Arial" w:hAnsi="Arial" w:cs="Arial"/>
          <w:sz w:val="20"/>
          <w:szCs w:val="20"/>
        </w:rPr>
        <w:t>, 2025; Farrugia et al., 2024; UNCTAD, 2021).​</w:t>
      </w:r>
    </w:p>
    <w:p w14:paraId="4C6E1899" w14:textId="749C9A08" w:rsidR="005C4C6F" w:rsidRPr="005C4C6F" w:rsidRDefault="005C4C6F" w:rsidP="005C4C6F">
      <w:pPr>
        <w:jc w:val="both"/>
        <w:rPr>
          <w:rFonts w:ascii="Arial" w:hAnsi="Arial" w:cs="Arial"/>
          <w:sz w:val="20"/>
          <w:szCs w:val="20"/>
        </w:rPr>
      </w:pPr>
      <w:r w:rsidRPr="005C4C6F">
        <w:rPr>
          <w:rFonts w:ascii="Arial" w:hAnsi="Arial" w:cs="Arial"/>
          <w:sz w:val="20"/>
          <w:szCs w:val="20"/>
        </w:rPr>
        <w:t>Operational restructuring demands innovative role design, creating shore-based hybrid positions combining oversight with flexible hours for women balancing family responsibilities (</w:t>
      </w:r>
      <w:proofErr w:type="spellStart"/>
      <w:r w:rsidRPr="005C4C6F">
        <w:rPr>
          <w:rFonts w:ascii="Arial" w:hAnsi="Arial" w:cs="Arial"/>
          <w:sz w:val="20"/>
          <w:szCs w:val="20"/>
        </w:rPr>
        <w:t>Shivhare</w:t>
      </w:r>
      <w:proofErr w:type="spellEnd"/>
      <w:r w:rsidRPr="005C4C6F">
        <w:rPr>
          <w:rFonts w:ascii="Arial" w:hAnsi="Arial" w:cs="Arial"/>
          <w:sz w:val="20"/>
          <w:szCs w:val="20"/>
        </w:rPr>
        <w:t xml:space="preserve"> &amp; L, 2025; Balmer et al., 2020). Rotational shore-sea assignments accommodating maternity cycles enable sustained participation without career interruption (</w:t>
      </w:r>
      <w:proofErr w:type="spellStart"/>
      <w:r w:rsidRPr="005C4C6F">
        <w:rPr>
          <w:rFonts w:ascii="Arial" w:hAnsi="Arial" w:cs="Arial"/>
          <w:sz w:val="20"/>
          <w:szCs w:val="20"/>
        </w:rPr>
        <w:t>Siegele</w:t>
      </w:r>
      <w:proofErr w:type="spellEnd"/>
      <w:r w:rsidRPr="005C4C6F">
        <w:rPr>
          <w:rFonts w:ascii="Arial" w:hAnsi="Arial" w:cs="Arial"/>
          <w:sz w:val="20"/>
          <w:szCs w:val="20"/>
        </w:rPr>
        <w:t xml:space="preserve"> et al., 2024). Compensation transparency mandates annual gender pay </w:t>
      </w:r>
      <w:r w:rsidRPr="005C4C6F">
        <w:rPr>
          <w:rFonts w:ascii="Arial" w:hAnsi="Arial" w:cs="Arial"/>
          <w:sz w:val="20"/>
          <w:szCs w:val="20"/>
        </w:rPr>
        <w:lastRenderedPageBreak/>
        <w:t xml:space="preserve">gap reporting with action plans and salary bands tied to objective competencies, while reclassifying administrative roles ensures equitable valuation (Hindman, 2025; Islam et al., 2025; </w:t>
      </w:r>
      <w:proofErr w:type="spellStart"/>
      <w:r w:rsidRPr="005C4C6F">
        <w:rPr>
          <w:rFonts w:ascii="Arial" w:hAnsi="Arial" w:cs="Arial"/>
          <w:sz w:val="20"/>
          <w:szCs w:val="20"/>
        </w:rPr>
        <w:t>Randev</w:t>
      </w:r>
      <w:proofErr w:type="spellEnd"/>
      <w:r w:rsidRPr="005C4C6F">
        <w:rPr>
          <w:rFonts w:ascii="Arial" w:hAnsi="Arial" w:cs="Arial"/>
          <w:sz w:val="20"/>
          <w:szCs w:val="20"/>
        </w:rPr>
        <w:t>, 2024).</w:t>
      </w:r>
    </w:p>
    <w:p w14:paraId="787BC7A7" w14:textId="7750DF8A" w:rsidR="005C4C6F" w:rsidRPr="005C4C6F" w:rsidRDefault="005C4C6F" w:rsidP="005C4C6F">
      <w:pPr>
        <w:jc w:val="both"/>
        <w:rPr>
          <w:rFonts w:ascii="Arial" w:hAnsi="Arial" w:cs="Arial"/>
          <w:sz w:val="20"/>
          <w:szCs w:val="20"/>
        </w:rPr>
      </w:pPr>
      <w:r w:rsidRPr="005C4C6F">
        <w:rPr>
          <w:rFonts w:ascii="Arial" w:hAnsi="Arial" w:cs="Arial"/>
          <w:sz w:val="20"/>
          <w:szCs w:val="20"/>
        </w:rPr>
        <w:t>Mentorship and succession planning require formal cross-functional programs pairing operational women with C-suite sponsors, tracked through HR dashboards for accountability (Schulz et al., 2024; Mousa et al., 2023). Promotion panels must achieve 30% female representation with veto authority over biased decisions, countering informal networks (Tran et al., 2024). Safety protocols demand 24/7 anonymous reporting applications with 48-hour investigation mandates, alongside crew-wide bystander intervention training and zero-tolerance disciplinary matrices (</w:t>
      </w:r>
      <w:proofErr w:type="spellStart"/>
      <w:r w:rsidRPr="005C4C6F">
        <w:rPr>
          <w:rFonts w:ascii="Arial" w:hAnsi="Arial" w:cs="Arial"/>
          <w:sz w:val="20"/>
          <w:szCs w:val="20"/>
        </w:rPr>
        <w:t>Coupaud</w:t>
      </w:r>
      <w:proofErr w:type="spellEnd"/>
      <w:r w:rsidRPr="005C4C6F">
        <w:rPr>
          <w:rFonts w:ascii="Arial" w:hAnsi="Arial" w:cs="Arial"/>
          <w:sz w:val="20"/>
          <w:szCs w:val="20"/>
        </w:rPr>
        <w:t xml:space="preserve">, 2025; Erwin, 2023; </w:t>
      </w:r>
      <w:proofErr w:type="spellStart"/>
      <w:r w:rsidRPr="005C4C6F">
        <w:rPr>
          <w:rFonts w:ascii="Arial" w:hAnsi="Arial" w:cs="Arial"/>
          <w:sz w:val="20"/>
          <w:szCs w:val="20"/>
        </w:rPr>
        <w:t>Soeters</w:t>
      </w:r>
      <w:proofErr w:type="spellEnd"/>
      <w:r w:rsidRPr="005C4C6F">
        <w:rPr>
          <w:rFonts w:ascii="Arial" w:hAnsi="Arial" w:cs="Arial"/>
          <w:sz w:val="20"/>
          <w:szCs w:val="20"/>
        </w:rPr>
        <w:t xml:space="preserve"> et al., 2021).</w:t>
      </w:r>
    </w:p>
    <w:p w14:paraId="119502D5" w14:textId="57FC4490" w:rsidR="005C4C6F" w:rsidRPr="005C4C6F" w:rsidRDefault="005C4C6F" w:rsidP="005C4C6F">
      <w:pPr>
        <w:jc w:val="both"/>
        <w:rPr>
          <w:rFonts w:ascii="Arial" w:hAnsi="Arial" w:cs="Arial"/>
          <w:sz w:val="20"/>
          <w:szCs w:val="20"/>
        </w:rPr>
      </w:pPr>
      <w:r w:rsidRPr="005C4C6F">
        <w:rPr>
          <w:rFonts w:ascii="Arial" w:hAnsi="Arial" w:cs="Arial"/>
          <w:sz w:val="20"/>
          <w:szCs w:val="20"/>
        </w:rPr>
        <w:t>Leadership accountability frameworks tie 20% of executive bonuses to diversity KPIs including hiring, retention, and promotion rates, verified through external audits (</w:t>
      </w:r>
      <w:proofErr w:type="spellStart"/>
      <w:r w:rsidRPr="005C4C6F">
        <w:rPr>
          <w:rFonts w:ascii="Arial" w:hAnsi="Arial" w:cs="Arial"/>
          <w:sz w:val="20"/>
          <w:szCs w:val="20"/>
        </w:rPr>
        <w:t>Kalev</w:t>
      </w:r>
      <w:proofErr w:type="spellEnd"/>
      <w:r w:rsidRPr="005C4C6F">
        <w:rPr>
          <w:rFonts w:ascii="Arial" w:hAnsi="Arial" w:cs="Arial"/>
          <w:sz w:val="20"/>
          <w:szCs w:val="20"/>
        </w:rPr>
        <w:t xml:space="preserve"> et al., 2006). Annual "gender equity impact assessments" for policy changes, presented to boards, ensure continuous alignment (</w:t>
      </w:r>
      <w:proofErr w:type="spellStart"/>
      <w:r w:rsidRPr="005C4C6F">
        <w:rPr>
          <w:rFonts w:ascii="Arial" w:hAnsi="Arial" w:cs="Arial"/>
          <w:sz w:val="20"/>
          <w:szCs w:val="20"/>
        </w:rPr>
        <w:t>Möller</w:t>
      </w:r>
      <w:proofErr w:type="spellEnd"/>
      <w:r w:rsidRPr="005C4C6F">
        <w:rPr>
          <w:rFonts w:ascii="Arial" w:hAnsi="Arial" w:cs="Arial"/>
          <w:sz w:val="20"/>
          <w:szCs w:val="20"/>
        </w:rPr>
        <w:t xml:space="preserve"> et al., 2024). Cultural integration embeds GOT case studies in onboarding and leadership training while quarterly recognition of "equity champions" normalizes inclusive behaviors (Acker, 1990; Ahmad, 2022).</w:t>
      </w:r>
    </w:p>
    <w:p w14:paraId="0DD5FF36" w14:textId="4E6E1DED" w:rsidR="005C4C6F" w:rsidRDefault="005C4C6F" w:rsidP="005C4C6F">
      <w:pPr>
        <w:jc w:val="both"/>
        <w:rPr>
          <w:rFonts w:ascii="Arial" w:hAnsi="Arial" w:cs="Arial"/>
          <w:sz w:val="20"/>
          <w:szCs w:val="20"/>
        </w:rPr>
      </w:pPr>
      <w:r w:rsidRPr="005C4C6F">
        <w:rPr>
          <w:rFonts w:ascii="Arial" w:hAnsi="Arial" w:cs="Arial"/>
          <w:sz w:val="20"/>
          <w:szCs w:val="20"/>
        </w:rPr>
        <w:t xml:space="preserve">These interventions transform maritime logistics from gender-hostile environments to inclusive workplaces, leveraging diverse talent for competitive advantage while advancing UN Sustainable Development Goal 5 (UNCTAD, 2021; </w:t>
      </w:r>
      <w:proofErr w:type="spellStart"/>
      <w:r w:rsidRPr="005C4C6F">
        <w:rPr>
          <w:rFonts w:ascii="Arial" w:hAnsi="Arial" w:cs="Arial"/>
          <w:sz w:val="20"/>
          <w:szCs w:val="20"/>
        </w:rPr>
        <w:t>Kalev</w:t>
      </w:r>
      <w:proofErr w:type="spellEnd"/>
      <w:r w:rsidRPr="005C4C6F">
        <w:rPr>
          <w:rFonts w:ascii="Arial" w:hAnsi="Arial" w:cs="Arial"/>
          <w:sz w:val="20"/>
          <w:szCs w:val="20"/>
        </w:rPr>
        <w:t xml:space="preserve"> et al., 2006).</w:t>
      </w:r>
    </w:p>
    <w:p w14:paraId="67E576BA" w14:textId="6D205E7E" w:rsidR="00382F4D" w:rsidRPr="00AF078C" w:rsidRDefault="00F9026A" w:rsidP="005C4C6F">
      <w:pPr>
        <w:rPr>
          <w:rFonts w:ascii="Arial" w:hAnsi="Arial" w:cs="Arial"/>
          <w:b/>
          <w:bCs/>
          <w:sz w:val="22"/>
          <w:szCs w:val="22"/>
        </w:rPr>
      </w:pPr>
      <w:r w:rsidRPr="00AF078C">
        <w:rPr>
          <w:rFonts w:ascii="Arial" w:hAnsi="Arial" w:cs="Arial"/>
          <w:b/>
          <w:bCs/>
          <w:sz w:val="22"/>
          <w:szCs w:val="22"/>
        </w:rPr>
        <w:t>6. CONCLUSION</w:t>
      </w:r>
    </w:p>
    <w:p w14:paraId="3D112264" w14:textId="612F6484" w:rsidR="00863F02" w:rsidRPr="00AF078C" w:rsidRDefault="00382F4D" w:rsidP="000E5606">
      <w:pPr>
        <w:jc w:val="both"/>
        <w:rPr>
          <w:rFonts w:ascii="Arial" w:hAnsi="Arial" w:cs="Arial"/>
          <w:sz w:val="20"/>
          <w:szCs w:val="20"/>
        </w:rPr>
      </w:pPr>
      <w:r w:rsidRPr="00AF078C">
        <w:rPr>
          <w:rFonts w:ascii="Arial" w:hAnsi="Arial" w:cs="Arial"/>
          <w:sz w:val="20"/>
          <w:szCs w:val="20"/>
        </w:rPr>
        <w:t xml:space="preserve">This systematic literature review, guided by Gendered Organization Theory, has consolidated the fragmented scholarly insights on promoting gender equity in male-dominated industries, thereby providing an evidence-based foundation for action within the maritime logistics sector. The key drivers identified </w:t>
      </w:r>
      <w:r w:rsidR="00487CA7" w:rsidRPr="00AF078C">
        <w:rPr>
          <w:rFonts w:ascii="Arial" w:hAnsi="Arial" w:cs="Arial"/>
          <w:sz w:val="20"/>
          <w:szCs w:val="20"/>
        </w:rPr>
        <w:t xml:space="preserve">are </w:t>
      </w:r>
      <w:r w:rsidRPr="00AF078C">
        <w:rPr>
          <w:rFonts w:ascii="Arial" w:hAnsi="Arial" w:cs="Arial"/>
          <w:sz w:val="20"/>
          <w:szCs w:val="20"/>
        </w:rPr>
        <w:t>leadership development, mentorship, family-friendly policies, and bias awareness</w:t>
      </w:r>
      <w:r w:rsidR="005044C2" w:rsidRPr="00AF078C">
        <w:rPr>
          <w:rFonts w:ascii="Arial" w:hAnsi="Arial" w:cs="Arial"/>
          <w:sz w:val="20"/>
          <w:szCs w:val="20"/>
        </w:rPr>
        <w:t xml:space="preserve"> </w:t>
      </w:r>
      <w:r w:rsidRPr="00AF078C">
        <w:rPr>
          <w:rFonts w:ascii="Arial" w:hAnsi="Arial" w:cs="Arial"/>
          <w:sz w:val="20"/>
          <w:szCs w:val="20"/>
        </w:rPr>
        <w:t>are not standalone solutions but are interconnected mechanisms for systemic change. The review highlights that while policy is a necessary first step, it is insufficient without a parallel focus on creating an inclusive organizational culture and holding leaders accountable for enacting equitable practices. The findings underscore that a holistic, intersectional approach is crucial for addressing the complex, multi-layered barriers women face, ensuring that interventions are tailored to the lived realities of a diverse workforce. By applying these insights, organizations can move beyond tokenistic gestures to foster a genuinely equitable and inclusive environment, ultimately benefiting the entire industry.</w:t>
      </w:r>
    </w:p>
    <w:bookmarkEnd w:id="0"/>
    <w:bookmarkEnd w:id="3"/>
    <w:p w14:paraId="27AD9F57" w14:textId="5810C990" w:rsidR="000F78E6" w:rsidRDefault="00F9026A" w:rsidP="00F9026A">
      <w:pPr>
        <w:rPr>
          <w:rFonts w:ascii="Arial" w:hAnsi="Arial" w:cs="Arial"/>
          <w:b/>
          <w:bCs/>
          <w:sz w:val="22"/>
          <w:szCs w:val="22"/>
        </w:rPr>
      </w:pPr>
      <w:r w:rsidRPr="00AF078C">
        <w:rPr>
          <w:rFonts w:ascii="Arial" w:hAnsi="Arial" w:cs="Arial"/>
          <w:b/>
          <w:bCs/>
          <w:sz w:val="22"/>
          <w:szCs w:val="22"/>
        </w:rPr>
        <w:t>7. REFERENCES</w:t>
      </w:r>
    </w:p>
    <w:p w14:paraId="5F24273F" w14:textId="0C561501" w:rsidR="0067417A" w:rsidRDefault="0067417A" w:rsidP="00F9026A">
      <w:pPr>
        <w:rPr>
          <w:rFonts w:ascii="Arial" w:hAnsi="Arial" w:cs="Arial"/>
          <w:sz w:val="20"/>
          <w:szCs w:val="20"/>
        </w:rPr>
      </w:pPr>
      <w:r w:rsidRPr="0067417A">
        <w:rPr>
          <w:rFonts w:ascii="Arial" w:hAnsi="Arial" w:cs="Arial"/>
          <w:sz w:val="20"/>
          <w:szCs w:val="20"/>
        </w:rPr>
        <w:t xml:space="preserve">Acker, J. (1990). Hierarchies, jobs, bodies: A theory of gendered organizations. Gender &amp; Society, 4(2), 139–158. </w:t>
      </w:r>
      <w:hyperlink r:id="rId9" w:history="1">
        <w:r w:rsidRPr="0067417A">
          <w:rPr>
            <w:rStyle w:val="Hyperlink"/>
            <w:rFonts w:ascii="Arial" w:hAnsi="Arial" w:cs="Arial"/>
            <w:sz w:val="20"/>
            <w:szCs w:val="20"/>
          </w:rPr>
          <w:t>https://doi.org/10.1177/089124390004002002</w:t>
        </w:r>
      </w:hyperlink>
    </w:p>
    <w:p w14:paraId="55B9088C" w14:textId="17889377" w:rsidR="0067417A" w:rsidRDefault="0067417A" w:rsidP="00F9026A">
      <w:pPr>
        <w:rPr>
          <w:rFonts w:ascii="Arial" w:hAnsi="Arial" w:cs="Arial"/>
          <w:sz w:val="20"/>
          <w:szCs w:val="20"/>
        </w:rPr>
      </w:pPr>
      <w:r w:rsidRPr="0067417A">
        <w:rPr>
          <w:rFonts w:ascii="Arial" w:hAnsi="Arial" w:cs="Arial"/>
          <w:sz w:val="20"/>
          <w:szCs w:val="20"/>
        </w:rPr>
        <w:t xml:space="preserve">Ahmad, S. (2022). Coping with conundrums: Lower ranked Pakistani policewomen and gender inequity at the workplace. Gender &amp; Society, 36(1), 127–152. </w:t>
      </w:r>
      <w:hyperlink r:id="rId10" w:history="1">
        <w:r w:rsidRPr="0066729A">
          <w:rPr>
            <w:rStyle w:val="Hyperlink"/>
            <w:rFonts w:ascii="Arial" w:hAnsi="Arial" w:cs="Arial"/>
            <w:sz w:val="20"/>
            <w:szCs w:val="20"/>
          </w:rPr>
          <w:t>https://doi.org/10.1177/08912432211067968</w:t>
        </w:r>
      </w:hyperlink>
    </w:p>
    <w:p w14:paraId="1DD7326B" w14:textId="1C220741" w:rsidR="0067417A" w:rsidRDefault="0067417A" w:rsidP="00F9026A">
      <w:pPr>
        <w:rPr>
          <w:rFonts w:ascii="Arial" w:hAnsi="Arial" w:cs="Arial"/>
          <w:sz w:val="20"/>
          <w:szCs w:val="20"/>
        </w:rPr>
      </w:pPr>
      <w:proofErr w:type="spellStart"/>
      <w:r w:rsidRPr="0067417A">
        <w:rPr>
          <w:rFonts w:ascii="Arial" w:hAnsi="Arial" w:cs="Arial"/>
          <w:sz w:val="20"/>
          <w:szCs w:val="20"/>
        </w:rPr>
        <w:t>Allemand</w:t>
      </w:r>
      <w:proofErr w:type="spellEnd"/>
      <w:r w:rsidRPr="0067417A">
        <w:rPr>
          <w:rFonts w:ascii="Arial" w:hAnsi="Arial" w:cs="Arial"/>
          <w:sz w:val="20"/>
          <w:szCs w:val="20"/>
        </w:rPr>
        <w:t xml:space="preserve">, I., Tran, P. H. H., &amp; Tran, T. H. (2025). Women in Power and Female Employment. Industrial and Labor Relations Review. </w:t>
      </w:r>
      <w:hyperlink r:id="rId11" w:history="1">
        <w:r w:rsidRPr="0066729A">
          <w:rPr>
            <w:rStyle w:val="Hyperlink"/>
            <w:rFonts w:ascii="Arial" w:hAnsi="Arial" w:cs="Arial"/>
            <w:sz w:val="20"/>
            <w:szCs w:val="20"/>
          </w:rPr>
          <w:t>https://doi.org/10.1177/00197939241310870</w:t>
        </w:r>
      </w:hyperlink>
    </w:p>
    <w:p w14:paraId="5C1CF03D" w14:textId="0D9D2C41" w:rsidR="0067417A" w:rsidRDefault="0067417A" w:rsidP="00F9026A">
      <w:pPr>
        <w:rPr>
          <w:rFonts w:ascii="Arial" w:hAnsi="Arial" w:cs="Arial"/>
          <w:sz w:val="20"/>
          <w:szCs w:val="20"/>
        </w:rPr>
      </w:pPr>
      <w:r w:rsidRPr="0067417A">
        <w:rPr>
          <w:rFonts w:ascii="Arial" w:hAnsi="Arial" w:cs="Arial"/>
          <w:sz w:val="20"/>
          <w:szCs w:val="20"/>
        </w:rPr>
        <w:t xml:space="preserve">Baines, D., &amp; Armstrong, P. (2019). Non-job work/unpaid caring: Gendered industrial relations in long-term care. Gender, Work &amp; Organization, 26(7), 934–947. </w:t>
      </w:r>
      <w:hyperlink r:id="rId12" w:history="1">
        <w:r w:rsidRPr="0066729A">
          <w:rPr>
            <w:rStyle w:val="Hyperlink"/>
            <w:rFonts w:ascii="Arial" w:hAnsi="Arial" w:cs="Arial"/>
            <w:sz w:val="20"/>
            <w:szCs w:val="20"/>
          </w:rPr>
          <w:t>https://doi.org/10.1111/gwao.12293</w:t>
        </w:r>
      </w:hyperlink>
    </w:p>
    <w:p w14:paraId="5F965BA6" w14:textId="2B216EAC" w:rsidR="0067417A" w:rsidRDefault="0067417A" w:rsidP="00F9026A">
      <w:pPr>
        <w:rPr>
          <w:rFonts w:ascii="Arial" w:hAnsi="Arial" w:cs="Arial"/>
          <w:sz w:val="20"/>
          <w:szCs w:val="20"/>
        </w:rPr>
      </w:pPr>
      <w:r w:rsidRPr="0067417A">
        <w:rPr>
          <w:rFonts w:ascii="Arial" w:hAnsi="Arial" w:cs="Arial"/>
          <w:sz w:val="20"/>
          <w:szCs w:val="20"/>
        </w:rPr>
        <w:t xml:space="preserve">Balmer, D. F., Courts, K. A., Dougherty, B., </w:t>
      </w:r>
      <w:proofErr w:type="spellStart"/>
      <w:r w:rsidRPr="0067417A">
        <w:rPr>
          <w:rFonts w:ascii="Arial" w:hAnsi="Arial" w:cs="Arial"/>
          <w:sz w:val="20"/>
          <w:szCs w:val="20"/>
        </w:rPr>
        <w:t>Tuton</w:t>
      </w:r>
      <w:proofErr w:type="spellEnd"/>
      <w:r w:rsidRPr="0067417A">
        <w:rPr>
          <w:rFonts w:ascii="Arial" w:hAnsi="Arial" w:cs="Arial"/>
          <w:sz w:val="20"/>
          <w:szCs w:val="20"/>
        </w:rPr>
        <w:t xml:space="preserve">, L. W., </w:t>
      </w:r>
      <w:proofErr w:type="spellStart"/>
      <w:r w:rsidRPr="0067417A">
        <w:rPr>
          <w:rFonts w:ascii="Arial" w:hAnsi="Arial" w:cs="Arial"/>
          <w:sz w:val="20"/>
          <w:szCs w:val="20"/>
        </w:rPr>
        <w:t>Abbuhl</w:t>
      </w:r>
      <w:proofErr w:type="spellEnd"/>
      <w:r w:rsidRPr="0067417A">
        <w:rPr>
          <w:rFonts w:ascii="Arial" w:hAnsi="Arial" w:cs="Arial"/>
          <w:sz w:val="20"/>
          <w:szCs w:val="20"/>
        </w:rPr>
        <w:t xml:space="preserve">, S., &amp; </w:t>
      </w:r>
      <w:proofErr w:type="spellStart"/>
      <w:r w:rsidRPr="0067417A">
        <w:rPr>
          <w:rFonts w:ascii="Arial" w:hAnsi="Arial" w:cs="Arial"/>
          <w:sz w:val="20"/>
          <w:szCs w:val="20"/>
        </w:rPr>
        <w:t>Hirshfield</w:t>
      </w:r>
      <w:proofErr w:type="spellEnd"/>
      <w:r w:rsidRPr="0067417A">
        <w:rPr>
          <w:rFonts w:ascii="Arial" w:hAnsi="Arial" w:cs="Arial"/>
          <w:sz w:val="20"/>
          <w:szCs w:val="20"/>
        </w:rPr>
        <w:t xml:space="preserve">, L. E. (2020). Applying the Theory of Gendered Organizations to the Lived Experience of Women with Established Careers in Academic Medicine. Teaching and Learning in Medicine, 32(5), 466–475. </w:t>
      </w:r>
      <w:hyperlink r:id="rId13" w:history="1">
        <w:r w:rsidRPr="0066729A">
          <w:rPr>
            <w:rStyle w:val="Hyperlink"/>
            <w:rFonts w:ascii="Arial" w:hAnsi="Arial" w:cs="Arial"/>
            <w:sz w:val="20"/>
            <w:szCs w:val="20"/>
          </w:rPr>
          <w:t>https://doi.org/10.1080/10401334.2020.1767106</w:t>
        </w:r>
      </w:hyperlink>
    </w:p>
    <w:p w14:paraId="36F91340" w14:textId="1A37E11B" w:rsidR="0067417A" w:rsidRDefault="0067417A" w:rsidP="00F9026A">
      <w:pPr>
        <w:rPr>
          <w:rFonts w:ascii="Arial" w:hAnsi="Arial" w:cs="Arial"/>
          <w:sz w:val="20"/>
          <w:szCs w:val="20"/>
        </w:rPr>
      </w:pPr>
      <w:r w:rsidRPr="0067417A">
        <w:rPr>
          <w:rFonts w:ascii="Arial" w:hAnsi="Arial" w:cs="Arial"/>
          <w:sz w:val="20"/>
          <w:szCs w:val="20"/>
        </w:rPr>
        <w:lastRenderedPageBreak/>
        <w:t xml:space="preserve">Bartlett, A., &amp; Somers, N. (2017). Are women really difficult? Challenges and solutions in the care of women in secure services. The Journal of Forensic Psychiatry &amp; Psychology, 28(2), 226–241. </w:t>
      </w:r>
      <w:hyperlink r:id="rId14" w:history="1">
        <w:r w:rsidRPr="0066729A">
          <w:rPr>
            <w:rStyle w:val="Hyperlink"/>
            <w:rFonts w:ascii="Arial" w:hAnsi="Arial" w:cs="Arial"/>
            <w:sz w:val="20"/>
            <w:szCs w:val="20"/>
          </w:rPr>
          <w:t>https://doi.org/10.1080/14789949.2016.1244281</w:t>
        </w:r>
      </w:hyperlink>
    </w:p>
    <w:p w14:paraId="5486256E" w14:textId="245F1F0D" w:rsidR="0067417A" w:rsidRDefault="0067417A" w:rsidP="00F9026A">
      <w:pPr>
        <w:rPr>
          <w:rFonts w:ascii="Arial" w:hAnsi="Arial" w:cs="Arial"/>
          <w:sz w:val="20"/>
          <w:szCs w:val="20"/>
        </w:rPr>
      </w:pPr>
      <w:proofErr w:type="spellStart"/>
      <w:r w:rsidRPr="0067417A">
        <w:rPr>
          <w:rFonts w:ascii="Arial" w:hAnsi="Arial" w:cs="Arial"/>
          <w:sz w:val="20"/>
          <w:szCs w:val="20"/>
        </w:rPr>
        <w:t>Borgkvist</w:t>
      </w:r>
      <w:proofErr w:type="spellEnd"/>
      <w:r w:rsidRPr="0067417A">
        <w:rPr>
          <w:rFonts w:ascii="Arial" w:hAnsi="Arial" w:cs="Arial"/>
          <w:sz w:val="20"/>
          <w:szCs w:val="20"/>
        </w:rPr>
        <w:t xml:space="preserve">, A., Moore, V., Crabb, S., &amp; </w:t>
      </w:r>
      <w:proofErr w:type="spellStart"/>
      <w:r w:rsidRPr="0067417A">
        <w:rPr>
          <w:rFonts w:ascii="Arial" w:hAnsi="Arial" w:cs="Arial"/>
          <w:sz w:val="20"/>
          <w:szCs w:val="20"/>
        </w:rPr>
        <w:t>Eliott</w:t>
      </w:r>
      <w:proofErr w:type="spellEnd"/>
      <w:r w:rsidRPr="0067417A">
        <w:rPr>
          <w:rFonts w:ascii="Arial" w:hAnsi="Arial" w:cs="Arial"/>
          <w:sz w:val="20"/>
          <w:szCs w:val="20"/>
        </w:rPr>
        <w:t xml:space="preserve">, J. (2021). Critical considerations of workplace flexibility “for all” and gendered outcomes: Men being flexible about their flexibility. Gender, Work &amp; Organization, 28(3), 967–981. </w:t>
      </w:r>
      <w:hyperlink r:id="rId15" w:history="1">
        <w:r w:rsidRPr="0066729A">
          <w:rPr>
            <w:rStyle w:val="Hyperlink"/>
            <w:rFonts w:ascii="Arial" w:hAnsi="Arial" w:cs="Arial"/>
            <w:sz w:val="20"/>
            <w:szCs w:val="20"/>
          </w:rPr>
          <w:t>https://doi.org/10.1111/gwao.12680</w:t>
        </w:r>
      </w:hyperlink>
    </w:p>
    <w:p w14:paraId="0BC03095" w14:textId="470D6C87" w:rsidR="0067417A" w:rsidRDefault="0067417A" w:rsidP="00F9026A">
      <w:pPr>
        <w:rPr>
          <w:rFonts w:ascii="Arial" w:hAnsi="Arial" w:cs="Arial"/>
          <w:sz w:val="20"/>
          <w:szCs w:val="20"/>
        </w:rPr>
      </w:pPr>
      <w:proofErr w:type="spellStart"/>
      <w:r w:rsidRPr="0067417A">
        <w:rPr>
          <w:rFonts w:ascii="Arial" w:hAnsi="Arial" w:cs="Arial"/>
          <w:sz w:val="20"/>
          <w:szCs w:val="20"/>
        </w:rPr>
        <w:t>Chathuranga</w:t>
      </w:r>
      <w:proofErr w:type="spellEnd"/>
      <w:r w:rsidRPr="0067417A">
        <w:rPr>
          <w:rFonts w:ascii="Arial" w:hAnsi="Arial" w:cs="Arial"/>
          <w:sz w:val="20"/>
          <w:szCs w:val="20"/>
        </w:rPr>
        <w:t xml:space="preserve">, S., Jayasinghe, S., </w:t>
      </w:r>
      <w:proofErr w:type="spellStart"/>
      <w:r w:rsidRPr="0067417A">
        <w:rPr>
          <w:rFonts w:ascii="Arial" w:hAnsi="Arial" w:cs="Arial"/>
          <w:sz w:val="20"/>
          <w:szCs w:val="20"/>
        </w:rPr>
        <w:t>Antucheviciene</w:t>
      </w:r>
      <w:proofErr w:type="spellEnd"/>
      <w:r w:rsidRPr="0067417A">
        <w:rPr>
          <w:rFonts w:ascii="Arial" w:hAnsi="Arial" w:cs="Arial"/>
          <w:sz w:val="20"/>
          <w:szCs w:val="20"/>
        </w:rPr>
        <w:t xml:space="preserve">, J., Wickramarachchi, R., </w:t>
      </w:r>
      <w:proofErr w:type="spellStart"/>
      <w:r w:rsidRPr="0067417A">
        <w:rPr>
          <w:rFonts w:ascii="Arial" w:hAnsi="Arial" w:cs="Arial"/>
          <w:sz w:val="20"/>
          <w:szCs w:val="20"/>
        </w:rPr>
        <w:t>Udayanga</w:t>
      </w:r>
      <w:proofErr w:type="spellEnd"/>
      <w:r w:rsidRPr="0067417A">
        <w:rPr>
          <w:rFonts w:ascii="Arial" w:hAnsi="Arial" w:cs="Arial"/>
          <w:sz w:val="20"/>
          <w:szCs w:val="20"/>
        </w:rPr>
        <w:t xml:space="preserve">, N., &amp; </w:t>
      </w:r>
      <w:proofErr w:type="spellStart"/>
      <w:r w:rsidRPr="0067417A">
        <w:rPr>
          <w:rFonts w:ascii="Arial" w:hAnsi="Arial" w:cs="Arial"/>
          <w:sz w:val="20"/>
          <w:szCs w:val="20"/>
        </w:rPr>
        <w:t>Weerakkody</w:t>
      </w:r>
      <w:proofErr w:type="spellEnd"/>
      <w:r w:rsidRPr="0067417A">
        <w:rPr>
          <w:rFonts w:ascii="Arial" w:hAnsi="Arial" w:cs="Arial"/>
          <w:sz w:val="20"/>
          <w:szCs w:val="20"/>
        </w:rPr>
        <w:t xml:space="preserve">, W. A. S. (2023). Practices driving the adoption of agile project management methodologies in the design stage of building construction projects. Buildings, 13(4), 1079. </w:t>
      </w:r>
      <w:hyperlink r:id="rId16" w:history="1">
        <w:r w:rsidRPr="0066729A">
          <w:rPr>
            <w:rStyle w:val="Hyperlink"/>
            <w:rFonts w:ascii="Arial" w:hAnsi="Arial" w:cs="Arial"/>
            <w:sz w:val="20"/>
            <w:szCs w:val="20"/>
          </w:rPr>
          <w:t>https://doi.org/10.3390/buildings13041079</w:t>
        </w:r>
      </w:hyperlink>
    </w:p>
    <w:p w14:paraId="11BAE9C7" w14:textId="3F3D50B7" w:rsidR="0067417A" w:rsidRDefault="0067417A" w:rsidP="00F9026A">
      <w:pPr>
        <w:rPr>
          <w:rFonts w:ascii="Arial" w:hAnsi="Arial" w:cs="Arial"/>
          <w:sz w:val="20"/>
          <w:szCs w:val="20"/>
        </w:rPr>
      </w:pPr>
      <w:proofErr w:type="spellStart"/>
      <w:r w:rsidRPr="0067417A">
        <w:rPr>
          <w:rFonts w:ascii="Arial" w:hAnsi="Arial" w:cs="Arial"/>
          <w:sz w:val="20"/>
          <w:szCs w:val="20"/>
        </w:rPr>
        <w:t>Coupaud</w:t>
      </w:r>
      <w:proofErr w:type="spellEnd"/>
      <w:r w:rsidRPr="0067417A">
        <w:rPr>
          <w:rFonts w:ascii="Arial" w:hAnsi="Arial" w:cs="Arial"/>
          <w:sz w:val="20"/>
          <w:szCs w:val="20"/>
        </w:rPr>
        <w:t xml:space="preserve">, M. (2025). It’s time for a change: Corporate restructuring and unwanted sexual attention at work among European workers. Economic and Industrial Democracy. </w:t>
      </w:r>
      <w:hyperlink r:id="rId17" w:history="1">
        <w:r w:rsidRPr="0066729A">
          <w:rPr>
            <w:rStyle w:val="Hyperlink"/>
            <w:rFonts w:ascii="Arial" w:hAnsi="Arial" w:cs="Arial"/>
            <w:sz w:val="20"/>
            <w:szCs w:val="20"/>
          </w:rPr>
          <w:t>https://doi.org/10.1177/0143831X251331760</w:t>
        </w:r>
      </w:hyperlink>
    </w:p>
    <w:p w14:paraId="0858F002" w14:textId="5C6501F0" w:rsidR="0067417A" w:rsidRDefault="0067417A" w:rsidP="00F9026A">
      <w:pPr>
        <w:rPr>
          <w:rFonts w:ascii="Arial" w:hAnsi="Arial" w:cs="Arial"/>
          <w:sz w:val="20"/>
          <w:szCs w:val="20"/>
        </w:rPr>
      </w:pPr>
      <w:r w:rsidRPr="0067417A">
        <w:rPr>
          <w:rFonts w:ascii="Arial" w:hAnsi="Arial" w:cs="Arial"/>
          <w:sz w:val="20"/>
          <w:szCs w:val="20"/>
        </w:rPr>
        <w:t xml:space="preserve">David, E. M., </w:t>
      </w:r>
      <w:proofErr w:type="spellStart"/>
      <w:r w:rsidRPr="0067417A">
        <w:rPr>
          <w:rFonts w:ascii="Arial" w:hAnsi="Arial" w:cs="Arial"/>
          <w:sz w:val="20"/>
          <w:szCs w:val="20"/>
        </w:rPr>
        <w:t>Volpone</w:t>
      </w:r>
      <w:proofErr w:type="spellEnd"/>
      <w:r w:rsidRPr="0067417A">
        <w:rPr>
          <w:rFonts w:ascii="Arial" w:hAnsi="Arial" w:cs="Arial"/>
          <w:sz w:val="20"/>
          <w:szCs w:val="20"/>
        </w:rPr>
        <w:t xml:space="preserve">, S. D., Avery, D. R., Johnson, L. U., &amp; </w:t>
      </w:r>
      <w:proofErr w:type="spellStart"/>
      <w:r w:rsidRPr="0067417A">
        <w:rPr>
          <w:rFonts w:ascii="Arial" w:hAnsi="Arial" w:cs="Arial"/>
          <w:sz w:val="20"/>
          <w:szCs w:val="20"/>
        </w:rPr>
        <w:t>Crepeau</w:t>
      </w:r>
      <w:proofErr w:type="spellEnd"/>
      <w:r w:rsidRPr="0067417A">
        <w:rPr>
          <w:rFonts w:ascii="Arial" w:hAnsi="Arial" w:cs="Arial"/>
          <w:sz w:val="20"/>
          <w:szCs w:val="20"/>
        </w:rPr>
        <w:t xml:space="preserve">, L. (2023). Am I next? Men and women’s divergent justice perceptions following vicarious mistreatment. Journal of Applied Psychology. </w:t>
      </w:r>
      <w:hyperlink r:id="rId18" w:history="1">
        <w:r w:rsidRPr="0066729A">
          <w:rPr>
            <w:rStyle w:val="Hyperlink"/>
            <w:rFonts w:ascii="Arial" w:hAnsi="Arial" w:cs="Arial"/>
            <w:sz w:val="20"/>
            <w:szCs w:val="20"/>
          </w:rPr>
          <w:t>https://doi.org/10.1037/apl0001109</w:t>
        </w:r>
      </w:hyperlink>
    </w:p>
    <w:p w14:paraId="31D857DC" w14:textId="0E69DA69" w:rsidR="0067417A" w:rsidRDefault="0067417A" w:rsidP="00F9026A">
      <w:pPr>
        <w:rPr>
          <w:rFonts w:ascii="Arial" w:hAnsi="Arial" w:cs="Arial"/>
          <w:sz w:val="20"/>
          <w:szCs w:val="20"/>
        </w:rPr>
      </w:pPr>
      <w:r w:rsidRPr="0067417A">
        <w:rPr>
          <w:rFonts w:ascii="Arial" w:hAnsi="Arial" w:cs="Arial"/>
          <w:sz w:val="20"/>
          <w:szCs w:val="20"/>
        </w:rPr>
        <w:t xml:space="preserve">De Silva, N., </w:t>
      </w:r>
      <w:proofErr w:type="spellStart"/>
      <w:r w:rsidRPr="0067417A">
        <w:rPr>
          <w:rFonts w:ascii="Arial" w:hAnsi="Arial" w:cs="Arial"/>
          <w:sz w:val="20"/>
          <w:szCs w:val="20"/>
        </w:rPr>
        <w:t>Wijayanayake</w:t>
      </w:r>
      <w:proofErr w:type="spellEnd"/>
      <w:r w:rsidRPr="0067417A">
        <w:rPr>
          <w:rFonts w:ascii="Arial" w:hAnsi="Arial" w:cs="Arial"/>
          <w:sz w:val="20"/>
          <w:szCs w:val="20"/>
        </w:rPr>
        <w:t xml:space="preserve">, J., &amp; Jayasinghe, S. (2025). Critical factors influencing the maturity of business analytics of software and apparel industries in Sri Lanka. 2025 International Conference on Advanced Research in Computing. </w:t>
      </w:r>
      <w:hyperlink r:id="rId19" w:history="1">
        <w:r w:rsidRPr="0066729A">
          <w:rPr>
            <w:rStyle w:val="Hyperlink"/>
            <w:rFonts w:ascii="Arial" w:hAnsi="Arial" w:cs="Arial"/>
            <w:sz w:val="20"/>
            <w:szCs w:val="20"/>
          </w:rPr>
          <w:t>http://doi.org/10.1109/ICARC64760.2025.10963021</w:t>
        </w:r>
      </w:hyperlink>
    </w:p>
    <w:p w14:paraId="1689F97B" w14:textId="7A95E055" w:rsidR="0067417A" w:rsidRDefault="0067417A" w:rsidP="00F9026A">
      <w:pPr>
        <w:rPr>
          <w:rFonts w:ascii="Arial" w:hAnsi="Arial" w:cs="Arial"/>
          <w:sz w:val="20"/>
          <w:szCs w:val="20"/>
        </w:rPr>
      </w:pPr>
      <w:r w:rsidRPr="0067417A">
        <w:rPr>
          <w:rFonts w:ascii="Arial" w:hAnsi="Arial" w:cs="Arial"/>
          <w:sz w:val="20"/>
          <w:szCs w:val="20"/>
        </w:rPr>
        <w:t xml:space="preserve">Dias, I., Wickramarachchi, R., &amp; Jayasinghe, S. (2025). Key success factors for adoption of CI/CD with agile project management - Systematic literature review. 2025 International Research Conference on Smart Computing and Systems Engineering. </w:t>
      </w:r>
      <w:hyperlink r:id="rId20" w:history="1">
        <w:r w:rsidRPr="0066729A">
          <w:rPr>
            <w:rStyle w:val="Hyperlink"/>
            <w:rFonts w:ascii="Arial" w:hAnsi="Arial" w:cs="Arial"/>
            <w:sz w:val="20"/>
            <w:szCs w:val="20"/>
          </w:rPr>
          <w:t>http://doi.org/10.1109/SCSE65633.2025.11031019</w:t>
        </w:r>
      </w:hyperlink>
    </w:p>
    <w:p w14:paraId="15B4F6E8" w14:textId="607E3E22" w:rsidR="0067417A" w:rsidRDefault="0067417A" w:rsidP="00F9026A">
      <w:pPr>
        <w:rPr>
          <w:rFonts w:ascii="Arial" w:hAnsi="Arial" w:cs="Arial"/>
          <w:sz w:val="20"/>
          <w:szCs w:val="20"/>
        </w:rPr>
      </w:pPr>
      <w:proofErr w:type="spellStart"/>
      <w:r w:rsidRPr="0067417A">
        <w:rPr>
          <w:rFonts w:ascii="Arial" w:hAnsi="Arial" w:cs="Arial"/>
          <w:sz w:val="20"/>
          <w:szCs w:val="20"/>
        </w:rPr>
        <w:t>Dilhara</w:t>
      </w:r>
      <w:proofErr w:type="spellEnd"/>
      <w:r w:rsidRPr="0067417A">
        <w:rPr>
          <w:rFonts w:ascii="Arial" w:hAnsi="Arial" w:cs="Arial"/>
          <w:sz w:val="20"/>
          <w:szCs w:val="20"/>
        </w:rPr>
        <w:t xml:space="preserve">, T., Jayasinghe, S., &amp; Fernando, I. (2024). Factors influencing the adoption of agile project management methodologies by engineering teams in the telecommunications industry. 2024 International Research Conference on Smart Computing and Systems Engineering. </w:t>
      </w:r>
      <w:hyperlink r:id="rId21" w:history="1">
        <w:r w:rsidRPr="0066729A">
          <w:rPr>
            <w:rStyle w:val="Hyperlink"/>
            <w:rFonts w:ascii="Arial" w:hAnsi="Arial" w:cs="Arial"/>
            <w:sz w:val="20"/>
            <w:szCs w:val="20"/>
          </w:rPr>
          <w:t>http://doi.org/10.1109/SCSE61872.2024.10550785</w:t>
        </w:r>
      </w:hyperlink>
    </w:p>
    <w:p w14:paraId="6BB02E25" w14:textId="361028C1" w:rsidR="0067417A" w:rsidRDefault="0067417A" w:rsidP="00F9026A">
      <w:pPr>
        <w:rPr>
          <w:rFonts w:ascii="Arial" w:hAnsi="Arial" w:cs="Arial"/>
          <w:sz w:val="20"/>
          <w:szCs w:val="20"/>
        </w:rPr>
      </w:pPr>
      <w:r w:rsidRPr="0067417A">
        <w:rPr>
          <w:rFonts w:ascii="Arial" w:hAnsi="Arial" w:cs="Arial"/>
          <w:sz w:val="20"/>
          <w:szCs w:val="20"/>
        </w:rPr>
        <w:t xml:space="preserve">Erwin, S. K. (2023). Invisible and yet </w:t>
      </w:r>
      <w:proofErr w:type="spellStart"/>
      <w:r w:rsidRPr="0067417A">
        <w:rPr>
          <w:rFonts w:ascii="Arial" w:hAnsi="Arial" w:cs="Arial"/>
          <w:sz w:val="20"/>
          <w:szCs w:val="20"/>
        </w:rPr>
        <w:t>hypervisible</w:t>
      </w:r>
      <w:proofErr w:type="spellEnd"/>
      <w:r w:rsidRPr="0067417A">
        <w:rPr>
          <w:rFonts w:ascii="Arial" w:hAnsi="Arial" w:cs="Arial"/>
          <w:sz w:val="20"/>
          <w:szCs w:val="20"/>
        </w:rPr>
        <w:t xml:space="preserve">: gendered misconduct and the U.S. military. Inf </w:t>
      </w:r>
      <w:proofErr w:type="spellStart"/>
      <w:r w:rsidRPr="0067417A">
        <w:rPr>
          <w:rFonts w:ascii="Arial" w:hAnsi="Arial" w:cs="Arial"/>
          <w:sz w:val="20"/>
          <w:szCs w:val="20"/>
        </w:rPr>
        <w:t>Commun</w:t>
      </w:r>
      <w:proofErr w:type="spellEnd"/>
      <w:r w:rsidRPr="0067417A">
        <w:rPr>
          <w:rFonts w:ascii="Arial" w:hAnsi="Arial" w:cs="Arial"/>
          <w:sz w:val="20"/>
          <w:szCs w:val="20"/>
        </w:rPr>
        <w:t xml:space="preserve"> Technol, 11(3), 162–176. </w:t>
      </w:r>
      <w:hyperlink r:id="rId22" w:history="1">
        <w:r w:rsidRPr="0066729A">
          <w:rPr>
            <w:rStyle w:val="Hyperlink"/>
            <w:rFonts w:ascii="Arial" w:hAnsi="Arial" w:cs="Arial"/>
            <w:sz w:val="20"/>
            <w:szCs w:val="20"/>
          </w:rPr>
          <w:t>https://doi.org/10.1108/ICT-10-2022-0075</w:t>
        </w:r>
      </w:hyperlink>
    </w:p>
    <w:p w14:paraId="3F4010A6" w14:textId="46E9520A" w:rsidR="0067417A" w:rsidRDefault="0067417A" w:rsidP="00F9026A">
      <w:pPr>
        <w:rPr>
          <w:rFonts w:ascii="Arial" w:hAnsi="Arial" w:cs="Arial"/>
          <w:sz w:val="20"/>
          <w:szCs w:val="20"/>
        </w:rPr>
      </w:pPr>
      <w:r w:rsidRPr="0067417A">
        <w:rPr>
          <w:rFonts w:ascii="Arial" w:hAnsi="Arial" w:cs="Arial"/>
          <w:sz w:val="20"/>
          <w:szCs w:val="20"/>
        </w:rPr>
        <w:t xml:space="preserve">Farrugia, M., Borg, A., &amp; Thake, A. M. (2024). Investigating the gender pay gap in the Maltese financial and insurance sector: A macro and micro approach. Equality, Diversity and Inclusion, 43(1), 93–113. </w:t>
      </w:r>
      <w:hyperlink r:id="rId23" w:history="1">
        <w:r w:rsidRPr="0066729A">
          <w:rPr>
            <w:rStyle w:val="Hyperlink"/>
            <w:rFonts w:ascii="Arial" w:hAnsi="Arial" w:cs="Arial"/>
            <w:sz w:val="20"/>
            <w:szCs w:val="20"/>
          </w:rPr>
          <w:t>https://doi.org/10.1108/EDI-02-2022-0038</w:t>
        </w:r>
      </w:hyperlink>
    </w:p>
    <w:p w14:paraId="347F51D3" w14:textId="5FF7BD3C" w:rsidR="0067417A" w:rsidRDefault="0067417A" w:rsidP="00F9026A">
      <w:pPr>
        <w:rPr>
          <w:rFonts w:ascii="Arial" w:hAnsi="Arial" w:cs="Arial"/>
          <w:sz w:val="20"/>
          <w:szCs w:val="20"/>
        </w:rPr>
      </w:pPr>
      <w:r w:rsidRPr="0067417A">
        <w:rPr>
          <w:rFonts w:ascii="Arial" w:hAnsi="Arial" w:cs="Arial"/>
          <w:sz w:val="20"/>
          <w:szCs w:val="20"/>
        </w:rPr>
        <w:t xml:space="preserve">Fathima, F., Jayasinghe, S., </w:t>
      </w:r>
      <w:proofErr w:type="spellStart"/>
      <w:r w:rsidRPr="0067417A">
        <w:rPr>
          <w:rFonts w:ascii="Arial" w:hAnsi="Arial" w:cs="Arial"/>
          <w:sz w:val="20"/>
          <w:szCs w:val="20"/>
        </w:rPr>
        <w:t>Prasadika</w:t>
      </w:r>
      <w:proofErr w:type="spellEnd"/>
      <w:r w:rsidRPr="0067417A">
        <w:rPr>
          <w:rFonts w:ascii="Arial" w:hAnsi="Arial" w:cs="Arial"/>
          <w:sz w:val="20"/>
          <w:szCs w:val="20"/>
        </w:rPr>
        <w:t xml:space="preserve">, J., &amp; </w:t>
      </w:r>
      <w:proofErr w:type="spellStart"/>
      <w:r w:rsidRPr="0067417A">
        <w:rPr>
          <w:rFonts w:ascii="Arial" w:hAnsi="Arial" w:cs="Arial"/>
          <w:sz w:val="20"/>
          <w:szCs w:val="20"/>
        </w:rPr>
        <w:t>Wijerathna</w:t>
      </w:r>
      <w:proofErr w:type="spellEnd"/>
      <w:r w:rsidRPr="0067417A">
        <w:rPr>
          <w:rFonts w:ascii="Arial" w:hAnsi="Arial" w:cs="Arial"/>
          <w:sz w:val="20"/>
          <w:szCs w:val="20"/>
        </w:rPr>
        <w:t xml:space="preserve">, S. (2024). Drivers of actual usage of building information modelling tools by civil engineering professionals in construction industry of Sri Lanka. 2024 International Research Conference on Smart Computing and Systems Engineering. </w:t>
      </w:r>
      <w:hyperlink r:id="rId24" w:history="1">
        <w:r w:rsidRPr="0066729A">
          <w:rPr>
            <w:rStyle w:val="Hyperlink"/>
            <w:rFonts w:ascii="Arial" w:hAnsi="Arial" w:cs="Arial"/>
            <w:sz w:val="20"/>
            <w:szCs w:val="20"/>
          </w:rPr>
          <w:t>http://doi.org/10.1109/SCSE61872.2024.10550677</w:t>
        </w:r>
      </w:hyperlink>
    </w:p>
    <w:p w14:paraId="1C2CE6E8" w14:textId="65C4E7EF" w:rsidR="0067417A" w:rsidRDefault="0067417A" w:rsidP="00F9026A">
      <w:pPr>
        <w:rPr>
          <w:rFonts w:ascii="Arial" w:hAnsi="Arial" w:cs="Arial"/>
          <w:sz w:val="20"/>
          <w:szCs w:val="20"/>
        </w:rPr>
      </w:pPr>
      <w:proofErr w:type="spellStart"/>
      <w:r w:rsidRPr="0067417A">
        <w:rPr>
          <w:rFonts w:ascii="Arial" w:hAnsi="Arial" w:cs="Arial"/>
          <w:sz w:val="20"/>
          <w:szCs w:val="20"/>
        </w:rPr>
        <w:t>Galappaththi</w:t>
      </w:r>
      <w:proofErr w:type="spellEnd"/>
      <w:r w:rsidRPr="0067417A">
        <w:rPr>
          <w:rFonts w:ascii="Arial" w:hAnsi="Arial" w:cs="Arial"/>
          <w:sz w:val="20"/>
          <w:szCs w:val="20"/>
        </w:rPr>
        <w:t xml:space="preserve">, D., Jayasinghe, S., &amp; Peiris, P. (2024). Antecedents of customer purchase intention of furniture from online stores with the assistance of augmented reality applications. 2024 International Research Conference on Smart Computing and Systems Engineering. </w:t>
      </w:r>
      <w:hyperlink r:id="rId25" w:history="1">
        <w:r w:rsidRPr="0066729A">
          <w:rPr>
            <w:rStyle w:val="Hyperlink"/>
            <w:rFonts w:ascii="Arial" w:hAnsi="Arial" w:cs="Arial"/>
            <w:sz w:val="20"/>
            <w:szCs w:val="20"/>
          </w:rPr>
          <w:t>http://doi.org/10.1109/SCSE61872.2024.10550849</w:t>
        </w:r>
      </w:hyperlink>
    </w:p>
    <w:p w14:paraId="7F0DA9C8" w14:textId="0677465B" w:rsidR="0067417A" w:rsidRDefault="0067417A" w:rsidP="00F9026A">
      <w:pPr>
        <w:rPr>
          <w:rFonts w:ascii="Arial" w:hAnsi="Arial" w:cs="Arial"/>
          <w:sz w:val="20"/>
          <w:szCs w:val="20"/>
        </w:rPr>
      </w:pPr>
      <w:proofErr w:type="spellStart"/>
      <w:r w:rsidRPr="0067417A">
        <w:rPr>
          <w:rFonts w:ascii="Arial" w:hAnsi="Arial" w:cs="Arial"/>
          <w:sz w:val="20"/>
          <w:szCs w:val="20"/>
        </w:rPr>
        <w:t>Góral</w:t>
      </w:r>
      <w:proofErr w:type="spellEnd"/>
      <w:r w:rsidRPr="0067417A">
        <w:rPr>
          <w:rFonts w:ascii="Arial" w:hAnsi="Arial" w:cs="Arial"/>
          <w:sz w:val="20"/>
          <w:szCs w:val="20"/>
        </w:rPr>
        <w:t xml:space="preserve">, A. (2023). Women in public cultural organizations and their professional paths strategies: A rhizomatic approach. Gender, Work &amp; Organization, 30, 937–956. </w:t>
      </w:r>
      <w:hyperlink r:id="rId26" w:history="1">
        <w:r w:rsidRPr="0066729A">
          <w:rPr>
            <w:rStyle w:val="Hyperlink"/>
            <w:rFonts w:ascii="Arial" w:hAnsi="Arial" w:cs="Arial"/>
            <w:sz w:val="20"/>
            <w:szCs w:val="20"/>
          </w:rPr>
          <w:t>https://doi.org/10.1111/gwao.12950</w:t>
        </w:r>
      </w:hyperlink>
    </w:p>
    <w:p w14:paraId="26DD84D4" w14:textId="7472AD0E" w:rsidR="0067417A" w:rsidRDefault="0067417A" w:rsidP="00F9026A">
      <w:pPr>
        <w:rPr>
          <w:rFonts w:ascii="Arial" w:hAnsi="Arial" w:cs="Arial"/>
          <w:sz w:val="20"/>
          <w:szCs w:val="20"/>
        </w:rPr>
      </w:pPr>
      <w:proofErr w:type="spellStart"/>
      <w:r w:rsidRPr="0067417A">
        <w:rPr>
          <w:rFonts w:ascii="Arial" w:hAnsi="Arial" w:cs="Arial"/>
          <w:sz w:val="20"/>
          <w:szCs w:val="20"/>
        </w:rPr>
        <w:lastRenderedPageBreak/>
        <w:t>Gulløy</w:t>
      </w:r>
      <w:proofErr w:type="spellEnd"/>
      <w:r w:rsidRPr="0067417A">
        <w:rPr>
          <w:rFonts w:ascii="Arial" w:hAnsi="Arial" w:cs="Arial"/>
          <w:sz w:val="20"/>
          <w:szCs w:val="20"/>
        </w:rPr>
        <w:t xml:space="preserve">, E. (2024). Gender, sports, and belonging. The role of sports participation in residential preferences among girls and boys living in Norway's rural peripheries. </w:t>
      </w:r>
      <w:proofErr w:type="spellStart"/>
      <w:r w:rsidRPr="0067417A">
        <w:rPr>
          <w:rFonts w:ascii="Arial" w:hAnsi="Arial" w:cs="Arial"/>
          <w:sz w:val="20"/>
          <w:szCs w:val="20"/>
        </w:rPr>
        <w:t>Fennia</w:t>
      </w:r>
      <w:proofErr w:type="spellEnd"/>
      <w:r w:rsidRPr="0067417A">
        <w:rPr>
          <w:rFonts w:ascii="Arial" w:hAnsi="Arial" w:cs="Arial"/>
          <w:sz w:val="20"/>
          <w:szCs w:val="20"/>
        </w:rPr>
        <w:t xml:space="preserve">, 202(1), 73–92. </w:t>
      </w:r>
      <w:hyperlink r:id="rId27" w:history="1">
        <w:r w:rsidRPr="0066729A">
          <w:rPr>
            <w:rStyle w:val="Hyperlink"/>
            <w:rFonts w:ascii="Arial" w:hAnsi="Arial" w:cs="Arial"/>
            <w:sz w:val="20"/>
            <w:szCs w:val="20"/>
          </w:rPr>
          <w:t>https://doi.org/10.11143/fennia.142427</w:t>
        </w:r>
      </w:hyperlink>
    </w:p>
    <w:p w14:paraId="0E45C8B0" w14:textId="3065050A" w:rsidR="0067417A" w:rsidRDefault="0067417A" w:rsidP="00F9026A">
      <w:pPr>
        <w:rPr>
          <w:rFonts w:ascii="Arial" w:hAnsi="Arial" w:cs="Arial"/>
          <w:sz w:val="20"/>
          <w:szCs w:val="20"/>
        </w:rPr>
      </w:pPr>
      <w:proofErr w:type="spellStart"/>
      <w:r w:rsidRPr="0067417A">
        <w:rPr>
          <w:rFonts w:ascii="Arial" w:hAnsi="Arial" w:cs="Arial"/>
          <w:sz w:val="20"/>
          <w:szCs w:val="20"/>
        </w:rPr>
        <w:t>Hensman</w:t>
      </w:r>
      <w:proofErr w:type="spellEnd"/>
      <w:r w:rsidRPr="0067417A">
        <w:rPr>
          <w:rFonts w:ascii="Arial" w:hAnsi="Arial" w:cs="Arial"/>
          <w:sz w:val="20"/>
          <w:szCs w:val="20"/>
        </w:rPr>
        <w:t xml:space="preserve">, S., Jayasinghe, S., &amp; Fernando, I. (2024). Antecedents of driving customer purchase intention via AI based customer engagement strategies in the post pandemic era. 2024 International Research Conference on Smart Computing and Systems Engineering. </w:t>
      </w:r>
      <w:hyperlink r:id="rId28" w:history="1">
        <w:r w:rsidRPr="0066729A">
          <w:rPr>
            <w:rStyle w:val="Hyperlink"/>
            <w:rFonts w:ascii="Arial" w:hAnsi="Arial" w:cs="Arial"/>
            <w:sz w:val="20"/>
            <w:szCs w:val="20"/>
          </w:rPr>
          <w:t>http://doi.org/10.1109/SCSE61872.2024.10550604</w:t>
        </w:r>
      </w:hyperlink>
    </w:p>
    <w:p w14:paraId="70E89982" w14:textId="20A0D932" w:rsidR="0067417A" w:rsidRDefault="0067417A" w:rsidP="00F9026A">
      <w:pPr>
        <w:rPr>
          <w:rFonts w:ascii="Arial" w:hAnsi="Arial" w:cs="Arial"/>
          <w:sz w:val="20"/>
          <w:szCs w:val="20"/>
        </w:rPr>
      </w:pPr>
      <w:r w:rsidRPr="0067417A">
        <w:rPr>
          <w:rFonts w:ascii="Arial" w:hAnsi="Arial" w:cs="Arial"/>
          <w:sz w:val="20"/>
          <w:szCs w:val="20"/>
        </w:rPr>
        <w:t xml:space="preserve">Hindman, L. (2025). ‘Men have it easy:’ dress as a gendered social practice in men’s professional sport organizations. Managing Sport and Leisure. </w:t>
      </w:r>
      <w:hyperlink r:id="rId29" w:history="1">
        <w:r w:rsidRPr="0066729A">
          <w:rPr>
            <w:rStyle w:val="Hyperlink"/>
            <w:rFonts w:ascii="Arial" w:hAnsi="Arial" w:cs="Arial"/>
            <w:sz w:val="20"/>
            <w:szCs w:val="20"/>
          </w:rPr>
          <w:t>https://doi.org/10.1080/23750472.2025.2466462</w:t>
        </w:r>
      </w:hyperlink>
    </w:p>
    <w:p w14:paraId="3F540023" w14:textId="0102DFF1" w:rsidR="0067417A" w:rsidRDefault="0067417A" w:rsidP="00F9026A">
      <w:pPr>
        <w:rPr>
          <w:rFonts w:ascii="Arial" w:hAnsi="Arial" w:cs="Arial"/>
          <w:sz w:val="20"/>
          <w:szCs w:val="20"/>
        </w:rPr>
      </w:pPr>
      <w:r w:rsidRPr="0067417A">
        <w:rPr>
          <w:rFonts w:ascii="Arial" w:hAnsi="Arial" w:cs="Arial"/>
          <w:sz w:val="20"/>
          <w:szCs w:val="20"/>
        </w:rPr>
        <w:t xml:space="preserve">Holmes, A., Giles, A. R., &amp; Hayhurst, L. (2024). ‘I keep forgetting them’: Lacrosse, indigenous women and girls and reconciliation in Canada. International Review for the Sociology of Sport, 59(1), 3–21. </w:t>
      </w:r>
      <w:hyperlink r:id="rId30" w:history="1">
        <w:r w:rsidRPr="0066729A">
          <w:rPr>
            <w:rStyle w:val="Hyperlink"/>
            <w:rFonts w:ascii="Arial" w:hAnsi="Arial" w:cs="Arial"/>
            <w:sz w:val="20"/>
            <w:szCs w:val="20"/>
          </w:rPr>
          <w:t>https://doi.org/10.1177/10126902231172922</w:t>
        </w:r>
      </w:hyperlink>
    </w:p>
    <w:p w14:paraId="1471132E" w14:textId="0DA7DDDC" w:rsidR="0067417A" w:rsidRDefault="0067417A" w:rsidP="00F9026A">
      <w:pPr>
        <w:rPr>
          <w:rFonts w:ascii="Arial" w:hAnsi="Arial" w:cs="Arial"/>
          <w:sz w:val="20"/>
          <w:szCs w:val="20"/>
        </w:rPr>
      </w:pPr>
      <w:r w:rsidRPr="0067417A">
        <w:rPr>
          <w:rFonts w:ascii="Arial" w:hAnsi="Arial" w:cs="Arial"/>
          <w:sz w:val="20"/>
          <w:szCs w:val="20"/>
        </w:rPr>
        <w:t xml:space="preserve">Huff, S., Rudman, D. L., </w:t>
      </w:r>
      <w:proofErr w:type="spellStart"/>
      <w:r w:rsidRPr="0067417A">
        <w:rPr>
          <w:rFonts w:ascii="Arial" w:hAnsi="Arial" w:cs="Arial"/>
          <w:sz w:val="20"/>
          <w:szCs w:val="20"/>
        </w:rPr>
        <w:t>Magalhães</w:t>
      </w:r>
      <w:proofErr w:type="spellEnd"/>
      <w:r w:rsidRPr="0067417A">
        <w:rPr>
          <w:rFonts w:ascii="Arial" w:hAnsi="Arial" w:cs="Arial"/>
          <w:sz w:val="20"/>
          <w:szCs w:val="20"/>
        </w:rPr>
        <w:t xml:space="preserve">, L., &amp; Lawson, E. (2022). Gendered occupation: Situated understandings of gender, womanhood and occupation in Tanzania. Journal of Occupational Science, 29(1), 21–35. </w:t>
      </w:r>
      <w:hyperlink r:id="rId31" w:history="1">
        <w:r w:rsidRPr="0066729A">
          <w:rPr>
            <w:rStyle w:val="Hyperlink"/>
            <w:rFonts w:ascii="Arial" w:hAnsi="Arial" w:cs="Arial"/>
            <w:sz w:val="20"/>
            <w:szCs w:val="20"/>
          </w:rPr>
          <w:t>https://doi.org/10.1080/14427591.2020.1852592</w:t>
        </w:r>
      </w:hyperlink>
    </w:p>
    <w:p w14:paraId="42011E19" w14:textId="6C017348" w:rsidR="008529A5" w:rsidRDefault="008529A5" w:rsidP="00F9026A">
      <w:pPr>
        <w:rPr>
          <w:rFonts w:ascii="Arial" w:hAnsi="Arial" w:cs="Arial"/>
          <w:sz w:val="20"/>
          <w:szCs w:val="20"/>
        </w:rPr>
      </w:pPr>
      <w:proofErr w:type="spellStart"/>
      <w:r w:rsidRPr="008529A5">
        <w:rPr>
          <w:rFonts w:ascii="Arial" w:hAnsi="Arial" w:cs="Arial"/>
          <w:sz w:val="20"/>
          <w:szCs w:val="20"/>
        </w:rPr>
        <w:t>Idelji</w:t>
      </w:r>
      <w:proofErr w:type="spellEnd"/>
      <w:r w:rsidRPr="008529A5">
        <w:rPr>
          <w:rFonts w:ascii="Arial" w:hAnsi="Arial" w:cs="Arial"/>
          <w:sz w:val="20"/>
          <w:szCs w:val="20"/>
        </w:rPr>
        <w:t xml:space="preserve">-Tehrani, S., &amp; Al-Jawad, M. (2019). Exploring gendered leadership stereotypes in a shared leadership model in healthcare: a case study. Med Hum, 45(3), 173–182. </w:t>
      </w:r>
      <w:hyperlink r:id="rId32" w:history="1">
        <w:r w:rsidRPr="0066729A">
          <w:rPr>
            <w:rStyle w:val="Hyperlink"/>
            <w:rFonts w:ascii="Arial" w:hAnsi="Arial" w:cs="Arial"/>
            <w:sz w:val="20"/>
            <w:szCs w:val="20"/>
          </w:rPr>
          <w:t>https://doi.org/10.1136/medhum-2018-011517</w:t>
        </w:r>
      </w:hyperlink>
    </w:p>
    <w:p w14:paraId="5AC69849" w14:textId="5EC4E139" w:rsidR="0067417A" w:rsidRDefault="0067417A" w:rsidP="00F9026A">
      <w:pPr>
        <w:rPr>
          <w:rFonts w:ascii="Arial" w:hAnsi="Arial" w:cs="Arial"/>
          <w:sz w:val="20"/>
          <w:szCs w:val="20"/>
        </w:rPr>
      </w:pPr>
      <w:r w:rsidRPr="0067417A">
        <w:rPr>
          <w:rFonts w:ascii="Arial" w:hAnsi="Arial" w:cs="Arial"/>
          <w:sz w:val="20"/>
          <w:szCs w:val="20"/>
        </w:rPr>
        <w:t>Islam, M. A., Hack-</w:t>
      </w:r>
      <w:proofErr w:type="spellStart"/>
      <w:r w:rsidRPr="0067417A">
        <w:rPr>
          <w:rFonts w:ascii="Arial" w:hAnsi="Arial" w:cs="Arial"/>
          <w:sz w:val="20"/>
          <w:szCs w:val="20"/>
        </w:rPr>
        <w:t>Polay</w:t>
      </w:r>
      <w:proofErr w:type="spellEnd"/>
      <w:r w:rsidRPr="0067417A">
        <w:rPr>
          <w:rFonts w:ascii="Arial" w:hAnsi="Arial" w:cs="Arial"/>
          <w:sz w:val="20"/>
          <w:szCs w:val="20"/>
        </w:rPr>
        <w:t xml:space="preserve">, D., Rahman, M., </w:t>
      </w:r>
      <w:proofErr w:type="spellStart"/>
      <w:proofErr w:type="gramStart"/>
      <w:r w:rsidRPr="0067417A">
        <w:rPr>
          <w:rFonts w:ascii="Arial" w:hAnsi="Arial" w:cs="Arial"/>
          <w:sz w:val="20"/>
          <w:szCs w:val="20"/>
        </w:rPr>
        <w:t>Fija?kowska</w:t>
      </w:r>
      <w:proofErr w:type="spellEnd"/>
      <w:proofErr w:type="gramEnd"/>
      <w:r w:rsidRPr="0067417A">
        <w:rPr>
          <w:rFonts w:ascii="Arial" w:hAnsi="Arial" w:cs="Arial"/>
          <w:sz w:val="20"/>
          <w:szCs w:val="20"/>
        </w:rPr>
        <w:t xml:space="preserve">, J., &amp; Dal Mas, F. (2025). Women and leadership in non-listed private companies in an emerging country: An analysis of barriers and facilitators. Corporate Social Responsibility and Environmental Management. </w:t>
      </w:r>
      <w:hyperlink r:id="rId33" w:history="1">
        <w:r w:rsidRPr="0066729A">
          <w:rPr>
            <w:rStyle w:val="Hyperlink"/>
            <w:rFonts w:ascii="Arial" w:hAnsi="Arial" w:cs="Arial"/>
            <w:sz w:val="20"/>
            <w:szCs w:val="20"/>
          </w:rPr>
          <w:t>https://doi.org/10.1002/csr.3050</w:t>
        </w:r>
      </w:hyperlink>
    </w:p>
    <w:p w14:paraId="2C7E2018" w14:textId="292535D5" w:rsidR="0067417A" w:rsidRDefault="0067417A" w:rsidP="00F9026A">
      <w:pPr>
        <w:rPr>
          <w:rFonts w:ascii="Arial" w:hAnsi="Arial" w:cs="Arial"/>
          <w:sz w:val="20"/>
          <w:szCs w:val="20"/>
        </w:rPr>
      </w:pPr>
      <w:r w:rsidRPr="0067417A">
        <w:rPr>
          <w:rFonts w:ascii="Arial" w:hAnsi="Arial" w:cs="Arial"/>
          <w:sz w:val="20"/>
          <w:szCs w:val="20"/>
        </w:rPr>
        <w:t xml:space="preserve">Jayasinghe, S., </w:t>
      </w:r>
      <w:proofErr w:type="spellStart"/>
      <w:r w:rsidRPr="0067417A">
        <w:rPr>
          <w:rFonts w:ascii="Arial" w:hAnsi="Arial" w:cs="Arial"/>
          <w:sz w:val="20"/>
          <w:szCs w:val="20"/>
        </w:rPr>
        <w:t>Suraweera</w:t>
      </w:r>
      <w:proofErr w:type="spellEnd"/>
      <w:r w:rsidRPr="0067417A">
        <w:rPr>
          <w:rFonts w:ascii="Arial" w:hAnsi="Arial" w:cs="Arial"/>
          <w:sz w:val="20"/>
          <w:szCs w:val="20"/>
        </w:rPr>
        <w:t xml:space="preserve">, T., &amp; Samarasinghe, D. (2022). Job seeker value proposition </w:t>
      </w:r>
      <w:proofErr w:type="spellStart"/>
      <w:r w:rsidRPr="0067417A">
        <w:rPr>
          <w:rFonts w:ascii="Arial" w:hAnsi="Arial" w:cs="Arial"/>
          <w:sz w:val="20"/>
          <w:szCs w:val="20"/>
        </w:rPr>
        <w:t>conceptualised</w:t>
      </w:r>
      <w:proofErr w:type="spellEnd"/>
      <w:r w:rsidRPr="0067417A">
        <w:rPr>
          <w:rFonts w:ascii="Arial" w:hAnsi="Arial" w:cs="Arial"/>
          <w:sz w:val="20"/>
          <w:szCs w:val="20"/>
        </w:rPr>
        <w:t xml:space="preserve"> from the perspective of the job choice theory. Sri Lanka Journal of Social Sciences, 45(2). </w:t>
      </w:r>
      <w:hyperlink r:id="rId34" w:history="1">
        <w:r w:rsidRPr="0066729A">
          <w:rPr>
            <w:rStyle w:val="Hyperlink"/>
            <w:rFonts w:ascii="Arial" w:hAnsi="Arial" w:cs="Arial"/>
            <w:sz w:val="20"/>
            <w:szCs w:val="20"/>
          </w:rPr>
          <w:t>https://doi.org/10.4038/sljss.v45i2.8341</w:t>
        </w:r>
      </w:hyperlink>
    </w:p>
    <w:p w14:paraId="2AD17713" w14:textId="0FC048D8" w:rsidR="0067417A" w:rsidRDefault="0067417A" w:rsidP="00F9026A">
      <w:pPr>
        <w:rPr>
          <w:rFonts w:ascii="Arial" w:hAnsi="Arial" w:cs="Arial"/>
          <w:sz w:val="20"/>
          <w:szCs w:val="20"/>
        </w:rPr>
      </w:pPr>
      <w:proofErr w:type="spellStart"/>
      <w:r w:rsidRPr="0067417A">
        <w:rPr>
          <w:rFonts w:ascii="Arial" w:hAnsi="Arial" w:cs="Arial"/>
          <w:sz w:val="20"/>
          <w:szCs w:val="20"/>
        </w:rPr>
        <w:t>Kalev</w:t>
      </w:r>
      <w:proofErr w:type="spellEnd"/>
      <w:r w:rsidRPr="0067417A">
        <w:rPr>
          <w:rFonts w:ascii="Arial" w:hAnsi="Arial" w:cs="Arial"/>
          <w:sz w:val="20"/>
          <w:szCs w:val="20"/>
        </w:rPr>
        <w:t xml:space="preserve">, A., Dobbin, F., &amp; Kelly, E. (2006). Best practices or best guesses? Assessing the efficacy of corporate affirmative action and diversity policies. American Sociological Review, 71(4), 589–617. </w:t>
      </w:r>
      <w:hyperlink r:id="rId35" w:history="1">
        <w:r w:rsidRPr="0066729A">
          <w:rPr>
            <w:rStyle w:val="Hyperlink"/>
            <w:rFonts w:ascii="Arial" w:hAnsi="Arial" w:cs="Arial"/>
            <w:sz w:val="20"/>
            <w:szCs w:val="20"/>
          </w:rPr>
          <w:t>https://doi.org/10.1177/000312240607100404</w:t>
        </w:r>
      </w:hyperlink>
    </w:p>
    <w:p w14:paraId="70A2066A" w14:textId="40B20508" w:rsidR="0067417A" w:rsidRDefault="0067417A" w:rsidP="00F9026A">
      <w:pPr>
        <w:rPr>
          <w:rFonts w:ascii="Arial" w:hAnsi="Arial" w:cs="Arial"/>
          <w:sz w:val="20"/>
          <w:szCs w:val="20"/>
        </w:rPr>
      </w:pPr>
      <w:r w:rsidRPr="0067417A">
        <w:rPr>
          <w:rFonts w:ascii="Arial" w:hAnsi="Arial" w:cs="Arial"/>
          <w:sz w:val="20"/>
          <w:szCs w:val="20"/>
        </w:rPr>
        <w:t xml:space="preserve">Khan, M., Jamil, B., Mehboob, B., &amp; Bibi, U. (2025). Unveiling gender disparities among medical faculty in a developing country: A case study of a public sector teaching hospital, Peshawar, Pakistan. Pakistan Journal of Medical Sciences, 41(2), 548–553. </w:t>
      </w:r>
      <w:hyperlink r:id="rId36" w:history="1">
        <w:r w:rsidRPr="0066729A">
          <w:rPr>
            <w:rStyle w:val="Hyperlink"/>
            <w:rFonts w:ascii="Arial" w:hAnsi="Arial" w:cs="Arial"/>
            <w:sz w:val="20"/>
            <w:szCs w:val="20"/>
          </w:rPr>
          <w:t>https://doi.org/10.12669/pjms.41.2.9616</w:t>
        </w:r>
      </w:hyperlink>
    </w:p>
    <w:p w14:paraId="6A9589F4" w14:textId="5D0415A2" w:rsidR="0067417A" w:rsidRDefault="0067417A" w:rsidP="00F9026A">
      <w:pPr>
        <w:rPr>
          <w:rFonts w:ascii="Arial" w:hAnsi="Arial" w:cs="Arial"/>
          <w:sz w:val="20"/>
          <w:szCs w:val="20"/>
        </w:rPr>
      </w:pPr>
      <w:r w:rsidRPr="0067417A">
        <w:rPr>
          <w:rFonts w:ascii="Arial" w:hAnsi="Arial" w:cs="Arial"/>
          <w:sz w:val="20"/>
          <w:szCs w:val="20"/>
        </w:rPr>
        <w:t xml:space="preserve">Moher, D., </w:t>
      </w:r>
      <w:proofErr w:type="spellStart"/>
      <w:r w:rsidRPr="0067417A">
        <w:rPr>
          <w:rFonts w:ascii="Arial" w:hAnsi="Arial" w:cs="Arial"/>
          <w:sz w:val="20"/>
          <w:szCs w:val="20"/>
        </w:rPr>
        <w:t>Liberati</w:t>
      </w:r>
      <w:proofErr w:type="spellEnd"/>
      <w:r w:rsidRPr="0067417A">
        <w:rPr>
          <w:rFonts w:ascii="Arial" w:hAnsi="Arial" w:cs="Arial"/>
          <w:sz w:val="20"/>
          <w:szCs w:val="20"/>
        </w:rPr>
        <w:t xml:space="preserve">, A., </w:t>
      </w:r>
      <w:proofErr w:type="spellStart"/>
      <w:r w:rsidRPr="0067417A">
        <w:rPr>
          <w:rFonts w:ascii="Arial" w:hAnsi="Arial" w:cs="Arial"/>
          <w:sz w:val="20"/>
          <w:szCs w:val="20"/>
        </w:rPr>
        <w:t>Tetzlaff</w:t>
      </w:r>
      <w:proofErr w:type="spellEnd"/>
      <w:r w:rsidRPr="0067417A">
        <w:rPr>
          <w:rFonts w:ascii="Arial" w:hAnsi="Arial" w:cs="Arial"/>
          <w:sz w:val="20"/>
          <w:szCs w:val="20"/>
        </w:rPr>
        <w:t xml:space="preserve">, J., Altman, D. G., &amp; The PRISMA Group. (2009). Preferred reporting items for systematic reviews and meta-analyses: The PRISMA statement. </w:t>
      </w:r>
      <w:proofErr w:type="spellStart"/>
      <w:r w:rsidRPr="0067417A">
        <w:rPr>
          <w:rFonts w:ascii="Arial" w:hAnsi="Arial" w:cs="Arial"/>
          <w:sz w:val="20"/>
          <w:szCs w:val="20"/>
        </w:rPr>
        <w:t>PLoS</w:t>
      </w:r>
      <w:proofErr w:type="spellEnd"/>
      <w:r w:rsidRPr="0067417A">
        <w:rPr>
          <w:rFonts w:ascii="Arial" w:hAnsi="Arial" w:cs="Arial"/>
          <w:sz w:val="20"/>
          <w:szCs w:val="20"/>
        </w:rPr>
        <w:t xml:space="preserve"> Medicine, 6(7), e1000097. </w:t>
      </w:r>
      <w:hyperlink r:id="rId37" w:history="1">
        <w:r w:rsidRPr="0066729A">
          <w:rPr>
            <w:rStyle w:val="Hyperlink"/>
            <w:rFonts w:ascii="Arial" w:hAnsi="Arial" w:cs="Arial"/>
            <w:sz w:val="20"/>
            <w:szCs w:val="20"/>
          </w:rPr>
          <w:t>https://doi.org/10.1371/journal.pmed.1000097</w:t>
        </w:r>
      </w:hyperlink>
    </w:p>
    <w:p w14:paraId="660999D5" w14:textId="4A992CFF" w:rsidR="0067417A" w:rsidRDefault="0067417A" w:rsidP="00F9026A">
      <w:pPr>
        <w:rPr>
          <w:rFonts w:ascii="Arial" w:hAnsi="Arial" w:cs="Arial"/>
          <w:sz w:val="20"/>
          <w:szCs w:val="20"/>
        </w:rPr>
      </w:pPr>
      <w:r w:rsidRPr="0067417A">
        <w:rPr>
          <w:rFonts w:ascii="Arial" w:hAnsi="Arial" w:cs="Arial"/>
          <w:sz w:val="20"/>
          <w:szCs w:val="20"/>
        </w:rPr>
        <w:t xml:space="preserve">Mousa, M., Garth, B., Boyle, J. A., </w:t>
      </w:r>
      <w:proofErr w:type="spellStart"/>
      <w:r w:rsidRPr="0067417A">
        <w:rPr>
          <w:rFonts w:ascii="Arial" w:hAnsi="Arial" w:cs="Arial"/>
          <w:sz w:val="20"/>
          <w:szCs w:val="20"/>
        </w:rPr>
        <w:t>Riach</w:t>
      </w:r>
      <w:proofErr w:type="spellEnd"/>
      <w:r w:rsidRPr="0067417A">
        <w:rPr>
          <w:rFonts w:ascii="Arial" w:hAnsi="Arial" w:cs="Arial"/>
          <w:sz w:val="20"/>
          <w:szCs w:val="20"/>
        </w:rPr>
        <w:t xml:space="preserve">, K., &amp; </w:t>
      </w:r>
      <w:proofErr w:type="spellStart"/>
      <w:r w:rsidRPr="0067417A">
        <w:rPr>
          <w:rFonts w:ascii="Arial" w:hAnsi="Arial" w:cs="Arial"/>
          <w:sz w:val="20"/>
          <w:szCs w:val="20"/>
        </w:rPr>
        <w:t>Teede</w:t>
      </w:r>
      <w:proofErr w:type="spellEnd"/>
      <w:r w:rsidRPr="0067417A">
        <w:rPr>
          <w:rFonts w:ascii="Arial" w:hAnsi="Arial" w:cs="Arial"/>
          <w:sz w:val="20"/>
          <w:szCs w:val="20"/>
        </w:rPr>
        <w:t xml:space="preserve">, H. J. (2023). Experiences of organizational practices that advance women in health care leadership. JAMA Network Open, 6(3), e233532. </w:t>
      </w:r>
      <w:hyperlink r:id="rId38" w:history="1">
        <w:r w:rsidRPr="0066729A">
          <w:rPr>
            <w:rStyle w:val="Hyperlink"/>
            <w:rFonts w:ascii="Arial" w:hAnsi="Arial" w:cs="Arial"/>
            <w:sz w:val="20"/>
            <w:szCs w:val="20"/>
          </w:rPr>
          <w:t>https://doi.org/10.1001/jamanetworkopen.2023.3532</w:t>
        </w:r>
      </w:hyperlink>
    </w:p>
    <w:p w14:paraId="6B1299F9" w14:textId="429F32C4" w:rsidR="0067417A" w:rsidRDefault="0067417A" w:rsidP="00F9026A">
      <w:pPr>
        <w:rPr>
          <w:rFonts w:ascii="Arial" w:hAnsi="Arial" w:cs="Arial"/>
          <w:sz w:val="20"/>
          <w:szCs w:val="20"/>
        </w:rPr>
      </w:pPr>
      <w:proofErr w:type="spellStart"/>
      <w:r w:rsidRPr="0067417A">
        <w:rPr>
          <w:rFonts w:ascii="Arial" w:hAnsi="Arial" w:cs="Arial"/>
          <w:sz w:val="20"/>
          <w:szCs w:val="20"/>
        </w:rPr>
        <w:t>Möller</w:t>
      </w:r>
      <w:proofErr w:type="spellEnd"/>
      <w:r w:rsidRPr="0067417A">
        <w:rPr>
          <w:rFonts w:ascii="Arial" w:hAnsi="Arial" w:cs="Arial"/>
          <w:sz w:val="20"/>
          <w:szCs w:val="20"/>
        </w:rPr>
        <w:t xml:space="preserve">, C., </w:t>
      </w:r>
      <w:proofErr w:type="spellStart"/>
      <w:r w:rsidRPr="0067417A">
        <w:rPr>
          <w:rFonts w:ascii="Arial" w:hAnsi="Arial" w:cs="Arial"/>
          <w:sz w:val="20"/>
          <w:szCs w:val="20"/>
        </w:rPr>
        <w:t>Passam</w:t>
      </w:r>
      <w:proofErr w:type="spellEnd"/>
      <w:r w:rsidRPr="0067417A">
        <w:rPr>
          <w:rFonts w:ascii="Arial" w:hAnsi="Arial" w:cs="Arial"/>
          <w:sz w:val="20"/>
          <w:szCs w:val="20"/>
        </w:rPr>
        <w:t xml:space="preserve">, S., Riley, S., &amp; Robson, M. (2024). All inside our heads? A critical discursive review of unconscious bias training in the sciences. Gender, Work &amp; Organization, 31(3), 797–820. </w:t>
      </w:r>
      <w:hyperlink r:id="rId39" w:history="1">
        <w:r w:rsidRPr="0066729A">
          <w:rPr>
            <w:rStyle w:val="Hyperlink"/>
            <w:rFonts w:ascii="Arial" w:hAnsi="Arial" w:cs="Arial"/>
            <w:sz w:val="20"/>
            <w:szCs w:val="20"/>
          </w:rPr>
          <w:t>https://doi.org/10.1111/gwao.13028</w:t>
        </w:r>
      </w:hyperlink>
    </w:p>
    <w:p w14:paraId="09A27175" w14:textId="08223A0A" w:rsidR="0067417A" w:rsidRDefault="0067417A" w:rsidP="00F9026A">
      <w:pPr>
        <w:rPr>
          <w:rFonts w:ascii="Arial" w:hAnsi="Arial" w:cs="Arial"/>
          <w:sz w:val="20"/>
          <w:szCs w:val="20"/>
        </w:rPr>
      </w:pPr>
      <w:proofErr w:type="spellStart"/>
      <w:r w:rsidRPr="0067417A">
        <w:rPr>
          <w:rFonts w:ascii="Arial" w:hAnsi="Arial" w:cs="Arial"/>
          <w:sz w:val="20"/>
          <w:szCs w:val="20"/>
        </w:rPr>
        <w:lastRenderedPageBreak/>
        <w:t>Öhman</w:t>
      </w:r>
      <w:proofErr w:type="spellEnd"/>
      <w:r w:rsidRPr="0067417A">
        <w:rPr>
          <w:rFonts w:ascii="Arial" w:hAnsi="Arial" w:cs="Arial"/>
          <w:sz w:val="20"/>
          <w:szCs w:val="20"/>
        </w:rPr>
        <w:t xml:space="preserve">, A., </w:t>
      </w:r>
      <w:proofErr w:type="spellStart"/>
      <w:r w:rsidRPr="0067417A">
        <w:rPr>
          <w:rFonts w:ascii="Arial" w:hAnsi="Arial" w:cs="Arial"/>
          <w:sz w:val="20"/>
          <w:szCs w:val="20"/>
        </w:rPr>
        <w:t>Keisu</w:t>
      </w:r>
      <w:proofErr w:type="spellEnd"/>
      <w:r w:rsidRPr="0067417A">
        <w:rPr>
          <w:rFonts w:ascii="Arial" w:hAnsi="Arial" w:cs="Arial"/>
          <w:sz w:val="20"/>
          <w:szCs w:val="20"/>
        </w:rPr>
        <w:t xml:space="preserve">, B., &amp; Enberg, B. (2017). Team social cohesion, professionalism, and patient-centeredness: Gendered care work, with special reference to elderly care - a mixed methods study. BMC Health Services Research, 17(1), Article 400. </w:t>
      </w:r>
      <w:hyperlink r:id="rId40" w:history="1">
        <w:r w:rsidRPr="0066729A">
          <w:rPr>
            <w:rStyle w:val="Hyperlink"/>
            <w:rFonts w:ascii="Arial" w:hAnsi="Arial" w:cs="Arial"/>
            <w:sz w:val="20"/>
            <w:szCs w:val="20"/>
          </w:rPr>
          <w:t>https://doi.org/10.1186/s12913-017-2326-9</w:t>
        </w:r>
      </w:hyperlink>
    </w:p>
    <w:p w14:paraId="54ABEA5E" w14:textId="169CA536" w:rsidR="0067417A" w:rsidRDefault="0067417A" w:rsidP="00F9026A">
      <w:pPr>
        <w:rPr>
          <w:rFonts w:ascii="Arial" w:hAnsi="Arial" w:cs="Arial"/>
          <w:sz w:val="20"/>
          <w:szCs w:val="20"/>
        </w:rPr>
      </w:pPr>
      <w:r w:rsidRPr="0067417A">
        <w:rPr>
          <w:rFonts w:ascii="Arial" w:hAnsi="Arial" w:cs="Arial"/>
          <w:sz w:val="20"/>
          <w:szCs w:val="20"/>
        </w:rPr>
        <w:t xml:space="preserve">Palmer, A., &amp; Bosch, A. (2017). What makes representation of executive women in business happen? Equality, Diversity and Inclusion: An International Journal, 36(4), 306–320. </w:t>
      </w:r>
      <w:hyperlink r:id="rId41" w:history="1">
        <w:r w:rsidRPr="0066729A">
          <w:rPr>
            <w:rStyle w:val="Hyperlink"/>
            <w:rFonts w:ascii="Arial" w:hAnsi="Arial" w:cs="Arial"/>
            <w:sz w:val="20"/>
            <w:szCs w:val="20"/>
          </w:rPr>
          <w:t>https://doi.org/10.1108/EDI-09-2016-0071</w:t>
        </w:r>
      </w:hyperlink>
    </w:p>
    <w:p w14:paraId="1E766E26" w14:textId="05A5C6D2" w:rsidR="0067417A" w:rsidRDefault="0067417A" w:rsidP="00F9026A">
      <w:pPr>
        <w:rPr>
          <w:rFonts w:ascii="Arial" w:hAnsi="Arial" w:cs="Arial"/>
          <w:sz w:val="20"/>
          <w:szCs w:val="20"/>
        </w:rPr>
      </w:pPr>
      <w:r w:rsidRPr="0067417A">
        <w:rPr>
          <w:rFonts w:ascii="Arial" w:hAnsi="Arial" w:cs="Arial"/>
          <w:sz w:val="20"/>
          <w:szCs w:val="20"/>
        </w:rPr>
        <w:t xml:space="preserve">Ranasinghe, V., Jayasinghe, S., &amp; Peiris, P. (2024). Determinants of intention to use project management information system by agile project teams in the information technology industry in Sri Lanka: an extension of the classic technology acceptance model. 2024 4th International Conference on Advanced Research in Computing. </w:t>
      </w:r>
      <w:hyperlink r:id="rId42" w:history="1">
        <w:r w:rsidRPr="0066729A">
          <w:rPr>
            <w:rStyle w:val="Hyperlink"/>
            <w:rFonts w:ascii="Arial" w:hAnsi="Arial" w:cs="Arial"/>
            <w:sz w:val="20"/>
            <w:szCs w:val="20"/>
          </w:rPr>
          <w:t>http://doi.org/10.1109/ICARC61713.2024.10499786</w:t>
        </w:r>
      </w:hyperlink>
    </w:p>
    <w:p w14:paraId="61EF8E02" w14:textId="1FF64A19" w:rsidR="0067417A" w:rsidRDefault="0067417A" w:rsidP="00F9026A">
      <w:pPr>
        <w:rPr>
          <w:rFonts w:ascii="Arial" w:hAnsi="Arial" w:cs="Arial"/>
          <w:sz w:val="20"/>
          <w:szCs w:val="20"/>
        </w:rPr>
      </w:pPr>
      <w:proofErr w:type="spellStart"/>
      <w:r w:rsidRPr="0067417A">
        <w:rPr>
          <w:rFonts w:ascii="Arial" w:hAnsi="Arial" w:cs="Arial"/>
          <w:sz w:val="20"/>
          <w:szCs w:val="20"/>
        </w:rPr>
        <w:t>Randev</w:t>
      </w:r>
      <w:proofErr w:type="spellEnd"/>
      <w:r w:rsidRPr="0067417A">
        <w:rPr>
          <w:rFonts w:ascii="Arial" w:hAnsi="Arial" w:cs="Arial"/>
          <w:sz w:val="20"/>
          <w:szCs w:val="20"/>
        </w:rPr>
        <w:t xml:space="preserve">, K. K. (2024). Why do women today earn more than their mothers, but still less than their brothers? A gendered organization perspective. Employee Responsibilities and Rights Journal, 36(2), 251–264. </w:t>
      </w:r>
      <w:hyperlink r:id="rId43" w:history="1">
        <w:r w:rsidRPr="0066729A">
          <w:rPr>
            <w:rStyle w:val="Hyperlink"/>
            <w:rFonts w:ascii="Arial" w:hAnsi="Arial" w:cs="Arial"/>
            <w:sz w:val="20"/>
            <w:szCs w:val="20"/>
          </w:rPr>
          <w:t>https://doi.org/10.1007/s10672-023-09476-z</w:t>
        </w:r>
      </w:hyperlink>
    </w:p>
    <w:p w14:paraId="7C4968C6" w14:textId="7491B40F" w:rsidR="0067417A" w:rsidRDefault="0067417A" w:rsidP="00F9026A">
      <w:pPr>
        <w:rPr>
          <w:rFonts w:ascii="Arial" w:hAnsi="Arial" w:cs="Arial"/>
          <w:sz w:val="20"/>
          <w:szCs w:val="20"/>
        </w:rPr>
      </w:pPr>
      <w:r w:rsidRPr="0067417A">
        <w:rPr>
          <w:rFonts w:ascii="Arial" w:hAnsi="Arial" w:cs="Arial"/>
          <w:sz w:val="20"/>
          <w:szCs w:val="20"/>
        </w:rPr>
        <w:t xml:space="preserve">Schulz, E. V., Wyatt, T. R., &amp; Maggio, L. A. (2024). When Taking Pay off the Table: A Qualitative Study of Gender Equity for Academic Leaders in the US Military. Military Medicine. </w:t>
      </w:r>
      <w:hyperlink r:id="rId44" w:history="1">
        <w:r w:rsidRPr="0066729A">
          <w:rPr>
            <w:rStyle w:val="Hyperlink"/>
            <w:rFonts w:ascii="Arial" w:hAnsi="Arial" w:cs="Arial"/>
            <w:sz w:val="20"/>
            <w:szCs w:val="20"/>
          </w:rPr>
          <w:t>https://doi.org/10.1093/milmed/usad489</w:t>
        </w:r>
      </w:hyperlink>
    </w:p>
    <w:p w14:paraId="7301BE41" w14:textId="156991B2" w:rsidR="0067417A" w:rsidRDefault="0067417A" w:rsidP="00F9026A">
      <w:pPr>
        <w:rPr>
          <w:rFonts w:ascii="Arial" w:hAnsi="Arial" w:cs="Arial"/>
          <w:sz w:val="20"/>
          <w:szCs w:val="20"/>
        </w:rPr>
      </w:pPr>
      <w:proofErr w:type="spellStart"/>
      <w:r w:rsidRPr="0067417A">
        <w:rPr>
          <w:rFonts w:ascii="Arial" w:hAnsi="Arial" w:cs="Arial"/>
          <w:sz w:val="20"/>
          <w:szCs w:val="20"/>
        </w:rPr>
        <w:t>Siegele</w:t>
      </w:r>
      <w:proofErr w:type="spellEnd"/>
      <w:r w:rsidRPr="0067417A">
        <w:rPr>
          <w:rFonts w:ascii="Arial" w:hAnsi="Arial" w:cs="Arial"/>
          <w:sz w:val="20"/>
          <w:szCs w:val="20"/>
        </w:rPr>
        <w:t xml:space="preserve">, J., Taylor, E., Saxe, K., &amp; Smith, A. (2024). Mothers as Others in Collegiate Athletic Departments: The Impact of a Gendered Organization on Women Coaches. International Sport Coaching Journal. </w:t>
      </w:r>
      <w:hyperlink r:id="rId45" w:history="1">
        <w:r w:rsidRPr="0066729A">
          <w:rPr>
            <w:rStyle w:val="Hyperlink"/>
            <w:rFonts w:ascii="Arial" w:hAnsi="Arial" w:cs="Arial"/>
            <w:sz w:val="20"/>
            <w:szCs w:val="20"/>
          </w:rPr>
          <w:t>https://doi.org/10.1123/iscj.2022-0117</w:t>
        </w:r>
      </w:hyperlink>
    </w:p>
    <w:p w14:paraId="210D08D6" w14:textId="011D09F8" w:rsidR="0067417A" w:rsidRDefault="0067417A" w:rsidP="00F9026A">
      <w:pPr>
        <w:rPr>
          <w:rFonts w:ascii="Arial" w:hAnsi="Arial" w:cs="Arial"/>
          <w:sz w:val="20"/>
          <w:szCs w:val="20"/>
        </w:rPr>
      </w:pPr>
      <w:r w:rsidRPr="0067417A">
        <w:rPr>
          <w:rFonts w:ascii="Arial" w:hAnsi="Arial" w:cs="Arial"/>
          <w:sz w:val="20"/>
          <w:szCs w:val="20"/>
        </w:rPr>
        <w:t xml:space="preserve">Simon, S. J. (2019). Hollywood power brokers: Gender and racial inequality in talent agencies. Gender, Work &amp; Organization. </w:t>
      </w:r>
      <w:hyperlink r:id="rId46" w:history="1">
        <w:r w:rsidRPr="0066729A">
          <w:rPr>
            <w:rStyle w:val="Hyperlink"/>
            <w:rFonts w:ascii="Arial" w:hAnsi="Arial" w:cs="Arial"/>
            <w:sz w:val="20"/>
            <w:szCs w:val="20"/>
          </w:rPr>
          <w:t>https://doi.org/10.1111/gwao.12365</w:t>
        </w:r>
      </w:hyperlink>
    </w:p>
    <w:p w14:paraId="7DCB7E57" w14:textId="311F6ED3" w:rsidR="0067417A" w:rsidRDefault="0067417A" w:rsidP="00F9026A">
      <w:pPr>
        <w:rPr>
          <w:rFonts w:ascii="Arial" w:hAnsi="Arial" w:cs="Arial"/>
          <w:sz w:val="20"/>
          <w:szCs w:val="20"/>
        </w:rPr>
      </w:pPr>
      <w:proofErr w:type="spellStart"/>
      <w:r w:rsidRPr="0067417A">
        <w:rPr>
          <w:rFonts w:ascii="Arial" w:hAnsi="Arial" w:cs="Arial"/>
          <w:sz w:val="20"/>
          <w:szCs w:val="20"/>
        </w:rPr>
        <w:t>Shivhare</w:t>
      </w:r>
      <w:proofErr w:type="spellEnd"/>
      <w:r w:rsidRPr="0067417A">
        <w:rPr>
          <w:rFonts w:ascii="Arial" w:hAnsi="Arial" w:cs="Arial"/>
          <w:sz w:val="20"/>
          <w:szCs w:val="20"/>
        </w:rPr>
        <w:t xml:space="preserve">, A., &amp; L, G. (2025). Beyond diversity: An analysis of gender inclusion within Indian manufacturing organizations. International Journal of Organizational Analysis, 33(4), 763–779. </w:t>
      </w:r>
      <w:hyperlink r:id="rId47" w:history="1">
        <w:r w:rsidRPr="0066729A">
          <w:rPr>
            <w:rStyle w:val="Hyperlink"/>
            <w:rFonts w:ascii="Arial" w:hAnsi="Arial" w:cs="Arial"/>
            <w:sz w:val="20"/>
            <w:szCs w:val="20"/>
          </w:rPr>
          <w:t>https://doi.org/10.1108/IJOA-01-2024-4165</w:t>
        </w:r>
      </w:hyperlink>
    </w:p>
    <w:p w14:paraId="74AE9A07" w14:textId="3FF24B45" w:rsidR="0067417A" w:rsidRDefault="0067417A" w:rsidP="00F9026A">
      <w:pPr>
        <w:rPr>
          <w:rFonts w:ascii="Arial" w:hAnsi="Arial" w:cs="Arial"/>
          <w:sz w:val="20"/>
          <w:szCs w:val="20"/>
        </w:rPr>
      </w:pPr>
      <w:proofErr w:type="spellStart"/>
      <w:r w:rsidRPr="0067417A">
        <w:rPr>
          <w:rFonts w:ascii="Arial" w:hAnsi="Arial" w:cs="Arial"/>
          <w:sz w:val="20"/>
          <w:szCs w:val="20"/>
        </w:rPr>
        <w:t>Šmídová</w:t>
      </w:r>
      <w:proofErr w:type="spellEnd"/>
      <w:r w:rsidRPr="0067417A">
        <w:rPr>
          <w:rFonts w:ascii="Arial" w:hAnsi="Arial" w:cs="Arial"/>
          <w:sz w:val="20"/>
          <w:szCs w:val="20"/>
        </w:rPr>
        <w:t xml:space="preserve">, I. (2016). No room for balancing: Mothers and professors in Czech maternity hospitals. Intersections. East European Journal of Society and Politics, 2(3), 42–60. </w:t>
      </w:r>
      <w:hyperlink r:id="rId48" w:history="1">
        <w:r w:rsidRPr="0066729A">
          <w:rPr>
            <w:rStyle w:val="Hyperlink"/>
            <w:rFonts w:ascii="Arial" w:hAnsi="Arial" w:cs="Arial"/>
            <w:sz w:val="20"/>
            <w:szCs w:val="20"/>
          </w:rPr>
          <w:t>https://doi.org/10.17356/ieejsp.v2i3.186</w:t>
        </w:r>
      </w:hyperlink>
    </w:p>
    <w:p w14:paraId="3A4C637C" w14:textId="6A5112EA" w:rsidR="0067417A" w:rsidRDefault="0067417A" w:rsidP="00F9026A">
      <w:pPr>
        <w:rPr>
          <w:rFonts w:ascii="Arial" w:hAnsi="Arial" w:cs="Arial"/>
          <w:sz w:val="20"/>
          <w:szCs w:val="20"/>
        </w:rPr>
      </w:pPr>
      <w:proofErr w:type="spellStart"/>
      <w:r w:rsidRPr="0067417A">
        <w:rPr>
          <w:rFonts w:ascii="Arial" w:hAnsi="Arial" w:cs="Arial"/>
          <w:sz w:val="20"/>
          <w:szCs w:val="20"/>
        </w:rPr>
        <w:t>Snickare</w:t>
      </w:r>
      <w:proofErr w:type="spellEnd"/>
      <w:r w:rsidRPr="0067417A">
        <w:rPr>
          <w:rFonts w:ascii="Arial" w:hAnsi="Arial" w:cs="Arial"/>
          <w:sz w:val="20"/>
          <w:szCs w:val="20"/>
        </w:rPr>
        <w:t xml:space="preserve">, L., &amp; Wahl, A. (2024). Still Blaming the Women? Gender Equality Work in Academic Organizations. NORA - Nordic Journal of Feminist and Gender Research. </w:t>
      </w:r>
      <w:hyperlink r:id="rId49" w:history="1">
        <w:r w:rsidRPr="0066729A">
          <w:rPr>
            <w:rStyle w:val="Hyperlink"/>
            <w:rFonts w:ascii="Arial" w:hAnsi="Arial" w:cs="Arial"/>
            <w:sz w:val="20"/>
            <w:szCs w:val="20"/>
          </w:rPr>
          <w:t>https://doi.org/10.1080/08038740.2024.2310535</w:t>
        </w:r>
      </w:hyperlink>
    </w:p>
    <w:p w14:paraId="07A74B43" w14:textId="0BE0B62A" w:rsidR="0067417A" w:rsidRDefault="0067417A" w:rsidP="00F9026A">
      <w:pPr>
        <w:rPr>
          <w:rFonts w:ascii="Arial" w:hAnsi="Arial" w:cs="Arial"/>
          <w:sz w:val="20"/>
          <w:szCs w:val="20"/>
        </w:rPr>
      </w:pPr>
      <w:proofErr w:type="spellStart"/>
      <w:r w:rsidRPr="0067417A">
        <w:rPr>
          <w:rFonts w:ascii="Arial" w:hAnsi="Arial" w:cs="Arial"/>
          <w:sz w:val="20"/>
          <w:szCs w:val="20"/>
        </w:rPr>
        <w:t>Soeters</w:t>
      </w:r>
      <w:proofErr w:type="spellEnd"/>
      <w:r w:rsidRPr="0067417A">
        <w:rPr>
          <w:rFonts w:ascii="Arial" w:hAnsi="Arial" w:cs="Arial"/>
          <w:sz w:val="20"/>
          <w:szCs w:val="20"/>
        </w:rPr>
        <w:t xml:space="preserve">, S., </w:t>
      </w:r>
      <w:proofErr w:type="spellStart"/>
      <w:r w:rsidRPr="0067417A">
        <w:rPr>
          <w:rFonts w:ascii="Arial" w:hAnsi="Arial" w:cs="Arial"/>
          <w:sz w:val="20"/>
          <w:szCs w:val="20"/>
        </w:rPr>
        <w:t>Siscawati</w:t>
      </w:r>
      <w:proofErr w:type="spellEnd"/>
      <w:r w:rsidRPr="0067417A">
        <w:rPr>
          <w:rFonts w:ascii="Arial" w:hAnsi="Arial" w:cs="Arial"/>
          <w:sz w:val="20"/>
          <w:szCs w:val="20"/>
        </w:rPr>
        <w:t xml:space="preserve">, M., </w:t>
      </w:r>
      <w:proofErr w:type="spellStart"/>
      <w:r w:rsidRPr="0067417A">
        <w:rPr>
          <w:rFonts w:ascii="Arial" w:hAnsi="Arial" w:cs="Arial"/>
          <w:sz w:val="20"/>
          <w:szCs w:val="20"/>
        </w:rPr>
        <w:t>Ratnasari</w:t>
      </w:r>
      <w:proofErr w:type="spellEnd"/>
      <w:r w:rsidRPr="0067417A">
        <w:rPr>
          <w:rFonts w:ascii="Arial" w:hAnsi="Arial" w:cs="Arial"/>
          <w:sz w:val="20"/>
          <w:szCs w:val="20"/>
        </w:rPr>
        <w:t xml:space="preserve">, </w:t>
      </w:r>
      <w:proofErr w:type="spellStart"/>
      <w:r w:rsidRPr="0067417A">
        <w:rPr>
          <w:rFonts w:ascii="Arial" w:hAnsi="Arial" w:cs="Arial"/>
          <w:sz w:val="20"/>
          <w:szCs w:val="20"/>
        </w:rPr>
        <w:t>Anggriani</w:t>
      </w:r>
      <w:proofErr w:type="spellEnd"/>
      <w:r w:rsidRPr="0067417A">
        <w:rPr>
          <w:rFonts w:ascii="Arial" w:hAnsi="Arial" w:cs="Arial"/>
          <w:sz w:val="20"/>
          <w:szCs w:val="20"/>
        </w:rPr>
        <w:t xml:space="preserve">, S., </w:t>
      </w:r>
      <w:proofErr w:type="spellStart"/>
      <w:r w:rsidRPr="0067417A">
        <w:rPr>
          <w:rFonts w:ascii="Arial" w:hAnsi="Arial" w:cs="Arial"/>
          <w:sz w:val="20"/>
          <w:szCs w:val="20"/>
        </w:rPr>
        <w:t>Nailah</w:t>
      </w:r>
      <w:proofErr w:type="spellEnd"/>
      <w:r w:rsidRPr="0067417A">
        <w:rPr>
          <w:rFonts w:ascii="Arial" w:hAnsi="Arial" w:cs="Arial"/>
          <w:sz w:val="20"/>
          <w:szCs w:val="20"/>
        </w:rPr>
        <w:t xml:space="preserve">, &amp; Willetts, J. (2021). Gender equality in the government water, sanitation, and hygiene workforce in Indonesia: an analysis through the Gender at Work framework. Development Studies Research, 8(1), 280–293. </w:t>
      </w:r>
      <w:hyperlink r:id="rId50" w:history="1">
        <w:r w:rsidRPr="0066729A">
          <w:rPr>
            <w:rStyle w:val="Hyperlink"/>
            <w:rFonts w:ascii="Arial" w:hAnsi="Arial" w:cs="Arial"/>
            <w:sz w:val="20"/>
            <w:szCs w:val="20"/>
          </w:rPr>
          <w:t>https://doi.org/10.1080/21665095.2021.1978300</w:t>
        </w:r>
      </w:hyperlink>
    </w:p>
    <w:p w14:paraId="45D8A5ED" w14:textId="54506447" w:rsidR="0067417A" w:rsidRDefault="0067417A" w:rsidP="00F9026A">
      <w:pPr>
        <w:rPr>
          <w:rFonts w:ascii="Arial" w:hAnsi="Arial" w:cs="Arial"/>
          <w:sz w:val="20"/>
          <w:szCs w:val="20"/>
        </w:rPr>
      </w:pPr>
      <w:r w:rsidRPr="0067417A">
        <w:rPr>
          <w:rFonts w:ascii="Arial" w:hAnsi="Arial" w:cs="Arial"/>
          <w:sz w:val="20"/>
          <w:szCs w:val="20"/>
        </w:rPr>
        <w:t xml:space="preserve">Tran, H., Buckman, D., </w:t>
      </w:r>
      <w:proofErr w:type="spellStart"/>
      <w:r w:rsidRPr="0067417A">
        <w:rPr>
          <w:rFonts w:ascii="Arial" w:hAnsi="Arial" w:cs="Arial"/>
          <w:sz w:val="20"/>
          <w:szCs w:val="20"/>
        </w:rPr>
        <w:t>Gause</w:t>
      </w:r>
      <w:proofErr w:type="spellEnd"/>
      <w:r w:rsidRPr="0067417A">
        <w:rPr>
          <w:rFonts w:ascii="Arial" w:hAnsi="Arial" w:cs="Arial"/>
          <w:sz w:val="20"/>
          <w:szCs w:val="20"/>
        </w:rPr>
        <w:t xml:space="preserve">, S., </w:t>
      </w:r>
      <w:proofErr w:type="spellStart"/>
      <w:r w:rsidRPr="0067417A">
        <w:rPr>
          <w:rFonts w:ascii="Arial" w:hAnsi="Arial" w:cs="Arial"/>
          <w:sz w:val="20"/>
          <w:szCs w:val="20"/>
        </w:rPr>
        <w:t>Reabold</w:t>
      </w:r>
      <w:proofErr w:type="spellEnd"/>
      <w:r w:rsidRPr="0067417A">
        <w:rPr>
          <w:rFonts w:ascii="Arial" w:hAnsi="Arial" w:cs="Arial"/>
          <w:sz w:val="20"/>
          <w:szCs w:val="20"/>
        </w:rPr>
        <w:t xml:space="preserve">, E., &amp; </w:t>
      </w:r>
      <w:proofErr w:type="spellStart"/>
      <w:r w:rsidRPr="0067417A">
        <w:rPr>
          <w:rFonts w:ascii="Arial" w:hAnsi="Arial" w:cs="Arial"/>
          <w:sz w:val="20"/>
          <w:szCs w:val="20"/>
        </w:rPr>
        <w:t>Sauls</w:t>
      </w:r>
      <w:proofErr w:type="spellEnd"/>
      <w:r w:rsidRPr="0067417A">
        <w:rPr>
          <w:rFonts w:ascii="Arial" w:hAnsi="Arial" w:cs="Arial"/>
          <w:sz w:val="20"/>
          <w:szCs w:val="20"/>
        </w:rPr>
        <w:t xml:space="preserve">, R. (2024). Systemic barriers in district principal development and hiring practices for women and people of color in the principalship. J </w:t>
      </w:r>
      <w:proofErr w:type="spellStart"/>
      <w:r w:rsidRPr="0067417A">
        <w:rPr>
          <w:rFonts w:ascii="Arial" w:hAnsi="Arial" w:cs="Arial"/>
          <w:sz w:val="20"/>
          <w:szCs w:val="20"/>
        </w:rPr>
        <w:t>Leadersh</w:t>
      </w:r>
      <w:proofErr w:type="spellEnd"/>
      <w:r w:rsidRPr="0067417A">
        <w:rPr>
          <w:rFonts w:ascii="Arial" w:hAnsi="Arial" w:cs="Arial"/>
          <w:sz w:val="20"/>
          <w:szCs w:val="20"/>
        </w:rPr>
        <w:t xml:space="preserve"> Educ, 23(1). </w:t>
      </w:r>
      <w:hyperlink r:id="rId51" w:history="1">
        <w:r w:rsidRPr="0066729A">
          <w:rPr>
            <w:rStyle w:val="Hyperlink"/>
            <w:rFonts w:ascii="Arial" w:hAnsi="Arial" w:cs="Arial"/>
            <w:sz w:val="20"/>
            <w:szCs w:val="20"/>
          </w:rPr>
          <w:t>https://doi.org/10.1177/19427751231213096</w:t>
        </w:r>
      </w:hyperlink>
    </w:p>
    <w:p w14:paraId="4583F60D" w14:textId="564FE06D" w:rsidR="0067417A" w:rsidRDefault="0067417A" w:rsidP="00F9026A">
      <w:pPr>
        <w:rPr>
          <w:rFonts w:ascii="Arial" w:hAnsi="Arial" w:cs="Arial"/>
          <w:sz w:val="20"/>
          <w:szCs w:val="20"/>
        </w:rPr>
      </w:pPr>
      <w:r w:rsidRPr="0067417A">
        <w:rPr>
          <w:rFonts w:ascii="Arial" w:hAnsi="Arial" w:cs="Arial"/>
          <w:sz w:val="20"/>
          <w:szCs w:val="20"/>
        </w:rPr>
        <w:t xml:space="preserve">UNCTAD. (2021). Review of maritime transport 2021. United Nations Conference on Trade and Development. </w:t>
      </w:r>
      <w:hyperlink r:id="rId52" w:history="1">
        <w:r w:rsidRPr="0066729A">
          <w:rPr>
            <w:rStyle w:val="Hyperlink"/>
            <w:rFonts w:ascii="Arial" w:hAnsi="Arial" w:cs="Arial"/>
            <w:sz w:val="20"/>
            <w:szCs w:val="20"/>
          </w:rPr>
          <w:t>https://unctad.org/system/files/official-document/rmt2021_en_0.pdf</w:t>
        </w:r>
      </w:hyperlink>
    </w:p>
    <w:p w14:paraId="02E8091C" w14:textId="7B65ED83" w:rsidR="0067417A" w:rsidRDefault="0067417A" w:rsidP="00F9026A">
      <w:pPr>
        <w:rPr>
          <w:rFonts w:ascii="Arial" w:hAnsi="Arial" w:cs="Arial"/>
          <w:sz w:val="20"/>
          <w:szCs w:val="20"/>
        </w:rPr>
      </w:pPr>
      <w:r w:rsidRPr="0067417A">
        <w:rPr>
          <w:rFonts w:ascii="Arial" w:hAnsi="Arial" w:cs="Arial"/>
          <w:sz w:val="20"/>
          <w:szCs w:val="20"/>
        </w:rPr>
        <w:lastRenderedPageBreak/>
        <w:t xml:space="preserve">Wenham, C., &amp; Davies, S. E. (2022). WHO runs the world – (not) girls: Gender neglect during global health emergencies. International Feminist Journal of Politics. </w:t>
      </w:r>
      <w:hyperlink r:id="rId53" w:history="1">
        <w:r w:rsidRPr="0066729A">
          <w:rPr>
            <w:rStyle w:val="Hyperlink"/>
            <w:rFonts w:ascii="Arial" w:hAnsi="Arial" w:cs="Arial"/>
            <w:sz w:val="20"/>
            <w:szCs w:val="20"/>
          </w:rPr>
          <w:t>https://doi.org/10.1080/14616742.2021.1921601</w:t>
        </w:r>
      </w:hyperlink>
    </w:p>
    <w:p w14:paraId="245FCB44" w14:textId="5E7D12F7" w:rsidR="0067417A" w:rsidRDefault="0067417A" w:rsidP="00F9026A">
      <w:pPr>
        <w:rPr>
          <w:rFonts w:ascii="Arial" w:hAnsi="Arial" w:cs="Arial"/>
          <w:sz w:val="20"/>
          <w:szCs w:val="20"/>
        </w:rPr>
      </w:pPr>
      <w:r w:rsidRPr="0067417A">
        <w:rPr>
          <w:rFonts w:ascii="Arial" w:hAnsi="Arial" w:cs="Arial"/>
          <w:sz w:val="20"/>
          <w:szCs w:val="20"/>
        </w:rPr>
        <w:t xml:space="preserve">White, K. B., Combs, R. M., Decker, H. R., &amp; Schmidt, B. M. (2021). Gender-based perspectives on professional healthcare chaplaincy board certification. J Sci Study </w:t>
      </w:r>
      <w:proofErr w:type="spellStart"/>
      <w:r w:rsidRPr="0067417A">
        <w:rPr>
          <w:rFonts w:ascii="Arial" w:hAnsi="Arial" w:cs="Arial"/>
          <w:sz w:val="20"/>
          <w:szCs w:val="20"/>
        </w:rPr>
        <w:t>Relig</w:t>
      </w:r>
      <w:proofErr w:type="spellEnd"/>
      <w:r w:rsidRPr="0067417A">
        <w:rPr>
          <w:rFonts w:ascii="Arial" w:hAnsi="Arial" w:cs="Arial"/>
          <w:sz w:val="20"/>
          <w:szCs w:val="20"/>
        </w:rPr>
        <w:t xml:space="preserve">, 60(3), 502–516. </w:t>
      </w:r>
      <w:hyperlink r:id="rId54" w:history="1">
        <w:r w:rsidRPr="0066729A">
          <w:rPr>
            <w:rStyle w:val="Hyperlink"/>
            <w:rFonts w:ascii="Arial" w:hAnsi="Arial" w:cs="Arial"/>
            <w:sz w:val="20"/>
            <w:szCs w:val="20"/>
          </w:rPr>
          <w:t>https://doi.org/10.1111/jssr.12752</w:t>
        </w:r>
      </w:hyperlink>
    </w:p>
    <w:p w14:paraId="79FBF403" w14:textId="1C31E9A1" w:rsidR="0067417A" w:rsidRDefault="0067417A" w:rsidP="00F9026A">
      <w:pPr>
        <w:rPr>
          <w:rFonts w:ascii="Arial" w:hAnsi="Arial" w:cs="Arial"/>
          <w:sz w:val="20"/>
          <w:szCs w:val="20"/>
        </w:rPr>
      </w:pPr>
      <w:proofErr w:type="spellStart"/>
      <w:r w:rsidRPr="0067417A">
        <w:rPr>
          <w:rFonts w:ascii="Arial" w:hAnsi="Arial" w:cs="Arial"/>
          <w:sz w:val="20"/>
          <w:szCs w:val="20"/>
        </w:rPr>
        <w:t>Wijesinghe</w:t>
      </w:r>
      <w:proofErr w:type="spellEnd"/>
      <w:r w:rsidRPr="0067417A">
        <w:rPr>
          <w:rFonts w:ascii="Arial" w:hAnsi="Arial" w:cs="Arial"/>
          <w:sz w:val="20"/>
          <w:szCs w:val="20"/>
        </w:rPr>
        <w:t xml:space="preserve">, E. P. S. D., Jayasinghe, S., </w:t>
      </w:r>
      <w:proofErr w:type="spellStart"/>
      <w:r w:rsidRPr="0067417A">
        <w:rPr>
          <w:rFonts w:ascii="Arial" w:hAnsi="Arial" w:cs="Arial"/>
          <w:sz w:val="20"/>
          <w:szCs w:val="20"/>
        </w:rPr>
        <w:t>Prasadika</w:t>
      </w:r>
      <w:proofErr w:type="spellEnd"/>
      <w:r w:rsidRPr="0067417A">
        <w:rPr>
          <w:rFonts w:ascii="Arial" w:hAnsi="Arial" w:cs="Arial"/>
          <w:sz w:val="20"/>
          <w:szCs w:val="20"/>
        </w:rPr>
        <w:t xml:space="preserve">, A. P. K. J., &amp; </w:t>
      </w:r>
      <w:proofErr w:type="spellStart"/>
      <w:r w:rsidRPr="0067417A">
        <w:rPr>
          <w:rFonts w:ascii="Arial" w:hAnsi="Arial" w:cs="Arial"/>
          <w:sz w:val="20"/>
          <w:szCs w:val="20"/>
        </w:rPr>
        <w:t>Wijerathna</w:t>
      </w:r>
      <w:proofErr w:type="spellEnd"/>
      <w:r w:rsidRPr="0067417A">
        <w:rPr>
          <w:rFonts w:ascii="Arial" w:hAnsi="Arial" w:cs="Arial"/>
          <w:sz w:val="20"/>
          <w:szCs w:val="20"/>
        </w:rPr>
        <w:t xml:space="preserve">, S. K. (2024). A systematic review on the determinants of customer relationship quality in agile projects in the IT industry: A social exchange theory perspective. 2024 International Research Conference on Smart Computing and Systems Engineering. </w:t>
      </w:r>
      <w:hyperlink r:id="rId55" w:history="1">
        <w:r w:rsidRPr="0066729A">
          <w:rPr>
            <w:rStyle w:val="Hyperlink"/>
            <w:rFonts w:ascii="Arial" w:hAnsi="Arial" w:cs="Arial"/>
            <w:sz w:val="20"/>
            <w:szCs w:val="20"/>
          </w:rPr>
          <w:t>http://doi.org/10.1109/SCSE61872.2024.10550794</w:t>
        </w:r>
      </w:hyperlink>
    </w:p>
    <w:p w14:paraId="27F02491" w14:textId="2FE3343E" w:rsidR="0067417A" w:rsidRDefault="0067417A" w:rsidP="00F9026A">
      <w:pPr>
        <w:rPr>
          <w:rFonts w:ascii="Arial" w:hAnsi="Arial" w:cs="Arial"/>
          <w:sz w:val="20"/>
          <w:szCs w:val="20"/>
        </w:rPr>
      </w:pPr>
      <w:r w:rsidRPr="0067417A">
        <w:rPr>
          <w:rFonts w:ascii="Arial" w:hAnsi="Arial" w:cs="Arial"/>
          <w:sz w:val="20"/>
          <w:szCs w:val="20"/>
        </w:rPr>
        <w:t xml:space="preserve">Williams, C. L., Muller, C., &amp; </w:t>
      </w:r>
      <w:proofErr w:type="spellStart"/>
      <w:r w:rsidRPr="0067417A">
        <w:rPr>
          <w:rFonts w:ascii="Arial" w:hAnsi="Arial" w:cs="Arial"/>
          <w:sz w:val="20"/>
          <w:szCs w:val="20"/>
        </w:rPr>
        <w:t>Kilanski</w:t>
      </w:r>
      <w:proofErr w:type="spellEnd"/>
      <w:r w:rsidRPr="0067417A">
        <w:rPr>
          <w:rFonts w:ascii="Arial" w:hAnsi="Arial" w:cs="Arial"/>
          <w:sz w:val="20"/>
          <w:szCs w:val="20"/>
        </w:rPr>
        <w:t xml:space="preserve">, K. (2012). Gendered Organizations in the New Economy. Gender &amp; Society, 26(4), 549–573. </w:t>
      </w:r>
      <w:hyperlink r:id="rId56" w:history="1">
        <w:r w:rsidRPr="0066729A">
          <w:rPr>
            <w:rStyle w:val="Hyperlink"/>
            <w:rFonts w:ascii="Arial" w:hAnsi="Arial" w:cs="Arial"/>
            <w:sz w:val="20"/>
            <w:szCs w:val="20"/>
          </w:rPr>
          <w:t>https://doi.org/10.1177/0891243212445466</w:t>
        </w:r>
      </w:hyperlink>
    </w:p>
    <w:p w14:paraId="5A270F0E" w14:textId="468559F5" w:rsidR="0067417A" w:rsidRDefault="0067417A" w:rsidP="00F9026A">
      <w:pPr>
        <w:rPr>
          <w:rFonts w:ascii="Arial" w:hAnsi="Arial" w:cs="Arial"/>
          <w:sz w:val="20"/>
          <w:szCs w:val="20"/>
        </w:rPr>
      </w:pPr>
      <w:proofErr w:type="spellStart"/>
      <w:r w:rsidRPr="0067417A">
        <w:rPr>
          <w:rFonts w:ascii="Arial" w:hAnsi="Arial" w:cs="Arial"/>
          <w:sz w:val="20"/>
          <w:szCs w:val="20"/>
        </w:rPr>
        <w:t>Xiu</w:t>
      </w:r>
      <w:proofErr w:type="spellEnd"/>
      <w:r w:rsidRPr="0067417A">
        <w:rPr>
          <w:rFonts w:ascii="Arial" w:hAnsi="Arial" w:cs="Arial"/>
          <w:sz w:val="20"/>
          <w:szCs w:val="20"/>
        </w:rPr>
        <w:t xml:space="preserve">, L., Ren, Y., </w:t>
      </w:r>
      <w:proofErr w:type="spellStart"/>
      <w:r w:rsidRPr="0067417A">
        <w:rPr>
          <w:rFonts w:ascii="Arial" w:hAnsi="Arial" w:cs="Arial"/>
          <w:sz w:val="20"/>
          <w:szCs w:val="20"/>
        </w:rPr>
        <w:t>Lv</w:t>
      </w:r>
      <w:proofErr w:type="spellEnd"/>
      <w:r w:rsidRPr="0067417A">
        <w:rPr>
          <w:rFonts w:ascii="Arial" w:hAnsi="Arial" w:cs="Arial"/>
          <w:sz w:val="20"/>
          <w:szCs w:val="20"/>
        </w:rPr>
        <w:t xml:space="preserve">, F., Lange, T., &amp; Liang, X. (2024). Examining the impact of co-workers’ sexism on citizenship behaviors and performance outcomes: The moderating role of leaders’ gender. International Journal of Manpower, 46(3), 472–491. </w:t>
      </w:r>
      <w:hyperlink r:id="rId57" w:history="1">
        <w:r w:rsidRPr="0066729A">
          <w:rPr>
            <w:rStyle w:val="Hyperlink"/>
            <w:rFonts w:ascii="Arial" w:hAnsi="Arial" w:cs="Arial"/>
            <w:sz w:val="20"/>
            <w:szCs w:val="20"/>
          </w:rPr>
          <w:t>https://doi.org/10.1108/IJM-01-2024-0055</w:t>
        </w:r>
      </w:hyperlink>
    </w:p>
    <w:p w14:paraId="6A13DF50" w14:textId="77777777" w:rsidR="0067417A" w:rsidRPr="0067417A" w:rsidRDefault="0067417A" w:rsidP="00F9026A">
      <w:pPr>
        <w:rPr>
          <w:rFonts w:ascii="Arial" w:hAnsi="Arial" w:cs="Arial"/>
          <w:sz w:val="20"/>
          <w:szCs w:val="20"/>
        </w:rPr>
      </w:pPr>
    </w:p>
    <w:p w14:paraId="51AFEF8C" w14:textId="77777777" w:rsidR="0067417A" w:rsidRPr="0067417A" w:rsidRDefault="0067417A" w:rsidP="00F9026A">
      <w:pPr>
        <w:rPr>
          <w:rFonts w:ascii="Arial" w:hAnsi="Arial" w:cs="Arial"/>
          <w:sz w:val="20"/>
          <w:szCs w:val="20"/>
        </w:rPr>
      </w:pPr>
    </w:p>
    <w:sectPr w:rsidR="0067417A" w:rsidRPr="0067417A">
      <w:headerReference w:type="even" r:id="rId58"/>
      <w:headerReference w:type="default" r:id="rId59"/>
      <w:footerReference w:type="even" r:id="rId60"/>
      <w:footerReference w:type="default" r:id="rId61"/>
      <w:headerReference w:type="first" r:id="rId62"/>
      <w:footerReference w:type="first" r:id="rId6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90BE7C" w14:textId="77777777" w:rsidR="00112394" w:rsidRDefault="00112394" w:rsidP="00FF015B">
      <w:pPr>
        <w:spacing w:after="0" w:line="240" w:lineRule="auto"/>
      </w:pPr>
      <w:r>
        <w:separator/>
      </w:r>
    </w:p>
  </w:endnote>
  <w:endnote w:type="continuationSeparator" w:id="0">
    <w:p w14:paraId="34E16E3D" w14:textId="77777777" w:rsidR="00112394" w:rsidRDefault="00112394" w:rsidP="00FF01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4F263" w14:textId="77777777" w:rsidR="00FF015B" w:rsidRDefault="00FF01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52160" w14:textId="77777777" w:rsidR="00FF015B" w:rsidRDefault="00FF01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2A5E4" w14:textId="77777777" w:rsidR="00FF015B" w:rsidRDefault="00FF01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4E5A57" w14:textId="77777777" w:rsidR="00112394" w:rsidRDefault="00112394" w:rsidP="00FF015B">
      <w:pPr>
        <w:spacing w:after="0" w:line="240" w:lineRule="auto"/>
      </w:pPr>
      <w:r>
        <w:separator/>
      </w:r>
    </w:p>
  </w:footnote>
  <w:footnote w:type="continuationSeparator" w:id="0">
    <w:p w14:paraId="5C29B847" w14:textId="77777777" w:rsidR="00112394" w:rsidRDefault="00112394" w:rsidP="00FF01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587ED" w14:textId="2BC8EA67" w:rsidR="00FF015B" w:rsidRDefault="00FF015B">
    <w:pPr>
      <w:pStyle w:val="Header"/>
    </w:pPr>
    <w:r>
      <w:rPr>
        <w:noProof/>
      </w:rPr>
      <w:pict w14:anchorId="11E8D1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1081376"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C1ED5" w14:textId="0833CDF3" w:rsidR="00FF015B" w:rsidRDefault="00FF015B">
    <w:pPr>
      <w:pStyle w:val="Header"/>
    </w:pPr>
    <w:r>
      <w:rPr>
        <w:noProof/>
      </w:rPr>
      <w:pict w14:anchorId="3EDB90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1081377"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04F4B" w14:textId="277F5B46" w:rsidR="00FF015B" w:rsidRDefault="00FF015B">
    <w:pPr>
      <w:pStyle w:val="Header"/>
    </w:pPr>
    <w:r>
      <w:rPr>
        <w:noProof/>
      </w:rPr>
      <w:pict w14:anchorId="752500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1081375"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872A4"/>
    <w:multiLevelType w:val="multilevel"/>
    <w:tmpl w:val="8A4C1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E87F9C"/>
    <w:multiLevelType w:val="hybridMultilevel"/>
    <w:tmpl w:val="9E548DAA"/>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11466EB6"/>
    <w:multiLevelType w:val="hybridMultilevel"/>
    <w:tmpl w:val="A52AB69A"/>
    <w:lvl w:ilvl="0" w:tplc="17847DD4">
      <w:numFmt w:val="bullet"/>
      <w:lvlText w:val=""/>
      <w:lvlJc w:val="left"/>
      <w:pPr>
        <w:ind w:left="630" w:hanging="360"/>
      </w:pPr>
      <w:rPr>
        <w:rFonts w:ascii="Symbol" w:eastAsia="Times New Roman" w:hAnsi="Symbol"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231471BD"/>
    <w:multiLevelType w:val="hybridMultilevel"/>
    <w:tmpl w:val="626051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EC181E"/>
    <w:multiLevelType w:val="hybridMultilevel"/>
    <w:tmpl w:val="3FCCF7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525B4B"/>
    <w:multiLevelType w:val="multilevel"/>
    <w:tmpl w:val="4DAEA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AA8717B"/>
    <w:multiLevelType w:val="multilevel"/>
    <w:tmpl w:val="B184C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C930309"/>
    <w:multiLevelType w:val="multilevel"/>
    <w:tmpl w:val="319ED5D4"/>
    <w:lvl w:ilvl="0">
      <w:start w:val="1"/>
      <w:numFmt w:val="decimal"/>
      <w:lvlText w:val="%1."/>
      <w:lvlJc w:val="left"/>
      <w:pPr>
        <w:tabs>
          <w:tab w:val="num" w:pos="630"/>
        </w:tabs>
        <w:ind w:left="630" w:hanging="360"/>
      </w:pPr>
    </w:lvl>
    <w:lvl w:ilvl="1" w:tentative="1">
      <w:start w:val="1"/>
      <w:numFmt w:val="decimal"/>
      <w:lvlText w:val="%2."/>
      <w:lvlJc w:val="left"/>
      <w:pPr>
        <w:tabs>
          <w:tab w:val="num" w:pos="1350"/>
        </w:tabs>
        <w:ind w:left="1350" w:hanging="360"/>
      </w:pPr>
    </w:lvl>
    <w:lvl w:ilvl="2" w:tentative="1">
      <w:start w:val="1"/>
      <w:numFmt w:val="decimal"/>
      <w:lvlText w:val="%3."/>
      <w:lvlJc w:val="left"/>
      <w:pPr>
        <w:tabs>
          <w:tab w:val="num" w:pos="2070"/>
        </w:tabs>
        <w:ind w:left="2070" w:hanging="360"/>
      </w:pPr>
    </w:lvl>
    <w:lvl w:ilvl="3" w:tentative="1">
      <w:start w:val="1"/>
      <w:numFmt w:val="decimal"/>
      <w:lvlText w:val="%4."/>
      <w:lvlJc w:val="left"/>
      <w:pPr>
        <w:tabs>
          <w:tab w:val="num" w:pos="2790"/>
        </w:tabs>
        <w:ind w:left="2790" w:hanging="360"/>
      </w:pPr>
    </w:lvl>
    <w:lvl w:ilvl="4" w:tentative="1">
      <w:start w:val="1"/>
      <w:numFmt w:val="decimal"/>
      <w:lvlText w:val="%5."/>
      <w:lvlJc w:val="left"/>
      <w:pPr>
        <w:tabs>
          <w:tab w:val="num" w:pos="3510"/>
        </w:tabs>
        <w:ind w:left="3510" w:hanging="360"/>
      </w:pPr>
    </w:lvl>
    <w:lvl w:ilvl="5" w:tentative="1">
      <w:start w:val="1"/>
      <w:numFmt w:val="decimal"/>
      <w:lvlText w:val="%6."/>
      <w:lvlJc w:val="left"/>
      <w:pPr>
        <w:tabs>
          <w:tab w:val="num" w:pos="4230"/>
        </w:tabs>
        <w:ind w:left="4230" w:hanging="360"/>
      </w:pPr>
    </w:lvl>
    <w:lvl w:ilvl="6" w:tentative="1">
      <w:start w:val="1"/>
      <w:numFmt w:val="decimal"/>
      <w:lvlText w:val="%7."/>
      <w:lvlJc w:val="left"/>
      <w:pPr>
        <w:tabs>
          <w:tab w:val="num" w:pos="4950"/>
        </w:tabs>
        <w:ind w:left="4950" w:hanging="360"/>
      </w:pPr>
    </w:lvl>
    <w:lvl w:ilvl="7" w:tentative="1">
      <w:start w:val="1"/>
      <w:numFmt w:val="decimal"/>
      <w:lvlText w:val="%8."/>
      <w:lvlJc w:val="left"/>
      <w:pPr>
        <w:tabs>
          <w:tab w:val="num" w:pos="5670"/>
        </w:tabs>
        <w:ind w:left="5670" w:hanging="360"/>
      </w:pPr>
    </w:lvl>
    <w:lvl w:ilvl="8" w:tentative="1">
      <w:start w:val="1"/>
      <w:numFmt w:val="decimal"/>
      <w:lvlText w:val="%9."/>
      <w:lvlJc w:val="left"/>
      <w:pPr>
        <w:tabs>
          <w:tab w:val="num" w:pos="6390"/>
        </w:tabs>
        <w:ind w:left="6390" w:hanging="360"/>
      </w:pPr>
    </w:lvl>
  </w:abstractNum>
  <w:abstractNum w:abstractNumId="8" w15:restartNumberingAfterBreak="0">
    <w:nsid w:val="3D3A1D00"/>
    <w:multiLevelType w:val="multilevel"/>
    <w:tmpl w:val="69E87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CD42E7"/>
    <w:multiLevelType w:val="hybridMultilevel"/>
    <w:tmpl w:val="ADD8C730"/>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15:restartNumberingAfterBreak="0">
    <w:nsid w:val="65DC7137"/>
    <w:multiLevelType w:val="hybridMultilevel"/>
    <w:tmpl w:val="3466BC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917E00"/>
    <w:multiLevelType w:val="hybridMultilevel"/>
    <w:tmpl w:val="57B89A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944C9B"/>
    <w:multiLevelType w:val="hybridMultilevel"/>
    <w:tmpl w:val="115E8CF6"/>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76560224"/>
    <w:multiLevelType w:val="hybridMultilevel"/>
    <w:tmpl w:val="94B20D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7"/>
  </w:num>
  <w:num w:numId="4">
    <w:abstractNumId w:val="1"/>
  </w:num>
  <w:num w:numId="5">
    <w:abstractNumId w:val="2"/>
  </w:num>
  <w:num w:numId="6">
    <w:abstractNumId w:val="9"/>
  </w:num>
  <w:num w:numId="7">
    <w:abstractNumId w:val="12"/>
  </w:num>
  <w:num w:numId="8">
    <w:abstractNumId w:val="11"/>
  </w:num>
  <w:num w:numId="9">
    <w:abstractNumId w:val="5"/>
  </w:num>
  <w:num w:numId="10">
    <w:abstractNumId w:val="8"/>
  </w:num>
  <w:num w:numId="11">
    <w:abstractNumId w:val="4"/>
  </w:num>
  <w:num w:numId="12">
    <w:abstractNumId w:val="3"/>
  </w:num>
  <w:num w:numId="13">
    <w:abstractNumId w:val="1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1D8"/>
    <w:rsid w:val="00001F09"/>
    <w:rsid w:val="000267C5"/>
    <w:rsid w:val="00036B57"/>
    <w:rsid w:val="000619C8"/>
    <w:rsid w:val="00063096"/>
    <w:rsid w:val="00063900"/>
    <w:rsid w:val="00072CDC"/>
    <w:rsid w:val="00072ED9"/>
    <w:rsid w:val="00077F14"/>
    <w:rsid w:val="000851FA"/>
    <w:rsid w:val="00092F46"/>
    <w:rsid w:val="00093122"/>
    <w:rsid w:val="000C5B8A"/>
    <w:rsid w:val="000D1856"/>
    <w:rsid w:val="000E5606"/>
    <w:rsid w:val="000F65E3"/>
    <w:rsid w:val="000F78E6"/>
    <w:rsid w:val="0010176B"/>
    <w:rsid w:val="00112394"/>
    <w:rsid w:val="00114755"/>
    <w:rsid w:val="0011502B"/>
    <w:rsid w:val="00126A68"/>
    <w:rsid w:val="001272DA"/>
    <w:rsid w:val="00130BC5"/>
    <w:rsid w:val="00151D8B"/>
    <w:rsid w:val="00153265"/>
    <w:rsid w:val="00162939"/>
    <w:rsid w:val="00184353"/>
    <w:rsid w:val="00185F19"/>
    <w:rsid w:val="00186DEC"/>
    <w:rsid w:val="001C4431"/>
    <w:rsid w:val="001E68A2"/>
    <w:rsid w:val="001F7D07"/>
    <w:rsid w:val="00214BE2"/>
    <w:rsid w:val="002242B3"/>
    <w:rsid w:val="0025307C"/>
    <w:rsid w:val="002637AA"/>
    <w:rsid w:val="002637BE"/>
    <w:rsid w:val="002703E7"/>
    <w:rsid w:val="002746CD"/>
    <w:rsid w:val="002766F7"/>
    <w:rsid w:val="002A0AE4"/>
    <w:rsid w:val="002A2DC1"/>
    <w:rsid w:val="002B4F4D"/>
    <w:rsid w:val="002D7ED9"/>
    <w:rsid w:val="002E322C"/>
    <w:rsid w:val="002E6556"/>
    <w:rsid w:val="00347BC6"/>
    <w:rsid w:val="003549A2"/>
    <w:rsid w:val="0035611F"/>
    <w:rsid w:val="00362646"/>
    <w:rsid w:val="003672AF"/>
    <w:rsid w:val="00381020"/>
    <w:rsid w:val="00381943"/>
    <w:rsid w:val="00382F4D"/>
    <w:rsid w:val="003B15B2"/>
    <w:rsid w:val="003C6ADA"/>
    <w:rsid w:val="003D28D8"/>
    <w:rsid w:val="003D5E8F"/>
    <w:rsid w:val="00420A2A"/>
    <w:rsid w:val="00427F23"/>
    <w:rsid w:val="0043180D"/>
    <w:rsid w:val="004404FB"/>
    <w:rsid w:val="00443308"/>
    <w:rsid w:val="00447CEB"/>
    <w:rsid w:val="0045321A"/>
    <w:rsid w:val="00466CB1"/>
    <w:rsid w:val="004758D2"/>
    <w:rsid w:val="004815EA"/>
    <w:rsid w:val="00487CA7"/>
    <w:rsid w:val="004C20B0"/>
    <w:rsid w:val="004D1F85"/>
    <w:rsid w:val="004D7608"/>
    <w:rsid w:val="004E2B27"/>
    <w:rsid w:val="004E3488"/>
    <w:rsid w:val="004E692E"/>
    <w:rsid w:val="004F5364"/>
    <w:rsid w:val="005044C2"/>
    <w:rsid w:val="0051591B"/>
    <w:rsid w:val="00562E38"/>
    <w:rsid w:val="005639E9"/>
    <w:rsid w:val="00577828"/>
    <w:rsid w:val="005B0463"/>
    <w:rsid w:val="005C4C6F"/>
    <w:rsid w:val="005C799E"/>
    <w:rsid w:val="005D1944"/>
    <w:rsid w:val="005F4AC9"/>
    <w:rsid w:val="006225A8"/>
    <w:rsid w:val="00624D3B"/>
    <w:rsid w:val="006456C8"/>
    <w:rsid w:val="00652DA4"/>
    <w:rsid w:val="00661254"/>
    <w:rsid w:val="0066268F"/>
    <w:rsid w:val="0067417A"/>
    <w:rsid w:val="0069441D"/>
    <w:rsid w:val="006C75B6"/>
    <w:rsid w:val="007005E1"/>
    <w:rsid w:val="00701710"/>
    <w:rsid w:val="00711F4E"/>
    <w:rsid w:val="00717978"/>
    <w:rsid w:val="00723263"/>
    <w:rsid w:val="00723BF9"/>
    <w:rsid w:val="007241EE"/>
    <w:rsid w:val="00724D8D"/>
    <w:rsid w:val="007252C6"/>
    <w:rsid w:val="00745BEF"/>
    <w:rsid w:val="00760D51"/>
    <w:rsid w:val="00761D9E"/>
    <w:rsid w:val="00764CB2"/>
    <w:rsid w:val="00792CBB"/>
    <w:rsid w:val="007936BF"/>
    <w:rsid w:val="007A2294"/>
    <w:rsid w:val="007B5356"/>
    <w:rsid w:val="007C4441"/>
    <w:rsid w:val="007C7929"/>
    <w:rsid w:val="007D6A05"/>
    <w:rsid w:val="007E0A07"/>
    <w:rsid w:val="007F131C"/>
    <w:rsid w:val="008059F6"/>
    <w:rsid w:val="008174BC"/>
    <w:rsid w:val="008176FC"/>
    <w:rsid w:val="00820D09"/>
    <w:rsid w:val="0084132C"/>
    <w:rsid w:val="00843344"/>
    <w:rsid w:val="0084537B"/>
    <w:rsid w:val="008464E8"/>
    <w:rsid w:val="00847EA3"/>
    <w:rsid w:val="008529A5"/>
    <w:rsid w:val="008545BA"/>
    <w:rsid w:val="00857FD6"/>
    <w:rsid w:val="00863F02"/>
    <w:rsid w:val="00866E1C"/>
    <w:rsid w:val="008A4461"/>
    <w:rsid w:val="008A4D0E"/>
    <w:rsid w:val="008B04C6"/>
    <w:rsid w:val="008B05EF"/>
    <w:rsid w:val="008B0932"/>
    <w:rsid w:val="008B5FBA"/>
    <w:rsid w:val="008D475F"/>
    <w:rsid w:val="0090614B"/>
    <w:rsid w:val="00912546"/>
    <w:rsid w:val="00917CB1"/>
    <w:rsid w:val="00924300"/>
    <w:rsid w:val="0092530D"/>
    <w:rsid w:val="00927A60"/>
    <w:rsid w:val="00932486"/>
    <w:rsid w:val="00942047"/>
    <w:rsid w:val="00942788"/>
    <w:rsid w:val="00951E86"/>
    <w:rsid w:val="009756D8"/>
    <w:rsid w:val="009779FF"/>
    <w:rsid w:val="009C1E1B"/>
    <w:rsid w:val="009D2B76"/>
    <w:rsid w:val="009E1781"/>
    <w:rsid w:val="009F6CC5"/>
    <w:rsid w:val="00A01A69"/>
    <w:rsid w:val="00A1442F"/>
    <w:rsid w:val="00A148A6"/>
    <w:rsid w:val="00A23F59"/>
    <w:rsid w:val="00A41F63"/>
    <w:rsid w:val="00A4530C"/>
    <w:rsid w:val="00A52059"/>
    <w:rsid w:val="00A65AE8"/>
    <w:rsid w:val="00A758DA"/>
    <w:rsid w:val="00A8062A"/>
    <w:rsid w:val="00A900ED"/>
    <w:rsid w:val="00A92071"/>
    <w:rsid w:val="00AA0820"/>
    <w:rsid w:val="00AB11E7"/>
    <w:rsid w:val="00AF078C"/>
    <w:rsid w:val="00AF36A7"/>
    <w:rsid w:val="00B11BFB"/>
    <w:rsid w:val="00B12C53"/>
    <w:rsid w:val="00B3017E"/>
    <w:rsid w:val="00B319A4"/>
    <w:rsid w:val="00B37114"/>
    <w:rsid w:val="00B41D83"/>
    <w:rsid w:val="00B4366F"/>
    <w:rsid w:val="00B50F3B"/>
    <w:rsid w:val="00B541A9"/>
    <w:rsid w:val="00B922CD"/>
    <w:rsid w:val="00B9617B"/>
    <w:rsid w:val="00BA2214"/>
    <w:rsid w:val="00BB0B9F"/>
    <w:rsid w:val="00BD5277"/>
    <w:rsid w:val="00BF4B46"/>
    <w:rsid w:val="00C01489"/>
    <w:rsid w:val="00C10787"/>
    <w:rsid w:val="00C10EE6"/>
    <w:rsid w:val="00C16C91"/>
    <w:rsid w:val="00C42824"/>
    <w:rsid w:val="00C50803"/>
    <w:rsid w:val="00C514A6"/>
    <w:rsid w:val="00C5375F"/>
    <w:rsid w:val="00C60283"/>
    <w:rsid w:val="00C63490"/>
    <w:rsid w:val="00C6528B"/>
    <w:rsid w:val="00C65EB9"/>
    <w:rsid w:val="00C665F6"/>
    <w:rsid w:val="00C67982"/>
    <w:rsid w:val="00C75AB2"/>
    <w:rsid w:val="00C75D1E"/>
    <w:rsid w:val="00C821D8"/>
    <w:rsid w:val="00C84211"/>
    <w:rsid w:val="00CA4CDF"/>
    <w:rsid w:val="00CB750C"/>
    <w:rsid w:val="00CC374C"/>
    <w:rsid w:val="00CF3204"/>
    <w:rsid w:val="00CF630C"/>
    <w:rsid w:val="00D010AA"/>
    <w:rsid w:val="00D10B36"/>
    <w:rsid w:val="00D20537"/>
    <w:rsid w:val="00D217EA"/>
    <w:rsid w:val="00D50A58"/>
    <w:rsid w:val="00D63B98"/>
    <w:rsid w:val="00D659CF"/>
    <w:rsid w:val="00D661F5"/>
    <w:rsid w:val="00D70F1F"/>
    <w:rsid w:val="00D82732"/>
    <w:rsid w:val="00D90DE0"/>
    <w:rsid w:val="00DA2E55"/>
    <w:rsid w:val="00DA48B9"/>
    <w:rsid w:val="00DA69EF"/>
    <w:rsid w:val="00DD138F"/>
    <w:rsid w:val="00DD381B"/>
    <w:rsid w:val="00DE1C63"/>
    <w:rsid w:val="00DE47C2"/>
    <w:rsid w:val="00DF4A3F"/>
    <w:rsid w:val="00E054F5"/>
    <w:rsid w:val="00E21D6F"/>
    <w:rsid w:val="00E57B1E"/>
    <w:rsid w:val="00E7798F"/>
    <w:rsid w:val="00E8062C"/>
    <w:rsid w:val="00E8469A"/>
    <w:rsid w:val="00E966E1"/>
    <w:rsid w:val="00F03C59"/>
    <w:rsid w:val="00F23F8C"/>
    <w:rsid w:val="00F57F37"/>
    <w:rsid w:val="00F9026A"/>
    <w:rsid w:val="00FA6441"/>
    <w:rsid w:val="00FD5CFF"/>
    <w:rsid w:val="00FF015B"/>
    <w:rsid w:val="00FF33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7D6530C"/>
  <w15:chartTrackingRefBased/>
  <w15:docId w15:val="{7C874310-AC7E-42ED-8F80-07F44AE71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21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044C2"/>
    <w:pPr>
      <w:keepNext/>
      <w:keepLines/>
      <w:spacing w:before="160" w:after="80"/>
      <w:outlineLvl w:val="1"/>
    </w:pPr>
    <w:rPr>
      <w:rFonts w:ascii="Times New Roman" w:eastAsiaTheme="majorEastAsia" w:hAnsi="Times New Roman" w:cstheme="majorBidi"/>
      <w:b/>
      <w:color w:val="000000" w:themeColor="text1"/>
      <w:szCs w:val="32"/>
    </w:rPr>
  </w:style>
  <w:style w:type="paragraph" w:styleId="Heading3">
    <w:name w:val="heading 3"/>
    <w:basedOn w:val="Normal"/>
    <w:next w:val="Normal"/>
    <w:link w:val="Heading3Char"/>
    <w:uiPriority w:val="9"/>
    <w:semiHidden/>
    <w:unhideWhenUsed/>
    <w:qFormat/>
    <w:rsid w:val="00C821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21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21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21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21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21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21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21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044C2"/>
    <w:rPr>
      <w:rFonts w:ascii="Times New Roman" w:eastAsiaTheme="majorEastAsia" w:hAnsi="Times New Roman" w:cstheme="majorBidi"/>
      <w:b/>
      <w:color w:val="000000" w:themeColor="text1"/>
      <w:szCs w:val="32"/>
    </w:rPr>
  </w:style>
  <w:style w:type="character" w:customStyle="1" w:styleId="Heading3Char">
    <w:name w:val="Heading 3 Char"/>
    <w:basedOn w:val="DefaultParagraphFont"/>
    <w:link w:val="Heading3"/>
    <w:uiPriority w:val="9"/>
    <w:semiHidden/>
    <w:rsid w:val="00C821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21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21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21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21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21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21D8"/>
    <w:rPr>
      <w:rFonts w:eastAsiaTheme="majorEastAsia" w:cstheme="majorBidi"/>
      <w:color w:val="272727" w:themeColor="text1" w:themeTint="D8"/>
    </w:rPr>
  </w:style>
  <w:style w:type="paragraph" w:styleId="Title">
    <w:name w:val="Title"/>
    <w:basedOn w:val="Normal"/>
    <w:next w:val="Normal"/>
    <w:link w:val="TitleChar"/>
    <w:uiPriority w:val="10"/>
    <w:qFormat/>
    <w:rsid w:val="00C821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21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21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21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21D8"/>
    <w:pPr>
      <w:spacing w:before="160"/>
      <w:jc w:val="center"/>
    </w:pPr>
    <w:rPr>
      <w:i/>
      <w:iCs/>
      <w:color w:val="404040" w:themeColor="text1" w:themeTint="BF"/>
    </w:rPr>
  </w:style>
  <w:style w:type="character" w:customStyle="1" w:styleId="QuoteChar">
    <w:name w:val="Quote Char"/>
    <w:basedOn w:val="DefaultParagraphFont"/>
    <w:link w:val="Quote"/>
    <w:uiPriority w:val="29"/>
    <w:rsid w:val="00C821D8"/>
    <w:rPr>
      <w:i/>
      <w:iCs/>
      <w:color w:val="404040" w:themeColor="text1" w:themeTint="BF"/>
    </w:rPr>
  </w:style>
  <w:style w:type="paragraph" w:styleId="ListParagraph">
    <w:name w:val="List Paragraph"/>
    <w:basedOn w:val="Normal"/>
    <w:uiPriority w:val="34"/>
    <w:qFormat/>
    <w:rsid w:val="00C821D8"/>
    <w:pPr>
      <w:ind w:left="720"/>
      <w:contextualSpacing/>
    </w:pPr>
  </w:style>
  <w:style w:type="character" w:styleId="IntenseEmphasis">
    <w:name w:val="Intense Emphasis"/>
    <w:basedOn w:val="DefaultParagraphFont"/>
    <w:uiPriority w:val="21"/>
    <w:qFormat/>
    <w:rsid w:val="00C821D8"/>
    <w:rPr>
      <w:i/>
      <w:iCs/>
      <w:color w:val="0F4761" w:themeColor="accent1" w:themeShade="BF"/>
    </w:rPr>
  </w:style>
  <w:style w:type="paragraph" w:styleId="IntenseQuote">
    <w:name w:val="Intense Quote"/>
    <w:basedOn w:val="Normal"/>
    <w:next w:val="Normal"/>
    <w:link w:val="IntenseQuoteChar"/>
    <w:uiPriority w:val="30"/>
    <w:qFormat/>
    <w:rsid w:val="00C821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21D8"/>
    <w:rPr>
      <w:i/>
      <w:iCs/>
      <w:color w:val="0F4761" w:themeColor="accent1" w:themeShade="BF"/>
    </w:rPr>
  </w:style>
  <w:style w:type="character" w:styleId="IntenseReference">
    <w:name w:val="Intense Reference"/>
    <w:basedOn w:val="DefaultParagraphFont"/>
    <w:uiPriority w:val="32"/>
    <w:qFormat/>
    <w:rsid w:val="00C821D8"/>
    <w:rPr>
      <w:b/>
      <w:bCs/>
      <w:smallCaps/>
      <w:color w:val="0F4761" w:themeColor="accent1" w:themeShade="BF"/>
      <w:spacing w:val="5"/>
    </w:rPr>
  </w:style>
  <w:style w:type="table" w:styleId="TableGrid">
    <w:name w:val="Table Grid"/>
    <w:basedOn w:val="TableNormal"/>
    <w:uiPriority w:val="39"/>
    <w:rsid w:val="00427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B04C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8B04C6"/>
    <w:rPr>
      <w:i/>
      <w:iCs/>
    </w:rPr>
  </w:style>
  <w:style w:type="character" w:styleId="Hyperlink">
    <w:name w:val="Hyperlink"/>
    <w:basedOn w:val="DefaultParagraphFont"/>
    <w:uiPriority w:val="99"/>
    <w:unhideWhenUsed/>
    <w:rsid w:val="008B04C6"/>
    <w:rPr>
      <w:color w:val="467886" w:themeColor="hyperlink"/>
      <w:u w:val="single"/>
    </w:rPr>
  </w:style>
  <w:style w:type="character" w:styleId="UnresolvedMention">
    <w:name w:val="Unresolved Mention"/>
    <w:basedOn w:val="DefaultParagraphFont"/>
    <w:uiPriority w:val="99"/>
    <w:semiHidden/>
    <w:unhideWhenUsed/>
    <w:rsid w:val="008B04C6"/>
    <w:rPr>
      <w:color w:val="605E5C"/>
      <w:shd w:val="clear" w:color="auto" w:fill="E1DFDD"/>
    </w:rPr>
  </w:style>
  <w:style w:type="paragraph" w:styleId="Caption">
    <w:name w:val="caption"/>
    <w:basedOn w:val="Normal"/>
    <w:next w:val="Normal"/>
    <w:uiPriority w:val="35"/>
    <w:unhideWhenUsed/>
    <w:qFormat/>
    <w:rsid w:val="00447CEB"/>
    <w:pPr>
      <w:spacing w:after="200" w:line="240" w:lineRule="auto"/>
    </w:pPr>
    <w:rPr>
      <w:i/>
      <w:iCs/>
      <w:color w:val="0E2841" w:themeColor="text2"/>
      <w:sz w:val="18"/>
      <w:szCs w:val="18"/>
    </w:rPr>
  </w:style>
  <w:style w:type="paragraph" w:customStyle="1" w:styleId="Author">
    <w:name w:val="Author"/>
    <w:basedOn w:val="Normal"/>
    <w:rsid w:val="00381943"/>
    <w:pPr>
      <w:spacing w:after="0" w:line="280" w:lineRule="exact"/>
      <w:jc w:val="right"/>
    </w:pPr>
    <w:rPr>
      <w:rFonts w:ascii="Helvetica" w:eastAsia="Times New Roman" w:hAnsi="Helvetica" w:cs="Times New Roman"/>
      <w:b/>
      <w:kern w:val="0"/>
      <w:szCs w:val="20"/>
      <w14:ligatures w14:val="none"/>
    </w:rPr>
  </w:style>
  <w:style w:type="paragraph" w:customStyle="1" w:styleId="Affiliation">
    <w:name w:val="Affiliation"/>
    <w:basedOn w:val="Normal"/>
    <w:rsid w:val="00381943"/>
    <w:pPr>
      <w:spacing w:after="240" w:line="240" w:lineRule="exact"/>
      <w:jc w:val="right"/>
    </w:pPr>
    <w:rPr>
      <w:rFonts w:ascii="Helvetica" w:eastAsia="Times New Roman" w:hAnsi="Helvetica" w:cs="Times New Roman"/>
      <w:kern w:val="0"/>
      <w:sz w:val="20"/>
      <w:szCs w:val="20"/>
      <w14:ligatures w14:val="none"/>
    </w:rPr>
  </w:style>
  <w:style w:type="character" w:styleId="FollowedHyperlink">
    <w:name w:val="FollowedHyperlink"/>
    <w:basedOn w:val="DefaultParagraphFont"/>
    <w:uiPriority w:val="99"/>
    <w:semiHidden/>
    <w:unhideWhenUsed/>
    <w:rsid w:val="00DF4A3F"/>
    <w:rPr>
      <w:color w:val="96607D" w:themeColor="followedHyperlink"/>
      <w:u w:val="single"/>
    </w:rPr>
  </w:style>
  <w:style w:type="paragraph" w:styleId="Header">
    <w:name w:val="header"/>
    <w:basedOn w:val="Normal"/>
    <w:link w:val="HeaderChar"/>
    <w:uiPriority w:val="99"/>
    <w:unhideWhenUsed/>
    <w:rsid w:val="00FF01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015B"/>
  </w:style>
  <w:style w:type="paragraph" w:styleId="Footer">
    <w:name w:val="footer"/>
    <w:basedOn w:val="Normal"/>
    <w:link w:val="FooterChar"/>
    <w:uiPriority w:val="99"/>
    <w:unhideWhenUsed/>
    <w:rsid w:val="00FF01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01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111/gwao.12950" TargetMode="External"/><Relationship Id="rId21" Type="http://schemas.openxmlformats.org/officeDocument/2006/relationships/hyperlink" Target="http://doi.org/10.1109/SCSE61872.2024.10550785" TargetMode="External"/><Relationship Id="rId34" Type="http://schemas.openxmlformats.org/officeDocument/2006/relationships/hyperlink" Target="https://doi.org/10.4038/sljss.v45i2.8341" TargetMode="External"/><Relationship Id="rId42" Type="http://schemas.openxmlformats.org/officeDocument/2006/relationships/hyperlink" Target="http://doi.org/10.1109/ICARC61713.2024.10499786" TargetMode="External"/><Relationship Id="rId47" Type="http://schemas.openxmlformats.org/officeDocument/2006/relationships/hyperlink" Target="https://doi.org/10.1108/IJOA-01-2024-4165" TargetMode="External"/><Relationship Id="rId50" Type="http://schemas.openxmlformats.org/officeDocument/2006/relationships/hyperlink" Target="https://doi.org/10.1080/21665095.2021.1978300" TargetMode="External"/><Relationship Id="rId55" Type="http://schemas.openxmlformats.org/officeDocument/2006/relationships/hyperlink" Target="http://doi.org/10.1109/SCSE61872.2024.10550794" TargetMode="External"/><Relationship Id="rId63"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3390/buildings13041079" TargetMode="External"/><Relationship Id="rId29" Type="http://schemas.openxmlformats.org/officeDocument/2006/relationships/hyperlink" Target="https://doi.org/10.1080/23750472.2025.2466462" TargetMode="External"/><Relationship Id="rId11" Type="http://schemas.openxmlformats.org/officeDocument/2006/relationships/hyperlink" Target="https://doi.org/10.1177/00197939241310870" TargetMode="External"/><Relationship Id="rId24" Type="http://schemas.openxmlformats.org/officeDocument/2006/relationships/hyperlink" Target="http://doi.org/10.1109/SCSE61872.2024.10550677" TargetMode="External"/><Relationship Id="rId32" Type="http://schemas.openxmlformats.org/officeDocument/2006/relationships/hyperlink" Target="https://doi.org/10.1136/medhum-2018-011517" TargetMode="External"/><Relationship Id="rId37" Type="http://schemas.openxmlformats.org/officeDocument/2006/relationships/hyperlink" Target="https://doi.org/10.1371/journal.pmed.1000097" TargetMode="External"/><Relationship Id="rId40" Type="http://schemas.openxmlformats.org/officeDocument/2006/relationships/hyperlink" Target="https://doi.org/10.1186/s12913-017-2326-9" TargetMode="External"/><Relationship Id="rId45" Type="http://schemas.openxmlformats.org/officeDocument/2006/relationships/hyperlink" Target="https://doi.org/10.1123/iscj.2022-0117" TargetMode="External"/><Relationship Id="rId53" Type="http://schemas.openxmlformats.org/officeDocument/2006/relationships/hyperlink" Target="https://doi.org/10.1080/14616742.2021.1921601" TargetMode="External"/><Relationship Id="rId58"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footer" Target="footer2.xml"/><Relationship Id="rId19" Type="http://schemas.openxmlformats.org/officeDocument/2006/relationships/hyperlink" Target="http://doi.org/10.1109/ICARC64760.2025.10963021" TargetMode="External"/><Relationship Id="rId14" Type="http://schemas.openxmlformats.org/officeDocument/2006/relationships/hyperlink" Target="https://doi.org/10.1080/14789949.2016.1244281" TargetMode="External"/><Relationship Id="rId22" Type="http://schemas.openxmlformats.org/officeDocument/2006/relationships/hyperlink" Target="https://doi.org/10.1108/ICT-10-2022-0075" TargetMode="External"/><Relationship Id="rId27" Type="http://schemas.openxmlformats.org/officeDocument/2006/relationships/hyperlink" Target="https://doi.org/10.11143/fennia.142427" TargetMode="External"/><Relationship Id="rId30" Type="http://schemas.openxmlformats.org/officeDocument/2006/relationships/hyperlink" Target="https://doi.org/10.1177/10126902231172922" TargetMode="External"/><Relationship Id="rId35" Type="http://schemas.openxmlformats.org/officeDocument/2006/relationships/hyperlink" Target="https://doi.org/10.1177/000312240607100404" TargetMode="External"/><Relationship Id="rId43" Type="http://schemas.openxmlformats.org/officeDocument/2006/relationships/hyperlink" Target="https://doi.org/10.1007/s10672-023-09476-z" TargetMode="External"/><Relationship Id="rId48" Type="http://schemas.openxmlformats.org/officeDocument/2006/relationships/hyperlink" Target="https://doi.org/10.17356/ieejsp.v2i3.186" TargetMode="External"/><Relationship Id="rId56" Type="http://schemas.openxmlformats.org/officeDocument/2006/relationships/hyperlink" Target="https://doi.org/10.1177/0891243212445466" TargetMode="External"/><Relationship Id="rId64"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s://doi.org/10.1177/19427751231213096" TargetMode="External"/><Relationship Id="rId3" Type="http://schemas.openxmlformats.org/officeDocument/2006/relationships/styles" Target="styles.xml"/><Relationship Id="rId12" Type="http://schemas.openxmlformats.org/officeDocument/2006/relationships/hyperlink" Target="https://doi.org/10.1111/gwao.12293" TargetMode="External"/><Relationship Id="rId17" Type="http://schemas.openxmlformats.org/officeDocument/2006/relationships/hyperlink" Target="https://doi.org/10.1177/0143831X251331760" TargetMode="External"/><Relationship Id="rId25" Type="http://schemas.openxmlformats.org/officeDocument/2006/relationships/hyperlink" Target="http://doi.org/10.1109/SCSE61872.2024.10550849" TargetMode="External"/><Relationship Id="rId33" Type="http://schemas.openxmlformats.org/officeDocument/2006/relationships/hyperlink" Target="https://doi.org/10.1002/csr.3050" TargetMode="External"/><Relationship Id="rId38" Type="http://schemas.openxmlformats.org/officeDocument/2006/relationships/hyperlink" Target="https://doi.org/10.1001/jamanetworkopen.2023.3532" TargetMode="External"/><Relationship Id="rId46" Type="http://schemas.openxmlformats.org/officeDocument/2006/relationships/hyperlink" Target="https://doi.org/10.1111/gwao.12365" TargetMode="External"/><Relationship Id="rId59" Type="http://schemas.openxmlformats.org/officeDocument/2006/relationships/header" Target="header2.xml"/><Relationship Id="rId20" Type="http://schemas.openxmlformats.org/officeDocument/2006/relationships/hyperlink" Target="http://doi.org/10.1109/SCSE65633.2025.11031019" TargetMode="External"/><Relationship Id="rId41" Type="http://schemas.openxmlformats.org/officeDocument/2006/relationships/hyperlink" Target="https://doi.org/10.1108/EDI-09-2016-0071" TargetMode="External"/><Relationship Id="rId54" Type="http://schemas.openxmlformats.org/officeDocument/2006/relationships/hyperlink" Target="https://doi.org/10.1111/jssr.12752" TargetMode="External"/><Relationship Id="rId62"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111/gwao.12680" TargetMode="External"/><Relationship Id="rId23" Type="http://schemas.openxmlformats.org/officeDocument/2006/relationships/hyperlink" Target="https://doi.org/10.1108/EDI-02-2022-0038" TargetMode="External"/><Relationship Id="rId28" Type="http://schemas.openxmlformats.org/officeDocument/2006/relationships/hyperlink" Target="http://doi.org/10.1109/SCSE61872.2024.10550604" TargetMode="External"/><Relationship Id="rId36" Type="http://schemas.openxmlformats.org/officeDocument/2006/relationships/hyperlink" Target="https://doi.org/10.12669/pjms.41.2.9616" TargetMode="External"/><Relationship Id="rId49" Type="http://schemas.openxmlformats.org/officeDocument/2006/relationships/hyperlink" Target="https://doi.org/10.1080/08038740.2024.2310535" TargetMode="External"/><Relationship Id="rId57" Type="http://schemas.openxmlformats.org/officeDocument/2006/relationships/hyperlink" Target="https://doi.org/10.1108/IJM-01-2024-0055" TargetMode="External"/><Relationship Id="rId10" Type="http://schemas.openxmlformats.org/officeDocument/2006/relationships/hyperlink" Target="https://doi.org/10.1177/08912432211067968" TargetMode="External"/><Relationship Id="rId31" Type="http://schemas.openxmlformats.org/officeDocument/2006/relationships/hyperlink" Target="https://doi.org/10.1080/14427591.2020.1852592" TargetMode="External"/><Relationship Id="rId44" Type="http://schemas.openxmlformats.org/officeDocument/2006/relationships/hyperlink" Target="https://doi.org/10.1093/milmed/usad489" TargetMode="External"/><Relationship Id="rId52" Type="http://schemas.openxmlformats.org/officeDocument/2006/relationships/hyperlink" Target="https://unctad.org/system/files/official-document/rmt2021_en_0.pdf" TargetMode="External"/><Relationship Id="rId60" Type="http://schemas.openxmlformats.org/officeDocument/2006/relationships/footer" Target="footer1.xm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177/089124390004002002" TargetMode="External"/><Relationship Id="rId13" Type="http://schemas.openxmlformats.org/officeDocument/2006/relationships/hyperlink" Target="https://doi.org/10.1080/10401334.2020.1767106" TargetMode="External"/><Relationship Id="rId18" Type="http://schemas.openxmlformats.org/officeDocument/2006/relationships/hyperlink" Target="https://doi.org/10.1037/apl0001109" TargetMode="External"/><Relationship Id="rId39" Type="http://schemas.openxmlformats.org/officeDocument/2006/relationships/hyperlink" Target="https://doi.org/10.1111/gwao.130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000546-1DF7-465E-999C-A0DFE85C4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14001</TotalTime>
  <Pages>17</Pages>
  <Words>8435</Words>
  <Characters>48080</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IM/2020/070 - SAMARASINGHA DVBC</dc:creator>
  <cp:keywords/>
  <dc:description/>
  <cp:lastModifiedBy>SDI 1084</cp:lastModifiedBy>
  <cp:revision>178</cp:revision>
  <dcterms:created xsi:type="dcterms:W3CDTF">2025-09-05T09:07:00Z</dcterms:created>
  <dcterms:modified xsi:type="dcterms:W3CDTF">2025-12-10T10:18:00Z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39d665e7-fae3-4ab4-a231-2bbeb96b6aa2</vt:lpwstr>
  </property>
  <property fmtid="{D5CDD505-2E9C-101B-9397-08002B2CF9AE}" pid="3" name="ZOTERO_PREF_1">
    <vt:lpwstr>&lt;data data-version="3" zotero-version="7.0.24"&gt;&lt;session id="5ACnR4B8"/&gt;&lt;style id="http://www.zotero.org/styles/apa" locale="en-US" hasBibliography="1" bibliographyStyleHasBeenSet="0"/&gt;&lt;prefs&gt;&lt;pref name="fieldType" value="Field"/&gt;&lt;pref name="automaticJourn</vt:lpwstr>
  </property>
  <property fmtid="{D5CDD505-2E9C-101B-9397-08002B2CF9AE}" pid="4" name="ZOTERO_PREF_2">
    <vt:lpwstr>alAbbreviations" value="true"/&gt;&lt;/prefs&gt;&lt;/data&gt;</vt:lpwstr>
  </property>
</Properties>
</file>