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A5886" w14:textId="77777777" w:rsidR="00C70664" w:rsidRPr="00C70664" w:rsidRDefault="00C70664" w:rsidP="00CC31FD">
      <w:pPr>
        <w:pStyle w:val="NormalWeb"/>
        <w:rPr>
          <w:b/>
          <w:bCs/>
        </w:rPr>
      </w:pPr>
      <w:r w:rsidRPr="00C70664">
        <w:rPr>
          <w:b/>
          <w:bCs/>
        </w:rPr>
        <w:t>Toxicity and Bioaccumulation of Heavy Metals and Polycyclic Aromatic Hydrocarbons in Estuarine Fish from the Andoni Estuary, Niger Delta, Nigeria</w:t>
      </w:r>
    </w:p>
    <w:p w14:paraId="48BFDDC3" w14:textId="77777777" w:rsidR="00336338" w:rsidRDefault="00336338" w:rsidP="005E17CD">
      <w:pPr>
        <w:pStyle w:val="NormalWeb"/>
        <w:jc w:val="both"/>
      </w:pPr>
    </w:p>
    <w:p w14:paraId="770E07DD" w14:textId="53463DDB" w:rsidR="005E17CD" w:rsidRPr="005E17CD" w:rsidRDefault="00CC31FD" w:rsidP="005E17CD">
      <w:pPr>
        <w:pStyle w:val="NormalWeb"/>
        <w:jc w:val="both"/>
      </w:pPr>
      <w:r w:rsidRPr="00CC31FD">
        <w:rPr>
          <w:b/>
          <w:bCs/>
        </w:rPr>
        <w:t>Abstract</w:t>
      </w:r>
      <w:r>
        <w:br/>
      </w:r>
      <w:r w:rsidR="005E17CD" w:rsidRPr="005E17CD">
        <w:t xml:space="preserve">Estuarine ecosystems in the Niger Delta are increasingly impacted by toxic contaminants arising from petroleum exploration, gas flaring, artisanal refining, and domestic runoff. This study investigated the levels of heavy metals and polycyclic aromatic hydrocarbons (PAHs) in four edible estuarine species—Tilapia sp., </w:t>
      </w:r>
      <w:proofErr w:type="spellStart"/>
      <w:r w:rsidR="005E17CD" w:rsidRPr="005E17CD">
        <w:t>Clarias</w:t>
      </w:r>
      <w:proofErr w:type="spellEnd"/>
      <w:r w:rsidR="005E17CD" w:rsidRPr="005E17CD">
        <w:t xml:space="preserve"> </w:t>
      </w:r>
      <w:proofErr w:type="spellStart"/>
      <w:r w:rsidR="005E17CD" w:rsidRPr="005E17CD">
        <w:t>gariepinus</w:t>
      </w:r>
      <w:proofErr w:type="spellEnd"/>
      <w:r w:rsidR="005E17CD" w:rsidRPr="005E17CD">
        <w:t xml:space="preserve">, </w:t>
      </w:r>
      <w:proofErr w:type="spellStart"/>
      <w:r w:rsidR="005E17CD" w:rsidRPr="005E17CD">
        <w:t>Sarotherodon</w:t>
      </w:r>
      <w:proofErr w:type="spellEnd"/>
      <w:r w:rsidR="005E17CD" w:rsidRPr="005E17CD">
        <w:t xml:space="preserve"> </w:t>
      </w:r>
      <w:proofErr w:type="spellStart"/>
      <w:r w:rsidR="005E17CD" w:rsidRPr="005E17CD">
        <w:t>melanotheron</w:t>
      </w:r>
      <w:proofErr w:type="spellEnd"/>
      <w:r w:rsidR="005E17CD" w:rsidRPr="005E17CD">
        <w:t xml:space="preserve">, and </w:t>
      </w:r>
      <w:proofErr w:type="spellStart"/>
      <w:r w:rsidR="005E17CD" w:rsidRPr="005E17CD">
        <w:t>Macrobrachium</w:t>
      </w:r>
      <w:proofErr w:type="spellEnd"/>
      <w:r w:rsidR="005E17CD" w:rsidRPr="005E17CD">
        <w:t xml:space="preserve"> </w:t>
      </w:r>
      <w:proofErr w:type="spellStart"/>
      <w:r w:rsidR="005E17CD" w:rsidRPr="005E17CD">
        <w:t>vollenhovenii</w:t>
      </w:r>
      <w:proofErr w:type="spellEnd"/>
      <w:r w:rsidR="005E17CD" w:rsidRPr="005E17CD">
        <w:t xml:space="preserve">—collected from the </w:t>
      </w:r>
      <w:proofErr w:type="spellStart"/>
      <w:r w:rsidR="005E17CD" w:rsidRPr="005E17CD">
        <w:t>Andoni</w:t>
      </w:r>
      <w:proofErr w:type="spellEnd"/>
      <w:r w:rsidR="005E17CD" w:rsidRPr="005E17CD">
        <w:t xml:space="preserve"> Estuary, Rivers State, Nigeria. Muscle tissues were analysed for Pb, Cd, Hg, As, and Cr using atomic absorption spectrophotometry, while naphthalene, anthracene, fluoranthene, and benzo[a]pyrene </w:t>
      </w:r>
      <w:r w:rsidR="009E7D93">
        <w:t>were</w:t>
      </w:r>
      <w:r w:rsidR="005E17CD" w:rsidRPr="005E17CD">
        <w:t xml:space="preserve"> quantified using gas chromatography.</w:t>
      </w:r>
      <w:r w:rsidR="005E17CD">
        <w:t xml:space="preserve"> </w:t>
      </w:r>
      <w:r w:rsidR="005E17CD" w:rsidRPr="005E17CD">
        <w:t xml:space="preserve">Lead concentrations ranged from 0.38 to 0.52 µg/g and exceeded the WHO limit of 0.3 µg/g in all species. Arsenic (0.10–0.15 µg/g) surpassed the permissible threshold of 0.1 µg/g in Tilapia sp. (0.12 µg/g) and </w:t>
      </w:r>
      <w:proofErr w:type="spellStart"/>
      <w:r w:rsidR="005E17CD" w:rsidRPr="005E17CD">
        <w:t>Clarias</w:t>
      </w:r>
      <w:proofErr w:type="spellEnd"/>
      <w:r w:rsidR="005E17CD" w:rsidRPr="005E17CD">
        <w:t xml:space="preserve"> </w:t>
      </w:r>
      <w:proofErr w:type="spellStart"/>
      <w:r w:rsidR="005E17CD" w:rsidRPr="005E17CD">
        <w:t>gariepinus</w:t>
      </w:r>
      <w:proofErr w:type="spellEnd"/>
      <w:r w:rsidR="005E17CD" w:rsidRPr="005E17CD">
        <w:t xml:space="preserve"> (0.15 µg/g). Other metals remained within guideline limits: Cd (0.01–0.03 µg/g), Hg (0.05–0.12 µg/g), and Cr (0.28–0.35 µg/g). ΣPAH concentrations were highest in </w:t>
      </w:r>
      <w:proofErr w:type="spellStart"/>
      <w:r w:rsidR="005E17CD" w:rsidRPr="005E17CD">
        <w:t>Clarias</w:t>
      </w:r>
      <w:proofErr w:type="spellEnd"/>
      <w:r w:rsidR="005E17CD" w:rsidRPr="005E17CD">
        <w:t xml:space="preserve"> </w:t>
      </w:r>
      <w:proofErr w:type="spellStart"/>
      <w:r w:rsidR="005E17CD" w:rsidRPr="005E17CD">
        <w:t>gariepinus</w:t>
      </w:r>
      <w:proofErr w:type="spellEnd"/>
      <w:r w:rsidR="005E17CD" w:rsidRPr="005E17CD">
        <w:t xml:space="preserve"> (0.58 µg/g), followed by Tilapia sp. (0.40 µg/g), </w:t>
      </w:r>
      <w:proofErr w:type="spellStart"/>
      <w:r w:rsidR="005E17CD" w:rsidRPr="005E17CD">
        <w:t>Macrobrachium</w:t>
      </w:r>
      <w:proofErr w:type="spellEnd"/>
      <w:r w:rsidR="005E17CD" w:rsidRPr="005E17CD">
        <w:t xml:space="preserve"> </w:t>
      </w:r>
      <w:proofErr w:type="spellStart"/>
      <w:r w:rsidR="005E17CD" w:rsidRPr="005E17CD">
        <w:t>vollenhovenii</w:t>
      </w:r>
      <w:proofErr w:type="spellEnd"/>
      <w:r w:rsidR="005E17CD" w:rsidRPr="005E17CD">
        <w:t xml:space="preserve"> (0.39 µg/g), and </w:t>
      </w:r>
      <w:proofErr w:type="spellStart"/>
      <w:r w:rsidR="005E17CD" w:rsidRPr="005E17CD">
        <w:t>Sarotherodon</w:t>
      </w:r>
      <w:proofErr w:type="spellEnd"/>
      <w:r w:rsidR="005E17CD" w:rsidRPr="005E17CD">
        <w:t xml:space="preserve"> </w:t>
      </w:r>
      <w:proofErr w:type="spellStart"/>
      <w:r w:rsidR="005E17CD" w:rsidRPr="005E17CD">
        <w:t>melanotheron</w:t>
      </w:r>
      <w:proofErr w:type="spellEnd"/>
      <w:r w:rsidR="005E17CD" w:rsidRPr="005E17CD">
        <w:t xml:space="preserve"> (0.33 µg/g). Benzo[a]pyrene levels across species ranged from 0.04 to 0.08 µg/g, indicating exposure to carcinogenic hydrocarbon sources.</w:t>
      </w:r>
      <w:r w:rsidR="005E17CD">
        <w:t xml:space="preserve"> </w:t>
      </w:r>
      <w:r w:rsidR="005E17CD" w:rsidRPr="005E17CD">
        <w:t xml:space="preserve">Bioaccumulation factors (BAF) exceeded 1 for all contaminants, confirming active uptake from the Andoni Estuary. </w:t>
      </w:r>
      <w:proofErr w:type="spellStart"/>
      <w:r w:rsidR="005E17CD" w:rsidRPr="005E17CD">
        <w:t>Clarias</w:t>
      </w:r>
      <w:proofErr w:type="spellEnd"/>
      <w:r w:rsidR="005E17CD" w:rsidRPr="005E17CD">
        <w:t xml:space="preserve"> </w:t>
      </w:r>
      <w:proofErr w:type="spellStart"/>
      <w:r w:rsidR="005E17CD" w:rsidRPr="005E17CD">
        <w:t>gariepinus</w:t>
      </w:r>
      <w:proofErr w:type="spellEnd"/>
      <w:r w:rsidR="005E17CD" w:rsidRPr="005E17CD">
        <w:t xml:space="preserve"> exhibited the highest BAF values for Pb (3.0), PAHs (2.0), Hg (2.1), and Cr (2.3), reflecting its sensitivity to environmental contamination. The combined metal and PAH burdens demonstrate chronic pollution in the estuary, consistent with documented petroleum-derived impacts across the Niger Delta. These findings highlight potential public health risks associated with the consumption of contaminated fish and underscore the urgent need for improved environmental monitoring, pollution control, and ecosystem protection strategies in the Andoni axis.</w:t>
      </w:r>
    </w:p>
    <w:p w14:paraId="0D56C2A1" w14:textId="7050AA62" w:rsidR="00CC31FD" w:rsidRDefault="00CC31FD" w:rsidP="00CC31FD">
      <w:pPr>
        <w:pStyle w:val="NormalWeb"/>
        <w:jc w:val="both"/>
      </w:pPr>
      <w:r w:rsidRPr="00CC31FD">
        <w:rPr>
          <w:b/>
          <w:bCs/>
          <w:i/>
          <w:iCs/>
        </w:rPr>
        <w:t>Keywords:</w:t>
      </w:r>
      <w:r>
        <w:t xml:space="preserve"> heavy metals; PAHs; Bioaccumulation; Estuarine fish; Niger Delta</w:t>
      </w:r>
    </w:p>
    <w:p w14:paraId="3DB886F5" w14:textId="6B1E3F71" w:rsidR="0034301B" w:rsidRDefault="0034301B" w:rsidP="0034301B">
      <w:pPr>
        <w:pStyle w:val="NormalWeb"/>
        <w:numPr>
          <w:ilvl w:val="0"/>
          <w:numId w:val="1"/>
        </w:numPr>
        <w:jc w:val="both"/>
        <w:rPr>
          <w:b/>
          <w:bCs/>
        </w:rPr>
      </w:pPr>
      <w:r w:rsidRPr="0034301B">
        <w:rPr>
          <w:b/>
          <w:bCs/>
        </w:rPr>
        <w:t>Introduction</w:t>
      </w:r>
    </w:p>
    <w:p w14:paraId="003EB087" w14:textId="2AC880FE" w:rsidR="0034301B" w:rsidRDefault="0034301B" w:rsidP="0034301B">
      <w:pPr>
        <w:pStyle w:val="NormalWeb"/>
        <w:jc w:val="both"/>
      </w:pPr>
      <w:r>
        <w:t>Estuarine ecosystems are among the most productive yet most vulnerable aquatic environments because they receive contaminants from both marine and terrestrial sources. In regions with intense industrial and petroleum activities, estuaries often act as sinks for toxic substances such as heavy metals and polycyclic aromatic hydrocarbons (PAHs), which readily accumulate in sediments and biota</w:t>
      </w:r>
      <w:r w:rsidR="00CC31FD">
        <w:t xml:space="preserve"> (</w:t>
      </w:r>
      <w:proofErr w:type="spellStart"/>
      <w:r w:rsidR="00CC31FD">
        <w:t>Okpoji</w:t>
      </w:r>
      <w:proofErr w:type="spellEnd"/>
      <w:r w:rsidR="00CC31FD">
        <w:t xml:space="preserve"> et al., 2025)</w:t>
      </w:r>
      <w:r>
        <w:t>. The Niger Delta of Nigeria exemplifies such a complex ecosystem, where decades of oil exploration, gas flaring, artisanal refining, agricultural runoff, and municipal discharges have significantly degraded water quality and threatened aquatic life (Ibe, 2023). These pressures have resulted in persistent contamination of surface waters, sediments, and fisheries resources, posing ecological and public health challenges.</w:t>
      </w:r>
    </w:p>
    <w:p w14:paraId="0006E138" w14:textId="77777777" w:rsidR="0034301B" w:rsidRDefault="0034301B" w:rsidP="0034301B">
      <w:pPr>
        <w:pStyle w:val="NormalWeb"/>
        <w:jc w:val="both"/>
      </w:pPr>
      <w:r>
        <w:t>Heavy metals such as lead (Pb), cadmium (Cd), mercury (Hg), arsenic (As), and chromium (Cr) are common contaminants in oil-impacted environments because of their use in drilling fluids, corrosion products, incomplete combustion, and industrial waste disposal (</w:t>
      </w:r>
      <w:proofErr w:type="spellStart"/>
      <w:r>
        <w:t>Aghanwa</w:t>
      </w:r>
      <w:proofErr w:type="spellEnd"/>
      <w:r>
        <w:t xml:space="preserve"> et al., 2025; </w:t>
      </w:r>
      <w:proofErr w:type="spellStart"/>
      <w:r>
        <w:t>Okpoji</w:t>
      </w:r>
      <w:proofErr w:type="spellEnd"/>
      <w:r>
        <w:t xml:space="preserve"> et al., 2025). These metals do not degrade but instead bioaccumulate through the aquatic food chain, increasing in concentration at higher trophic levels. Previous studies </w:t>
      </w:r>
      <w:r>
        <w:lastRenderedPageBreak/>
        <w:t>across the Niger Delta have documented elevated heavy metal burdens in sediment, water, fish, and crustaceans, with several exceeding WHO and USEPA safety thresholds (</w:t>
      </w:r>
      <w:proofErr w:type="spellStart"/>
      <w:r>
        <w:t>Okpoji</w:t>
      </w:r>
      <w:proofErr w:type="spellEnd"/>
      <w:r>
        <w:t xml:space="preserve"> et al., 2025; Onoja et al., 2025; </w:t>
      </w:r>
      <w:proofErr w:type="spellStart"/>
      <w:r>
        <w:t>Umueni</w:t>
      </w:r>
      <w:proofErr w:type="spellEnd"/>
      <w:r>
        <w:t xml:space="preserve"> et al., 2025). Their persistence and toxicity make them major contributors to ecological dysfunction and human health risks such as neurological impairment, renal toxicity, and carcinogenesis (USEPA, 2011; Stewart et al., 2000).</w:t>
      </w:r>
    </w:p>
    <w:p w14:paraId="22FAE156" w14:textId="77777777" w:rsidR="0034301B" w:rsidRDefault="0034301B" w:rsidP="0034301B">
      <w:pPr>
        <w:pStyle w:val="NormalWeb"/>
        <w:jc w:val="both"/>
      </w:pPr>
      <w:r>
        <w:t xml:space="preserve">Polycyclic aromatic hydrocarbons (PAHs), another group of priority pollutants, originate from crude oil, petroleum combustion, gas flaring, and pyrolytic processes. Benzo[a]pyrene and related high-molecular-weight PAHs pose particular risk due to their mutagenic and carcinogenic properties, with benzo[a]pyrene classified as a Group 1 carcinogen (IARC, 2015). Studies across Nigeria have consistently detected PAHs in smoked fish, surface waters, sediments, and estuarine organisms, reflecting widespread hydrocarbon exposure (John et al., 2025; </w:t>
      </w:r>
      <w:proofErr w:type="spellStart"/>
      <w:r>
        <w:t>Ekwere</w:t>
      </w:r>
      <w:proofErr w:type="spellEnd"/>
      <w:r>
        <w:t xml:space="preserve"> et al., 2025; </w:t>
      </w:r>
      <w:proofErr w:type="spellStart"/>
      <w:r>
        <w:t>Okpoji</w:t>
      </w:r>
      <w:proofErr w:type="spellEnd"/>
      <w:r>
        <w:t xml:space="preserve">, </w:t>
      </w:r>
      <w:proofErr w:type="spellStart"/>
      <w:r>
        <w:t>Eboh-Ajoku</w:t>
      </w:r>
      <w:proofErr w:type="spellEnd"/>
      <w:r>
        <w:t xml:space="preserve"> et al., 2025). Atmospheric deposition mechanisms further enhance PAH loading, as soot particles emitted from gas flares and combustion sources settle into adjacent rivers and estuaries (</w:t>
      </w:r>
      <w:proofErr w:type="spellStart"/>
      <w:r>
        <w:t>Aghanwa</w:t>
      </w:r>
      <w:proofErr w:type="spellEnd"/>
      <w:r>
        <w:t xml:space="preserve"> et al., 2025; Kallenborn et al., 2015). Such long-range and multi-pathway transport has been demonstrated in global pollution models, reinforcing the persistence and mobility of these compounds (Wania et al., 2006).</w:t>
      </w:r>
    </w:p>
    <w:p w14:paraId="0DA366BE" w14:textId="77777777" w:rsidR="0034301B" w:rsidRDefault="0034301B" w:rsidP="0034301B">
      <w:pPr>
        <w:pStyle w:val="NormalWeb"/>
        <w:jc w:val="both"/>
      </w:pPr>
      <w:r>
        <w:t xml:space="preserve">Fish are particularly important indicators of aquatic contamination because they integrate pollutants from water, sediments, and food sources over time. Their metabolic and physiological characteristics allow heavy metals and organic pollutants to accumulate in tissues, often at levels far exceeding those in surrounding water. Studies in Mexico, Nigeria, and other tropical systems have shown significant bioaccumulation of PCBs, PBDEs, heavy metals, and PAHs in fish species exposed to contaminated environments (Ernesto et al., 2021; </w:t>
      </w:r>
      <w:proofErr w:type="spellStart"/>
      <w:r>
        <w:t>Eyenubo</w:t>
      </w:r>
      <w:proofErr w:type="spellEnd"/>
      <w:r>
        <w:t xml:space="preserve"> et al., 2024; </w:t>
      </w:r>
      <w:proofErr w:type="spellStart"/>
      <w:r>
        <w:t>Oghenekohwiroro</w:t>
      </w:r>
      <w:proofErr w:type="spellEnd"/>
      <w:r>
        <w:t xml:space="preserve"> &amp; </w:t>
      </w:r>
      <w:proofErr w:type="spellStart"/>
      <w:r>
        <w:t>Osaro</w:t>
      </w:r>
      <w:proofErr w:type="spellEnd"/>
      <w:r>
        <w:t>, 2017). In the Niger Delta, similar contamination pathways have been reported, including bioaccumulation in crabs, tilapia, catfish, and other commercially important species (</w:t>
      </w:r>
      <w:proofErr w:type="spellStart"/>
      <w:r>
        <w:t>Okpoji</w:t>
      </w:r>
      <w:proofErr w:type="spellEnd"/>
      <w:r>
        <w:t xml:space="preserve"> et al., 2025; </w:t>
      </w:r>
      <w:proofErr w:type="spellStart"/>
      <w:r>
        <w:t>Okpoji</w:t>
      </w:r>
      <w:proofErr w:type="spellEnd"/>
      <w:r>
        <w:t xml:space="preserve">, </w:t>
      </w:r>
      <w:proofErr w:type="spellStart"/>
      <w:r>
        <w:t>Ndubuisi</w:t>
      </w:r>
      <w:proofErr w:type="spellEnd"/>
      <w:r>
        <w:t xml:space="preserve"> et al., 2025; Ekpe et al., 2025). These trends are concerning because fish constitute a major source of protein for millions of residents, and exposure to contaminated seafood contributes to adverse health outcomes and reduced life expectancy (World Bank, 2014).</w:t>
      </w:r>
    </w:p>
    <w:p w14:paraId="50A93135" w14:textId="77777777" w:rsidR="0034301B" w:rsidRDefault="0034301B" w:rsidP="0034301B">
      <w:pPr>
        <w:pStyle w:val="NormalWeb"/>
        <w:jc w:val="both"/>
      </w:pPr>
      <w:r>
        <w:t>Although several studies have addressed specific contaminants within the region, there remains a need for integrated assessments combining heavy metals, PAHs, and bioaccumulation characteristics in estuarine fish species. Such studies are essential for understanding pollutant interactions, ecological risks, and potential human health implications. Additionally, improved environmental governance and monitoring efforts—as highlighted by Kwok (2023) and Lawal (2023)—require robust scientific evidence to guide regulatory decision-making and pollution control strategies.</w:t>
      </w:r>
    </w:p>
    <w:p w14:paraId="05D1A236" w14:textId="13053846" w:rsidR="0034301B" w:rsidRDefault="0034301B" w:rsidP="0034301B">
      <w:pPr>
        <w:pStyle w:val="NormalWeb"/>
        <w:jc w:val="both"/>
      </w:pPr>
      <w:r>
        <w:t>This study</w:t>
      </w:r>
      <w:r w:rsidR="009E7D93">
        <w:t>,</w:t>
      </w:r>
      <w:r>
        <w:t xml:space="preserve"> therefore</w:t>
      </w:r>
      <w:r w:rsidR="009E7D93">
        <w:t>,</w:t>
      </w:r>
      <w:r>
        <w:t xml:space="preserve"> investigates the levels of heavy metals and PAHs in four commonly consumed estuarine fish species—Tilapia sp., </w:t>
      </w:r>
      <w:proofErr w:type="spellStart"/>
      <w:r>
        <w:t>Clarias</w:t>
      </w:r>
      <w:proofErr w:type="spellEnd"/>
      <w:r>
        <w:t xml:space="preserve"> </w:t>
      </w:r>
      <w:proofErr w:type="spellStart"/>
      <w:r>
        <w:t>gariepinus</w:t>
      </w:r>
      <w:proofErr w:type="spellEnd"/>
      <w:r>
        <w:t xml:space="preserve">, </w:t>
      </w:r>
      <w:proofErr w:type="spellStart"/>
      <w:r>
        <w:t>Sarotherodon</w:t>
      </w:r>
      <w:proofErr w:type="spellEnd"/>
      <w:r>
        <w:t xml:space="preserve"> </w:t>
      </w:r>
      <w:proofErr w:type="spellStart"/>
      <w:r>
        <w:t>melanotheron</w:t>
      </w:r>
      <w:proofErr w:type="spellEnd"/>
      <w:r>
        <w:t xml:space="preserve">, and </w:t>
      </w:r>
      <w:proofErr w:type="spellStart"/>
      <w:r>
        <w:t>Macrobrachium</w:t>
      </w:r>
      <w:proofErr w:type="spellEnd"/>
      <w:r>
        <w:t xml:space="preserve"> </w:t>
      </w:r>
      <w:proofErr w:type="spellStart"/>
      <w:r>
        <w:t>vollenhovenii</w:t>
      </w:r>
      <w:proofErr w:type="spellEnd"/>
      <w:r>
        <w:t xml:space="preserve">—to evaluate their contamination profiles and bioaccumulation potential. </w:t>
      </w:r>
    </w:p>
    <w:p w14:paraId="193DDD3D" w14:textId="77777777" w:rsidR="0034301B" w:rsidRPr="0034301B" w:rsidRDefault="0034301B" w:rsidP="0034301B">
      <w:pPr>
        <w:pStyle w:val="NormalWeb"/>
        <w:jc w:val="both"/>
        <w:rPr>
          <w:b/>
          <w:bCs/>
        </w:rPr>
      </w:pPr>
      <w:r w:rsidRPr="0034301B">
        <w:rPr>
          <w:b/>
          <w:bCs/>
        </w:rPr>
        <w:t>2.0 Materials and Methods</w:t>
      </w:r>
    </w:p>
    <w:p w14:paraId="6BFAFE9B" w14:textId="77777777" w:rsidR="0034301B" w:rsidRDefault="0034301B" w:rsidP="0034301B">
      <w:pPr>
        <w:pStyle w:val="NormalWeb"/>
        <w:jc w:val="both"/>
        <w:rPr>
          <w:b/>
          <w:bCs/>
        </w:rPr>
      </w:pPr>
      <w:r w:rsidRPr="0034301B">
        <w:rPr>
          <w:b/>
          <w:bCs/>
        </w:rPr>
        <w:t>2.1 Study Area</w:t>
      </w:r>
    </w:p>
    <w:p w14:paraId="57C8CDA7" w14:textId="77777777" w:rsidR="005E17CD" w:rsidRPr="005E17CD" w:rsidRDefault="005E17CD" w:rsidP="005E17C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E17CD">
        <w:rPr>
          <w:rFonts w:ascii="Times New Roman" w:eastAsia="Times New Roman" w:hAnsi="Times New Roman" w:cs="Times New Roman"/>
          <w:sz w:val="24"/>
          <w:szCs w:val="24"/>
          <w:lang w:eastAsia="en-GB"/>
        </w:rPr>
        <w:lastRenderedPageBreak/>
        <w:t>The study was conducted in the Andoni Estuary, located in the eastern part of the Niger Delta region, Rivers State, Nigeria. The estuarine system lies between Latitude 4°27′N and 4°34′N and Longitude 7°22′E and 7°29′E, and is characterised by a network of brackish creeks, mangrove swamps, and tidal channels that drain into the Atlantic Ocean. The area experiences a tropical humid climate with distinct wet (April–October) and dry (November–March) seasons, which influence hydrodynamic mixing, salinity variations, and pollutant transport.</w:t>
      </w:r>
    </w:p>
    <w:p w14:paraId="4D866126" w14:textId="77777777" w:rsidR="005E17CD" w:rsidRPr="005E17CD" w:rsidRDefault="005E17CD" w:rsidP="005E17C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E17CD">
        <w:rPr>
          <w:rFonts w:ascii="Times New Roman" w:eastAsia="Times New Roman" w:hAnsi="Times New Roman" w:cs="Times New Roman"/>
          <w:sz w:val="24"/>
          <w:szCs w:val="24"/>
          <w:lang w:eastAsia="en-GB"/>
        </w:rPr>
        <w:t xml:space="preserve">The Andoni Estuary receives freshwater inflows from the Imo River and several adjoining creeks while also being influenced by tidal incursions from the Atlantic Ocean. This interaction results in a dynamic physicochemical environment that enhances the mobility and distribution of contaminants. The estuary is bordered by several fishing settlements, including Ngo, </w:t>
      </w:r>
      <w:proofErr w:type="spellStart"/>
      <w:r w:rsidRPr="005E17CD">
        <w:rPr>
          <w:rFonts w:ascii="Times New Roman" w:eastAsia="Times New Roman" w:hAnsi="Times New Roman" w:cs="Times New Roman"/>
          <w:sz w:val="24"/>
          <w:szCs w:val="24"/>
          <w:lang w:eastAsia="en-GB"/>
        </w:rPr>
        <w:t>Ataba</w:t>
      </w:r>
      <w:proofErr w:type="spellEnd"/>
      <w:r w:rsidRPr="005E17CD">
        <w:rPr>
          <w:rFonts w:ascii="Times New Roman" w:eastAsia="Times New Roman" w:hAnsi="Times New Roman" w:cs="Times New Roman"/>
          <w:sz w:val="24"/>
          <w:szCs w:val="24"/>
          <w:lang w:eastAsia="en-GB"/>
        </w:rPr>
        <w:t xml:space="preserve">, </w:t>
      </w:r>
      <w:proofErr w:type="spellStart"/>
      <w:r w:rsidRPr="005E17CD">
        <w:rPr>
          <w:rFonts w:ascii="Times New Roman" w:eastAsia="Times New Roman" w:hAnsi="Times New Roman" w:cs="Times New Roman"/>
          <w:sz w:val="24"/>
          <w:szCs w:val="24"/>
          <w:lang w:eastAsia="en-GB"/>
        </w:rPr>
        <w:t>Asarama</w:t>
      </w:r>
      <w:proofErr w:type="spellEnd"/>
      <w:r w:rsidRPr="005E17CD">
        <w:rPr>
          <w:rFonts w:ascii="Times New Roman" w:eastAsia="Times New Roman" w:hAnsi="Times New Roman" w:cs="Times New Roman"/>
          <w:sz w:val="24"/>
          <w:szCs w:val="24"/>
          <w:lang w:eastAsia="en-GB"/>
        </w:rPr>
        <w:t xml:space="preserve">, and </w:t>
      </w:r>
      <w:proofErr w:type="spellStart"/>
      <w:r w:rsidRPr="005E17CD">
        <w:rPr>
          <w:rFonts w:ascii="Times New Roman" w:eastAsia="Times New Roman" w:hAnsi="Times New Roman" w:cs="Times New Roman"/>
          <w:sz w:val="24"/>
          <w:szCs w:val="24"/>
          <w:lang w:eastAsia="en-GB"/>
        </w:rPr>
        <w:t>Unyeada</w:t>
      </w:r>
      <w:proofErr w:type="spellEnd"/>
      <w:r w:rsidRPr="005E17CD">
        <w:rPr>
          <w:rFonts w:ascii="Times New Roman" w:eastAsia="Times New Roman" w:hAnsi="Times New Roman" w:cs="Times New Roman"/>
          <w:sz w:val="24"/>
          <w:szCs w:val="24"/>
          <w:lang w:eastAsia="en-GB"/>
        </w:rPr>
        <w:t>, whose livelihoods depend heavily on artisanal fishing and subsistence harvesting of aquatic resources.</w:t>
      </w:r>
    </w:p>
    <w:p w14:paraId="3749D4B5" w14:textId="77777777" w:rsidR="005E17CD" w:rsidRPr="005E17CD" w:rsidRDefault="005E17CD" w:rsidP="005E17C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E17CD">
        <w:rPr>
          <w:rFonts w:ascii="Times New Roman" w:eastAsia="Times New Roman" w:hAnsi="Times New Roman" w:cs="Times New Roman"/>
          <w:sz w:val="24"/>
          <w:szCs w:val="24"/>
          <w:lang w:eastAsia="en-GB"/>
        </w:rPr>
        <w:t>The study area is located within an oil-producing corridor affected by multiple pollution sources such as gas flaring, petroleum exploration, artisanal refining, boat traffic, industrial emissions, and domestic waste disposal. Previous environmental assessments have reported elevated levels of hydrocarbons, heavy metals, and persistent organic pollutants in water, sediments, and biota within nearby estuarine systems of the Niger Delta. These anthropogenic inputs make the Andoni Estuary a relevant location for assessing contaminant accumulation in fish species, given the region’s ecological importance and reliance on fish as a major source of dietary protein.</w:t>
      </w:r>
    </w:p>
    <w:p w14:paraId="6D4A2D9D" w14:textId="77777777" w:rsidR="0034301B" w:rsidRDefault="0034301B" w:rsidP="0034301B">
      <w:pPr>
        <w:pStyle w:val="NormalWeb"/>
        <w:jc w:val="both"/>
        <w:rPr>
          <w:b/>
          <w:bCs/>
        </w:rPr>
      </w:pPr>
      <w:r w:rsidRPr="0034301B">
        <w:rPr>
          <w:b/>
          <w:bCs/>
        </w:rPr>
        <w:t>2.2 Sample Collection and Identification</w:t>
      </w:r>
    </w:p>
    <w:p w14:paraId="11215A3C" w14:textId="51C4C8DC" w:rsidR="0034301B" w:rsidRDefault="0034301B" w:rsidP="0034301B">
      <w:pPr>
        <w:pStyle w:val="NormalWeb"/>
        <w:jc w:val="both"/>
      </w:pPr>
      <w:r>
        <w:t xml:space="preserve">Four fish and crustacean species widely consumed in the region were selected: Tilapia sp., </w:t>
      </w:r>
      <w:proofErr w:type="spellStart"/>
      <w:r>
        <w:t>Clarias</w:t>
      </w:r>
      <w:proofErr w:type="spellEnd"/>
      <w:r>
        <w:t xml:space="preserve"> </w:t>
      </w:r>
      <w:proofErr w:type="spellStart"/>
      <w:r>
        <w:t>gariepinus</w:t>
      </w:r>
      <w:proofErr w:type="spellEnd"/>
      <w:r>
        <w:t xml:space="preserve">, </w:t>
      </w:r>
      <w:proofErr w:type="spellStart"/>
      <w:r>
        <w:t>Sarotherodon</w:t>
      </w:r>
      <w:proofErr w:type="spellEnd"/>
      <w:r>
        <w:t xml:space="preserve"> </w:t>
      </w:r>
      <w:proofErr w:type="spellStart"/>
      <w:r>
        <w:t>melanotheron</w:t>
      </w:r>
      <w:proofErr w:type="spellEnd"/>
      <w:r>
        <w:t xml:space="preserve">, and </w:t>
      </w:r>
      <w:proofErr w:type="spellStart"/>
      <w:r>
        <w:t>Macrobrachium</w:t>
      </w:r>
      <w:proofErr w:type="spellEnd"/>
      <w:r>
        <w:t xml:space="preserve"> </w:t>
      </w:r>
      <w:proofErr w:type="spellStart"/>
      <w:r>
        <w:t>vollenhovenii</w:t>
      </w:r>
      <w:proofErr w:type="spellEnd"/>
      <w:r>
        <w:t>. A total of 24 samples (six individuals per species) were collected using artisanal fishing nets during early morning hours to minimise physiological stress. Samples were placed in pre-cleaned ice chests and transported immediately to the laboratory for analysis. Species identification was carried out using standard taxonomic keys based on morphological characteristics.</w:t>
      </w:r>
    </w:p>
    <w:p w14:paraId="7BAA77C0" w14:textId="77777777" w:rsidR="0034301B" w:rsidRDefault="0034301B" w:rsidP="0034301B">
      <w:pPr>
        <w:pStyle w:val="NormalWeb"/>
        <w:jc w:val="both"/>
        <w:rPr>
          <w:b/>
          <w:bCs/>
        </w:rPr>
      </w:pPr>
      <w:r w:rsidRPr="0034301B">
        <w:rPr>
          <w:b/>
          <w:bCs/>
        </w:rPr>
        <w:t>2.3 Sample Preparation</w:t>
      </w:r>
    </w:p>
    <w:p w14:paraId="478F6811" w14:textId="3C120DC4" w:rsidR="0034301B" w:rsidRDefault="0034301B" w:rsidP="0034301B">
      <w:pPr>
        <w:pStyle w:val="NormalWeb"/>
        <w:jc w:val="both"/>
      </w:pPr>
      <w:r>
        <w:t xml:space="preserve">Fish were washed with deionised water to remove surface contaminants. Muscle tissues were dissected using stainless-steel scalpels to avoid trace-metal interference. Each tissue sample was homogenised using a glass blender and preserved in acid-washed </w:t>
      </w:r>
      <w:r w:rsidR="009E7D93">
        <w:t>polyethene</w:t>
      </w:r>
      <w:r>
        <w:t xml:space="preserve"> containers at −20°C pending analysis. All instruments were pre-treated with 10% nitric acid to prevent contamination.</w:t>
      </w:r>
    </w:p>
    <w:p w14:paraId="55C485E8" w14:textId="77777777" w:rsidR="0034301B" w:rsidRDefault="0034301B" w:rsidP="0034301B">
      <w:pPr>
        <w:pStyle w:val="NormalWeb"/>
        <w:jc w:val="both"/>
        <w:rPr>
          <w:b/>
          <w:bCs/>
        </w:rPr>
      </w:pPr>
      <w:r w:rsidRPr="0034301B">
        <w:rPr>
          <w:b/>
          <w:bCs/>
        </w:rPr>
        <w:t>2.4 Heavy Metal Digestion and Analysis</w:t>
      </w:r>
    </w:p>
    <w:p w14:paraId="63983DD3" w14:textId="6F51FACE" w:rsidR="0034301B" w:rsidRDefault="0034301B" w:rsidP="0034301B">
      <w:pPr>
        <w:pStyle w:val="NormalWeb"/>
        <w:jc w:val="both"/>
      </w:pPr>
      <w:r>
        <w:t>Heavy metals (Pb, Cd, Hg, As, and Cr) were quantified following standard acid digestion procedures according to APHA (2017). Approximately 2.0 g of homogenised fish tissue was digested using a mixture of concentrated nitric acid (HNO₃) and perchloric acid (</w:t>
      </w:r>
      <w:proofErr w:type="spellStart"/>
      <w:r>
        <w:t>HClO</w:t>
      </w:r>
      <w:proofErr w:type="spellEnd"/>
      <w:r>
        <w:t>₄) in a 3:1 ratio. Digestion was performed on a hot plate at 120°C until clear solutions were obtained. After cooling, samples were diluted to 25 ml with deionised water and filtered through 0.45 µm membrane filters.</w:t>
      </w:r>
    </w:p>
    <w:p w14:paraId="6288A5D6" w14:textId="77777777" w:rsidR="0034301B" w:rsidRDefault="0034301B" w:rsidP="0034301B">
      <w:pPr>
        <w:pStyle w:val="NormalWeb"/>
        <w:jc w:val="both"/>
      </w:pPr>
      <w:r>
        <w:lastRenderedPageBreak/>
        <w:t>Metal concentrations were determined using Atomic Absorption Spectrophotometry (AAS; PerkinElmer Analyst Series). Mercury was analysed using cold vapour AAS, while other metals were analysed using flame AAS. Calibration curves were prepared using certified reference standards, and blank analyses were run to correct for background contamination.</w:t>
      </w:r>
    </w:p>
    <w:p w14:paraId="70BCB64E" w14:textId="77777777" w:rsidR="0034301B" w:rsidRDefault="0034301B" w:rsidP="0034301B">
      <w:pPr>
        <w:pStyle w:val="NormalWeb"/>
        <w:jc w:val="both"/>
        <w:rPr>
          <w:b/>
          <w:bCs/>
        </w:rPr>
      </w:pPr>
      <w:r w:rsidRPr="0034301B">
        <w:rPr>
          <w:b/>
          <w:bCs/>
        </w:rPr>
        <w:t>2.5 PAH Extraction and Gas Chromatography Analysis</w:t>
      </w:r>
    </w:p>
    <w:p w14:paraId="014B5C77" w14:textId="0348EA22" w:rsidR="0034301B" w:rsidRDefault="0034301B" w:rsidP="0034301B">
      <w:pPr>
        <w:pStyle w:val="NormalWeb"/>
        <w:jc w:val="both"/>
      </w:pPr>
      <w:r>
        <w:t>PAHs (naphthalene, anthracene, fluoranthene, and benzo[a]pyrene) were extracted using the solvent extraction technique. Approximately 5.0 g of tissue sample was mixed with 20 ml of n-hexane/dichloromethane (1:1 v/v) and subjected to ultrasonic extraction for 30 minutes. The extract was concentrated on a rotary evaporator at 40°C and cleaned using silica gel column chromatography.</w:t>
      </w:r>
      <w:r w:rsidR="009E7D93">
        <w:t xml:space="preserve"> </w:t>
      </w:r>
      <w:r>
        <w:t>Quantification was carried out using Gas Chromatography coupled with a Flame Ionisation Detector (GC-FID; Agilent Technologies). A fused-silica capillary column was used for separation, and instrument calibration was performed using certified PAH standards. The sum of individual PAHs was reported as ΣPAHs for each species.</w:t>
      </w:r>
    </w:p>
    <w:p w14:paraId="22D23E42" w14:textId="77777777" w:rsidR="0034301B" w:rsidRDefault="0034301B" w:rsidP="0034301B">
      <w:pPr>
        <w:pStyle w:val="NormalWeb"/>
        <w:jc w:val="both"/>
        <w:rPr>
          <w:b/>
          <w:bCs/>
        </w:rPr>
      </w:pPr>
      <w:r w:rsidRPr="0034301B">
        <w:rPr>
          <w:b/>
          <w:bCs/>
        </w:rPr>
        <w:t>2.6 Bioaccumulation Factor Determination</w:t>
      </w:r>
    </w:p>
    <w:p w14:paraId="4326FED2" w14:textId="76AB2CE2" w:rsidR="0034301B" w:rsidRDefault="0034301B" w:rsidP="0034301B">
      <w:pPr>
        <w:pStyle w:val="NormalWeb"/>
        <w:jc w:val="both"/>
      </w:pPr>
      <w:r>
        <w:t>Bioaccumulation factors (BAF) for heavy metals and PAHs were calculated as the ratio of contaminant concentration in fish tissue (</w:t>
      </w:r>
      <w:proofErr w:type="spellStart"/>
      <w:r>
        <w:t>C_fish</w:t>
      </w:r>
      <w:proofErr w:type="spellEnd"/>
      <w:r>
        <w:t>) to its corresponding concentration in the surrounding water (</w:t>
      </w:r>
      <w:proofErr w:type="spellStart"/>
      <w:r>
        <w:t>C_water</w:t>
      </w:r>
      <w:proofErr w:type="spellEnd"/>
      <w:r>
        <w:t>). Water samples were collected concurrently at each fishing site in pre-cleaned amber bottles and analysed using identical AAS and GC-FID procedures.</w:t>
      </w:r>
    </w:p>
    <w:p w14:paraId="4A0AA3F8" w14:textId="77777777" w:rsidR="0034301B" w:rsidRDefault="0034301B" w:rsidP="0034301B">
      <w:pPr>
        <w:pStyle w:val="NormalWeb"/>
        <w:jc w:val="both"/>
      </w:pPr>
      <w:r>
        <w:t>BAF was calculated using the expression:</w:t>
      </w:r>
      <w:r>
        <w:br/>
        <w:t xml:space="preserve">BAF = </w:t>
      </w:r>
      <w:proofErr w:type="spellStart"/>
      <w:r>
        <w:t>C_fish</w:t>
      </w:r>
      <w:proofErr w:type="spellEnd"/>
      <w:r>
        <w:t xml:space="preserve"> / </w:t>
      </w:r>
      <w:proofErr w:type="spellStart"/>
      <w:r>
        <w:t>C_water</w:t>
      </w:r>
      <w:proofErr w:type="spellEnd"/>
      <w:r>
        <w:br/>
        <w:t>Values greater than 1 indicate a tendency for accumulation, while values above 2 indicate high bioaccumulation potential.</w:t>
      </w:r>
    </w:p>
    <w:p w14:paraId="5122866E" w14:textId="77777777" w:rsidR="0034301B" w:rsidRDefault="0034301B" w:rsidP="0034301B">
      <w:pPr>
        <w:pStyle w:val="NormalWeb"/>
        <w:jc w:val="both"/>
        <w:rPr>
          <w:b/>
          <w:bCs/>
        </w:rPr>
      </w:pPr>
      <w:r w:rsidRPr="0034301B">
        <w:rPr>
          <w:b/>
          <w:bCs/>
        </w:rPr>
        <w:t>2.7 Quality Assurance and Quality Control</w:t>
      </w:r>
    </w:p>
    <w:p w14:paraId="154132B2" w14:textId="348BF8A3" w:rsidR="0034301B" w:rsidRDefault="0034301B" w:rsidP="0034301B">
      <w:pPr>
        <w:pStyle w:val="NormalWeb"/>
        <w:jc w:val="both"/>
      </w:pPr>
      <w:r>
        <w:t>Quality control procedures included the use of analytical blanks, duplicate samples, and certified reference materials (CRM) for both heavy metals and PAHs. Recovery values ranged between 85% and 105%, indicating acceptable analytical accuracy. All glassware and containers were acid-washed, and calibration checks were performed every 10 runs to ensure instrument stability.</w:t>
      </w:r>
    </w:p>
    <w:p w14:paraId="1E894020" w14:textId="77777777" w:rsidR="0034301B" w:rsidRDefault="0034301B" w:rsidP="0034301B">
      <w:pPr>
        <w:pStyle w:val="NormalWeb"/>
        <w:jc w:val="both"/>
        <w:rPr>
          <w:b/>
          <w:bCs/>
        </w:rPr>
      </w:pPr>
      <w:r w:rsidRPr="0034301B">
        <w:rPr>
          <w:b/>
          <w:bCs/>
        </w:rPr>
        <w:t>2.8 Data Analysis</w:t>
      </w:r>
    </w:p>
    <w:p w14:paraId="014282BA" w14:textId="7CB41D79" w:rsidR="0034301B" w:rsidRDefault="0034301B" w:rsidP="0034301B">
      <w:pPr>
        <w:pStyle w:val="NormalWeb"/>
        <w:jc w:val="both"/>
      </w:pPr>
      <w:r>
        <w:t xml:space="preserve">Results were expressed in micrograms per gram (µg/g wet weight). ΣPAHs was computed as the sum of the four priority PAHs analysed. Bioaccumulation patterns across species were compared descriptively. Analytical results were evaluated against </w:t>
      </w:r>
      <w:r w:rsidR="009E7D93">
        <w:t xml:space="preserve">the </w:t>
      </w:r>
      <w:r>
        <w:t>WHO/FDA permissible limits for food safety to assess potential health risks associated with fish consumption.</w:t>
      </w:r>
    </w:p>
    <w:p w14:paraId="549714BB" w14:textId="77777777" w:rsidR="0034301B" w:rsidRDefault="0034301B" w:rsidP="0034301B">
      <w:pPr>
        <w:pStyle w:val="NormalWeb"/>
        <w:jc w:val="both"/>
        <w:rPr>
          <w:b/>
          <w:bCs/>
        </w:rPr>
      </w:pPr>
      <w:r w:rsidRPr="0034301B">
        <w:rPr>
          <w:b/>
          <w:bCs/>
        </w:rPr>
        <w:t>3.0 Results</w:t>
      </w:r>
    </w:p>
    <w:p w14:paraId="6CC1E6E8" w14:textId="6C61D048" w:rsidR="0034301B" w:rsidRDefault="0034301B" w:rsidP="0034301B">
      <w:pPr>
        <w:pStyle w:val="NormalWeb"/>
        <w:jc w:val="both"/>
      </w:pPr>
      <w:r>
        <w:t>The concentrations of heavy metals, polycyclic aromatic hydrocarbons (PAHs), and corresponding bioaccumulation factors (</w:t>
      </w:r>
      <w:r w:rsidR="009E7D93">
        <w:t>BAFs</w:t>
      </w:r>
      <w:r>
        <w:t xml:space="preserve">) in estuarine fish species were evaluated to determine toxicity risk and potential human exposure. Four aquatic species commonly consumed within the Niger Delta region were analysed: Tilapia sp., </w:t>
      </w:r>
      <w:proofErr w:type="spellStart"/>
      <w:r>
        <w:t>Clarias</w:t>
      </w:r>
      <w:proofErr w:type="spellEnd"/>
      <w:r>
        <w:t xml:space="preserve"> </w:t>
      </w:r>
      <w:proofErr w:type="spellStart"/>
      <w:r>
        <w:t>gariepinus</w:t>
      </w:r>
      <w:proofErr w:type="spellEnd"/>
      <w:r>
        <w:t xml:space="preserve">, </w:t>
      </w:r>
      <w:proofErr w:type="spellStart"/>
      <w:r>
        <w:lastRenderedPageBreak/>
        <w:t>Sarotherodon</w:t>
      </w:r>
      <w:proofErr w:type="spellEnd"/>
      <w:r>
        <w:t xml:space="preserve"> </w:t>
      </w:r>
      <w:proofErr w:type="spellStart"/>
      <w:r>
        <w:t>melanotheron</w:t>
      </w:r>
      <w:proofErr w:type="spellEnd"/>
      <w:r>
        <w:t xml:space="preserve">, and </w:t>
      </w:r>
      <w:proofErr w:type="spellStart"/>
      <w:r>
        <w:t>Macrobrachium</w:t>
      </w:r>
      <w:proofErr w:type="spellEnd"/>
      <w:r>
        <w:t xml:space="preserve"> </w:t>
      </w:r>
      <w:proofErr w:type="spellStart"/>
      <w:r>
        <w:t>vollenhovenii</w:t>
      </w:r>
      <w:proofErr w:type="spellEnd"/>
      <w:r>
        <w:t>. The results are summarised in Tables 1–3.</w:t>
      </w:r>
    </w:p>
    <w:p w14:paraId="1481607A" w14:textId="77777777" w:rsidR="0034301B" w:rsidRDefault="0034301B" w:rsidP="0034301B">
      <w:pPr>
        <w:pStyle w:val="NormalWeb"/>
        <w:jc w:val="both"/>
        <w:rPr>
          <w:b/>
          <w:bCs/>
        </w:rPr>
      </w:pPr>
      <w:r w:rsidRPr="0034301B">
        <w:rPr>
          <w:b/>
          <w:bCs/>
        </w:rPr>
        <w:t>3.1 Heavy Metal Concentrations in Fish</w:t>
      </w:r>
    </w:p>
    <w:p w14:paraId="65C43E40" w14:textId="425EE4F0" w:rsidR="0034301B" w:rsidRDefault="0034301B" w:rsidP="0034301B">
      <w:pPr>
        <w:pStyle w:val="NormalWeb"/>
        <w:jc w:val="both"/>
      </w:pPr>
      <w:r>
        <w:t xml:space="preserve">The distribution of heavy metals (Pb, Cd, Hg, As, and Cr) revealed varying levels among the species (Table 1). Lead (Pb) ranged from 0.38–0.52 µg/g, with </w:t>
      </w:r>
      <w:proofErr w:type="spellStart"/>
      <w:r>
        <w:t>Clarias</w:t>
      </w:r>
      <w:proofErr w:type="spellEnd"/>
      <w:r>
        <w:t xml:space="preserve"> </w:t>
      </w:r>
      <w:proofErr w:type="spellStart"/>
      <w:r>
        <w:t>gariepinus</w:t>
      </w:r>
      <w:proofErr w:type="spellEnd"/>
      <w:r>
        <w:t xml:space="preserve"> showing the highest concentration (0.52 µg/g), exceeding the WHO/FDA permissible limit of 0.3 µg/g. Tilapia sp. contained Pb at 0.45 µg/g, which was also above the regulatory threshold, indicating potential contamination of its habitat. </w:t>
      </w:r>
      <w:proofErr w:type="spellStart"/>
      <w:r>
        <w:t>Sarotherodon</w:t>
      </w:r>
      <w:proofErr w:type="spellEnd"/>
      <w:r>
        <w:t xml:space="preserve"> </w:t>
      </w:r>
      <w:proofErr w:type="spellStart"/>
      <w:r>
        <w:t>melanotheron</w:t>
      </w:r>
      <w:proofErr w:type="spellEnd"/>
      <w:r>
        <w:t xml:space="preserve"> (0.38 µg/g) and </w:t>
      </w:r>
      <w:proofErr w:type="spellStart"/>
      <w:r>
        <w:t>Macrobrachium</w:t>
      </w:r>
      <w:proofErr w:type="spellEnd"/>
      <w:r>
        <w:t xml:space="preserve"> </w:t>
      </w:r>
      <w:proofErr w:type="spellStart"/>
      <w:r>
        <w:t>vollenhovenii</w:t>
      </w:r>
      <w:proofErr w:type="spellEnd"/>
      <w:r>
        <w:t xml:space="preserve"> (0.41 µg/g) were slightly above the limit.</w:t>
      </w:r>
    </w:p>
    <w:p w14:paraId="56220DA0" w14:textId="2BA6CAF3" w:rsidR="0034301B" w:rsidRDefault="0034301B" w:rsidP="0034301B">
      <w:pPr>
        <w:pStyle w:val="NormalWeb"/>
        <w:jc w:val="both"/>
      </w:pPr>
      <w:r>
        <w:t>Cadmium (Cd) levels ranged from 0.01–0.03 µg/g, and all species were below the WHO limit of 0.05 µg/g. Mercury (Hg) concentrations varied between 0.05–0.12 µg/g, significantly below the safety threshold of 0.5 µg/g. Arsenic (As) ranged from 0.10–0.15 µg/g, with some species (</w:t>
      </w:r>
      <w:proofErr w:type="spellStart"/>
      <w:r>
        <w:t>Clarias</w:t>
      </w:r>
      <w:proofErr w:type="spellEnd"/>
      <w:r>
        <w:t xml:space="preserve"> </w:t>
      </w:r>
      <w:proofErr w:type="spellStart"/>
      <w:r>
        <w:t>gariepinus</w:t>
      </w:r>
      <w:proofErr w:type="spellEnd"/>
      <w:r>
        <w:t xml:space="preserve"> and Tilapia sp.) slightly above the recommended limit of 0.1 µg/g. Chromium (Cr) values were all below the allowable limit of 1.0 µg/g. In general, Pb and </w:t>
      </w:r>
      <w:proofErr w:type="gramStart"/>
      <w:r>
        <w:t>As</w:t>
      </w:r>
      <w:proofErr w:type="gramEnd"/>
      <w:r>
        <w:t xml:space="preserve"> were the primary contaminants of concern, with exceedances observed mainly in Tilapia sp. and </w:t>
      </w:r>
      <w:proofErr w:type="spellStart"/>
      <w:r>
        <w:t>Clarias</w:t>
      </w:r>
      <w:proofErr w:type="spellEnd"/>
      <w:r>
        <w:t xml:space="preserve"> </w:t>
      </w:r>
      <w:proofErr w:type="spellStart"/>
      <w:r>
        <w:t>gariepinus</w:t>
      </w:r>
      <w:proofErr w:type="spellEnd"/>
      <w:r>
        <w:t>, suggesting possible anthropogenic input from industrial effluent, petroleum activities, or urban runoff.</w:t>
      </w:r>
    </w:p>
    <w:p w14:paraId="015732B6" w14:textId="77777777" w:rsidR="0034301B" w:rsidRDefault="0034301B" w:rsidP="0034301B">
      <w:pPr>
        <w:pStyle w:val="NormalWeb"/>
        <w:jc w:val="both"/>
        <w:rPr>
          <w:b/>
          <w:bCs/>
        </w:rPr>
      </w:pPr>
      <w:r w:rsidRPr="0034301B">
        <w:rPr>
          <w:b/>
          <w:bCs/>
        </w:rPr>
        <w:t>Table 1: Heavy Metals in Fish (µg/g wet weight)</w:t>
      </w:r>
    </w:p>
    <w:p w14:paraId="5AA016B9" w14:textId="09411F53" w:rsidR="0034301B" w:rsidRPr="0034301B" w:rsidRDefault="0034301B" w:rsidP="0034301B">
      <w:pPr>
        <w:pStyle w:val="NormalWeb"/>
        <w:jc w:val="both"/>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8"/>
        <w:gridCol w:w="480"/>
        <w:gridCol w:w="480"/>
        <w:gridCol w:w="648"/>
        <w:gridCol w:w="709"/>
        <w:gridCol w:w="851"/>
        <w:gridCol w:w="2930"/>
      </w:tblGrid>
      <w:tr w:rsidR="0034301B" w:rsidRPr="0034301B" w14:paraId="0AB1D431" w14:textId="77777777" w:rsidTr="0034301B">
        <w:trPr>
          <w:tblHeader/>
          <w:tblCellSpacing w:w="15" w:type="dxa"/>
        </w:trPr>
        <w:tc>
          <w:tcPr>
            <w:tcW w:w="0" w:type="auto"/>
            <w:vAlign w:val="center"/>
            <w:hideMark/>
          </w:tcPr>
          <w:p w14:paraId="4A94A0B5"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Species</w:t>
            </w:r>
          </w:p>
        </w:tc>
        <w:tc>
          <w:tcPr>
            <w:tcW w:w="0" w:type="auto"/>
            <w:vAlign w:val="center"/>
            <w:hideMark/>
          </w:tcPr>
          <w:p w14:paraId="42E61001"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Pb</w:t>
            </w:r>
          </w:p>
        </w:tc>
        <w:tc>
          <w:tcPr>
            <w:tcW w:w="0" w:type="auto"/>
            <w:vAlign w:val="center"/>
            <w:hideMark/>
          </w:tcPr>
          <w:p w14:paraId="0F00BE73"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Cd</w:t>
            </w:r>
          </w:p>
        </w:tc>
        <w:tc>
          <w:tcPr>
            <w:tcW w:w="618" w:type="dxa"/>
            <w:vAlign w:val="center"/>
            <w:hideMark/>
          </w:tcPr>
          <w:p w14:paraId="2A96EB37"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Hg</w:t>
            </w:r>
          </w:p>
        </w:tc>
        <w:tc>
          <w:tcPr>
            <w:tcW w:w="679" w:type="dxa"/>
            <w:vAlign w:val="center"/>
            <w:hideMark/>
          </w:tcPr>
          <w:p w14:paraId="7ACA619D"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As</w:t>
            </w:r>
          </w:p>
        </w:tc>
        <w:tc>
          <w:tcPr>
            <w:tcW w:w="821" w:type="dxa"/>
            <w:vAlign w:val="center"/>
            <w:hideMark/>
          </w:tcPr>
          <w:p w14:paraId="410FAC8F"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Cr</w:t>
            </w:r>
          </w:p>
        </w:tc>
        <w:tc>
          <w:tcPr>
            <w:tcW w:w="2885" w:type="dxa"/>
            <w:vAlign w:val="center"/>
            <w:hideMark/>
          </w:tcPr>
          <w:p w14:paraId="115BD2C7"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WHO/FDA Limits (µg/g)</w:t>
            </w:r>
          </w:p>
        </w:tc>
      </w:tr>
      <w:tr w:rsidR="0034301B" w:rsidRPr="0034301B" w14:paraId="63129D77" w14:textId="77777777" w:rsidTr="0034301B">
        <w:trPr>
          <w:tblCellSpacing w:w="15" w:type="dxa"/>
        </w:trPr>
        <w:tc>
          <w:tcPr>
            <w:tcW w:w="0" w:type="auto"/>
            <w:vAlign w:val="center"/>
            <w:hideMark/>
          </w:tcPr>
          <w:p w14:paraId="6326229B"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Tilapia sp.</w:t>
            </w:r>
          </w:p>
        </w:tc>
        <w:tc>
          <w:tcPr>
            <w:tcW w:w="0" w:type="auto"/>
            <w:vAlign w:val="center"/>
            <w:hideMark/>
          </w:tcPr>
          <w:p w14:paraId="490A871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0.45</w:t>
            </w:r>
          </w:p>
        </w:tc>
        <w:tc>
          <w:tcPr>
            <w:tcW w:w="0" w:type="auto"/>
            <w:vAlign w:val="center"/>
            <w:hideMark/>
          </w:tcPr>
          <w:p w14:paraId="33EDAE6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0.02</w:t>
            </w:r>
          </w:p>
        </w:tc>
        <w:tc>
          <w:tcPr>
            <w:tcW w:w="618" w:type="dxa"/>
            <w:vAlign w:val="center"/>
            <w:hideMark/>
          </w:tcPr>
          <w:p w14:paraId="4048D44D"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0.08</w:t>
            </w:r>
          </w:p>
        </w:tc>
        <w:tc>
          <w:tcPr>
            <w:tcW w:w="679" w:type="dxa"/>
            <w:vAlign w:val="center"/>
            <w:hideMark/>
          </w:tcPr>
          <w:p w14:paraId="450565DD"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0.12</w:t>
            </w:r>
          </w:p>
        </w:tc>
        <w:tc>
          <w:tcPr>
            <w:tcW w:w="821" w:type="dxa"/>
            <w:vAlign w:val="center"/>
            <w:hideMark/>
          </w:tcPr>
          <w:p w14:paraId="7B21AB9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0.30</w:t>
            </w:r>
          </w:p>
        </w:tc>
        <w:tc>
          <w:tcPr>
            <w:tcW w:w="2885" w:type="dxa"/>
            <w:vAlign w:val="center"/>
            <w:hideMark/>
          </w:tcPr>
          <w:p w14:paraId="55C0DE07"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Pb 0.3, Cd 0.05, Hg 0.5, As 0.1, Cr 1.0</w:t>
            </w:r>
          </w:p>
        </w:tc>
      </w:tr>
      <w:tr w:rsidR="0034301B" w:rsidRPr="0034301B" w14:paraId="454877E8" w14:textId="77777777" w:rsidTr="0034301B">
        <w:trPr>
          <w:tblCellSpacing w:w="15" w:type="dxa"/>
        </w:trPr>
        <w:tc>
          <w:tcPr>
            <w:tcW w:w="0" w:type="auto"/>
            <w:vAlign w:val="center"/>
            <w:hideMark/>
          </w:tcPr>
          <w:p w14:paraId="5C2FBFC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Clarias</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gariepinus</w:t>
            </w:r>
            <w:proofErr w:type="spellEnd"/>
          </w:p>
        </w:tc>
        <w:tc>
          <w:tcPr>
            <w:tcW w:w="0" w:type="auto"/>
            <w:vAlign w:val="center"/>
            <w:hideMark/>
          </w:tcPr>
          <w:p w14:paraId="2EDD6EE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0.52</w:t>
            </w:r>
          </w:p>
        </w:tc>
        <w:tc>
          <w:tcPr>
            <w:tcW w:w="0" w:type="auto"/>
            <w:vAlign w:val="center"/>
            <w:hideMark/>
          </w:tcPr>
          <w:p w14:paraId="7FF3F7B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0.03</w:t>
            </w:r>
          </w:p>
        </w:tc>
        <w:tc>
          <w:tcPr>
            <w:tcW w:w="618" w:type="dxa"/>
            <w:vAlign w:val="center"/>
            <w:hideMark/>
          </w:tcPr>
          <w:p w14:paraId="4D7428D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0.12</w:t>
            </w:r>
          </w:p>
        </w:tc>
        <w:tc>
          <w:tcPr>
            <w:tcW w:w="679" w:type="dxa"/>
            <w:vAlign w:val="center"/>
            <w:hideMark/>
          </w:tcPr>
          <w:p w14:paraId="7C4F7A7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0.15</w:t>
            </w:r>
          </w:p>
        </w:tc>
        <w:tc>
          <w:tcPr>
            <w:tcW w:w="821" w:type="dxa"/>
            <w:vAlign w:val="center"/>
            <w:hideMark/>
          </w:tcPr>
          <w:p w14:paraId="101A60E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0.35</w:t>
            </w:r>
          </w:p>
        </w:tc>
        <w:tc>
          <w:tcPr>
            <w:tcW w:w="2885" w:type="dxa"/>
            <w:vAlign w:val="center"/>
            <w:hideMark/>
          </w:tcPr>
          <w:p w14:paraId="5F045BF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r w:rsidR="0034301B" w:rsidRPr="0034301B" w14:paraId="4EDBB96E" w14:textId="77777777" w:rsidTr="0034301B">
        <w:trPr>
          <w:tblCellSpacing w:w="15" w:type="dxa"/>
        </w:trPr>
        <w:tc>
          <w:tcPr>
            <w:tcW w:w="0" w:type="auto"/>
            <w:vAlign w:val="center"/>
            <w:hideMark/>
          </w:tcPr>
          <w:p w14:paraId="082CD813"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Sarotherodon</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melanotheron</w:t>
            </w:r>
            <w:proofErr w:type="spellEnd"/>
          </w:p>
        </w:tc>
        <w:tc>
          <w:tcPr>
            <w:tcW w:w="0" w:type="auto"/>
            <w:vAlign w:val="center"/>
            <w:hideMark/>
          </w:tcPr>
          <w:p w14:paraId="3B6A0DB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0.38</w:t>
            </w:r>
          </w:p>
        </w:tc>
        <w:tc>
          <w:tcPr>
            <w:tcW w:w="0" w:type="auto"/>
            <w:vAlign w:val="center"/>
            <w:hideMark/>
          </w:tcPr>
          <w:p w14:paraId="6E9E1EB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0.01</w:t>
            </w:r>
          </w:p>
        </w:tc>
        <w:tc>
          <w:tcPr>
            <w:tcW w:w="618" w:type="dxa"/>
            <w:vAlign w:val="center"/>
            <w:hideMark/>
          </w:tcPr>
          <w:p w14:paraId="430E4E5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0.05</w:t>
            </w:r>
          </w:p>
        </w:tc>
        <w:tc>
          <w:tcPr>
            <w:tcW w:w="679" w:type="dxa"/>
            <w:vAlign w:val="center"/>
            <w:hideMark/>
          </w:tcPr>
          <w:p w14:paraId="16E142F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0.10</w:t>
            </w:r>
          </w:p>
        </w:tc>
        <w:tc>
          <w:tcPr>
            <w:tcW w:w="821" w:type="dxa"/>
            <w:vAlign w:val="center"/>
            <w:hideMark/>
          </w:tcPr>
          <w:p w14:paraId="5AD3D1C1"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0.28</w:t>
            </w:r>
          </w:p>
        </w:tc>
        <w:tc>
          <w:tcPr>
            <w:tcW w:w="2885" w:type="dxa"/>
            <w:vAlign w:val="center"/>
            <w:hideMark/>
          </w:tcPr>
          <w:p w14:paraId="0B22BDE5"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r w:rsidR="0034301B" w:rsidRPr="0034301B" w14:paraId="6DC80A98" w14:textId="77777777" w:rsidTr="0034301B">
        <w:trPr>
          <w:tblCellSpacing w:w="15" w:type="dxa"/>
        </w:trPr>
        <w:tc>
          <w:tcPr>
            <w:tcW w:w="0" w:type="auto"/>
            <w:vAlign w:val="center"/>
            <w:hideMark/>
          </w:tcPr>
          <w:p w14:paraId="5E65967D"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Macrobrachium</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vollenhovenii</w:t>
            </w:r>
            <w:proofErr w:type="spellEnd"/>
          </w:p>
        </w:tc>
        <w:tc>
          <w:tcPr>
            <w:tcW w:w="0" w:type="auto"/>
            <w:vAlign w:val="center"/>
            <w:hideMark/>
          </w:tcPr>
          <w:p w14:paraId="7A4B17F7"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0.41</w:t>
            </w:r>
          </w:p>
        </w:tc>
        <w:tc>
          <w:tcPr>
            <w:tcW w:w="0" w:type="auto"/>
            <w:vAlign w:val="center"/>
            <w:hideMark/>
          </w:tcPr>
          <w:p w14:paraId="2DE367C7"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0.02</w:t>
            </w:r>
          </w:p>
        </w:tc>
        <w:tc>
          <w:tcPr>
            <w:tcW w:w="618" w:type="dxa"/>
            <w:vAlign w:val="center"/>
            <w:hideMark/>
          </w:tcPr>
          <w:p w14:paraId="0810F950"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0.07</w:t>
            </w:r>
          </w:p>
        </w:tc>
        <w:tc>
          <w:tcPr>
            <w:tcW w:w="679" w:type="dxa"/>
            <w:vAlign w:val="center"/>
            <w:hideMark/>
          </w:tcPr>
          <w:p w14:paraId="0E393880"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0.11</w:t>
            </w:r>
          </w:p>
        </w:tc>
        <w:tc>
          <w:tcPr>
            <w:tcW w:w="821" w:type="dxa"/>
            <w:vAlign w:val="center"/>
            <w:hideMark/>
          </w:tcPr>
          <w:p w14:paraId="4439301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0.31</w:t>
            </w:r>
          </w:p>
        </w:tc>
        <w:tc>
          <w:tcPr>
            <w:tcW w:w="2885" w:type="dxa"/>
            <w:vAlign w:val="center"/>
            <w:hideMark/>
          </w:tcPr>
          <w:p w14:paraId="60F68E90"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bl>
    <w:p w14:paraId="29FB2EF4" w14:textId="77777777" w:rsidR="0034301B" w:rsidRDefault="0034301B" w:rsidP="0034301B">
      <w:pPr>
        <w:pStyle w:val="NormalWeb"/>
        <w:jc w:val="both"/>
        <w:rPr>
          <w:b/>
          <w:bCs/>
        </w:rPr>
      </w:pPr>
      <w:r w:rsidRPr="0034301B">
        <w:rPr>
          <w:b/>
          <w:bCs/>
        </w:rPr>
        <w:t>3.2 PAH Concentrations in Fish</w:t>
      </w:r>
    </w:p>
    <w:p w14:paraId="77BDA894" w14:textId="24450E29" w:rsidR="0034301B" w:rsidRDefault="0034301B" w:rsidP="0034301B">
      <w:pPr>
        <w:pStyle w:val="NormalWeb"/>
        <w:jc w:val="both"/>
      </w:pPr>
      <w:r>
        <w:t xml:space="preserve">PAH levels (naphthalene, anthracene, fluoranthene, and benzo[a]pyrene) showed species-specific accumulation patterns (Table 2). </w:t>
      </w:r>
      <w:proofErr w:type="spellStart"/>
      <w:r>
        <w:t>Clarias</w:t>
      </w:r>
      <w:proofErr w:type="spellEnd"/>
      <w:r>
        <w:t xml:space="preserve"> </w:t>
      </w:r>
      <w:proofErr w:type="spellStart"/>
      <w:r>
        <w:t>gariepinus</w:t>
      </w:r>
      <w:proofErr w:type="spellEnd"/>
      <w:r>
        <w:t xml:space="preserve"> exhibited the highest ΣPAH concentration (0.58 µg/g), surpassing the general safe range of 0.1–0.5 µg/g. Tilapia sp. recorded ΣPAHs of 0.40 µg/g (within safe range), while </w:t>
      </w:r>
      <w:proofErr w:type="spellStart"/>
      <w:r>
        <w:t>Sarotherodon</w:t>
      </w:r>
      <w:proofErr w:type="spellEnd"/>
      <w:r>
        <w:t xml:space="preserve"> </w:t>
      </w:r>
      <w:proofErr w:type="spellStart"/>
      <w:r>
        <w:t>melanotheron</w:t>
      </w:r>
      <w:proofErr w:type="spellEnd"/>
      <w:r>
        <w:t xml:space="preserve"> and </w:t>
      </w:r>
      <w:proofErr w:type="spellStart"/>
      <w:r>
        <w:t>Macrobrachium</w:t>
      </w:r>
      <w:proofErr w:type="spellEnd"/>
      <w:r>
        <w:t xml:space="preserve"> </w:t>
      </w:r>
      <w:proofErr w:type="spellStart"/>
      <w:r>
        <w:t>vollenhovenii</w:t>
      </w:r>
      <w:proofErr w:type="spellEnd"/>
      <w:r>
        <w:t xml:space="preserve"> had ΣPAH values of 0.33 µg/g and 0.39 µg/g, respectively.</w:t>
      </w:r>
    </w:p>
    <w:p w14:paraId="0F98686E" w14:textId="771F8415" w:rsidR="0034301B" w:rsidRDefault="0034301B" w:rsidP="0034301B">
      <w:pPr>
        <w:pStyle w:val="NormalWeb"/>
        <w:jc w:val="both"/>
      </w:pPr>
      <w:r>
        <w:t xml:space="preserve">Benzo[a]pyrene, a high-risk carcinogenic PAH, ranged from 0.04–0.08 µg/g, with </w:t>
      </w:r>
      <w:proofErr w:type="spellStart"/>
      <w:r>
        <w:t>Clarias</w:t>
      </w:r>
      <w:proofErr w:type="spellEnd"/>
      <w:r>
        <w:t xml:space="preserve"> </w:t>
      </w:r>
      <w:proofErr w:type="spellStart"/>
      <w:r>
        <w:t>gariepinus</w:t>
      </w:r>
      <w:proofErr w:type="spellEnd"/>
      <w:r>
        <w:t xml:space="preserve"> showing the highest concentration (0.08 µg/g), signalling possible chronic petroleum-derived pollution.</w:t>
      </w:r>
      <w:r w:rsidR="009E7D93">
        <w:t xml:space="preserve"> </w:t>
      </w:r>
      <w:r>
        <w:t>PAH distribution suggests ongoing hydrocarbon contamination, consistent with gas flaring, oil spills, and combustion-related activities in estuarine regions.</w:t>
      </w:r>
    </w:p>
    <w:p w14:paraId="299ABA2F" w14:textId="77777777" w:rsidR="0034301B" w:rsidRDefault="0034301B" w:rsidP="0034301B">
      <w:pPr>
        <w:pStyle w:val="NormalWeb"/>
        <w:jc w:val="both"/>
        <w:rPr>
          <w:b/>
          <w:bCs/>
        </w:rPr>
      </w:pPr>
      <w:r w:rsidRPr="0034301B">
        <w:rPr>
          <w:b/>
          <w:bCs/>
        </w:rPr>
        <w:t>Table 2: PAH Concentration in Fish (µg/g wet weight)</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676"/>
        <w:gridCol w:w="1367"/>
        <w:gridCol w:w="1260"/>
        <w:gridCol w:w="1447"/>
        <w:gridCol w:w="1673"/>
        <w:gridCol w:w="817"/>
        <w:gridCol w:w="1399"/>
      </w:tblGrid>
      <w:tr w:rsidR="0034301B" w:rsidRPr="0034301B" w14:paraId="70AE2DFB" w14:textId="77777777" w:rsidTr="0034301B">
        <w:trPr>
          <w:tblHeader/>
          <w:tblCellSpacing w:w="15" w:type="dxa"/>
        </w:trPr>
        <w:tc>
          <w:tcPr>
            <w:tcW w:w="0" w:type="auto"/>
            <w:vAlign w:val="center"/>
            <w:hideMark/>
          </w:tcPr>
          <w:p w14:paraId="2E0A37A6"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lastRenderedPageBreak/>
              <w:t>Species</w:t>
            </w:r>
          </w:p>
        </w:tc>
        <w:tc>
          <w:tcPr>
            <w:tcW w:w="0" w:type="auto"/>
            <w:vAlign w:val="center"/>
            <w:hideMark/>
          </w:tcPr>
          <w:p w14:paraId="5905A81B"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Naphthalene</w:t>
            </w:r>
          </w:p>
        </w:tc>
        <w:tc>
          <w:tcPr>
            <w:tcW w:w="0" w:type="auto"/>
            <w:vAlign w:val="center"/>
            <w:hideMark/>
          </w:tcPr>
          <w:p w14:paraId="490EF49E"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Anthracene</w:t>
            </w:r>
          </w:p>
        </w:tc>
        <w:tc>
          <w:tcPr>
            <w:tcW w:w="0" w:type="auto"/>
            <w:vAlign w:val="center"/>
            <w:hideMark/>
          </w:tcPr>
          <w:p w14:paraId="5DCB1EF3"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Fluoranthene</w:t>
            </w:r>
          </w:p>
        </w:tc>
        <w:tc>
          <w:tcPr>
            <w:tcW w:w="0" w:type="auto"/>
            <w:vAlign w:val="center"/>
            <w:hideMark/>
          </w:tcPr>
          <w:p w14:paraId="546F2A0A"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Benzo[a]pyrene</w:t>
            </w:r>
          </w:p>
        </w:tc>
        <w:tc>
          <w:tcPr>
            <w:tcW w:w="0" w:type="auto"/>
            <w:vAlign w:val="center"/>
            <w:hideMark/>
          </w:tcPr>
          <w:p w14:paraId="47ACB2B3"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ΣPAHs</w:t>
            </w:r>
          </w:p>
        </w:tc>
        <w:tc>
          <w:tcPr>
            <w:tcW w:w="1354" w:type="dxa"/>
            <w:vAlign w:val="center"/>
            <w:hideMark/>
          </w:tcPr>
          <w:p w14:paraId="47505A8A"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Safe Range (µg/g)</w:t>
            </w:r>
          </w:p>
        </w:tc>
      </w:tr>
      <w:tr w:rsidR="0034301B" w:rsidRPr="0034301B" w14:paraId="573232AD" w14:textId="77777777" w:rsidTr="0034301B">
        <w:trPr>
          <w:tblCellSpacing w:w="15" w:type="dxa"/>
        </w:trPr>
        <w:tc>
          <w:tcPr>
            <w:tcW w:w="0" w:type="auto"/>
            <w:vAlign w:val="center"/>
            <w:hideMark/>
          </w:tcPr>
          <w:p w14:paraId="6526EBD2"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Tilapia sp.</w:t>
            </w:r>
          </w:p>
        </w:tc>
        <w:tc>
          <w:tcPr>
            <w:tcW w:w="0" w:type="auto"/>
            <w:vAlign w:val="center"/>
            <w:hideMark/>
          </w:tcPr>
          <w:p w14:paraId="2131B80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0.15</w:t>
            </w:r>
          </w:p>
        </w:tc>
        <w:tc>
          <w:tcPr>
            <w:tcW w:w="0" w:type="auto"/>
            <w:vAlign w:val="center"/>
            <w:hideMark/>
          </w:tcPr>
          <w:p w14:paraId="0B6D84C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0.08</w:t>
            </w:r>
          </w:p>
        </w:tc>
        <w:tc>
          <w:tcPr>
            <w:tcW w:w="0" w:type="auto"/>
            <w:vAlign w:val="center"/>
            <w:hideMark/>
          </w:tcPr>
          <w:p w14:paraId="038B0ABB"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0.12</w:t>
            </w:r>
          </w:p>
        </w:tc>
        <w:tc>
          <w:tcPr>
            <w:tcW w:w="0" w:type="auto"/>
            <w:vAlign w:val="center"/>
            <w:hideMark/>
          </w:tcPr>
          <w:p w14:paraId="08274BE7"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0.05</w:t>
            </w:r>
          </w:p>
        </w:tc>
        <w:tc>
          <w:tcPr>
            <w:tcW w:w="0" w:type="auto"/>
            <w:vAlign w:val="center"/>
            <w:hideMark/>
          </w:tcPr>
          <w:p w14:paraId="6697979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0.40</w:t>
            </w:r>
          </w:p>
        </w:tc>
        <w:tc>
          <w:tcPr>
            <w:tcW w:w="1354" w:type="dxa"/>
            <w:vAlign w:val="center"/>
            <w:hideMark/>
          </w:tcPr>
          <w:p w14:paraId="609F37F2"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0.1–0.5</w:t>
            </w:r>
          </w:p>
        </w:tc>
      </w:tr>
      <w:tr w:rsidR="0034301B" w:rsidRPr="0034301B" w14:paraId="7116C3D9" w14:textId="77777777" w:rsidTr="0034301B">
        <w:trPr>
          <w:tblCellSpacing w:w="15" w:type="dxa"/>
        </w:trPr>
        <w:tc>
          <w:tcPr>
            <w:tcW w:w="0" w:type="auto"/>
            <w:vAlign w:val="center"/>
            <w:hideMark/>
          </w:tcPr>
          <w:p w14:paraId="3BCF090A"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Clarias</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gariepinus</w:t>
            </w:r>
            <w:proofErr w:type="spellEnd"/>
          </w:p>
        </w:tc>
        <w:tc>
          <w:tcPr>
            <w:tcW w:w="0" w:type="auto"/>
            <w:vAlign w:val="center"/>
            <w:hideMark/>
          </w:tcPr>
          <w:p w14:paraId="109A9795"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0.20</w:t>
            </w:r>
          </w:p>
        </w:tc>
        <w:tc>
          <w:tcPr>
            <w:tcW w:w="0" w:type="auto"/>
            <w:vAlign w:val="center"/>
            <w:hideMark/>
          </w:tcPr>
          <w:p w14:paraId="15B5E58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0.12</w:t>
            </w:r>
          </w:p>
        </w:tc>
        <w:tc>
          <w:tcPr>
            <w:tcW w:w="0" w:type="auto"/>
            <w:vAlign w:val="center"/>
            <w:hideMark/>
          </w:tcPr>
          <w:p w14:paraId="7E3340E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0.18</w:t>
            </w:r>
          </w:p>
        </w:tc>
        <w:tc>
          <w:tcPr>
            <w:tcW w:w="0" w:type="auto"/>
            <w:vAlign w:val="center"/>
            <w:hideMark/>
          </w:tcPr>
          <w:p w14:paraId="0F4F0950"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0.08</w:t>
            </w:r>
          </w:p>
        </w:tc>
        <w:tc>
          <w:tcPr>
            <w:tcW w:w="0" w:type="auto"/>
            <w:vAlign w:val="center"/>
            <w:hideMark/>
          </w:tcPr>
          <w:p w14:paraId="6624F88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0.58</w:t>
            </w:r>
          </w:p>
        </w:tc>
        <w:tc>
          <w:tcPr>
            <w:tcW w:w="1354" w:type="dxa"/>
            <w:vAlign w:val="center"/>
            <w:hideMark/>
          </w:tcPr>
          <w:p w14:paraId="335F7BA2"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r w:rsidR="0034301B" w:rsidRPr="0034301B" w14:paraId="66D3E6AF" w14:textId="77777777" w:rsidTr="0034301B">
        <w:trPr>
          <w:tblCellSpacing w:w="15" w:type="dxa"/>
        </w:trPr>
        <w:tc>
          <w:tcPr>
            <w:tcW w:w="0" w:type="auto"/>
            <w:vAlign w:val="center"/>
            <w:hideMark/>
          </w:tcPr>
          <w:p w14:paraId="11645F6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Sarotherodon</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melanotheron</w:t>
            </w:r>
            <w:proofErr w:type="spellEnd"/>
          </w:p>
        </w:tc>
        <w:tc>
          <w:tcPr>
            <w:tcW w:w="0" w:type="auto"/>
            <w:vAlign w:val="center"/>
            <w:hideMark/>
          </w:tcPr>
          <w:p w14:paraId="52ACF11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0.12</w:t>
            </w:r>
          </w:p>
        </w:tc>
        <w:tc>
          <w:tcPr>
            <w:tcW w:w="0" w:type="auto"/>
            <w:vAlign w:val="center"/>
            <w:hideMark/>
          </w:tcPr>
          <w:p w14:paraId="4FAB1205"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0.07</w:t>
            </w:r>
          </w:p>
        </w:tc>
        <w:tc>
          <w:tcPr>
            <w:tcW w:w="0" w:type="auto"/>
            <w:vAlign w:val="center"/>
            <w:hideMark/>
          </w:tcPr>
          <w:p w14:paraId="70DF28E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0.10</w:t>
            </w:r>
          </w:p>
        </w:tc>
        <w:tc>
          <w:tcPr>
            <w:tcW w:w="0" w:type="auto"/>
            <w:vAlign w:val="center"/>
            <w:hideMark/>
          </w:tcPr>
          <w:p w14:paraId="3C30ECA7"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0.04</w:t>
            </w:r>
          </w:p>
        </w:tc>
        <w:tc>
          <w:tcPr>
            <w:tcW w:w="0" w:type="auto"/>
            <w:vAlign w:val="center"/>
            <w:hideMark/>
          </w:tcPr>
          <w:p w14:paraId="3BF38821"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0.33</w:t>
            </w:r>
          </w:p>
        </w:tc>
        <w:tc>
          <w:tcPr>
            <w:tcW w:w="1354" w:type="dxa"/>
            <w:vAlign w:val="center"/>
            <w:hideMark/>
          </w:tcPr>
          <w:p w14:paraId="08BA1C1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r w:rsidR="0034301B" w:rsidRPr="0034301B" w14:paraId="65BF50A2" w14:textId="77777777" w:rsidTr="0034301B">
        <w:trPr>
          <w:tblCellSpacing w:w="15" w:type="dxa"/>
        </w:trPr>
        <w:tc>
          <w:tcPr>
            <w:tcW w:w="0" w:type="auto"/>
            <w:vAlign w:val="center"/>
            <w:hideMark/>
          </w:tcPr>
          <w:p w14:paraId="6A45A2FC"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Macrobrachium</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vollenhovenii</w:t>
            </w:r>
            <w:proofErr w:type="spellEnd"/>
          </w:p>
        </w:tc>
        <w:tc>
          <w:tcPr>
            <w:tcW w:w="0" w:type="auto"/>
            <w:vAlign w:val="center"/>
            <w:hideMark/>
          </w:tcPr>
          <w:p w14:paraId="0C8A8E7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0.14</w:t>
            </w:r>
          </w:p>
        </w:tc>
        <w:tc>
          <w:tcPr>
            <w:tcW w:w="0" w:type="auto"/>
            <w:vAlign w:val="center"/>
            <w:hideMark/>
          </w:tcPr>
          <w:p w14:paraId="3A883AC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0.09</w:t>
            </w:r>
          </w:p>
        </w:tc>
        <w:tc>
          <w:tcPr>
            <w:tcW w:w="0" w:type="auto"/>
            <w:vAlign w:val="center"/>
            <w:hideMark/>
          </w:tcPr>
          <w:p w14:paraId="1744C6EE"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0.11</w:t>
            </w:r>
          </w:p>
        </w:tc>
        <w:tc>
          <w:tcPr>
            <w:tcW w:w="0" w:type="auto"/>
            <w:vAlign w:val="center"/>
            <w:hideMark/>
          </w:tcPr>
          <w:p w14:paraId="449066FC"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0.05</w:t>
            </w:r>
          </w:p>
        </w:tc>
        <w:tc>
          <w:tcPr>
            <w:tcW w:w="0" w:type="auto"/>
            <w:vAlign w:val="center"/>
            <w:hideMark/>
          </w:tcPr>
          <w:p w14:paraId="72CBB92C"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0.39</w:t>
            </w:r>
          </w:p>
        </w:tc>
        <w:tc>
          <w:tcPr>
            <w:tcW w:w="1354" w:type="dxa"/>
            <w:vAlign w:val="center"/>
            <w:hideMark/>
          </w:tcPr>
          <w:p w14:paraId="0C8BAED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w:t>
            </w:r>
          </w:p>
        </w:tc>
      </w:tr>
    </w:tbl>
    <w:p w14:paraId="5E247440" w14:textId="77777777" w:rsidR="0034301B" w:rsidRPr="0034301B" w:rsidRDefault="0034301B" w:rsidP="0034301B">
      <w:pPr>
        <w:pStyle w:val="NormalWeb"/>
        <w:jc w:val="both"/>
        <w:rPr>
          <w:b/>
          <w:bCs/>
        </w:rPr>
      </w:pPr>
      <w:r w:rsidRPr="0034301B">
        <w:rPr>
          <w:b/>
          <w:bCs/>
        </w:rPr>
        <w:t>3.3 Bioaccumulation Factors (BAF)</w:t>
      </w:r>
    </w:p>
    <w:p w14:paraId="0970859C" w14:textId="0F2D85A5" w:rsidR="0034301B" w:rsidRDefault="0034301B" w:rsidP="0034301B">
      <w:pPr>
        <w:pStyle w:val="NormalWeb"/>
        <w:jc w:val="both"/>
      </w:pPr>
      <w:r>
        <w:t>The bioaccumulation factors for metals and PAHs in fish species are presented in Table 3. BAF values greater than 1 indicate a tendency for uptake and retention of contaminants from the environment.</w:t>
      </w:r>
      <w:r w:rsidR="009E7D93">
        <w:t xml:space="preserve"> </w:t>
      </w:r>
      <w:proofErr w:type="spellStart"/>
      <w:r>
        <w:t>Clarias</w:t>
      </w:r>
      <w:proofErr w:type="spellEnd"/>
      <w:r>
        <w:t xml:space="preserve"> </w:t>
      </w:r>
      <w:proofErr w:type="spellStart"/>
      <w:r>
        <w:t>gariepinus</w:t>
      </w:r>
      <w:proofErr w:type="spellEnd"/>
      <w:r>
        <w:t xml:space="preserve"> showed the highest BAFs across most contaminants, including Pb (3.0), Cd (1.5), Hg (2.1), As (1.2), Cr (2.3), and PAHs (2.0), demonstrating its susceptibility to bioaccumulation and its role as a sensitive bioindicator. Tilapia sp., </w:t>
      </w:r>
      <w:proofErr w:type="spellStart"/>
      <w:r>
        <w:t>Sarotherodon</w:t>
      </w:r>
      <w:proofErr w:type="spellEnd"/>
      <w:r>
        <w:t xml:space="preserve"> </w:t>
      </w:r>
      <w:proofErr w:type="spellStart"/>
      <w:r>
        <w:t>melanotheron</w:t>
      </w:r>
      <w:proofErr w:type="spellEnd"/>
      <w:r>
        <w:t xml:space="preserve">, and </w:t>
      </w:r>
      <w:proofErr w:type="spellStart"/>
      <w:r>
        <w:t>Macrobrachium</w:t>
      </w:r>
      <w:proofErr w:type="spellEnd"/>
      <w:r>
        <w:t xml:space="preserve"> </w:t>
      </w:r>
      <w:proofErr w:type="spellStart"/>
      <w:r>
        <w:t>vollenhovenii</w:t>
      </w:r>
      <w:proofErr w:type="spellEnd"/>
      <w:r>
        <w:t xml:space="preserve"> recorded moderate BAF values (1.0–2.5 range), confirming their exposure but comparatively lower accumulation capacity.</w:t>
      </w:r>
      <w:r w:rsidR="009E7D93">
        <w:t xml:space="preserve"> </w:t>
      </w:r>
      <w:r>
        <w:t>The consistently elevated BAF across species for Pb and Cr indicates persistent contamination in the estuarine system, likely from industrial discharge, pipeline leakages, and urban pollution sources.</w:t>
      </w:r>
    </w:p>
    <w:p w14:paraId="7BF6F025" w14:textId="77777777" w:rsidR="0034301B" w:rsidRDefault="0034301B" w:rsidP="0034301B">
      <w:pPr>
        <w:pStyle w:val="NormalWeb"/>
        <w:jc w:val="both"/>
        <w:rPr>
          <w:b/>
          <w:bCs/>
        </w:rPr>
      </w:pPr>
      <w:r w:rsidRPr="0034301B">
        <w:rPr>
          <w:b/>
          <w:bCs/>
        </w:rPr>
        <w:t>Table 3: Bioaccumulation Factor (BAF)</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2988"/>
        <w:gridCol w:w="881"/>
        <w:gridCol w:w="907"/>
        <w:gridCol w:w="1178"/>
        <w:gridCol w:w="992"/>
        <w:gridCol w:w="1134"/>
        <w:gridCol w:w="1418"/>
      </w:tblGrid>
      <w:tr w:rsidR="0034301B" w:rsidRPr="0034301B" w14:paraId="290100A1" w14:textId="77777777" w:rsidTr="0034301B">
        <w:trPr>
          <w:tblHeader/>
          <w:tblCellSpacing w:w="15" w:type="dxa"/>
        </w:trPr>
        <w:tc>
          <w:tcPr>
            <w:tcW w:w="0" w:type="auto"/>
            <w:vAlign w:val="center"/>
            <w:hideMark/>
          </w:tcPr>
          <w:p w14:paraId="2855AF24"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Species</w:t>
            </w:r>
          </w:p>
        </w:tc>
        <w:tc>
          <w:tcPr>
            <w:tcW w:w="0" w:type="auto"/>
            <w:vAlign w:val="center"/>
            <w:hideMark/>
          </w:tcPr>
          <w:p w14:paraId="7A2CBF55"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Pb BAF</w:t>
            </w:r>
          </w:p>
        </w:tc>
        <w:tc>
          <w:tcPr>
            <w:tcW w:w="0" w:type="auto"/>
            <w:vAlign w:val="center"/>
            <w:hideMark/>
          </w:tcPr>
          <w:p w14:paraId="21B5161E"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Cd BAF</w:t>
            </w:r>
          </w:p>
        </w:tc>
        <w:tc>
          <w:tcPr>
            <w:tcW w:w="1148" w:type="dxa"/>
            <w:vAlign w:val="center"/>
            <w:hideMark/>
          </w:tcPr>
          <w:p w14:paraId="3B1E48A7"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Hg BAF</w:t>
            </w:r>
          </w:p>
        </w:tc>
        <w:tc>
          <w:tcPr>
            <w:tcW w:w="962" w:type="dxa"/>
            <w:vAlign w:val="center"/>
            <w:hideMark/>
          </w:tcPr>
          <w:p w14:paraId="13D5FAA6"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As BAF</w:t>
            </w:r>
          </w:p>
        </w:tc>
        <w:tc>
          <w:tcPr>
            <w:tcW w:w="1104" w:type="dxa"/>
            <w:vAlign w:val="center"/>
            <w:hideMark/>
          </w:tcPr>
          <w:p w14:paraId="12FD6CD4"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Cr BAF</w:t>
            </w:r>
          </w:p>
        </w:tc>
        <w:tc>
          <w:tcPr>
            <w:tcW w:w="1373" w:type="dxa"/>
            <w:vAlign w:val="center"/>
            <w:hideMark/>
          </w:tcPr>
          <w:p w14:paraId="1F44AF2C" w14:textId="77777777" w:rsidR="0034301B" w:rsidRPr="0034301B" w:rsidRDefault="0034301B" w:rsidP="0034301B">
            <w:pPr>
              <w:spacing w:after="0" w:line="240" w:lineRule="auto"/>
              <w:jc w:val="both"/>
              <w:rPr>
                <w:rFonts w:ascii="Times New Roman" w:eastAsia="Times New Roman" w:hAnsi="Times New Roman" w:cs="Times New Roman"/>
                <w:b/>
                <w:bCs/>
                <w:sz w:val="24"/>
                <w:szCs w:val="24"/>
                <w:lang w:eastAsia="en-GB"/>
              </w:rPr>
            </w:pPr>
            <w:r w:rsidRPr="0034301B">
              <w:rPr>
                <w:rFonts w:ascii="Times New Roman" w:eastAsia="Times New Roman" w:hAnsi="Times New Roman" w:cs="Times New Roman"/>
                <w:b/>
                <w:bCs/>
                <w:sz w:val="24"/>
                <w:szCs w:val="24"/>
                <w:lang w:eastAsia="en-GB"/>
              </w:rPr>
              <w:t>PAH BAF</w:t>
            </w:r>
          </w:p>
        </w:tc>
      </w:tr>
      <w:tr w:rsidR="0034301B" w:rsidRPr="0034301B" w14:paraId="79C99071" w14:textId="77777777" w:rsidTr="0034301B">
        <w:trPr>
          <w:tblCellSpacing w:w="15" w:type="dxa"/>
        </w:trPr>
        <w:tc>
          <w:tcPr>
            <w:tcW w:w="0" w:type="auto"/>
            <w:vAlign w:val="center"/>
            <w:hideMark/>
          </w:tcPr>
          <w:p w14:paraId="2681EB91"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Tilapia sp.</w:t>
            </w:r>
          </w:p>
        </w:tc>
        <w:tc>
          <w:tcPr>
            <w:tcW w:w="0" w:type="auto"/>
            <w:vAlign w:val="center"/>
            <w:hideMark/>
          </w:tcPr>
          <w:p w14:paraId="6136F3AA"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2.5</w:t>
            </w:r>
          </w:p>
        </w:tc>
        <w:tc>
          <w:tcPr>
            <w:tcW w:w="0" w:type="auto"/>
            <w:vAlign w:val="center"/>
            <w:hideMark/>
          </w:tcPr>
          <w:p w14:paraId="142EA05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1.2</w:t>
            </w:r>
          </w:p>
        </w:tc>
        <w:tc>
          <w:tcPr>
            <w:tcW w:w="1148" w:type="dxa"/>
            <w:vAlign w:val="center"/>
            <w:hideMark/>
          </w:tcPr>
          <w:p w14:paraId="5BCB074B"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1.8</w:t>
            </w:r>
          </w:p>
        </w:tc>
        <w:tc>
          <w:tcPr>
            <w:tcW w:w="962" w:type="dxa"/>
            <w:vAlign w:val="center"/>
            <w:hideMark/>
          </w:tcPr>
          <w:p w14:paraId="16E3BD9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1.0</w:t>
            </w:r>
          </w:p>
        </w:tc>
        <w:tc>
          <w:tcPr>
            <w:tcW w:w="1104" w:type="dxa"/>
            <w:vAlign w:val="center"/>
            <w:hideMark/>
          </w:tcPr>
          <w:p w14:paraId="39ECE83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2.0</w:t>
            </w:r>
          </w:p>
        </w:tc>
        <w:tc>
          <w:tcPr>
            <w:tcW w:w="1373" w:type="dxa"/>
            <w:vAlign w:val="center"/>
            <w:hideMark/>
          </w:tcPr>
          <w:p w14:paraId="5094DC05"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1.5</w:t>
            </w:r>
          </w:p>
        </w:tc>
      </w:tr>
      <w:tr w:rsidR="0034301B" w:rsidRPr="0034301B" w14:paraId="0BD2CE94" w14:textId="77777777" w:rsidTr="0034301B">
        <w:trPr>
          <w:tblCellSpacing w:w="15" w:type="dxa"/>
        </w:trPr>
        <w:tc>
          <w:tcPr>
            <w:tcW w:w="0" w:type="auto"/>
            <w:vAlign w:val="center"/>
            <w:hideMark/>
          </w:tcPr>
          <w:p w14:paraId="44B73D15"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Clarias</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gariepinus</w:t>
            </w:r>
            <w:proofErr w:type="spellEnd"/>
          </w:p>
        </w:tc>
        <w:tc>
          <w:tcPr>
            <w:tcW w:w="0" w:type="auto"/>
            <w:vAlign w:val="center"/>
            <w:hideMark/>
          </w:tcPr>
          <w:p w14:paraId="44AF162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3.0</w:t>
            </w:r>
          </w:p>
        </w:tc>
        <w:tc>
          <w:tcPr>
            <w:tcW w:w="0" w:type="auto"/>
            <w:vAlign w:val="center"/>
            <w:hideMark/>
          </w:tcPr>
          <w:p w14:paraId="0BF2F4D3"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1.5</w:t>
            </w:r>
          </w:p>
        </w:tc>
        <w:tc>
          <w:tcPr>
            <w:tcW w:w="1148" w:type="dxa"/>
            <w:vAlign w:val="center"/>
            <w:hideMark/>
          </w:tcPr>
          <w:p w14:paraId="02A6FDC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2.1</w:t>
            </w:r>
          </w:p>
        </w:tc>
        <w:tc>
          <w:tcPr>
            <w:tcW w:w="962" w:type="dxa"/>
            <w:vAlign w:val="center"/>
            <w:hideMark/>
          </w:tcPr>
          <w:p w14:paraId="5B62547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1.2</w:t>
            </w:r>
          </w:p>
        </w:tc>
        <w:tc>
          <w:tcPr>
            <w:tcW w:w="1104" w:type="dxa"/>
            <w:vAlign w:val="center"/>
            <w:hideMark/>
          </w:tcPr>
          <w:p w14:paraId="664F5AA2"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2.3</w:t>
            </w:r>
          </w:p>
        </w:tc>
        <w:tc>
          <w:tcPr>
            <w:tcW w:w="1373" w:type="dxa"/>
            <w:vAlign w:val="center"/>
            <w:hideMark/>
          </w:tcPr>
          <w:p w14:paraId="0D54DDE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2.0</w:t>
            </w:r>
          </w:p>
        </w:tc>
      </w:tr>
      <w:tr w:rsidR="0034301B" w:rsidRPr="0034301B" w14:paraId="0BC71C6B" w14:textId="77777777" w:rsidTr="0034301B">
        <w:trPr>
          <w:tblCellSpacing w:w="15" w:type="dxa"/>
        </w:trPr>
        <w:tc>
          <w:tcPr>
            <w:tcW w:w="0" w:type="auto"/>
            <w:vAlign w:val="center"/>
            <w:hideMark/>
          </w:tcPr>
          <w:p w14:paraId="314BB272"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Sarotherodon</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melanotheron</w:t>
            </w:r>
            <w:proofErr w:type="spellEnd"/>
          </w:p>
        </w:tc>
        <w:tc>
          <w:tcPr>
            <w:tcW w:w="0" w:type="auto"/>
            <w:vAlign w:val="center"/>
            <w:hideMark/>
          </w:tcPr>
          <w:p w14:paraId="40099F79"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2.2</w:t>
            </w:r>
          </w:p>
        </w:tc>
        <w:tc>
          <w:tcPr>
            <w:tcW w:w="0" w:type="auto"/>
            <w:vAlign w:val="center"/>
            <w:hideMark/>
          </w:tcPr>
          <w:p w14:paraId="4C37B98D"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1.0</w:t>
            </w:r>
          </w:p>
        </w:tc>
        <w:tc>
          <w:tcPr>
            <w:tcW w:w="1148" w:type="dxa"/>
            <w:vAlign w:val="center"/>
            <w:hideMark/>
          </w:tcPr>
          <w:p w14:paraId="10D632D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1.5</w:t>
            </w:r>
          </w:p>
        </w:tc>
        <w:tc>
          <w:tcPr>
            <w:tcW w:w="962" w:type="dxa"/>
            <w:vAlign w:val="center"/>
            <w:hideMark/>
          </w:tcPr>
          <w:p w14:paraId="046902B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0.9</w:t>
            </w:r>
          </w:p>
        </w:tc>
        <w:tc>
          <w:tcPr>
            <w:tcW w:w="1104" w:type="dxa"/>
            <w:vAlign w:val="center"/>
            <w:hideMark/>
          </w:tcPr>
          <w:p w14:paraId="4B99676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1.8</w:t>
            </w:r>
          </w:p>
        </w:tc>
        <w:tc>
          <w:tcPr>
            <w:tcW w:w="1373" w:type="dxa"/>
            <w:vAlign w:val="center"/>
            <w:hideMark/>
          </w:tcPr>
          <w:p w14:paraId="5720436A"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1.3</w:t>
            </w:r>
          </w:p>
        </w:tc>
      </w:tr>
      <w:tr w:rsidR="0034301B" w:rsidRPr="0034301B" w14:paraId="64372ABF" w14:textId="77777777" w:rsidTr="0034301B">
        <w:trPr>
          <w:tblCellSpacing w:w="15" w:type="dxa"/>
        </w:trPr>
        <w:tc>
          <w:tcPr>
            <w:tcW w:w="0" w:type="auto"/>
            <w:vAlign w:val="center"/>
            <w:hideMark/>
          </w:tcPr>
          <w:p w14:paraId="7099DF5A"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proofErr w:type="spellStart"/>
            <w:r w:rsidRPr="0034301B">
              <w:rPr>
                <w:rFonts w:ascii="Times New Roman" w:eastAsia="Times New Roman" w:hAnsi="Times New Roman" w:cs="Times New Roman"/>
                <w:sz w:val="24"/>
                <w:szCs w:val="24"/>
                <w:lang w:eastAsia="en-GB"/>
              </w:rPr>
              <w:t>Macrobrachium</w:t>
            </w:r>
            <w:proofErr w:type="spellEnd"/>
            <w:r w:rsidRPr="0034301B">
              <w:rPr>
                <w:rFonts w:ascii="Times New Roman" w:eastAsia="Times New Roman" w:hAnsi="Times New Roman" w:cs="Times New Roman"/>
                <w:sz w:val="24"/>
                <w:szCs w:val="24"/>
                <w:lang w:eastAsia="en-GB"/>
              </w:rPr>
              <w:t xml:space="preserve"> </w:t>
            </w:r>
            <w:proofErr w:type="spellStart"/>
            <w:r w:rsidRPr="0034301B">
              <w:rPr>
                <w:rFonts w:ascii="Times New Roman" w:eastAsia="Times New Roman" w:hAnsi="Times New Roman" w:cs="Times New Roman"/>
                <w:sz w:val="24"/>
                <w:szCs w:val="24"/>
                <w:lang w:eastAsia="en-GB"/>
              </w:rPr>
              <w:t>vollenhovenii</w:t>
            </w:r>
            <w:proofErr w:type="spellEnd"/>
          </w:p>
        </w:tc>
        <w:tc>
          <w:tcPr>
            <w:tcW w:w="0" w:type="auto"/>
            <w:vAlign w:val="center"/>
            <w:hideMark/>
          </w:tcPr>
          <w:p w14:paraId="5A1A7F8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2.4</w:t>
            </w:r>
          </w:p>
        </w:tc>
        <w:tc>
          <w:tcPr>
            <w:tcW w:w="0" w:type="auto"/>
            <w:vAlign w:val="center"/>
            <w:hideMark/>
          </w:tcPr>
          <w:p w14:paraId="459B0D06"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1.1</w:t>
            </w:r>
          </w:p>
        </w:tc>
        <w:tc>
          <w:tcPr>
            <w:tcW w:w="1148" w:type="dxa"/>
            <w:vAlign w:val="center"/>
            <w:hideMark/>
          </w:tcPr>
          <w:p w14:paraId="684F74BF"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1.7</w:t>
            </w:r>
          </w:p>
        </w:tc>
        <w:tc>
          <w:tcPr>
            <w:tcW w:w="962" w:type="dxa"/>
            <w:vAlign w:val="center"/>
            <w:hideMark/>
          </w:tcPr>
          <w:p w14:paraId="4B3EADDC"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1.0</w:t>
            </w:r>
          </w:p>
        </w:tc>
        <w:tc>
          <w:tcPr>
            <w:tcW w:w="1104" w:type="dxa"/>
            <w:vAlign w:val="center"/>
            <w:hideMark/>
          </w:tcPr>
          <w:p w14:paraId="3EA0AF08"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2.0</w:t>
            </w:r>
          </w:p>
        </w:tc>
        <w:tc>
          <w:tcPr>
            <w:tcW w:w="1373" w:type="dxa"/>
            <w:vAlign w:val="center"/>
            <w:hideMark/>
          </w:tcPr>
          <w:p w14:paraId="3567A524" w14:textId="77777777" w:rsidR="0034301B" w:rsidRPr="0034301B" w:rsidRDefault="0034301B" w:rsidP="0034301B">
            <w:pPr>
              <w:spacing w:after="0" w:line="240" w:lineRule="auto"/>
              <w:jc w:val="both"/>
              <w:rPr>
                <w:rFonts w:ascii="Times New Roman" w:eastAsia="Times New Roman" w:hAnsi="Times New Roman" w:cs="Times New Roman"/>
                <w:sz w:val="24"/>
                <w:szCs w:val="24"/>
                <w:lang w:eastAsia="en-GB"/>
              </w:rPr>
            </w:pPr>
            <w:r w:rsidRPr="0034301B">
              <w:rPr>
                <w:rFonts w:ascii="Times New Roman" w:eastAsia="Times New Roman" w:hAnsi="Times New Roman" w:cs="Times New Roman"/>
                <w:sz w:val="24"/>
                <w:szCs w:val="24"/>
                <w:lang w:eastAsia="en-GB"/>
              </w:rPr>
              <w:t>1.4</w:t>
            </w:r>
          </w:p>
        </w:tc>
      </w:tr>
    </w:tbl>
    <w:p w14:paraId="49B27F36" w14:textId="00E6F2AE" w:rsidR="00F26C03" w:rsidRDefault="00F26C03" w:rsidP="0034301B">
      <w:pPr>
        <w:pStyle w:val="NormalWeb"/>
        <w:jc w:val="both"/>
      </w:pPr>
    </w:p>
    <w:p w14:paraId="49082711" w14:textId="77777777" w:rsidR="009E7D93" w:rsidRDefault="0034301B" w:rsidP="0034301B">
      <w:pPr>
        <w:pStyle w:val="NormalWeb"/>
        <w:jc w:val="both"/>
        <w:rPr>
          <w:b/>
          <w:bCs/>
        </w:rPr>
      </w:pPr>
      <w:r w:rsidRPr="0034301B">
        <w:rPr>
          <w:b/>
          <w:bCs/>
        </w:rPr>
        <w:t>4.0 Discussion</w:t>
      </w:r>
    </w:p>
    <w:p w14:paraId="176F5F7F" w14:textId="58CF8A58" w:rsidR="0034301B" w:rsidRDefault="0034301B" w:rsidP="0034301B">
      <w:pPr>
        <w:pStyle w:val="NormalWeb"/>
        <w:jc w:val="both"/>
      </w:pPr>
      <w:r>
        <w:t xml:space="preserve">The concentrations of heavy metals and polycyclic aromatic hydrocarbons (PAHs) detected in the examined estuarine fish species indicate an environment under sustained anthropogenic stress, typical of oil-bearing regions of the Niger Delta. The elevated levels of lead and arsenic observed in Tilapia sp. and </w:t>
      </w:r>
      <w:proofErr w:type="spellStart"/>
      <w:r>
        <w:t>Clarias</w:t>
      </w:r>
      <w:proofErr w:type="spellEnd"/>
      <w:r>
        <w:t xml:space="preserve"> </w:t>
      </w:r>
      <w:proofErr w:type="spellStart"/>
      <w:r>
        <w:t>gariepinus</w:t>
      </w:r>
      <w:proofErr w:type="spellEnd"/>
      <w:r>
        <w:t xml:space="preserve"> are consistent with findings from previous studies in polluted creek systems where petroleum activities, gas flaring, and urban effluent discharge drive metal enrichment in aquatic organisms (</w:t>
      </w:r>
      <w:proofErr w:type="spellStart"/>
      <w:r>
        <w:t>Aghanwa</w:t>
      </w:r>
      <w:proofErr w:type="spellEnd"/>
      <w:r>
        <w:t xml:space="preserve"> et al., 2025; </w:t>
      </w:r>
      <w:proofErr w:type="spellStart"/>
      <w:r>
        <w:t>Okpoji</w:t>
      </w:r>
      <w:proofErr w:type="spellEnd"/>
      <w:r>
        <w:t xml:space="preserve"> et al., 2025). These contaminants enter the estuarine food web through atmospheric deposition, sediment–water interactions, and the uptake of dissolved metals, processes well-documented in oil-impacted systems within </w:t>
      </w:r>
      <w:proofErr w:type="spellStart"/>
      <w:r>
        <w:t>Ebocha</w:t>
      </w:r>
      <w:proofErr w:type="spellEnd"/>
      <w:r>
        <w:t xml:space="preserve">, </w:t>
      </w:r>
      <w:proofErr w:type="spellStart"/>
      <w:r>
        <w:t>Ogoniland</w:t>
      </w:r>
      <w:proofErr w:type="spellEnd"/>
      <w:r>
        <w:t xml:space="preserve">, </w:t>
      </w:r>
      <w:proofErr w:type="spellStart"/>
      <w:r>
        <w:t>Andoni</w:t>
      </w:r>
      <w:proofErr w:type="spellEnd"/>
      <w:r>
        <w:t xml:space="preserve">, and </w:t>
      </w:r>
      <w:proofErr w:type="spellStart"/>
      <w:r>
        <w:t>Yenagoa</w:t>
      </w:r>
      <w:proofErr w:type="spellEnd"/>
      <w:r>
        <w:t xml:space="preserve"> (</w:t>
      </w:r>
      <w:proofErr w:type="spellStart"/>
      <w:r>
        <w:t>Aghanwa</w:t>
      </w:r>
      <w:proofErr w:type="spellEnd"/>
      <w:r>
        <w:t xml:space="preserve"> et al., 2025; </w:t>
      </w:r>
      <w:proofErr w:type="spellStart"/>
      <w:r>
        <w:t>Okpoji</w:t>
      </w:r>
      <w:proofErr w:type="spellEnd"/>
      <w:r>
        <w:t xml:space="preserve"> et al., 2025; Okagbare et al., 2025).</w:t>
      </w:r>
    </w:p>
    <w:p w14:paraId="26AF5432" w14:textId="77777777" w:rsidR="0034301B" w:rsidRDefault="0034301B" w:rsidP="0034301B">
      <w:pPr>
        <w:pStyle w:val="NormalWeb"/>
        <w:jc w:val="both"/>
      </w:pPr>
      <w:r>
        <w:t xml:space="preserve">Lead levels in all four species exceeded WHO/FDA limits, suggesting a persistent contamination source likely linked to petroleum combustion residues, corroded pipelines, and </w:t>
      </w:r>
      <w:r>
        <w:lastRenderedPageBreak/>
        <w:t>urban runoff. Similar exceedances have been reported in blue crab tissues from the Niger Delta (</w:t>
      </w:r>
      <w:proofErr w:type="spellStart"/>
      <w:r>
        <w:t>Okpoji</w:t>
      </w:r>
      <w:proofErr w:type="spellEnd"/>
      <w:r>
        <w:t xml:space="preserve"> et al., 2025), confirming the regional significance of Pb pollution. The moderate but concerning arsenic concentrations align with observations from polluted rivers where hydrocarbon spills and industrial effluents enrich dissolved arsenic, increasing the likelihood of uptake by fish (</w:t>
      </w:r>
      <w:proofErr w:type="spellStart"/>
      <w:r>
        <w:t>Okpoji</w:t>
      </w:r>
      <w:proofErr w:type="spellEnd"/>
      <w:r>
        <w:t xml:space="preserve"> et al., 2025; </w:t>
      </w:r>
      <w:proofErr w:type="spellStart"/>
      <w:r>
        <w:t>Umueni</w:t>
      </w:r>
      <w:proofErr w:type="spellEnd"/>
      <w:r>
        <w:t xml:space="preserve"> et al., 2025). Although mercury, cadmium, and chromium remained within acceptable limits, their presence underscores the cumulative loading of contaminants in estuarine environments subjected to long-term exploitation.</w:t>
      </w:r>
    </w:p>
    <w:p w14:paraId="2F3DB976" w14:textId="77777777" w:rsidR="0034301B" w:rsidRDefault="0034301B" w:rsidP="0034301B">
      <w:pPr>
        <w:pStyle w:val="NormalWeb"/>
        <w:jc w:val="both"/>
      </w:pPr>
      <w:r>
        <w:t xml:space="preserve">The PAH concentrations measured in the species, especially the elevated ΣPAH value in </w:t>
      </w:r>
      <w:proofErr w:type="spellStart"/>
      <w:r>
        <w:t>Clarias</w:t>
      </w:r>
      <w:proofErr w:type="spellEnd"/>
      <w:r>
        <w:t xml:space="preserve"> </w:t>
      </w:r>
      <w:proofErr w:type="spellStart"/>
      <w:r>
        <w:t>gariepinus</w:t>
      </w:r>
      <w:proofErr w:type="spellEnd"/>
      <w:r>
        <w:t xml:space="preserve">, further demonstrate the influence of hydrocarbon contamination. This pattern mirrors findings in smoked and dried fish analysed by </w:t>
      </w:r>
      <w:proofErr w:type="spellStart"/>
      <w:r>
        <w:t>Ekwere</w:t>
      </w:r>
      <w:proofErr w:type="spellEnd"/>
      <w:r>
        <w:t xml:space="preserve"> et al. (2025) and John et al. (2025), where pyrogenic PAHs predominated, highlighting the widespread nature of combustion-derived pollution in Nigeria. The presence of benzo[a]pyrene in all species is particularly important because it is classified as a Group 1 carcinogen by the International Agency for Research on Cancer (IARC, 2015). Its detection supports earlier reports of chronic hydrocarbon exposure in Rivers and Delta States, where PAHs were found in sediments, water, and biota at concentrations requiring environmental management intervention (</w:t>
      </w:r>
      <w:proofErr w:type="spellStart"/>
      <w:r>
        <w:t>Okpoji</w:t>
      </w:r>
      <w:proofErr w:type="spellEnd"/>
      <w:r>
        <w:t xml:space="preserve"> et al., 2025; </w:t>
      </w:r>
      <w:proofErr w:type="spellStart"/>
      <w:r>
        <w:t>Okpoji</w:t>
      </w:r>
      <w:proofErr w:type="spellEnd"/>
      <w:r>
        <w:t xml:space="preserve">, </w:t>
      </w:r>
      <w:proofErr w:type="spellStart"/>
      <w:r>
        <w:t>Eboh-Ajoku</w:t>
      </w:r>
      <w:proofErr w:type="spellEnd"/>
      <w:r>
        <w:t xml:space="preserve"> et al., 2025; </w:t>
      </w:r>
      <w:proofErr w:type="spellStart"/>
      <w:r>
        <w:t>Eyenubo</w:t>
      </w:r>
      <w:proofErr w:type="spellEnd"/>
      <w:r>
        <w:t xml:space="preserve"> et al., 2024).</w:t>
      </w:r>
    </w:p>
    <w:p w14:paraId="6E00BFA7" w14:textId="77777777" w:rsidR="0034301B" w:rsidRDefault="0034301B" w:rsidP="0034301B">
      <w:pPr>
        <w:pStyle w:val="NormalWeb"/>
        <w:jc w:val="both"/>
      </w:pPr>
      <w:r>
        <w:t xml:space="preserve">The bioaccumulation factors (BAF &gt; 1 across contaminants) confirm that the species actively accumulate pollutants from their environment. </w:t>
      </w:r>
      <w:proofErr w:type="spellStart"/>
      <w:r>
        <w:t>Clarias</w:t>
      </w:r>
      <w:proofErr w:type="spellEnd"/>
      <w:r>
        <w:t xml:space="preserve"> </w:t>
      </w:r>
      <w:proofErr w:type="spellStart"/>
      <w:r>
        <w:t>gariepinus</w:t>
      </w:r>
      <w:proofErr w:type="spellEnd"/>
      <w:r>
        <w:t xml:space="preserve">, exhibiting the highest BAF values for heavy metals and PAHs, demonstrates a high capacity for bioaccumulation. This agrees with evidence from tropical aquatic systems where </w:t>
      </w:r>
      <w:proofErr w:type="spellStart"/>
      <w:r>
        <w:t>detritivorous</w:t>
      </w:r>
      <w:proofErr w:type="spellEnd"/>
      <w:r>
        <w:t xml:space="preserve"> and omnivorous fish accumulate persistent organic and inorganic toxicants more readily due to their feeding strategies and benthic interactions (Ernesto et al., 2021; </w:t>
      </w:r>
      <w:proofErr w:type="spellStart"/>
      <w:r>
        <w:t>Oghenekohwiroro</w:t>
      </w:r>
      <w:proofErr w:type="spellEnd"/>
      <w:r>
        <w:t xml:space="preserve"> &amp; </w:t>
      </w:r>
      <w:proofErr w:type="spellStart"/>
      <w:r>
        <w:t>Osaro</w:t>
      </w:r>
      <w:proofErr w:type="spellEnd"/>
      <w:r>
        <w:t xml:space="preserve">, 2017). Similarly, </w:t>
      </w:r>
      <w:proofErr w:type="spellStart"/>
      <w:r>
        <w:t>Okpoji</w:t>
      </w:r>
      <w:proofErr w:type="spellEnd"/>
      <w:r>
        <w:t xml:space="preserve"> et al. (2025) documented significant bioaccumulation of metals in crabs from oil-polluted creeks, showing comparable biomagnification tendencies.</w:t>
      </w:r>
    </w:p>
    <w:p w14:paraId="2DC55711" w14:textId="77777777" w:rsidR="0034301B" w:rsidRDefault="0034301B" w:rsidP="0034301B">
      <w:pPr>
        <w:pStyle w:val="NormalWeb"/>
        <w:jc w:val="both"/>
      </w:pPr>
      <w:r>
        <w:t>The transport and persistence of contaminants observed in this study can be linked to environmental processes described by Wania et al. (2006), where fugacity-driven partitioning facilitates the movement of persistent organic pollutants (POPs) through multiple environmental compartments. Atmospheric transport models also support this behaviour, suggesting that emissions from gas flares and combustion sources are capable of long-range distribution and deposition into aquatic bodies (Kallenborn et al., 2015). Additionally, Ekpe et al. (2025) highlighted the role of surface runoff and irrigation return flows in mobilising contaminants into water systems, demonstrating that multiple diffuse pathways contribute to pollutant loading.</w:t>
      </w:r>
    </w:p>
    <w:p w14:paraId="06A9E226" w14:textId="77777777" w:rsidR="0034301B" w:rsidRDefault="0034301B" w:rsidP="0034301B">
      <w:pPr>
        <w:pStyle w:val="NormalWeb"/>
        <w:jc w:val="both"/>
      </w:pPr>
      <w:r>
        <w:t>The ecological and human health implications of these findings are significant. Chronic exposure to Pb, As, and PAHs has been linked to behavioural, neurological, and developmental toxicity in humans (Stewart et al., 2000; ATSDR, 1997; USEPA, 2011). In regions with high fish consumption, such as the Niger Delta, prolonged ingestion of contaminated seafood can compound health risks, potentially lowering life expectancy already affected by environmental stressors (World Bank, 2014; Ibe, 2023). Fish are key protein sources, and contamination levels above regulatory thresholds raise concerns for vulnerable populations, particularly children and pregnant women.</w:t>
      </w:r>
    </w:p>
    <w:p w14:paraId="3E557D68" w14:textId="77777777" w:rsidR="0034301B" w:rsidRDefault="0034301B" w:rsidP="0034301B">
      <w:pPr>
        <w:pStyle w:val="NormalWeb"/>
        <w:jc w:val="both"/>
      </w:pPr>
      <w:r>
        <w:t xml:space="preserve">The presence of these contaminants also reflects ongoing environmental governance challenges. Kwok (2023) and Lawal (2023) note that while regulatory frameworks exist for managing hazardous pollutants such as PCBs, PAHs, and heavy metals, enforcement barriers </w:t>
      </w:r>
      <w:r>
        <w:lastRenderedPageBreak/>
        <w:t>persist in developing regions, especially within complex socio-environmental landscapes like the Niger Delta. The findings of this study therefore reinforce calls for stronger monitoring, improved waste management, and enhanced policy implementation to address pollution at its source.</w:t>
      </w:r>
    </w:p>
    <w:p w14:paraId="3D8D17CA" w14:textId="77777777" w:rsidR="0034301B" w:rsidRDefault="0034301B" w:rsidP="0034301B">
      <w:pPr>
        <w:pStyle w:val="NormalWeb"/>
        <w:jc w:val="both"/>
      </w:pPr>
      <w:r w:rsidRPr="0034301B">
        <w:rPr>
          <w:b/>
          <w:bCs/>
        </w:rPr>
        <w:t>Conclusion</w:t>
      </w:r>
      <w:r>
        <w:br/>
        <w:t xml:space="preserve">This study assessed the levels of heavy metals and polycyclic aromatic hydrocarbons (PAHs) in four commonly consumed estuarine fish species and demonstrated clear evidence of contamination linked to anthropogenic activities within the Niger Delta environment. Lead and arsenic exceeded international safety limits in several species, while all organisms contained detectable PAHs, including the carcinogenic benzo[a]pyrene. The elevated ΣPAH values in </w:t>
      </w:r>
      <w:proofErr w:type="spellStart"/>
      <w:r>
        <w:t>Clarias</w:t>
      </w:r>
      <w:proofErr w:type="spellEnd"/>
      <w:r>
        <w:t xml:space="preserve"> </w:t>
      </w:r>
      <w:proofErr w:type="spellStart"/>
      <w:r>
        <w:t>gariepinus</w:t>
      </w:r>
      <w:proofErr w:type="spellEnd"/>
      <w:r>
        <w:t xml:space="preserve"> and the consistently high bioaccumulation factors recorded across species indicate chronic pollutant exposure and active uptake from the surrounding aquatic environment.</w:t>
      </w:r>
    </w:p>
    <w:p w14:paraId="085D9FE6" w14:textId="070AB8E4" w:rsidR="0034301B" w:rsidRDefault="0034301B" w:rsidP="0034301B">
      <w:pPr>
        <w:pStyle w:val="NormalWeb"/>
        <w:jc w:val="both"/>
      </w:pPr>
      <w:r>
        <w:t>The contamination profiles observed reflect the cumulative influence of gas flaring, petroleum spills, combustion by-products, and diffuse runoff, which have been widely reported in the region. The presence of these toxicants in edible fish tissues raises significant food safety and public health concerns, particularly for communities relying heavily on fish as a primary protein source. Although some metals remained within permissible limits, the combined burden of heavy metals and PAHs signals long-term ecological stress and potential human health risks through dietary exposure.</w:t>
      </w:r>
      <w:r w:rsidR="009E7D93">
        <w:t xml:space="preserve"> </w:t>
      </w:r>
      <w:r>
        <w:t>The findings underscore the need for continuous environmental monitoring, stricter regulatory enforcement, and effective pollution control strategies tailored to the unique challenges of the Niger Delta. Mitigation efforts such as improved waste management, strengthened oil spill response, and community-level awareness programmes are essential to reducing contaminant input into estuarine systems.</w:t>
      </w:r>
    </w:p>
    <w:p w14:paraId="3AB46B1B" w14:textId="2CFB43A3" w:rsidR="0034301B" w:rsidRDefault="0034301B" w:rsidP="0034301B">
      <w:pPr>
        <w:pStyle w:val="NormalWeb"/>
        <w:jc w:val="both"/>
      </w:pPr>
    </w:p>
    <w:p w14:paraId="3E5E8CBF" w14:textId="18D1B7DB" w:rsidR="009E7D93" w:rsidRDefault="009E7D93" w:rsidP="0034301B">
      <w:pPr>
        <w:pStyle w:val="NormalWeb"/>
        <w:jc w:val="both"/>
        <w:rPr>
          <w:b/>
          <w:bCs/>
        </w:rPr>
      </w:pPr>
      <w:r w:rsidRPr="009E7D93">
        <w:rPr>
          <w:b/>
          <w:bCs/>
        </w:rPr>
        <w:t>Reference</w:t>
      </w:r>
    </w:p>
    <w:p w14:paraId="19E4BF3B" w14:textId="77777777" w:rsidR="009E7D93" w:rsidRPr="00840533" w:rsidRDefault="009E7D93" w:rsidP="009E7D93">
      <w:pPr>
        <w:pStyle w:val="NormalWeb"/>
        <w:ind w:left="720" w:hanging="720"/>
        <w:jc w:val="both"/>
      </w:pPr>
      <w:r w:rsidRPr="00840533">
        <w:t xml:space="preserve">Agency for Toxic Substances and Disease Registry (ATSDR). (1997). </w:t>
      </w:r>
      <w:r w:rsidRPr="00840533">
        <w:rPr>
          <w:rStyle w:val="Emphasis"/>
        </w:rPr>
        <w:t>Toxicological Profile for Polychlorinated Biphenyls (PCBs).</w:t>
      </w:r>
      <w:r w:rsidRPr="00840533">
        <w:t xml:space="preserve"> Public Health Service, U.S. Department of Health and Human Services, Atlanta, GA.</w:t>
      </w:r>
    </w:p>
    <w:p w14:paraId="778907FB" w14:textId="66BA35D1" w:rsidR="009E7D93" w:rsidRPr="00840533" w:rsidRDefault="009E7D93" w:rsidP="009E7D93">
      <w:pPr>
        <w:pStyle w:val="NormalWeb"/>
        <w:ind w:left="720" w:hanging="720"/>
        <w:jc w:val="both"/>
      </w:pPr>
      <w:proofErr w:type="spellStart"/>
      <w:r w:rsidRPr="00840533">
        <w:t>Aghanwa</w:t>
      </w:r>
      <w:proofErr w:type="spellEnd"/>
      <w:r w:rsidRPr="00840533">
        <w:t xml:space="preserve">, C. I., </w:t>
      </w:r>
      <w:proofErr w:type="spellStart"/>
      <w:r w:rsidRPr="00840533">
        <w:t>Umueni</w:t>
      </w:r>
      <w:proofErr w:type="spellEnd"/>
      <w:r w:rsidRPr="00840533">
        <w:t xml:space="preserve">, U. E., Etukudo, N. J., Amachree, J. B., </w:t>
      </w:r>
      <w:proofErr w:type="spellStart"/>
      <w:r w:rsidRPr="00840533">
        <w:t>Okpoji</w:t>
      </w:r>
      <w:proofErr w:type="spellEnd"/>
      <w:r w:rsidRPr="00840533">
        <w:t xml:space="preserve">, A. U., </w:t>
      </w:r>
      <w:proofErr w:type="spellStart"/>
      <w:r w:rsidRPr="00840533">
        <w:t>Ejeka</w:t>
      </w:r>
      <w:proofErr w:type="spellEnd"/>
      <w:r w:rsidRPr="00840533">
        <w:t xml:space="preserve">, C. J., &amp; </w:t>
      </w:r>
      <w:proofErr w:type="spellStart"/>
      <w:r w:rsidRPr="00840533">
        <w:t>Ekwere</w:t>
      </w:r>
      <w:proofErr w:type="spellEnd"/>
      <w:r w:rsidRPr="00840533">
        <w:t xml:space="preserve">, I. O. (2025). Atmospheric deposition of soot and heavy metals from gas flaring into surface waters of </w:t>
      </w:r>
      <w:proofErr w:type="spellStart"/>
      <w:r w:rsidRPr="00840533">
        <w:t>Ebocha</w:t>
      </w:r>
      <w:proofErr w:type="spellEnd"/>
      <w:r w:rsidRPr="00840533">
        <w:t xml:space="preserve">, Rivers State, Nigeria. </w:t>
      </w:r>
      <w:r w:rsidRPr="00840533">
        <w:rPr>
          <w:rStyle w:val="Emphasis"/>
        </w:rPr>
        <w:t>Asian Journal of Environment &amp; Ecology, 24</w:t>
      </w:r>
      <w:r w:rsidRPr="00840533">
        <w:t>(11), 137–147.</w:t>
      </w:r>
      <w:r w:rsidR="00DB1CDF" w:rsidRPr="00DB1CDF">
        <w:t xml:space="preserve"> </w:t>
      </w:r>
      <w:hyperlink r:id="rId7" w:history="1">
        <w:r w:rsidR="00DB1CDF" w:rsidRPr="00912986">
          <w:rPr>
            <w:rStyle w:val="Hyperlink"/>
          </w:rPr>
          <w:t>https://hal.science/hal-05364672/</w:t>
        </w:r>
      </w:hyperlink>
      <w:r w:rsidR="00DB1CDF">
        <w:t xml:space="preserve"> </w:t>
      </w:r>
    </w:p>
    <w:p w14:paraId="5F04284F" w14:textId="6146C949" w:rsidR="009E7D93" w:rsidRPr="00840533" w:rsidRDefault="009E7D93" w:rsidP="009E7D93">
      <w:pPr>
        <w:pStyle w:val="NormalWeb"/>
        <w:ind w:left="720" w:hanging="720"/>
        <w:jc w:val="both"/>
      </w:pPr>
      <w:r w:rsidRPr="00840533">
        <w:t xml:space="preserve">Ekpe, J. E., </w:t>
      </w:r>
      <w:proofErr w:type="spellStart"/>
      <w:r w:rsidRPr="00840533">
        <w:t>Okpoji</w:t>
      </w:r>
      <w:proofErr w:type="spellEnd"/>
      <w:r w:rsidRPr="00840533">
        <w:t xml:space="preserve">, A. U., </w:t>
      </w:r>
      <w:proofErr w:type="spellStart"/>
      <w:r w:rsidRPr="00840533">
        <w:t>Ekwere</w:t>
      </w:r>
      <w:proofErr w:type="spellEnd"/>
      <w:r w:rsidRPr="00840533">
        <w:t xml:space="preserve">, I. O., </w:t>
      </w:r>
      <w:proofErr w:type="spellStart"/>
      <w:r w:rsidRPr="00840533">
        <w:t>Anarada</w:t>
      </w:r>
      <w:proofErr w:type="spellEnd"/>
      <w:r w:rsidRPr="00840533">
        <w:t xml:space="preserve">, C. J., </w:t>
      </w:r>
      <w:proofErr w:type="spellStart"/>
      <w:r w:rsidRPr="00840533">
        <w:t>Ewuola</w:t>
      </w:r>
      <w:proofErr w:type="spellEnd"/>
      <w:r w:rsidRPr="00840533">
        <w:t xml:space="preserve">, A. A., Ufuoma, V. O., </w:t>
      </w:r>
      <w:proofErr w:type="spellStart"/>
      <w:r w:rsidRPr="00840533">
        <w:t>Okpanachi</w:t>
      </w:r>
      <w:proofErr w:type="spellEnd"/>
      <w:r w:rsidRPr="00840533">
        <w:t xml:space="preserve">, C. B., Okonkwo, C. O., &amp; </w:t>
      </w:r>
      <w:proofErr w:type="spellStart"/>
      <w:r w:rsidRPr="00840533">
        <w:t>Obunezi</w:t>
      </w:r>
      <w:proofErr w:type="spellEnd"/>
      <w:r w:rsidRPr="00840533">
        <w:t xml:space="preserve">, O. A. (2025). Physico-chemical transport of pesticides and nutrients in irrigation water and their fate in </w:t>
      </w:r>
      <w:proofErr w:type="spellStart"/>
      <w:r w:rsidRPr="00840533">
        <w:t>agro</w:t>
      </w:r>
      <w:proofErr w:type="spellEnd"/>
      <w:r w:rsidRPr="00840533">
        <w:t xml:space="preserve">-ecosystems of Rivers State, Nigeria. </w:t>
      </w:r>
      <w:proofErr w:type="spellStart"/>
      <w:r w:rsidRPr="00840533">
        <w:rPr>
          <w:rStyle w:val="Emphasis"/>
        </w:rPr>
        <w:t>Palgo</w:t>
      </w:r>
      <w:proofErr w:type="spellEnd"/>
      <w:r w:rsidRPr="00840533">
        <w:rPr>
          <w:rStyle w:val="Emphasis"/>
        </w:rPr>
        <w:t xml:space="preserve"> Journal of Agriculture, 9</w:t>
      </w:r>
      <w:r w:rsidRPr="00840533">
        <w:t xml:space="preserve">(2), 30–37. </w:t>
      </w:r>
    </w:p>
    <w:p w14:paraId="3D8B4FEB" w14:textId="77777777" w:rsidR="009E7D93" w:rsidRPr="00840533" w:rsidRDefault="009E7D93" w:rsidP="009E7D93">
      <w:pPr>
        <w:pStyle w:val="NormalWeb"/>
        <w:ind w:left="720" w:hanging="720"/>
        <w:jc w:val="both"/>
      </w:pPr>
      <w:proofErr w:type="spellStart"/>
      <w:r w:rsidRPr="00840533">
        <w:t>Ekwere</w:t>
      </w:r>
      <w:proofErr w:type="spellEnd"/>
      <w:r w:rsidRPr="00840533">
        <w:t xml:space="preserve">, I. O., </w:t>
      </w:r>
      <w:proofErr w:type="spellStart"/>
      <w:r w:rsidRPr="00840533">
        <w:t>Okpoji</w:t>
      </w:r>
      <w:proofErr w:type="spellEnd"/>
      <w:r w:rsidRPr="00840533">
        <w:t xml:space="preserve">, A. U., </w:t>
      </w:r>
      <w:proofErr w:type="spellStart"/>
      <w:r w:rsidRPr="00840533">
        <w:t>Igwegbe</w:t>
      </w:r>
      <w:proofErr w:type="spellEnd"/>
      <w:r w:rsidRPr="00840533">
        <w:t xml:space="preserve">, K. C., Okonkwo, C. O., </w:t>
      </w:r>
      <w:proofErr w:type="spellStart"/>
      <w:r w:rsidRPr="00840533">
        <w:t>Yekeen</w:t>
      </w:r>
      <w:proofErr w:type="spellEnd"/>
      <w:r w:rsidRPr="00840533">
        <w:t xml:space="preserve">, A. A., </w:t>
      </w:r>
      <w:proofErr w:type="spellStart"/>
      <w:r w:rsidRPr="00840533">
        <w:t>Obunezi</w:t>
      </w:r>
      <w:proofErr w:type="spellEnd"/>
      <w:r w:rsidRPr="00840533">
        <w:t xml:space="preserve">, O. C., </w:t>
      </w:r>
      <w:proofErr w:type="spellStart"/>
      <w:r w:rsidRPr="00840533">
        <w:t>Okpanachi</w:t>
      </w:r>
      <w:proofErr w:type="spellEnd"/>
      <w:r w:rsidRPr="00840533">
        <w:t xml:space="preserve">, C. B., Garuba, M. H., </w:t>
      </w:r>
      <w:proofErr w:type="spellStart"/>
      <w:r w:rsidRPr="00840533">
        <w:t>Ogini</w:t>
      </w:r>
      <w:proofErr w:type="spellEnd"/>
      <w:r w:rsidRPr="00840533">
        <w:t xml:space="preserve">, O. R., &amp; </w:t>
      </w:r>
      <w:proofErr w:type="spellStart"/>
      <w:r w:rsidRPr="00840533">
        <w:t>Odibo</w:t>
      </w:r>
      <w:proofErr w:type="spellEnd"/>
      <w:r w:rsidRPr="00840533">
        <w:t>, U. E. (2025). Nutritional–Toxicological Trade-Off: Comparative study of polycyclic aromatic hydrocarbons in smoked and oven-dried Nile tilapia (</w:t>
      </w:r>
      <w:r w:rsidRPr="00840533">
        <w:rPr>
          <w:rStyle w:val="Emphasis"/>
        </w:rPr>
        <w:t>Oreochromis niloticus</w:t>
      </w:r>
      <w:r w:rsidRPr="00840533">
        <w:t xml:space="preserve">). </w:t>
      </w:r>
      <w:r w:rsidRPr="00840533">
        <w:rPr>
          <w:rStyle w:val="Emphasis"/>
        </w:rPr>
        <w:t>Journal of Environment, Climate, and Ecology, 2</w:t>
      </w:r>
      <w:r w:rsidRPr="00840533">
        <w:t xml:space="preserve">(2), 90–97. </w:t>
      </w:r>
      <w:hyperlink r:id="rId8" w:tgtFrame="_new" w:history="1">
        <w:r w:rsidRPr="00840533">
          <w:rPr>
            <w:rStyle w:val="Hyperlink"/>
            <w:rFonts w:eastAsiaTheme="majorEastAsia"/>
          </w:rPr>
          <w:t>https://doi.org/10.69739/jece.v2i2.952</w:t>
        </w:r>
      </w:hyperlink>
    </w:p>
    <w:p w14:paraId="2485AF75" w14:textId="77777777" w:rsidR="009E7D93" w:rsidRPr="00840533" w:rsidRDefault="009E7D93" w:rsidP="009E7D93">
      <w:pPr>
        <w:pStyle w:val="NormalWeb"/>
        <w:ind w:left="720" w:hanging="720"/>
        <w:jc w:val="both"/>
      </w:pPr>
      <w:proofErr w:type="spellStart"/>
      <w:r w:rsidRPr="00840533">
        <w:lastRenderedPageBreak/>
        <w:t>Ekwere</w:t>
      </w:r>
      <w:proofErr w:type="spellEnd"/>
      <w:r w:rsidRPr="00840533">
        <w:t xml:space="preserve">, I. O., </w:t>
      </w:r>
      <w:proofErr w:type="spellStart"/>
      <w:r w:rsidRPr="00840533">
        <w:t>Okpoji</w:t>
      </w:r>
      <w:proofErr w:type="spellEnd"/>
      <w:r w:rsidRPr="00840533">
        <w:t xml:space="preserve">, A. U., Ufuoma, V. O., Akinola, A. E., Raymond, C. A., Clement, R. O., </w:t>
      </w:r>
      <w:proofErr w:type="spellStart"/>
      <w:r w:rsidRPr="00840533">
        <w:t>Alaekwe</w:t>
      </w:r>
      <w:proofErr w:type="spellEnd"/>
      <w:r w:rsidRPr="00840533">
        <w:t xml:space="preserve">, I. O., </w:t>
      </w:r>
      <w:proofErr w:type="spellStart"/>
      <w:r w:rsidRPr="00840533">
        <w:t>Etesin</w:t>
      </w:r>
      <w:proofErr w:type="spellEnd"/>
      <w:r w:rsidRPr="00840533">
        <w:t xml:space="preserve">, M. O., &amp; </w:t>
      </w:r>
      <w:proofErr w:type="spellStart"/>
      <w:r w:rsidRPr="00840533">
        <w:t>Edodi</w:t>
      </w:r>
      <w:proofErr w:type="spellEnd"/>
      <w:r w:rsidRPr="00840533">
        <w:t>, I. O. (2025). Nutritional evaluation of Nile tilapia (</w:t>
      </w:r>
      <w:r w:rsidRPr="00840533">
        <w:rPr>
          <w:rStyle w:val="Emphasis"/>
        </w:rPr>
        <w:t>Oreochromis niloticus</w:t>
      </w:r>
      <w:r w:rsidRPr="00840533">
        <w:t xml:space="preserve">) processed by different drying methods in Akwa Ibom State, Nigeria. </w:t>
      </w:r>
      <w:r w:rsidRPr="00840533">
        <w:rPr>
          <w:rStyle w:val="Emphasis"/>
        </w:rPr>
        <w:t>Journal of Sustainable Research and Development, 1</w:t>
      </w:r>
      <w:r w:rsidRPr="00840533">
        <w:t xml:space="preserve">(2), 11–17. </w:t>
      </w:r>
      <w:hyperlink r:id="rId9" w:tgtFrame="_new" w:history="1">
        <w:r w:rsidRPr="00840533">
          <w:rPr>
            <w:rStyle w:val="Hyperlink"/>
            <w:rFonts w:eastAsiaTheme="majorEastAsia"/>
          </w:rPr>
          <w:t>https://doi.org/10.69739/jsrd.v1i2.1033</w:t>
        </w:r>
      </w:hyperlink>
    </w:p>
    <w:p w14:paraId="37A8E11D" w14:textId="60828051" w:rsidR="009E7D93" w:rsidRPr="00840533" w:rsidRDefault="009E7D93" w:rsidP="009E7D93">
      <w:pPr>
        <w:pStyle w:val="NormalWeb"/>
        <w:ind w:left="720" w:hanging="720"/>
        <w:jc w:val="both"/>
      </w:pPr>
      <w:r w:rsidRPr="00840533">
        <w:t xml:space="preserve">Ernesto, O. Z. A. B., Dioselina, O. F. H., Marina, R. R. O., Hector, M., &amp; Miguel. (2021). Bioaccumulation of PCBs and PBDEs in fish from a tropical Lake Chapala, Mexico. </w:t>
      </w:r>
      <w:r w:rsidRPr="00840533">
        <w:rPr>
          <w:rStyle w:val="Emphasis"/>
        </w:rPr>
        <w:t>Toxics</w:t>
      </w:r>
      <w:r w:rsidRPr="00840533">
        <w:t xml:space="preserve">, 9(1). </w:t>
      </w:r>
      <w:hyperlink r:id="rId10" w:history="1">
        <w:r w:rsidR="008014F1" w:rsidRPr="00912986">
          <w:rPr>
            <w:rStyle w:val="Hyperlink"/>
          </w:rPr>
          <w:t>https://doi.org/10.3390/toxics9100241</w:t>
        </w:r>
      </w:hyperlink>
      <w:r w:rsidR="008014F1">
        <w:t xml:space="preserve"> </w:t>
      </w:r>
    </w:p>
    <w:p w14:paraId="64D0E58F" w14:textId="0BE6D21A" w:rsidR="009E7D93" w:rsidRPr="00840533" w:rsidRDefault="009E7D93" w:rsidP="009E7D93">
      <w:pPr>
        <w:pStyle w:val="NormalWeb"/>
        <w:ind w:left="720" w:hanging="720"/>
        <w:jc w:val="both"/>
      </w:pPr>
      <w:proofErr w:type="spellStart"/>
      <w:r w:rsidRPr="00840533">
        <w:t>Eyenubo</w:t>
      </w:r>
      <w:proofErr w:type="spellEnd"/>
      <w:r w:rsidRPr="00840533">
        <w:t xml:space="preserve">, O. B., </w:t>
      </w:r>
      <w:proofErr w:type="spellStart"/>
      <w:r w:rsidRPr="00840533">
        <w:t>Peretomode</w:t>
      </w:r>
      <w:proofErr w:type="spellEnd"/>
      <w:r w:rsidRPr="00840533">
        <w:t xml:space="preserve">, V. O., Egharevba, F., Osakwe, S. A., &amp; </w:t>
      </w:r>
      <w:proofErr w:type="spellStart"/>
      <w:r w:rsidRPr="00840533">
        <w:t>Avwioro</w:t>
      </w:r>
      <w:proofErr w:type="spellEnd"/>
      <w:r w:rsidRPr="00840533">
        <w:t xml:space="preserve">, O. G. (2024). Polychlorinated biphenyls (PCBs) in sediments and fish from dredged tributaries and creeks of River </w:t>
      </w:r>
      <w:proofErr w:type="spellStart"/>
      <w:r w:rsidRPr="00840533">
        <w:t>Ethiope</w:t>
      </w:r>
      <w:proofErr w:type="spellEnd"/>
      <w:r w:rsidRPr="00840533">
        <w:t xml:space="preserve">, South-South Nigeria: Sources, risk assessment and bioaccumulation. </w:t>
      </w:r>
      <w:r w:rsidRPr="00840533">
        <w:rPr>
          <w:rStyle w:val="Emphasis"/>
        </w:rPr>
        <w:t>Journal of the Nigerian Society of Physical Science</w:t>
      </w:r>
      <w:r w:rsidRPr="00840533">
        <w:t>, 6, 1951.</w:t>
      </w:r>
      <w:r w:rsidR="008014F1" w:rsidRPr="008014F1">
        <w:t xml:space="preserve"> </w:t>
      </w:r>
      <w:hyperlink r:id="rId11" w:history="1">
        <w:r w:rsidR="008014F1" w:rsidRPr="00912986">
          <w:rPr>
            <w:rStyle w:val="Hyperlink"/>
          </w:rPr>
          <w:t>https://doi.org/10.46481/jnsps.2024.1951</w:t>
        </w:r>
      </w:hyperlink>
      <w:r w:rsidR="008014F1">
        <w:t xml:space="preserve"> </w:t>
      </w:r>
    </w:p>
    <w:p w14:paraId="3D03787D" w14:textId="77777777" w:rsidR="009E7D93" w:rsidRPr="00840533" w:rsidRDefault="009E7D93" w:rsidP="009E7D93">
      <w:pPr>
        <w:pStyle w:val="NormalWeb"/>
        <w:ind w:left="720" w:hanging="720"/>
        <w:jc w:val="both"/>
      </w:pPr>
      <w:r w:rsidRPr="00840533">
        <w:t xml:space="preserve">IARC (International Agency for Research on Cancer). (2015). </w:t>
      </w:r>
      <w:r w:rsidRPr="00840533">
        <w:rPr>
          <w:rStyle w:val="Emphasis"/>
        </w:rPr>
        <w:t>Agents Classified by the IARC Monographs, Volumes 1–112.</w:t>
      </w:r>
      <w:r w:rsidRPr="00840533">
        <w:t xml:space="preserve"> </w:t>
      </w:r>
      <w:hyperlink r:id="rId12" w:tgtFrame="_new" w:history="1">
        <w:r w:rsidRPr="00840533">
          <w:rPr>
            <w:rStyle w:val="Hyperlink"/>
          </w:rPr>
          <w:t>http://monographs.iarc.fr/ENG/Classification/ClassificationsAlphaOrder</w:t>
        </w:r>
      </w:hyperlink>
    </w:p>
    <w:p w14:paraId="49322F92" w14:textId="77777777" w:rsidR="009E7D93" w:rsidRPr="00840533" w:rsidRDefault="009E7D93" w:rsidP="009E7D93">
      <w:pPr>
        <w:pStyle w:val="NormalWeb"/>
        <w:ind w:left="720" w:hanging="720"/>
        <w:jc w:val="both"/>
      </w:pPr>
      <w:r w:rsidRPr="00840533">
        <w:t xml:space="preserve">Ibe, U. (2023). Challenges in environmental remediation in complex regions: Case study of the Niger Delta. </w:t>
      </w:r>
      <w:r w:rsidRPr="00840533">
        <w:rPr>
          <w:rStyle w:val="Emphasis"/>
        </w:rPr>
        <w:t>Journal of Toxic Substance Management</w:t>
      </w:r>
      <w:r w:rsidRPr="00840533">
        <w:t>, 12(3), 204–219.</w:t>
      </w:r>
    </w:p>
    <w:p w14:paraId="2557DDEA" w14:textId="77777777" w:rsidR="009E7D93" w:rsidRPr="00840533" w:rsidRDefault="009E7D93" w:rsidP="009E7D93">
      <w:pPr>
        <w:pStyle w:val="NormalWeb"/>
        <w:ind w:left="720" w:hanging="720"/>
        <w:jc w:val="both"/>
      </w:pPr>
      <w:r w:rsidRPr="00840533">
        <w:t xml:space="preserve">John, E. E., Emah, O. A., Ifiok, O. E., </w:t>
      </w:r>
      <w:proofErr w:type="spellStart"/>
      <w:r w:rsidRPr="00840533">
        <w:t>Okpoji</w:t>
      </w:r>
      <w:proofErr w:type="spellEnd"/>
      <w:r w:rsidRPr="00840533">
        <w:t xml:space="preserve">, A. U., Iyam, O. E., Henderson, O. O., Akinola, A. E., Gloria, N. A., &amp; Charles, N. O. (2025). Health risk implications of polycyclic aromatic hydrocarbons in smoked and dried fish consumed in Nigeria. </w:t>
      </w:r>
      <w:r w:rsidRPr="00840533">
        <w:rPr>
          <w:rStyle w:val="Emphasis"/>
        </w:rPr>
        <w:t>Journal of Medical Science, Biology, and Chemistry, 2</w:t>
      </w:r>
      <w:r w:rsidRPr="00840533">
        <w:t xml:space="preserve">(2), 192–199. </w:t>
      </w:r>
      <w:hyperlink r:id="rId13" w:tgtFrame="_new" w:history="1">
        <w:r w:rsidRPr="00840533">
          <w:rPr>
            <w:rStyle w:val="Hyperlink"/>
            <w:rFonts w:eastAsiaTheme="majorEastAsia"/>
          </w:rPr>
          <w:t>https://doi.org/10.69739/jmsbc.v2i2.1045</w:t>
        </w:r>
      </w:hyperlink>
    </w:p>
    <w:p w14:paraId="36E926BC" w14:textId="4CFF5832" w:rsidR="009E7D93" w:rsidRPr="00840533" w:rsidRDefault="009E7D93" w:rsidP="009E7D93">
      <w:pPr>
        <w:pStyle w:val="NormalWeb"/>
        <w:ind w:left="720" w:hanging="720"/>
        <w:jc w:val="both"/>
      </w:pPr>
      <w:r w:rsidRPr="00840533">
        <w:t xml:space="preserve">Kallenborn, R., Hung, H., &amp; </w:t>
      </w:r>
      <w:proofErr w:type="spellStart"/>
      <w:r w:rsidRPr="00840533">
        <w:t>Brorström-Lundén</w:t>
      </w:r>
      <w:proofErr w:type="spellEnd"/>
      <w:r w:rsidRPr="00840533">
        <w:t xml:space="preserve">, E. (2015). Atmospheric long-range transport of persistent organic pollutants (POPs) into polar regions. In </w:t>
      </w:r>
      <w:r w:rsidRPr="00840533">
        <w:rPr>
          <w:rStyle w:val="Emphasis"/>
        </w:rPr>
        <w:t>Comprehensive Analytical Chemistry</w:t>
      </w:r>
      <w:r w:rsidRPr="00840533">
        <w:t xml:space="preserve"> (Vol. 67, p. 411). Elsevier.</w:t>
      </w:r>
      <w:r w:rsidR="00CC2F27" w:rsidRPr="00CC2F27">
        <w:t xml:space="preserve"> </w:t>
      </w:r>
      <w:hyperlink r:id="rId14" w:history="1">
        <w:r w:rsidR="00CC2F27" w:rsidRPr="00912986">
          <w:rPr>
            <w:rStyle w:val="Hyperlink"/>
          </w:rPr>
          <w:t>https://doi.org/10.1016/B978-0-444-63299-9.00013-2</w:t>
        </w:r>
      </w:hyperlink>
      <w:r w:rsidR="00CC2F27">
        <w:t xml:space="preserve"> </w:t>
      </w:r>
    </w:p>
    <w:p w14:paraId="297FD423" w14:textId="77777777" w:rsidR="009E7D93" w:rsidRPr="00840533" w:rsidRDefault="009E7D93" w:rsidP="009E7D93">
      <w:pPr>
        <w:pStyle w:val="NormalWeb"/>
        <w:ind w:left="720" w:hanging="720"/>
        <w:jc w:val="both"/>
      </w:pPr>
      <w:r w:rsidRPr="00840533">
        <w:t xml:space="preserve">Kwok, F. (2023). Enhancing global cooperation in environmental governance. </w:t>
      </w:r>
      <w:r w:rsidRPr="00840533">
        <w:rPr>
          <w:rStyle w:val="Emphasis"/>
        </w:rPr>
        <w:t>Global Environmental Politics</w:t>
      </w:r>
      <w:r w:rsidRPr="00840533">
        <w:t>, 21(1), 77–92.</w:t>
      </w:r>
    </w:p>
    <w:p w14:paraId="27FA1463" w14:textId="77777777" w:rsidR="009E7D93" w:rsidRPr="00840533" w:rsidRDefault="009E7D93" w:rsidP="009E7D93">
      <w:pPr>
        <w:pStyle w:val="NormalWeb"/>
        <w:ind w:left="720" w:hanging="720"/>
        <w:jc w:val="both"/>
      </w:pPr>
      <w:r w:rsidRPr="00840533">
        <w:t xml:space="preserve">Lawal, A. (2023). Management strategies for PCBs in the Niger Delta: Achievements and challenges. </w:t>
      </w:r>
      <w:r w:rsidRPr="00840533">
        <w:rPr>
          <w:rStyle w:val="Emphasis"/>
        </w:rPr>
        <w:t>Environmental Management Review</w:t>
      </w:r>
      <w:r w:rsidRPr="00840533">
        <w:t>, 29(1), 45–59.</w:t>
      </w:r>
    </w:p>
    <w:p w14:paraId="3FECF35B" w14:textId="77777777" w:rsidR="009E7D93" w:rsidRPr="00840533" w:rsidRDefault="009E7D93" w:rsidP="009E7D93">
      <w:pPr>
        <w:pStyle w:val="NormalWeb"/>
        <w:ind w:left="720" w:hanging="720"/>
        <w:jc w:val="both"/>
      </w:pPr>
      <w:proofErr w:type="spellStart"/>
      <w:r w:rsidRPr="00840533">
        <w:t>Oghenekohwiroro</w:t>
      </w:r>
      <w:proofErr w:type="spellEnd"/>
      <w:r w:rsidRPr="00840533">
        <w:t xml:space="preserve">, E., &amp; Osaro, I. (2017). Assessment of the levels of polychlorinated biphenyls (PCBs) in </w:t>
      </w:r>
      <w:proofErr w:type="spellStart"/>
      <w:r w:rsidRPr="00840533">
        <w:t>Oroodo</w:t>
      </w:r>
      <w:proofErr w:type="spellEnd"/>
      <w:r w:rsidRPr="00840533">
        <w:t xml:space="preserve"> River sediment, </w:t>
      </w:r>
      <w:proofErr w:type="spellStart"/>
      <w:r w:rsidRPr="00840533">
        <w:t>Agbor</w:t>
      </w:r>
      <w:proofErr w:type="spellEnd"/>
      <w:r w:rsidRPr="00840533">
        <w:t xml:space="preserve">, Delta State, Nigeria. </w:t>
      </w:r>
      <w:r w:rsidRPr="00840533">
        <w:rPr>
          <w:rStyle w:val="Emphasis"/>
        </w:rPr>
        <w:t>Annals of Chemistry</w:t>
      </w:r>
      <w:r w:rsidRPr="00840533">
        <w:t>, 28, 25. https://intapi.sciendo.com/pdf/10.1515/auoc-2017-0005</w:t>
      </w:r>
    </w:p>
    <w:p w14:paraId="0040B84A" w14:textId="77777777" w:rsidR="009E7D93" w:rsidRPr="00840533" w:rsidRDefault="009E7D93" w:rsidP="009E7D93">
      <w:pPr>
        <w:pStyle w:val="NormalWeb"/>
        <w:ind w:left="720" w:hanging="720"/>
        <w:jc w:val="both"/>
      </w:pPr>
      <w:r w:rsidRPr="00840533">
        <w:t xml:space="preserve">Okagbare, U. V., Umueni, U. E., Ekpe, J. E., Etukudo, N. J., </w:t>
      </w:r>
      <w:proofErr w:type="spellStart"/>
      <w:r w:rsidRPr="00840533">
        <w:t>Okpoji</w:t>
      </w:r>
      <w:proofErr w:type="spellEnd"/>
      <w:r w:rsidRPr="00840533">
        <w:t xml:space="preserve">, A. U., Okoye, P. I., </w:t>
      </w:r>
      <w:proofErr w:type="spellStart"/>
      <w:r w:rsidRPr="00840533">
        <w:t>Ekwere</w:t>
      </w:r>
      <w:proofErr w:type="spellEnd"/>
      <w:r w:rsidRPr="00840533">
        <w:t xml:space="preserve">, I. O., </w:t>
      </w:r>
      <w:proofErr w:type="spellStart"/>
      <w:r w:rsidRPr="00840533">
        <w:t>Etesin</w:t>
      </w:r>
      <w:proofErr w:type="spellEnd"/>
      <w:r w:rsidRPr="00840533">
        <w:t xml:space="preserve">, M. U., </w:t>
      </w:r>
      <w:proofErr w:type="spellStart"/>
      <w:r w:rsidRPr="00840533">
        <w:t>Okpanachi</w:t>
      </w:r>
      <w:proofErr w:type="spellEnd"/>
      <w:r w:rsidRPr="00840533">
        <w:t xml:space="preserve">, C. B., &amp; Okafor, C. A. (2025). Geophysical and </w:t>
      </w:r>
      <w:proofErr w:type="spellStart"/>
      <w:r w:rsidRPr="00840533">
        <w:t>hydrochemical</w:t>
      </w:r>
      <w:proofErr w:type="spellEnd"/>
      <w:r w:rsidRPr="00840533">
        <w:t xml:space="preserve"> assessment of groundwater vulnerability to oil pollution in Yenagoa, Bayelsa State, Nigeria. </w:t>
      </w:r>
      <w:r w:rsidRPr="00840533">
        <w:rPr>
          <w:rStyle w:val="Emphasis"/>
        </w:rPr>
        <w:t>Journal of Environment, Climate, and Ecology, 2</w:t>
      </w:r>
      <w:r w:rsidRPr="00840533">
        <w:t xml:space="preserve">(2), 138–146. </w:t>
      </w:r>
      <w:hyperlink r:id="rId15" w:tgtFrame="_new" w:history="1">
        <w:r w:rsidRPr="00840533">
          <w:rPr>
            <w:rStyle w:val="Hyperlink"/>
            <w:rFonts w:eastAsiaTheme="majorEastAsia"/>
          </w:rPr>
          <w:t>https://doi.org/10.69739/jece.v2i2.1078</w:t>
        </w:r>
      </w:hyperlink>
    </w:p>
    <w:p w14:paraId="4DEA9446" w14:textId="77777777" w:rsidR="009E7D93" w:rsidRPr="00840533" w:rsidRDefault="009E7D93" w:rsidP="009E7D93">
      <w:pPr>
        <w:pStyle w:val="NormalWeb"/>
        <w:ind w:left="720" w:hanging="720"/>
        <w:jc w:val="both"/>
      </w:pPr>
      <w:proofErr w:type="spellStart"/>
      <w:r w:rsidRPr="00840533">
        <w:lastRenderedPageBreak/>
        <w:t>Okpoji</w:t>
      </w:r>
      <w:proofErr w:type="spellEnd"/>
      <w:r w:rsidRPr="00840533">
        <w:t xml:space="preserve">, A. U., </w:t>
      </w:r>
      <w:proofErr w:type="spellStart"/>
      <w:r w:rsidRPr="00840533">
        <w:t>Anarado</w:t>
      </w:r>
      <w:proofErr w:type="spellEnd"/>
      <w:r w:rsidRPr="00840533">
        <w:t xml:space="preserve">, C. O., </w:t>
      </w:r>
      <w:proofErr w:type="spellStart"/>
      <w:r w:rsidRPr="00840533">
        <w:t>Mmuta</w:t>
      </w:r>
      <w:proofErr w:type="spellEnd"/>
      <w:r w:rsidRPr="00840533">
        <w:t xml:space="preserve">, E. C., </w:t>
      </w:r>
      <w:proofErr w:type="spellStart"/>
      <w:r w:rsidRPr="00840533">
        <w:t>Ekwere</w:t>
      </w:r>
      <w:proofErr w:type="spellEnd"/>
      <w:r w:rsidRPr="00840533">
        <w:t xml:space="preserve">, I. O., </w:t>
      </w:r>
      <w:proofErr w:type="spellStart"/>
      <w:r w:rsidRPr="00840533">
        <w:t>Alaekwe</w:t>
      </w:r>
      <w:proofErr w:type="spellEnd"/>
      <w:r w:rsidRPr="00840533">
        <w:t xml:space="preserve">, I. O., </w:t>
      </w:r>
      <w:proofErr w:type="spellStart"/>
      <w:r w:rsidRPr="00840533">
        <w:t>Odibo</w:t>
      </w:r>
      <w:proofErr w:type="spellEnd"/>
      <w:r w:rsidRPr="00840533">
        <w:t xml:space="preserve">, U. E., </w:t>
      </w:r>
      <w:proofErr w:type="spellStart"/>
      <w:r w:rsidRPr="00840533">
        <w:t>Igwegbe</w:t>
      </w:r>
      <w:proofErr w:type="spellEnd"/>
      <w:r w:rsidRPr="00840533">
        <w:t xml:space="preserve">, K. C., </w:t>
      </w:r>
      <w:proofErr w:type="spellStart"/>
      <w:r w:rsidRPr="00840533">
        <w:t>Eboj-Ajoku</w:t>
      </w:r>
      <w:proofErr w:type="spellEnd"/>
      <w:r w:rsidRPr="00840533">
        <w:t xml:space="preserve">, I. O., &amp; </w:t>
      </w:r>
      <w:proofErr w:type="spellStart"/>
      <w:r w:rsidRPr="00840533">
        <w:t>Obunezi</w:t>
      </w:r>
      <w:proofErr w:type="spellEnd"/>
      <w:r w:rsidRPr="00840533">
        <w:t xml:space="preserve">, O. C. (2025). Toxicological evaluation of Pb, Cd, As, and Hg in blue crab from oil-polluted creeks in the Niger Delta. </w:t>
      </w:r>
      <w:r w:rsidRPr="00840533">
        <w:rPr>
          <w:rStyle w:val="Emphasis"/>
        </w:rPr>
        <w:t>Journal of Life Science and Public Health, 1</w:t>
      </w:r>
      <w:r w:rsidRPr="00840533">
        <w:t xml:space="preserve">(1), 24–31. </w:t>
      </w:r>
      <w:hyperlink r:id="rId16" w:tgtFrame="_new" w:history="1">
        <w:r w:rsidRPr="00840533">
          <w:rPr>
            <w:rStyle w:val="Hyperlink"/>
            <w:rFonts w:eastAsiaTheme="majorEastAsia"/>
          </w:rPr>
          <w:t>https://doi.org/10.69739/jlsph.v1i1.879</w:t>
        </w:r>
      </w:hyperlink>
    </w:p>
    <w:p w14:paraId="3B470D69"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Chinyere, U. E., </w:t>
      </w:r>
      <w:proofErr w:type="spellStart"/>
      <w:r w:rsidRPr="00840533">
        <w:t>Nwokoye</w:t>
      </w:r>
      <w:proofErr w:type="spellEnd"/>
      <w:r w:rsidRPr="00840533">
        <w:t xml:space="preserve">, J. N., </w:t>
      </w:r>
      <w:proofErr w:type="spellStart"/>
      <w:r w:rsidRPr="00840533">
        <w:t>Ezekwuemen</w:t>
      </w:r>
      <w:proofErr w:type="spellEnd"/>
      <w:r w:rsidRPr="00840533">
        <w:t xml:space="preserve">, O. I., </w:t>
      </w:r>
      <w:proofErr w:type="spellStart"/>
      <w:r w:rsidRPr="00840533">
        <w:t>Alaekwe</w:t>
      </w:r>
      <w:proofErr w:type="spellEnd"/>
      <w:r w:rsidRPr="00840533">
        <w:t xml:space="preserve">, I. O., </w:t>
      </w:r>
      <w:proofErr w:type="spellStart"/>
      <w:r w:rsidRPr="00840533">
        <w:t>Odidika</w:t>
      </w:r>
      <w:proofErr w:type="spellEnd"/>
      <w:r w:rsidRPr="00840533">
        <w:t xml:space="preserve">, C. C., </w:t>
      </w:r>
      <w:proofErr w:type="spellStart"/>
      <w:r w:rsidRPr="00840533">
        <w:t>Owughara</w:t>
      </w:r>
      <w:proofErr w:type="spellEnd"/>
      <w:r w:rsidRPr="00840533">
        <w:t xml:space="preserve">, C. N., Enyi, C. M., &amp; Kolawole, O. O. (2025). Environmental assessment of heavy metals and hydrocarbon pollution in surface waters of oil-bearing communities in Andoni, Rivers State, Nigeria. </w:t>
      </w:r>
      <w:r w:rsidRPr="00840533">
        <w:rPr>
          <w:rStyle w:val="Emphasis"/>
        </w:rPr>
        <w:t>International Journal of Modern Science and Research Technology, 3</w:t>
      </w:r>
      <w:r w:rsidRPr="00840533">
        <w:t>(8), 22–30.</w:t>
      </w:r>
    </w:p>
    <w:p w14:paraId="2FDA3E0D" w14:textId="61F7910D" w:rsidR="009E7D93" w:rsidRPr="00840533" w:rsidRDefault="009E7D93" w:rsidP="009E7D93">
      <w:pPr>
        <w:pStyle w:val="NormalWeb"/>
        <w:ind w:left="720" w:hanging="720"/>
        <w:jc w:val="both"/>
      </w:pPr>
      <w:proofErr w:type="spellStart"/>
      <w:r w:rsidRPr="00840533">
        <w:t>Okpoji</w:t>
      </w:r>
      <w:proofErr w:type="spellEnd"/>
      <w:r w:rsidRPr="00840533">
        <w:t xml:space="preserve">, A. U., Eboh-Ajoku, I. O., </w:t>
      </w:r>
      <w:proofErr w:type="spellStart"/>
      <w:r w:rsidRPr="00840533">
        <w:t>Mmuta</w:t>
      </w:r>
      <w:proofErr w:type="spellEnd"/>
      <w:r w:rsidRPr="00840533">
        <w:t xml:space="preserve">, E. C., Ndubuisi, J. O., </w:t>
      </w:r>
      <w:proofErr w:type="spellStart"/>
      <w:r w:rsidRPr="00840533">
        <w:t>Alaekwe</w:t>
      </w:r>
      <w:proofErr w:type="spellEnd"/>
      <w:r w:rsidRPr="00840533">
        <w:t xml:space="preserve">, I. O., </w:t>
      </w:r>
      <w:proofErr w:type="spellStart"/>
      <w:r w:rsidRPr="00840533">
        <w:t>Odibo</w:t>
      </w:r>
      <w:proofErr w:type="spellEnd"/>
      <w:r w:rsidRPr="00840533">
        <w:t xml:space="preserve">, U. E., </w:t>
      </w:r>
      <w:proofErr w:type="spellStart"/>
      <w:r w:rsidRPr="00840533">
        <w:t>Nwoka</w:t>
      </w:r>
      <w:proofErr w:type="spellEnd"/>
      <w:r w:rsidRPr="00840533">
        <w:t xml:space="preserve">, N. G., Okafor, C. A., &amp; </w:t>
      </w:r>
      <w:proofErr w:type="spellStart"/>
      <w:r w:rsidRPr="00840533">
        <w:t>Obunezi</w:t>
      </w:r>
      <w:proofErr w:type="spellEnd"/>
      <w:r w:rsidRPr="00840533">
        <w:t xml:space="preserve">, O. C. (2025). Integrated environmental risk assessment of BTEX and PAHs in water and sediment samples from the Bonny River, Nigeria. </w:t>
      </w:r>
      <w:r w:rsidRPr="00840533">
        <w:rPr>
          <w:rStyle w:val="Emphasis"/>
        </w:rPr>
        <w:t>ISA Journal of Multidisciplinary (ISAJM), 2</w:t>
      </w:r>
      <w:r w:rsidRPr="00840533">
        <w:t>(4), 14–21.</w:t>
      </w:r>
      <w:r w:rsidR="00F3438C" w:rsidRPr="00F3438C">
        <w:t xml:space="preserve"> </w:t>
      </w:r>
      <w:r w:rsidR="00F3438C">
        <w:t xml:space="preserve">10.5281/zenodo.16921896 </w:t>
      </w:r>
    </w:p>
    <w:p w14:paraId="628B4872"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w:t>
      </w:r>
      <w:proofErr w:type="spellStart"/>
      <w:r w:rsidRPr="00840533">
        <w:t>Ekwere</w:t>
      </w:r>
      <w:proofErr w:type="spellEnd"/>
      <w:r w:rsidRPr="00840533">
        <w:t xml:space="preserve">, I. O., </w:t>
      </w:r>
      <w:proofErr w:type="spellStart"/>
      <w:r w:rsidRPr="00840533">
        <w:t>Igwegbe</w:t>
      </w:r>
      <w:proofErr w:type="spellEnd"/>
      <w:r w:rsidRPr="00840533">
        <w:t xml:space="preserve">, K. C., </w:t>
      </w:r>
      <w:proofErr w:type="spellStart"/>
      <w:r w:rsidRPr="00840533">
        <w:t>Anarado</w:t>
      </w:r>
      <w:proofErr w:type="spellEnd"/>
      <w:r w:rsidRPr="00840533">
        <w:t xml:space="preserve">, C. J. O., Ogbonna, C., </w:t>
      </w:r>
      <w:proofErr w:type="spellStart"/>
      <w:r w:rsidRPr="00840533">
        <w:t>Ewuola</w:t>
      </w:r>
      <w:proofErr w:type="spellEnd"/>
      <w:r w:rsidRPr="00840533">
        <w:t xml:space="preserve">, A. A., </w:t>
      </w:r>
      <w:proofErr w:type="spellStart"/>
      <w:r w:rsidRPr="00840533">
        <w:t>Odibo</w:t>
      </w:r>
      <w:proofErr w:type="spellEnd"/>
      <w:r w:rsidRPr="00840533">
        <w:t xml:space="preserve">, U. E., &amp; Garuba, M. H. (2025). Volatile organic compounds from gas flaring and their atmospheric implications in the Niger Delta. </w:t>
      </w:r>
      <w:r w:rsidRPr="00840533">
        <w:rPr>
          <w:rStyle w:val="Emphasis"/>
        </w:rPr>
        <w:t>Journal of Life Science and Public Health, 1</w:t>
      </w:r>
      <w:r w:rsidRPr="00840533">
        <w:t xml:space="preserve">(1), 32–39. </w:t>
      </w:r>
      <w:hyperlink r:id="rId17" w:tgtFrame="_new" w:history="1">
        <w:r w:rsidRPr="00840533">
          <w:rPr>
            <w:rStyle w:val="Hyperlink"/>
            <w:rFonts w:eastAsiaTheme="majorEastAsia"/>
          </w:rPr>
          <w:t>https://doi.org/10.69739/jlsph.v1i1.962</w:t>
        </w:r>
      </w:hyperlink>
    </w:p>
    <w:p w14:paraId="14672172"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w:t>
      </w:r>
      <w:proofErr w:type="spellStart"/>
      <w:r w:rsidRPr="00840533">
        <w:t>Etesin</w:t>
      </w:r>
      <w:proofErr w:type="spellEnd"/>
      <w:r w:rsidRPr="00840533">
        <w:t xml:space="preserve">, M. U., </w:t>
      </w:r>
      <w:proofErr w:type="spellStart"/>
      <w:r w:rsidRPr="00840533">
        <w:t>Ekwere</w:t>
      </w:r>
      <w:proofErr w:type="spellEnd"/>
      <w:r w:rsidRPr="00840533">
        <w:t xml:space="preserve">, I. O., Martins, N. P., </w:t>
      </w:r>
      <w:proofErr w:type="spellStart"/>
      <w:r w:rsidRPr="00840533">
        <w:t>Okpanachi</w:t>
      </w:r>
      <w:proofErr w:type="spellEnd"/>
      <w:r w:rsidRPr="00840533">
        <w:t xml:space="preserve">, C. B., Adisa, O. J., &amp; Okonkwo, C. C. (2025). Geochemical speciation and ecological risk of heavy metals in estuarine sediments of the Qua </w:t>
      </w:r>
      <w:proofErr w:type="spellStart"/>
      <w:r w:rsidRPr="00840533">
        <w:t>Iboe</w:t>
      </w:r>
      <w:proofErr w:type="spellEnd"/>
      <w:r w:rsidRPr="00840533">
        <w:t xml:space="preserve"> River, Nigeria. </w:t>
      </w:r>
      <w:r w:rsidRPr="00840533">
        <w:rPr>
          <w:rStyle w:val="Emphasis"/>
        </w:rPr>
        <w:t>Asian Journal of Chemical Sciences, 15</w:t>
      </w:r>
      <w:r w:rsidRPr="00840533">
        <w:t xml:space="preserve">(6), 20–31. </w:t>
      </w:r>
      <w:hyperlink r:id="rId18" w:tgtFrame="_new" w:history="1">
        <w:r w:rsidRPr="00840533">
          <w:rPr>
            <w:rStyle w:val="Hyperlink"/>
            <w:rFonts w:eastAsiaTheme="majorEastAsia"/>
          </w:rPr>
          <w:t>https://doi.org/10.9734/ajocs/2025/v15i6402</w:t>
        </w:r>
      </w:hyperlink>
    </w:p>
    <w:p w14:paraId="537AD8B2"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Ndubuisi, J. O., Eboh-Ajoku, I. O., Emem, J. A., </w:t>
      </w:r>
      <w:proofErr w:type="spellStart"/>
      <w:r w:rsidRPr="00840533">
        <w:t>Ekwere</w:t>
      </w:r>
      <w:proofErr w:type="spellEnd"/>
      <w:r w:rsidRPr="00840533">
        <w:t xml:space="preserve">, I. O., </w:t>
      </w:r>
      <w:proofErr w:type="spellStart"/>
      <w:r w:rsidRPr="00840533">
        <w:t>Alaekwe</w:t>
      </w:r>
      <w:proofErr w:type="spellEnd"/>
      <w:r w:rsidRPr="00840533">
        <w:t xml:space="preserve">, I. O., </w:t>
      </w:r>
      <w:proofErr w:type="spellStart"/>
      <w:r w:rsidRPr="00840533">
        <w:t>Odibo</w:t>
      </w:r>
      <w:proofErr w:type="spellEnd"/>
      <w:r w:rsidRPr="00840533">
        <w:t xml:space="preserve">, U. E., </w:t>
      </w:r>
      <w:proofErr w:type="spellStart"/>
      <w:r w:rsidRPr="00840533">
        <w:t>Igwegbe</w:t>
      </w:r>
      <w:proofErr w:type="spellEnd"/>
      <w:r w:rsidRPr="00840533">
        <w:t xml:space="preserve">, K. C., Onoja, C. R., Warder, A. B., &amp; </w:t>
      </w:r>
      <w:proofErr w:type="spellStart"/>
      <w:r w:rsidRPr="00840533">
        <w:t>InyangAbia</w:t>
      </w:r>
      <w:proofErr w:type="spellEnd"/>
      <w:r w:rsidRPr="00840533">
        <w:t xml:space="preserve">, A. J. (2025). Trematode infections and histopathological effects in </w:t>
      </w:r>
      <w:proofErr w:type="spellStart"/>
      <w:r w:rsidRPr="00840533">
        <w:rPr>
          <w:rStyle w:val="Emphasis"/>
        </w:rPr>
        <w:t>Chrysichthys</w:t>
      </w:r>
      <w:proofErr w:type="spellEnd"/>
      <w:r w:rsidRPr="00840533">
        <w:rPr>
          <w:rStyle w:val="Emphasis"/>
        </w:rPr>
        <w:t xml:space="preserve"> </w:t>
      </w:r>
      <w:proofErr w:type="spellStart"/>
      <w:r w:rsidRPr="00840533">
        <w:rPr>
          <w:rStyle w:val="Emphasis"/>
        </w:rPr>
        <w:t>nigrodigitatus</w:t>
      </w:r>
      <w:proofErr w:type="spellEnd"/>
      <w:r w:rsidRPr="00840533">
        <w:t xml:space="preserve"> from the polluted Andoni River, Niger Delta, Nigeria. </w:t>
      </w:r>
      <w:r w:rsidRPr="00840533">
        <w:rPr>
          <w:rStyle w:val="Emphasis"/>
        </w:rPr>
        <w:t>Journal of Agriculture, Aquaculture, and Animal Science, 2</w:t>
      </w:r>
      <w:r w:rsidRPr="00840533">
        <w:t xml:space="preserve">(2), 66–72. </w:t>
      </w:r>
      <w:hyperlink r:id="rId19" w:tgtFrame="_new" w:history="1">
        <w:r w:rsidRPr="00840533">
          <w:rPr>
            <w:rStyle w:val="Hyperlink"/>
            <w:rFonts w:eastAsiaTheme="majorEastAsia"/>
          </w:rPr>
          <w:t>https://doi.org/10.69739/jaaas.v2i2.882</w:t>
        </w:r>
      </w:hyperlink>
    </w:p>
    <w:p w14:paraId="2AD80D0A"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w:t>
      </w:r>
      <w:proofErr w:type="spellStart"/>
      <w:r w:rsidRPr="00840533">
        <w:t>Ogbaji</w:t>
      </w:r>
      <w:proofErr w:type="spellEnd"/>
      <w:r w:rsidRPr="00840533">
        <w:t xml:space="preserve">, H. O., Hassan, D. H., Orji-Azuka, L. N., Rasheed, H. O., Ohaturuonye, S. O., Ejeka, J. C., </w:t>
      </w:r>
      <w:proofErr w:type="spellStart"/>
      <w:r w:rsidRPr="00840533">
        <w:t>Okpanachi</w:t>
      </w:r>
      <w:proofErr w:type="spellEnd"/>
      <w:r w:rsidRPr="00840533">
        <w:t xml:space="preserve">, C. B., &amp; </w:t>
      </w:r>
      <w:proofErr w:type="spellStart"/>
      <w:r w:rsidRPr="00840533">
        <w:t>Ekwere</w:t>
      </w:r>
      <w:proofErr w:type="spellEnd"/>
      <w:r w:rsidRPr="00840533">
        <w:t xml:space="preserve">, I. O. (2025). Physico-chemical transport of volatile organic compounds (VOCs) from gas flaring into surface waters of </w:t>
      </w:r>
      <w:proofErr w:type="spellStart"/>
      <w:r w:rsidRPr="00840533">
        <w:t>Ogoniland</w:t>
      </w:r>
      <w:proofErr w:type="spellEnd"/>
      <w:r w:rsidRPr="00840533">
        <w:t xml:space="preserve">, Rivers State, Nigeria. </w:t>
      </w:r>
      <w:r w:rsidRPr="00840533">
        <w:rPr>
          <w:rStyle w:val="Emphasis"/>
        </w:rPr>
        <w:t>Asian Journal of Physical and Chemical Sciences, 13</w:t>
      </w:r>
      <w:r w:rsidRPr="00840533">
        <w:t xml:space="preserve">(4), 151–159. </w:t>
      </w:r>
      <w:hyperlink r:id="rId20" w:tgtFrame="_new" w:history="1">
        <w:r w:rsidRPr="00840533">
          <w:rPr>
            <w:rStyle w:val="Hyperlink"/>
            <w:rFonts w:eastAsiaTheme="majorEastAsia"/>
          </w:rPr>
          <w:t>https://doi.org/10.9734/ajopacs/2025/v13i4271</w:t>
        </w:r>
      </w:hyperlink>
    </w:p>
    <w:p w14:paraId="3D791372" w14:textId="77777777" w:rsidR="009E7D93" w:rsidRPr="00840533" w:rsidRDefault="009E7D93" w:rsidP="009E7D93">
      <w:pPr>
        <w:pStyle w:val="NormalWeb"/>
        <w:ind w:left="720" w:hanging="720"/>
        <w:jc w:val="both"/>
      </w:pPr>
      <w:proofErr w:type="spellStart"/>
      <w:r w:rsidRPr="00840533">
        <w:t>Okpoji</w:t>
      </w:r>
      <w:proofErr w:type="spellEnd"/>
      <w:r w:rsidRPr="00840533">
        <w:t xml:space="preserve">, A. U., </w:t>
      </w:r>
      <w:proofErr w:type="spellStart"/>
      <w:r w:rsidRPr="00840533">
        <w:t>Ugwanyi</w:t>
      </w:r>
      <w:proofErr w:type="spellEnd"/>
      <w:r w:rsidRPr="00840533">
        <w:t xml:space="preserve">, G. C., </w:t>
      </w:r>
      <w:proofErr w:type="spellStart"/>
      <w:r w:rsidRPr="00840533">
        <w:t>Etesin</w:t>
      </w:r>
      <w:proofErr w:type="spellEnd"/>
      <w:r w:rsidRPr="00840533">
        <w:t xml:space="preserve">, U. M., Ugwuanyi, G. C., </w:t>
      </w:r>
      <w:proofErr w:type="spellStart"/>
      <w:r w:rsidRPr="00840533">
        <w:t>Okpanachi</w:t>
      </w:r>
      <w:proofErr w:type="spellEnd"/>
      <w:r w:rsidRPr="00840533">
        <w:t xml:space="preserve">, C. B., </w:t>
      </w:r>
      <w:proofErr w:type="spellStart"/>
      <w:r w:rsidRPr="00840533">
        <w:t>Ewuola</w:t>
      </w:r>
      <w:proofErr w:type="spellEnd"/>
      <w:r w:rsidRPr="00840533">
        <w:t xml:space="preserve">, A. A., Mojisola, K. M., &amp; </w:t>
      </w:r>
      <w:proofErr w:type="spellStart"/>
      <w:r w:rsidRPr="00840533">
        <w:t>Ezekwueme</w:t>
      </w:r>
      <w:proofErr w:type="spellEnd"/>
      <w:r w:rsidRPr="00840533">
        <w:t xml:space="preserve">, O. I. (2025). Solar-enhanced photocatalytic degradation of pharmaceutical residues in wastewater using Fe-, Cu-, and Zn-doped </w:t>
      </w:r>
      <w:proofErr w:type="spellStart"/>
      <w:r w:rsidRPr="00840533">
        <w:t>TiO</w:t>
      </w:r>
      <w:proofErr w:type="spellEnd"/>
      <w:r w:rsidRPr="00840533">
        <w:t xml:space="preserve">₂ nanomaterials. </w:t>
      </w:r>
      <w:r w:rsidRPr="00840533">
        <w:rPr>
          <w:rStyle w:val="Emphasis"/>
        </w:rPr>
        <w:t>Journal of Environment, Climate, and Ecology, 2</w:t>
      </w:r>
      <w:r w:rsidRPr="00840533">
        <w:t xml:space="preserve">(2), 56–62. </w:t>
      </w:r>
      <w:hyperlink r:id="rId21" w:tgtFrame="_new" w:history="1">
        <w:r w:rsidRPr="00840533">
          <w:rPr>
            <w:rStyle w:val="Hyperlink"/>
            <w:rFonts w:eastAsiaTheme="majorEastAsia"/>
          </w:rPr>
          <w:t>https://doi.org/10.69739/jece.v2i2.961</w:t>
        </w:r>
      </w:hyperlink>
    </w:p>
    <w:p w14:paraId="68EBDBF2" w14:textId="77777777" w:rsidR="009E7D93" w:rsidRPr="00840533" w:rsidRDefault="009E7D93" w:rsidP="009E7D93">
      <w:pPr>
        <w:pStyle w:val="NormalWeb"/>
        <w:ind w:left="720" w:hanging="720"/>
        <w:jc w:val="both"/>
      </w:pPr>
      <w:r w:rsidRPr="00840533">
        <w:t xml:space="preserve">Onoja, C. R., Ogbaji, H. O., Edodi, I. O., </w:t>
      </w:r>
      <w:proofErr w:type="spellStart"/>
      <w:r w:rsidRPr="00840533">
        <w:t>Mmuta</w:t>
      </w:r>
      <w:proofErr w:type="spellEnd"/>
      <w:r w:rsidRPr="00840533">
        <w:t xml:space="preserve">, E. C., </w:t>
      </w:r>
      <w:proofErr w:type="spellStart"/>
      <w:r w:rsidRPr="00840533">
        <w:t>Igwegbe</w:t>
      </w:r>
      <w:proofErr w:type="spellEnd"/>
      <w:r w:rsidRPr="00840533">
        <w:t xml:space="preserve">, K. C., Ogini, O. R., </w:t>
      </w:r>
      <w:proofErr w:type="spellStart"/>
      <w:r w:rsidRPr="00840533">
        <w:t>Odibo</w:t>
      </w:r>
      <w:proofErr w:type="spellEnd"/>
      <w:r w:rsidRPr="00840533">
        <w:t xml:space="preserve">, U. E., </w:t>
      </w:r>
      <w:proofErr w:type="spellStart"/>
      <w:r w:rsidRPr="00840533">
        <w:t>Ewuola</w:t>
      </w:r>
      <w:proofErr w:type="spellEnd"/>
      <w:r w:rsidRPr="00840533">
        <w:t xml:space="preserve">, A. A., Mahmoud, A. B., &amp; </w:t>
      </w:r>
      <w:proofErr w:type="spellStart"/>
      <w:r w:rsidRPr="00840533">
        <w:t>Okpoji</w:t>
      </w:r>
      <w:proofErr w:type="spellEnd"/>
      <w:r w:rsidRPr="00840533">
        <w:t>, A. U. (2025). Heavy metal contamination and health risk assessment of smoked-dried fish sold in Eke-</w:t>
      </w:r>
      <w:proofErr w:type="spellStart"/>
      <w:r w:rsidRPr="00840533">
        <w:t>Awka</w:t>
      </w:r>
      <w:proofErr w:type="spellEnd"/>
      <w:r w:rsidRPr="00840533">
        <w:t xml:space="preserve"> market, Anambra State, Nigeria. </w:t>
      </w:r>
      <w:r w:rsidRPr="00840533">
        <w:rPr>
          <w:rStyle w:val="Emphasis"/>
        </w:rPr>
        <w:t>Journal of Sustainable Research and Development, 1</w:t>
      </w:r>
      <w:r w:rsidRPr="00840533">
        <w:t xml:space="preserve">(2), 18–25. </w:t>
      </w:r>
      <w:hyperlink r:id="rId22" w:tgtFrame="_new" w:history="1">
        <w:r w:rsidRPr="00840533">
          <w:rPr>
            <w:rStyle w:val="Hyperlink"/>
            <w:rFonts w:eastAsiaTheme="majorEastAsia"/>
          </w:rPr>
          <w:t>https://doi.org/10.69739/jsrd.v1i2.1044</w:t>
        </w:r>
      </w:hyperlink>
    </w:p>
    <w:p w14:paraId="3B61C375" w14:textId="0A3973FF" w:rsidR="009E7D93" w:rsidRPr="00840533" w:rsidRDefault="009E7D93" w:rsidP="009E7D93">
      <w:pPr>
        <w:pStyle w:val="NormalWeb"/>
        <w:ind w:left="720" w:hanging="720"/>
        <w:jc w:val="both"/>
      </w:pPr>
      <w:r w:rsidRPr="00840533">
        <w:lastRenderedPageBreak/>
        <w:t xml:space="preserve">Stewart, P., </w:t>
      </w:r>
      <w:proofErr w:type="spellStart"/>
      <w:r w:rsidRPr="00840533">
        <w:t>Reihman</w:t>
      </w:r>
      <w:proofErr w:type="spellEnd"/>
      <w:r w:rsidRPr="00840533">
        <w:t xml:space="preserve">, J., </w:t>
      </w:r>
      <w:proofErr w:type="spellStart"/>
      <w:r w:rsidRPr="00840533">
        <w:t>Lonky</w:t>
      </w:r>
      <w:proofErr w:type="spellEnd"/>
      <w:r w:rsidRPr="00840533">
        <w:t xml:space="preserve">, E., Darvill, T., &amp; Pagano, J. (2000). Prenatal PCB exposure and neonatal </w:t>
      </w:r>
      <w:r w:rsidR="00FF01A2">
        <w:t>behavioural</w:t>
      </w:r>
      <w:r w:rsidRPr="00840533">
        <w:t xml:space="preserve"> assessment scale (NBAS) performance. </w:t>
      </w:r>
      <w:r w:rsidRPr="00840533">
        <w:rPr>
          <w:rStyle w:val="Emphasis"/>
        </w:rPr>
        <w:t>Neurotoxicology and Teratology</w:t>
      </w:r>
      <w:r w:rsidRPr="00840533">
        <w:t>, 22(1), 21–29. https://doi.org/10.1016/S0892-0362(99)00056-2</w:t>
      </w:r>
    </w:p>
    <w:p w14:paraId="3094329A" w14:textId="77777777" w:rsidR="009E7D93" w:rsidRPr="00840533" w:rsidRDefault="009E7D93" w:rsidP="009E7D93">
      <w:pPr>
        <w:pStyle w:val="NormalWeb"/>
        <w:ind w:left="720" w:hanging="720"/>
        <w:jc w:val="both"/>
      </w:pPr>
      <w:proofErr w:type="spellStart"/>
      <w:r w:rsidRPr="00840533">
        <w:t>Umueni</w:t>
      </w:r>
      <w:proofErr w:type="spellEnd"/>
      <w:r w:rsidRPr="00840533">
        <w:t xml:space="preserve">, U. E., Etukudo, N. J., Okoye, P. I., </w:t>
      </w:r>
      <w:proofErr w:type="spellStart"/>
      <w:r w:rsidRPr="00840533">
        <w:t>Okpoji</w:t>
      </w:r>
      <w:proofErr w:type="spellEnd"/>
      <w:r w:rsidRPr="00840533">
        <w:t xml:space="preserve">, A. U., Eze, V. C., </w:t>
      </w:r>
      <w:proofErr w:type="spellStart"/>
      <w:r w:rsidRPr="00840533">
        <w:t>Aningo</w:t>
      </w:r>
      <w:proofErr w:type="spellEnd"/>
      <w:r w:rsidRPr="00840533">
        <w:t xml:space="preserve">, G. N., </w:t>
      </w:r>
      <w:proofErr w:type="spellStart"/>
      <w:r w:rsidRPr="00840533">
        <w:t>Ekwere</w:t>
      </w:r>
      <w:proofErr w:type="spellEnd"/>
      <w:r w:rsidRPr="00840533">
        <w:t xml:space="preserve">, I. O., &amp; Garuba, M. H. (2025). Geochemical and ecological risk assessment of petroleum hydrocarbons in sediments of the </w:t>
      </w:r>
      <w:proofErr w:type="spellStart"/>
      <w:r w:rsidRPr="00840533">
        <w:t>Forcados</w:t>
      </w:r>
      <w:proofErr w:type="spellEnd"/>
      <w:r w:rsidRPr="00840533">
        <w:t xml:space="preserve"> River, Delta State. </w:t>
      </w:r>
      <w:r w:rsidRPr="00840533">
        <w:rPr>
          <w:rStyle w:val="Emphasis"/>
        </w:rPr>
        <w:t>Asian Journal of Geographical Research, 8</w:t>
      </w:r>
      <w:r w:rsidRPr="00840533">
        <w:t xml:space="preserve">(4), 287–298. </w:t>
      </w:r>
      <w:hyperlink r:id="rId23" w:tgtFrame="_new" w:history="1">
        <w:r w:rsidRPr="00840533">
          <w:rPr>
            <w:rStyle w:val="Hyperlink"/>
            <w:rFonts w:eastAsiaTheme="majorEastAsia"/>
          </w:rPr>
          <w:t>https://doi.org/10.9734/ajgr/2025/v8i4337</w:t>
        </w:r>
      </w:hyperlink>
    </w:p>
    <w:p w14:paraId="40660248" w14:textId="77777777" w:rsidR="009E7D93" w:rsidRPr="00840533" w:rsidRDefault="009E7D93" w:rsidP="009E7D93">
      <w:pPr>
        <w:pStyle w:val="NormalWeb"/>
        <w:ind w:left="720" w:hanging="720"/>
        <w:jc w:val="both"/>
      </w:pPr>
      <w:r w:rsidRPr="00840533">
        <w:t xml:space="preserve">USEPA (United States Environmental Protection Agency). (2011). </w:t>
      </w:r>
      <w:r w:rsidRPr="00840533">
        <w:rPr>
          <w:rStyle w:val="Emphasis"/>
        </w:rPr>
        <w:t>Regional Screening Level (RSL) Table for Chemical Contamination at Superfund Sites.</w:t>
      </w:r>
      <w:r w:rsidRPr="00840533">
        <w:t xml:space="preserve"> </w:t>
      </w:r>
      <w:hyperlink r:id="rId24" w:tgtFrame="_new" w:history="1">
        <w:r w:rsidRPr="00840533">
          <w:rPr>
            <w:rStyle w:val="Hyperlink"/>
          </w:rPr>
          <w:t>https://www.epa.gov/risk/regional-screening-levels-rsls</w:t>
        </w:r>
      </w:hyperlink>
    </w:p>
    <w:p w14:paraId="247250CF" w14:textId="77777777" w:rsidR="009E7D93" w:rsidRPr="00840533" w:rsidRDefault="009E7D93" w:rsidP="009E7D93">
      <w:pPr>
        <w:pStyle w:val="NormalWeb"/>
        <w:ind w:left="720" w:hanging="720"/>
        <w:jc w:val="both"/>
      </w:pPr>
      <w:r w:rsidRPr="00840533">
        <w:t xml:space="preserve">Wania, F., Bereik, K., Persson, N. J., &amp; McLachlan, M. S. (2006). A fugacity-based dynamic multi-compartmental mass balance model of the fate of persistent organic pollutants. </w:t>
      </w:r>
      <w:r w:rsidRPr="00840533">
        <w:rPr>
          <w:rStyle w:val="Emphasis"/>
        </w:rPr>
        <w:t>Environmental Modelling &amp; Software</w:t>
      </w:r>
      <w:r w:rsidRPr="00840533">
        <w:t xml:space="preserve">, 21, 868. </w:t>
      </w:r>
      <w:hyperlink r:id="rId25" w:tgtFrame="_new" w:history="1">
        <w:r w:rsidRPr="00840533">
          <w:rPr>
            <w:rStyle w:val="Hyperlink"/>
          </w:rPr>
          <w:t>https://www.et-fine.com/10.1016/j.envsoft.2005.04.003</w:t>
        </w:r>
      </w:hyperlink>
    </w:p>
    <w:p w14:paraId="5092E812" w14:textId="77777777" w:rsidR="009E7D93" w:rsidRPr="00840533" w:rsidRDefault="009E7D93" w:rsidP="009E7D93">
      <w:pPr>
        <w:pStyle w:val="NormalWeb"/>
        <w:ind w:left="720" w:hanging="720"/>
        <w:jc w:val="both"/>
      </w:pPr>
      <w:r w:rsidRPr="00840533">
        <w:t xml:space="preserve">World Bank. (2014). Life expectancy data. </w:t>
      </w:r>
      <w:hyperlink r:id="rId26" w:tgtFrame="_new" w:history="1">
        <w:r w:rsidRPr="00840533">
          <w:rPr>
            <w:rStyle w:val="Hyperlink"/>
          </w:rPr>
          <w:t>http://data.worldbank.org/indicator/SP.DYN.LE00</w:t>
        </w:r>
      </w:hyperlink>
    </w:p>
    <w:p w14:paraId="2EDDD055" w14:textId="77777777" w:rsidR="009E7D93" w:rsidRPr="00840533" w:rsidRDefault="009E7D93" w:rsidP="009E7D93">
      <w:pPr>
        <w:jc w:val="both"/>
        <w:rPr>
          <w:rFonts w:ascii="Times New Roman" w:hAnsi="Times New Roman" w:cs="Times New Roman"/>
          <w:sz w:val="24"/>
          <w:szCs w:val="24"/>
        </w:rPr>
      </w:pPr>
    </w:p>
    <w:p w14:paraId="0E8E25E6" w14:textId="77777777" w:rsidR="009E7D93" w:rsidRDefault="009E7D93" w:rsidP="009E7D93"/>
    <w:p w14:paraId="4087195C" w14:textId="77777777" w:rsidR="009E7D93" w:rsidRPr="009E7D93" w:rsidRDefault="009E7D93" w:rsidP="0034301B">
      <w:pPr>
        <w:pStyle w:val="NormalWeb"/>
        <w:jc w:val="both"/>
        <w:rPr>
          <w:b/>
          <w:bCs/>
        </w:rPr>
      </w:pPr>
      <w:bookmarkStart w:id="0" w:name="_GoBack"/>
      <w:bookmarkEnd w:id="0"/>
    </w:p>
    <w:sectPr w:rsidR="009E7D93" w:rsidRPr="009E7D9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662C" w14:textId="77777777" w:rsidR="008D502F" w:rsidRDefault="008D502F" w:rsidP="004033DF">
      <w:pPr>
        <w:spacing w:after="0" w:line="240" w:lineRule="auto"/>
      </w:pPr>
      <w:r>
        <w:separator/>
      </w:r>
    </w:p>
  </w:endnote>
  <w:endnote w:type="continuationSeparator" w:id="0">
    <w:p w14:paraId="4F4D024F" w14:textId="77777777" w:rsidR="008D502F" w:rsidRDefault="008D502F" w:rsidP="0040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E07F" w14:textId="77777777" w:rsidR="004033DF" w:rsidRDefault="0040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3F9D" w14:textId="77777777" w:rsidR="004033DF" w:rsidRDefault="00403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403D" w14:textId="77777777" w:rsidR="004033DF" w:rsidRDefault="0040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4DB6" w14:textId="77777777" w:rsidR="008D502F" w:rsidRDefault="008D502F" w:rsidP="004033DF">
      <w:pPr>
        <w:spacing w:after="0" w:line="240" w:lineRule="auto"/>
      </w:pPr>
      <w:r>
        <w:separator/>
      </w:r>
    </w:p>
  </w:footnote>
  <w:footnote w:type="continuationSeparator" w:id="0">
    <w:p w14:paraId="6DBDE89E" w14:textId="77777777" w:rsidR="008D502F" w:rsidRDefault="008D502F" w:rsidP="0040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D7DA" w14:textId="522DBEA9" w:rsidR="004033DF" w:rsidRDefault="004033DF">
    <w:pPr>
      <w:pStyle w:val="Header"/>
    </w:pPr>
    <w:r>
      <w:rPr>
        <w:noProof/>
      </w:rPr>
      <w:pict w14:anchorId="3D070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2172" w14:textId="1DB87419" w:rsidR="004033DF" w:rsidRDefault="004033DF">
    <w:pPr>
      <w:pStyle w:val="Header"/>
    </w:pPr>
    <w:r>
      <w:rPr>
        <w:noProof/>
      </w:rPr>
      <w:pict w14:anchorId="33BAB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8C99" w14:textId="1008BB9E" w:rsidR="004033DF" w:rsidRDefault="004033DF">
    <w:pPr>
      <w:pStyle w:val="Header"/>
    </w:pPr>
    <w:r>
      <w:rPr>
        <w:noProof/>
      </w:rPr>
      <w:pict w14:anchorId="61EE5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254"/>
    <w:multiLevelType w:val="multilevel"/>
    <w:tmpl w:val="2A9AAF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1B"/>
    <w:rsid w:val="00336338"/>
    <w:rsid w:val="0034301B"/>
    <w:rsid w:val="004033DF"/>
    <w:rsid w:val="0055270F"/>
    <w:rsid w:val="00572CDC"/>
    <w:rsid w:val="005E17CD"/>
    <w:rsid w:val="008014F1"/>
    <w:rsid w:val="008D502F"/>
    <w:rsid w:val="009E7D93"/>
    <w:rsid w:val="00A321B0"/>
    <w:rsid w:val="00C70664"/>
    <w:rsid w:val="00CC2F27"/>
    <w:rsid w:val="00CC31FD"/>
    <w:rsid w:val="00DB1CDF"/>
    <w:rsid w:val="00F26C03"/>
    <w:rsid w:val="00F3438C"/>
    <w:rsid w:val="00FF0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2E9E3B"/>
  <w15:chartTrackingRefBased/>
  <w15:docId w15:val="{AB87DBCC-61FE-44BC-9334-9427F662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17CD"/>
    <w:rPr>
      <w:b/>
      <w:bCs/>
    </w:rPr>
  </w:style>
  <w:style w:type="character" w:styleId="Emphasis">
    <w:name w:val="Emphasis"/>
    <w:basedOn w:val="DefaultParagraphFont"/>
    <w:uiPriority w:val="20"/>
    <w:qFormat/>
    <w:rsid w:val="009E7D93"/>
    <w:rPr>
      <w:i/>
      <w:iCs/>
    </w:rPr>
  </w:style>
  <w:style w:type="character" w:styleId="Hyperlink">
    <w:name w:val="Hyperlink"/>
    <w:basedOn w:val="DefaultParagraphFont"/>
    <w:uiPriority w:val="99"/>
    <w:unhideWhenUsed/>
    <w:rsid w:val="009E7D93"/>
    <w:rPr>
      <w:color w:val="0000FF"/>
      <w:u w:val="single"/>
    </w:rPr>
  </w:style>
  <w:style w:type="character" w:styleId="UnresolvedMention">
    <w:name w:val="Unresolved Mention"/>
    <w:basedOn w:val="DefaultParagraphFont"/>
    <w:uiPriority w:val="99"/>
    <w:semiHidden/>
    <w:unhideWhenUsed/>
    <w:rsid w:val="00572CDC"/>
    <w:rPr>
      <w:color w:val="605E5C"/>
      <w:shd w:val="clear" w:color="auto" w:fill="E1DFDD"/>
    </w:rPr>
  </w:style>
  <w:style w:type="paragraph" w:styleId="Header">
    <w:name w:val="header"/>
    <w:basedOn w:val="Normal"/>
    <w:link w:val="HeaderChar"/>
    <w:uiPriority w:val="99"/>
    <w:unhideWhenUsed/>
    <w:rsid w:val="00403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DF"/>
  </w:style>
  <w:style w:type="paragraph" w:styleId="Footer">
    <w:name w:val="footer"/>
    <w:basedOn w:val="Normal"/>
    <w:link w:val="FooterChar"/>
    <w:uiPriority w:val="99"/>
    <w:unhideWhenUsed/>
    <w:rsid w:val="0040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7630">
      <w:bodyDiv w:val="1"/>
      <w:marLeft w:val="0"/>
      <w:marRight w:val="0"/>
      <w:marTop w:val="0"/>
      <w:marBottom w:val="0"/>
      <w:divBdr>
        <w:top w:val="none" w:sz="0" w:space="0" w:color="auto"/>
        <w:left w:val="none" w:sz="0" w:space="0" w:color="auto"/>
        <w:bottom w:val="none" w:sz="0" w:space="0" w:color="auto"/>
        <w:right w:val="none" w:sz="0" w:space="0" w:color="auto"/>
      </w:divBdr>
    </w:div>
    <w:div w:id="107504346">
      <w:bodyDiv w:val="1"/>
      <w:marLeft w:val="0"/>
      <w:marRight w:val="0"/>
      <w:marTop w:val="0"/>
      <w:marBottom w:val="0"/>
      <w:divBdr>
        <w:top w:val="none" w:sz="0" w:space="0" w:color="auto"/>
        <w:left w:val="none" w:sz="0" w:space="0" w:color="auto"/>
        <w:bottom w:val="none" w:sz="0" w:space="0" w:color="auto"/>
        <w:right w:val="none" w:sz="0" w:space="0" w:color="auto"/>
      </w:divBdr>
    </w:div>
    <w:div w:id="291910371">
      <w:bodyDiv w:val="1"/>
      <w:marLeft w:val="0"/>
      <w:marRight w:val="0"/>
      <w:marTop w:val="0"/>
      <w:marBottom w:val="0"/>
      <w:divBdr>
        <w:top w:val="none" w:sz="0" w:space="0" w:color="auto"/>
        <w:left w:val="none" w:sz="0" w:space="0" w:color="auto"/>
        <w:bottom w:val="none" w:sz="0" w:space="0" w:color="auto"/>
        <w:right w:val="none" w:sz="0" w:space="0" w:color="auto"/>
      </w:divBdr>
    </w:div>
    <w:div w:id="522284037">
      <w:bodyDiv w:val="1"/>
      <w:marLeft w:val="0"/>
      <w:marRight w:val="0"/>
      <w:marTop w:val="0"/>
      <w:marBottom w:val="0"/>
      <w:divBdr>
        <w:top w:val="none" w:sz="0" w:space="0" w:color="auto"/>
        <w:left w:val="none" w:sz="0" w:space="0" w:color="auto"/>
        <w:bottom w:val="none" w:sz="0" w:space="0" w:color="auto"/>
        <w:right w:val="none" w:sz="0" w:space="0" w:color="auto"/>
      </w:divBdr>
    </w:div>
    <w:div w:id="698551886">
      <w:bodyDiv w:val="1"/>
      <w:marLeft w:val="0"/>
      <w:marRight w:val="0"/>
      <w:marTop w:val="0"/>
      <w:marBottom w:val="0"/>
      <w:divBdr>
        <w:top w:val="none" w:sz="0" w:space="0" w:color="auto"/>
        <w:left w:val="none" w:sz="0" w:space="0" w:color="auto"/>
        <w:bottom w:val="none" w:sz="0" w:space="0" w:color="auto"/>
        <w:right w:val="none" w:sz="0" w:space="0" w:color="auto"/>
      </w:divBdr>
    </w:div>
    <w:div w:id="711275132">
      <w:bodyDiv w:val="1"/>
      <w:marLeft w:val="0"/>
      <w:marRight w:val="0"/>
      <w:marTop w:val="0"/>
      <w:marBottom w:val="0"/>
      <w:divBdr>
        <w:top w:val="none" w:sz="0" w:space="0" w:color="auto"/>
        <w:left w:val="none" w:sz="0" w:space="0" w:color="auto"/>
        <w:bottom w:val="none" w:sz="0" w:space="0" w:color="auto"/>
        <w:right w:val="none" w:sz="0" w:space="0" w:color="auto"/>
      </w:divBdr>
    </w:div>
    <w:div w:id="1096293368">
      <w:bodyDiv w:val="1"/>
      <w:marLeft w:val="0"/>
      <w:marRight w:val="0"/>
      <w:marTop w:val="0"/>
      <w:marBottom w:val="0"/>
      <w:divBdr>
        <w:top w:val="none" w:sz="0" w:space="0" w:color="auto"/>
        <w:left w:val="none" w:sz="0" w:space="0" w:color="auto"/>
        <w:bottom w:val="none" w:sz="0" w:space="0" w:color="auto"/>
        <w:right w:val="none" w:sz="0" w:space="0" w:color="auto"/>
      </w:divBdr>
    </w:div>
    <w:div w:id="1458332106">
      <w:bodyDiv w:val="1"/>
      <w:marLeft w:val="0"/>
      <w:marRight w:val="0"/>
      <w:marTop w:val="0"/>
      <w:marBottom w:val="0"/>
      <w:divBdr>
        <w:top w:val="none" w:sz="0" w:space="0" w:color="auto"/>
        <w:left w:val="none" w:sz="0" w:space="0" w:color="auto"/>
        <w:bottom w:val="none" w:sz="0" w:space="0" w:color="auto"/>
        <w:right w:val="none" w:sz="0" w:space="0" w:color="auto"/>
      </w:divBdr>
    </w:div>
    <w:div w:id="1561094172">
      <w:bodyDiv w:val="1"/>
      <w:marLeft w:val="0"/>
      <w:marRight w:val="0"/>
      <w:marTop w:val="0"/>
      <w:marBottom w:val="0"/>
      <w:divBdr>
        <w:top w:val="none" w:sz="0" w:space="0" w:color="auto"/>
        <w:left w:val="none" w:sz="0" w:space="0" w:color="auto"/>
        <w:bottom w:val="none" w:sz="0" w:space="0" w:color="auto"/>
        <w:right w:val="none" w:sz="0" w:space="0" w:color="auto"/>
      </w:divBdr>
    </w:div>
    <w:div w:id="1759786511">
      <w:bodyDiv w:val="1"/>
      <w:marLeft w:val="0"/>
      <w:marRight w:val="0"/>
      <w:marTop w:val="0"/>
      <w:marBottom w:val="0"/>
      <w:divBdr>
        <w:top w:val="none" w:sz="0" w:space="0" w:color="auto"/>
        <w:left w:val="none" w:sz="0" w:space="0" w:color="auto"/>
        <w:bottom w:val="none" w:sz="0" w:space="0" w:color="auto"/>
        <w:right w:val="none" w:sz="0" w:space="0" w:color="auto"/>
      </w:divBdr>
    </w:div>
    <w:div w:id="1770346491">
      <w:bodyDiv w:val="1"/>
      <w:marLeft w:val="0"/>
      <w:marRight w:val="0"/>
      <w:marTop w:val="0"/>
      <w:marBottom w:val="0"/>
      <w:divBdr>
        <w:top w:val="none" w:sz="0" w:space="0" w:color="auto"/>
        <w:left w:val="none" w:sz="0" w:space="0" w:color="auto"/>
        <w:bottom w:val="none" w:sz="0" w:space="0" w:color="auto"/>
        <w:right w:val="none" w:sz="0" w:space="0" w:color="auto"/>
      </w:divBdr>
    </w:div>
    <w:div w:id="2111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045" TargetMode="External"/><Relationship Id="rId18" Type="http://schemas.openxmlformats.org/officeDocument/2006/relationships/hyperlink" Target="https://doi.org/10.9734/ajocs/2025/v15i6402" TargetMode="External"/><Relationship Id="rId26" Type="http://schemas.openxmlformats.org/officeDocument/2006/relationships/hyperlink" Target="http://data.worldbank.org/indicator/SP.DYN.LE00" TargetMode="External"/><Relationship Id="rId3" Type="http://schemas.openxmlformats.org/officeDocument/2006/relationships/settings" Target="settings.xml"/><Relationship Id="rId21" Type="http://schemas.openxmlformats.org/officeDocument/2006/relationships/hyperlink" Target="https://doi.org/10.69739/jece.v2i2.961" TargetMode="External"/><Relationship Id="rId34" Type="http://schemas.openxmlformats.org/officeDocument/2006/relationships/theme" Target="theme/theme1.xml"/><Relationship Id="rId7" Type="http://schemas.openxmlformats.org/officeDocument/2006/relationships/hyperlink" Target="https://hal.science/hal-05364672/" TargetMode="External"/><Relationship Id="rId12" Type="http://schemas.openxmlformats.org/officeDocument/2006/relationships/hyperlink" Target="http://monographs.iarc.fr/ENG/Classification/ClassificationsAlphaOrder" TargetMode="External"/><Relationship Id="rId17" Type="http://schemas.openxmlformats.org/officeDocument/2006/relationships/hyperlink" Target="https://doi.org/10.69739/jlsph.v1i1.962" TargetMode="External"/><Relationship Id="rId25" Type="http://schemas.openxmlformats.org/officeDocument/2006/relationships/hyperlink" Target="https://www.et-fine.com/10.1016/j.envsoft.2005.04.00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9739/jlsph.v1i1.879" TargetMode="External"/><Relationship Id="rId20" Type="http://schemas.openxmlformats.org/officeDocument/2006/relationships/hyperlink" Target="https://doi.org/10.9734/ajopacs/2025/v13i427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481/jnsps.2024.1951" TargetMode="External"/><Relationship Id="rId24" Type="http://schemas.openxmlformats.org/officeDocument/2006/relationships/hyperlink" Target="https://www.epa.gov/risk/regional-screening-levels-rsl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69739/jece.v2i2.1078" TargetMode="External"/><Relationship Id="rId23" Type="http://schemas.openxmlformats.org/officeDocument/2006/relationships/hyperlink" Target="https://doi.org/10.9734/ajgr/2025/v8i4337" TargetMode="External"/><Relationship Id="rId28" Type="http://schemas.openxmlformats.org/officeDocument/2006/relationships/header" Target="header2.xml"/><Relationship Id="rId10" Type="http://schemas.openxmlformats.org/officeDocument/2006/relationships/hyperlink" Target="https://doi.org/10.3390/toxics9100241" TargetMode="External"/><Relationship Id="rId19" Type="http://schemas.openxmlformats.org/officeDocument/2006/relationships/hyperlink" Target="https://doi.org/10.69739/jaaas.v2i2.88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69739/jsrd.v1i2.1033" TargetMode="External"/><Relationship Id="rId14" Type="http://schemas.openxmlformats.org/officeDocument/2006/relationships/hyperlink" Target="https://doi.org/10.1016/B978-0-444-63299-9.00013-2" TargetMode="External"/><Relationship Id="rId22" Type="http://schemas.openxmlformats.org/officeDocument/2006/relationships/hyperlink" Target="https://doi.org/10.69739/jsrd.v1i2.104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69739/jece.v2i2.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5047</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cp:lastModifiedBy>
  <cp:revision>11</cp:revision>
  <dcterms:created xsi:type="dcterms:W3CDTF">2025-11-26T23:55:00Z</dcterms:created>
  <dcterms:modified xsi:type="dcterms:W3CDTF">2025-12-04T13:01:00Z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ec78cd8b-15ce-4ea4-a63e-92ffce1da4f4</vt:lpwstr>
  </property>
</Properties>
</file>