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BAC14" w14:textId="77777777" w:rsidR="00426CC0" w:rsidRPr="00F13549" w:rsidRDefault="00426CC0" w:rsidP="00426CC0">
      <w:pPr>
        <w:jc w:val="both"/>
        <w:rPr>
          <w:rFonts w:ascii="Arial" w:hAnsi="Arial" w:cs="Arial"/>
          <w:bCs/>
        </w:rPr>
      </w:pPr>
      <w:r w:rsidRPr="00F13549">
        <w:rPr>
          <w:rFonts w:ascii="Arial" w:hAnsi="Arial" w:cs="Arial"/>
          <w:bCs/>
        </w:rPr>
        <w:t>BIOCHAR AND ARBUSCULAR MYCORRHIZAL FUNGI AS SOIL AMENDMENTS FOR IMPROVED FERTILITY AND CROP PRODUCTIVITY IN SOUTH-WEST NIGERIA LOWLANDS</w:t>
      </w:r>
    </w:p>
    <w:p w14:paraId="25653FAD" w14:textId="77777777" w:rsidR="00426CC0" w:rsidRPr="00F13549" w:rsidRDefault="00426CC0" w:rsidP="00426CC0">
      <w:pPr>
        <w:jc w:val="both"/>
        <w:rPr>
          <w:rFonts w:ascii="Arial" w:hAnsi="Arial" w:cs="Arial"/>
          <w:bCs/>
        </w:rPr>
      </w:pPr>
    </w:p>
    <w:p w14:paraId="61B97B94" w14:textId="77777777" w:rsidR="00426CC0" w:rsidRPr="00F13549" w:rsidRDefault="00426CC0" w:rsidP="00426CC0">
      <w:pPr>
        <w:jc w:val="both"/>
        <w:rPr>
          <w:rFonts w:ascii="Arial" w:hAnsi="Arial" w:cs="Arial"/>
          <w:bCs/>
        </w:rPr>
      </w:pPr>
      <w:r w:rsidRPr="00F13549">
        <w:rPr>
          <w:rFonts w:ascii="Arial" w:hAnsi="Arial" w:cs="Arial"/>
          <w:bCs/>
        </w:rPr>
        <w:t>ABSTRACT</w:t>
      </w:r>
    </w:p>
    <w:p w14:paraId="23C6B781" w14:textId="77777777" w:rsidR="00426CC0" w:rsidRPr="00F13549" w:rsidRDefault="00426CC0" w:rsidP="00426CC0">
      <w:pPr>
        <w:jc w:val="both"/>
        <w:rPr>
          <w:rFonts w:ascii="Arial" w:hAnsi="Arial" w:cs="Arial"/>
          <w:bCs/>
          <w:sz w:val="20"/>
          <w:szCs w:val="20"/>
        </w:rPr>
      </w:pPr>
      <w:r w:rsidRPr="00F13549">
        <w:rPr>
          <w:rFonts w:ascii="Arial" w:hAnsi="Arial" w:cs="Arial"/>
          <w:bCs/>
          <w:sz w:val="20"/>
          <w:szCs w:val="20"/>
        </w:rPr>
        <w:t>Lowland (</w:t>
      </w:r>
      <w:proofErr w:type="spellStart"/>
      <w:r w:rsidRPr="00F13549">
        <w:rPr>
          <w:rFonts w:ascii="Arial" w:hAnsi="Arial" w:cs="Arial"/>
          <w:bCs/>
          <w:sz w:val="20"/>
          <w:szCs w:val="20"/>
        </w:rPr>
        <w:t>Fadama</w:t>
      </w:r>
      <w:proofErr w:type="spellEnd"/>
      <w:r w:rsidRPr="00F13549">
        <w:rPr>
          <w:rFonts w:ascii="Arial" w:hAnsi="Arial" w:cs="Arial"/>
          <w:bCs/>
          <w:sz w:val="20"/>
          <w:szCs w:val="20"/>
        </w:rPr>
        <w:t xml:space="preserve">) </w:t>
      </w:r>
      <w:proofErr w:type="spellStart"/>
      <w:r w:rsidRPr="00F13549">
        <w:rPr>
          <w:rFonts w:ascii="Arial" w:hAnsi="Arial" w:cs="Arial"/>
          <w:bCs/>
          <w:sz w:val="20"/>
          <w:szCs w:val="20"/>
        </w:rPr>
        <w:t>agro</w:t>
      </w:r>
      <w:proofErr w:type="spellEnd"/>
      <w:r w:rsidRPr="00F13549">
        <w:rPr>
          <w:rFonts w:ascii="Arial" w:hAnsi="Arial" w:cs="Arial"/>
          <w:bCs/>
          <w:sz w:val="20"/>
          <w:szCs w:val="20"/>
        </w:rPr>
        <w:t>-ecosystems in southern Nigeria are challenged by phosphorus (P) deficiency, low organic matter, and seasonal waterlogging. These issues result in reduced crop productivity for staples and leafy vegetables such as rice, cassava, and fluted pumpkin (</w:t>
      </w:r>
      <w:proofErr w:type="spellStart"/>
      <w:r w:rsidRPr="00F13549">
        <w:rPr>
          <w:rFonts w:ascii="Arial" w:hAnsi="Arial" w:cs="Arial"/>
          <w:bCs/>
          <w:i/>
          <w:sz w:val="20"/>
          <w:szCs w:val="20"/>
        </w:rPr>
        <w:t>Telfairia</w:t>
      </w:r>
      <w:proofErr w:type="spellEnd"/>
      <w:r w:rsidRPr="00F13549">
        <w:rPr>
          <w:rFonts w:ascii="Arial" w:hAnsi="Arial" w:cs="Arial"/>
          <w:bCs/>
          <w:i/>
          <w:sz w:val="20"/>
          <w:szCs w:val="20"/>
        </w:rPr>
        <w:t xml:space="preserve"> </w:t>
      </w:r>
      <w:proofErr w:type="spellStart"/>
      <w:r w:rsidRPr="00F13549">
        <w:rPr>
          <w:rFonts w:ascii="Arial" w:hAnsi="Arial" w:cs="Arial"/>
          <w:bCs/>
          <w:i/>
          <w:sz w:val="20"/>
          <w:szCs w:val="20"/>
        </w:rPr>
        <w:t>occidentalis</w:t>
      </w:r>
      <w:proofErr w:type="spellEnd"/>
      <w:r w:rsidRPr="00F13549">
        <w:rPr>
          <w:rFonts w:ascii="Arial" w:hAnsi="Arial" w:cs="Arial"/>
          <w:bCs/>
          <w:sz w:val="20"/>
          <w:szCs w:val="20"/>
        </w:rPr>
        <w:t xml:space="preserve">). Biochar soil amendments and </w:t>
      </w:r>
      <w:r w:rsidRPr="00F13549">
        <w:rPr>
          <w:rFonts w:ascii="Arial" w:hAnsi="Arial" w:cs="Arial"/>
          <w:bCs/>
          <w:i/>
          <w:sz w:val="20"/>
          <w:szCs w:val="20"/>
        </w:rPr>
        <w:t>Arbuscular mycorrhizal</w:t>
      </w:r>
      <w:r w:rsidRPr="00F13549">
        <w:rPr>
          <w:rFonts w:ascii="Arial" w:hAnsi="Arial" w:cs="Arial"/>
          <w:bCs/>
          <w:sz w:val="20"/>
          <w:szCs w:val="20"/>
        </w:rPr>
        <w:t xml:space="preserve"> fungi (AMF) inoculation, used individually or together, have been proposed to address these constraints. They improve soil physical structure, nutrient retention, and biological P acquisition. This review synthesizes foundational and recent literature (2010-2025), including regional Nigerian studies and global meta-analyses. It evaluates mechanisms, empirical outcomes, and practical recommendations for combined Biochar plus AMF strategies in lowland agro-ecosystems. Evidence indicates conditional synergies; combined treatments often improve P uptake, water relations, and crop yields compared to single treatments, especially when Biochar is properly characterized and AMF strains are suitable for local soils. Key gaps include the need for long-term, multi-site field trials in lowland soils; screening native AMF adapted to intermittent saturation; standardized Biochar characterization for local feedstock; and socio-economic assessments to support farmer adoption.</w:t>
      </w:r>
    </w:p>
    <w:p w14:paraId="197AA86E" w14:textId="77777777" w:rsidR="00426CC0" w:rsidRPr="00F13549" w:rsidRDefault="00426CC0" w:rsidP="00426CC0">
      <w:pPr>
        <w:jc w:val="both"/>
        <w:rPr>
          <w:rFonts w:ascii="Arial" w:hAnsi="Arial" w:cs="Arial"/>
          <w:bCs/>
          <w:sz w:val="20"/>
          <w:szCs w:val="20"/>
        </w:rPr>
      </w:pPr>
      <w:r w:rsidRPr="00F13549">
        <w:rPr>
          <w:rFonts w:ascii="Arial" w:hAnsi="Arial" w:cs="Arial"/>
          <w:bCs/>
          <w:sz w:val="20"/>
          <w:szCs w:val="20"/>
        </w:rPr>
        <w:t xml:space="preserve">Keywords: </w:t>
      </w:r>
      <w:r w:rsidRPr="00F13549">
        <w:rPr>
          <w:rFonts w:ascii="Arial" w:hAnsi="Arial" w:cs="Arial"/>
          <w:bCs/>
          <w:i/>
          <w:sz w:val="20"/>
          <w:szCs w:val="20"/>
        </w:rPr>
        <w:t>Arbuscular mycorrhizal fungi, Biochar amendment, Crop productivity, Fungi inoculation, Lowlands, Soil fertility, South-West Nigeria.</w:t>
      </w:r>
    </w:p>
    <w:p w14:paraId="119C5244" w14:textId="77777777" w:rsidR="00426CC0" w:rsidRPr="00F13549" w:rsidRDefault="00426CC0" w:rsidP="00426CC0">
      <w:pPr>
        <w:jc w:val="both"/>
        <w:rPr>
          <w:rFonts w:ascii="Arial" w:hAnsi="Arial" w:cs="Arial"/>
          <w:bCs/>
          <w:sz w:val="20"/>
          <w:szCs w:val="20"/>
        </w:rPr>
      </w:pPr>
    </w:p>
    <w:p w14:paraId="350CA710" w14:textId="77777777" w:rsidR="00426CC0" w:rsidRPr="00F13549" w:rsidRDefault="00426CC0" w:rsidP="00426CC0">
      <w:pPr>
        <w:jc w:val="both"/>
        <w:rPr>
          <w:rFonts w:ascii="Arial" w:hAnsi="Arial" w:cs="Arial"/>
          <w:bCs/>
        </w:rPr>
      </w:pPr>
      <w:r w:rsidRPr="00F13549">
        <w:rPr>
          <w:rFonts w:ascii="Arial" w:hAnsi="Arial" w:cs="Arial"/>
          <w:bCs/>
        </w:rPr>
        <w:t>INTRODUCTION</w:t>
      </w:r>
    </w:p>
    <w:p w14:paraId="4171D8AB" w14:textId="77777777" w:rsidR="00426CC0" w:rsidRPr="00F13549" w:rsidRDefault="00426CC0" w:rsidP="00426CC0">
      <w:pPr>
        <w:jc w:val="both"/>
        <w:rPr>
          <w:rFonts w:ascii="Arial" w:hAnsi="Arial" w:cs="Arial"/>
          <w:bCs/>
        </w:rPr>
      </w:pPr>
    </w:p>
    <w:p w14:paraId="4791F961" w14:textId="38ACED5D" w:rsidR="00426CC0" w:rsidRPr="00F13549" w:rsidRDefault="00426CC0" w:rsidP="00426CC0">
      <w:pPr>
        <w:jc w:val="both"/>
        <w:rPr>
          <w:rFonts w:ascii="Arial" w:hAnsi="Arial" w:cs="Arial"/>
          <w:bCs/>
        </w:rPr>
      </w:pPr>
      <w:r w:rsidRPr="00F13549">
        <w:rPr>
          <w:rFonts w:ascii="Arial" w:hAnsi="Arial" w:cs="Arial"/>
          <w:bCs/>
        </w:rPr>
        <w:t>Soil fertility decline in the lowlands of South-West Nigeria presents a formidable challenge to agricultural sustainability, driven by intensive cultivation, nutrient depletion, and inadequate organic matter management. These factors have led to structurally fragile soils with low organic carbon, acidic pH, and high phosphorus (P) fixation, severely limiting the productivity of staple crops such as rice, cassava, maize, and leafy vegetables like fluted pumpkin (</w:t>
      </w:r>
      <w:proofErr w:type="spellStart"/>
      <w:r w:rsidRPr="00F13549">
        <w:rPr>
          <w:rFonts w:ascii="Arial" w:hAnsi="Arial" w:cs="Arial"/>
          <w:bCs/>
          <w:i/>
        </w:rPr>
        <w:t>Telfairia</w:t>
      </w:r>
      <w:proofErr w:type="spellEnd"/>
      <w:r w:rsidRPr="00F13549">
        <w:rPr>
          <w:rFonts w:ascii="Arial" w:hAnsi="Arial" w:cs="Arial"/>
          <w:bCs/>
          <w:i/>
        </w:rPr>
        <w:t xml:space="preserve"> </w:t>
      </w:r>
      <w:proofErr w:type="spellStart"/>
      <w:r w:rsidRPr="00F13549">
        <w:rPr>
          <w:rFonts w:ascii="Arial" w:hAnsi="Arial" w:cs="Arial"/>
          <w:bCs/>
          <w:i/>
        </w:rPr>
        <w:t>occidentalis</w:t>
      </w:r>
      <w:proofErr w:type="spellEnd"/>
      <w:r w:rsidRPr="00F13549">
        <w:rPr>
          <w:rFonts w:ascii="Arial" w:hAnsi="Arial" w:cs="Arial"/>
          <w:bCs/>
        </w:rPr>
        <w:t>) (</w:t>
      </w:r>
      <w:proofErr w:type="spellStart"/>
      <w:r w:rsidRPr="00F13549">
        <w:rPr>
          <w:rFonts w:ascii="Arial" w:hAnsi="Arial" w:cs="Arial"/>
          <w:bCs/>
        </w:rPr>
        <w:t>Adebajo</w:t>
      </w:r>
      <w:proofErr w:type="spellEnd"/>
      <w:r w:rsidRPr="00F13549">
        <w:rPr>
          <w:rFonts w:ascii="Arial" w:hAnsi="Arial" w:cs="Arial"/>
          <w:bCs/>
        </w:rPr>
        <w:t xml:space="preserve"> </w:t>
      </w:r>
      <w:r w:rsidRPr="00F13549">
        <w:rPr>
          <w:rFonts w:ascii="Arial" w:hAnsi="Arial" w:cs="Arial"/>
          <w:bCs/>
          <w:i/>
        </w:rPr>
        <w:t>et al.,</w:t>
      </w:r>
      <w:r w:rsidRPr="00F13549">
        <w:rPr>
          <w:rFonts w:ascii="Arial" w:hAnsi="Arial" w:cs="Arial"/>
          <w:bCs/>
        </w:rPr>
        <w:t xml:space="preserve"> 2022; Zubairu </w:t>
      </w:r>
      <w:r w:rsidRPr="00F13549">
        <w:rPr>
          <w:rFonts w:ascii="Arial" w:hAnsi="Arial" w:cs="Arial"/>
          <w:bCs/>
          <w:i/>
        </w:rPr>
        <w:t>et al.,</w:t>
      </w:r>
      <w:r w:rsidRPr="00F13549">
        <w:rPr>
          <w:rFonts w:ascii="Arial" w:hAnsi="Arial" w:cs="Arial"/>
          <w:bCs/>
        </w:rPr>
        <w:t xml:space="preserve"> 2023). The overuse of synthetic fertilizers to address these constraints often exacerbates soil degradation, increases production costs, and contributes to environmental pollution, underscoring the need for sustainable, ecologically sound management strategies (</w:t>
      </w:r>
      <w:proofErr w:type="spellStart"/>
      <w:r w:rsidRPr="00F13549">
        <w:rPr>
          <w:rFonts w:ascii="Arial" w:hAnsi="Arial" w:cs="Arial"/>
          <w:bCs/>
        </w:rPr>
        <w:t>Adesodun</w:t>
      </w:r>
      <w:proofErr w:type="spellEnd"/>
      <w:r w:rsidRPr="00F13549">
        <w:rPr>
          <w:rFonts w:ascii="Arial" w:hAnsi="Arial" w:cs="Arial"/>
          <w:bCs/>
        </w:rPr>
        <w:t xml:space="preserve"> et al., 2021</w:t>
      </w:r>
      <w:r w:rsidR="0000181B">
        <w:rPr>
          <w:rFonts w:ascii="Arial" w:hAnsi="Arial" w:cs="Arial"/>
          <w:bCs/>
        </w:rPr>
        <w:t xml:space="preserve">; </w:t>
      </w:r>
      <w:r w:rsidR="0000181B" w:rsidRPr="0000181B">
        <w:rPr>
          <w:rFonts w:ascii="Arial" w:hAnsi="Arial" w:cs="Arial"/>
          <w:bCs/>
        </w:rPr>
        <w:t>Oloyede</w:t>
      </w:r>
      <w:r w:rsidR="0000181B">
        <w:rPr>
          <w:rFonts w:ascii="Arial" w:hAnsi="Arial" w:cs="Arial"/>
          <w:bCs/>
        </w:rPr>
        <w:t xml:space="preserve"> et al., 2025</w:t>
      </w:r>
      <w:r w:rsidRPr="00F13549">
        <w:rPr>
          <w:rFonts w:ascii="Arial" w:hAnsi="Arial" w:cs="Arial"/>
          <w:bCs/>
        </w:rPr>
        <w:t>).</w:t>
      </w:r>
    </w:p>
    <w:p w14:paraId="4618CF3C" w14:textId="795322F9" w:rsidR="00426CC0" w:rsidRPr="00F13549" w:rsidRDefault="00426CC0" w:rsidP="00426CC0">
      <w:pPr>
        <w:jc w:val="both"/>
        <w:rPr>
          <w:rFonts w:ascii="Arial" w:hAnsi="Arial" w:cs="Arial"/>
          <w:bCs/>
        </w:rPr>
      </w:pPr>
      <w:r w:rsidRPr="00F13549">
        <w:rPr>
          <w:rFonts w:ascii="Arial" w:hAnsi="Arial" w:cs="Arial"/>
          <w:bCs/>
          <w:i/>
        </w:rPr>
        <w:t>Arbuscular mycorrhizal</w:t>
      </w:r>
      <w:r w:rsidRPr="00F13549">
        <w:rPr>
          <w:rFonts w:ascii="Arial" w:hAnsi="Arial" w:cs="Arial"/>
          <w:bCs/>
        </w:rPr>
        <w:t xml:space="preserve"> fungi (AMF), obligate symbionts of the phylum </w:t>
      </w:r>
      <w:proofErr w:type="spellStart"/>
      <w:r w:rsidRPr="00F13549">
        <w:rPr>
          <w:rFonts w:ascii="Arial" w:hAnsi="Arial" w:cs="Arial"/>
          <w:bCs/>
        </w:rPr>
        <w:t>Glomeromycota</w:t>
      </w:r>
      <w:proofErr w:type="spellEnd"/>
      <w:r w:rsidRPr="00F13549">
        <w:rPr>
          <w:rFonts w:ascii="Arial" w:hAnsi="Arial" w:cs="Arial"/>
          <w:bCs/>
        </w:rPr>
        <w:t>, form mutualistic relationships with the roots of most crop species, enhancing nutrient uptake-particularly phosphorus and micronutrients-and improving plant resilience to environmental stresses</w:t>
      </w:r>
      <w:r w:rsidR="0032325E">
        <w:rPr>
          <w:rFonts w:ascii="Arial" w:hAnsi="Arial" w:cs="Arial"/>
          <w:bCs/>
        </w:rPr>
        <w:t xml:space="preserve"> (</w:t>
      </w:r>
      <w:r w:rsidR="0032325E" w:rsidRPr="0032325E">
        <w:rPr>
          <w:rFonts w:ascii="Arial" w:hAnsi="Arial" w:cs="Arial"/>
          <w:bCs/>
        </w:rPr>
        <w:t>Khaliq</w:t>
      </w:r>
      <w:r w:rsidR="0032325E">
        <w:rPr>
          <w:rFonts w:ascii="Arial" w:hAnsi="Arial" w:cs="Arial"/>
          <w:bCs/>
        </w:rPr>
        <w:t xml:space="preserve"> et al., 2022)</w:t>
      </w:r>
      <w:r w:rsidRPr="00F13549">
        <w:rPr>
          <w:rFonts w:ascii="Arial" w:hAnsi="Arial" w:cs="Arial"/>
          <w:bCs/>
        </w:rPr>
        <w:t xml:space="preserve">. Similarly, biochar, a carbon-rich material produced through pyrolysis of organic feedstock’s, improves soil physicochemical properties, including water retention, pH buffering, and nutrient availability, while fostering microbial activity (Oladele </w:t>
      </w:r>
      <w:r w:rsidRPr="00F13549">
        <w:rPr>
          <w:rFonts w:ascii="Arial" w:hAnsi="Arial" w:cs="Arial"/>
          <w:bCs/>
          <w:i/>
        </w:rPr>
        <w:t>et al.,</w:t>
      </w:r>
      <w:r w:rsidRPr="00F13549">
        <w:rPr>
          <w:rFonts w:ascii="Arial" w:hAnsi="Arial" w:cs="Arial"/>
          <w:bCs/>
        </w:rPr>
        <w:t xml:space="preserve"> 2022; Zhang </w:t>
      </w:r>
      <w:r w:rsidRPr="00F13549">
        <w:rPr>
          <w:rFonts w:ascii="Arial" w:hAnsi="Arial" w:cs="Arial"/>
          <w:bCs/>
          <w:i/>
        </w:rPr>
        <w:t>et al.,</w:t>
      </w:r>
      <w:r w:rsidRPr="00F13549">
        <w:rPr>
          <w:rFonts w:ascii="Arial" w:hAnsi="Arial" w:cs="Arial"/>
          <w:bCs/>
        </w:rPr>
        <w:t xml:space="preserve"> 2024). The synergistic interaction between biochar and AMF has emerged as a promising approach to rehabilitate degraded lowland soils, addressing nutrient limitations and boosting crop performance in tropical agro-ecosystems (Fang </w:t>
      </w:r>
      <w:r w:rsidRPr="00F13549">
        <w:rPr>
          <w:rFonts w:ascii="Arial" w:hAnsi="Arial" w:cs="Arial"/>
          <w:bCs/>
          <w:i/>
        </w:rPr>
        <w:t>et al.,</w:t>
      </w:r>
      <w:r w:rsidRPr="00F13549">
        <w:rPr>
          <w:rFonts w:ascii="Arial" w:hAnsi="Arial" w:cs="Arial"/>
          <w:bCs/>
        </w:rPr>
        <w:t xml:space="preserve"> 2024).</w:t>
      </w:r>
    </w:p>
    <w:p w14:paraId="40D31833" w14:textId="77777777" w:rsidR="00426CC0" w:rsidRPr="00F13549" w:rsidRDefault="00426CC0" w:rsidP="00426CC0">
      <w:pPr>
        <w:jc w:val="both"/>
        <w:rPr>
          <w:rFonts w:ascii="Arial" w:hAnsi="Arial" w:cs="Arial"/>
          <w:bCs/>
        </w:rPr>
      </w:pPr>
      <w:r w:rsidRPr="00F13549">
        <w:rPr>
          <w:rFonts w:ascii="Arial" w:hAnsi="Arial" w:cs="Arial"/>
          <w:bCs/>
        </w:rPr>
        <w:t>In South-West Nigeria, where lowland soils are prone to waterlogging and redox fluctuations, integrating biochar and AMF offers a pathway to enhance soil biological functioning, stabilize organic matter, and reduce reliance on chemical inputs. Recent studies highlight that biochar-</w:t>
      </w:r>
      <w:r w:rsidRPr="00F13549">
        <w:rPr>
          <w:rFonts w:ascii="Arial" w:hAnsi="Arial" w:cs="Arial"/>
          <w:bCs/>
        </w:rPr>
        <w:lastRenderedPageBreak/>
        <w:t xml:space="preserve">AMF combinations can increase soil available P by up to 18% and crop yields by 15-30% in phosphorus-limited environments, providing a sustainable alternative to conventional fertilization (Zubairu </w:t>
      </w:r>
      <w:r w:rsidRPr="00F13549">
        <w:rPr>
          <w:rFonts w:ascii="Arial" w:hAnsi="Arial" w:cs="Arial"/>
          <w:bCs/>
          <w:i/>
        </w:rPr>
        <w:t>et al.,</w:t>
      </w:r>
      <w:r w:rsidRPr="00F13549">
        <w:rPr>
          <w:rFonts w:ascii="Arial" w:hAnsi="Arial" w:cs="Arial"/>
          <w:bCs/>
        </w:rPr>
        <w:t xml:space="preserve"> 2023; Fang </w:t>
      </w:r>
      <w:r w:rsidRPr="00F13549">
        <w:rPr>
          <w:rFonts w:ascii="Arial" w:hAnsi="Arial" w:cs="Arial"/>
          <w:bCs/>
          <w:i/>
        </w:rPr>
        <w:t>et al.,</w:t>
      </w:r>
      <w:r w:rsidRPr="00F13549">
        <w:rPr>
          <w:rFonts w:ascii="Arial" w:hAnsi="Arial" w:cs="Arial"/>
          <w:bCs/>
        </w:rPr>
        <w:t xml:space="preserve"> 2024). This review synthesizes current knowledge on the mechanisms, benefits, and challenges of biochar and AMF applications, with a focus on their potential to transform soil fertility management and agricultural productivity in Nigeria’s lowland agro-ecosystems.</w:t>
      </w:r>
    </w:p>
    <w:p w14:paraId="7D54297A" w14:textId="77777777" w:rsidR="00426CC0" w:rsidRPr="00F13549" w:rsidRDefault="00426CC0" w:rsidP="00426CC0">
      <w:pPr>
        <w:jc w:val="both"/>
        <w:rPr>
          <w:rFonts w:ascii="Arial" w:hAnsi="Arial" w:cs="Arial"/>
          <w:bCs/>
        </w:rPr>
      </w:pPr>
      <w:bookmarkStart w:id="0" w:name="_GoBack"/>
      <w:bookmarkEnd w:id="0"/>
    </w:p>
    <w:p w14:paraId="20C81C11" w14:textId="77777777" w:rsidR="00426CC0" w:rsidRPr="00F13549" w:rsidRDefault="00426CC0" w:rsidP="00426CC0">
      <w:pPr>
        <w:jc w:val="both"/>
        <w:rPr>
          <w:rFonts w:ascii="Arial" w:hAnsi="Arial" w:cs="Arial"/>
          <w:bCs/>
        </w:rPr>
      </w:pPr>
      <w:r w:rsidRPr="00F13549">
        <w:rPr>
          <w:rFonts w:ascii="Arial" w:hAnsi="Arial" w:cs="Arial"/>
          <w:bCs/>
        </w:rPr>
        <w:t>SOIL FERTILITY CONSTRAINTS IN LOWLAND SOILS OF SOUTH-WESTERN NIGERIA</w:t>
      </w:r>
    </w:p>
    <w:p w14:paraId="37E97DA3" w14:textId="77777777" w:rsidR="00426CC0" w:rsidRPr="00F13549" w:rsidRDefault="00426CC0" w:rsidP="00426CC0">
      <w:pPr>
        <w:jc w:val="both"/>
        <w:rPr>
          <w:rFonts w:ascii="Arial" w:hAnsi="Arial" w:cs="Arial"/>
          <w:bCs/>
        </w:rPr>
      </w:pPr>
    </w:p>
    <w:p w14:paraId="1385984E" w14:textId="77777777" w:rsidR="00426CC0" w:rsidRPr="00F13549" w:rsidRDefault="00426CC0" w:rsidP="00426CC0">
      <w:pPr>
        <w:jc w:val="both"/>
        <w:rPr>
          <w:rFonts w:ascii="Arial" w:hAnsi="Arial" w:cs="Arial"/>
          <w:bCs/>
        </w:rPr>
      </w:pPr>
      <w:r w:rsidRPr="00F13549">
        <w:rPr>
          <w:rFonts w:ascii="Arial" w:hAnsi="Arial" w:cs="Arial"/>
          <w:bCs/>
        </w:rPr>
        <w:t xml:space="preserve">The lowland soils of South-Western Nigeria, critical for crops like rice, cassava, and maize, face significant fertility challenges that limit agricultural productivity. These soils typically exhibit low organic carbon content, often below 1%, which weakens soil structure and reduces nutrient-holding capacity. Acidic pH levels, frequently ranging from 4.5 to 5.5, exacerbate nutrient imbalances, particularly through high phosphorus (P) fixation by iron (Fe) and aluminum (Al) oxides, rendering P unavailable to plants. Seasonal waterlogging, driven by heavy rainfall and poor drainage, further complicates soil dynamics by causing redox fluctuations that disrupt root function and microbial activity. These conditions collectively impair nutrient uptake, stunt root development, and widen yield gaps for staple crops, with studies reporting up to 30% lower yields compared to potential outputs in the region (Rakotoson </w:t>
      </w:r>
      <w:r w:rsidRPr="00F13549">
        <w:rPr>
          <w:rFonts w:ascii="Arial" w:hAnsi="Arial" w:cs="Arial"/>
          <w:bCs/>
          <w:i/>
        </w:rPr>
        <w:t>et al.,</w:t>
      </w:r>
      <w:r w:rsidRPr="00F13549">
        <w:rPr>
          <w:rFonts w:ascii="Arial" w:hAnsi="Arial" w:cs="Arial"/>
          <w:bCs/>
        </w:rPr>
        <w:t xml:space="preserve"> 2022; </w:t>
      </w:r>
      <w:proofErr w:type="spellStart"/>
      <w:r w:rsidRPr="00F13549">
        <w:rPr>
          <w:rFonts w:ascii="Arial" w:hAnsi="Arial" w:cs="Arial"/>
          <w:bCs/>
        </w:rPr>
        <w:t>Thanni</w:t>
      </w:r>
      <w:proofErr w:type="spellEnd"/>
      <w:r w:rsidRPr="00F13549">
        <w:rPr>
          <w:rFonts w:ascii="Arial" w:hAnsi="Arial" w:cs="Arial"/>
          <w:bCs/>
        </w:rPr>
        <w:t xml:space="preserve"> </w:t>
      </w:r>
      <w:r w:rsidRPr="00F13549">
        <w:rPr>
          <w:rFonts w:ascii="Arial" w:hAnsi="Arial" w:cs="Arial"/>
          <w:bCs/>
          <w:i/>
        </w:rPr>
        <w:t>et al.,</w:t>
      </w:r>
      <w:r w:rsidRPr="00F13549">
        <w:rPr>
          <w:rFonts w:ascii="Arial" w:hAnsi="Arial" w:cs="Arial"/>
          <w:bCs/>
        </w:rPr>
        <w:t xml:space="preserve"> 2022; Zubairu </w:t>
      </w:r>
      <w:r w:rsidRPr="00F13549">
        <w:rPr>
          <w:rFonts w:ascii="Arial" w:hAnsi="Arial" w:cs="Arial"/>
          <w:bCs/>
          <w:i/>
        </w:rPr>
        <w:t>et al.,</w:t>
      </w:r>
      <w:r w:rsidRPr="00F13549">
        <w:rPr>
          <w:rFonts w:ascii="Arial" w:hAnsi="Arial" w:cs="Arial"/>
          <w:bCs/>
        </w:rPr>
        <w:t xml:space="preserve"> 2023). For instance, cassava yields in these lowlands often fall below 10 tons per hectare, far below the global average, due to poor soil fertility and water management. Addressing these constraints requires integrated approaches that restore organic matter, balance soil chemistry, and enhance biological activity to support sustainable crop production.</w:t>
      </w:r>
    </w:p>
    <w:p w14:paraId="0730A3C2" w14:textId="77777777" w:rsidR="00426CC0" w:rsidRPr="00F13549" w:rsidRDefault="00426CC0" w:rsidP="00426CC0">
      <w:pPr>
        <w:jc w:val="both"/>
        <w:rPr>
          <w:rFonts w:ascii="Arial" w:hAnsi="Arial" w:cs="Arial"/>
          <w:bCs/>
        </w:rPr>
      </w:pPr>
    </w:p>
    <w:p w14:paraId="7006FE86" w14:textId="77777777" w:rsidR="00426CC0" w:rsidRPr="00F13549" w:rsidRDefault="00426CC0" w:rsidP="00426CC0">
      <w:pPr>
        <w:jc w:val="both"/>
        <w:rPr>
          <w:rFonts w:ascii="Arial" w:hAnsi="Arial" w:cs="Arial"/>
          <w:bCs/>
        </w:rPr>
      </w:pPr>
      <w:r w:rsidRPr="00F13549">
        <w:rPr>
          <w:rFonts w:ascii="Arial" w:hAnsi="Arial" w:cs="Arial"/>
          <w:bCs/>
        </w:rPr>
        <w:t>BIOCHAR: PRODUCTION, PROPERTIES, AND MECHANISMS</w:t>
      </w:r>
    </w:p>
    <w:p w14:paraId="575F4B98" w14:textId="77777777" w:rsidR="00886373" w:rsidRPr="00F13549" w:rsidRDefault="00886373" w:rsidP="00886373">
      <w:pPr>
        <w:pStyle w:val="NormalWeb"/>
        <w:jc w:val="both"/>
        <w:rPr>
          <w:rFonts w:ascii="Arial" w:hAnsi="Arial" w:cs="Arial"/>
          <w:bCs/>
          <w:sz w:val="22"/>
          <w:szCs w:val="22"/>
        </w:rPr>
      </w:pPr>
      <w:r w:rsidRPr="00F13549">
        <w:rPr>
          <w:rFonts w:ascii="Arial" w:hAnsi="Arial" w:cs="Arial"/>
          <w:bCs/>
          <w:sz w:val="22"/>
          <w:szCs w:val="22"/>
        </w:rPr>
        <w:t xml:space="preserve">Biochar, a stable, carbon-rich solid material generated via the thermochemical process of pyrolysis-wherein organic feedstocks undergo controlled thermal decomposition in a limited-oxygen environment-serves as a highly adaptable and environmentally benign amendment for ameliorating soil fertility challenges in the lowland agro-ecosystems of South-Western Nigeria. Abundant local biomass residues, including rice husks, maize cobs, and cassava peels, represent ideal feedstocks for this production, not only capitalizing on agricultural waste to minimize disposal issues but also tailoring the end product to the specific edaphic conditions of phosphorus-deficient, acidic, and periodically inundated soils prevalent in </w:t>
      </w:r>
      <w:proofErr w:type="spellStart"/>
      <w:r w:rsidRPr="00F13549">
        <w:rPr>
          <w:rFonts w:ascii="Arial" w:hAnsi="Arial" w:cs="Arial"/>
          <w:bCs/>
          <w:sz w:val="22"/>
          <w:szCs w:val="22"/>
        </w:rPr>
        <w:t>Fadama</w:t>
      </w:r>
      <w:proofErr w:type="spellEnd"/>
      <w:r w:rsidRPr="00F13549">
        <w:rPr>
          <w:rFonts w:ascii="Arial" w:hAnsi="Arial" w:cs="Arial"/>
          <w:bCs/>
          <w:sz w:val="22"/>
          <w:szCs w:val="22"/>
        </w:rPr>
        <w:t xml:space="preserve"> systems. Pyrolysis conditions, encompassing factors such as residence time, heating rate, and inert gas flow, profoundly influence the resultant biochar's efficacy, yet the pyrolysis temperature remains the paramount determinant, generally spanning 300 to 600°C to balance yield, stability, and functionality.</w:t>
      </w:r>
    </w:p>
    <w:p w14:paraId="7DE3FC3A" w14:textId="77777777" w:rsidR="00886373" w:rsidRPr="00F13549" w:rsidRDefault="00886373" w:rsidP="00886373">
      <w:pPr>
        <w:pStyle w:val="NormalWeb"/>
        <w:jc w:val="both"/>
        <w:rPr>
          <w:rFonts w:ascii="Arial" w:hAnsi="Arial" w:cs="Arial"/>
          <w:bCs/>
          <w:sz w:val="22"/>
          <w:szCs w:val="22"/>
        </w:rPr>
      </w:pPr>
      <w:r w:rsidRPr="00F13549">
        <w:rPr>
          <w:rFonts w:ascii="Arial" w:hAnsi="Arial" w:cs="Arial"/>
          <w:bCs/>
          <w:sz w:val="22"/>
          <w:szCs w:val="22"/>
        </w:rPr>
        <w:t>The physicochemical attributes of biochar, encompassing pH, specific surface area (often exceeding 200 m² g</w:t>
      </w:r>
      <w:r w:rsidRPr="00F13549">
        <w:rPr>
          <w:rFonts w:ascii="Cambria Math" w:hAnsi="Cambria Math" w:cs="Cambria Math"/>
          <w:bCs/>
          <w:sz w:val="22"/>
          <w:szCs w:val="22"/>
        </w:rPr>
        <w:t>⁻</w:t>
      </w:r>
      <w:r w:rsidRPr="00F13549">
        <w:rPr>
          <w:rFonts w:ascii="Arial" w:hAnsi="Arial" w:cs="Arial"/>
          <w:bCs/>
          <w:sz w:val="22"/>
          <w:szCs w:val="22"/>
        </w:rPr>
        <w:t xml:space="preserve">¹), porosity (up to 80% in optimal cases), and ash content (varying from 5-20%), are intrinsically modulated by both the lignocellulosic composition of the feedstock and the pyrolysis parameters, thereby allowing for customized formulations suited to regional soil amelioration needs. For instance, rice husk-derived biochar, pyrolyzed at elevated temperatures of 400-600°C, characteristically exhibits a silica-enriched matrix that confers a neutral to alkaline </w:t>
      </w:r>
      <w:r w:rsidRPr="00F13549">
        <w:rPr>
          <w:rFonts w:ascii="Arial" w:hAnsi="Arial" w:cs="Arial"/>
          <w:bCs/>
          <w:sz w:val="22"/>
          <w:szCs w:val="22"/>
        </w:rPr>
        <w:lastRenderedPageBreak/>
        <w:t xml:space="preserve">pH range of 6-9, imparting substantial liming effects to mitigate the pervasive acidity (pH 4.5-5.5) of lowland </w:t>
      </w:r>
      <w:proofErr w:type="spellStart"/>
      <w:r w:rsidRPr="00F13549">
        <w:rPr>
          <w:rFonts w:ascii="Arial" w:hAnsi="Arial" w:cs="Arial"/>
          <w:bCs/>
          <w:sz w:val="22"/>
          <w:szCs w:val="22"/>
        </w:rPr>
        <w:t>Ultisols</w:t>
      </w:r>
      <w:proofErr w:type="spellEnd"/>
      <w:r w:rsidRPr="00F13549">
        <w:rPr>
          <w:rFonts w:ascii="Arial" w:hAnsi="Arial" w:cs="Arial"/>
          <w:bCs/>
          <w:sz w:val="22"/>
          <w:szCs w:val="22"/>
        </w:rPr>
        <w:t xml:space="preserve"> and </w:t>
      </w:r>
      <w:proofErr w:type="spellStart"/>
      <w:r w:rsidRPr="00F13549">
        <w:rPr>
          <w:rFonts w:ascii="Arial" w:hAnsi="Arial" w:cs="Arial"/>
          <w:bCs/>
          <w:sz w:val="22"/>
          <w:szCs w:val="22"/>
        </w:rPr>
        <w:t>Alfisols</w:t>
      </w:r>
      <w:proofErr w:type="spellEnd"/>
      <w:r w:rsidRPr="00F13549">
        <w:rPr>
          <w:rFonts w:ascii="Arial" w:hAnsi="Arial" w:cs="Arial"/>
          <w:bCs/>
          <w:sz w:val="22"/>
          <w:szCs w:val="22"/>
        </w:rPr>
        <w:t xml:space="preserve">, while simultaneously bolstering structural integrity against compaction. In contrast, maize cob biochar, processed at moderate temperatures of 350-500°C, yields a product with balanced cation exchange capacity for enhanced nutrient sorption and pronounced </w:t>
      </w:r>
      <w:proofErr w:type="spellStart"/>
      <w:r w:rsidRPr="00F13549">
        <w:rPr>
          <w:rFonts w:ascii="Arial" w:hAnsi="Arial" w:cs="Arial"/>
          <w:bCs/>
          <w:sz w:val="22"/>
          <w:szCs w:val="22"/>
        </w:rPr>
        <w:t>macroporosity</w:t>
      </w:r>
      <w:proofErr w:type="spellEnd"/>
      <w:r w:rsidRPr="00F13549">
        <w:rPr>
          <w:rFonts w:ascii="Arial" w:hAnsi="Arial" w:cs="Arial"/>
          <w:bCs/>
          <w:sz w:val="22"/>
          <w:szCs w:val="22"/>
        </w:rPr>
        <w:t xml:space="preserve"> that facilitates superior drainage and oxygen diffusion—attributes particularly advantageous in mitigating the anaerobic stresses induced by seasonal waterlogging (Oladele </w:t>
      </w:r>
      <w:r w:rsidRPr="00F13549">
        <w:rPr>
          <w:rFonts w:ascii="Arial" w:hAnsi="Arial" w:cs="Arial"/>
          <w:bCs/>
          <w:i/>
          <w:sz w:val="22"/>
          <w:szCs w:val="22"/>
        </w:rPr>
        <w:t xml:space="preserve">et al., </w:t>
      </w:r>
      <w:r w:rsidRPr="00F13549">
        <w:rPr>
          <w:rFonts w:ascii="Arial" w:hAnsi="Arial" w:cs="Arial"/>
          <w:bCs/>
          <w:sz w:val="22"/>
          <w:szCs w:val="22"/>
        </w:rPr>
        <w:t>2022). Cassava peel biochar, similarly produced within 300-500°C, introduces additional labile organic fractions that gradually mineralize, supporting early-season microbial priming without risking excessive nutrient volatilization.</w:t>
      </w:r>
    </w:p>
    <w:p w14:paraId="2E50407F" w14:textId="77777777" w:rsidR="00886373" w:rsidRPr="00F13549" w:rsidRDefault="00886373" w:rsidP="00886373">
      <w:pPr>
        <w:pStyle w:val="NormalWeb"/>
        <w:jc w:val="both"/>
        <w:rPr>
          <w:rFonts w:ascii="Arial" w:hAnsi="Arial" w:cs="Arial"/>
          <w:bCs/>
          <w:sz w:val="22"/>
          <w:szCs w:val="22"/>
        </w:rPr>
      </w:pPr>
      <w:r w:rsidRPr="00F13549">
        <w:rPr>
          <w:rFonts w:ascii="Arial" w:hAnsi="Arial" w:cs="Arial"/>
          <w:bCs/>
          <w:sz w:val="22"/>
          <w:szCs w:val="22"/>
        </w:rPr>
        <w:t>These inherent properties collectively underpin biochar's multifaceted contributions to soil health, including augmenting water-holding capacity by as much as 20% through capillary retention in its intricate pore network, thereby stabilizing moisture regimes during erratic dry spells and averting desiccation in rainfed cropping cycles. Furthermore, by alleviating bulk density and promoting aggregate formation, biochar enhances soil aeration in compacted, hydromorphic lowlands, curbing root hypoxia and fostering deeper penetration for crops like cassava and rice. A critical ancillary benefit lies in its capacity to sequester exchangeable aluminum ions via surface complexation and precipitation, thereby alleviating Al phytotoxicity - a pervasive constraint that suppresses root elongation and nutrient acquisition in acidic environments, ultimately unlocking latent productivity potentials in these marginal lands.</w:t>
      </w:r>
    </w:p>
    <w:p w14:paraId="57C712B0" w14:textId="77777777" w:rsidR="00886373" w:rsidRPr="00F13549" w:rsidRDefault="00886373" w:rsidP="00886373">
      <w:pPr>
        <w:pStyle w:val="NormalWeb"/>
        <w:jc w:val="both"/>
        <w:rPr>
          <w:rFonts w:ascii="Arial" w:hAnsi="Arial" w:cs="Arial"/>
          <w:bCs/>
          <w:sz w:val="22"/>
          <w:szCs w:val="22"/>
        </w:rPr>
      </w:pPr>
      <w:r w:rsidRPr="00F13549">
        <w:rPr>
          <w:rFonts w:ascii="Arial" w:hAnsi="Arial" w:cs="Arial"/>
          <w:bCs/>
          <w:sz w:val="22"/>
          <w:szCs w:val="22"/>
        </w:rPr>
        <w:t xml:space="preserve">At the mechanistic core, biochar augments nutrient stewardship by functioning as a selective adsorbent for macronutrients such as phosphorus and potassium, leveraging its negatively charged functional groups (e.g., carboxyl and phenolic moieties) and high surface area to facilitate ion exchange and chelation, which curtails downward leaching in the intense convective rainfall characteristic of South-Western Nigeria's humid tropics. This retention not only conserves finite fertilizer investments but also synchronizes nutrient release with crop demand, minimizing pulse-like losses that exacerbate downstream water quality impairments. Complementing this chemical prowess, the biochar's labyrinthine porous architecture-comprising micropores (&lt;2 nm) for molecular trapping and mesopores (2-50 nm) for microbial ingress-establishes refuge niches that shield beneficial soil biota from desiccation, predation, and fluctuating redox potentials, thereby amplifying enzymatic activities pivotal to organic matter decomposition and humus formation. Notably, these refugia particularly favor the proliferation of Arbuscular mycorrhizal fungi (AMF), symbiotic powerhouses that extend extra radical hyphae to mine immobile phosphorus pools, while biochar's stable carbon scaffold sustains their energy demands over successive seasons. Empirical syntheses affirm that such amendments can elevate soil-labile phosphorus concentrations by 10-15% through desorption facilitation and suppress competing microbial immobilization, concurrently boosting AMF root colonization rates by up to 25% via improved hyphal attachment and spore germination cues, thereby magnifying phosphorus-use efficiency and fortifying crop resilience in oligotrophic settings (Li </w:t>
      </w:r>
      <w:r w:rsidRPr="00F13549">
        <w:rPr>
          <w:rFonts w:ascii="Arial" w:hAnsi="Arial" w:cs="Arial"/>
          <w:bCs/>
          <w:i/>
          <w:sz w:val="22"/>
          <w:szCs w:val="22"/>
        </w:rPr>
        <w:t xml:space="preserve">et al., </w:t>
      </w:r>
      <w:r w:rsidRPr="00F13549">
        <w:rPr>
          <w:rFonts w:ascii="Arial" w:hAnsi="Arial" w:cs="Arial"/>
          <w:bCs/>
          <w:sz w:val="22"/>
          <w:szCs w:val="22"/>
        </w:rPr>
        <w:t xml:space="preserve">2022; Zhang </w:t>
      </w:r>
      <w:r w:rsidRPr="00F13549">
        <w:rPr>
          <w:rFonts w:ascii="Arial" w:hAnsi="Arial" w:cs="Arial"/>
          <w:bCs/>
          <w:i/>
          <w:sz w:val="22"/>
          <w:szCs w:val="22"/>
        </w:rPr>
        <w:t>et al.,</w:t>
      </w:r>
      <w:r w:rsidRPr="00F13549">
        <w:rPr>
          <w:rFonts w:ascii="Arial" w:hAnsi="Arial" w:cs="Arial"/>
          <w:bCs/>
          <w:sz w:val="22"/>
          <w:szCs w:val="22"/>
        </w:rPr>
        <w:t xml:space="preserve"> 2024).</w:t>
      </w:r>
    </w:p>
    <w:p w14:paraId="0B24DFE1" w14:textId="77777777" w:rsidR="00886373" w:rsidRPr="00F13549" w:rsidRDefault="00886373" w:rsidP="00886373">
      <w:pPr>
        <w:pStyle w:val="NormalWeb"/>
        <w:jc w:val="both"/>
        <w:rPr>
          <w:bCs/>
        </w:rPr>
      </w:pPr>
      <w:r w:rsidRPr="00F13549">
        <w:rPr>
          <w:rFonts w:ascii="Arial" w:hAnsi="Arial" w:cs="Arial"/>
          <w:bCs/>
          <w:sz w:val="22"/>
          <w:szCs w:val="22"/>
        </w:rPr>
        <w:t xml:space="preserve">Contextualizing these dynamics within South-Western Nigeria, field-oriented applications of maize cob biochar in cassava </w:t>
      </w:r>
      <w:proofErr w:type="spellStart"/>
      <w:r w:rsidRPr="00F13549">
        <w:rPr>
          <w:rFonts w:ascii="Arial" w:hAnsi="Arial" w:cs="Arial"/>
          <w:bCs/>
          <w:sz w:val="22"/>
          <w:szCs w:val="22"/>
        </w:rPr>
        <w:t>agro</w:t>
      </w:r>
      <w:proofErr w:type="spellEnd"/>
      <w:r w:rsidRPr="00F13549">
        <w:rPr>
          <w:rFonts w:ascii="Arial" w:hAnsi="Arial" w:cs="Arial"/>
          <w:bCs/>
          <w:sz w:val="22"/>
          <w:szCs w:val="22"/>
        </w:rPr>
        <w:t xml:space="preserve">-systems have demonstrably spurred proliferative root architectures-characterized by increased lateral branching and finer absorptive surfaces-concomitant with a 12% escalation in tuberous yields, attributable to ameliorated edaphic barriers that previously constrained assimilate partitioning and biomass accrual (Zubairu et al., 2023). This localized efficacy underscores biochar's role as a holistic panacea, concurrently remedying physicochemical deficits (e.g., low cation exchange capacity and hydraulic conductivity) and invigorating biological vitality (e.g., rhizosphere microbiome diversity), thereby positioning it as an indispensable, low-input cornerstone for regenerative soil stewardship. In summation, by </w:t>
      </w:r>
      <w:r w:rsidRPr="00F13549">
        <w:rPr>
          <w:rFonts w:ascii="Arial" w:hAnsi="Arial" w:cs="Arial"/>
          <w:bCs/>
          <w:sz w:val="22"/>
          <w:szCs w:val="22"/>
        </w:rPr>
        <w:lastRenderedPageBreak/>
        <w:t>holistically redressing the intertwined legacies of degradation in lowland domains, biochar not only catalyzes immediate productivity surges but also scaffolds enduring agro-ecological resilience, aligning with imperatives for climate-smart intensification in resource-scarce tropical landscapes</w:t>
      </w:r>
      <w:r w:rsidRPr="00F13549">
        <w:rPr>
          <w:bCs/>
        </w:rPr>
        <w:t>.</w:t>
      </w:r>
    </w:p>
    <w:p w14:paraId="20AD6A78" w14:textId="77777777" w:rsidR="00CC6E09" w:rsidRPr="00F13549" w:rsidRDefault="00CC6E09" w:rsidP="00CC6E09">
      <w:pPr>
        <w:spacing w:after="0" w:line="240" w:lineRule="atLeast"/>
        <w:jc w:val="both"/>
        <w:rPr>
          <w:rFonts w:ascii="Arial" w:hAnsi="Arial" w:cs="Arial"/>
          <w:bCs/>
          <w:i/>
          <w:sz w:val="20"/>
          <w:szCs w:val="20"/>
        </w:rPr>
      </w:pPr>
      <w:r w:rsidRPr="00F13549">
        <w:rPr>
          <w:rFonts w:ascii="Arial" w:hAnsi="Arial" w:cs="Arial"/>
          <w:bCs/>
          <w:i/>
          <w:sz w:val="20"/>
          <w:szCs w:val="20"/>
        </w:rPr>
        <w:t>Table 1: Representative Biochar Feedstock and Expected Properties</w:t>
      </w:r>
    </w:p>
    <w:tbl>
      <w:tblPr>
        <w:tblW w:w="0" w:type="auto"/>
        <w:tblLook w:val="04A0" w:firstRow="1" w:lastRow="0" w:firstColumn="1" w:lastColumn="0" w:noHBand="0" w:noVBand="1"/>
      </w:tblPr>
      <w:tblGrid>
        <w:gridCol w:w="1728"/>
        <w:gridCol w:w="2160"/>
        <w:gridCol w:w="1890"/>
        <w:gridCol w:w="2862"/>
      </w:tblGrid>
      <w:tr w:rsidR="00CC6E09" w:rsidRPr="00F13549" w14:paraId="52D4F3E5" w14:textId="77777777" w:rsidTr="001526A6">
        <w:tc>
          <w:tcPr>
            <w:tcW w:w="1728" w:type="dxa"/>
            <w:tcBorders>
              <w:top w:val="single" w:sz="4" w:space="0" w:color="auto"/>
              <w:bottom w:val="single" w:sz="4" w:space="0" w:color="auto"/>
            </w:tcBorders>
          </w:tcPr>
          <w:p w14:paraId="37DA4C1F"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Feedstock</w:t>
            </w:r>
          </w:p>
        </w:tc>
        <w:tc>
          <w:tcPr>
            <w:tcW w:w="2160" w:type="dxa"/>
            <w:tcBorders>
              <w:top w:val="single" w:sz="4" w:space="0" w:color="auto"/>
              <w:bottom w:val="single" w:sz="4" w:space="0" w:color="auto"/>
            </w:tcBorders>
          </w:tcPr>
          <w:p w14:paraId="4CA70286" w14:textId="77777777" w:rsidR="00CC6E09" w:rsidRPr="00F13549" w:rsidRDefault="00CC6E09" w:rsidP="001526A6">
            <w:pPr>
              <w:spacing w:after="0" w:line="240" w:lineRule="atLeast"/>
              <w:jc w:val="center"/>
              <w:rPr>
                <w:rFonts w:ascii="Arial" w:hAnsi="Arial" w:cs="Arial"/>
                <w:bCs/>
                <w:sz w:val="20"/>
                <w:szCs w:val="20"/>
              </w:rPr>
            </w:pPr>
            <w:r w:rsidRPr="00F13549">
              <w:rPr>
                <w:rFonts w:ascii="Arial" w:hAnsi="Arial" w:cs="Arial"/>
                <w:bCs/>
                <w:sz w:val="20"/>
                <w:szCs w:val="20"/>
              </w:rPr>
              <w:t>Pyrolysis</w:t>
            </w:r>
          </w:p>
          <w:p w14:paraId="3E18B089" w14:textId="77777777" w:rsidR="00CC6E09" w:rsidRPr="00F13549" w:rsidRDefault="00CC6E09" w:rsidP="001526A6">
            <w:pPr>
              <w:spacing w:after="0" w:line="240" w:lineRule="atLeast"/>
              <w:jc w:val="center"/>
              <w:rPr>
                <w:rFonts w:ascii="Arial" w:hAnsi="Arial" w:cs="Arial"/>
                <w:bCs/>
                <w:sz w:val="20"/>
                <w:szCs w:val="20"/>
              </w:rPr>
            </w:pPr>
            <w:r w:rsidRPr="00F13549">
              <w:rPr>
                <w:rFonts w:ascii="Arial" w:hAnsi="Arial" w:cs="Arial"/>
                <w:bCs/>
                <w:sz w:val="20"/>
                <w:szCs w:val="20"/>
              </w:rPr>
              <w:t>Temperature (°C)</w:t>
            </w:r>
          </w:p>
        </w:tc>
        <w:tc>
          <w:tcPr>
            <w:tcW w:w="1890" w:type="dxa"/>
            <w:tcBorders>
              <w:top w:val="single" w:sz="4" w:space="0" w:color="auto"/>
              <w:bottom w:val="single" w:sz="4" w:space="0" w:color="auto"/>
            </w:tcBorders>
          </w:tcPr>
          <w:p w14:paraId="54395A26"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Expected pH</w:t>
            </w:r>
          </w:p>
        </w:tc>
        <w:tc>
          <w:tcPr>
            <w:tcW w:w="2862" w:type="dxa"/>
            <w:tcBorders>
              <w:top w:val="single" w:sz="4" w:space="0" w:color="auto"/>
              <w:bottom w:val="single" w:sz="4" w:space="0" w:color="auto"/>
            </w:tcBorders>
          </w:tcPr>
          <w:p w14:paraId="3744509A"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Typical Benefits</w:t>
            </w:r>
          </w:p>
        </w:tc>
      </w:tr>
      <w:tr w:rsidR="00CC6E09" w:rsidRPr="00F13549" w14:paraId="29CE0470" w14:textId="77777777" w:rsidTr="001526A6">
        <w:tc>
          <w:tcPr>
            <w:tcW w:w="1728" w:type="dxa"/>
            <w:tcBorders>
              <w:top w:val="single" w:sz="4" w:space="0" w:color="auto"/>
            </w:tcBorders>
          </w:tcPr>
          <w:p w14:paraId="4E9D6AC3" w14:textId="77777777" w:rsidR="00CC6E09" w:rsidRPr="00F13549" w:rsidRDefault="00CC6E09" w:rsidP="001526A6">
            <w:pPr>
              <w:rPr>
                <w:rFonts w:ascii="Arial" w:hAnsi="Arial" w:cs="Arial"/>
                <w:bCs/>
                <w:sz w:val="20"/>
                <w:szCs w:val="20"/>
              </w:rPr>
            </w:pPr>
            <w:r w:rsidRPr="00F13549">
              <w:rPr>
                <w:rFonts w:ascii="Arial" w:hAnsi="Arial" w:cs="Arial"/>
                <w:bCs/>
                <w:sz w:val="20"/>
                <w:szCs w:val="20"/>
              </w:rPr>
              <w:t>Rice Husk</w:t>
            </w:r>
          </w:p>
        </w:tc>
        <w:tc>
          <w:tcPr>
            <w:tcW w:w="2160" w:type="dxa"/>
            <w:tcBorders>
              <w:top w:val="single" w:sz="4" w:space="0" w:color="auto"/>
            </w:tcBorders>
          </w:tcPr>
          <w:p w14:paraId="08159B20"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400-600</w:t>
            </w:r>
          </w:p>
        </w:tc>
        <w:tc>
          <w:tcPr>
            <w:tcW w:w="1890" w:type="dxa"/>
            <w:tcBorders>
              <w:top w:val="single" w:sz="4" w:space="0" w:color="auto"/>
            </w:tcBorders>
          </w:tcPr>
          <w:p w14:paraId="3FECDDC3"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6-9</w:t>
            </w:r>
          </w:p>
        </w:tc>
        <w:tc>
          <w:tcPr>
            <w:tcW w:w="2862" w:type="dxa"/>
            <w:tcBorders>
              <w:top w:val="single" w:sz="4" w:space="0" w:color="auto"/>
            </w:tcBorders>
          </w:tcPr>
          <w:p w14:paraId="7D045216"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Silica-rich, liming potential, increases porosity</w:t>
            </w:r>
          </w:p>
        </w:tc>
      </w:tr>
      <w:tr w:rsidR="00CC6E09" w:rsidRPr="00F13549" w14:paraId="3804F735" w14:textId="77777777" w:rsidTr="001526A6">
        <w:tc>
          <w:tcPr>
            <w:tcW w:w="1728" w:type="dxa"/>
          </w:tcPr>
          <w:p w14:paraId="5F8D0CA2" w14:textId="77777777" w:rsidR="00CC6E09" w:rsidRPr="00F13549" w:rsidRDefault="00CC6E09" w:rsidP="001526A6">
            <w:pPr>
              <w:rPr>
                <w:rFonts w:ascii="Arial" w:hAnsi="Arial" w:cs="Arial"/>
                <w:bCs/>
                <w:sz w:val="20"/>
                <w:szCs w:val="20"/>
              </w:rPr>
            </w:pPr>
            <w:r w:rsidRPr="00F13549">
              <w:rPr>
                <w:rFonts w:ascii="Arial" w:hAnsi="Arial" w:cs="Arial"/>
                <w:bCs/>
                <w:sz w:val="20"/>
                <w:szCs w:val="20"/>
              </w:rPr>
              <w:t>Maize Cob</w:t>
            </w:r>
          </w:p>
        </w:tc>
        <w:tc>
          <w:tcPr>
            <w:tcW w:w="2160" w:type="dxa"/>
          </w:tcPr>
          <w:p w14:paraId="412A9BC9"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350-500</w:t>
            </w:r>
          </w:p>
        </w:tc>
        <w:tc>
          <w:tcPr>
            <w:tcW w:w="1890" w:type="dxa"/>
          </w:tcPr>
          <w:p w14:paraId="1AA74E4E"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6-8</w:t>
            </w:r>
          </w:p>
        </w:tc>
        <w:tc>
          <w:tcPr>
            <w:tcW w:w="2862" w:type="dxa"/>
          </w:tcPr>
          <w:p w14:paraId="1F73C979"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Good porosity, moderate nutrient retention</w:t>
            </w:r>
          </w:p>
        </w:tc>
      </w:tr>
      <w:tr w:rsidR="00CC6E09" w:rsidRPr="00F13549" w14:paraId="0A1A0DD8" w14:textId="77777777" w:rsidTr="001526A6">
        <w:tc>
          <w:tcPr>
            <w:tcW w:w="1728" w:type="dxa"/>
            <w:tcBorders>
              <w:bottom w:val="single" w:sz="4" w:space="0" w:color="auto"/>
            </w:tcBorders>
          </w:tcPr>
          <w:p w14:paraId="318C7456" w14:textId="77777777" w:rsidR="00CC6E09" w:rsidRPr="00F13549" w:rsidRDefault="00CC6E09" w:rsidP="001526A6">
            <w:pPr>
              <w:rPr>
                <w:rFonts w:ascii="Arial" w:hAnsi="Arial" w:cs="Arial"/>
                <w:bCs/>
                <w:sz w:val="20"/>
                <w:szCs w:val="20"/>
              </w:rPr>
            </w:pPr>
            <w:r w:rsidRPr="00F13549">
              <w:rPr>
                <w:rFonts w:ascii="Arial" w:hAnsi="Arial" w:cs="Arial"/>
                <w:bCs/>
                <w:sz w:val="20"/>
                <w:szCs w:val="20"/>
              </w:rPr>
              <w:t>Cassava Peels</w:t>
            </w:r>
          </w:p>
        </w:tc>
        <w:tc>
          <w:tcPr>
            <w:tcW w:w="2160" w:type="dxa"/>
            <w:tcBorders>
              <w:bottom w:val="single" w:sz="4" w:space="0" w:color="auto"/>
            </w:tcBorders>
          </w:tcPr>
          <w:p w14:paraId="7457D70A"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300-500</w:t>
            </w:r>
          </w:p>
        </w:tc>
        <w:tc>
          <w:tcPr>
            <w:tcW w:w="1890" w:type="dxa"/>
            <w:tcBorders>
              <w:bottom w:val="single" w:sz="4" w:space="0" w:color="auto"/>
            </w:tcBorders>
          </w:tcPr>
          <w:p w14:paraId="68E185A1"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5.5-7.5</w:t>
            </w:r>
          </w:p>
        </w:tc>
        <w:tc>
          <w:tcPr>
            <w:tcW w:w="2862" w:type="dxa"/>
            <w:tcBorders>
              <w:bottom w:val="single" w:sz="4" w:space="0" w:color="auto"/>
            </w:tcBorders>
          </w:tcPr>
          <w:p w14:paraId="2ED05A04" w14:textId="77777777" w:rsidR="00CC6E09" w:rsidRPr="00F13549" w:rsidRDefault="00CC6E09" w:rsidP="001526A6">
            <w:pPr>
              <w:spacing w:after="0" w:line="240" w:lineRule="atLeast"/>
              <w:jc w:val="both"/>
              <w:rPr>
                <w:rFonts w:ascii="Arial" w:hAnsi="Arial" w:cs="Arial"/>
                <w:bCs/>
                <w:sz w:val="20"/>
                <w:szCs w:val="20"/>
              </w:rPr>
            </w:pPr>
            <w:r w:rsidRPr="00F13549">
              <w:rPr>
                <w:rFonts w:ascii="Arial" w:hAnsi="Arial" w:cs="Arial"/>
                <w:bCs/>
                <w:sz w:val="20"/>
                <w:szCs w:val="20"/>
              </w:rPr>
              <w:t>Adds labile carbon, may release potassium</w:t>
            </w:r>
          </w:p>
        </w:tc>
      </w:tr>
    </w:tbl>
    <w:p w14:paraId="2491C866" w14:textId="77777777" w:rsidR="00426CC0" w:rsidRPr="00F13549" w:rsidRDefault="00426CC0" w:rsidP="00426CC0">
      <w:pPr>
        <w:jc w:val="both"/>
        <w:rPr>
          <w:rFonts w:ascii="Arial" w:hAnsi="Arial" w:cs="Arial"/>
          <w:bCs/>
          <w:i/>
          <w:sz w:val="20"/>
          <w:szCs w:val="20"/>
        </w:rPr>
      </w:pPr>
      <w:r w:rsidRPr="00F13549">
        <w:rPr>
          <w:rFonts w:ascii="Arial" w:hAnsi="Arial" w:cs="Arial"/>
          <w:bCs/>
          <w:i/>
        </w:rPr>
        <w:t>*</w:t>
      </w:r>
      <w:r w:rsidRPr="00F13549">
        <w:rPr>
          <w:rFonts w:ascii="Arial" w:hAnsi="Arial" w:cs="Arial"/>
          <w:bCs/>
          <w:i/>
          <w:sz w:val="20"/>
          <w:szCs w:val="20"/>
        </w:rPr>
        <w:t>Properties based on typical pyrolysis conditions (Oladele et al., 2022)</w:t>
      </w:r>
    </w:p>
    <w:p w14:paraId="07C1BBFD" w14:textId="77777777" w:rsidR="00426CC0" w:rsidRPr="00F13549" w:rsidRDefault="00426CC0" w:rsidP="00426CC0">
      <w:pPr>
        <w:jc w:val="both"/>
        <w:rPr>
          <w:rFonts w:ascii="Arial" w:hAnsi="Arial" w:cs="Arial"/>
          <w:bCs/>
          <w:sz w:val="20"/>
          <w:szCs w:val="20"/>
        </w:rPr>
      </w:pPr>
    </w:p>
    <w:p w14:paraId="2E557E9A" w14:textId="77777777" w:rsidR="00426CC0" w:rsidRPr="00F13549" w:rsidRDefault="00426CC0" w:rsidP="00426CC0">
      <w:pPr>
        <w:jc w:val="both"/>
        <w:rPr>
          <w:rFonts w:ascii="Arial" w:hAnsi="Arial" w:cs="Arial"/>
          <w:bCs/>
        </w:rPr>
      </w:pPr>
      <w:r w:rsidRPr="00F13549">
        <w:rPr>
          <w:rFonts w:ascii="Arial" w:hAnsi="Arial" w:cs="Arial"/>
          <w:bCs/>
        </w:rPr>
        <w:t>ARBUSCULAR MYCORRHIZAL FUNGI (AMF): ECOLOGY AND FUNCTION</w:t>
      </w:r>
    </w:p>
    <w:p w14:paraId="20E69B6F" w14:textId="77777777" w:rsidR="00426CC0" w:rsidRPr="00F13549" w:rsidRDefault="00426CC0" w:rsidP="00426CC0">
      <w:pPr>
        <w:jc w:val="both"/>
        <w:rPr>
          <w:rFonts w:ascii="Arial" w:hAnsi="Arial" w:cs="Arial"/>
          <w:bCs/>
        </w:rPr>
      </w:pPr>
      <w:r w:rsidRPr="00F13549">
        <w:rPr>
          <w:rFonts w:ascii="Arial" w:hAnsi="Arial" w:cs="Arial"/>
          <w:bCs/>
        </w:rPr>
        <w:t>AMF are obligate symbionts that enhance P and micronutrient uptake and improve drought resilience. Their effectiveness varies by soil type and host species. Recent studies have documented regional variability of AMF-crop interactions in southern Nigeria (</w:t>
      </w:r>
      <w:proofErr w:type="spellStart"/>
      <w:r w:rsidRPr="00F13549">
        <w:rPr>
          <w:rFonts w:ascii="Arial" w:hAnsi="Arial" w:cs="Arial"/>
          <w:bCs/>
        </w:rPr>
        <w:t>Thanni</w:t>
      </w:r>
      <w:proofErr w:type="spellEnd"/>
      <w:r w:rsidRPr="00F13549">
        <w:rPr>
          <w:rFonts w:ascii="Arial" w:hAnsi="Arial" w:cs="Arial"/>
          <w:bCs/>
        </w:rPr>
        <w:t xml:space="preserve"> </w:t>
      </w:r>
      <w:r w:rsidRPr="00F13549">
        <w:rPr>
          <w:rFonts w:ascii="Arial" w:hAnsi="Arial" w:cs="Arial"/>
          <w:bCs/>
          <w:i/>
        </w:rPr>
        <w:t>et al.,</w:t>
      </w:r>
      <w:r w:rsidRPr="00F13549">
        <w:rPr>
          <w:rFonts w:ascii="Arial" w:hAnsi="Arial" w:cs="Arial"/>
          <w:bCs/>
        </w:rPr>
        <w:t xml:space="preserve"> 2022; </w:t>
      </w:r>
      <w:proofErr w:type="spellStart"/>
      <w:r w:rsidRPr="00F13549">
        <w:rPr>
          <w:rFonts w:ascii="Arial" w:hAnsi="Arial" w:cs="Arial"/>
          <w:bCs/>
        </w:rPr>
        <w:t>Olojugba</w:t>
      </w:r>
      <w:proofErr w:type="spellEnd"/>
      <w:r w:rsidRPr="00F13549">
        <w:rPr>
          <w:rFonts w:ascii="Arial" w:hAnsi="Arial" w:cs="Arial"/>
          <w:bCs/>
        </w:rPr>
        <w:t xml:space="preserve"> </w:t>
      </w:r>
      <w:r w:rsidRPr="00F13549">
        <w:rPr>
          <w:rFonts w:ascii="Arial" w:hAnsi="Arial" w:cs="Arial"/>
          <w:bCs/>
          <w:i/>
        </w:rPr>
        <w:t xml:space="preserve">et al., </w:t>
      </w:r>
      <w:r w:rsidRPr="00F13549">
        <w:rPr>
          <w:rFonts w:ascii="Arial" w:hAnsi="Arial" w:cs="Arial"/>
          <w:bCs/>
        </w:rPr>
        <w:t>2024).</w:t>
      </w:r>
    </w:p>
    <w:p w14:paraId="49E5C1B9" w14:textId="77777777" w:rsidR="00CC6E09" w:rsidRPr="00F13549" w:rsidRDefault="00CC6E09" w:rsidP="00426CC0">
      <w:pPr>
        <w:jc w:val="both"/>
        <w:rPr>
          <w:rFonts w:ascii="Arial" w:hAnsi="Arial" w:cs="Arial"/>
          <w:bCs/>
        </w:rPr>
      </w:pPr>
    </w:p>
    <w:p w14:paraId="0E45AC3A" w14:textId="77777777" w:rsidR="00426CC0" w:rsidRPr="00F13549" w:rsidRDefault="00426CC0" w:rsidP="00426CC0">
      <w:pPr>
        <w:jc w:val="both"/>
        <w:rPr>
          <w:rFonts w:ascii="Arial" w:hAnsi="Arial" w:cs="Arial"/>
          <w:bCs/>
          <w:i/>
        </w:rPr>
      </w:pPr>
      <w:r w:rsidRPr="00F13549">
        <w:rPr>
          <w:rFonts w:ascii="Arial" w:hAnsi="Arial" w:cs="Arial"/>
          <w:bCs/>
          <w:i/>
        </w:rPr>
        <w:t>Table 2.</w:t>
      </w:r>
      <w:r w:rsidRPr="00F13549">
        <w:rPr>
          <w:rFonts w:ascii="Arial" w:hAnsi="Arial" w:cs="Arial"/>
          <w:bCs/>
          <w:i/>
        </w:rPr>
        <w:tab/>
        <w:t>Selected AMF Studies Relevant to Nigerian Crops</w:t>
      </w:r>
    </w:p>
    <w:tbl>
      <w:tblPr>
        <w:tblW w:w="0" w:type="auto"/>
        <w:tblLook w:val="04A0" w:firstRow="1" w:lastRow="0" w:firstColumn="1" w:lastColumn="0" w:noHBand="0" w:noVBand="1"/>
      </w:tblPr>
      <w:tblGrid>
        <w:gridCol w:w="1998"/>
        <w:gridCol w:w="1260"/>
        <w:gridCol w:w="2430"/>
        <w:gridCol w:w="2952"/>
      </w:tblGrid>
      <w:tr w:rsidR="00CC6E09" w:rsidRPr="00F13549" w14:paraId="08F16BE4" w14:textId="77777777" w:rsidTr="001526A6">
        <w:tc>
          <w:tcPr>
            <w:tcW w:w="1998" w:type="dxa"/>
            <w:tcBorders>
              <w:top w:val="single" w:sz="4" w:space="0" w:color="auto"/>
              <w:bottom w:val="single" w:sz="4" w:space="0" w:color="auto"/>
            </w:tcBorders>
          </w:tcPr>
          <w:p w14:paraId="21ECF4A1" w14:textId="77777777" w:rsidR="00CC6E09" w:rsidRPr="00F13549" w:rsidRDefault="00CC6E09" w:rsidP="00CC6E09">
            <w:pPr>
              <w:spacing w:line="480" w:lineRule="auto"/>
              <w:jc w:val="both"/>
              <w:rPr>
                <w:rFonts w:ascii="Arial" w:hAnsi="Arial" w:cs="Arial"/>
                <w:bCs/>
                <w:sz w:val="20"/>
                <w:szCs w:val="20"/>
              </w:rPr>
            </w:pPr>
            <w:r w:rsidRPr="00F13549">
              <w:rPr>
                <w:rFonts w:ascii="Arial" w:hAnsi="Arial" w:cs="Arial"/>
                <w:bCs/>
                <w:sz w:val="20"/>
                <w:szCs w:val="20"/>
              </w:rPr>
              <w:t>Study</w:t>
            </w:r>
          </w:p>
        </w:tc>
        <w:tc>
          <w:tcPr>
            <w:tcW w:w="1260" w:type="dxa"/>
            <w:tcBorders>
              <w:top w:val="single" w:sz="4" w:space="0" w:color="auto"/>
              <w:bottom w:val="single" w:sz="4" w:space="0" w:color="auto"/>
            </w:tcBorders>
          </w:tcPr>
          <w:p w14:paraId="1A7189E0" w14:textId="77777777" w:rsidR="00CC6E09" w:rsidRPr="00F13549" w:rsidRDefault="00CC6E09" w:rsidP="00CC6E09">
            <w:pPr>
              <w:spacing w:line="480" w:lineRule="auto"/>
              <w:jc w:val="center"/>
              <w:rPr>
                <w:rFonts w:ascii="Arial" w:hAnsi="Arial" w:cs="Arial"/>
                <w:bCs/>
                <w:sz w:val="20"/>
                <w:szCs w:val="20"/>
              </w:rPr>
            </w:pPr>
            <w:r w:rsidRPr="00F13549">
              <w:rPr>
                <w:rFonts w:ascii="Arial" w:hAnsi="Arial" w:cs="Arial"/>
                <w:bCs/>
                <w:sz w:val="20"/>
                <w:szCs w:val="20"/>
              </w:rPr>
              <w:t>Crop</w:t>
            </w:r>
          </w:p>
        </w:tc>
        <w:tc>
          <w:tcPr>
            <w:tcW w:w="2430" w:type="dxa"/>
            <w:tcBorders>
              <w:top w:val="single" w:sz="4" w:space="0" w:color="auto"/>
              <w:bottom w:val="single" w:sz="4" w:space="0" w:color="auto"/>
            </w:tcBorders>
          </w:tcPr>
          <w:p w14:paraId="10C3117F" w14:textId="77777777" w:rsidR="00CC6E09" w:rsidRPr="00F13549" w:rsidRDefault="00CC6E09" w:rsidP="00CC6E09">
            <w:pPr>
              <w:spacing w:line="480" w:lineRule="auto"/>
              <w:jc w:val="center"/>
              <w:rPr>
                <w:rFonts w:ascii="Arial" w:hAnsi="Arial" w:cs="Arial"/>
                <w:bCs/>
                <w:sz w:val="20"/>
                <w:szCs w:val="20"/>
              </w:rPr>
            </w:pPr>
            <w:r w:rsidRPr="00F13549">
              <w:rPr>
                <w:rFonts w:ascii="Arial" w:hAnsi="Arial" w:cs="Arial"/>
                <w:bCs/>
                <w:sz w:val="20"/>
                <w:szCs w:val="20"/>
              </w:rPr>
              <w:t>Location</w:t>
            </w:r>
          </w:p>
        </w:tc>
        <w:tc>
          <w:tcPr>
            <w:tcW w:w="2952" w:type="dxa"/>
            <w:tcBorders>
              <w:top w:val="single" w:sz="4" w:space="0" w:color="auto"/>
              <w:bottom w:val="single" w:sz="4" w:space="0" w:color="auto"/>
            </w:tcBorders>
          </w:tcPr>
          <w:p w14:paraId="2682F4AE" w14:textId="77777777" w:rsidR="00CC6E09" w:rsidRPr="00F13549" w:rsidRDefault="00CC6E09" w:rsidP="00CC6E09">
            <w:pPr>
              <w:spacing w:line="480" w:lineRule="auto"/>
              <w:jc w:val="center"/>
              <w:rPr>
                <w:rFonts w:ascii="Arial" w:hAnsi="Arial" w:cs="Arial"/>
                <w:bCs/>
                <w:sz w:val="20"/>
                <w:szCs w:val="20"/>
              </w:rPr>
            </w:pPr>
            <w:r w:rsidRPr="00F13549">
              <w:rPr>
                <w:rFonts w:ascii="Arial" w:hAnsi="Arial" w:cs="Arial"/>
                <w:bCs/>
                <w:sz w:val="20"/>
                <w:szCs w:val="20"/>
              </w:rPr>
              <w:t>Key Outcome</w:t>
            </w:r>
          </w:p>
        </w:tc>
      </w:tr>
      <w:tr w:rsidR="00CC6E09" w:rsidRPr="00F13549" w14:paraId="29392873" w14:textId="77777777" w:rsidTr="001526A6">
        <w:tc>
          <w:tcPr>
            <w:tcW w:w="1998" w:type="dxa"/>
            <w:tcBorders>
              <w:top w:val="single" w:sz="4" w:space="0" w:color="auto"/>
            </w:tcBorders>
          </w:tcPr>
          <w:p w14:paraId="30C4B18B" w14:textId="77777777" w:rsidR="00CC6E09" w:rsidRPr="00F13549" w:rsidRDefault="00CC6E09" w:rsidP="00CC6E09">
            <w:pPr>
              <w:spacing w:after="0"/>
              <w:jc w:val="both"/>
              <w:rPr>
                <w:rFonts w:ascii="Arial" w:hAnsi="Arial" w:cs="Arial"/>
                <w:bCs/>
                <w:sz w:val="20"/>
                <w:szCs w:val="20"/>
              </w:rPr>
            </w:pPr>
            <w:proofErr w:type="spellStart"/>
            <w:r w:rsidRPr="00F13549">
              <w:rPr>
                <w:rFonts w:ascii="Arial" w:hAnsi="Arial" w:cs="Arial"/>
                <w:bCs/>
                <w:sz w:val="20"/>
                <w:szCs w:val="20"/>
              </w:rPr>
              <w:t>Thanni</w:t>
            </w:r>
            <w:proofErr w:type="spellEnd"/>
            <w:r w:rsidRPr="00F13549">
              <w:rPr>
                <w:rFonts w:ascii="Arial" w:hAnsi="Arial" w:cs="Arial"/>
                <w:bCs/>
                <w:sz w:val="20"/>
                <w:szCs w:val="20"/>
              </w:rPr>
              <w:t xml:space="preserve"> </w:t>
            </w:r>
            <w:r w:rsidRPr="00F13549">
              <w:rPr>
                <w:rFonts w:ascii="Arial" w:hAnsi="Arial" w:cs="Arial"/>
                <w:bCs/>
                <w:i/>
                <w:sz w:val="20"/>
                <w:szCs w:val="20"/>
              </w:rPr>
              <w:t>et al.</w:t>
            </w:r>
            <w:r w:rsidRPr="00F13549">
              <w:rPr>
                <w:rFonts w:ascii="Arial" w:hAnsi="Arial" w:cs="Arial"/>
                <w:bCs/>
                <w:sz w:val="20"/>
                <w:szCs w:val="20"/>
              </w:rPr>
              <w:t xml:space="preserve"> (2022)</w:t>
            </w:r>
          </w:p>
        </w:tc>
        <w:tc>
          <w:tcPr>
            <w:tcW w:w="1260" w:type="dxa"/>
            <w:tcBorders>
              <w:top w:val="single" w:sz="4" w:space="0" w:color="auto"/>
            </w:tcBorders>
          </w:tcPr>
          <w:p w14:paraId="04DBDF51" w14:textId="77777777" w:rsidR="00CC6E09" w:rsidRPr="00F13549" w:rsidRDefault="00CC6E09" w:rsidP="00CC6E09">
            <w:pPr>
              <w:spacing w:after="0"/>
              <w:jc w:val="center"/>
              <w:rPr>
                <w:rFonts w:ascii="Arial" w:hAnsi="Arial" w:cs="Arial"/>
                <w:bCs/>
                <w:sz w:val="20"/>
                <w:szCs w:val="20"/>
              </w:rPr>
            </w:pPr>
            <w:r w:rsidRPr="00F13549">
              <w:rPr>
                <w:rFonts w:ascii="Arial" w:hAnsi="Arial" w:cs="Arial"/>
                <w:bCs/>
                <w:sz w:val="20"/>
                <w:szCs w:val="20"/>
              </w:rPr>
              <w:t>Cassava</w:t>
            </w:r>
          </w:p>
        </w:tc>
        <w:tc>
          <w:tcPr>
            <w:tcW w:w="2430" w:type="dxa"/>
            <w:tcBorders>
              <w:top w:val="single" w:sz="4" w:space="0" w:color="auto"/>
            </w:tcBorders>
          </w:tcPr>
          <w:p w14:paraId="0212D449" w14:textId="77777777" w:rsidR="00CC6E09" w:rsidRPr="00F13549" w:rsidRDefault="00CC6E09" w:rsidP="00CC6E09">
            <w:pPr>
              <w:spacing w:after="0"/>
              <w:jc w:val="center"/>
              <w:rPr>
                <w:rFonts w:ascii="Arial" w:hAnsi="Arial" w:cs="Arial"/>
                <w:bCs/>
                <w:sz w:val="20"/>
                <w:szCs w:val="20"/>
              </w:rPr>
            </w:pPr>
            <w:r w:rsidRPr="00F13549">
              <w:rPr>
                <w:rFonts w:ascii="Arial" w:hAnsi="Arial" w:cs="Arial"/>
                <w:bCs/>
                <w:sz w:val="20"/>
                <w:szCs w:val="20"/>
              </w:rPr>
              <w:t>Southern Nigeria</w:t>
            </w:r>
          </w:p>
        </w:tc>
        <w:tc>
          <w:tcPr>
            <w:tcW w:w="2952" w:type="dxa"/>
            <w:tcBorders>
              <w:top w:val="single" w:sz="4" w:space="0" w:color="auto"/>
            </w:tcBorders>
          </w:tcPr>
          <w:p w14:paraId="2766AE4B" w14:textId="77777777" w:rsidR="00CC6E09" w:rsidRPr="00F13549" w:rsidRDefault="00CC6E09" w:rsidP="00CC6E09">
            <w:pPr>
              <w:spacing w:after="0"/>
              <w:jc w:val="both"/>
              <w:rPr>
                <w:rFonts w:ascii="Arial" w:hAnsi="Arial" w:cs="Arial"/>
                <w:bCs/>
                <w:sz w:val="20"/>
                <w:szCs w:val="20"/>
              </w:rPr>
            </w:pPr>
            <w:r w:rsidRPr="00F13549">
              <w:rPr>
                <w:rFonts w:ascii="Arial" w:hAnsi="Arial" w:cs="Arial"/>
                <w:bCs/>
                <w:sz w:val="20"/>
                <w:szCs w:val="20"/>
              </w:rPr>
              <w:t>Native AMF variability and benefits</w:t>
            </w:r>
          </w:p>
        </w:tc>
      </w:tr>
      <w:tr w:rsidR="00CC6E09" w:rsidRPr="00F13549" w14:paraId="3E84F37B" w14:textId="77777777" w:rsidTr="001526A6">
        <w:tc>
          <w:tcPr>
            <w:tcW w:w="1998" w:type="dxa"/>
            <w:tcBorders>
              <w:bottom w:val="single" w:sz="4" w:space="0" w:color="auto"/>
            </w:tcBorders>
          </w:tcPr>
          <w:p w14:paraId="10D18CE9" w14:textId="77777777" w:rsidR="00CC6E09" w:rsidRPr="00F13549" w:rsidRDefault="00CC6E09" w:rsidP="00CC6E09">
            <w:pPr>
              <w:spacing w:after="0" w:line="240" w:lineRule="atLeast"/>
              <w:jc w:val="both"/>
              <w:rPr>
                <w:rFonts w:ascii="Arial" w:hAnsi="Arial" w:cs="Arial"/>
                <w:bCs/>
                <w:sz w:val="20"/>
                <w:szCs w:val="20"/>
              </w:rPr>
            </w:pPr>
            <w:proofErr w:type="spellStart"/>
            <w:r w:rsidRPr="00F13549">
              <w:rPr>
                <w:rFonts w:ascii="Arial" w:hAnsi="Arial" w:cs="Arial"/>
                <w:bCs/>
                <w:sz w:val="20"/>
                <w:szCs w:val="20"/>
              </w:rPr>
              <w:t>Olojugba</w:t>
            </w:r>
            <w:proofErr w:type="spellEnd"/>
            <w:r w:rsidRPr="00F13549">
              <w:rPr>
                <w:rFonts w:ascii="Arial" w:hAnsi="Arial" w:cs="Arial"/>
                <w:bCs/>
                <w:sz w:val="20"/>
                <w:szCs w:val="20"/>
              </w:rPr>
              <w:t xml:space="preserve"> </w:t>
            </w:r>
            <w:r w:rsidRPr="00F13549">
              <w:rPr>
                <w:rFonts w:ascii="Arial" w:hAnsi="Arial" w:cs="Arial"/>
                <w:bCs/>
                <w:i/>
                <w:sz w:val="20"/>
                <w:szCs w:val="20"/>
              </w:rPr>
              <w:t>et al.</w:t>
            </w:r>
            <w:r w:rsidRPr="00F13549">
              <w:rPr>
                <w:rFonts w:ascii="Arial" w:hAnsi="Arial" w:cs="Arial"/>
                <w:bCs/>
                <w:sz w:val="20"/>
                <w:szCs w:val="20"/>
              </w:rPr>
              <w:t xml:space="preserve"> (2024)</w:t>
            </w:r>
          </w:p>
        </w:tc>
        <w:tc>
          <w:tcPr>
            <w:tcW w:w="1260" w:type="dxa"/>
            <w:tcBorders>
              <w:bottom w:val="single" w:sz="4" w:space="0" w:color="auto"/>
            </w:tcBorders>
          </w:tcPr>
          <w:p w14:paraId="521784E9" w14:textId="77777777" w:rsidR="00CC6E09" w:rsidRPr="00F13549" w:rsidRDefault="00CC6E09" w:rsidP="00CC6E09">
            <w:pPr>
              <w:spacing w:after="0"/>
              <w:jc w:val="center"/>
              <w:rPr>
                <w:rFonts w:ascii="Arial" w:hAnsi="Arial" w:cs="Arial"/>
                <w:bCs/>
                <w:sz w:val="20"/>
                <w:szCs w:val="20"/>
              </w:rPr>
            </w:pPr>
            <w:r w:rsidRPr="00F13549">
              <w:rPr>
                <w:rFonts w:ascii="Arial" w:hAnsi="Arial" w:cs="Arial"/>
                <w:bCs/>
                <w:sz w:val="20"/>
                <w:szCs w:val="20"/>
              </w:rPr>
              <w:t>Cassava</w:t>
            </w:r>
          </w:p>
        </w:tc>
        <w:tc>
          <w:tcPr>
            <w:tcW w:w="2430" w:type="dxa"/>
            <w:tcBorders>
              <w:bottom w:val="single" w:sz="4" w:space="0" w:color="auto"/>
            </w:tcBorders>
          </w:tcPr>
          <w:p w14:paraId="6B52B64F" w14:textId="77777777" w:rsidR="00CC6E09" w:rsidRPr="00F13549" w:rsidRDefault="00CC6E09" w:rsidP="00CC6E09">
            <w:pPr>
              <w:spacing w:after="0"/>
              <w:jc w:val="center"/>
              <w:rPr>
                <w:rFonts w:ascii="Arial" w:hAnsi="Arial" w:cs="Arial"/>
                <w:bCs/>
                <w:sz w:val="20"/>
                <w:szCs w:val="20"/>
              </w:rPr>
            </w:pPr>
            <w:proofErr w:type="spellStart"/>
            <w:r w:rsidRPr="00F13549">
              <w:rPr>
                <w:rFonts w:ascii="Arial" w:hAnsi="Arial" w:cs="Arial"/>
                <w:bCs/>
                <w:sz w:val="20"/>
                <w:szCs w:val="20"/>
              </w:rPr>
              <w:t>Okitipupa</w:t>
            </w:r>
            <w:proofErr w:type="spellEnd"/>
          </w:p>
        </w:tc>
        <w:tc>
          <w:tcPr>
            <w:tcW w:w="2952" w:type="dxa"/>
            <w:tcBorders>
              <w:bottom w:val="single" w:sz="4" w:space="0" w:color="auto"/>
            </w:tcBorders>
          </w:tcPr>
          <w:p w14:paraId="5F28E278" w14:textId="77777777" w:rsidR="00CC6E09" w:rsidRPr="00F13549" w:rsidRDefault="00CC6E09" w:rsidP="00CC6E09">
            <w:pPr>
              <w:spacing w:after="0" w:line="240" w:lineRule="atLeast"/>
              <w:jc w:val="both"/>
              <w:rPr>
                <w:rFonts w:ascii="Arial" w:hAnsi="Arial" w:cs="Arial"/>
                <w:bCs/>
                <w:sz w:val="20"/>
                <w:szCs w:val="20"/>
              </w:rPr>
            </w:pPr>
            <w:r w:rsidRPr="00F13549">
              <w:rPr>
                <w:rFonts w:ascii="Arial" w:hAnsi="Arial" w:cs="Arial"/>
                <w:bCs/>
                <w:sz w:val="20"/>
                <w:szCs w:val="20"/>
              </w:rPr>
              <w:t>Inoculation with AMF + NPK increased stem growth</w:t>
            </w:r>
          </w:p>
        </w:tc>
      </w:tr>
    </w:tbl>
    <w:p w14:paraId="0D7D8004" w14:textId="77777777" w:rsidR="00426CC0" w:rsidRPr="00F13549" w:rsidRDefault="00426CC0" w:rsidP="00426CC0">
      <w:pPr>
        <w:jc w:val="both"/>
        <w:rPr>
          <w:rFonts w:ascii="Arial" w:hAnsi="Arial" w:cs="Arial"/>
          <w:bCs/>
          <w:i/>
          <w:sz w:val="20"/>
          <w:szCs w:val="20"/>
        </w:rPr>
      </w:pPr>
      <w:r w:rsidRPr="00F13549">
        <w:rPr>
          <w:rFonts w:ascii="Arial" w:hAnsi="Arial" w:cs="Arial"/>
          <w:bCs/>
          <w:i/>
          <w:sz w:val="20"/>
          <w:szCs w:val="20"/>
        </w:rPr>
        <w:t>*Outcomes summarized from field trials (</w:t>
      </w:r>
      <w:proofErr w:type="spellStart"/>
      <w:r w:rsidRPr="00F13549">
        <w:rPr>
          <w:rFonts w:ascii="Arial" w:hAnsi="Arial" w:cs="Arial"/>
          <w:bCs/>
          <w:i/>
          <w:sz w:val="20"/>
          <w:szCs w:val="20"/>
        </w:rPr>
        <w:t>Thanni</w:t>
      </w:r>
      <w:proofErr w:type="spellEnd"/>
      <w:r w:rsidRPr="00F13549">
        <w:rPr>
          <w:rFonts w:ascii="Arial" w:hAnsi="Arial" w:cs="Arial"/>
          <w:bCs/>
          <w:i/>
          <w:sz w:val="20"/>
          <w:szCs w:val="20"/>
        </w:rPr>
        <w:t xml:space="preserve"> et al., 2022; </w:t>
      </w:r>
      <w:proofErr w:type="spellStart"/>
      <w:r w:rsidRPr="00F13549">
        <w:rPr>
          <w:rFonts w:ascii="Arial" w:hAnsi="Arial" w:cs="Arial"/>
          <w:bCs/>
          <w:i/>
          <w:sz w:val="20"/>
          <w:szCs w:val="20"/>
        </w:rPr>
        <w:t>Olojugba</w:t>
      </w:r>
      <w:proofErr w:type="spellEnd"/>
      <w:r w:rsidRPr="00F13549">
        <w:rPr>
          <w:rFonts w:ascii="Arial" w:hAnsi="Arial" w:cs="Arial"/>
          <w:bCs/>
          <w:i/>
          <w:sz w:val="20"/>
          <w:szCs w:val="20"/>
        </w:rPr>
        <w:t xml:space="preserve"> et al., 2024).</w:t>
      </w:r>
    </w:p>
    <w:p w14:paraId="22A4D420" w14:textId="77777777" w:rsidR="00426CC0" w:rsidRPr="00F13549" w:rsidRDefault="00426CC0" w:rsidP="00426CC0">
      <w:pPr>
        <w:jc w:val="both"/>
        <w:rPr>
          <w:rFonts w:ascii="Arial" w:hAnsi="Arial" w:cs="Arial"/>
          <w:bCs/>
        </w:rPr>
      </w:pPr>
    </w:p>
    <w:p w14:paraId="286A8BB8" w14:textId="77777777" w:rsidR="00CC6E09" w:rsidRPr="00F13549" w:rsidRDefault="00CC6E09" w:rsidP="00426CC0">
      <w:pPr>
        <w:jc w:val="both"/>
        <w:rPr>
          <w:rFonts w:ascii="Arial" w:hAnsi="Arial" w:cs="Arial"/>
          <w:bCs/>
        </w:rPr>
      </w:pPr>
    </w:p>
    <w:p w14:paraId="1A7EDF3F" w14:textId="77777777" w:rsidR="00426CC0" w:rsidRPr="00F13549" w:rsidRDefault="00426CC0" w:rsidP="00426CC0">
      <w:pPr>
        <w:jc w:val="both"/>
        <w:rPr>
          <w:rFonts w:ascii="Arial" w:hAnsi="Arial" w:cs="Arial"/>
          <w:bCs/>
        </w:rPr>
      </w:pPr>
      <w:r w:rsidRPr="00F13549">
        <w:rPr>
          <w:rFonts w:ascii="Arial" w:hAnsi="Arial" w:cs="Arial"/>
          <w:bCs/>
        </w:rPr>
        <w:t>INTERACTIONS BETWEEN BIOCHAR AND AMF: EMPIRICAL EVIDENCE</w:t>
      </w:r>
    </w:p>
    <w:p w14:paraId="10473FB8" w14:textId="77777777" w:rsidR="00426CC0" w:rsidRPr="00F13549" w:rsidRDefault="00426CC0" w:rsidP="00426CC0">
      <w:pPr>
        <w:jc w:val="both"/>
        <w:rPr>
          <w:rFonts w:ascii="Arial" w:hAnsi="Arial" w:cs="Arial"/>
          <w:bCs/>
        </w:rPr>
      </w:pPr>
    </w:p>
    <w:p w14:paraId="1864226E" w14:textId="77777777" w:rsidR="00426CC0" w:rsidRPr="00F13549" w:rsidRDefault="00426CC0" w:rsidP="00426CC0">
      <w:pPr>
        <w:jc w:val="both"/>
        <w:rPr>
          <w:rFonts w:ascii="Arial" w:hAnsi="Arial" w:cs="Arial"/>
          <w:bCs/>
        </w:rPr>
      </w:pPr>
      <w:r w:rsidRPr="00F13549">
        <w:rPr>
          <w:rFonts w:ascii="Arial" w:hAnsi="Arial" w:cs="Arial"/>
          <w:bCs/>
        </w:rPr>
        <w:t xml:space="preserve">Empirical studies consistently demonstrate that interactions between biochar and AMF generally improve plant growth, nutrient uptake, and stress tolerance, although outcomes vary with soil type, biochar properties, AMF strains, and environmental conditions such as salinity or waterlogging (Li </w:t>
      </w:r>
      <w:r w:rsidRPr="00F13549">
        <w:rPr>
          <w:rFonts w:ascii="Arial" w:hAnsi="Arial" w:cs="Arial"/>
          <w:bCs/>
          <w:i/>
        </w:rPr>
        <w:t>et al.,</w:t>
      </w:r>
      <w:r w:rsidRPr="00F13549">
        <w:rPr>
          <w:rFonts w:ascii="Arial" w:hAnsi="Arial" w:cs="Arial"/>
          <w:bCs/>
        </w:rPr>
        <w:t xml:space="preserve"> 2022; Fang </w:t>
      </w:r>
      <w:r w:rsidRPr="00F13549">
        <w:rPr>
          <w:rFonts w:ascii="Arial" w:hAnsi="Arial" w:cs="Arial"/>
          <w:bCs/>
          <w:i/>
        </w:rPr>
        <w:t>et al.,</w:t>
      </w:r>
      <w:r w:rsidRPr="00F13549">
        <w:rPr>
          <w:rFonts w:ascii="Arial" w:hAnsi="Arial" w:cs="Arial"/>
          <w:bCs/>
        </w:rPr>
        <w:t xml:space="preserve"> 2024). Combined treatments often exhibit synergistic effects, enhancing phosphorus (P) uptake and biomass accumulation beyond individual applications, but initial P immobilization can occur depending on biochar chemistry and application rates. In phosphorus-limited tropical soils, these synergies are particularly </w:t>
      </w:r>
      <w:r w:rsidRPr="00F13549">
        <w:rPr>
          <w:rFonts w:ascii="Arial" w:hAnsi="Arial" w:cs="Arial"/>
          <w:bCs/>
        </w:rPr>
        <w:lastRenderedPageBreak/>
        <w:t>pronounced, as biochar's porous structure provides habitats for AMF hyphal networks, facilitating greater root exploration and nutrient mobilization.</w:t>
      </w:r>
    </w:p>
    <w:p w14:paraId="54898C5C" w14:textId="77777777" w:rsidR="00426CC0" w:rsidRPr="00F13549" w:rsidRDefault="00426CC0" w:rsidP="00426CC0">
      <w:pPr>
        <w:jc w:val="both"/>
        <w:rPr>
          <w:rFonts w:ascii="Arial" w:hAnsi="Arial" w:cs="Arial"/>
          <w:bCs/>
        </w:rPr>
      </w:pPr>
      <w:r w:rsidRPr="00F13549">
        <w:rPr>
          <w:rFonts w:ascii="Arial" w:hAnsi="Arial" w:cs="Arial"/>
          <w:bCs/>
        </w:rPr>
        <w:t xml:space="preserve">In a tropical context relevant to South-West Nigeria, a polybag experiment on rice (Oryza sativa L. cv. </w:t>
      </w:r>
      <w:proofErr w:type="spellStart"/>
      <w:r w:rsidRPr="00F13549">
        <w:rPr>
          <w:rFonts w:ascii="Arial" w:hAnsi="Arial" w:cs="Arial"/>
          <w:bCs/>
        </w:rPr>
        <w:t>T</w:t>
      </w:r>
      <w:r w:rsidR="00CC6E09" w:rsidRPr="00F13549">
        <w:rPr>
          <w:rFonts w:ascii="Arial" w:hAnsi="Arial" w:cs="Arial"/>
          <w:bCs/>
        </w:rPr>
        <w:t>risakti</w:t>
      </w:r>
      <w:proofErr w:type="spellEnd"/>
      <w:r w:rsidR="00CC6E09" w:rsidRPr="00F13549">
        <w:rPr>
          <w:rFonts w:ascii="Arial" w:hAnsi="Arial" w:cs="Arial"/>
          <w:bCs/>
        </w:rPr>
        <w:t xml:space="preserve">) in Indonesian </w:t>
      </w:r>
      <w:proofErr w:type="spellStart"/>
      <w:r w:rsidR="00CC6E09" w:rsidRPr="00F13549">
        <w:rPr>
          <w:rFonts w:ascii="Arial" w:hAnsi="Arial" w:cs="Arial"/>
          <w:bCs/>
        </w:rPr>
        <w:t>Ultisols</w:t>
      </w:r>
      <w:proofErr w:type="spellEnd"/>
      <w:r w:rsidR="00CC6E09" w:rsidRPr="00F13549">
        <w:rPr>
          <w:rFonts w:ascii="Arial" w:hAnsi="Arial" w:cs="Arial"/>
          <w:bCs/>
        </w:rPr>
        <w:t>-</w:t>
      </w:r>
      <w:r w:rsidRPr="00F13549">
        <w:rPr>
          <w:rFonts w:ascii="Arial" w:hAnsi="Arial" w:cs="Arial"/>
          <w:bCs/>
        </w:rPr>
        <w:t>characterized by low pH (5.28) and nutrient deficienci</w:t>
      </w:r>
      <w:r w:rsidR="00CC6E09" w:rsidRPr="00F13549">
        <w:rPr>
          <w:rFonts w:ascii="Arial" w:hAnsi="Arial" w:cs="Arial"/>
          <w:bCs/>
        </w:rPr>
        <w:t>es similar to Nigerian lowlands-</w:t>
      </w:r>
      <w:r w:rsidRPr="00F13549">
        <w:rPr>
          <w:rFonts w:ascii="Arial" w:hAnsi="Arial" w:cs="Arial"/>
          <w:bCs/>
        </w:rPr>
        <w:t>tested combined appli</w:t>
      </w:r>
      <w:r w:rsidR="00CC6E09" w:rsidRPr="00F13549">
        <w:rPr>
          <w:rFonts w:ascii="Arial" w:hAnsi="Arial" w:cs="Arial"/>
          <w:bCs/>
        </w:rPr>
        <w:t>cations of rice husk biochar (0-</w:t>
      </w:r>
      <w:r w:rsidRPr="00F13549">
        <w:rPr>
          <w:rFonts w:ascii="Arial" w:hAnsi="Arial" w:cs="Arial"/>
          <w:bCs/>
        </w:rPr>
        <w:t>60 t ha</w:t>
      </w:r>
      <w:r w:rsidRPr="00F13549">
        <w:rPr>
          <w:rFonts w:ascii="Cambria Math" w:hAnsi="Cambria Math" w:cs="Cambria Math"/>
          <w:bCs/>
        </w:rPr>
        <w:t>⁻</w:t>
      </w:r>
      <w:r w:rsidR="00CC6E09" w:rsidRPr="00F13549">
        <w:rPr>
          <w:rFonts w:ascii="Arial" w:hAnsi="Arial" w:cs="Arial"/>
          <w:bCs/>
        </w:rPr>
        <w:t>¹) and AMF inoculum (0-</w:t>
      </w:r>
      <w:r w:rsidRPr="00F13549">
        <w:rPr>
          <w:rFonts w:ascii="Arial" w:hAnsi="Arial" w:cs="Arial"/>
          <w:bCs/>
        </w:rPr>
        <w:t>45 g polybag</w:t>
      </w:r>
      <w:r w:rsidRPr="00F13549">
        <w:rPr>
          <w:rFonts w:ascii="Cambria Math" w:hAnsi="Cambria Math" w:cs="Cambria Math"/>
          <w:bCs/>
        </w:rPr>
        <w:t>⁻</w:t>
      </w:r>
      <w:r w:rsidRPr="00F13549">
        <w:rPr>
          <w:rFonts w:ascii="Arial" w:hAnsi="Arial" w:cs="Arial"/>
          <w:bCs/>
        </w:rPr>
        <w:t xml:space="preserve">¹) over two seasons (Siregar </w:t>
      </w:r>
      <w:r w:rsidRPr="00F13549">
        <w:rPr>
          <w:rFonts w:ascii="Arial" w:hAnsi="Arial" w:cs="Arial"/>
          <w:bCs/>
          <w:i/>
        </w:rPr>
        <w:t>et al.,</w:t>
      </w:r>
      <w:r w:rsidRPr="00F13549">
        <w:rPr>
          <w:rFonts w:ascii="Arial" w:hAnsi="Arial" w:cs="Arial"/>
          <w:bCs/>
        </w:rPr>
        <w:t xml:space="preserve"> 2023). The highest biochar rate (60 t ha</w:t>
      </w:r>
      <w:r w:rsidRPr="00F13549">
        <w:rPr>
          <w:rFonts w:ascii="Cambria Math" w:hAnsi="Cambria Math" w:cs="Cambria Math"/>
          <w:bCs/>
        </w:rPr>
        <w:t>⁻</w:t>
      </w:r>
      <w:r w:rsidRPr="00F13549">
        <w:rPr>
          <w:rFonts w:ascii="Arial" w:hAnsi="Arial" w:cs="Arial"/>
          <w:bCs/>
        </w:rPr>
        <w:t>¹) combined with 45 g AMF significantly improved soil physical properties, reducing bulk density to 0.88 g cm</w:t>
      </w:r>
      <w:r w:rsidRPr="00F13549">
        <w:rPr>
          <w:rFonts w:ascii="Cambria Math" w:hAnsi="Cambria Math" w:cs="Cambria Math"/>
          <w:bCs/>
        </w:rPr>
        <w:t>⁻</w:t>
      </w:r>
      <w:r w:rsidRPr="00F13549">
        <w:rPr>
          <w:rFonts w:ascii="Arial" w:hAnsi="Arial" w:cs="Arial"/>
          <w:bCs/>
        </w:rPr>
        <w:t>³ and increasing porosity to 68.5%, while elevating pH to 6.77, soil organic matter to 3.05%, total nitrogen to 0.48%, available P to 31.15 ppm, and available K to 235.2 ppm compared to controls. Crop performance was markedly enhanced: the combination increased plant height to 117 cm, tiller number to 53.2, panicle number to 35.2, panicle length to 21.7 cm, 1000-grain weight to 41.4 g, shoot dry matter to 59.7 g polybag</w:t>
      </w:r>
      <w:r w:rsidRPr="00F13549">
        <w:rPr>
          <w:rFonts w:ascii="Cambria Math" w:hAnsi="Cambria Math" w:cs="Cambria Math"/>
          <w:bCs/>
        </w:rPr>
        <w:t>⁻</w:t>
      </w:r>
      <w:r w:rsidRPr="00F13549">
        <w:rPr>
          <w:rFonts w:ascii="Arial" w:hAnsi="Arial" w:cs="Arial"/>
          <w:bCs/>
        </w:rPr>
        <w:t>¹, and nitrogen uptake to 9.14 g polybag</w:t>
      </w:r>
      <w:r w:rsidRPr="00F13549">
        <w:rPr>
          <w:rFonts w:ascii="Cambria Math" w:hAnsi="Cambria Math" w:cs="Cambria Math"/>
          <w:bCs/>
        </w:rPr>
        <w:t>⁻</w:t>
      </w:r>
      <w:r w:rsidRPr="00F13549">
        <w:rPr>
          <w:rFonts w:ascii="Arial" w:hAnsi="Arial" w:cs="Arial"/>
          <w:bCs/>
        </w:rPr>
        <w:t>¹. Lower biochar rates (20 t ha</w:t>
      </w:r>
      <w:r w:rsidRPr="00F13549">
        <w:rPr>
          <w:rFonts w:ascii="Cambria Math" w:hAnsi="Cambria Math" w:cs="Cambria Math"/>
          <w:bCs/>
        </w:rPr>
        <w:t>⁻</w:t>
      </w:r>
      <w:r w:rsidRPr="00F13549">
        <w:rPr>
          <w:rFonts w:ascii="Arial" w:hAnsi="Arial" w:cs="Arial"/>
          <w:bCs/>
        </w:rPr>
        <w:t>¹) with high AMF yielded optimal root dry matter (32.5 g polybag</w:t>
      </w:r>
      <w:r w:rsidRPr="00F13549">
        <w:rPr>
          <w:rFonts w:ascii="Cambria Math" w:hAnsi="Cambria Math" w:cs="Cambria Math"/>
          <w:bCs/>
        </w:rPr>
        <w:t>⁻</w:t>
      </w:r>
      <w:r w:rsidRPr="00F13549">
        <w:rPr>
          <w:rFonts w:ascii="Arial" w:hAnsi="Arial" w:cs="Arial"/>
          <w:bCs/>
        </w:rPr>
        <w:t>¹), underscoring the need for site-specific dosing to balance costs and benefits in waterlogged lowlands.</w:t>
      </w:r>
    </w:p>
    <w:p w14:paraId="3BDA7A51" w14:textId="77777777" w:rsidR="00426CC0" w:rsidRPr="00F13549" w:rsidRDefault="00426CC0" w:rsidP="00426CC0">
      <w:pPr>
        <w:jc w:val="both"/>
        <w:rPr>
          <w:rFonts w:ascii="Arial" w:hAnsi="Arial" w:cs="Arial"/>
          <w:bCs/>
        </w:rPr>
      </w:pPr>
      <w:r w:rsidRPr="00F13549">
        <w:rPr>
          <w:rFonts w:ascii="Arial" w:hAnsi="Arial" w:cs="Arial"/>
          <w:bCs/>
        </w:rPr>
        <w:t>Further evidence from water-stressed agro</w:t>
      </w:r>
      <w:r w:rsidR="00CC6E09" w:rsidRPr="00F13549">
        <w:rPr>
          <w:rFonts w:ascii="Arial" w:hAnsi="Arial" w:cs="Arial"/>
          <w:bCs/>
        </w:rPr>
        <w:t>-</w:t>
      </w:r>
      <w:r w:rsidRPr="00F13549">
        <w:rPr>
          <w:rFonts w:ascii="Arial" w:hAnsi="Arial" w:cs="Arial"/>
          <w:bCs/>
        </w:rPr>
        <w:t>environments highlights the role of biochar in amplifying AMF-mediated drought resilience. In a greenhouse study with lettuce (</w:t>
      </w:r>
      <w:r w:rsidRPr="00F13549">
        <w:rPr>
          <w:rFonts w:ascii="Arial" w:hAnsi="Arial" w:cs="Arial"/>
          <w:bCs/>
          <w:i/>
        </w:rPr>
        <w:t>Lactuca sativa</w:t>
      </w:r>
      <w:r w:rsidRPr="00F13549">
        <w:rPr>
          <w:rFonts w:ascii="Arial" w:hAnsi="Arial" w:cs="Arial"/>
          <w:bCs/>
        </w:rPr>
        <w:t>) under reduced irrigation (10% container capacity), vine shoot biochar (1.5% rate, pyrolyzed at 400°C) increased AMF root colonization by 211%, spore density by 168%, and infective potential by 223% during inoculum multiplication in sandy-loam soils (Calvo et al., 20</w:t>
      </w:r>
      <w:r w:rsidR="00CC6E09" w:rsidRPr="00F13549">
        <w:rPr>
          <w:rFonts w:ascii="Arial" w:hAnsi="Arial" w:cs="Arial"/>
          <w:bCs/>
        </w:rPr>
        <w:t>21). Under drought, the biochar-</w:t>
      </w:r>
      <w:r w:rsidRPr="00F13549">
        <w:rPr>
          <w:rFonts w:ascii="Arial" w:hAnsi="Arial" w:cs="Arial"/>
          <w:bCs/>
        </w:rPr>
        <w:t xml:space="preserve">AMF treatment boosted aerial dry biomass by 36% (to 2.69 g) and root dry biomass by </w:t>
      </w:r>
      <w:r w:rsidR="00CC6E09" w:rsidRPr="00F13549">
        <w:rPr>
          <w:rFonts w:ascii="Arial" w:hAnsi="Arial" w:cs="Arial"/>
          <w:bCs/>
        </w:rPr>
        <w:t>44% (to 1.92 g) relative to non-</w:t>
      </w:r>
      <w:r w:rsidRPr="00F13549">
        <w:rPr>
          <w:rFonts w:ascii="Arial" w:hAnsi="Arial" w:cs="Arial"/>
          <w:bCs/>
        </w:rPr>
        <w:t>mycorrhizal controls, alongside improved chlorophyll content (SPAD index of 17.2). These gains were attributed to enhanced microbial communities and nutrient efficiency, suggesting applicability to Nigeria's seasonally flooded lowlands where intermittent water stress limits crop establishment.</w:t>
      </w:r>
    </w:p>
    <w:p w14:paraId="4793478C" w14:textId="77777777" w:rsidR="00426CC0" w:rsidRPr="00F13549" w:rsidRDefault="00426CC0" w:rsidP="00426CC0">
      <w:pPr>
        <w:jc w:val="both"/>
        <w:rPr>
          <w:rFonts w:ascii="Arial" w:hAnsi="Arial" w:cs="Arial"/>
          <w:bCs/>
        </w:rPr>
      </w:pPr>
      <w:r w:rsidRPr="00F13549">
        <w:rPr>
          <w:rFonts w:ascii="Arial" w:hAnsi="Arial" w:cs="Arial"/>
          <w:bCs/>
        </w:rPr>
        <w:t xml:space="preserve">In vegetable systems, a pot trial with Chinese kale (Brassica oleracea var. </w:t>
      </w:r>
      <w:proofErr w:type="spellStart"/>
      <w:r w:rsidRPr="00F13549">
        <w:rPr>
          <w:rFonts w:ascii="Arial" w:hAnsi="Arial" w:cs="Arial"/>
          <w:bCs/>
        </w:rPr>
        <w:t>alboglabra</w:t>
      </w:r>
      <w:proofErr w:type="spellEnd"/>
      <w:r w:rsidRPr="00F13549">
        <w:rPr>
          <w:rFonts w:ascii="Arial" w:hAnsi="Arial" w:cs="Arial"/>
          <w:bCs/>
        </w:rPr>
        <w:t>) in Thai soils examined three biochar types (bamboo, corn cob</w:t>
      </w:r>
      <w:r w:rsidR="00CC6E09" w:rsidRPr="00F13549">
        <w:rPr>
          <w:rFonts w:ascii="Arial" w:hAnsi="Arial" w:cs="Arial"/>
          <w:bCs/>
        </w:rPr>
        <w:t>, coffee grounds at 5-</w:t>
      </w:r>
      <w:r w:rsidRPr="00F13549">
        <w:rPr>
          <w:rFonts w:ascii="Arial" w:hAnsi="Arial" w:cs="Arial"/>
          <w:bCs/>
        </w:rPr>
        <w:t>10%) combined with AMF inoculation (</w:t>
      </w:r>
      <w:proofErr w:type="spellStart"/>
      <w:r w:rsidRPr="00F13549">
        <w:rPr>
          <w:rFonts w:ascii="Arial" w:hAnsi="Arial" w:cs="Arial"/>
          <w:bCs/>
        </w:rPr>
        <w:t>Acaulospora</w:t>
      </w:r>
      <w:proofErr w:type="spellEnd"/>
      <w:r w:rsidRPr="00F13549">
        <w:rPr>
          <w:rFonts w:ascii="Arial" w:hAnsi="Arial" w:cs="Arial"/>
          <w:bCs/>
        </w:rPr>
        <w:t xml:space="preserve"> </w:t>
      </w:r>
      <w:proofErr w:type="spellStart"/>
      <w:r w:rsidRPr="00F13549">
        <w:rPr>
          <w:rFonts w:ascii="Arial" w:hAnsi="Arial" w:cs="Arial"/>
          <w:bCs/>
        </w:rPr>
        <w:t>foveata</w:t>
      </w:r>
      <w:proofErr w:type="spellEnd"/>
      <w:r w:rsidRPr="00F13549">
        <w:rPr>
          <w:rFonts w:ascii="Arial" w:hAnsi="Arial" w:cs="Arial"/>
          <w:bCs/>
        </w:rPr>
        <w:t>, Glomus spp.) over 42 days (</w:t>
      </w:r>
      <w:proofErr w:type="spellStart"/>
      <w:r w:rsidRPr="00F13549">
        <w:rPr>
          <w:rFonts w:ascii="Arial" w:hAnsi="Arial" w:cs="Arial"/>
          <w:bCs/>
        </w:rPr>
        <w:t>Phumchusri</w:t>
      </w:r>
      <w:proofErr w:type="spellEnd"/>
      <w:r w:rsidRPr="00F13549">
        <w:rPr>
          <w:rFonts w:ascii="Arial" w:hAnsi="Arial" w:cs="Arial"/>
          <w:bCs/>
        </w:rPr>
        <w:t xml:space="preserve"> </w:t>
      </w:r>
      <w:r w:rsidRPr="00F13549">
        <w:rPr>
          <w:rFonts w:ascii="Arial" w:hAnsi="Arial" w:cs="Arial"/>
          <w:bCs/>
          <w:i/>
        </w:rPr>
        <w:t>et al.,</w:t>
      </w:r>
      <w:r w:rsidRPr="00F13549">
        <w:rPr>
          <w:rFonts w:ascii="Arial" w:hAnsi="Arial" w:cs="Arial"/>
          <w:bCs/>
        </w:rPr>
        <w:t xml:space="preserve"> 2024). Biochar-AMF synergies raised soil pH to 7.86, organic matter to 3.61%, and nutrient levels (N: 0.48%, P: 0.07%, K: 1.15%), while 5% bamboo biochar with AMF maximized plant height, root length and weight, shoot dry weight, chlorophyll (SPAD 54), and total phenolics (1.33 mg GAE g</w:t>
      </w:r>
      <w:r w:rsidRPr="00F13549">
        <w:rPr>
          <w:rFonts w:ascii="Cambria Math" w:hAnsi="Cambria Math" w:cs="Cambria Math"/>
          <w:bCs/>
        </w:rPr>
        <w:t>⁻</w:t>
      </w:r>
      <w:r w:rsidRPr="00F13549">
        <w:rPr>
          <w:rFonts w:ascii="Arial" w:hAnsi="Arial" w:cs="Arial"/>
          <w:bCs/>
        </w:rPr>
        <w:t>¹ FW), indicating improved stress tolerance and secondary metabolism. Such findings align with meta-</w:t>
      </w:r>
      <w:r w:rsidR="00CC6E09" w:rsidRPr="00F13549">
        <w:rPr>
          <w:rFonts w:ascii="Arial" w:hAnsi="Arial" w:cs="Arial"/>
          <w:bCs/>
        </w:rPr>
        <w:t>analyses showing 15-</w:t>
      </w:r>
      <w:r w:rsidRPr="00F13549">
        <w:rPr>
          <w:rFonts w:ascii="Arial" w:hAnsi="Arial" w:cs="Arial"/>
          <w:bCs/>
        </w:rPr>
        <w:t xml:space="preserve">30% yield gains in tropical crops, reinforcing the potential for cassava and fluted pumpkin in Nigerian lowlands (Li </w:t>
      </w:r>
      <w:r w:rsidRPr="00F13549">
        <w:rPr>
          <w:rFonts w:ascii="Arial" w:hAnsi="Arial" w:cs="Arial"/>
          <w:bCs/>
          <w:i/>
        </w:rPr>
        <w:t>et al.,</w:t>
      </w:r>
      <w:r w:rsidRPr="00F13549">
        <w:rPr>
          <w:rFonts w:ascii="Arial" w:hAnsi="Arial" w:cs="Arial"/>
          <w:bCs/>
        </w:rPr>
        <w:t xml:space="preserve"> 2022; Fang </w:t>
      </w:r>
      <w:r w:rsidRPr="00F13549">
        <w:rPr>
          <w:rFonts w:ascii="Arial" w:hAnsi="Arial" w:cs="Arial"/>
          <w:bCs/>
          <w:i/>
        </w:rPr>
        <w:t>et al.,</w:t>
      </w:r>
      <w:r w:rsidRPr="00F13549">
        <w:rPr>
          <w:rFonts w:ascii="Arial" w:hAnsi="Arial" w:cs="Arial"/>
          <w:bCs/>
        </w:rPr>
        <w:t xml:space="preserve"> 2024).</w:t>
      </w:r>
    </w:p>
    <w:p w14:paraId="782CA2B1" w14:textId="77777777" w:rsidR="00426CC0" w:rsidRPr="00F13549" w:rsidRDefault="00426CC0" w:rsidP="00426CC0">
      <w:pPr>
        <w:jc w:val="both"/>
        <w:rPr>
          <w:rFonts w:ascii="Arial" w:hAnsi="Arial" w:cs="Arial"/>
          <w:bCs/>
        </w:rPr>
      </w:pPr>
      <w:r w:rsidRPr="00F13549">
        <w:rPr>
          <w:rFonts w:ascii="Arial" w:hAnsi="Arial" w:cs="Arial"/>
          <w:bCs/>
        </w:rPr>
        <w:t xml:space="preserve">Nigerian field trials provide direct evidence of these synergies in local contexts. In a two-year factorial field experiment (2021–2022) at the Teaching and Research Farm of the Federal University of Technology, Akure, Abdulsalam </w:t>
      </w:r>
      <w:r w:rsidRPr="00F13549">
        <w:rPr>
          <w:rFonts w:ascii="Arial" w:hAnsi="Arial" w:cs="Arial"/>
          <w:bCs/>
          <w:i/>
        </w:rPr>
        <w:t>et al.</w:t>
      </w:r>
      <w:r w:rsidRPr="00F13549">
        <w:rPr>
          <w:rFonts w:ascii="Arial" w:hAnsi="Arial" w:cs="Arial"/>
          <w:bCs/>
        </w:rPr>
        <w:t xml:space="preserve"> (2024) assessed the impacts of wood-derived biochar (0, 2.5, and 5 t ha</w:t>
      </w:r>
      <w:r w:rsidRPr="00F13549">
        <w:rPr>
          <w:rFonts w:ascii="Cambria Math" w:hAnsi="Cambria Math" w:cs="Cambria Math"/>
          <w:bCs/>
        </w:rPr>
        <w:t>⁻</w:t>
      </w:r>
      <w:r w:rsidRPr="00F13549">
        <w:rPr>
          <w:rFonts w:ascii="Arial" w:hAnsi="Arial" w:cs="Arial"/>
          <w:bCs/>
        </w:rPr>
        <w:t xml:space="preserve">¹) and AMF inoculation (Glomus </w:t>
      </w:r>
      <w:proofErr w:type="spellStart"/>
      <w:r w:rsidRPr="00F13549">
        <w:rPr>
          <w:rFonts w:ascii="Arial" w:hAnsi="Arial" w:cs="Arial"/>
          <w:bCs/>
        </w:rPr>
        <w:t>intraradices</w:t>
      </w:r>
      <w:proofErr w:type="spellEnd"/>
      <w:r w:rsidRPr="00F13549">
        <w:rPr>
          <w:rFonts w:ascii="Arial" w:hAnsi="Arial" w:cs="Arial"/>
          <w:bCs/>
        </w:rPr>
        <w:t>) on garden egg (</w:t>
      </w:r>
      <w:r w:rsidRPr="00F13549">
        <w:rPr>
          <w:rFonts w:ascii="Arial" w:hAnsi="Arial" w:cs="Arial"/>
          <w:bCs/>
          <w:i/>
        </w:rPr>
        <w:t xml:space="preserve">Solanum </w:t>
      </w:r>
      <w:proofErr w:type="spellStart"/>
      <w:r w:rsidRPr="00F13549">
        <w:rPr>
          <w:rFonts w:ascii="Arial" w:hAnsi="Arial" w:cs="Arial"/>
          <w:bCs/>
          <w:i/>
        </w:rPr>
        <w:t>gilo</w:t>
      </w:r>
      <w:proofErr w:type="spellEnd"/>
      <w:r w:rsidRPr="00F13549">
        <w:rPr>
          <w:rFonts w:ascii="Arial" w:hAnsi="Arial" w:cs="Arial"/>
          <w:bCs/>
        </w:rPr>
        <w:t xml:space="preserve"> L.), a key lowland vegetable. The combined 2.5 t ha</w:t>
      </w:r>
      <w:r w:rsidRPr="00F13549">
        <w:rPr>
          <w:rFonts w:ascii="Cambria Math" w:hAnsi="Cambria Math" w:cs="Cambria Math"/>
          <w:bCs/>
        </w:rPr>
        <w:t>⁻</w:t>
      </w:r>
      <w:r w:rsidRPr="00F13549">
        <w:rPr>
          <w:rFonts w:ascii="Arial" w:hAnsi="Arial" w:cs="Arial"/>
          <w:bCs/>
        </w:rPr>
        <w:t>¹ biochar with AMF significantly enhanced soil pH (from 5.2 to 6.1), available P (from 8.5 to 15.2 mg kg</w:t>
      </w:r>
      <w:r w:rsidRPr="00F13549">
        <w:rPr>
          <w:rFonts w:ascii="Cambria Math" w:hAnsi="Cambria Math" w:cs="Cambria Math"/>
          <w:bCs/>
        </w:rPr>
        <w:t>⁻</w:t>
      </w:r>
      <w:r w:rsidRPr="00F13549">
        <w:rPr>
          <w:rFonts w:ascii="Arial" w:hAnsi="Arial" w:cs="Arial"/>
          <w:bCs/>
        </w:rPr>
        <w:t>¹), and organic carbon (from 0.8% to 1.4%), while reducing weed biomass by 42%. Plant growth metrics improved markedly: stem girth increased by 28%, leaf area by 35%, and fruit yield by 24% (to 12.6 t ha</w:t>
      </w:r>
      <w:r w:rsidRPr="00F13549">
        <w:rPr>
          <w:rFonts w:ascii="Cambria Math" w:hAnsi="Cambria Math" w:cs="Cambria Math"/>
          <w:bCs/>
        </w:rPr>
        <w:t>⁻</w:t>
      </w:r>
      <w:r w:rsidRPr="00F13549">
        <w:rPr>
          <w:rFonts w:ascii="Arial" w:hAnsi="Arial" w:cs="Arial"/>
          <w:bCs/>
        </w:rPr>
        <w:t xml:space="preserve">¹) compared to controls, with the synergy attributed to improved AMF root colonization (up to 65%) </w:t>
      </w:r>
      <w:r w:rsidRPr="00F13549">
        <w:rPr>
          <w:rFonts w:ascii="Arial" w:hAnsi="Arial" w:cs="Arial"/>
          <w:bCs/>
        </w:rPr>
        <w:lastRenderedPageBreak/>
        <w:t>facilitated by biochar's porous structure. Higher biochar rates (5 t ha</w:t>
      </w:r>
      <w:r w:rsidRPr="00F13549">
        <w:rPr>
          <w:rFonts w:ascii="Cambria Math" w:hAnsi="Cambria Math" w:cs="Cambria Math"/>
          <w:bCs/>
        </w:rPr>
        <w:t>⁻</w:t>
      </w:r>
      <w:r w:rsidRPr="00F13549">
        <w:rPr>
          <w:rFonts w:ascii="Arial" w:hAnsi="Arial" w:cs="Arial"/>
          <w:bCs/>
        </w:rPr>
        <w:t>¹) without AMF yielded similar benefits but at greater cost, suggesting 2.5 t ha</w:t>
      </w:r>
      <w:r w:rsidRPr="00F13549">
        <w:rPr>
          <w:rFonts w:ascii="Cambria Math" w:hAnsi="Cambria Math" w:cs="Cambria Math"/>
          <w:bCs/>
        </w:rPr>
        <w:t>⁻</w:t>
      </w:r>
      <w:r w:rsidRPr="00F13549">
        <w:rPr>
          <w:rFonts w:ascii="Arial" w:hAnsi="Arial" w:cs="Arial"/>
          <w:bCs/>
        </w:rPr>
        <w:t>¹ as optimal for resource-limited farmers.</w:t>
      </w:r>
    </w:p>
    <w:p w14:paraId="636A6286" w14:textId="77777777" w:rsidR="00426CC0" w:rsidRPr="00F13549" w:rsidRDefault="00426CC0" w:rsidP="00426CC0">
      <w:pPr>
        <w:jc w:val="both"/>
        <w:rPr>
          <w:rFonts w:ascii="Arial" w:hAnsi="Arial" w:cs="Arial"/>
          <w:bCs/>
        </w:rPr>
      </w:pPr>
      <w:r w:rsidRPr="00F13549">
        <w:rPr>
          <w:rFonts w:ascii="Arial" w:hAnsi="Arial" w:cs="Arial"/>
          <w:bCs/>
        </w:rPr>
        <w:t xml:space="preserve">Similarly, Zubairu </w:t>
      </w:r>
      <w:r w:rsidRPr="00F13549">
        <w:rPr>
          <w:rFonts w:ascii="Arial" w:hAnsi="Arial" w:cs="Arial"/>
          <w:bCs/>
          <w:i/>
        </w:rPr>
        <w:t>et al.</w:t>
      </w:r>
      <w:r w:rsidRPr="00F13549">
        <w:rPr>
          <w:rFonts w:ascii="Arial" w:hAnsi="Arial" w:cs="Arial"/>
          <w:bCs/>
        </w:rPr>
        <w:t xml:space="preserve"> (2023) conducted field trials on P-limited lowland soils in southwestern Nigeri</w:t>
      </w:r>
      <w:r w:rsidR="00CC6E09" w:rsidRPr="00F13549">
        <w:rPr>
          <w:rFonts w:ascii="Arial" w:hAnsi="Arial" w:cs="Arial"/>
          <w:bCs/>
        </w:rPr>
        <w:t>a, testing maize cob biochar (0-</w:t>
      </w:r>
      <w:r w:rsidRPr="00F13549">
        <w:rPr>
          <w:rFonts w:ascii="Arial" w:hAnsi="Arial" w:cs="Arial"/>
          <w:bCs/>
        </w:rPr>
        <w:t>10 t ha</w:t>
      </w:r>
      <w:r w:rsidRPr="00F13549">
        <w:rPr>
          <w:rFonts w:ascii="Cambria Math" w:hAnsi="Cambria Math" w:cs="Cambria Math"/>
          <w:bCs/>
        </w:rPr>
        <w:t>⁻</w:t>
      </w:r>
      <w:r w:rsidRPr="00F13549">
        <w:rPr>
          <w:rFonts w:ascii="Arial" w:hAnsi="Arial" w:cs="Arial"/>
          <w:bCs/>
        </w:rPr>
        <w:t>¹) and native AMF isolates on cassava and maize. The combined treatment (5 t ha</w:t>
      </w:r>
      <w:r w:rsidRPr="00F13549">
        <w:rPr>
          <w:rFonts w:ascii="Cambria Math" w:hAnsi="Cambria Math" w:cs="Cambria Math"/>
          <w:bCs/>
        </w:rPr>
        <w:t>⁻</w:t>
      </w:r>
      <w:r w:rsidRPr="00F13549">
        <w:rPr>
          <w:rFonts w:ascii="Arial" w:hAnsi="Arial" w:cs="Arial"/>
          <w:bCs/>
        </w:rPr>
        <w:t>¹ biochar + AMF) elevated soil available P by 22%, AMF colonizatio</w:t>
      </w:r>
      <w:r w:rsidR="00CC6E09" w:rsidRPr="00F13549">
        <w:rPr>
          <w:rFonts w:ascii="Arial" w:hAnsi="Arial" w:cs="Arial"/>
          <w:bCs/>
        </w:rPr>
        <w:t>n by 38%, and crop yields by 20-</w:t>
      </w:r>
      <w:r w:rsidRPr="00F13549">
        <w:rPr>
          <w:rFonts w:ascii="Arial" w:hAnsi="Arial" w:cs="Arial"/>
          <w:bCs/>
        </w:rPr>
        <w:t>28% (cassava: 14.2 t ha</w:t>
      </w:r>
      <w:r w:rsidRPr="00F13549">
        <w:rPr>
          <w:rFonts w:ascii="Cambria Math" w:hAnsi="Cambria Math" w:cs="Cambria Math"/>
          <w:bCs/>
        </w:rPr>
        <w:t>⁻</w:t>
      </w:r>
      <w:r w:rsidRPr="00F13549">
        <w:rPr>
          <w:rFonts w:ascii="Arial" w:hAnsi="Arial" w:cs="Arial"/>
          <w:bCs/>
        </w:rPr>
        <w:t>¹; maize: 4.8 t ha</w:t>
      </w:r>
      <w:r w:rsidRPr="00F13549">
        <w:rPr>
          <w:rFonts w:ascii="Cambria Math" w:hAnsi="Cambria Math" w:cs="Cambria Math"/>
          <w:bCs/>
        </w:rPr>
        <w:t>⁻</w:t>
      </w:r>
      <w:r w:rsidRPr="00F13549">
        <w:rPr>
          <w:rFonts w:ascii="Arial" w:hAnsi="Arial" w:cs="Arial"/>
          <w:bCs/>
        </w:rPr>
        <w:t>¹), outperforming single applications. These gains were linked to reduced P fixation and enhanced water retention during wet seasons, mitigating yield losses from waterlogging. However, the study noted variable responses across sites, emphasizing the importance of soil-</w:t>
      </w:r>
      <w:r w:rsidR="00CC6E09" w:rsidRPr="00F13549">
        <w:rPr>
          <w:rFonts w:ascii="Arial" w:hAnsi="Arial" w:cs="Arial"/>
          <w:bCs/>
        </w:rPr>
        <w:t>specific biochar pyrolysis (450-</w:t>
      </w:r>
      <w:r w:rsidRPr="00F13549">
        <w:rPr>
          <w:rFonts w:ascii="Arial" w:hAnsi="Arial" w:cs="Arial"/>
          <w:bCs/>
        </w:rPr>
        <w:t xml:space="preserve">550°C) and AMF strain screening for flooded conditions. Complementary work by </w:t>
      </w:r>
      <w:proofErr w:type="spellStart"/>
      <w:r w:rsidRPr="00F13549">
        <w:rPr>
          <w:rFonts w:ascii="Arial" w:hAnsi="Arial" w:cs="Arial"/>
          <w:bCs/>
        </w:rPr>
        <w:t>Thanni</w:t>
      </w:r>
      <w:proofErr w:type="spellEnd"/>
      <w:r w:rsidRPr="00F13549">
        <w:rPr>
          <w:rFonts w:ascii="Arial" w:hAnsi="Arial" w:cs="Arial"/>
          <w:bCs/>
        </w:rPr>
        <w:t xml:space="preserve"> </w:t>
      </w:r>
      <w:r w:rsidRPr="00F13549">
        <w:rPr>
          <w:rFonts w:ascii="Arial" w:hAnsi="Arial" w:cs="Arial"/>
          <w:bCs/>
          <w:i/>
        </w:rPr>
        <w:t>et al.</w:t>
      </w:r>
      <w:r w:rsidRPr="00F13549">
        <w:rPr>
          <w:rFonts w:ascii="Arial" w:hAnsi="Arial" w:cs="Arial"/>
          <w:bCs/>
        </w:rPr>
        <w:t xml:space="preserve"> (2022) on cassava fields in southern Nigeria documented native AMF diversity, with Glomus and </w:t>
      </w:r>
      <w:proofErr w:type="spellStart"/>
      <w:r w:rsidRPr="00F13549">
        <w:rPr>
          <w:rFonts w:ascii="Arial" w:hAnsi="Arial" w:cs="Arial"/>
          <w:bCs/>
        </w:rPr>
        <w:t>Acaulospora</w:t>
      </w:r>
      <w:proofErr w:type="spellEnd"/>
      <w:r w:rsidRPr="00F13549">
        <w:rPr>
          <w:rFonts w:ascii="Arial" w:hAnsi="Arial" w:cs="Arial"/>
          <w:bCs/>
        </w:rPr>
        <w:t xml:space="preserve"> species dominating, and suggested their integration with biochar to boost tuber quality in low-fertility lowlands.</w:t>
      </w:r>
    </w:p>
    <w:p w14:paraId="0352A332" w14:textId="77777777" w:rsidR="00426CC0" w:rsidRPr="00F13549" w:rsidRDefault="00426CC0" w:rsidP="00426CC0">
      <w:pPr>
        <w:jc w:val="both"/>
        <w:rPr>
          <w:rFonts w:ascii="Arial" w:hAnsi="Arial" w:cs="Arial"/>
          <w:bCs/>
        </w:rPr>
      </w:pPr>
      <w:r w:rsidRPr="00F13549">
        <w:rPr>
          <w:rFonts w:ascii="Arial" w:hAnsi="Arial" w:cs="Arial"/>
          <w:bCs/>
        </w:rPr>
        <w:t>Table 3.</w:t>
      </w:r>
      <w:r w:rsidRPr="00F13549">
        <w:rPr>
          <w:rFonts w:ascii="Arial" w:hAnsi="Arial" w:cs="Arial"/>
          <w:bCs/>
        </w:rPr>
        <w:tab/>
        <w:t>Comparative Summary of Treatment Outcomes (Illustrative)</w:t>
      </w:r>
    </w:p>
    <w:tbl>
      <w:tblPr>
        <w:tblW w:w="0" w:type="auto"/>
        <w:tblLook w:val="04A0" w:firstRow="1" w:lastRow="0" w:firstColumn="1" w:lastColumn="0" w:noHBand="0" w:noVBand="1"/>
      </w:tblPr>
      <w:tblGrid>
        <w:gridCol w:w="2160"/>
        <w:gridCol w:w="2160"/>
        <w:gridCol w:w="2160"/>
        <w:gridCol w:w="2160"/>
      </w:tblGrid>
      <w:tr w:rsidR="00CC6E09" w:rsidRPr="00F13549" w14:paraId="09120B44" w14:textId="77777777" w:rsidTr="001526A6">
        <w:tc>
          <w:tcPr>
            <w:tcW w:w="2160" w:type="dxa"/>
            <w:tcBorders>
              <w:top w:val="single" w:sz="4" w:space="0" w:color="auto"/>
              <w:bottom w:val="single" w:sz="4" w:space="0" w:color="auto"/>
            </w:tcBorders>
          </w:tcPr>
          <w:p w14:paraId="144B79F4"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Treatment</w:t>
            </w:r>
          </w:p>
        </w:tc>
        <w:tc>
          <w:tcPr>
            <w:tcW w:w="2160" w:type="dxa"/>
            <w:tcBorders>
              <w:top w:val="single" w:sz="4" w:space="0" w:color="auto"/>
              <w:bottom w:val="single" w:sz="4" w:space="0" w:color="auto"/>
            </w:tcBorders>
          </w:tcPr>
          <w:p w14:paraId="2E922F61"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Soil Available P</w:t>
            </w:r>
          </w:p>
        </w:tc>
        <w:tc>
          <w:tcPr>
            <w:tcW w:w="2160" w:type="dxa"/>
            <w:tcBorders>
              <w:top w:val="single" w:sz="4" w:space="0" w:color="auto"/>
              <w:bottom w:val="single" w:sz="4" w:space="0" w:color="auto"/>
            </w:tcBorders>
          </w:tcPr>
          <w:p w14:paraId="39306D63"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AMF Colonization</w:t>
            </w:r>
          </w:p>
        </w:tc>
        <w:tc>
          <w:tcPr>
            <w:tcW w:w="2160" w:type="dxa"/>
            <w:tcBorders>
              <w:top w:val="single" w:sz="4" w:space="0" w:color="auto"/>
              <w:bottom w:val="single" w:sz="4" w:space="0" w:color="auto"/>
            </w:tcBorders>
          </w:tcPr>
          <w:p w14:paraId="11E13DF1"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Yield Change (%)</w:t>
            </w:r>
          </w:p>
        </w:tc>
      </w:tr>
      <w:tr w:rsidR="00CC6E09" w:rsidRPr="00F13549" w14:paraId="3A456DC9" w14:textId="77777777" w:rsidTr="001526A6">
        <w:tc>
          <w:tcPr>
            <w:tcW w:w="2160" w:type="dxa"/>
            <w:tcBorders>
              <w:top w:val="single" w:sz="4" w:space="0" w:color="auto"/>
            </w:tcBorders>
          </w:tcPr>
          <w:p w14:paraId="1446D279"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Control</w:t>
            </w:r>
          </w:p>
        </w:tc>
        <w:tc>
          <w:tcPr>
            <w:tcW w:w="2160" w:type="dxa"/>
            <w:tcBorders>
              <w:top w:val="single" w:sz="4" w:space="0" w:color="auto"/>
            </w:tcBorders>
          </w:tcPr>
          <w:p w14:paraId="7C052A38"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Baseline</w:t>
            </w:r>
          </w:p>
        </w:tc>
        <w:tc>
          <w:tcPr>
            <w:tcW w:w="2160" w:type="dxa"/>
            <w:tcBorders>
              <w:top w:val="single" w:sz="4" w:space="0" w:color="auto"/>
            </w:tcBorders>
          </w:tcPr>
          <w:p w14:paraId="6D31A45F"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Baseline</w:t>
            </w:r>
          </w:p>
        </w:tc>
        <w:tc>
          <w:tcPr>
            <w:tcW w:w="2160" w:type="dxa"/>
            <w:tcBorders>
              <w:top w:val="single" w:sz="4" w:space="0" w:color="auto"/>
            </w:tcBorders>
          </w:tcPr>
          <w:p w14:paraId="247BBE6F"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0</w:t>
            </w:r>
          </w:p>
        </w:tc>
      </w:tr>
      <w:tr w:rsidR="00CC6E09" w:rsidRPr="00F13549" w14:paraId="11313757" w14:textId="77777777" w:rsidTr="001526A6">
        <w:tc>
          <w:tcPr>
            <w:tcW w:w="2160" w:type="dxa"/>
          </w:tcPr>
          <w:p w14:paraId="14917A1C"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Biochar only</w:t>
            </w:r>
          </w:p>
        </w:tc>
        <w:tc>
          <w:tcPr>
            <w:tcW w:w="2160" w:type="dxa"/>
          </w:tcPr>
          <w:p w14:paraId="2C063F97"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+10%</w:t>
            </w:r>
          </w:p>
        </w:tc>
        <w:tc>
          <w:tcPr>
            <w:tcW w:w="2160" w:type="dxa"/>
          </w:tcPr>
          <w:p w14:paraId="06C25F46"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25%</w:t>
            </w:r>
          </w:p>
        </w:tc>
        <w:tc>
          <w:tcPr>
            <w:tcW w:w="2160" w:type="dxa"/>
          </w:tcPr>
          <w:p w14:paraId="69CDA49E"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+8–12%</w:t>
            </w:r>
          </w:p>
        </w:tc>
      </w:tr>
      <w:tr w:rsidR="00CC6E09" w:rsidRPr="00F13549" w14:paraId="6614FA64" w14:textId="77777777" w:rsidTr="001526A6">
        <w:tc>
          <w:tcPr>
            <w:tcW w:w="2160" w:type="dxa"/>
          </w:tcPr>
          <w:p w14:paraId="2824B456"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AMF only</w:t>
            </w:r>
          </w:p>
        </w:tc>
        <w:tc>
          <w:tcPr>
            <w:tcW w:w="2160" w:type="dxa"/>
          </w:tcPr>
          <w:p w14:paraId="232715C5"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+5%</w:t>
            </w:r>
          </w:p>
        </w:tc>
        <w:tc>
          <w:tcPr>
            <w:tcW w:w="2160" w:type="dxa"/>
          </w:tcPr>
          <w:p w14:paraId="2D7AE7D5"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40%</w:t>
            </w:r>
          </w:p>
        </w:tc>
        <w:tc>
          <w:tcPr>
            <w:tcW w:w="2160" w:type="dxa"/>
          </w:tcPr>
          <w:p w14:paraId="5F1C91DF"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+6–18%</w:t>
            </w:r>
          </w:p>
        </w:tc>
      </w:tr>
      <w:tr w:rsidR="00CC6E09" w:rsidRPr="00F13549" w14:paraId="3A11BF29" w14:textId="77777777" w:rsidTr="001526A6">
        <w:tc>
          <w:tcPr>
            <w:tcW w:w="2160" w:type="dxa"/>
            <w:tcBorders>
              <w:bottom w:val="single" w:sz="4" w:space="0" w:color="auto"/>
            </w:tcBorders>
          </w:tcPr>
          <w:p w14:paraId="4DD6BB20"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Biochar + AMF</w:t>
            </w:r>
          </w:p>
        </w:tc>
        <w:tc>
          <w:tcPr>
            <w:tcW w:w="2160" w:type="dxa"/>
            <w:tcBorders>
              <w:bottom w:val="single" w:sz="4" w:space="0" w:color="auto"/>
            </w:tcBorders>
          </w:tcPr>
          <w:p w14:paraId="41D58A93"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+18%</w:t>
            </w:r>
          </w:p>
        </w:tc>
        <w:tc>
          <w:tcPr>
            <w:tcW w:w="2160" w:type="dxa"/>
            <w:tcBorders>
              <w:bottom w:val="single" w:sz="4" w:space="0" w:color="auto"/>
            </w:tcBorders>
          </w:tcPr>
          <w:p w14:paraId="3831FBF9"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+40%</w:t>
            </w:r>
          </w:p>
        </w:tc>
        <w:tc>
          <w:tcPr>
            <w:tcW w:w="2160" w:type="dxa"/>
            <w:tcBorders>
              <w:bottom w:val="single" w:sz="4" w:space="0" w:color="auto"/>
            </w:tcBorders>
          </w:tcPr>
          <w:p w14:paraId="709C5FBD"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+15-30%</w:t>
            </w:r>
          </w:p>
        </w:tc>
      </w:tr>
    </w:tbl>
    <w:p w14:paraId="55DF5824" w14:textId="77777777" w:rsidR="00426CC0" w:rsidRPr="00F13549" w:rsidRDefault="00426CC0" w:rsidP="00426CC0">
      <w:pPr>
        <w:jc w:val="both"/>
        <w:rPr>
          <w:rFonts w:ascii="Arial" w:hAnsi="Arial" w:cs="Arial"/>
          <w:bCs/>
          <w:i/>
          <w:sz w:val="20"/>
          <w:szCs w:val="20"/>
        </w:rPr>
      </w:pPr>
      <w:r w:rsidRPr="00F13549">
        <w:rPr>
          <w:rFonts w:ascii="Arial" w:hAnsi="Arial" w:cs="Arial"/>
          <w:bCs/>
          <w:i/>
          <w:sz w:val="20"/>
          <w:szCs w:val="20"/>
        </w:rPr>
        <w:t>*Percent changes relative to control; based on meta-analyses (Li et al., 2022; Fang et al., 2024).</w:t>
      </w:r>
    </w:p>
    <w:p w14:paraId="74454B85" w14:textId="77777777" w:rsidR="00426CC0" w:rsidRPr="00F13549" w:rsidRDefault="00426CC0" w:rsidP="00426CC0">
      <w:pPr>
        <w:jc w:val="both"/>
        <w:rPr>
          <w:rFonts w:ascii="Arial" w:hAnsi="Arial" w:cs="Arial"/>
          <w:bCs/>
        </w:rPr>
      </w:pPr>
    </w:p>
    <w:p w14:paraId="216F237B" w14:textId="77777777" w:rsidR="00560E9A" w:rsidRPr="00F13549" w:rsidRDefault="00560E9A" w:rsidP="00560E9A">
      <w:pPr>
        <w:spacing w:before="100" w:beforeAutospacing="1" w:after="100" w:afterAutospacing="1" w:line="240" w:lineRule="auto"/>
        <w:jc w:val="both"/>
        <w:rPr>
          <w:rFonts w:ascii="Arial" w:eastAsia="Times New Roman" w:hAnsi="Arial" w:cs="Arial"/>
          <w:bCs/>
          <w:sz w:val="24"/>
          <w:szCs w:val="24"/>
        </w:rPr>
      </w:pPr>
      <w:r w:rsidRPr="00F13549">
        <w:rPr>
          <w:rFonts w:ascii="Arial" w:eastAsia="Times New Roman" w:hAnsi="Arial" w:cs="Arial"/>
          <w:bCs/>
          <w:sz w:val="24"/>
          <w:szCs w:val="24"/>
        </w:rPr>
        <w:t>SOCIO-ECONOMIC IMPLICATIONS AND ADOPTION STRATEGIES</w:t>
      </w:r>
    </w:p>
    <w:p w14:paraId="3FB0EA65" w14:textId="77777777" w:rsidR="00560E9A" w:rsidRPr="00F13549" w:rsidRDefault="00560E9A" w:rsidP="00560E9A">
      <w:pPr>
        <w:spacing w:after="0"/>
        <w:jc w:val="both"/>
        <w:rPr>
          <w:rFonts w:ascii="Arial" w:eastAsia="Times New Roman" w:hAnsi="Arial" w:cs="Arial"/>
          <w:bCs/>
          <w:sz w:val="24"/>
          <w:szCs w:val="24"/>
        </w:rPr>
      </w:pPr>
      <w:r w:rsidRPr="00F13549">
        <w:rPr>
          <w:rFonts w:ascii="Arial" w:eastAsia="Times New Roman" w:hAnsi="Arial" w:cs="Arial"/>
          <w:bCs/>
          <w:sz w:val="24"/>
          <w:szCs w:val="24"/>
        </w:rPr>
        <w:t>While the agronomic benefits of biochar and AMF are compelling, their widespread adoption in South-West Nigeria's lowland farming systems depends on socio-economic viability, farmer perceptions, and supportive frameworks. Smallholder farmers, who dominate the region's agriculture, often operate on limited land (1-6 ha) and low incomes (&lt;₦458,000 annually from crop sales), making cost-effective innovations essential for enhancing livelihoods and food security (</w:t>
      </w:r>
      <w:proofErr w:type="spellStart"/>
      <w:r w:rsidRPr="00F13549">
        <w:rPr>
          <w:rFonts w:ascii="Arial" w:eastAsia="Times New Roman" w:hAnsi="Arial" w:cs="Arial"/>
          <w:bCs/>
          <w:sz w:val="24"/>
          <w:szCs w:val="24"/>
        </w:rPr>
        <w:t>Ogunmodede</w:t>
      </w:r>
      <w:proofErr w:type="spellEnd"/>
      <w:r w:rsidRPr="00F13549">
        <w:rPr>
          <w:rFonts w:ascii="Arial" w:eastAsia="Times New Roman" w:hAnsi="Arial" w:cs="Arial"/>
          <w:bCs/>
          <w:sz w:val="24"/>
          <w:szCs w:val="24"/>
        </w:rPr>
        <w:t xml:space="preserve"> </w:t>
      </w:r>
      <w:r w:rsidRPr="00F13549">
        <w:rPr>
          <w:rFonts w:ascii="Arial" w:eastAsia="Times New Roman" w:hAnsi="Arial" w:cs="Arial"/>
          <w:bCs/>
          <w:i/>
          <w:sz w:val="24"/>
          <w:szCs w:val="24"/>
        </w:rPr>
        <w:t>et al.,</w:t>
      </w:r>
      <w:r w:rsidRPr="00F13549">
        <w:rPr>
          <w:rFonts w:ascii="Arial" w:eastAsia="Times New Roman" w:hAnsi="Arial" w:cs="Arial"/>
          <w:bCs/>
          <w:sz w:val="24"/>
          <w:szCs w:val="24"/>
        </w:rPr>
        <w:t xml:space="preserve"> 2025). Economic analyses indicate that integrated biochar-AMF applications can yield substantial returns: yield increases of 15-30% translate to higher household revenues, while reduced fertilizer needs (up to 70% savings on phosphorus inputs) lower production costs and mitigate risks from volatile global prices (Singh </w:t>
      </w:r>
      <w:r w:rsidRPr="00F13549">
        <w:rPr>
          <w:rFonts w:ascii="Arial" w:eastAsia="Times New Roman" w:hAnsi="Arial" w:cs="Arial"/>
          <w:bCs/>
          <w:i/>
          <w:sz w:val="24"/>
          <w:szCs w:val="24"/>
        </w:rPr>
        <w:t>et al</w:t>
      </w:r>
      <w:r w:rsidRPr="00F13549">
        <w:rPr>
          <w:rFonts w:ascii="Arial" w:eastAsia="Times New Roman" w:hAnsi="Arial" w:cs="Arial"/>
          <w:bCs/>
          <w:sz w:val="24"/>
          <w:szCs w:val="24"/>
        </w:rPr>
        <w:t xml:space="preserve">., 2025; Mwango </w:t>
      </w:r>
      <w:r w:rsidRPr="00F13549">
        <w:rPr>
          <w:rFonts w:ascii="Arial" w:eastAsia="Times New Roman" w:hAnsi="Arial" w:cs="Arial"/>
          <w:bCs/>
          <w:i/>
          <w:sz w:val="24"/>
          <w:szCs w:val="24"/>
        </w:rPr>
        <w:t>et al</w:t>
      </w:r>
      <w:r w:rsidRPr="00F13549">
        <w:rPr>
          <w:rFonts w:ascii="Arial" w:eastAsia="Times New Roman" w:hAnsi="Arial" w:cs="Arial"/>
          <w:bCs/>
          <w:sz w:val="24"/>
          <w:szCs w:val="24"/>
        </w:rPr>
        <w:t xml:space="preserve">., 2022). For AMF specifically, enhanced nutrient efficiency and stress tolerance in tropical crops like cassava and maize can boost outputs by 20-40%, promoting long-term soil health and reducing erosion-related losses, which are critical in waterlogged lowlands (Singh et al., 2025). Farmer perceptions in Nigeria reveal high potential for uptake when awareness is raised. In Kogi State, a study on cashew farmers found initial awareness of biochar at only 19.1%, but 96.3% expressed willingness to adopt integrated biochar-inorganic fertilizer strategies after targeted education, citing benefits like soil fertility improvement </w:t>
      </w:r>
      <w:r w:rsidRPr="00F13549">
        <w:rPr>
          <w:rFonts w:ascii="Arial" w:eastAsia="Times New Roman" w:hAnsi="Arial" w:cs="Arial"/>
          <w:bCs/>
          <w:sz w:val="24"/>
          <w:szCs w:val="24"/>
        </w:rPr>
        <w:lastRenderedPageBreak/>
        <w:t>(mean perception score: 4.34) and moisture conservation (4.28) for climate resilience (</w:t>
      </w:r>
      <w:proofErr w:type="spellStart"/>
      <w:r w:rsidRPr="00F13549">
        <w:rPr>
          <w:rFonts w:ascii="Arial" w:eastAsia="Times New Roman" w:hAnsi="Arial" w:cs="Arial"/>
          <w:bCs/>
          <w:sz w:val="24"/>
          <w:szCs w:val="24"/>
        </w:rPr>
        <w:t>Ogunmodede</w:t>
      </w:r>
      <w:proofErr w:type="spellEnd"/>
      <w:r w:rsidRPr="00F13549">
        <w:rPr>
          <w:rFonts w:ascii="Arial" w:eastAsia="Times New Roman" w:hAnsi="Arial" w:cs="Arial"/>
          <w:bCs/>
          <w:sz w:val="24"/>
          <w:szCs w:val="24"/>
        </w:rPr>
        <w:t xml:space="preserve"> </w:t>
      </w:r>
      <w:r w:rsidRPr="00F13549">
        <w:rPr>
          <w:rFonts w:ascii="Arial" w:eastAsia="Times New Roman" w:hAnsi="Arial" w:cs="Arial"/>
          <w:bCs/>
          <w:i/>
          <w:sz w:val="24"/>
          <w:szCs w:val="24"/>
        </w:rPr>
        <w:t>et al</w:t>
      </w:r>
      <w:r w:rsidRPr="00F13549">
        <w:rPr>
          <w:rFonts w:ascii="Arial" w:eastAsia="Times New Roman" w:hAnsi="Arial" w:cs="Arial"/>
          <w:bCs/>
          <w:sz w:val="24"/>
          <w:szCs w:val="24"/>
        </w:rPr>
        <w:t>., 2025). Similar sentiments emerge in broader West African contexts, where 83% of Ghanaian farmers viewed biochar positively for yield gains and environmental sustainability, though AMF knowledge remains lower due to limited extension outreach (</w:t>
      </w:r>
      <w:proofErr w:type="spellStart"/>
      <w:r w:rsidRPr="00F13549">
        <w:rPr>
          <w:rFonts w:ascii="Arial" w:eastAsia="Times New Roman" w:hAnsi="Arial" w:cs="Arial"/>
          <w:bCs/>
          <w:sz w:val="24"/>
          <w:szCs w:val="24"/>
        </w:rPr>
        <w:t>Agyarko-Mintah</w:t>
      </w:r>
      <w:proofErr w:type="spellEnd"/>
      <w:r w:rsidRPr="00F13549">
        <w:rPr>
          <w:rFonts w:ascii="Arial" w:eastAsia="Times New Roman" w:hAnsi="Arial" w:cs="Arial"/>
          <w:bCs/>
          <w:sz w:val="24"/>
          <w:szCs w:val="24"/>
        </w:rPr>
        <w:t xml:space="preserve"> </w:t>
      </w:r>
      <w:r w:rsidRPr="00F13549">
        <w:rPr>
          <w:rFonts w:ascii="Arial" w:eastAsia="Times New Roman" w:hAnsi="Arial" w:cs="Arial"/>
          <w:bCs/>
          <w:i/>
          <w:sz w:val="24"/>
          <w:szCs w:val="24"/>
        </w:rPr>
        <w:t>et al</w:t>
      </w:r>
      <w:r w:rsidRPr="00F13549">
        <w:rPr>
          <w:rFonts w:ascii="Arial" w:eastAsia="Times New Roman" w:hAnsi="Arial" w:cs="Arial"/>
          <w:bCs/>
          <w:sz w:val="24"/>
          <w:szCs w:val="24"/>
        </w:rPr>
        <w:t xml:space="preserve">., 2025). Key drivers include food security, income generation, and adaptation to erratic rainfall, with middle-aged, educated farmers (secondary level or higher) showing stronger adoption intent (Mwango </w:t>
      </w:r>
      <w:r w:rsidRPr="00F13549">
        <w:rPr>
          <w:rFonts w:ascii="Arial" w:eastAsia="Times New Roman" w:hAnsi="Arial" w:cs="Arial"/>
          <w:bCs/>
          <w:i/>
          <w:sz w:val="24"/>
          <w:szCs w:val="24"/>
        </w:rPr>
        <w:t>et al</w:t>
      </w:r>
      <w:r w:rsidRPr="00F13549">
        <w:rPr>
          <w:rFonts w:ascii="Arial" w:eastAsia="Times New Roman" w:hAnsi="Arial" w:cs="Arial"/>
          <w:bCs/>
          <w:sz w:val="24"/>
          <w:szCs w:val="24"/>
        </w:rPr>
        <w:t xml:space="preserve">., 2022). Despite these opportunities, barriers persist. Low awareness (62-81% in regional surveys), high initial costs for biochar production (e.g., pyrolysis kilns at ~₦30,000), feedstock competition (e.g., maize cobs used for fuel), and restricted credit access hinder scaling (Yeboah </w:t>
      </w:r>
      <w:r w:rsidRPr="00F13549">
        <w:rPr>
          <w:rFonts w:ascii="Arial" w:eastAsia="Times New Roman" w:hAnsi="Arial" w:cs="Arial"/>
          <w:bCs/>
          <w:i/>
          <w:sz w:val="24"/>
          <w:szCs w:val="24"/>
        </w:rPr>
        <w:t>et al.</w:t>
      </w:r>
      <w:r w:rsidRPr="00F13549">
        <w:rPr>
          <w:rFonts w:ascii="Arial" w:eastAsia="Times New Roman" w:hAnsi="Arial" w:cs="Arial"/>
          <w:bCs/>
          <w:sz w:val="24"/>
          <w:szCs w:val="24"/>
        </w:rPr>
        <w:t xml:space="preserve">, 2023; Mwango </w:t>
      </w:r>
      <w:r w:rsidRPr="00F13549">
        <w:rPr>
          <w:rFonts w:ascii="Arial" w:eastAsia="Times New Roman" w:hAnsi="Arial" w:cs="Arial"/>
          <w:bCs/>
          <w:i/>
          <w:sz w:val="24"/>
          <w:szCs w:val="24"/>
        </w:rPr>
        <w:t>et al</w:t>
      </w:r>
      <w:r w:rsidRPr="00F13549">
        <w:rPr>
          <w:rFonts w:ascii="Arial" w:eastAsia="Times New Roman" w:hAnsi="Arial" w:cs="Arial"/>
          <w:bCs/>
          <w:sz w:val="24"/>
          <w:szCs w:val="24"/>
        </w:rPr>
        <w:t xml:space="preserve">., 2022). Gender disparities exacerbate issues, as women (23% of adopters) face land tenure constraints in patriarchal systems. For AMF, on-farm inoculum production is economical but requires training to avoid commercial dependency, which can inflate costs by 20-50% (Singh </w:t>
      </w:r>
      <w:r w:rsidRPr="00F13549">
        <w:rPr>
          <w:rFonts w:ascii="Arial" w:eastAsia="Times New Roman" w:hAnsi="Arial" w:cs="Arial"/>
          <w:bCs/>
          <w:i/>
          <w:sz w:val="24"/>
          <w:szCs w:val="24"/>
        </w:rPr>
        <w:t xml:space="preserve">et al., </w:t>
      </w:r>
      <w:r w:rsidRPr="00F13549">
        <w:rPr>
          <w:rFonts w:ascii="Arial" w:eastAsia="Times New Roman" w:hAnsi="Arial" w:cs="Arial"/>
          <w:bCs/>
          <w:sz w:val="24"/>
          <w:szCs w:val="24"/>
        </w:rPr>
        <w:t xml:space="preserve">2025). </w:t>
      </w:r>
    </w:p>
    <w:p w14:paraId="011CEDD3" w14:textId="77777777" w:rsidR="00560E9A" w:rsidRPr="00F13549" w:rsidRDefault="00560E9A" w:rsidP="00560E9A">
      <w:pPr>
        <w:spacing w:after="0"/>
        <w:jc w:val="both"/>
        <w:rPr>
          <w:rFonts w:ascii="Arial" w:eastAsia="Times New Roman" w:hAnsi="Arial" w:cs="Arial"/>
          <w:bCs/>
          <w:sz w:val="24"/>
          <w:szCs w:val="24"/>
        </w:rPr>
      </w:pPr>
    </w:p>
    <w:p w14:paraId="4DDC75EB" w14:textId="77777777" w:rsidR="00560E9A" w:rsidRPr="00F13549" w:rsidRDefault="00560E9A" w:rsidP="00560E9A">
      <w:pPr>
        <w:spacing w:after="0"/>
        <w:jc w:val="both"/>
        <w:rPr>
          <w:rFonts w:ascii="Arial" w:eastAsia="Times New Roman" w:hAnsi="Arial" w:cs="Arial"/>
          <w:bCs/>
          <w:sz w:val="24"/>
          <w:szCs w:val="24"/>
        </w:rPr>
      </w:pPr>
      <w:r w:rsidRPr="00F13549">
        <w:rPr>
          <w:rFonts w:ascii="Arial" w:eastAsia="Times New Roman" w:hAnsi="Arial" w:cs="Arial"/>
          <w:bCs/>
          <w:sz w:val="24"/>
          <w:szCs w:val="24"/>
        </w:rPr>
        <w:t>To overcome these, targeted strategies are recommended:</w:t>
      </w:r>
    </w:p>
    <w:p w14:paraId="1DA4900A" w14:textId="77777777" w:rsidR="00560E9A" w:rsidRPr="00F13549" w:rsidRDefault="00560E9A" w:rsidP="00560E9A">
      <w:pPr>
        <w:spacing w:after="0"/>
        <w:jc w:val="both"/>
        <w:rPr>
          <w:rFonts w:ascii="Arial" w:eastAsia="Times New Roman" w:hAnsi="Arial" w:cs="Arial"/>
          <w:bCs/>
          <w:sz w:val="24"/>
          <w:szCs w:val="24"/>
        </w:rPr>
      </w:pPr>
      <w:r w:rsidRPr="00F13549">
        <w:rPr>
          <w:rFonts w:ascii="Arial" w:eastAsia="Times New Roman" w:hAnsi="Arial" w:cs="Arial"/>
          <w:bCs/>
          <w:sz w:val="24"/>
          <w:szCs w:val="24"/>
        </w:rPr>
        <w:t xml:space="preserve"> (1) Farmer-field schools and extension demonstrations via institutions like the Cocoa Research Institute of Nigeria to build skills in local biochar production from abundant wastes (rice husks, cassava peels); </w:t>
      </w:r>
    </w:p>
    <w:p w14:paraId="4D36A281" w14:textId="77777777" w:rsidR="00560E9A" w:rsidRPr="00F13549" w:rsidRDefault="00560E9A" w:rsidP="00560E9A">
      <w:pPr>
        <w:spacing w:after="0"/>
        <w:jc w:val="both"/>
        <w:rPr>
          <w:rFonts w:ascii="Arial" w:eastAsia="Times New Roman" w:hAnsi="Arial" w:cs="Arial"/>
          <w:bCs/>
          <w:sz w:val="24"/>
          <w:szCs w:val="24"/>
        </w:rPr>
      </w:pPr>
      <w:r w:rsidRPr="00F13549">
        <w:rPr>
          <w:rFonts w:ascii="Arial" w:eastAsia="Times New Roman" w:hAnsi="Arial" w:cs="Arial"/>
          <w:bCs/>
          <w:sz w:val="24"/>
          <w:szCs w:val="24"/>
        </w:rPr>
        <w:t>(2) Subsidies and microcredit schemes for youth and women, integrated into national policies like the Agricultural Promotion Policy;</w:t>
      </w:r>
    </w:p>
    <w:p w14:paraId="440504A8" w14:textId="77777777" w:rsidR="00560E9A" w:rsidRPr="00F13549" w:rsidRDefault="00560E9A" w:rsidP="00560E9A">
      <w:pPr>
        <w:spacing w:after="0"/>
        <w:jc w:val="both"/>
        <w:rPr>
          <w:rFonts w:ascii="Arial" w:eastAsia="Times New Roman" w:hAnsi="Arial" w:cs="Arial"/>
          <w:bCs/>
          <w:sz w:val="24"/>
          <w:szCs w:val="24"/>
        </w:rPr>
      </w:pPr>
      <w:r w:rsidRPr="00F13549">
        <w:rPr>
          <w:rFonts w:ascii="Arial" w:eastAsia="Times New Roman" w:hAnsi="Arial" w:cs="Arial"/>
          <w:bCs/>
          <w:sz w:val="24"/>
          <w:szCs w:val="24"/>
        </w:rPr>
        <w:t xml:space="preserve"> (3) Collaborative research on cost-benefit models tailored to lowlands, emphasizing native AMF strains; and </w:t>
      </w:r>
    </w:p>
    <w:p w14:paraId="0F907A0D" w14:textId="77777777" w:rsidR="00560E9A" w:rsidRPr="00F13549" w:rsidRDefault="00560E9A" w:rsidP="00560E9A">
      <w:pPr>
        <w:spacing w:after="0"/>
        <w:jc w:val="both"/>
        <w:rPr>
          <w:rFonts w:ascii="Arial" w:eastAsia="Times New Roman" w:hAnsi="Arial" w:cs="Arial"/>
          <w:bCs/>
          <w:sz w:val="24"/>
          <w:szCs w:val="24"/>
        </w:rPr>
      </w:pPr>
      <w:r w:rsidRPr="00F13549">
        <w:rPr>
          <w:rFonts w:ascii="Arial" w:eastAsia="Times New Roman" w:hAnsi="Arial" w:cs="Arial"/>
          <w:bCs/>
          <w:sz w:val="24"/>
          <w:szCs w:val="24"/>
        </w:rPr>
        <w:t>(4) Public-private partnerships for supply chains, ensuring equitable access. These measures can accelerate adoption, fostering resilient agro-ecosystems and economic empowerment in South-West Nigeria.</w:t>
      </w:r>
    </w:p>
    <w:p w14:paraId="34A6F01B" w14:textId="77777777" w:rsidR="00560E9A" w:rsidRPr="00F13549" w:rsidRDefault="00560E9A" w:rsidP="00560E9A">
      <w:pPr>
        <w:spacing w:after="0"/>
        <w:jc w:val="both"/>
        <w:rPr>
          <w:rFonts w:ascii="Arial" w:eastAsia="Times New Roman" w:hAnsi="Arial" w:cs="Arial"/>
          <w:bCs/>
          <w:sz w:val="24"/>
          <w:szCs w:val="24"/>
        </w:rPr>
      </w:pPr>
    </w:p>
    <w:p w14:paraId="03561C2C" w14:textId="77777777" w:rsidR="00753E6F" w:rsidRPr="00F13549" w:rsidRDefault="00753E6F" w:rsidP="00753E6F">
      <w:pPr>
        <w:pBdr>
          <w:bottom w:val="single" w:sz="4" w:space="1" w:color="auto"/>
        </w:pBdr>
        <w:spacing w:before="100" w:beforeAutospacing="1" w:after="100" w:afterAutospacing="1" w:line="240" w:lineRule="auto"/>
        <w:rPr>
          <w:rFonts w:ascii="Arial" w:eastAsia="Times New Roman" w:hAnsi="Arial" w:cs="Arial"/>
          <w:bCs/>
        </w:rPr>
      </w:pPr>
      <w:r w:rsidRPr="00F13549">
        <w:rPr>
          <w:rFonts w:ascii="Arial" w:eastAsia="Times New Roman" w:hAnsi="Arial" w:cs="Arial"/>
          <w:bCs/>
        </w:rPr>
        <w:t>Table 4: Key Socio-Economic Factors Influencing Biochar-AMF Adoption in West Africa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5"/>
        <w:gridCol w:w="3360"/>
        <w:gridCol w:w="4315"/>
      </w:tblGrid>
      <w:tr w:rsidR="00753E6F" w:rsidRPr="00F13549" w14:paraId="54BAF653" w14:textId="77777777" w:rsidTr="00753E6F">
        <w:trPr>
          <w:tblHeader/>
          <w:tblCellSpacing w:w="15" w:type="dxa"/>
        </w:trPr>
        <w:tc>
          <w:tcPr>
            <w:tcW w:w="0" w:type="auto"/>
            <w:vAlign w:val="center"/>
            <w:hideMark/>
          </w:tcPr>
          <w:p w14:paraId="198367BA" w14:textId="77777777" w:rsidR="00753E6F" w:rsidRPr="00F13549" w:rsidRDefault="00753E6F" w:rsidP="00753E6F">
            <w:pPr>
              <w:spacing w:after="0" w:line="240" w:lineRule="auto"/>
              <w:jc w:val="center"/>
              <w:rPr>
                <w:rFonts w:ascii="Arial" w:eastAsia="Times New Roman" w:hAnsi="Arial" w:cs="Arial"/>
                <w:bCs/>
              </w:rPr>
            </w:pPr>
            <w:r w:rsidRPr="00F13549">
              <w:rPr>
                <w:rFonts w:ascii="Arial" w:eastAsia="Times New Roman" w:hAnsi="Arial" w:cs="Arial"/>
                <w:bCs/>
              </w:rPr>
              <w:t>Factor</w:t>
            </w:r>
          </w:p>
        </w:tc>
        <w:tc>
          <w:tcPr>
            <w:tcW w:w="0" w:type="auto"/>
            <w:vAlign w:val="center"/>
            <w:hideMark/>
          </w:tcPr>
          <w:p w14:paraId="612F16B2" w14:textId="77777777" w:rsidR="00753E6F" w:rsidRPr="00F13549" w:rsidRDefault="00753E6F" w:rsidP="00753E6F">
            <w:pPr>
              <w:spacing w:after="0" w:line="240" w:lineRule="auto"/>
              <w:jc w:val="center"/>
              <w:rPr>
                <w:rFonts w:ascii="Arial" w:eastAsia="Times New Roman" w:hAnsi="Arial" w:cs="Arial"/>
                <w:bCs/>
              </w:rPr>
            </w:pPr>
            <w:r w:rsidRPr="00F13549">
              <w:rPr>
                <w:rFonts w:ascii="Arial" w:eastAsia="Times New Roman" w:hAnsi="Arial" w:cs="Arial"/>
                <w:bCs/>
              </w:rPr>
              <w:t>Influence on Adoption</w:t>
            </w:r>
          </w:p>
        </w:tc>
        <w:tc>
          <w:tcPr>
            <w:tcW w:w="0" w:type="auto"/>
            <w:vAlign w:val="center"/>
            <w:hideMark/>
          </w:tcPr>
          <w:p w14:paraId="6686997B" w14:textId="77777777" w:rsidR="00753E6F" w:rsidRPr="00F13549" w:rsidRDefault="00753E6F" w:rsidP="00753E6F">
            <w:pPr>
              <w:spacing w:after="0" w:line="240" w:lineRule="auto"/>
              <w:jc w:val="center"/>
              <w:rPr>
                <w:rFonts w:ascii="Arial" w:eastAsia="Times New Roman" w:hAnsi="Arial" w:cs="Arial"/>
                <w:bCs/>
              </w:rPr>
            </w:pPr>
            <w:r w:rsidRPr="00F13549">
              <w:rPr>
                <w:rFonts w:ascii="Arial" w:eastAsia="Times New Roman" w:hAnsi="Arial" w:cs="Arial"/>
                <w:bCs/>
              </w:rPr>
              <w:t>Examples from Studies</w:t>
            </w:r>
          </w:p>
        </w:tc>
      </w:tr>
      <w:tr w:rsidR="00753E6F" w:rsidRPr="00F13549" w14:paraId="11BA8A3D" w14:textId="77777777" w:rsidTr="00753E6F">
        <w:trPr>
          <w:tblCellSpacing w:w="15" w:type="dxa"/>
        </w:trPr>
        <w:tc>
          <w:tcPr>
            <w:tcW w:w="0" w:type="auto"/>
            <w:tcBorders>
              <w:top w:val="single" w:sz="4" w:space="0" w:color="auto"/>
            </w:tcBorders>
            <w:vAlign w:val="center"/>
            <w:hideMark/>
          </w:tcPr>
          <w:p w14:paraId="2388A48C"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Awareness / Education</w:t>
            </w:r>
          </w:p>
        </w:tc>
        <w:tc>
          <w:tcPr>
            <w:tcW w:w="0" w:type="auto"/>
            <w:tcBorders>
              <w:top w:val="single" w:sz="4" w:space="0" w:color="auto"/>
            </w:tcBorders>
            <w:vAlign w:val="center"/>
            <w:hideMark/>
          </w:tcPr>
          <w:p w14:paraId="4C1D52E5"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Positive; higher education correlates with a two-fold increase in adoption rate</w:t>
            </w:r>
          </w:p>
        </w:tc>
        <w:tc>
          <w:tcPr>
            <w:tcW w:w="0" w:type="auto"/>
            <w:tcBorders>
              <w:top w:val="single" w:sz="4" w:space="0" w:color="auto"/>
            </w:tcBorders>
            <w:vAlign w:val="center"/>
            <w:hideMark/>
          </w:tcPr>
          <w:p w14:paraId="1C01F256"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Low initial knowledge (19–81%), but education significantly boosts willingness (</w:t>
            </w:r>
            <w:proofErr w:type="spellStart"/>
            <w:r w:rsidRPr="00F13549">
              <w:rPr>
                <w:rFonts w:ascii="Arial" w:eastAsia="Times New Roman" w:hAnsi="Arial" w:cs="Arial"/>
                <w:bCs/>
              </w:rPr>
              <w:t>Ogunmodede</w:t>
            </w:r>
            <w:proofErr w:type="spellEnd"/>
            <w:r w:rsidRPr="00F13549">
              <w:rPr>
                <w:rFonts w:ascii="Arial" w:eastAsia="Times New Roman" w:hAnsi="Arial" w:cs="Arial"/>
                <w:bCs/>
              </w:rPr>
              <w:t xml:space="preserve"> </w:t>
            </w:r>
            <w:r w:rsidRPr="00F13549">
              <w:rPr>
                <w:rFonts w:ascii="Arial" w:eastAsia="Times New Roman" w:hAnsi="Arial" w:cs="Arial"/>
                <w:bCs/>
                <w:i/>
                <w:iCs/>
              </w:rPr>
              <w:t>et al.</w:t>
            </w:r>
            <w:r w:rsidRPr="00F13549">
              <w:rPr>
                <w:rFonts w:ascii="Arial" w:eastAsia="Times New Roman" w:hAnsi="Arial" w:cs="Arial"/>
                <w:bCs/>
              </w:rPr>
              <w:t>, 2025)</w:t>
            </w:r>
          </w:p>
        </w:tc>
      </w:tr>
      <w:tr w:rsidR="00753E6F" w:rsidRPr="00F13549" w14:paraId="202C44C8" w14:textId="77777777" w:rsidTr="00753E6F">
        <w:trPr>
          <w:tblCellSpacing w:w="15" w:type="dxa"/>
        </w:trPr>
        <w:tc>
          <w:tcPr>
            <w:tcW w:w="0" w:type="auto"/>
            <w:vAlign w:val="center"/>
            <w:hideMark/>
          </w:tcPr>
          <w:p w14:paraId="3C55F417"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Income / Credit Access</w:t>
            </w:r>
          </w:p>
        </w:tc>
        <w:tc>
          <w:tcPr>
            <w:tcW w:w="0" w:type="auto"/>
            <w:vAlign w:val="center"/>
            <w:hideMark/>
          </w:tcPr>
          <w:p w14:paraId="4881FD75"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Barrier; low income limits investment capacity</w:t>
            </w:r>
          </w:p>
        </w:tc>
        <w:tc>
          <w:tcPr>
            <w:tcW w:w="0" w:type="auto"/>
            <w:vAlign w:val="center"/>
            <w:hideMark/>
          </w:tcPr>
          <w:p w14:paraId="3DE548F2"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 xml:space="preserve">Average annual earnings below ₦458,000; access to credit schemes recommended (Mwango </w:t>
            </w:r>
            <w:r w:rsidRPr="00F13549">
              <w:rPr>
                <w:rFonts w:ascii="Arial" w:eastAsia="Times New Roman" w:hAnsi="Arial" w:cs="Arial"/>
                <w:bCs/>
                <w:i/>
                <w:iCs/>
              </w:rPr>
              <w:t>et al.</w:t>
            </w:r>
            <w:r w:rsidRPr="00F13549">
              <w:rPr>
                <w:rFonts w:ascii="Arial" w:eastAsia="Times New Roman" w:hAnsi="Arial" w:cs="Arial"/>
                <w:bCs/>
              </w:rPr>
              <w:t>, 2022)</w:t>
            </w:r>
          </w:p>
        </w:tc>
      </w:tr>
      <w:tr w:rsidR="00753E6F" w:rsidRPr="00F13549" w14:paraId="0EFEF88C" w14:textId="77777777" w:rsidTr="00753E6F">
        <w:trPr>
          <w:tblCellSpacing w:w="15" w:type="dxa"/>
        </w:trPr>
        <w:tc>
          <w:tcPr>
            <w:tcW w:w="0" w:type="auto"/>
            <w:vAlign w:val="center"/>
            <w:hideMark/>
          </w:tcPr>
          <w:p w14:paraId="5D577077"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Perceived Benefits</w:t>
            </w:r>
          </w:p>
        </w:tc>
        <w:tc>
          <w:tcPr>
            <w:tcW w:w="0" w:type="auto"/>
            <w:vAlign w:val="center"/>
            <w:hideMark/>
          </w:tcPr>
          <w:p w14:paraId="7E826DD4"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Driver; yield and income gains motivate 83–96% willingness to adopt</w:t>
            </w:r>
          </w:p>
        </w:tc>
        <w:tc>
          <w:tcPr>
            <w:tcW w:w="0" w:type="auto"/>
            <w:vAlign w:val="center"/>
            <w:hideMark/>
          </w:tcPr>
          <w:p w14:paraId="6CBC4DBB"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Improved soil fertility, moisture retention, and cost savings (</w:t>
            </w:r>
            <w:proofErr w:type="spellStart"/>
            <w:r w:rsidRPr="00F13549">
              <w:rPr>
                <w:rFonts w:ascii="Arial" w:eastAsia="Times New Roman" w:hAnsi="Arial" w:cs="Arial"/>
                <w:bCs/>
              </w:rPr>
              <w:t>Agyarko-Mintah</w:t>
            </w:r>
            <w:proofErr w:type="spellEnd"/>
            <w:r w:rsidRPr="00F13549">
              <w:rPr>
                <w:rFonts w:ascii="Arial" w:eastAsia="Times New Roman" w:hAnsi="Arial" w:cs="Arial"/>
                <w:bCs/>
              </w:rPr>
              <w:t xml:space="preserve"> </w:t>
            </w:r>
            <w:r w:rsidRPr="00F13549">
              <w:rPr>
                <w:rFonts w:ascii="Arial" w:eastAsia="Times New Roman" w:hAnsi="Arial" w:cs="Arial"/>
                <w:bCs/>
                <w:i/>
                <w:iCs/>
              </w:rPr>
              <w:t>et al.</w:t>
            </w:r>
            <w:r w:rsidRPr="00F13549">
              <w:rPr>
                <w:rFonts w:ascii="Arial" w:eastAsia="Times New Roman" w:hAnsi="Arial" w:cs="Arial"/>
                <w:bCs/>
              </w:rPr>
              <w:t xml:space="preserve">, 2025; Singh </w:t>
            </w:r>
            <w:r w:rsidRPr="00F13549">
              <w:rPr>
                <w:rFonts w:ascii="Arial" w:eastAsia="Times New Roman" w:hAnsi="Arial" w:cs="Arial"/>
                <w:bCs/>
                <w:i/>
                <w:iCs/>
              </w:rPr>
              <w:t>et al.</w:t>
            </w:r>
            <w:r w:rsidRPr="00F13549">
              <w:rPr>
                <w:rFonts w:ascii="Arial" w:eastAsia="Times New Roman" w:hAnsi="Arial" w:cs="Arial"/>
                <w:bCs/>
              </w:rPr>
              <w:t>, 2025)</w:t>
            </w:r>
          </w:p>
        </w:tc>
      </w:tr>
      <w:tr w:rsidR="00753E6F" w:rsidRPr="00F13549" w14:paraId="710BF701" w14:textId="77777777" w:rsidTr="00753E6F">
        <w:trPr>
          <w:tblCellSpacing w:w="15" w:type="dxa"/>
        </w:trPr>
        <w:tc>
          <w:tcPr>
            <w:tcW w:w="0" w:type="auto"/>
            <w:tcBorders>
              <w:bottom w:val="single" w:sz="4" w:space="0" w:color="auto"/>
            </w:tcBorders>
            <w:vAlign w:val="center"/>
            <w:hideMark/>
          </w:tcPr>
          <w:p w14:paraId="6691BED7"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Barriers (Costs / Feedstock)</w:t>
            </w:r>
          </w:p>
        </w:tc>
        <w:tc>
          <w:tcPr>
            <w:tcW w:w="0" w:type="auto"/>
            <w:tcBorders>
              <w:bottom w:val="single" w:sz="4" w:space="0" w:color="auto"/>
            </w:tcBorders>
            <w:vAlign w:val="center"/>
            <w:hideMark/>
          </w:tcPr>
          <w:p w14:paraId="00532FDA"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Negative; high costs deter approximately 67% of farmers</w:t>
            </w:r>
          </w:p>
        </w:tc>
        <w:tc>
          <w:tcPr>
            <w:tcW w:w="0" w:type="auto"/>
            <w:tcBorders>
              <w:bottom w:val="single" w:sz="4" w:space="0" w:color="auto"/>
            </w:tcBorders>
            <w:vAlign w:val="center"/>
            <w:hideMark/>
          </w:tcPr>
          <w:p w14:paraId="125F6756"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 xml:space="preserve">Pyrolysis equipment expense and competing feedstock uses hinder uptake (Yeboah </w:t>
            </w:r>
            <w:r w:rsidRPr="00F13549">
              <w:rPr>
                <w:rFonts w:ascii="Arial" w:eastAsia="Times New Roman" w:hAnsi="Arial" w:cs="Arial"/>
                <w:bCs/>
                <w:i/>
                <w:iCs/>
              </w:rPr>
              <w:t>et al.</w:t>
            </w:r>
            <w:r w:rsidRPr="00F13549">
              <w:rPr>
                <w:rFonts w:ascii="Arial" w:eastAsia="Times New Roman" w:hAnsi="Arial" w:cs="Arial"/>
                <w:bCs/>
              </w:rPr>
              <w:t>, 2023)</w:t>
            </w:r>
          </w:p>
        </w:tc>
      </w:tr>
    </w:tbl>
    <w:p w14:paraId="730FC260" w14:textId="77777777" w:rsidR="00753E6F" w:rsidRPr="00F13549" w:rsidRDefault="00753E6F" w:rsidP="00753E6F">
      <w:pPr>
        <w:spacing w:after="0" w:line="240" w:lineRule="atLeast"/>
        <w:rPr>
          <w:rFonts w:ascii="Arial" w:eastAsia="Times New Roman" w:hAnsi="Arial" w:cs="Arial"/>
          <w:bCs/>
          <w:sz w:val="20"/>
          <w:szCs w:val="20"/>
        </w:rPr>
      </w:pPr>
      <w:r w:rsidRPr="00F13549">
        <w:rPr>
          <w:rFonts w:ascii="Arial" w:eastAsia="Times New Roman" w:hAnsi="Arial" w:cs="Arial"/>
          <w:bCs/>
          <w:i/>
          <w:iCs/>
          <w:sz w:val="20"/>
          <w:szCs w:val="20"/>
        </w:rPr>
        <w:t>Source: Summarized from regional surveys (2022–2025).</w:t>
      </w:r>
    </w:p>
    <w:p w14:paraId="3EA0C733" w14:textId="77777777" w:rsidR="00753E6F" w:rsidRPr="00F13549" w:rsidRDefault="00753E6F" w:rsidP="00560E9A">
      <w:pPr>
        <w:spacing w:after="0"/>
        <w:jc w:val="both"/>
        <w:rPr>
          <w:rFonts w:ascii="Arial" w:eastAsia="Times New Roman" w:hAnsi="Arial" w:cs="Arial"/>
          <w:bCs/>
          <w:sz w:val="24"/>
          <w:szCs w:val="24"/>
        </w:rPr>
      </w:pPr>
    </w:p>
    <w:p w14:paraId="3906BFC7" w14:textId="77777777" w:rsidR="00560E9A" w:rsidRPr="00F13549" w:rsidRDefault="00560E9A" w:rsidP="00560E9A">
      <w:pPr>
        <w:spacing w:after="0"/>
        <w:jc w:val="both"/>
        <w:rPr>
          <w:rFonts w:ascii="Arial" w:eastAsia="Times New Roman" w:hAnsi="Arial" w:cs="Arial"/>
          <w:bCs/>
          <w:sz w:val="24"/>
          <w:szCs w:val="24"/>
        </w:rPr>
      </w:pPr>
    </w:p>
    <w:p w14:paraId="52F7FD60" w14:textId="77777777" w:rsidR="00753E6F" w:rsidRPr="00F13549" w:rsidRDefault="00426CC0" w:rsidP="00753E6F">
      <w:pPr>
        <w:jc w:val="both"/>
        <w:rPr>
          <w:bCs/>
        </w:rPr>
      </w:pPr>
      <w:r w:rsidRPr="00F13549">
        <w:rPr>
          <w:rFonts w:ascii="Arial" w:hAnsi="Arial" w:cs="Arial"/>
          <w:bCs/>
        </w:rPr>
        <w:t>RECOMMENDATION AND CONCLUSION</w:t>
      </w:r>
    </w:p>
    <w:p w14:paraId="0EC01BAD" w14:textId="77777777" w:rsidR="00753E6F" w:rsidRPr="00F13549" w:rsidRDefault="00753E6F" w:rsidP="00D46F4D">
      <w:pPr>
        <w:pStyle w:val="NormalWeb"/>
        <w:spacing w:before="0" w:beforeAutospacing="0" w:after="0" w:afterAutospacing="0" w:line="259" w:lineRule="auto"/>
        <w:jc w:val="both"/>
        <w:rPr>
          <w:rFonts w:ascii="Arial" w:hAnsi="Arial" w:cs="Arial"/>
          <w:bCs/>
          <w:sz w:val="22"/>
          <w:szCs w:val="22"/>
        </w:rPr>
      </w:pPr>
      <w:r w:rsidRPr="00F13549">
        <w:rPr>
          <w:rFonts w:ascii="Arial" w:hAnsi="Arial" w:cs="Arial"/>
          <w:bCs/>
          <w:sz w:val="22"/>
          <w:szCs w:val="22"/>
        </w:rPr>
        <w:t xml:space="preserve">The integration of biochar and </w:t>
      </w:r>
      <w:r w:rsidRPr="00F13549">
        <w:rPr>
          <w:rFonts w:ascii="Arial" w:hAnsi="Arial" w:cs="Arial"/>
          <w:bCs/>
          <w:i/>
          <w:sz w:val="22"/>
          <w:szCs w:val="22"/>
        </w:rPr>
        <w:t>Arbuscular mycorrhizal</w:t>
      </w:r>
      <w:r w:rsidRPr="00F13549">
        <w:rPr>
          <w:rFonts w:ascii="Arial" w:hAnsi="Arial" w:cs="Arial"/>
          <w:bCs/>
          <w:sz w:val="22"/>
          <w:szCs w:val="22"/>
        </w:rPr>
        <w:t xml:space="preserve"> fungi (AMF) inoculation represents an ecologically robust and multifaceted strategy for mitigating phosphorus (P) limitations and counteracting soil fertility degradation in Nigeria's lowland agro-ecosystems. This approach not only enhances nutrient cycling and bioavailability-particularly through AMF-mediated solubilization of fixed P and biochar's adsorption-retention mechanisms-but also promotes soil microbial diversity, carbon sequestration, and resilience against abiotic stresses such as seasonal waterlogging and redox imbalances prevalent in </w:t>
      </w:r>
      <w:proofErr w:type="spellStart"/>
      <w:r w:rsidRPr="00F13549">
        <w:rPr>
          <w:rFonts w:ascii="Arial" w:hAnsi="Arial" w:cs="Arial"/>
          <w:bCs/>
          <w:sz w:val="22"/>
          <w:szCs w:val="22"/>
        </w:rPr>
        <w:t>Fadama</w:t>
      </w:r>
      <w:proofErr w:type="spellEnd"/>
      <w:r w:rsidRPr="00F13549">
        <w:rPr>
          <w:rFonts w:ascii="Arial" w:hAnsi="Arial" w:cs="Arial"/>
          <w:bCs/>
          <w:sz w:val="22"/>
          <w:szCs w:val="22"/>
        </w:rPr>
        <w:t xml:space="preserve"> systems. By reducing dependency on synthetic fertilizers, which often lead to eutrophication and long-term soil acidification, this synergy fosters biodiversity in the soil microbiome, including beneficial </w:t>
      </w:r>
      <w:proofErr w:type="spellStart"/>
      <w:r w:rsidRPr="00F13549">
        <w:rPr>
          <w:rFonts w:ascii="Arial" w:hAnsi="Arial" w:cs="Arial"/>
          <w:bCs/>
          <w:sz w:val="22"/>
          <w:szCs w:val="22"/>
        </w:rPr>
        <w:t>rhizospheric</w:t>
      </w:r>
      <w:proofErr w:type="spellEnd"/>
      <w:r w:rsidRPr="00F13549">
        <w:rPr>
          <w:rFonts w:ascii="Arial" w:hAnsi="Arial" w:cs="Arial"/>
          <w:bCs/>
          <w:sz w:val="22"/>
          <w:szCs w:val="22"/>
        </w:rPr>
        <w:t xml:space="preserve"> interactions that amplify plant health and ecosystem services like greenhouse gas mitigation and water filtration. Empirical evidence from tropical contexts underscores its potential to elevate soil organic carbon by 15-25% and available P by up to 22% over baseline levels, thereby narrowing yield gaps in staple crops like rice, cassava, and maize, which currently languish at 50-70% of attainable potentials in South-West Nigeria.</w:t>
      </w:r>
    </w:p>
    <w:p w14:paraId="7AF2807B" w14:textId="77777777" w:rsidR="00753E6F" w:rsidRPr="00F13549" w:rsidRDefault="00753E6F" w:rsidP="00D46F4D">
      <w:pPr>
        <w:pStyle w:val="NormalWeb"/>
        <w:spacing w:before="0" w:beforeAutospacing="0" w:after="0" w:afterAutospacing="0" w:line="259" w:lineRule="auto"/>
        <w:jc w:val="both"/>
        <w:rPr>
          <w:rFonts w:ascii="Arial" w:hAnsi="Arial" w:cs="Arial"/>
          <w:bCs/>
          <w:sz w:val="22"/>
          <w:szCs w:val="22"/>
        </w:rPr>
      </w:pPr>
      <w:r w:rsidRPr="00F13549">
        <w:rPr>
          <w:rFonts w:ascii="Arial" w:hAnsi="Arial" w:cs="Arial"/>
          <w:bCs/>
          <w:sz w:val="22"/>
          <w:szCs w:val="22"/>
        </w:rPr>
        <w:t xml:space="preserve">Successful adoption of this integrated technology hinges on several foundational elements tailored to local biophysical and socio-economic realities. Foremost is the establishment of quality-controlled biochar production protocols, leveraging abundant lowland feedstocks such as rice husks, cassava peels, and maize cobs pyrolyzed at optimized temperatures (450-550°C) to ensure consistent physicochemical properties like high porosity, alkaline pH (6.5-8.5), and minimal contaminants. Concurrently, the selection of native AMF strains-predominantly </w:t>
      </w:r>
      <w:r w:rsidRPr="00F13549">
        <w:rPr>
          <w:rFonts w:ascii="Arial" w:hAnsi="Arial" w:cs="Arial"/>
          <w:bCs/>
          <w:i/>
          <w:sz w:val="22"/>
          <w:szCs w:val="22"/>
        </w:rPr>
        <w:t>Glomus</w:t>
      </w:r>
      <w:r w:rsidRPr="00F13549">
        <w:rPr>
          <w:rFonts w:ascii="Arial" w:hAnsi="Arial" w:cs="Arial"/>
          <w:bCs/>
          <w:sz w:val="22"/>
          <w:szCs w:val="22"/>
        </w:rPr>
        <w:t xml:space="preserve"> and </w:t>
      </w:r>
      <w:proofErr w:type="spellStart"/>
      <w:r w:rsidRPr="00F13549">
        <w:rPr>
          <w:rFonts w:ascii="Arial" w:hAnsi="Arial" w:cs="Arial"/>
          <w:bCs/>
          <w:i/>
          <w:sz w:val="22"/>
          <w:szCs w:val="22"/>
        </w:rPr>
        <w:t>Acaulospora</w:t>
      </w:r>
      <w:proofErr w:type="spellEnd"/>
      <w:r w:rsidRPr="00F13549">
        <w:rPr>
          <w:rFonts w:ascii="Arial" w:hAnsi="Arial" w:cs="Arial"/>
          <w:bCs/>
          <w:sz w:val="22"/>
          <w:szCs w:val="22"/>
        </w:rPr>
        <w:t xml:space="preserve"> species indigenous to intermittently saturated soils-must prioritize those with high tolerance to anaerobic conditions and efficacy in P mobilization, screened through trap-culture assays using lowland-adapted host plants like fluted pumpkin or wetland rice. To circumvent initial symbiotic lag phases, co-application with modest doses of inorganic P fertilizer (e.g., 20-30 kg P</w:t>
      </w:r>
      <w:r w:rsidRPr="00F13549">
        <w:rPr>
          <w:rFonts w:ascii="Cambria Math" w:hAnsi="Cambria Math" w:cs="Cambria Math"/>
          <w:bCs/>
          <w:sz w:val="22"/>
          <w:szCs w:val="22"/>
        </w:rPr>
        <w:t>₂</w:t>
      </w:r>
      <w:r w:rsidRPr="00F13549">
        <w:rPr>
          <w:rFonts w:ascii="Arial" w:hAnsi="Arial" w:cs="Arial"/>
          <w:bCs/>
          <w:sz w:val="22"/>
          <w:szCs w:val="22"/>
        </w:rPr>
        <w:t>O</w:t>
      </w:r>
      <w:r w:rsidRPr="00F13549">
        <w:rPr>
          <w:rFonts w:ascii="Cambria Math" w:hAnsi="Cambria Math" w:cs="Cambria Math"/>
          <w:bCs/>
          <w:sz w:val="22"/>
          <w:szCs w:val="22"/>
        </w:rPr>
        <w:t>₅</w:t>
      </w:r>
      <w:r w:rsidRPr="00F13549">
        <w:rPr>
          <w:rFonts w:ascii="Arial" w:hAnsi="Arial" w:cs="Arial"/>
          <w:bCs/>
          <w:sz w:val="22"/>
          <w:szCs w:val="22"/>
        </w:rPr>
        <w:t xml:space="preserve"> ha</w:t>
      </w:r>
      <w:r w:rsidRPr="00F13549">
        <w:rPr>
          <w:rFonts w:ascii="Cambria Math" w:hAnsi="Cambria Math" w:cs="Cambria Math"/>
          <w:bCs/>
          <w:sz w:val="22"/>
          <w:szCs w:val="22"/>
        </w:rPr>
        <w:t>⁻</w:t>
      </w:r>
      <w:r w:rsidRPr="00F13549">
        <w:rPr>
          <w:rFonts w:ascii="Arial" w:hAnsi="Arial" w:cs="Arial"/>
          <w:bCs/>
          <w:sz w:val="22"/>
          <w:szCs w:val="22"/>
        </w:rPr>
        <w:t>¹ single superphosphate) is advisable, providing a transient nutrient bridge that accelerates hyphal proliferation and root colonization rates to 60-80% within the first cropping season, without compromising the long-term biological efficiency of the system. Application rates should be site-specific: 2.5-5 t ha</w:t>
      </w:r>
      <w:r w:rsidRPr="00F13549">
        <w:rPr>
          <w:rFonts w:ascii="Cambria Math" w:hAnsi="Cambria Math" w:cs="Cambria Math"/>
          <w:bCs/>
          <w:sz w:val="22"/>
          <w:szCs w:val="22"/>
        </w:rPr>
        <w:t>⁻</w:t>
      </w:r>
      <w:r w:rsidRPr="00F13549">
        <w:rPr>
          <w:rFonts w:ascii="Arial" w:hAnsi="Arial" w:cs="Arial"/>
          <w:bCs/>
          <w:sz w:val="22"/>
          <w:szCs w:val="22"/>
        </w:rPr>
        <w:t>¹ biochar combined with 10-20 g kg</w:t>
      </w:r>
      <w:r w:rsidRPr="00F13549">
        <w:rPr>
          <w:rFonts w:ascii="Cambria Math" w:hAnsi="Cambria Math" w:cs="Cambria Math"/>
          <w:bCs/>
          <w:sz w:val="22"/>
          <w:szCs w:val="22"/>
        </w:rPr>
        <w:t>⁻</w:t>
      </w:r>
      <w:r w:rsidRPr="00F13549">
        <w:rPr>
          <w:rFonts w:ascii="Arial" w:hAnsi="Arial" w:cs="Arial"/>
          <w:bCs/>
          <w:sz w:val="22"/>
          <w:szCs w:val="22"/>
        </w:rPr>
        <w:t xml:space="preserve">¹ soil AMF inoculum, incorporated pre-planting to maximize synergies in P-limited </w:t>
      </w:r>
      <w:proofErr w:type="spellStart"/>
      <w:r w:rsidRPr="00F13549">
        <w:rPr>
          <w:rFonts w:ascii="Arial" w:hAnsi="Arial" w:cs="Arial"/>
          <w:bCs/>
          <w:sz w:val="22"/>
          <w:szCs w:val="22"/>
        </w:rPr>
        <w:t>Alfisols</w:t>
      </w:r>
      <w:proofErr w:type="spellEnd"/>
      <w:r w:rsidRPr="00F13549">
        <w:rPr>
          <w:rFonts w:ascii="Arial" w:hAnsi="Arial" w:cs="Arial"/>
          <w:bCs/>
          <w:sz w:val="22"/>
          <w:szCs w:val="22"/>
        </w:rPr>
        <w:t xml:space="preserve"> and </w:t>
      </w:r>
      <w:proofErr w:type="spellStart"/>
      <w:r w:rsidRPr="00F13549">
        <w:rPr>
          <w:rFonts w:ascii="Arial" w:hAnsi="Arial" w:cs="Arial"/>
          <w:bCs/>
          <w:sz w:val="22"/>
          <w:szCs w:val="22"/>
        </w:rPr>
        <w:t>Ultisols</w:t>
      </w:r>
      <w:proofErr w:type="spellEnd"/>
      <w:r w:rsidRPr="00F13549">
        <w:rPr>
          <w:rFonts w:ascii="Arial" w:hAnsi="Arial" w:cs="Arial"/>
          <w:bCs/>
          <w:sz w:val="22"/>
          <w:szCs w:val="22"/>
        </w:rPr>
        <w:t>.</w:t>
      </w:r>
    </w:p>
    <w:p w14:paraId="4437D735" w14:textId="77777777" w:rsidR="00753E6F" w:rsidRPr="00F13549" w:rsidRDefault="00753E6F" w:rsidP="00D46F4D">
      <w:pPr>
        <w:pStyle w:val="NormalWeb"/>
        <w:spacing w:before="0" w:beforeAutospacing="0" w:after="0" w:afterAutospacing="0" w:line="259" w:lineRule="auto"/>
        <w:jc w:val="both"/>
        <w:rPr>
          <w:rFonts w:ascii="Arial" w:hAnsi="Arial" w:cs="Arial"/>
          <w:bCs/>
          <w:sz w:val="22"/>
          <w:szCs w:val="22"/>
        </w:rPr>
      </w:pPr>
      <w:r w:rsidRPr="00F13549">
        <w:rPr>
          <w:rFonts w:ascii="Arial" w:hAnsi="Arial" w:cs="Arial"/>
          <w:bCs/>
          <w:sz w:val="22"/>
          <w:szCs w:val="22"/>
        </w:rPr>
        <w:t xml:space="preserve">The efficacy and scalability of biochar-AMF interventions are intrinsically linked to holistic enabling frameworks that transcend agronomic practices. Integrated soil-water-nutrient management paradigms, such as precision irrigation coupled with contour bunding in </w:t>
      </w:r>
      <w:proofErr w:type="spellStart"/>
      <w:r w:rsidRPr="00F13549">
        <w:rPr>
          <w:rFonts w:ascii="Arial" w:hAnsi="Arial" w:cs="Arial"/>
          <w:bCs/>
          <w:sz w:val="22"/>
          <w:szCs w:val="22"/>
        </w:rPr>
        <w:t>Fadama</w:t>
      </w:r>
      <w:proofErr w:type="spellEnd"/>
      <w:r w:rsidRPr="00F13549">
        <w:rPr>
          <w:rFonts w:ascii="Arial" w:hAnsi="Arial" w:cs="Arial"/>
          <w:bCs/>
          <w:sz w:val="22"/>
          <w:szCs w:val="22"/>
        </w:rPr>
        <w:t xml:space="preserve"> lowlands, can amplify benefits by 20-35% through improved aeration and reduced leaching, while conserving scarce resources in rainfed systems. Policy support is pivotal, including subsidies for low-cost pyrolysis kilns (e.g., drum-style units costing &lt;₦50,000) and incentives under Nigeria's National Agricultural Seed Council or Climate Change Adaptation frameworks to offset upfront investments for smallholders managing 1-5 ha plots. Farmer training programs, delivered via extension services from institutions like the Cocoa Research Institute of Nigeria or Osun State University, should emphasize hands-on modules on inoculum propagation using on-farm trap plants and biochar characterization via simple field tests (e.g., pH strips, floatation for porosity), targeting 80% proficiency among participants to foster peer-to-peer dissemination. Collaborative research platforms-encompassing multi-stakeholder consortia involving universities, NGOs, and farmer cooperatives-are essential for generating localized data through long-term (5-10 year) multi-site </w:t>
      </w:r>
      <w:r w:rsidRPr="00F13549">
        <w:rPr>
          <w:rFonts w:ascii="Arial" w:hAnsi="Arial" w:cs="Arial"/>
          <w:bCs/>
          <w:sz w:val="22"/>
          <w:szCs w:val="22"/>
        </w:rPr>
        <w:lastRenderedPageBreak/>
        <w:t>trials, addressing knowledge gaps in AMF diversity under waterlogged regimes and biochar longevity in humid tropics. Such efforts could incorporate participatory action research to co-design protocols, ensuring cultural and economic relevance.</w:t>
      </w:r>
    </w:p>
    <w:p w14:paraId="2D47F514" w14:textId="77777777" w:rsidR="00753E6F" w:rsidRPr="00F13549" w:rsidRDefault="00753E6F" w:rsidP="00D46F4D">
      <w:pPr>
        <w:pStyle w:val="NormalWeb"/>
        <w:spacing w:before="0" w:beforeAutospacing="0" w:after="0" w:afterAutospacing="0" w:line="259" w:lineRule="auto"/>
        <w:jc w:val="both"/>
        <w:rPr>
          <w:rFonts w:ascii="Arial" w:hAnsi="Arial" w:cs="Arial"/>
          <w:bCs/>
          <w:sz w:val="22"/>
          <w:szCs w:val="22"/>
        </w:rPr>
      </w:pPr>
      <w:r w:rsidRPr="00F13549">
        <w:rPr>
          <w:rFonts w:ascii="Arial" w:hAnsi="Arial" w:cs="Arial"/>
          <w:bCs/>
          <w:sz w:val="22"/>
          <w:szCs w:val="22"/>
        </w:rPr>
        <w:t>In essence, the biochar-AMF nexus charts a transformative trajectory for rehabilitating degraded lowland soils, potentially boosting crop yields by 20-40%, enhancing household incomes by 15-30% through reduced input costs, and bolstering national food security amid climate variability. By embedding this innovation within resilient farming systems, Nigeria can pivot toward regenerative agriculture, aligning with Sustainable Development Goals 2 (Zero Hunger) and 13 (Climate Action), while curbing environmental degradation and empowering rural communities for enduring prosperity. Future endeavors should prioritize economic modeling and gender-inclusive scaling to realize these aspirations, heralding a greener, more productive lowland landscape.</w:t>
      </w:r>
    </w:p>
    <w:p w14:paraId="3C91DE87" w14:textId="77777777" w:rsidR="00203504" w:rsidRPr="00F13549" w:rsidRDefault="00203504" w:rsidP="00D46F4D">
      <w:pPr>
        <w:pStyle w:val="NormalWeb"/>
        <w:spacing w:before="0" w:beforeAutospacing="0" w:after="0" w:afterAutospacing="0" w:line="259" w:lineRule="auto"/>
        <w:jc w:val="both"/>
        <w:rPr>
          <w:rFonts w:ascii="Arial" w:hAnsi="Arial" w:cs="Arial"/>
          <w:bCs/>
          <w:sz w:val="22"/>
          <w:szCs w:val="22"/>
        </w:rPr>
      </w:pPr>
    </w:p>
    <w:p w14:paraId="4312A7DA" w14:textId="77777777" w:rsidR="00203504" w:rsidRPr="00F13549" w:rsidRDefault="00203504" w:rsidP="00D46F4D">
      <w:pPr>
        <w:pStyle w:val="NormalWeb"/>
        <w:spacing w:before="0" w:beforeAutospacing="0" w:after="0" w:afterAutospacing="0" w:line="259" w:lineRule="auto"/>
        <w:jc w:val="both"/>
        <w:rPr>
          <w:rFonts w:ascii="Arial" w:hAnsi="Arial" w:cs="Arial"/>
          <w:bCs/>
          <w:sz w:val="22"/>
          <w:szCs w:val="22"/>
        </w:rPr>
      </w:pPr>
    </w:p>
    <w:p w14:paraId="3DBE229F" w14:textId="77777777" w:rsidR="00203504" w:rsidRPr="00F13549" w:rsidRDefault="00203504" w:rsidP="00D46F4D">
      <w:pPr>
        <w:pStyle w:val="NormalWeb"/>
        <w:spacing w:before="0" w:beforeAutospacing="0" w:after="0" w:afterAutospacing="0" w:line="259" w:lineRule="auto"/>
        <w:jc w:val="both"/>
        <w:rPr>
          <w:rFonts w:ascii="Arial" w:hAnsi="Arial" w:cs="Arial"/>
          <w:bCs/>
          <w:sz w:val="22"/>
          <w:szCs w:val="22"/>
        </w:rPr>
      </w:pPr>
    </w:p>
    <w:p w14:paraId="2AC396B4" w14:textId="77777777" w:rsidR="00D46F4D" w:rsidRPr="00F13549" w:rsidRDefault="00D46F4D" w:rsidP="00D46F4D">
      <w:pPr>
        <w:pStyle w:val="NormalWeb"/>
        <w:spacing w:before="0" w:beforeAutospacing="0" w:after="0" w:afterAutospacing="0" w:line="259" w:lineRule="auto"/>
        <w:jc w:val="both"/>
        <w:rPr>
          <w:rFonts w:ascii="Arial" w:hAnsi="Arial" w:cs="Arial"/>
          <w:bCs/>
        </w:rPr>
      </w:pPr>
    </w:p>
    <w:p w14:paraId="2C7932E3" w14:textId="77777777" w:rsidR="00753E6F" w:rsidRPr="00F13549" w:rsidRDefault="00753E6F" w:rsidP="00753E6F">
      <w:pPr>
        <w:pStyle w:val="NormalWeb"/>
        <w:jc w:val="both"/>
        <w:rPr>
          <w:rFonts w:ascii="Arial" w:hAnsi="Arial" w:cs="Arial"/>
          <w:bCs/>
        </w:rPr>
      </w:pPr>
      <w:r w:rsidRPr="00F13549">
        <w:rPr>
          <w:rFonts w:ascii="Arial" w:hAnsi="Arial" w:cs="Arial"/>
          <w:bCs/>
        </w:rPr>
        <w:t xml:space="preserve">REFERENCES </w:t>
      </w:r>
    </w:p>
    <w:p w14:paraId="40A1EA7C"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t>Adebajo</w:t>
      </w:r>
      <w:proofErr w:type="spellEnd"/>
      <w:r w:rsidRPr="0000181B">
        <w:rPr>
          <w:rFonts w:ascii="Arial" w:hAnsi="Arial" w:cs="Arial"/>
          <w:bCs/>
          <w:sz w:val="22"/>
          <w:szCs w:val="22"/>
          <w:lang w:val="es-US"/>
        </w:rPr>
        <w:t xml:space="preserve">, A. A., Ojo, O. S., &amp; </w:t>
      </w:r>
      <w:proofErr w:type="spellStart"/>
      <w:r w:rsidRPr="0000181B">
        <w:rPr>
          <w:rFonts w:ascii="Arial" w:hAnsi="Arial" w:cs="Arial"/>
          <w:bCs/>
          <w:sz w:val="22"/>
          <w:szCs w:val="22"/>
          <w:lang w:val="es-US"/>
        </w:rPr>
        <w:t>Fagbohun</w:t>
      </w:r>
      <w:proofErr w:type="spellEnd"/>
      <w:r w:rsidRPr="0000181B">
        <w:rPr>
          <w:rFonts w:ascii="Arial" w:hAnsi="Arial" w:cs="Arial"/>
          <w:bCs/>
          <w:sz w:val="22"/>
          <w:szCs w:val="22"/>
          <w:lang w:val="es-US"/>
        </w:rPr>
        <w:t xml:space="preserve">, B. E. (2022). </w:t>
      </w:r>
      <w:r w:rsidRPr="00F13549">
        <w:rPr>
          <w:rFonts w:ascii="Arial" w:hAnsi="Arial" w:cs="Arial"/>
          <w:bCs/>
          <w:sz w:val="22"/>
          <w:szCs w:val="22"/>
        </w:rPr>
        <w:t xml:space="preserve">Soil phosphorus availability and crop productivity in lowland soils of Southwestern Nigeria. Nigerian Journal of Soil Science, 32(1), 45–56. </w:t>
      </w:r>
    </w:p>
    <w:p w14:paraId="1EAD5D7B"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t>Abdulsalam</w:t>
      </w:r>
      <w:proofErr w:type="spellEnd"/>
      <w:r w:rsidRPr="0000181B">
        <w:rPr>
          <w:rFonts w:ascii="Arial" w:hAnsi="Arial" w:cs="Arial"/>
          <w:bCs/>
          <w:sz w:val="22"/>
          <w:szCs w:val="22"/>
          <w:lang w:val="es-US"/>
        </w:rPr>
        <w:t xml:space="preserve">, S. O., et al. </w:t>
      </w:r>
      <w:r w:rsidRPr="00F13549">
        <w:rPr>
          <w:rFonts w:ascii="Arial" w:hAnsi="Arial" w:cs="Arial"/>
          <w:bCs/>
          <w:sz w:val="22"/>
          <w:szCs w:val="22"/>
        </w:rPr>
        <w:t xml:space="preserve">(2024). The impact of biochar and arbuscular mycorrhizal inoculation on garden egg (Solanum </w:t>
      </w:r>
      <w:proofErr w:type="spellStart"/>
      <w:r w:rsidRPr="00F13549">
        <w:rPr>
          <w:rFonts w:ascii="Arial" w:hAnsi="Arial" w:cs="Arial"/>
          <w:bCs/>
          <w:sz w:val="22"/>
          <w:szCs w:val="22"/>
        </w:rPr>
        <w:t>gilo</w:t>
      </w:r>
      <w:proofErr w:type="spellEnd"/>
      <w:r w:rsidRPr="00F13549">
        <w:rPr>
          <w:rFonts w:ascii="Arial" w:hAnsi="Arial" w:cs="Arial"/>
          <w:bCs/>
          <w:sz w:val="22"/>
          <w:szCs w:val="22"/>
        </w:rPr>
        <w:t xml:space="preserve"> L.) performance. Acta </w:t>
      </w:r>
      <w:proofErr w:type="spellStart"/>
      <w:r w:rsidRPr="00F13549">
        <w:rPr>
          <w:rFonts w:ascii="Arial" w:hAnsi="Arial" w:cs="Arial"/>
          <w:bCs/>
          <w:sz w:val="22"/>
          <w:szCs w:val="22"/>
        </w:rPr>
        <w:t>Scientiarum</w:t>
      </w:r>
      <w:proofErr w:type="spellEnd"/>
      <w:r w:rsidRPr="00F13549">
        <w:rPr>
          <w:rFonts w:ascii="Arial" w:hAnsi="Arial" w:cs="Arial"/>
          <w:bCs/>
          <w:sz w:val="22"/>
          <w:szCs w:val="22"/>
        </w:rPr>
        <w:t xml:space="preserve">. Agronomy, 46, e64601. </w:t>
      </w:r>
      <w:hyperlink r:id="rId7" w:tgtFrame="_blank" w:history="1">
        <w:r w:rsidRPr="00F13549">
          <w:rPr>
            <w:rStyle w:val="Hyperlink"/>
            <w:rFonts w:ascii="Arial" w:hAnsi="Arial" w:cs="Arial"/>
            <w:bCs/>
            <w:color w:val="auto"/>
            <w:sz w:val="22"/>
            <w:szCs w:val="22"/>
          </w:rPr>
          <w:t>https://doi.org/10.2478/ats-2024-0014</w:t>
        </w:r>
      </w:hyperlink>
      <w:r w:rsidRPr="00F13549">
        <w:rPr>
          <w:rFonts w:ascii="Arial" w:hAnsi="Arial" w:cs="Arial"/>
          <w:bCs/>
          <w:sz w:val="22"/>
          <w:szCs w:val="22"/>
        </w:rPr>
        <w:t xml:space="preserve"> </w:t>
      </w:r>
    </w:p>
    <w:p w14:paraId="7BE807A1"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t>Adesodun</w:t>
      </w:r>
      <w:proofErr w:type="spellEnd"/>
      <w:r w:rsidRPr="0000181B">
        <w:rPr>
          <w:rFonts w:ascii="Arial" w:hAnsi="Arial" w:cs="Arial"/>
          <w:bCs/>
          <w:sz w:val="22"/>
          <w:szCs w:val="22"/>
          <w:lang w:val="es-US"/>
        </w:rPr>
        <w:t xml:space="preserve">, J. K., </w:t>
      </w:r>
      <w:proofErr w:type="spellStart"/>
      <w:r w:rsidRPr="0000181B">
        <w:rPr>
          <w:rFonts w:ascii="Arial" w:hAnsi="Arial" w:cs="Arial"/>
          <w:bCs/>
          <w:sz w:val="22"/>
          <w:szCs w:val="22"/>
          <w:lang w:val="es-US"/>
        </w:rPr>
        <w:t>Akinola</w:t>
      </w:r>
      <w:proofErr w:type="spellEnd"/>
      <w:r w:rsidRPr="0000181B">
        <w:rPr>
          <w:rFonts w:ascii="Arial" w:hAnsi="Arial" w:cs="Arial"/>
          <w:bCs/>
          <w:sz w:val="22"/>
          <w:szCs w:val="22"/>
          <w:lang w:val="es-US"/>
        </w:rPr>
        <w:t xml:space="preserve">, A. A., &amp; </w:t>
      </w:r>
      <w:proofErr w:type="spellStart"/>
      <w:r w:rsidRPr="0000181B">
        <w:rPr>
          <w:rFonts w:ascii="Arial" w:hAnsi="Arial" w:cs="Arial"/>
          <w:bCs/>
          <w:sz w:val="22"/>
          <w:szCs w:val="22"/>
          <w:lang w:val="es-US"/>
        </w:rPr>
        <w:t>Adeyemi</w:t>
      </w:r>
      <w:proofErr w:type="spellEnd"/>
      <w:r w:rsidRPr="0000181B">
        <w:rPr>
          <w:rFonts w:ascii="Arial" w:hAnsi="Arial" w:cs="Arial"/>
          <w:bCs/>
          <w:sz w:val="22"/>
          <w:szCs w:val="22"/>
          <w:lang w:val="es-US"/>
        </w:rPr>
        <w:t xml:space="preserve">, O. O. (2021). </w:t>
      </w:r>
      <w:r w:rsidRPr="00F13549">
        <w:rPr>
          <w:rFonts w:ascii="Arial" w:hAnsi="Arial" w:cs="Arial"/>
          <w:bCs/>
          <w:sz w:val="22"/>
          <w:szCs w:val="22"/>
        </w:rPr>
        <w:t xml:space="preserve">Soil fertility decline and management strategies in Nigerian agroecosystems. Soil &amp; Tillage Research, 212, 105061. </w:t>
      </w:r>
      <w:hyperlink r:id="rId8" w:tgtFrame="_blank" w:history="1">
        <w:r w:rsidRPr="00F13549">
          <w:rPr>
            <w:rStyle w:val="Hyperlink"/>
            <w:rFonts w:ascii="Arial" w:hAnsi="Arial" w:cs="Arial"/>
            <w:bCs/>
            <w:color w:val="auto"/>
            <w:sz w:val="22"/>
            <w:szCs w:val="22"/>
          </w:rPr>
          <w:t>https://doi.org/10.1016/j.still.2021.105061</w:t>
        </w:r>
      </w:hyperlink>
      <w:r w:rsidRPr="00F13549">
        <w:rPr>
          <w:rFonts w:ascii="Arial" w:hAnsi="Arial" w:cs="Arial"/>
          <w:bCs/>
          <w:sz w:val="22"/>
          <w:szCs w:val="22"/>
        </w:rPr>
        <w:t xml:space="preserve"> </w:t>
      </w:r>
    </w:p>
    <w:p w14:paraId="0F79A46D"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F13549">
        <w:rPr>
          <w:rFonts w:ascii="Arial" w:hAnsi="Arial" w:cs="Arial"/>
          <w:bCs/>
          <w:sz w:val="22"/>
          <w:szCs w:val="22"/>
        </w:rPr>
        <w:t>Agyarko-Mintah</w:t>
      </w:r>
      <w:proofErr w:type="spellEnd"/>
      <w:r w:rsidRPr="00F13549">
        <w:rPr>
          <w:rFonts w:ascii="Arial" w:hAnsi="Arial" w:cs="Arial"/>
          <w:bCs/>
          <w:sz w:val="22"/>
          <w:szCs w:val="22"/>
        </w:rPr>
        <w:t xml:space="preserve">, E., et al. (2025). Farmers' perceptions and acceptability of Biochar as a soil amendment in the Tolon district of Ghana. Environmental Development and Sustainability. </w:t>
      </w:r>
      <w:hyperlink r:id="rId9" w:tgtFrame="_blank" w:history="1">
        <w:r w:rsidRPr="00F13549">
          <w:rPr>
            <w:rStyle w:val="Hyperlink"/>
            <w:rFonts w:ascii="Arial" w:hAnsi="Arial" w:cs="Arial"/>
            <w:bCs/>
            <w:color w:val="auto"/>
            <w:sz w:val="22"/>
            <w:szCs w:val="22"/>
          </w:rPr>
          <w:t>https://doi.org/10.1007/s10668-024-05678-9</w:t>
        </w:r>
      </w:hyperlink>
      <w:r w:rsidRPr="00F13549">
        <w:rPr>
          <w:rFonts w:ascii="Arial" w:hAnsi="Arial" w:cs="Arial"/>
          <w:bCs/>
          <w:sz w:val="22"/>
          <w:szCs w:val="22"/>
        </w:rPr>
        <w:t xml:space="preserve"> </w:t>
      </w:r>
    </w:p>
    <w:p w14:paraId="48A5A3AB" w14:textId="77777777" w:rsidR="00753E6F" w:rsidRPr="00F13549" w:rsidRDefault="00753E6F" w:rsidP="00D46F4D">
      <w:pPr>
        <w:pStyle w:val="NormalWeb"/>
        <w:numPr>
          <w:ilvl w:val="0"/>
          <w:numId w:val="1"/>
        </w:numPr>
        <w:jc w:val="both"/>
        <w:rPr>
          <w:rFonts w:ascii="Arial" w:hAnsi="Arial" w:cs="Arial"/>
          <w:bCs/>
          <w:sz w:val="22"/>
          <w:szCs w:val="22"/>
        </w:rPr>
      </w:pPr>
      <w:r w:rsidRPr="0000181B">
        <w:rPr>
          <w:rFonts w:ascii="Arial" w:hAnsi="Arial" w:cs="Arial"/>
          <w:bCs/>
          <w:sz w:val="22"/>
          <w:szCs w:val="22"/>
          <w:lang w:val="es-US"/>
        </w:rPr>
        <w:t xml:space="preserve">Calvo, O. C., Lucas-Borja, M. E., de Santiago-Martín, A., González-Arias, J., &amp; Gómez-Muñoz, B. (2021). </w:t>
      </w:r>
      <w:r w:rsidRPr="00F13549">
        <w:rPr>
          <w:rFonts w:ascii="Arial" w:hAnsi="Arial" w:cs="Arial"/>
          <w:bCs/>
          <w:sz w:val="22"/>
          <w:szCs w:val="22"/>
        </w:rPr>
        <w:t xml:space="preserve">The effects of biochar on indigenous arbuscular mycorrhizae fungi from </w:t>
      </w:r>
      <w:proofErr w:type="spellStart"/>
      <w:r w:rsidRPr="00F13549">
        <w:rPr>
          <w:rFonts w:ascii="Arial" w:hAnsi="Arial" w:cs="Arial"/>
          <w:bCs/>
          <w:sz w:val="22"/>
          <w:szCs w:val="22"/>
        </w:rPr>
        <w:t>agroenvironments</w:t>
      </w:r>
      <w:proofErr w:type="spellEnd"/>
      <w:r w:rsidRPr="00F13549">
        <w:rPr>
          <w:rFonts w:ascii="Arial" w:hAnsi="Arial" w:cs="Arial"/>
          <w:bCs/>
          <w:sz w:val="22"/>
          <w:szCs w:val="22"/>
        </w:rPr>
        <w:t xml:space="preserve">. Agronomy, 11(5), 968. </w:t>
      </w:r>
      <w:hyperlink r:id="rId10" w:tgtFrame="_blank" w:history="1">
        <w:r w:rsidRPr="00F13549">
          <w:rPr>
            <w:rStyle w:val="Hyperlink"/>
            <w:rFonts w:ascii="Arial" w:hAnsi="Arial" w:cs="Arial"/>
            <w:bCs/>
            <w:color w:val="auto"/>
            <w:sz w:val="22"/>
            <w:szCs w:val="22"/>
          </w:rPr>
          <w:t>https://doi.org/10.3390/agronomy11050968</w:t>
        </w:r>
      </w:hyperlink>
      <w:r w:rsidRPr="00F13549">
        <w:rPr>
          <w:rFonts w:ascii="Arial" w:hAnsi="Arial" w:cs="Arial"/>
          <w:bCs/>
          <w:sz w:val="22"/>
          <w:szCs w:val="22"/>
        </w:rPr>
        <w:t xml:space="preserve"> </w:t>
      </w:r>
    </w:p>
    <w:p w14:paraId="1584A832" w14:textId="77777777" w:rsidR="00753E6F" w:rsidRPr="00F13549" w:rsidRDefault="00753E6F" w:rsidP="00D46F4D">
      <w:pPr>
        <w:pStyle w:val="NormalWeb"/>
        <w:numPr>
          <w:ilvl w:val="0"/>
          <w:numId w:val="1"/>
        </w:numPr>
        <w:jc w:val="both"/>
        <w:rPr>
          <w:rFonts w:ascii="Arial" w:hAnsi="Arial" w:cs="Arial"/>
          <w:bCs/>
          <w:sz w:val="22"/>
          <w:szCs w:val="22"/>
        </w:rPr>
      </w:pPr>
      <w:r w:rsidRPr="00F13549">
        <w:rPr>
          <w:rFonts w:ascii="Arial" w:hAnsi="Arial" w:cs="Arial"/>
          <w:bCs/>
          <w:sz w:val="22"/>
          <w:szCs w:val="22"/>
        </w:rPr>
        <w:t xml:space="preserve">Fang, Y., Zhou, J., &amp; Wang, Q. (2024). Synergistic effects of biochar and arbuscular mycorrhizal fungi on soil health and crop performance: A global synthesis. Applied Soil Ecology, 195, 104800. </w:t>
      </w:r>
      <w:hyperlink r:id="rId11" w:tgtFrame="_blank" w:history="1">
        <w:r w:rsidRPr="00F13549">
          <w:rPr>
            <w:rStyle w:val="Hyperlink"/>
            <w:rFonts w:ascii="Arial" w:hAnsi="Arial" w:cs="Arial"/>
            <w:bCs/>
            <w:color w:val="auto"/>
            <w:sz w:val="22"/>
            <w:szCs w:val="22"/>
          </w:rPr>
          <w:t>https://doi.org/10.1016/j.apsoil.2023.104800</w:t>
        </w:r>
      </w:hyperlink>
      <w:r w:rsidRPr="00F13549">
        <w:rPr>
          <w:rFonts w:ascii="Arial" w:hAnsi="Arial" w:cs="Arial"/>
          <w:bCs/>
          <w:sz w:val="22"/>
          <w:szCs w:val="22"/>
        </w:rPr>
        <w:t xml:space="preserve"> </w:t>
      </w:r>
    </w:p>
    <w:p w14:paraId="1D354E2C" w14:textId="77777777" w:rsidR="00753E6F" w:rsidRPr="00F13549" w:rsidRDefault="00753E6F" w:rsidP="00D46F4D">
      <w:pPr>
        <w:pStyle w:val="NormalWeb"/>
        <w:numPr>
          <w:ilvl w:val="0"/>
          <w:numId w:val="1"/>
        </w:numPr>
        <w:jc w:val="both"/>
        <w:rPr>
          <w:rFonts w:ascii="Arial" w:hAnsi="Arial" w:cs="Arial"/>
          <w:bCs/>
          <w:sz w:val="22"/>
          <w:szCs w:val="22"/>
        </w:rPr>
      </w:pPr>
      <w:r w:rsidRPr="00F13549">
        <w:rPr>
          <w:rFonts w:ascii="Arial" w:hAnsi="Arial" w:cs="Arial"/>
          <w:bCs/>
          <w:sz w:val="22"/>
          <w:szCs w:val="22"/>
        </w:rPr>
        <w:t xml:space="preserve">Li, Y., Chen, W., &amp; Wang, X. (2022). Arbuscular mycorrhizal fungi enhance nutrient acquisition and drought tolerance in crops: A meta-analysis. Applied Soil Ecology, 182, 104693. </w:t>
      </w:r>
      <w:hyperlink r:id="rId12" w:tgtFrame="_blank" w:history="1">
        <w:r w:rsidRPr="00F13549">
          <w:rPr>
            <w:rStyle w:val="Hyperlink"/>
            <w:rFonts w:ascii="Arial" w:hAnsi="Arial" w:cs="Arial"/>
            <w:bCs/>
            <w:color w:val="auto"/>
            <w:sz w:val="22"/>
            <w:szCs w:val="22"/>
          </w:rPr>
          <w:t>https://doi.org/10.1016/j.apsoil.2022.104693</w:t>
        </w:r>
      </w:hyperlink>
      <w:r w:rsidRPr="00F13549">
        <w:rPr>
          <w:rFonts w:ascii="Arial" w:hAnsi="Arial" w:cs="Arial"/>
          <w:bCs/>
          <w:sz w:val="22"/>
          <w:szCs w:val="22"/>
        </w:rPr>
        <w:t xml:space="preserve"> </w:t>
      </w:r>
    </w:p>
    <w:p w14:paraId="2104B6D1"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t>Mwango</w:t>
      </w:r>
      <w:proofErr w:type="spellEnd"/>
      <w:r w:rsidRPr="0000181B">
        <w:rPr>
          <w:rFonts w:ascii="Arial" w:hAnsi="Arial" w:cs="Arial"/>
          <w:bCs/>
          <w:sz w:val="22"/>
          <w:szCs w:val="22"/>
          <w:lang w:val="es-US"/>
        </w:rPr>
        <w:t xml:space="preserve">, S. S., et al. </w:t>
      </w:r>
      <w:r w:rsidRPr="00F13549">
        <w:rPr>
          <w:rFonts w:ascii="Arial" w:hAnsi="Arial" w:cs="Arial"/>
          <w:bCs/>
          <w:sz w:val="22"/>
          <w:szCs w:val="22"/>
        </w:rPr>
        <w:t xml:space="preserve">(2022). Socio-Economic Determinants for Biochar Deployment in the Southern Highlands of Tanzania. Energies, 15(1), 144. </w:t>
      </w:r>
      <w:hyperlink r:id="rId13" w:tgtFrame="_blank" w:history="1">
        <w:r w:rsidRPr="00F13549">
          <w:rPr>
            <w:rStyle w:val="Hyperlink"/>
            <w:rFonts w:ascii="Arial" w:hAnsi="Arial" w:cs="Arial"/>
            <w:bCs/>
            <w:color w:val="auto"/>
            <w:sz w:val="22"/>
            <w:szCs w:val="22"/>
          </w:rPr>
          <w:t>https://doi.org/10.3390/en15010144</w:t>
        </w:r>
      </w:hyperlink>
      <w:r w:rsidRPr="00F13549">
        <w:rPr>
          <w:rFonts w:ascii="Arial" w:hAnsi="Arial" w:cs="Arial"/>
          <w:bCs/>
          <w:sz w:val="22"/>
          <w:szCs w:val="22"/>
        </w:rPr>
        <w:t xml:space="preserve"> </w:t>
      </w:r>
    </w:p>
    <w:p w14:paraId="4CE638AE"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t>Ogunmodede</w:t>
      </w:r>
      <w:proofErr w:type="spellEnd"/>
      <w:r w:rsidRPr="0000181B">
        <w:rPr>
          <w:rFonts w:ascii="Arial" w:hAnsi="Arial" w:cs="Arial"/>
          <w:bCs/>
          <w:sz w:val="22"/>
          <w:szCs w:val="22"/>
          <w:lang w:val="es-US"/>
        </w:rPr>
        <w:t xml:space="preserve">, A. M., et al. </w:t>
      </w:r>
      <w:r w:rsidRPr="00F13549">
        <w:rPr>
          <w:rFonts w:ascii="Arial" w:hAnsi="Arial" w:cs="Arial"/>
          <w:bCs/>
          <w:sz w:val="22"/>
          <w:szCs w:val="22"/>
        </w:rPr>
        <w:t xml:space="preserve">(2025). Farmers’ Perceptions of using Biochar Integrated with Inorganic Fertilizer for Mitigating the Effects of Climate Change on Cashew Plantations in Kogi State, Nigeria. Continental Journal of Agricultural and Applied Science, 1(1), 1-12. </w:t>
      </w:r>
      <w:hyperlink r:id="rId14" w:tgtFrame="_blank" w:history="1">
        <w:r w:rsidRPr="00F13549">
          <w:rPr>
            <w:rStyle w:val="Hyperlink"/>
            <w:rFonts w:ascii="Arial" w:hAnsi="Arial" w:cs="Arial"/>
            <w:bCs/>
            <w:color w:val="auto"/>
            <w:sz w:val="22"/>
            <w:szCs w:val="22"/>
          </w:rPr>
          <w:t>https://doi.org/10.2478/contagri-2025-0002</w:t>
        </w:r>
      </w:hyperlink>
      <w:r w:rsidRPr="00F13549">
        <w:rPr>
          <w:rFonts w:ascii="Arial" w:hAnsi="Arial" w:cs="Arial"/>
          <w:bCs/>
          <w:sz w:val="22"/>
          <w:szCs w:val="22"/>
        </w:rPr>
        <w:t xml:space="preserve"> </w:t>
      </w:r>
    </w:p>
    <w:p w14:paraId="3719535D"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t>Oladele</w:t>
      </w:r>
      <w:proofErr w:type="spellEnd"/>
      <w:r w:rsidRPr="0000181B">
        <w:rPr>
          <w:rFonts w:ascii="Arial" w:hAnsi="Arial" w:cs="Arial"/>
          <w:bCs/>
          <w:sz w:val="22"/>
          <w:szCs w:val="22"/>
          <w:lang w:val="es-US"/>
        </w:rPr>
        <w:t xml:space="preserve">, A. O., </w:t>
      </w:r>
      <w:proofErr w:type="spellStart"/>
      <w:r w:rsidRPr="0000181B">
        <w:rPr>
          <w:rFonts w:ascii="Arial" w:hAnsi="Arial" w:cs="Arial"/>
          <w:bCs/>
          <w:sz w:val="22"/>
          <w:szCs w:val="22"/>
          <w:lang w:val="es-US"/>
        </w:rPr>
        <w:t>Adekiya</w:t>
      </w:r>
      <w:proofErr w:type="spellEnd"/>
      <w:r w:rsidRPr="0000181B">
        <w:rPr>
          <w:rFonts w:ascii="Arial" w:hAnsi="Arial" w:cs="Arial"/>
          <w:bCs/>
          <w:sz w:val="22"/>
          <w:szCs w:val="22"/>
          <w:lang w:val="es-US"/>
        </w:rPr>
        <w:t xml:space="preserve">, A. O., &amp; </w:t>
      </w:r>
      <w:proofErr w:type="spellStart"/>
      <w:r w:rsidRPr="0000181B">
        <w:rPr>
          <w:rFonts w:ascii="Arial" w:hAnsi="Arial" w:cs="Arial"/>
          <w:bCs/>
          <w:sz w:val="22"/>
          <w:szCs w:val="22"/>
          <w:lang w:val="es-US"/>
        </w:rPr>
        <w:t>Ewulo</w:t>
      </w:r>
      <w:proofErr w:type="spellEnd"/>
      <w:r w:rsidRPr="0000181B">
        <w:rPr>
          <w:rFonts w:ascii="Arial" w:hAnsi="Arial" w:cs="Arial"/>
          <w:bCs/>
          <w:sz w:val="22"/>
          <w:szCs w:val="22"/>
          <w:lang w:val="es-US"/>
        </w:rPr>
        <w:t xml:space="preserve">, B. S. (2022). </w:t>
      </w:r>
      <w:r w:rsidRPr="00F13549">
        <w:rPr>
          <w:rFonts w:ascii="Arial" w:hAnsi="Arial" w:cs="Arial"/>
          <w:bCs/>
          <w:sz w:val="22"/>
          <w:szCs w:val="22"/>
        </w:rPr>
        <w:t xml:space="preserve">Biochar effects on soil fertility, nutrient dynamics and crop productivity in tropical agroecosystems: A review. Environmental Challenges, 8, 100555. </w:t>
      </w:r>
      <w:hyperlink r:id="rId15" w:tgtFrame="_blank" w:history="1">
        <w:r w:rsidRPr="00F13549">
          <w:rPr>
            <w:rStyle w:val="Hyperlink"/>
            <w:rFonts w:ascii="Arial" w:hAnsi="Arial" w:cs="Arial"/>
            <w:bCs/>
            <w:color w:val="auto"/>
            <w:sz w:val="22"/>
            <w:szCs w:val="22"/>
          </w:rPr>
          <w:t>https://doi.org/10.1016/j.envc.2022.100555</w:t>
        </w:r>
      </w:hyperlink>
    </w:p>
    <w:p w14:paraId="619FDCB1"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lastRenderedPageBreak/>
        <w:t>Olojugba</w:t>
      </w:r>
      <w:proofErr w:type="spellEnd"/>
      <w:r w:rsidRPr="0000181B">
        <w:rPr>
          <w:rFonts w:ascii="Arial" w:hAnsi="Arial" w:cs="Arial"/>
          <w:bCs/>
          <w:sz w:val="22"/>
          <w:szCs w:val="22"/>
          <w:lang w:val="es-US"/>
        </w:rPr>
        <w:t xml:space="preserve">, O. A., et al. </w:t>
      </w:r>
      <w:r w:rsidRPr="00F13549">
        <w:rPr>
          <w:rFonts w:ascii="Arial" w:hAnsi="Arial" w:cs="Arial"/>
          <w:bCs/>
          <w:sz w:val="22"/>
          <w:szCs w:val="22"/>
        </w:rPr>
        <w:t xml:space="preserve">(2024). Effects of AMF inoculation on cassava growth in </w:t>
      </w:r>
      <w:proofErr w:type="spellStart"/>
      <w:r w:rsidRPr="00F13549">
        <w:rPr>
          <w:rFonts w:ascii="Arial" w:hAnsi="Arial" w:cs="Arial"/>
          <w:bCs/>
          <w:sz w:val="22"/>
          <w:szCs w:val="22"/>
        </w:rPr>
        <w:t>Okitipupa</w:t>
      </w:r>
      <w:proofErr w:type="spellEnd"/>
      <w:r w:rsidRPr="00F13549">
        <w:rPr>
          <w:rFonts w:ascii="Arial" w:hAnsi="Arial" w:cs="Arial"/>
          <w:bCs/>
          <w:sz w:val="22"/>
          <w:szCs w:val="22"/>
        </w:rPr>
        <w:t xml:space="preserve">, Nigeria. Journal of Agricultural Science and Technology (in press). </w:t>
      </w:r>
    </w:p>
    <w:p w14:paraId="4CE25E32" w14:textId="77777777" w:rsidR="00753E6F" w:rsidRPr="00F13549" w:rsidRDefault="00753E6F" w:rsidP="00D46F4D">
      <w:pPr>
        <w:pStyle w:val="NormalWeb"/>
        <w:numPr>
          <w:ilvl w:val="0"/>
          <w:numId w:val="1"/>
        </w:numPr>
        <w:jc w:val="both"/>
        <w:rPr>
          <w:rFonts w:ascii="Arial" w:hAnsi="Arial" w:cs="Arial"/>
          <w:bCs/>
          <w:sz w:val="22"/>
          <w:szCs w:val="22"/>
        </w:rPr>
      </w:pPr>
      <w:r w:rsidRPr="00F13549">
        <w:rPr>
          <w:rFonts w:ascii="Arial" w:hAnsi="Arial" w:cs="Arial"/>
          <w:bCs/>
          <w:sz w:val="22"/>
          <w:szCs w:val="22"/>
        </w:rPr>
        <w:t xml:space="preserve">Phumchusri, K., et al. (2024). Effects of biochar and arbuscular mycorrhizal fungi on soil health in Chinese kale (Brassica oleracea var. </w:t>
      </w:r>
      <w:proofErr w:type="spellStart"/>
      <w:r w:rsidRPr="00F13549">
        <w:rPr>
          <w:rFonts w:ascii="Arial" w:hAnsi="Arial" w:cs="Arial"/>
          <w:bCs/>
          <w:sz w:val="22"/>
          <w:szCs w:val="22"/>
        </w:rPr>
        <w:t>alboglabra</w:t>
      </w:r>
      <w:proofErr w:type="spellEnd"/>
      <w:r w:rsidRPr="00F13549">
        <w:rPr>
          <w:rFonts w:ascii="Arial" w:hAnsi="Arial" w:cs="Arial"/>
          <w:bCs/>
          <w:sz w:val="22"/>
          <w:szCs w:val="22"/>
        </w:rPr>
        <w:t xml:space="preserve"> L.) cultivation. Journal of Soil Science and Plant Nutrition, 24(1), 123–140. </w:t>
      </w:r>
      <w:hyperlink r:id="rId16" w:tgtFrame="_blank" w:history="1">
        <w:r w:rsidRPr="00F13549">
          <w:rPr>
            <w:rStyle w:val="Hyperlink"/>
            <w:rFonts w:ascii="Arial" w:hAnsi="Arial" w:cs="Arial"/>
            <w:bCs/>
            <w:color w:val="auto"/>
            <w:sz w:val="22"/>
            <w:szCs w:val="22"/>
          </w:rPr>
          <w:t>https://doi.org/10.1007/s42729-023-01592-7</w:t>
        </w:r>
      </w:hyperlink>
      <w:r w:rsidRPr="00F13549">
        <w:rPr>
          <w:rFonts w:ascii="Arial" w:hAnsi="Arial" w:cs="Arial"/>
          <w:bCs/>
          <w:sz w:val="22"/>
          <w:szCs w:val="22"/>
        </w:rPr>
        <w:t xml:space="preserve"> </w:t>
      </w:r>
    </w:p>
    <w:p w14:paraId="23449396" w14:textId="77777777" w:rsidR="00753E6F" w:rsidRPr="00F13549" w:rsidRDefault="00753E6F" w:rsidP="00D46F4D">
      <w:pPr>
        <w:pStyle w:val="NormalWeb"/>
        <w:numPr>
          <w:ilvl w:val="0"/>
          <w:numId w:val="1"/>
        </w:numPr>
        <w:jc w:val="both"/>
        <w:rPr>
          <w:rFonts w:ascii="Arial" w:hAnsi="Arial" w:cs="Arial"/>
          <w:bCs/>
          <w:sz w:val="22"/>
          <w:szCs w:val="22"/>
        </w:rPr>
      </w:pPr>
      <w:r w:rsidRPr="00F13549">
        <w:rPr>
          <w:rFonts w:ascii="Arial" w:hAnsi="Arial" w:cs="Arial"/>
          <w:bCs/>
          <w:sz w:val="22"/>
          <w:szCs w:val="22"/>
        </w:rPr>
        <w:t xml:space="preserve">Rakotoson, T., </w:t>
      </w:r>
      <w:proofErr w:type="spellStart"/>
      <w:r w:rsidRPr="00F13549">
        <w:rPr>
          <w:rFonts w:ascii="Arial" w:hAnsi="Arial" w:cs="Arial"/>
          <w:bCs/>
          <w:sz w:val="22"/>
          <w:szCs w:val="22"/>
        </w:rPr>
        <w:t>Rabeharisoa</w:t>
      </w:r>
      <w:proofErr w:type="spellEnd"/>
      <w:r w:rsidRPr="00F13549">
        <w:rPr>
          <w:rFonts w:ascii="Arial" w:hAnsi="Arial" w:cs="Arial"/>
          <w:bCs/>
          <w:sz w:val="22"/>
          <w:szCs w:val="22"/>
        </w:rPr>
        <w:t xml:space="preserve">, L., &amp; Smolders, E. (2022). Phosphorus availability and dynamics in lowland soils of sub-Saharan Africa. Soil Science Society of America Journal, 86(4), 891–904. </w:t>
      </w:r>
      <w:hyperlink r:id="rId17" w:tgtFrame="_blank" w:history="1">
        <w:r w:rsidRPr="00F13549">
          <w:rPr>
            <w:rStyle w:val="Hyperlink"/>
            <w:rFonts w:ascii="Arial" w:hAnsi="Arial" w:cs="Arial"/>
            <w:bCs/>
            <w:color w:val="auto"/>
            <w:sz w:val="22"/>
            <w:szCs w:val="22"/>
          </w:rPr>
          <w:t>https://doi.org/10.1002/saj2.20405</w:t>
        </w:r>
      </w:hyperlink>
      <w:r w:rsidRPr="00F13549">
        <w:rPr>
          <w:rFonts w:ascii="Arial" w:hAnsi="Arial" w:cs="Arial"/>
          <w:bCs/>
          <w:sz w:val="22"/>
          <w:szCs w:val="22"/>
        </w:rPr>
        <w:t xml:space="preserve"> </w:t>
      </w:r>
    </w:p>
    <w:p w14:paraId="18DE98CB"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t>Siregar</w:t>
      </w:r>
      <w:proofErr w:type="spellEnd"/>
      <w:r w:rsidRPr="0000181B">
        <w:rPr>
          <w:rFonts w:ascii="Arial" w:hAnsi="Arial" w:cs="Arial"/>
          <w:bCs/>
          <w:sz w:val="22"/>
          <w:szCs w:val="22"/>
          <w:lang w:val="es-US"/>
        </w:rPr>
        <w:t xml:space="preserve">, I. Z., et al. </w:t>
      </w:r>
      <w:r w:rsidRPr="00F13549">
        <w:rPr>
          <w:rFonts w:ascii="Arial" w:hAnsi="Arial" w:cs="Arial"/>
          <w:bCs/>
          <w:sz w:val="22"/>
          <w:szCs w:val="22"/>
        </w:rPr>
        <w:t xml:space="preserve">(2023). The combined application of biochar and arbuscular mycorrhizal fungi (AMF) enhanced the physical and chemical properties of soil and rice productivity in Indonesia. Sustainability, 15(12), 9782. </w:t>
      </w:r>
      <w:hyperlink r:id="rId18" w:tgtFrame="_blank" w:history="1">
        <w:r w:rsidRPr="00F13549">
          <w:rPr>
            <w:rStyle w:val="Hyperlink"/>
            <w:rFonts w:ascii="Arial" w:hAnsi="Arial" w:cs="Arial"/>
            <w:bCs/>
            <w:color w:val="auto"/>
            <w:sz w:val="22"/>
            <w:szCs w:val="22"/>
          </w:rPr>
          <w:t>https://doi.org/10.3390/su15129782</w:t>
        </w:r>
      </w:hyperlink>
      <w:r w:rsidRPr="00F13549">
        <w:rPr>
          <w:rFonts w:ascii="Arial" w:hAnsi="Arial" w:cs="Arial"/>
          <w:bCs/>
          <w:sz w:val="22"/>
          <w:szCs w:val="22"/>
        </w:rPr>
        <w:t xml:space="preserve"> </w:t>
      </w:r>
    </w:p>
    <w:p w14:paraId="2E98592C" w14:textId="77777777" w:rsidR="00753E6F" w:rsidRPr="00F13549" w:rsidRDefault="00753E6F" w:rsidP="00D46F4D">
      <w:pPr>
        <w:pStyle w:val="NormalWeb"/>
        <w:numPr>
          <w:ilvl w:val="0"/>
          <w:numId w:val="1"/>
        </w:numPr>
        <w:jc w:val="both"/>
        <w:rPr>
          <w:rFonts w:ascii="Arial" w:hAnsi="Arial" w:cs="Arial"/>
          <w:bCs/>
          <w:sz w:val="22"/>
          <w:szCs w:val="22"/>
        </w:rPr>
      </w:pPr>
      <w:r w:rsidRPr="00F13549">
        <w:rPr>
          <w:rFonts w:ascii="Arial" w:hAnsi="Arial" w:cs="Arial"/>
          <w:bCs/>
          <w:sz w:val="22"/>
          <w:szCs w:val="22"/>
        </w:rPr>
        <w:t xml:space="preserve">Singh, R., et al. (2025). Synergistic benefits of AMF: development of sustainable plant defense system. Frontiers in Microbiology, 16, 1551956. </w:t>
      </w:r>
      <w:hyperlink r:id="rId19" w:tgtFrame="_blank" w:history="1">
        <w:r w:rsidRPr="00F13549">
          <w:rPr>
            <w:rStyle w:val="Hyperlink"/>
            <w:rFonts w:ascii="Arial" w:hAnsi="Arial" w:cs="Arial"/>
            <w:bCs/>
            <w:color w:val="auto"/>
            <w:sz w:val="22"/>
            <w:szCs w:val="22"/>
          </w:rPr>
          <w:t>https://doi.org/10.3389/fmicb.2025.1551956</w:t>
        </w:r>
      </w:hyperlink>
      <w:r w:rsidRPr="00F13549">
        <w:rPr>
          <w:rFonts w:ascii="Arial" w:hAnsi="Arial" w:cs="Arial"/>
          <w:bCs/>
          <w:sz w:val="22"/>
          <w:szCs w:val="22"/>
        </w:rPr>
        <w:t xml:space="preserve"> </w:t>
      </w:r>
    </w:p>
    <w:p w14:paraId="25A1B405"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F13549">
        <w:rPr>
          <w:rFonts w:ascii="Arial" w:hAnsi="Arial" w:cs="Arial"/>
          <w:bCs/>
          <w:sz w:val="22"/>
          <w:szCs w:val="22"/>
        </w:rPr>
        <w:t>Thanni</w:t>
      </w:r>
      <w:proofErr w:type="spellEnd"/>
      <w:r w:rsidRPr="00F13549">
        <w:rPr>
          <w:rFonts w:ascii="Arial" w:hAnsi="Arial" w:cs="Arial"/>
          <w:bCs/>
          <w:sz w:val="22"/>
          <w:szCs w:val="22"/>
        </w:rPr>
        <w:t xml:space="preserve">, B. M., Adebayo, O. S., &amp; Ojo, A. O. (2022). Arbuscular mycorrhizal fungi diversity and benefits in cassava-based systems of Southern Nigeria. African Journal of Agricultural Research, 18(6), 432–441. </w:t>
      </w:r>
      <w:hyperlink r:id="rId20" w:tgtFrame="_blank" w:history="1">
        <w:r w:rsidRPr="00F13549">
          <w:rPr>
            <w:rStyle w:val="Hyperlink"/>
            <w:rFonts w:ascii="Arial" w:hAnsi="Arial" w:cs="Arial"/>
            <w:bCs/>
            <w:color w:val="auto"/>
            <w:sz w:val="22"/>
            <w:szCs w:val="22"/>
          </w:rPr>
          <w:t>https://doi.org/10.5897/AJAR2022.15987</w:t>
        </w:r>
      </w:hyperlink>
      <w:r w:rsidRPr="00F13549">
        <w:rPr>
          <w:rFonts w:ascii="Arial" w:hAnsi="Arial" w:cs="Arial"/>
          <w:bCs/>
          <w:sz w:val="22"/>
          <w:szCs w:val="22"/>
        </w:rPr>
        <w:t xml:space="preserve"> </w:t>
      </w:r>
    </w:p>
    <w:p w14:paraId="4783DEC9" w14:textId="77777777" w:rsidR="00753E6F" w:rsidRPr="00F13549" w:rsidRDefault="00753E6F" w:rsidP="00D46F4D">
      <w:pPr>
        <w:pStyle w:val="NormalWeb"/>
        <w:numPr>
          <w:ilvl w:val="0"/>
          <w:numId w:val="1"/>
        </w:numPr>
        <w:jc w:val="both"/>
        <w:rPr>
          <w:rFonts w:ascii="Arial" w:hAnsi="Arial" w:cs="Arial"/>
          <w:bCs/>
          <w:sz w:val="22"/>
          <w:szCs w:val="22"/>
        </w:rPr>
      </w:pPr>
      <w:r w:rsidRPr="00F13549">
        <w:rPr>
          <w:rFonts w:ascii="Arial" w:hAnsi="Arial" w:cs="Arial"/>
          <w:bCs/>
          <w:sz w:val="22"/>
          <w:szCs w:val="22"/>
        </w:rPr>
        <w:t xml:space="preserve">Yeboah, E., et al. (2023). Farmer's knowledge and perceptions of biochar: A systematic review. </w:t>
      </w:r>
      <w:proofErr w:type="spellStart"/>
      <w:r w:rsidRPr="00F13549">
        <w:rPr>
          <w:rFonts w:ascii="Arial" w:hAnsi="Arial" w:cs="Arial"/>
          <w:bCs/>
          <w:sz w:val="22"/>
          <w:szCs w:val="22"/>
        </w:rPr>
        <w:t>Agrekon</w:t>
      </w:r>
      <w:proofErr w:type="spellEnd"/>
      <w:r w:rsidRPr="00F13549">
        <w:rPr>
          <w:rFonts w:ascii="Arial" w:hAnsi="Arial" w:cs="Arial"/>
          <w:bCs/>
          <w:sz w:val="22"/>
          <w:szCs w:val="22"/>
        </w:rPr>
        <w:t xml:space="preserve">, 62(4), 317-335. </w:t>
      </w:r>
      <w:hyperlink r:id="rId21" w:tgtFrame="_blank" w:history="1">
        <w:r w:rsidRPr="00F13549">
          <w:rPr>
            <w:rStyle w:val="Hyperlink"/>
            <w:rFonts w:ascii="Arial" w:hAnsi="Arial" w:cs="Arial"/>
            <w:bCs/>
            <w:color w:val="auto"/>
            <w:sz w:val="22"/>
            <w:szCs w:val="22"/>
          </w:rPr>
          <w:t>https://doi.org/10.1080/03031853.2023.2273170</w:t>
        </w:r>
      </w:hyperlink>
      <w:r w:rsidRPr="00F13549">
        <w:rPr>
          <w:rFonts w:ascii="Arial" w:hAnsi="Arial" w:cs="Arial"/>
          <w:bCs/>
          <w:sz w:val="22"/>
          <w:szCs w:val="22"/>
        </w:rPr>
        <w:t xml:space="preserve"> Zhang, H., Liu, Q., &amp; Zhao, C. (2024). Biochar–AMF interactions improve soil properties and plant productivity under stress conditions. Agronomy, 14(9), 2160. </w:t>
      </w:r>
      <w:hyperlink r:id="rId22" w:tgtFrame="_blank" w:history="1">
        <w:r w:rsidRPr="00F13549">
          <w:rPr>
            <w:rStyle w:val="Hyperlink"/>
            <w:rFonts w:ascii="Arial" w:hAnsi="Arial" w:cs="Arial"/>
            <w:bCs/>
            <w:color w:val="auto"/>
            <w:sz w:val="22"/>
            <w:szCs w:val="22"/>
          </w:rPr>
          <w:t>https://doi.org/10.3390/agronomy14092160</w:t>
        </w:r>
      </w:hyperlink>
      <w:r w:rsidRPr="00F13549">
        <w:rPr>
          <w:rFonts w:ascii="Arial" w:hAnsi="Arial" w:cs="Arial"/>
          <w:bCs/>
          <w:sz w:val="22"/>
          <w:szCs w:val="22"/>
        </w:rPr>
        <w:t xml:space="preserve"> </w:t>
      </w:r>
    </w:p>
    <w:p w14:paraId="29069CFD" w14:textId="6AFEAEFC" w:rsidR="00753E6F" w:rsidRDefault="00753E6F" w:rsidP="00D46F4D">
      <w:pPr>
        <w:pStyle w:val="NormalWeb"/>
        <w:numPr>
          <w:ilvl w:val="0"/>
          <w:numId w:val="1"/>
        </w:numPr>
        <w:jc w:val="both"/>
        <w:rPr>
          <w:rFonts w:ascii="Arial" w:hAnsi="Arial" w:cs="Arial"/>
          <w:bCs/>
          <w:sz w:val="22"/>
          <w:szCs w:val="22"/>
        </w:rPr>
      </w:pPr>
      <w:r w:rsidRPr="00F13549">
        <w:rPr>
          <w:rFonts w:ascii="Arial" w:hAnsi="Arial" w:cs="Arial"/>
          <w:bCs/>
          <w:sz w:val="22"/>
          <w:szCs w:val="22"/>
        </w:rPr>
        <w:t>Zubairu, M. S., Adeoti, A. A., &amp; Olatunji, O. J. (2023). Responses of lowland crops to biochar and mycorrhizal inoculation in phosphorus-limited soils of southwestern Nigeria. Nigerian Journal of Ecology, 29(2), 89–102</w:t>
      </w:r>
      <w:r w:rsidR="0000181B">
        <w:rPr>
          <w:rFonts w:ascii="Arial" w:hAnsi="Arial" w:cs="Arial"/>
          <w:bCs/>
          <w:sz w:val="22"/>
          <w:szCs w:val="22"/>
        </w:rPr>
        <w:t xml:space="preserve">. </w:t>
      </w:r>
    </w:p>
    <w:p w14:paraId="5B222429" w14:textId="1DC7A49F" w:rsidR="0000181B" w:rsidRDefault="0000181B" w:rsidP="00D46F4D">
      <w:pPr>
        <w:pStyle w:val="NormalWeb"/>
        <w:numPr>
          <w:ilvl w:val="0"/>
          <w:numId w:val="1"/>
        </w:numPr>
        <w:jc w:val="both"/>
        <w:rPr>
          <w:rFonts w:ascii="Arial" w:hAnsi="Arial" w:cs="Arial"/>
          <w:bCs/>
          <w:sz w:val="22"/>
          <w:szCs w:val="22"/>
        </w:rPr>
      </w:pPr>
      <w:r w:rsidRPr="0000181B">
        <w:rPr>
          <w:rFonts w:ascii="Arial" w:hAnsi="Arial" w:cs="Arial"/>
          <w:bCs/>
          <w:sz w:val="22"/>
          <w:szCs w:val="22"/>
        </w:rPr>
        <w:t xml:space="preserve">Oloyede, J. O., </w:t>
      </w:r>
      <w:proofErr w:type="spellStart"/>
      <w:r w:rsidRPr="0000181B">
        <w:rPr>
          <w:rFonts w:ascii="Arial" w:hAnsi="Arial" w:cs="Arial"/>
          <w:bCs/>
          <w:sz w:val="22"/>
          <w:szCs w:val="22"/>
        </w:rPr>
        <w:t>Okimiji</w:t>
      </w:r>
      <w:proofErr w:type="spellEnd"/>
      <w:r w:rsidRPr="0000181B">
        <w:rPr>
          <w:rFonts w:ascii="Arial" w:hAnsi="Arial" w:cs="Arial"/>
          <w:bCs/>
          <w:sz w:val="22"/>
          <w:szCs w:val="22"/>
        </w:rPr>
        <w:t>, O. P., &amp; Oloketuyi, A. J. (2025). Massive destruction of tropical rain forest and its soaring effect on environmental temperature in south west Nigeria. </w:t>
      </w:r>
      <w:r w:rsidRPr="0000181B">
        <w:rPr>
          <w:rFonts w:ascii="Arial" w:hAnsi="Arial" w:cs="Arial"/>
          <w:bCs/>
          <w:i/>
          <w:iCs/>
          <w:sz w:val="22"/>
          <w:szCs w:val="22"/>
        </w:rPr>
        <w:t>Discover Global Society</w:t>
      </w:r>
      <w:r w:rsidRPr="0000181B">
        <w:rPr>
          <w:rFonts w:ascii="Arial" w:hAnsi="Arial" w:cs="Arial"/>
          <w:bCs/>
          <w:sz w:val="22"/>
          <w:szCs w:val="22"/>
        </w:rPr>
        <w:t>, </w:t>
      </w:r>
      <w:r w:rsidRPr="0000181B">
        <w:rPr>
          <w:rFonts w:ascii="Arial" w:hAnsi="Arial" w:cs="Arial"/>
          <w:bCs/>
          <w:i/>
          <w:iCs/>
          <w:sz w:val="22"/>
          <w:szCs w:val="22"/>
        </w:rPr>
        <w:t>3</w:t>
      </w:r>
      <w:r w:rsidRPr="0000181B">
        <w:rPr>
          <w:rFonts w:ascii="Arial" w:hAnsi="Arial" w:cs="Arial"/>
          <w:bCs/>
          <w:sz w:val="22"/>
          <w:szCs w:val="22"/>
        </w:rPr>
        <w:t>(1), 110.</w:t>
      </w:r>
    </w:p>
    <w:p w14:paraId="61976A95" w14:textId="6D3C963D" w:rsidR="0000181B" w:rsidRPr="00F13549" w:rsidRDefault="0032325E" w:rsidP="00D46F4D">
      <w:pPr>
        <w:pStyle w:val="NormalWeb"/>
        <w:numPr>
          <w:ilvl w:val="0"/>
          <w:numId w:val="1"/>
        </w:numPr>
        <w:jc w:val="both"/>
        <w:rPr>
          <w:rFonts w:ascii="Arial" w:hAnsi="Arial" w:cs="Arial"/>
          <w:bCs/>
          <w:sz w:val="22"/>
          <w:szCs w:val="22"/>
        </w:rPr>
      </w:pPr>
      <w:r w:rsidRPr="0032325E">
        <w:rPr>
          <w:rFonts w:ascii="Arial" w:hAnsi="Arial" w:cs="Arial"/>
          <w:bCs/>
          <w:sz w:val="22"/>
          <w:szCs w:val="22"/>
        </w:rPr>
        <w:t xml:space="preserve">Khaliq, A., Perveen, S., Alamer, K. H., Zia Ul Haq, M., Rafique, Z., </w:t>
      </w:r>
      <w:proofErr w:type="spellStart"/>
      <w:r w:rsidRPr="0032325E">
        <w:rPr>
          <w:rFonts w:ascii="Arial" w:hAnsi="Arial" w:cs="Arial"/>
          <w:bCs/>
          <w:sz w:val="22"/>
          <w:szCs w:val="22"/>
        </w:rPr>
        <w:t>Alsudays</w:t>
      </w:r>
      <w:proofErr w:type="spellEnd"/>
      <w:r w:rsidRPr="0032325E">
        <w:rPr>
          <w:rFonts w:ascii="Arial" w:hAnsi="Arial" w:cs="Arial"/>
          <w:bCs/>
          <w:sz w:val="22"/>
          <w:szCs w:val="22"/>
        </w:rPr>
        <w:t>, I. M., ... &amp; Attia, H. (2022). Arbuscular mycorrhizal fungi symbiosis to enhance plant–soil interaction. </w:t>
      </w:r>
      <w:r w:rsidRPr="0032325E">
        <w:rPr>
          <w:rFonts w:ascii="Arial" w:hAnsi="Arial" w:cs="Arial"/>
          <w:bCs/>
          <w:i/>
          <w:iCs/>
          <w:sz w:val="22"/>
          <w:szCs w:val="22"/>
        </w:rPr>
        <w:t>Sustainability</w:t>
      </w:r>
      <w:r w:rsidRPr="0032325E">
        <w:rPr>
          <w:rFonts w:ascii="Arial" w:hAnsi="Arial" w:cs="Arial"/>
          <w:bCs/>
          <w:sz w:val="22"/>
          <w:szCs w:val="22"/>
        </w:rPr>
        <w:t>, </w:t>
      </w:r>
      <w:r w:rsidRPr="0032325E">
        <w:rPr>
          <w:rFonts w:ascii="Arial" w:hAnsi="Arial" w:cs="Arial"/>
          <w:bCs/>
          <w:i/>
          <w:iCs/>
          <w:sz w:val="22"/>
          <w:szCs w:val="22"/>
        </w:rPr>
        <w:t>14</w:t>
      </w:r>
      <w:r w:rsidRPr="0032325E">
        <w:rPr>
          <w:rFonts w:ascii="Arial" w:hAnsi="Arial" w:cs="Arial"/>
          <w:bCs/>
          <w:sz w:val="22"/>
          <w:szCs w:val="22"/>
        </w:rPr>
        <w:t>(13), 7840.</w:t>
      </w:r>
    </w:p>
    <w:sectPr w:rsidR="0000181B" w:rsidRPr="00F13549">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09A61" w14:textId="77777777" w:rsidR="00AB1480" w:rsidRDefault="00AB1480" w:rsidP="00DA5107">
      <w:pPr>
        <w:spacing w:after="0" w:line="240" w:lineRule="auto"/>
      </w:pPr>
      <w:r>
        <w:separator/>
      </w:r>
    </w:p>
  </w:endnote>
  <w:endnote w:type="continuationSeparator" w:id="0">
    <w:p w14:paraId="6DEF2501" w14:textId="77777777" w:rsidR="00AB1480" w:rsidRDefault="00AB1480" w:rsidP="00DA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201B" w14:textId="77777777" w:rsidR="00DA5107" w:rsidRDefault="00DA5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9FED6" w14:textId="77777777" w:rsidR="00DA5107" w:rsidRDefault="00DA51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C9519" w14:textId="77777777" w:rsidR="00DA5107" w:rsidRDefault="00DA5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5DFAF" w14:textId="77777777" w:rsidR="00AB1480" w:rsidRDefault="00AB1480" w:rsidP="00DA5107">
      <w:pPr>
        <w:spacing w:after="0" w:line="240" w:lineRule="auto"/>
      </w:pPr>
      <w:r>
        <w:separator/>
      </w:r>
    </w:p>
  </w:footnote>
  <w:footnote w:type="continuationSeparator" w:id="0">
    <w:p w14:paraId="48B21BD3" w14:textId="77777777" w:rsidR="00AB1480" w:rsidRDefault="00AB1480" w:rsidP="00DA5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C693" w14:textId="0376DE96" w:rsidR="00DA5107" w:rsidRDefault="00DA5107">
    <w:pPr>
      <w:pStyle w:val="Header"/>
    </w:pPr>
    <w:r>
      <w:rPr>
        <w:noProof/>
      </w:rPr>
      <w:pict w14:anchorId="4EC8A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6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3554" w14:textId="71D7DF64" w:rsidR="00DA5107" w:rsidRDefault="00DA5107">
    <w:pPr>
      <w:pStyle w:val="Header"/>
    </w:pPr>
    <w:r>
      <w:rPr>
        <w:noProof/>
      </w:rPr>
      <w:pict w14:anchorId="3D474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6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54E12" w14:textId="40565FB4" w:rsidR="00DA5107" w:rsidRDefault="00DA5107">
    <w:pPr>
      <w:pStyle w:val="Header"/>
    </w:pPr>
    <w:r>
      <w:rPr>
        <w:noProof/>
      </w:rPr>
      <w:pict w14:anchorId="21BBE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6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CB4631"/>
    <w:multiLevelType w:val="hybridMultilevel"/>
    <w:tmpl w:val="365C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zMTMztTSyMDS2NDdV0lEKTi0uzszPAykwrAUADgMEvSwAAAA="/>
  </w:docVars>
  <w:rsids>
    <w:rsidRoot w:val="00426CC0"/>
    <w:rsid w:val="0000181B"/>
    <w:rsid w:val="000C4C04"/>
    <w:rsid w:val="001526A6"/>
    <w:rsid w:val="001E0C68"/>
    <w:rsid w:val="00203504"/>
    <w:rsid w:val="0032325E"/>
    <w:rsid w:val="00333DBC"/>
    <w:rsid w:val="00426CC0"/>
    <w:rsid w:val="00560E9A"/>
    <w:rsid w:val="005D7E29"/>
    <w:rsid w:val="00753E6F"/>
    <w:rsid w:val="0077600A"/>
    <w:rsid w:val="00886373"/>
    <w:rsid w:val="00A1556D"/>
    <w:rsid w:val="00AB1480"/>
    <w:rsid w:val="00AC09D5"/>
    <w:rsid w:val="00BB0B09"/>
    <w:rsid w:val="00CC6E09"/>
    <w:rsid w:val="00D46F4D"/>
    <w:rsid w:val="00DA5107"/>
    <w:rsid w:val="00F1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717C29"/>
  <w15:chartTrackingRefBased/>
  <w15:docId w15:val="{CBCC64C4-F7DE-46DD-B5E5-FCA71A0C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26C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6C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53E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C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6C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6C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6CC0"/>
    <w:rPr>
      <w:i/>
      <w:iCs/>
    </w:rPr>
  </w:style>
  <w:style w:type="character" w:styleId="Hyperlink">
    <w:name w:val="Hyperlink"/>
    <w:basedOn w:val="DefaultParagraphFont"/>
    <w:uiPriority w:val="99"/>
    <w:unhideWhenUsed/>
    <w:rsid w:val="00426CC0"/>
    <w:rPr>
      <w:color w:val="0000FF"/>
      <w:u w:val="single"/>
    </w:rPr>
  </w:style>
  <w:style w:type="character" w:styleId="Strong">
    <w:name w:val="Strong"/>
    <w:basedOn w:val="DefaultParagraphFont"/>
    <w:uiPriority w:val="22"/>
    <w:qFormat/>
    <w:rsid w:val="00426CC0"/>
    <w:rPr>
      <w:b/>
      <w:bCs/>
    </w:rPr>
  </w:style>
  <w:style w:type="character" w:customStyle="1" w:styleId="Heading3Char">
    <w:name w:val="Heading 3 Char"/>
    <w:basedOn w:val="DefaultParagraphFont"/>
    <w:link w:val="Heading3"/>
    <w:uiPriority w:val="9"/>
    <w:semiHidden/>
    <w:rsid w:val="00753E6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A5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107"/>
  </w:style>
  <w:style w:type="paragraph" w:styleId="Footer">
    <w:name w:val="footer"/>
    <w:basedOn w:val="Normal"/>
    <w:link w:val="FooterChar"/>
    <w:uiPriority w:val="99"/>
    <w:unhideWhenUsed/>
    <w:rsid w:val="00DA5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57669">
      <w:bodyDiv w:val="1"/>
      <w:marLeft w:val="0"/>
      <w:marRight w:val="0"/>
      <w:marTop w:val="0"/>
      <w:marBottom w:val="0"/>
      <w:divBdr>
        <w:top w:val="none" w:sz="0" w:space="0" w:color="auto"/>
        <w:left w:val="none" w:sz="0" w:space="0" w:color="auto"/>
        <w:bottom w:val="none" w:sz="0" w:space="0" w:color="auto"/>
        <w:right w:val="none" w:sz="0" w:space="0" w:color="auto"/>
      </w:divBdr>
    </w:div>
    <w:div w:id="295764604">
      <w:bodyDiv w:val="1"/>
      <w:marLeft w:val="0"/>
      <w:marRight w:val="0"/>
      <w:marTop w:val="0"/>
      <w:marBottom w:val="0"/>
      <w:divBdr>
        <w:top w:val="none" w:sz="0" w:space="0" w:color="auto"/>
        <w:left w:val="none" w:sz="0" w:space="0" w:color="auto"/>
        <w:bottom w:val="none" w:sz="0" w:space="0" w:color="auto"/>
        <w:right w:val="none" w:sz="0" w:space="0" w:color="auto"/>
      </w:divBdr>
      <w:divsChild>
        <w:div w:id="1049493668">
          <w:marLeft w:val="0"/>
          <w:marRight w:val="0"/>
          <w:marTop w:val="0"/>
          <w:marBottom w:val="0"/>
          <w:divBdr>
            <w:top w:val="none" w:sz="0" w:space="0" w:color="auto"/>
            <w:left w:val="none" w:sz="0" w:space="0" w:color="auto"/>
            <w:bottom w:val="none" w:sz="0" w:space="0" w:color="auto"/>
            <w:right w:val="none" w:sz="0" w:space="0" w:color="auto"/>
          </w:divBdr>
          <w:divsChild>
            <w:div w:id="1211765048">
              <w:marLeft w:val="0"/>
              <w:marRight w:val="0"/>
              <w:marTop w:val="0"/>
              <w:marBottom w:val="0"/>
              <w:divBdr>
                <w:top w:val="none" w:sz="0" w:space="0" w:color="auto"/>
                <w:left w:val="none" w:sz="0" w:space="0" w:color="auto"/>
                <w:bottom w:val="none" w:sz="0" w:space="0" w:color="auto"/>
                <w:right w:val="none" w:sz="0" w:space="0" w:color="auto"/>
              </w:divBdr>
            </w:div>
            <w:div w:id="1733041612">
              <w:marLeft w:val="0"/>
              <w:marRight w:val="0"/>
              <w:marTop w:val="0"/>
              <w:marBottom w:val="0"/>
              <w:divBdr>
                <w:top w:val="none" w:sz="0" w:space="0" w:color="auto"/>
                <w:left w:val="none" w:sz="0" w:space="0" w:color="auto"/>
                <w:bottom w:val="none" w:sz="0" w:space="0" w:color="auto"/>
                <w:right w:val="none" w:sz="0" w:space="0" w:color="auto"/>
              </w:divBdr>
              <w:divsChild>
                <w:div w:id="748846438">
                  <w:marLeft w:val="0"/>
                  <w:marRight w:val="0"/>
                  <w:marTop w:val="0"/>
                  <w:marBottom w:val="0"/>
                  <w:divBdr>
                    <w:top w:val="none" w:sz="0" w:space="0" w:color="auto"/>
                    <w:left w:val="none" w:sz="0" w:space="0" w:color="auto"/>
                    <w:bottom w:val="none" w:sz="0" w:space="0" w:color="auto"/>
                    <w:right w:val="none" w:sz="0" w:space="0" w:color="auto"/>
                  </w:divBdr>
                  <w:divsChild>
                    <w:div w:id="109054664">
                      <w:marLeft w:val="0"/>
                      <w:marRight w:val="0"/>
                      <w:marTop w:val="0"/>
                      <w:marBottom w:val="0"/>
                      <w:divBdr>
                        <w:top w:val="none" w:sz="0" w:space="0" w:color="auto"/>
                        <w:left w:val="none" w:sz="0" w:space="0" w:color="auto"/>
                        <w:bottom w:val="none" w:sz="0" w:space="0" w:color="auto"/>
                        <w:right w:val="none" w:sz="0" w:space="0" w:color="auto"/>
                      </w:divBdr>
                      <w:divsChild>
                        <w:div w:id="5171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019433">
      <w:bodyDiv w:val="1"/>
      <w:marLeft w:val="0"/>
      <w:marRight w:val="0"/>
      <w:marTop w:val="0"/>
      <w:marBottom w:val="0"/>
      <w:divBdr>
        <w:top w:val="none" w:sz="0" w:space="0" w:color="auto"/>
        <w:left w:val="none" w:sz="0" w:space="0" w:color="auto"/>
        <w:bottom w:val="none" w:sz="0" w:space="0" w:color="auto"/>
        <w:right w:val="none" w:sz="0" w:space="0" w:color="auto"/>
      </w:divBdr>
      <w:divsChild>
        <w:div w:id="584459247">
          <w:marLeft w:val="0"/>
          <w:marRight w:val="0"/>
          <w:marTop w:val="0"/>
          <w:marBottom w:val="0"/>
          <w:divBdr>
            <w:top w:val="none" w:sz="0" w:space="0" w:color="auto"/>
            <w:left w:val="none" w:sz="0" w:space="0" w:color="auto"/>
            <w:bottom w:val="none" w:sz="0" w:space="0" w:color="auto"/>
            <w:right w:val="none" w:sz="0" w:space="0" w:color="auto"/>
          </w:divBdr>
          <w:divsChild>
            <w:div w:id="7112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2182">
      <w:bodyDiv w:val="1"/>
      <w:marLeft w:val="0"/>
      <w:marRight w:val="0"/>
      <w:marTop w:val="0"/>
      <w:marBottom w:val="0"/>
      <w:divBdr>
        <w:top w:val="none" w:sz="0" w:space="0" w:color="auto"/>
        <w:left w:val="none" w:sz="0" w:space="0" w:color="auto"/>
        <w:bottom w:val="none" w:sz="0" w:space="0" w:color="auto"/>
        <w:right w:val="none" w:sz="0" w:space="0" w:color="auto"/>
      </w:divBdr>
      <w:divsChild>
        <w:div w:id="421295965">
          <w:marLeft w:val="0"/>
          <w:marRight w:val="0"/>
          <w:marTop w:val="0"/>
          <w:marBottom w:val="0"/>
          <w:divBdr>
            <w:top w:val="none" w:sz="0" w:space="0" w:color="auto"/>
            <w:left w:val="none" w:sz="0" w:space="0" w:color="auto"/>
            <w:bottom w:val="none" w:sz="0" w:space="0" w:color="auto"/>
            <w:right w:val="none" w:sz="0" w:space="0" w:color="auto"/>
          </w:divBdr>
          <w:divsChild>
            <w:div w:id="625892879">
              <w:marLeft w:val="0"/>
              <w:marRight w:val="0"/>
              <w:marTop w:val="0"/>
              <w:marBottom w:val="0"/>
              <w:divBdr>
                <w:top w:val="none" w:sz="0" w:space="0" w:color="auto"/>
                <w:left w:val="none" w:sz="0" w:space="0" w:color="auto"/>
                <w:bottom w:val="none" w:sz="0" w:space="0" w:color="auto"/>
                <w:right w:val="none" w:sz="0" w:space="0" w:color="auto"/>
              </w:divBdr>
            </w:div>
            <w:div w:id="179005411">
              <w:marLeft w:val="0"/>
              <w:marRight w:val="0"/>
              <w:marTop w:val="0"/>
              <w:marBottom w:val="0"/>
              <w:divBdr>
                <w:top w:val="none" w:sz="0" w:space="0" w:color="auto"/>
                <w:left w:val="none" w:sz="0" w:space="0" w:color="auto"/>
                <w:bottom w:val="none" w:sz="0" w:space="0" w:color="auto"/>
                <w:right w:val="none" w:sz="0" w:space="0" w:color="auto"/>
              </w:divBdr>
              <w:divsChild>
                <w:div w:id="660548431">
                  <w:marLeft w:val="0"/>
                  <w:marRight w:val="0"/>
                  <w:marTop w:val="0"/>
                  <w:marBottom w:val="0"/>
                  <w:divBdr>
                    <w:top w:val="none" w:sz="0" w:space="0" w:color="auto"/>
                    <w:left w:val="none" w:sz="0" w:space="0" w:color="auto"/>
                    <w:bottom w:val="none" w:sz="0" w:space="0" w:color="auto"/>
                    <w:right w:val="none" w:sz="0" w:space="0" w:color="auto"/>
                  </w:divBdr>
                  <w:divsChild>
                    <w:div w:id="392388085">
                      <w:marLeft w:val="0"/>
                      <w:marRight w:val="0"/>
                      <w:marTop w:val="0"/>
                      <w:marBottom w:val="0"/>
                      <w:divBdr>
                        <w:top w:val="none" w:sz="0" w:space="0" w:color="auto"/>
                        <w:left w:val="none" w:sz="0" w:space="0" w:color="auto"/>
                        <w:bottom w:val="none" w:sz="0" w:space="0" w:color="auto"/>
                        <w:right w:val="none" w:sz="0" w:space="0" w:color="auto"/>
                      </w:divBdr>
                      <w:divsChild>
                        <w:div w:id="4084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255647">
      <w:bodyDiv w:val="1"/>
      <w:marLeft w:val="0"/>
      <w:marRight w:val="0"/>
      <w:marTop w:val="0"/>
      <w:marBottom w:val="0"/>
      <w:divBdr>
        <w:top w:val="none" w:sz="0" w:space="0" w:color="auto"/>
        <w:left w:val="none" w:sz="0" w:space="0" w:color="auto"/>
        <w:bottom w:val="none" w:sz="0" w:space="0" w:color="auto"/>
        <w:right w:val="none" w:sz="0" w:space="0" w:color="auto"/>
      </w:divBdr>
      <w:divsChild>
        <w:div w:id="142504924">
          <w:marLeft w:val="0"/>
          <w:marRight w:val="0"/>
          <w:marTop w:val="0"/>
          <w:marBottom w:val="0"/>
          <w:divBdr>
            <w:top w:val="none" w:sz="0" w:space="0" w:color="auto"/>
            <w:left w:val="none" w:sz="0" w:space="0" w:color="auto"/>
            <w:bottom w:val="none" w:sz="0" w:space="0" w:color="auto"/>
            <w:right w:val="none" w:sz="0" w:space="0" w:color="auto"/>
          </w:divBdr>
          <w:divsChild>
            <w:div w:id="1360164726">
              <w:marLeft w:val="0"/>
              <w:marRight w:val="0"/>
              <w:marTop w:val="0"/>
              <w:marBottom w:val="0"/>
              <w:divBdr>
                <w:top w:val="none" w:sz="0" w:space="0" w:color="auto"/>
                <w:left w:val="none" w:sz="0" w:space="0" w:color="auto"/>
                <w:bottom w:val="none" w:sz="0" w:space="0" w:color="auto"/>
                <w:right w:val="none" w:sz="0" w:space="0" w:color="auto"/>
              </w:divBdr>
            </w:div>
          </w:divsChild>
        </w:div>
        <w:div w:id="644437735">
          <w:marLeft w:val="0"/>
          <w:marRight w:val="0"/>
          <w:marTop w:val="0"/>
          <w:marBottom w:val="0"/>
          <w:divBdr>
            <w:top w:val="none" w:sz="0" w:space="0" w:color="auto"/>
            <w:left w:val="none" w:sz="0" w:space="0" w:color="auto"/>
            <w:bottom w:val="none" w:sz="0" w:space="0" w:color="auto"/>
            <w:right w:val="none" w:sz="0" w:space="0" w:color="auto"/>
          </w:divBdr>
          <w:divsChild>
            <w:div w:id="832380581">
              <w:marLeft w:val="0"/>
              <w:marRight w:val="0"/>
              <w:marTop w:val="0"/>
              <w:marBottom w:val="0"/>
              <w:divBdr>
                <w:top w:val="none" w:sz="0" w:space="0" w:color="auto"/>
                <w:left w:val="none" w:sz="0" w:space="0" w:color="auto"/>
                <w:bottom w:val="none" w:sz="0" w:space="0" w:color="auto"/>
                <w:right w:val="none" w:sz="0" w:space="0" w:color="auto"/>
              </w:divBdr>
            </w:div>
          </w:divsChild>
        </w:div>
        <w:div w:id="1916553974">
          <w:marLeft w:val="0"/>
          <w:marRight w:val="0"/>
          <w:marTop w:val="0"/>
          <w:marBottom w:val="0"/>
          <w:divBdr>
            <w:top w:val="none" w:sz="0" w:space="0" w:color="auto"/>
            <w:left w:val="none" w:sz="0" w:space="0" w:color="auto"/>
            <w:bottom w:val="none" w:sz="0" w:space="0" w:color="auto"/>
            <w:right w:val="none" w:sz="0" w:space="0" w:color="auto"/>
          </w:divBdr>
          <w:divsChild>
            <w:div w:id="89269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5623">
      <w:bodyDiv w:val="1"/>
      <w:marLeft w:val="0"/>
      <w:marRight w:val="0"/>
      <w:marTop w:val="0"/>
      <w:marBottom w:val="0"/>
      <w:divBdr>
        <w:top w:val="none" w:sz="0" w:space="0" w:color="auto"/>
        <w:left w:val="none" w:sz="0" w:space="0" w:color="auto"/>
        <w:bottom w:val="none" w:sz="0" w:space="0" w:color="auto"/>
        <w:right w:val="none" w:sz="0" w:space="0" w:color="auto"/>
      </w:divBdr>
      <w:divsChild>
        <w:div w:id="1463229871">
          <w:marLeft w:val="0"/>
          <w:marRight w:val="0"/>
          <w:marTop w:val="0"/>
          <w:marBottom w:val="0"/>
          <w:divBdr>
            <w:top w:val="none" w:sz="0" w:space="0" w:color="auto"/>
            <w:left w:val="none" w:sz="0" w:space="0" w:color="auto"/>
            <w:bottom w:val="none" w:sz="0" w:space="0" w:color="auto"/>
            <w:right w:val="none" w:sz="0" w:space="0" w:color="auto"/>
          </w:divBdr>
          <w:divsChild>
            <w:div w:id="13562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8924">
      <w:bodyDiv w:val="1"/>
      <w:marLeft w:val="0"/>
      <w:marRight w:val="0"/>
      <w:marTop w:val="0"/>
      <w:marBottom w:val="0"/>
      <w:divBdr>
        <w:top w:val="none" w:sz="0" w:space="0" w:color="auto"/>
        <w:left w:val="none" w:sz="0" w:space="0" w:color="auto"/>
        <w:bottom w:val="none" w:sz="0" w:space="0" w:color="auto"/>
        <w:right w:val="none" w:sz="0" w:space="0" w:color="auto"/>
      </w:divBdr>
    </w:div>
    <w:div w:id="2011788347">
      <w:bodyDiv w:val="1"/>
      <w:marLeft w:val="0"/>
      <w:marRight w:val="0"/>
      <w:marTop w:val="0"/>
      <w:marBottom w:val="0"/>
      <w:divBdr>
        <w:top w:val="none" w:sz="0" w:space="0" w:color="auto"/>
        <w:left w:val="none" w:sz="0" w:space="0" w:color="auto"/>
        <w:bottom w:val="none" w:sz="0" w:space="0" w:color="auto"/>
        <w:right w:val="none" w:sz="0" w:space="0" w:color="auto"/>
      </w:divBdr>
    </w:div>
    <w:div w:id="2050256219">
      <w:bodyDiv w:val="1"/>
      <w:marLeft w:val="0"/>
      <w:marRight w:val="0"/>
      <w:marTop w:val="0"/>
      <w:marBottom w:val="0"/>
      <w:divBdr>
        <w:top w:val="none" w:sz="0" w:space="0" w:color="auto"/>
        <w:left w:val="none" w:sz="0" w:space="0" w:color="auto"/>
        <w:bottom w:val="none" w:sz="0" w:space="0" w:color="auto"/>
        <w:right w:val="none" w:sz="0" w:space="0" w:color="auto"/>
      </w:divBdr>
      <w:divsChild>
        <w:div w:id="1147474482">
          <w:marLeft w:val="0"/>
          <w:marRight w:val="0"/>
          <w:marTop w:val="0"/>
          <w:marBottom w:val="0"/>
          <w:divBdr>
            <w:top w:val="none" w:sz="0" w:space="0" w:color="auto"/>
            <w:left w:val="none" w:sz="0" w:space="0" w:color="auto"/>
            <w:bottom w:val="none" w:sz="0" w:space="0" w:color="auto"/>
            <w:right w:val="none" w:sz="0" w:space="0" w:color="auto"/>
          </w:divBdr>
        </w:div>
        <w:div w:id="1524440479">
          <w:marLeft w:val="0"/>
          <w:marRight w:val="0"/>
          <w:marTop w:val="0"/>
          <w:marBottom w:val="0"/>
          <w:divBdr>
            <w:top w:val="none" w:sz="0" w:space="0" w:color="auto"/>
            <w:left w:val="none" w:sz="0" w:space="0" w:color="auto"/>
            <w:bottom w:val="none" w:sz="0" w:space="0" w:color="auto"/>
            <w:right w:val="none" w:sz="0" w:space="0" w:color="auto"/>
          </w:divBdr>
          <w:divsChild>
            <w:div w:id="1781488902">
              <w:marLeft w:val="0"/>
              <w:marRight w:val="0"/>
              <w:marTop w:val="0"/>
              <w:marBottom w:val="0"/>
              <w:divBdr>
                <w:top w:val="none" w:sz="0" w:space="0" w:color="auto"/>
                <w:left w:val="none" w:sz="0" w:space="0" w:color="auto"/>
                <w:bottom w:val="none" w:sz="0" w:space="0" w:color="auto"/>
                <w:right w:val="none" w:sz="0" w:space="0" w:color="auto"/>
              </w:divBdr>
              <w:divsChild>
                <w:div w:id="405807976">
                  <w:marLeft w:val="0"/>
                  <w:marRight w:val="0"/>
                  <w:marTop w:val="0"/>
                  <w:marBottom w:val="0"/>
                  <w:divBdr>
                    <w:top w:val="none" w:sz="0" w:space="0" w:color="auto"/>
                    <w:left w:val="none" w:sz="0" w:space="0" w:color="auto"/>
                    <w:bottom w:val="none" w:sz="0" w:space="0" w:color="auto"/>
                    <w:right w:val="none" w:sz="0" w:space="0" w:color="auto"/>
                  </w:divBdr>
                  <w:divsChild>
                    <w:div w:id="2098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till.2021.105061" TargetMode="External"/><Relationship Id="rId13" Type="http://schemas.openxmlformats.org/officeDocument/2006/relationships/hyperlink" Target="https://doi.org/10.3390/en15010144" TargetMode="External"/><Relationship Id="rId18" Type="http://schemas.openxmlformats.org/officeDocument/2006/relationships/hyperlink" Target="https://doi.org/10.3390/su1512978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80/03031853.2023.2273170" TargetMode="External"/><Relationship Id="rId7" Type="http://schemas.openxmlformats.org/officeDocument/2006/relationships/hyperlink" Target="https://doi.org/10.2478/ats-2024-0014" TargetMode="External"/><Relationship Id="rId12" Type="http://schemas.openxmlformats.org/officeDocument/2006/relationships/hyperlink" Target="https://doi.org/10.1016/j.apsoil.2022.104693" TargetMode="External"/><Relationship Id="rId17" Type="http://schemas.openxmlformats.org/officeDocument/2006/relationships/hyperlink" Target="https://doi.org/10.1002/saj2.2040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s42729-023-01592-7" TargetMode="External"/><Relationship Id="rId20" Type="http://schemas.openxmlformats.org/officeDocument/2006/relationships/hyperlink" Target="https://doi.org/10.5897/AJAR2022.1598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psoil.2023.10480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envc.2022.10055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90/agronomy11050968" TargetMode="External"/><Relationship Id="rId19" Type="http://schemas.openxmlformats.org/officeDocument/2006/relationships/hyperlink" Target="https://doi.org/10.3389/fmicb.2025.1551956" TargetMode="External"/><Relationship Id="rId4" Type="http://schemas.openxmlformats.org/officeDocument/2006/relationships/webSettings" Target="webSettings.xml"/><Relationship Id="rId9" Type="http://schemas.openxmlformats.org/officeDocument/2006/relationships/hyperlink" Target="https://doi.org/10.1007/s10668-024-05678-9" TargetMode="External"/><Relationship Id="rId14" Type="http://schemas.openxmlformats.org/officeDocument/2006/relationships/hyperlink" Target="https://doi.org/10.2478/contagri-2025-0002" TargetMode="External"/><Relationship Id="rId22" Type="http://schemas.openxmlformats.org/officeDocument/2006/relationships/hyperlink" Target="https://doi.org/10.3390/agronomy1409216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5108</Words>
  <Characters>29122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8</cp:revision>
  <dcterms:created xsi:type="dcterms:W3CDTF">2025-11-01T20:26:00Z</dcterms:created>
  <dcterms:modified xsi:type="dcterms:W3CDTF">2025-11-04T12:16:00Z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a3ea695b-6983-4b18-a6d2-68591236aa17</vt:lpwstr>
  </property>
</Properties>
</file>