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8CB0" w14:textId="77777777" w:rsidR="00A52D20" w:rsidRPr="003F7173" w:rsidRDefault="00A52D20" w:rsidP="00A52D20">
      <w:pPr>
        <w:tabs>
          <w:tab w:val="left" w:pos="2916"/>
        </w:tabs>
        <w:spacing w:line="240" w:lineRule="auto"/>
        <w:jc w:val="right"/>
        <w:rPr>
          <w:rFonts w:ascii="Arial" w:hAnsi="Arial" w:cs="Arial"/>
          <w:b/>
          <w:bCs/>
          <w:i/>
          <w:color w:val="000000" w:themeColor="text1"/>
          <w:sz w:val="32"/>
          <w:szCs w:val="24"/>
          <w:highlight w:val="yellow"/>
          <w:u w:val="single"/>
        </w:rPr>
      </w:pPr>
      <w:bookmarkStart w:id="0" w:name="_Hlk198806778"/>
      <w:r w:rsidRPr="003F7173">
        <w:rPr>
          <w:rFonts w:ascii="Arial" w:hAnsi="Arial" w:cs="Arial"/>
          <w:b/>
          <w:bCs/>
          <w:i/>
          <w:color w:val="000000" w:themeColor="text1"/>
          <w:sz w:val="32"/>
          <w:szCs w:val="24"/>
          <w:highlight w:val="yellow"/>
          <w:u w:val="single"/>
        </w:rPr>
        <w:t>Original Research Article</w:t>
      </w:r>
    </w:p>
    <w:bookmarkEnd w:id="0"/>
    <w:p w14:paraId="0249F634" w14:textId="02DC16FF" w:rsidR="00F7098E" w:rsidRPr="003F7173" w:rsidRDefault="00F7098E" w:rsidP="00F7098E">
      <w:pPr>
        <w:tabs>
          <w:tab w:val="left" w:pos="2916"/>
        </w:tabs>
        <w:spacing w:line="240" w:lineRule="auto"/>
        <w:jc w:val="right"/>
        <w:rPr>
          <w:rFonts w:ascii="Arial" w:hAnsi="Arial" w:cs="Arial"/>
          <w:b/>
          <w:bCs/>
          <w:color w:val="000000" w:themeColor="text1"/>
          <w:sz w:val="32"/>
          <w:szCs w:val="24"/>
          <w:highlight w:val="yellow"/>
        </w:rPr>
      </w:pPr>
      <w:r w:rsidRPr="003F7173">
        <w:rPr>
          <w:rFonts w:ascii="Arial" w:hAnsi="Arial" w:cs="Arial"/>
          <w:b/>
          <w:bCs/>
          <w:color w:val="000000" w:themeColor="text1"/>
          <w:sz w:val="32"/>
          <w:szCs w:val="24"/>
          <w:highlight w:val="yellow"/>
        </w:rPr>
        <w:t>Analysis of Correlation and Path among 61 genotypes of Groundnut (</w:t>
      </w:r>
      <w:r w:rsidRPr="003F7173">
        <w:rPr>
          <w:rFonts w:ascii="Arial" w:hAnsi="Arial" w:cs="Arial"/>
          <w:b/>
          <w:bCs/>
          <w:i/>
          <w:color w:val="000000" w:themeColor="text1"/>
          <w:sz w:val="32"/>
          <w:szCs w:val="24"/>
          <w:highlight w:val="yellow"/>
        </w:rPr>
        <w:t>Arachis hypogaea</w:t>
      </w:r>
      <w:r w:rsidRPr="003F7173">
        <w:rPr>
          <w:rFonts w:ascii="Arial" w:hAnsi="Arial" w:cs="Arial"/>
          <w:b/>
          <w:bCs/>
          <w:color w:val="000000" w:themeColor="text1"/>
          <w:sz w:val="32"/>
          <w:szCs w:val="24"/>
          <w:highlight w:val="yellow"/>
        </w:rPr>
        <w:t xml:space="preserve"> L.)</w:t>
      </w:r>
    </w:p>
    <w:p w14:paraId="5857F959" w14:textId="77777777" w:rsidR="00A52D20" w:rsidRDefault="00A52D20" w:rsidP="00D42C71">
      <w:pPr>
        <w:pStyle w:val="NoSpacing"/>
      </w:pPr>
      <w:bookmarkStart w:id="1" w:name="_GoBack"/>
      <w:bookmarkEnd w:id="1"/>
    </w:p>
    <w:p w14:paraId="4205BD13" w14:textId="77777777" w:rsidR="00A52D20" w:rsidRPr="00D42C71" w:rsidRDefault="00A52D20" w:rsidP="00D42C71">
      <w:pPr>
        <w:spacing w:line="240" w:lineRule="auto"/>
        <w:jc w:val="center"/>
        <w:rPr>
          <w:rFonts w:ascii="Arial" w:hAnsi="Arial" w:cs="Arial"/>
          <w:b/>
          <w:sz w:val="24"/>
          <w:szCs w:val="24"/>
        </w:rPr>
      </w:pPr>
      <w:r w:rsidRPr="00D42C71">
        <w:rPr>
          <w:rFonts w:ascii="Arial" w:hAnsi="Arial" w:cs="Arial"/>
          <w:b/>
          <w:sz w:val="24"/>
          <w:szCs w:val="24"/>
        </w:rPr>
        <w:t>ABSTRACT</w:t>
      </w:r>
    </w:p>
    <w:p w14:paraId="71335166" w14:textId="363BC3DF" w:rsidR="00A52D20" w:rsidRDefault="00B31F8E" w:rsidP="00A52D20">
      <w:pPr>
        <w:spacing w:line="240" w:lineRule="auto"/>
        <w:jc w:val="both"/>
        <w:rPr>
          <w:rFonts w:ascii="Arial" w:hAnsi="Arial" w:cs="Arial"/>
          <w:sz w:val="20"/>
          <w:szCs w:val="24"/>
        </w:rPr>
      </w:pPr>
      <w:r w:rsidRPr="00B31F8E">
        <w:rPr>
          <w:rFonts w:ascii="Arial" w:hAnsi="Arial" w:cs="Arial"/>
          <w:sz w:val="20"/>
          <w:szCs w:val="24"/>
        </w:rPr>
        <w:t>The present investigation was carried out to determine the interrelationship among yield and yield-contributing traits through correlation and path coefficient analysis in 61 groundnut (</w:t>
      </w:r>
      <w:r w:rsidRPr="00B31F8E">
        <w:rPr>
          <w:rFonts w:ascii="Arial" w:hAnsi="Arial" w:cs="Arial"/>
          <w:i/>
          <w:sz w:val="20"/>
          <w:szCs w:val="24"/>
        </w:rPr>
        <w:t>Arachis hypogaea</w:t>
      </w:r>
      <w:r w:rsidRPr="00B31F8E">
        <w:rPr>
          <w:rFonts w:ascii="Arial" w:hAnsi="Arial" w:cs="Arial"/>
          <w:sz w:val="20"/>
          <w:szCs w:val="24"/>
        </w:rPr>
        <w:t xml:space="preserve"> L.) genotypes along with five check varieties during Kharif 2024 at the Agricultural Research Farm, Lovely Professional University, Punjab. Significant variability was observed among all genotypes, indicating the availability of substantial genetic diversity for selection. Genotypic and phenotypic correlation analyses revealed that kernel yield per plant exhibited strong and positive associations with 100-pod weight, 100-kernel weight, shelling percentage, pod yield per plant, days to maturity, and days to 50% flowering. These traits emerged as major contributors to kernel yield, suggesting their potential use as reliable selection indices in breeding programs. Negative or weak correlations were observed with </w:t>
      </w:r>
      <w:r w:rsidRPr="007F1E03">
        <w:rPr>
          <w:rFonts w:ascii="Arial" w:hAnsi="Arial" w:cs="Arial"/>
          <w:sz w:val="20"/>
          <w:szCs w:val="24"/>
          <w:highlight w:val="yellow"/>
        </w:rPr>
        <w:t xml:space="preserve">traits </w:t>
      </w:r>
      <w:r w:rsidR="007F1E03" w:rsidRPr="007F1E03">
        <w:rPr>
          <w:rFonts w:ascii="Arial" w:hAnsi="Arial" w:cs="Arial"/>
          <w:sz w:val="20"/>
          <w:szCs w:val="24"/>
          <w:highlight w:val="yellow"/>
        </w:rPr>
        <w:t>such as</w:t>
      </w:r>
      <w:r w:rsidRPr="007F1E03">
        <w:rPr>
          <w:rFonts w:ascii="Arial" w:hAnsi="Arial" w:cs="Arial"/>
          <w:sz w:val="20"/>
          <w:szCs w:val="24"/>
          <w:highlight w:val="yellow"/>
        </w:rPr>
        <w:t xml:space="preserve"> sound mature</w:t>
      </w:r>
      <w:r w:rsidRPr="00B31F8E">
        <w:rPr>
          <w:rFonts w:ascii="Arial" w:hAnsi="Arial" w:cs="Arial"/>
          <w:sz w:val="20"/>
          <w:szCs w:val="24"/>
        </w:rPr>
        <w:t xml:space="preserve"> kernel percentage and biological yield per plant, indicating limited influence on yield. Path coefficient analysis further clarified the direct and indirect contributions of various components toward dry pod yield. Kernel yield per plant expressed the highest positive direct effect, followed by pod yield per plant, harvest index, and biological yield. Traits such as 100-kernel weight, shelling percentage, days to maturity, and plant height displayed considerable indirect effects via kernel yield and related attributes. The study underscores that improvement </w:t>
      </w:r>
      <w:r w:rsidRPr="007F1E03">
        <w:rPr>
          <w:rFonts w:ascii="Arial" w:hAnsi="Arial" w:cs="Arial"/>
          <w:sz w:val="20"/>
          <w:szCs w:val="24"/>
          <w:highlight w:val="yellow"/>
        </w:rPr>
        <w:t>in key traits</w:t>
      </w:r>
      <w:r w:rsidR="007F1E03" w:rsidRPr="007F1E03">
        <w:rPr>
          <w:rFonts w:ascii="Arial" w:hAnsi="Arial" w:cs="Arial"/>
          <w:sz w:val="20"/>
          <w:szCs w:val="24"/>
          <w:highlight w:val="yellow"/>
        </w:rPr>
        <w:t>,</w:t>
      </w:r>
      <w:r w:rsidRPr="007F1E03">
        <w:rPr>
          <w:rFonts w:ascii="Arial" w:hAnsi="Arial" w:cs="Arial"/>
          <w:sz w:val="20"/>
          <w:szCs w:val="24"/>
          <w:highlight w:val="yellow"/>
        </w:rPr>
        <w:t xml:space="preserve"> particularly</w:t>
      </w:r>
      <w:r w:rsidRPr="00B31F8E">
        <w:rPr>
          <w:rFonts w:ascii="Arial" w:hAnsi="Arial" w:cs="Arial"/>
          <w:sz w:val="20"/>
          <w:szCs w:val="24"/>
        </w:rPr>
        <w:t xml:space="preserve"> kernel weight, pod weight, shelling efficiency, and maturity duration</w:t>
      </w:r>
      <w:r>
        <w:rPr>
          <w:rFonts w:ascii="Arial" w:hAnsi="Arial" w:cs="Arial"/>
          <w:sz w:val="20"/>
          <w:szCs w:val="24"/>
        </w:rPr>
        <w:t xml:space="preserve"> </w:t>
      </w:r>
      <w:r w:rsidRPr="00B31F8E">
        <w:rPr>
          <w:rFonts w:ascii="Arial" w:hAnsi="Arial" w:cs="Arial"/>
          <w:sz w:val="20"/>
          <w:szCs w:val="24"/>
        </w:rPr>
        <w:t>could effectively enhance overall productivity. The results provide insight into the complex yield structure and highlight essential traits that can be exploited for developing high-yielding groundnut cultivars suited to diverse environments.</w:t>
      </w:r>
      <w:r w:rsidR="00A52D20" w:rsidRPr="00A44858">
        <w:rPr>
          <w:rFonts w:ascii="Arial" w:hAnsi="Arial" w:cs="Arial"/>
          <w:sz w:val="20"/>
          <w:szCs w:val="24"/>
        </w:rPr>
        <w:t xml:space="preserve"> </w:t>
      </w:r>
    </w:p>
    <w:p w14:paraId="7A1353F5" w14:textId="316AAFBC" w:rsidR="00985E3F" w:rsidRPr="00985E3F" w:rsidRDefault="00985E3F" w:rsidP="00A52D20">
      <w:pPr>
        <w:spacing w:line="240" w:lineRule="auto"/>
        <w:jc w:val="both"/>
        <w:rPr>
          <w:rFonts w:ascii="Arial" w:hAnsi="Arial" w:cs="Arial"/>
          <w:i/>
          <w:sz w:val="20"/>
          <w:szCs w:val="24"/>
        </w:rPr>
      </w:pPr>
      <w:r w:rsidRPr="00985E3F">
        <w:rPr>
          <w:rFonts w:ascii="Arial" w:hAnsi="Arial" w:cs="Arial"/>
          <w:b/>
          <w:i/>
          <w:sz w:val="20"/>
          <w:szCs w:val="24"/>
        </w:rPr>
        <w:t>Keywords:</w:t>
      </w:r>
      <w:r w:rsidRPr="00985E3F">
        <w:rPr>
          <w:rFonts w:ascii="Arial" w:hAnsi="Arial" w:cs="Arial"/>
          <w:i/>
          <w:sz w:val="20"/>
          <w:szCs w:val="24"/>
        </w:rPr>
        <w:t xml:space="preserve"> Correlation, Path analysis, Direct effect, Yield, Groundnut</w:t>
      </w:r>
    </w:p>
    <w:p w14:paraId="58C6AB8B" w14:textId="77777777" w:rsidR="00A52D20" w:rsidRPr="00D42C71" w:rsidRDefault="00A52D20" w:rsidP="00A52D20">
      <w:pPr>
        <w:pStyle w:val="ListParagraph"/>
        <w:numPr>
          <w:ilvl w:val="0"/>
          <w:numId w:val="4"/>
        </w:numPr>
        <w:jc w:val="both"/>
        <w:rPr>
          <w:rFonts w:ascii="Arial" w:hAnsi="Arial" w:cs="Arial"/>
          <w:b/>
          <w:sz w:val="24"/>
          <w:szCs w:val="24"/>
        </w:rPr>
      </w:pPr>
      <w:r w:rsidRPr="00D42C71">
        <w:rPr>
          <w:rFonts w:ascii="Arial" w:hAnsi="Arial" w:cs="Arial"/>
          <w:b/>
          <w:sz w:val="24"/>
          <w:szCs w:val="24"/>
        </w:rPr>
        <w:t>INTRODUCTION</w:t>
      </w:r>
    </w:p>
    <w:p w14:paraId="04CDB92E" w14:textId="6EA066D2" w:rsidR="00C01FC5" w:rsidRPr="00C01FC5" w:rsidRDefault="00C01FC5" w:rsidP="00C01FC5">
      <w:pPr>
        <w:pStyle w:val="NormalWeb"/>
        <w:jc w:val="both"/>
        <w:rPr>
          <w:rFonts w:ascii="Arial" w:hAnsi="Arial" w:cs="Arial"/>
          <w:sz w:val="20"/>
          <w:szCs w:val="20"/>
        </w:rPr>
      </w:pPr>
      <w:r w:rsidRPr="00C01FC5">
        <w:rPr>
          <w:rFonts w:ascii="Arial" w:hAnsi="Arial" w:cs="Arial"/>
          <w:sz w:val="20"/>
          <w:szCs w:val="20"/>
        </w:rPr>
        <w:t>Groundnut (</w:t>
      </w:r>
      <w:r w:rsidRPr="00C01FC5">
        <w:rPr>
          <w:rStyle w:val="Emphasis"/>
          <w:rFonts w:ascii="Arial" w:eastAsiaTheme="minorEastAsia" w:hAnsi="Arial" w:cs="Arial"/>
          <w:sz w:val="20"/>
          <w:szCs w:val="20"/>
        </w:rPr>
        <w:t>Arachis hypogaea</w:t>
      </w:r>
      <w:r w:rsidRPr="00C01FC5">
        <w:rPr>
          <w:rFonts w:ascii="Arial" w:hAnsi="Arial" w:cs="Arial"/>
          <w:sz w:val="20"/>
          <w:szCs w:val="20"/>
        </w:rPr>
        <w:t xml:space="preserve"> L.) derives from the Greek words </w:t>
      </w:r>
      <w:r w:rsidRPr="00C01FC5">
        <w:rPr>
          <w:rStyle w:val="Emphasis"/>
          <w:rFonts w:ascii="Arial" w:eastAsiaTheme="minorEastAsia" w:hAnsi="Arial" w:cs="Arial"/>
          <w:sz w:val="20"/>
          <w:szCs w:val="20"/>
        </w:rPr>
        <w:t>Arachis</w:t>
      </w:r>
      <w:r w:rsidRPr="00C01FC5">
        <w:rPr>
          <w:rFonts w:ascii="Arial" w:hAnsi="Arial" w:cs="Arial"/>
          <w:sz w:val="20"/>
          <w:szCs w:val="20"/>
        </w:rPr>
        <w:t xml:space="preserve">, meaning a legume, and </w:t>
      </w:r>
      <w:r w:rsidRPr="00C01FC5">
        <w:rPr>
          <w:rStyle w:val="Emphasis"/>
          <w:rFonts w:ascii="Arial" w:eastAsiaTheme="minorEastAsia" w:hAnsi="Arial" w:cs="Arial"/>
          <w:sz w:val="20"/>
          <w:szCs w:val="20"/>
        </w:rPr>
        <w:t>hypogaea</w:t>
      </w:r>
      <w:r w:rsidRPr="00C01FC5">
        <w:rPr>
          <w:rFonts w:ascii="Arial" w:hAnsi="Arial" w:cs="Arial"/>
          <w:sz w:val="20"/>
          <w:szCs w:val="20"/>
        </w:rPr>
        <w:t>, referring to the development of pods beneath the soil surface. 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Janila et al. (2013) and Bhawar et al. (2020). Furthermore, A</w:t>
      </w:r>
      <w:r>
        <w:rPr>
          <w:rFonts w:ascii="Arial" w:hAnsi="Arial" w:cs="Arial"/>
          <w:sz w:val="20"/>
          <w:szCs w:val="20"/>
        </w:rPr>
        <w:t>djei</w:t>
      </w:r>
      <w:r w:rsidRPr="00C01FC5">
        <w:rPr>
          <w:rFonts w:ascii="Arial" w:hAnsi="Arial" w:cs="Arial"/>
          <w:sz w:val="20"/>
          <w:szCs w:val="20"/>
        </w:rPr>
        <w:t xml:space="preserve"> et al. (202</w:t>
      </w:r>
      <w:r>
        <w:rPr>
          <w:rFonts w:ascii="Arial" w:hAnsi="Arial" w:cs="Arial"/>
          <w:sz w:val="20"/>
          <w:szCs w:val="20"/>
        </w:rPr>
        <w:t>2</w:t>
      </w:r>
      <w:r w:rsidRPr="00C01FC5">
        <w:rPr>
          <w:rFonts w:ascii="Arial" w:hAnsi="Arial" w:cs="Arial"/>
          <w:sz w:val="20"/>
          <w:szCs w:val="20"/>
        </w:rPr>
        <w:t>) highlighted groundnut as a rich source of arginine, phytosterols, and resveratrol, underscoring its nutraceutical value.</w:t>
      </w:r>
    </w:p>
    <w:p w14:paraId="6345DE45" w14:textId="77777777" w:rsidR="00C01FC5"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2ED759F8" w14:textId="22A68396" w:rsidR="00A52D20"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 xml:space="preserve">¹ of nitrogen. Given its agronomic and nutritional significance, enhancing groundnut productivity remains a priority. Understanding trait expression and the influence of environmental factors forms the </w:t>
      </w:r>
      <w:r w:rsidRPr="00C01FC5">
        <w:rPr>
          <w:rFonts w:ascii="Arial" w:hAnsi="Arial" w:cs="Arial"/>
          <w:sz w:val="20"/>
          <w:szCs w:val="20"/>
        </w:rPr>
        <w:lastRenderedPageBreak/>
        <w:t xml:space="preserve">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Correlation analysis, as noted by Ahmed et al. (2022), offers valuable information on the relationships among traits, enabling breeders to recognize inter-dependencies and design more efficient selection </w:t>
      </w:r>
      <w:r w:rsidRPr="001D3FED">
        <w:rPr>
          <w:rFonts w:ascii="Arial" w:hAnsi="Arial" w:cs="Arial"/>
          <w:sz w:val="20"/>
          <w:szCs w:val="20"/>
          <w:highlight w:val="yellow"/>
        </w:rPr>
        <w:t>strategies</w:t>
      </w:r>
      <w:r w:rsidR="001D3FED" w:rsidRPr="001D3FED">
        <w:rPr>
          <w:rFonts w:ascii="Arial" w:hAnsi="Arial" w:cs="Arial"/>
          <w:sz w:val="20"/>
          <w:szCs w:val="20"/>
          <w:highlight w:val="yellow"/>
        </w:rPr>
        <w:t xml:space="preserve"> (Kumar et al., 2023)</w:t>
      </w:r>
      <w:r w:rsidRPr="001D3FED">
        <w:rPr>
          <w:rFonts w:ascii="Arial" w:hAnsi="Arial" w:cs="Arial"/>
          <w:sz w:val="20"/>
          <w:szCs w:val="20"/>
          <w:highlight w:val="yellow"/>
        </w:rPr>
        <w:t xml:space="preserve">. </w:t>
      </w:r>
      <w:r w:rsidR="00D42C71" w:rsidRPr="001D3FED">
        <w:rPr>
          <w:rFonts w:ascii="Arial" w:hAnsi="Arial" w:cs="Arial"/>
          <w:sz w:val="20"/>
          <w:szCs w:val="20"/>
          <w:highlight w:val="yellow"/>
        </w:rPr>
        <w:t>The</w:t>
      </w:r>
      <w:r w:rsidR="00D42C71" w:rsidRPr="00C01FC5">
        <w:rPr>
          <w:rFonts w:ascii="Arial" w:hAnsi="Arial" w:cs="Arial"/>
          <w:sz w:val="20"/>
          <w:szCs w:val="20"/>
        </w:rPr>
        <w:t xml:space="preserve"> present study is designed with o</w:t>
      </w:r>
      <w:r w:rsidR="00A52D20" w:rsidRPr="00C01FC5">
        <w:rPr>
          <w:rFonts w:ascii="Arial" w:hAnsi="Arial" w:cs="Arial"/>
          <w:sz w:val="20"/>
          <w:szCs w:val="20"/>
        </w:rPr>
        <w:t>bjectives</w:t>
      </w:r>
      <w:r w:rsidR="00D42C71" w:rsidRPr="00C01FC5">
        <w:rPr>
          <w:rFonts w:ascii="Arial" w:hAnsi="Arial" w:cs="Arial"/>
          <w:sz w:val="20"/>
          <w:szCs w:val="20"/>
        </w:rPr>
        <w:t xml:space="preserve"> t</w:t>
      </w:r>
      <w:r w:rsidR="00A52D20" w:rsidRPr="00C01FC5">
        <w:rPr>
          <w:rFonts w:ascii="Arial" w:hAnsi="Arial" w:cs="Arial"/>
          <w:sz w:val="20"/>
          <w:szCs w:val="20"/>
        </w:rPr>
        <w:t>o estimate the correlation and path coefficient analysis in groundnut</w:t>
      </w:r>
      <w:r w:rsidR="00D42C71" w:rsidRPr="00C01FC5">
        <w:rPr>
          <w:rFonts w:ascii="Arial" w:hAnsi="Arial" w:cs="Arial"/>
          <w:sz w:val="20"/>
          <w:szCs w:val="20"/>
        </w:rPr>
        <w:t>.</w:t>
      </w:r>
    </w:p>
    <w:p w14:paraId="05AC9689" w14:textId="77777777" w:rsidR="00D42C71" w:rsidRPr="00D42C71" w:rsidRDefault="00D42C71" w:rsidP="00D42C71">
      <w:pPr>
        <w:pStyle w:val="NoSpacing"/>
        <w:jc w:val="both"/>
        <w:rPr>
          <w:rFonts w:ascii="Arial" w:hAnsi="Arial" w:cs="Arial"/>
          <w:b/>
          <w:sz w:val="20"/>
          <w:szCs w:val="20"/>
        </w:rPr>
      </w:pPr>
    </w:p>
    <w:p w14:paraId="1294E623" w14:textId="0112B82D" w:rsidR="00A52D20" w:rsidRPr="00D42C71" w:rsidRDefault="00A52D20" w:rsidP="00D42C71">
      <w:pPr>
        <w:pStyle w:val="ListParagraph"/>
        <w:numPr>
          <w:ilvl w:val="0"/>
          <w:numId w:val="4"/>
        </w:numPr>
        <w:jc w:val="both"/>
        <w:rPr>
          <w:rFonts w:ascii="Arial" w:hAnsi="Arial" w:cs="Arial"/>
          <w:b/>
          <w:sz w:val="24"/>
          <w:szCs w:val="20"/>
        </w:rPr>
      </w:pPr>
      <w:r w:rsidRPr="00D42C71">
        <w:rPr>
          <w:rFonts w:ascii="Arial" w:hAnsi="Arial" w:cs="Arial"/>
          <w:b/>
          <w:sz w:val="24"/>
          <w:szCs w:val="20"/>
        </w:rPr>
        <w:t>MATERIALS AND METHODS</w:t>
      </w:r>
    </w:p>
    <w:p w14:paraId="3D017E05" w14:textId="7C2C1EEF"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2.1 </w:t>
      </w:r>
      <w:r w:rsidR="00D42C71">
        <w:rPr>
          <w:rFonts w:ascii="Arial" w:hAnsi="Arial" w:cs="Arial"/>
          <w:b/>
          <w:sz w:val="20"/>
          <w:szCs w:val="20"/>
        </w:rPr>
        <w:t>E</w:t>
      </w:r>
      <w:r w:rsidR="00D42C71" w:rsidRPr="00F92B00">
        <w:rPr>
          <w:rFonts w:ascii="Arial" w:hAnsi="Arial" w:cs="Arial"/>
          <w:b/>
          <w:sz w:val="20"/>
          <w:szCs w:val="20"/>
        </w:rPr>
        <w:t xml:space="preserve">xperimental site </w:t>
      </w:r>
    </w:p>
    <w:p w14:paraId="7D4C5BC1" w14:textId="6FDAEC69"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00D42C71" w:rsidRPr="00F92B00">
        <w:rPr>
          <w:rStyle w:val="Emphasis"/>
          <w:rFonts w:ascii="Arial" w:hAnsi="Arial" w:cs="Arial"/>
          <w:sz w:val="20"/>
          <w:szCs w:val="20"/>
        </w:rPr>
        <w:t>Kharif</w:t>
      </w:r>
      <w:r w:rsidR="00D42C71" w:rsidRPr="00F92B00">
        <w:rPr>
          <w:rFonts w:ascii="Arial" w:hAnsi="Arial" w:cs="Arial"/>
          <w:sz w:val="20"/>
          <w:szCs w:val="20"/>
        </w:rPr>
        <w:t xml:space="preserve"> 2024</w:t>
      </w:r>
      <w:r w:rsidRPr="00F92B00">
        <w:rPr>
          <w:rFonts w:ascii="Arial" w:hAnsi="Arial" w:cs="Arial"/>
          <w:sz w:val="20"/>
          <w:szCs w:val="20"/>
        </w:rPr>
        <w:t xml:space="preserve">. Geographically, the experimental site is located at 31°13'28" North latitude and 75°46'25" East longitude, with an altitude of 245 meters above mean sea level. </w:t>
      </w:r>
    </w:p>
    <w:p w14:paraId="7569086D" w14:textId="18C78761"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2.2 </w:t>
      </w:r>
      <w:r w:rsidR="00D42C71">
        <w:rPr>
          <w:rFonts w:ascii="Arial" w:hAnsi="Arial" w:cs="Arial"/>
          <w:b/>
          <w:sz w:val="20"/>
          <w:szCs w:val="20"/>
        </w:rPr>
        <w:t>E</w:t>
      </w:r>
      <w:r w:rsidR="00D42C71" w:rsidRPr="00F92B00">
        <w:rPr>
          <w:rFonts w:ascii="Arial" w:hAnsi="Arial" w:cs="Arial"/>
          <w:b/>
          <w:sz w:val="20"/>
          <w:szCs w:val="20"/>
        </w:rPr>
        <w:t xml:space="preserve">xperimental material </w:t>
      </w:r>
    </w:p>
    <w:p w14:paraId="59752D9D" w14:textId="74C6DBEE" w:rsidR="00A52D20" w:rsidRPr="00F92B00" w:rsidRDefault="00A52D20" w:rsidP="00A52D20">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sidR="00D42C71">
        <w:rPr>
          <w:rFonts w:ascii="Arial" w:hAnsi="Arial" w:cs="Arial"/>
          <w:sz w:val="20"/>
          <w:szCs w:val="20"/>
        </w:rPr>
        <w:t xml:space="preserve"> tabulated in Table 1</w:t>
      </w:r>
      <w:r w:rsidRPr="00F92B00">
        <w:rPr>
          <w:rFonts w:ascii="Arial" w:hAnsi="Arial" w:cs="Arial"/>
          <w:sz w:val="20"/>
          <w:szCs w:val="20"/>
        </w:rPr>
        <w:t>.</w:t>
      </w:r>
    </w:p>
    <w:p w14:paraId="7F63CF26" w14:textId="196B25E2" w:rsidR="00A52D20" w:rsidRPr="00D42C71" w:rsidRDefault="00A52D20" w:rsidP="00D42C7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60"/>
        <w:gridCol w:w="1264"/>
        <w:gridCol w:w="1623"/>
        <w:gridCol w:w="1623"/>
        <w:gridCol w:w="1623"/>
        <w:gridCol w:w="1623"/>
      </w:tblGrid>
      <w:tr w:rsidR="00A52D20" w:rsidRPr="00F92B00" w14:paraId="39AAE8C1" w14:textId="77777777" w:rsidTr="00F7098E">
        <w:trPr>
          <w:trHeight w:val="16"/>
        </w:trPr>
        <w:tc>
          <w:tcPr>
            <w:tcW w:w="698" w:type="pct"/>
            <w:vAlign w:val="center"/>
          </w:tcPr>
          <w:p w14:paraId="330EF35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5F9956D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18A596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2383EF2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177A633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4D3D09B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r>
      <w:tr w:rsidR="00A52D20" w:rsidRPr="00F92B00" w14:paraId="7ED41005" w14:textId="77777777" w:rsidTr="00F7098E">
        <w:trPr>
          <w:trHeight w:val="16"/>
        </w:trPr>
        <w:tc>
          <w:tcPr>
            <w:tcW w:w="698" w:type="pct"/>
            <w:vAlign w:val="center"/>
          </w:tcPr>
          <w:p w14:paraId="6CB0193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3AC347E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70AAB1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5F571FC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2C6B10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226103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1399</w:t>
            </w:r>
          </w:p>
        </w:tc>
      </w:tr>
      <w:tr w:rsidR="00A52D20" w:rsidRPr="00F92B00" w14:paraId="3F7DEB5C" w14:textId="77777777" w:rsidTr="00F7098E">
        <w:trPr>
          <w:trHeight w:val="16"/>
        </w:trPr>
        <w:tc>
          <w:tcPr>
            <w:tcW w:w="698" w:type="pct"/>
            <w:vAlign w:val="center"/>
          </w:tcPr>
          <w:p w14:paraId="287791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0E0DBF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40705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313747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30B133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90067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10099</w:t>
            </w:r>
          </w:p>
        </w:tc>
      </w:tr>
      <w:tr w:rsidR="00A52D20" w:rsidRPr="00F92B00" w14:paraId="292A356D" w14:textId="77777777" w:rsidTr="00F7098E">
        <w:trPr>
          <w:trHeight w:val="16"/>
        </w:trPr>
        <w:tc>
          <w:tcPr>
            <w:tcW w:w="698" w:type="pct"/>
            <w:vAlign w:val="center"/>
          </w:tcPr>
          <w:p w14:paraId="5CBB048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0DA8D22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2092333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3C304F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0BA3597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14AC183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10447</w:t>
            </w:r>
          </w:p>
        </w:tc>
      </w:tr>
      <w:tr w:rsidR="00A52D20" w:rsidRPr="00F92B00" w14:paraId="4387FB5C" w14:textId="77777777" w:rsidTr="00F7098E">
        <w:trPr>
          <w:trHeight w:val="16"/>
        </w:trPr>
        <w:tc>
          <w:tcPr>
            <w:tcW w:w="698" w:type="pct"/>
            <w:vAlign w:val="center"/>
          </w:tcPr>
          <w:p w14:paraId="53504D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4ABDA6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68A92D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3D493F8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3E15F78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6BC6C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16736</w:t>
            </w:r>
          </w:p>
        </w:tc>
      </w:tr>
      <w:tr w:rsidR="00A52D20" w:rsidRPr="00F92B00" w14:paraId="547E2326" w14:textId="77777777" w:rsidTr="00F7098E">
        <w:trPr>
          <w:trHeight w:val="16"/>
        </w:trPr>
        <w:tc>
          <w:tcPr>
            <w:tcW w:w="698" w:type="pct"/>
            <w:vAlign w:val="center"/>
          </w:tcPr>
          <w:p w14:paraId="52C2DD5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18B292E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15B952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01970CE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1AD76F0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5CA7F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9123</w:t>
            </w:r>
          </w:p>
        </w:tc>
      </w:tr>
      <w:tr w:rsidR="00A52D20" w:rsidRPr="00F92B00" w14:paraId="2E04733A" w14:textId="77777777" w:rsidTr="00F7098E">
        <w:trPr>
          <w:trHeight w:val="16"/>
        </w:trPr>
        <w:tc>
          <w:tcPr>
            <w:tcW w:w="698" w:type="pct"/>
            <w:vAlign w:val="center"/>
          </w:tcPr>
          <w:p w14:paraId="06174EB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473350C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16AF49D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5DAFE17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F698C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4F4BE7B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273CD539" w14:textId="77777777" w:rsidTr="00F7098E">
        <w:trPr>
          <w:trHeight w:val="16"/>
        </w:trPr>
        <w:tc>
          <w:tcPr>
            <w:tcW w:w="698" w:type="pct"/>
            <w:vAlign w:val="center"/>
          </w:tcPr>
          <w:p w14:paraId="7BC5508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5BB06BA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1A1E6F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1CB3398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22B1C8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195D316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12855</w:t>
            </w:r>
          </w:p>
        </w:tc>
      </w:tr>
      <w:tr w:rsidR="00A52D20" w:rsidRPr="00F92B00" w14:paraId="1DAB0DA5" w14:textId="77777777" w:rsidTr="00F7098E">
        <w:trPr>
          <w:trHeight w:val="16"/>
        </w:trPr>
        <w:tc>
          <w:tcPr>
            <w:tcW w:w="698" w:type="pct"/>
            <w:vAlign w:val="center"/>
          </w:tcPr>
          <w:p w14:paraId="63CCA3E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B8B79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15684AE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0DCC4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75632D5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8CE4E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11056</w:t>
            </w:r>
          </w:p>
        </w:tc>
      </w:tr>
      <w:tr w:rsidR="00A52D20" w:rsidRPr="00F92B00" w14:paraId="4B5D42E3" w14:textId="77777777" w:rsidTr="00F7098E">
        <w:trPr>
          <w:trHeight w:val="16"/>
        </w:trPr>
        <w:tc>
          <w:tcPr>
            <w:tcW w:w="698" w:type="pct"/>
            <w:vAlign w:val="center"/>
          </w:tcPr>
          <w:p w14:paraId="46372B5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4D8760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5D7B02A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532241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64273F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50B859E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12854</w:t>
            </w:r>
          </w:p>
        </w:tc>
      </w:tr>
      <w:tr w:rsidR="00A52D20" w:rsidRPr="00F92B00" w14:paraId="6D26F4CF" w14:textId="77777777" w:rsidTr="00F7098E">
        <w:trPr>
          <w:trHeight w:val="16"/>
        </w:trPr>
        <w:tc>
          <w:tcPr>
            <w:tcW w:w="698" w:type="pct"/>
            <w:vAlign w:val="center"/>
          </w:tcPr>
          <w:p w14:paraId="53DBEE1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374A746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3E5F56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6A7E9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146C18C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11FE8AF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12666</w:t>
            </w:r>
          </w:p>
        </w:tc>
      </w:tr>
      <w:tr w:rsidR="00A52D20" w:rsidRPr="00F92B00" w14:paraId="0ED197E1" w14:textId="77777777" w:rsidTr="00F7098E">
        <w:trPr>
          <w:trHeight w:val="16"/>
        </w:trPr>
        <w:tc>
          <w:tcPr>
            <w:tcW w:w="698" w:type="pct"/>
            <w:vAlign w:val="center"/>
          </w:tcPr>
          <w:p w14:paraId="0A8A8E6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0086D4B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4F9B90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1E15A38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3F2E8B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77AEFA9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12668</w:t>
            </w:r>
          </w:p>
        </w:tc>
      </w:tr>
      <w:tr w:rsidR="00A52D20" w:rsidRPr="00F92B00" w14:paraId="296BC66E" w14:textId="77777777" w:rsidTr="00F7098E">
        <w:trPr>
          <w:trHeight w:val="16"/>
        </w:trPr>
        <w:tc>
          <w:tcPr>
            <w:tcW w:w="698" w:type="pct"/>
            <w:vAlign w:val="center"/>
          </w:tcPr>
          <w:p w14:paraId="19BC5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6A8D53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4ABEF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1AD1552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6BBDB3A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67A1133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12686</w:t>
            </w:r>
          </w:p>
        </w:tc>
      </w:tr>
      <w:tr w:rsidR="00A52D20" w:rsidRPr="00F92B00" w14:paraId="58BFC7AB" w14:textId="77777777" w:rsidTr="00F7098E">
        <w:trPr>
          <w:trHeight w:val="16"/>
        </w:trPr>
        <w:tc>
          <w:tcPr>
            <w:tcW w:w="698" w:type="pct"/>
            <w:vAlign w:val="center"/>
          </w:tcPr>
          <w:p w14:paraId="26A8377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1E63967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6D90E1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6A3605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3570544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15D061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11494</w:t>
            </w:r>
          </w:p>
        </w:tc>
      </w:tr>
      <w:tr w:rsidR="00A52D20" w:rsidRPr="00F92B00" w14:paraId="07497426" w14:textId="77777777" w:rsidTr="00F7098E">
        <w:trPr>
          <w:trHeight w:val="16"/>
        </w:trPr>
        <w:tc>
          <w:tcPr>
            <w:tcW w:w="698" w:type="pct"/>
            <w:vAlign w:val="center"/>
          </w:tcPr>
          <w:p w14:paraId="505BDC1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6F181B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0AD3A03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73B7133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5168CA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3C258AC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12688</w:t>
            </w:r>
          </w:p>
        </w:tc>
      </w:tr>
      <w:tr w:rsidR="00A52D20" w:rsidRPr="00F92B00" w14:paraId="1810538D" w14:textId="77777777" w:rsidTr="00F7098E">
        <w:trPr>
          <w:trHeight w:val="16"/>
        </w:trPr>
        <w:tc>
          <w:tcPr>
            <w:tcW w:w="698" w:type="pct"/>
            <w:vAlign w:val="center"/>
          </w:tcPr>
          <w:p w14:paraId="27F97B5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28FDB8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28AA8E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3232E4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656CDFD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1CD4501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12690</w:t>
            </w:r>
          </w:p>
        </w:tc>
      </w:tr>
      <w:tr w:rsidR="00A52D20" w:rsidRPr="00F92B00" w14:paraId="2D8A5F1C" w14:textId="77777777" w:rsidTr="00F7098E">
        <w:trPr>
          <w:trHeight w:val="16"/>
        </w:trPr>
        <w:tc>
          <w:tcPr>
            <w:tcW w:w="698" w:type="pct"/>
            <w:vAlign w:val="center"/>
          </w:tcPr>
          <w:p w14:paraId="456204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C57E44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32DE8C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1EBD463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E3BED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C1C879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12691</w:t>
            </w:r>
          </w:p>
        </w:tc>
      </w:tr>
      <w:tr w:rsidR="00A52D20" w:rsidRPr="00F92B00" w14:paraId="3009137B" w14:textId="77777777" w:rsidTr="00F7098E">
        <w:trPr>
          <w:trHeight w:val="16"/>
        </w:trPr>
        <w:tc>
          <w:tcPr>
            <w:tcW w:w="698" w:type="pct"/>
            <w:vAlign w:val="center"/>
          </w:tcPr>
          <w:p w14:paraId="306F71F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3E72E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59858F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73E4CFF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2C0BD9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5DB6272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12685</w:t>
            </w:r>
          </w:p>
        </w:tc>
      </w:tr>
      <w:tr w:rsidR="00A52D20" w:rsidRPr="00F92B00" w14:paraId="0361FFAC" w14:textId="77777777" w:rsidTr="00F7098E">
        <w:trPr>
          <w:trHeight w:val="16"/>
        </w:trPr>
        <w:tc>
          <w:tcPr>
            <w:tcW w:w="698" w:type="pct"/>
            <w:vAlign w:val="center"/>
          </w:tcPr>
          <w:p w14:paraId="673D296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18</w:t>
            </w:r>
          </w:p>
        </w:tc>
        <w:tc>
          <w:tcPr>
            <w:tcW w:w="701" w:type="pct"/>
            <w:vAlign w:val="center"/>
          </w:tcPr>
          <w:p w14:paraId="306943F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5160E00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0C8028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2BA208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0239EDB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12674</w:t>
            </w:r>
          </w:p>
        </w:tc>
      </w:tr>
      <w:tr w:rsidR="00A52D20" w:rsidRPr="00F92B00" w14:paraId="680F91B0" w14:textId="77777777" w:rsidTr="00F7098E">
        <w:trPr>
          <w:trHeight w:val="16"/>
        </w:trPr>
        <w:tc>
          <w:tcPr>
            <w:tcW w:w="698" w:type="pct"/>
            <w:vAlign w:val="center"/>
          </w:tcPr>
          <w:p w14:paraId="619A09B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6D73334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7782B6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6C9C93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4DD7D4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6BF318E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12675</w:t>
            </w:r>
          </w:p>
        </w:tc>
      </w:tr>
      <w:tr w:rsidR="00A52D20" w:rsidRPr="00F92B00" w14:paraId="351D5120" w14:textId="77777777" w:rsidTr="00F7098E">
        <w:trPr>
          <w:trHeight w:val="16"/>
        </w:trPr>
        <w:tc>
          <w:tcPr>
            <w:tcW w:w="698" w:type="pct"/>
            <w:vAlign w:val="center"/>
          </w:tcPr>
          <w:p w14:paraId="3854EE4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2D45A50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63D907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17F589C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41B2E91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07A3E1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12677</w:t>
            </w:r>
          </w:p>
        </w:tc>
      </w:tr>
      <w:tr w:rsidR="00A52D20" w:rsidRPr="00F92B00" w14:paraId="36AC42EF" w14:textId="77777777" w:rsidTr="00F7098E">
        <w:trPr>
          <w:trHeight w:val="16"/>
        </w:trPr>
        <w:tc>
          <w:tcPr>
            <w:tcW w:w="698" w:type="pct"/>
            <w:vAlign w:val="center"/>
          </w:tcPr>
          <w:p w14:paraId="40BE110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6A0935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69420B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25BB9C1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295F46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472D79F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12673</w:t>
            </w:r>
          </w:p>
        </w:tc>
      </w:tr>
      <w:tr w:rsidR="00A52D20" w:rsidRPr="00F92B00" w14:paraId="41B97BBD" w14:textId="77777777" w:rsidTr="00F7098E">
        <w:trPr>
          <w:trHeight w:val="16"/>
        </w:trPr>
        <w:tc>
          <w:tcPr>
            <w:tcW w:w="698" w:type="pct"/>
            <w:vAlign w:val="center"/>
          </w:tcPr>
          <w:p w14:paraId="099094A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AA2BB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1FF0D3C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4F8378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71771A8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0141507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12678</w:t>
            </w:r>
          </w:p>
        </w:tc>
      </w:tr>
      <w:tr w:rsidR="00A52D20" w:rsidRPr="00F92B00" w14:paraId="3D5B40F1" w14:textId="77777777" w:rsidTr="00F7098E">
        <w:trPr>
          <w:trHeight w:val="16"/>
        </w:trPr>
        <w:tc>
          <w:tcPr>
            <w:tcW w:w="698" w:type="pct"/>
            <w:vAlign w:val="center"/>
          </w:tcPr>
          <w:p w14:paraId="03CCE19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65F670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3A39B1B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52642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686416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62B10D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12681</w:t>
            </w:r>
          </w:p>
        </w:tc>
      </w:tr>
      <w:tr w:rsidR="00A52D20" w:rsidRPr="00F92B00" w14:paraId="06D4D496" w14:textId="77777777" w:rsidTr="00F7098E">
        <w:trPr>
          <w:trHeight w:val="16"/>
        </w:trPr>
        <w:tc>
          <w:tcPr>
            <w:tcW w:w="698" w:type="pct"/>
            <w:vAlign w:val="center"/>
          </w:tcPr>
          <w:p w14:paraId="70D73D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0C57DE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220A8B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09A3107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4FBAA3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461AA26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12970</w:t>
            </w:r>
          </w:p>
        </w:tc>
      </w:tr>
      <w:tr w:rsidR="00A52D20" w:rsidRPr="00F92B00" w14:paraId="04022EA4" w14:textId="77777777" w:rsidTr="00F7098E">
        <w:trPr>
          <w:trHeight w:val="16"/>
        </w:trPr>
        <w:tc>
          <w:tcPr>
            <w:tcW w:w="698" w:type="pct"/>
            <w:vAlign w:val="center"/>
          </w:tcPr>
          <w:p w14:paraId="2DEC347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59A4A4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1C4786F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7F124C2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BFFA55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1976F78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3392162B" w14:textId="77777777" w:rsidTr="00F7098E">
        <w:trPr>
          <w:trHeight w:val="16"/>
        </w:trPr>
        <w:tc>
          <w:tcPr>
            <w:tcW w:w="698" w:type="pct"/>
            <w:vAlign w:val="center"/>
          </w:tcPr>
          <w:p w14:paraId="62C3F91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26</w:t>
            </w:r>
          </w:p>
        </w:tc>
        <w:tc>
          <w:tcPr>
            <w:tcW w:w="701" w:type="pct"/>
            <w:vAlign w:val="center"/>
          </w:tcPr>
          <w:p w14:paraId="13377A9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5267A6A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6D7182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699F29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4AFBA9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10654</w:t>
            </w:r>
          </w:p>
        </w:tc>
      </w:tr>
      <w:tr w:rsidR="00A52D20" w:rsidRPr="00F92B00" w14:paraId="4EF6929B" w14:textId="77777777" w:rsidTr="00F7098E">
        <w:trPr>
          <w:trHeight w:val="16"/>
        </w:trPr>
        <w:tc>
          <w:tcPr>
            <w:tcW w:w="698" w:type="pct"/>
            <w:vAlign w:val="center"/>
          </w:tcPr>
          <w:p w14:paraId="0669486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100BC75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2EEB8E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1DB578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55CBFA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0D63F68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14966</w:t>
            </w:r>
          </w:p>
        </w:tc>
      </w:tr>
      <w:tr w:rsidR="00A52D20" w:rsidRPr="00F92B00" w14:paraId="20A830AA" w14:textId="77777777" w:rsidTr="00F7098E">
        <w:trPr>
          <w:trHeight w:val="16"/>
        </w:trPr>
        <w:tc>
          <w:tcPr>
            <w:tcW w:w="698" w:type="pct"/>
            <w:vAlign w:val="center"/>
          </w:tcPr>
          <w:p w14:paraId="6463292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4B2EF67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63B214A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41CE902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2C7CE0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4DCF316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Tag 24</w:t>
            </w:r>
          </w:p>
        </w:tc>
      </w:tr>
      <w:tr w:rsidR="00A52D20" w:rsidRPr="00F92B00" w14:paraId="7500691A" w14:textId="77777777" w:rsidTr="00F7098E">
        <w:trPr>
          <w:trHeight w:val="16"/>
        </w:trPr>
        <w:tc>
          <w:tcPr>
            <w:tcW w:w="698" w:type="pct"/>
            <w:vAlign w:val="center"/>
          </w:tcPr>
          <w:p w14:paraId="6F5FAC3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445EBE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1C3074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31FA96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755BE64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619D923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JL24</w:t>
            </w:r>
          </w:p>
        </w:tc>
      </w:tr>
      <w:tr w:rsidR="00A52D20" w:rsidRPr="00F92B00" w14:paraId="7A6FD1DB" w14:textId="77777777" w:rsidTr="00F7098E">
        <w:trPr>
          <w:trHeight w:val="16"/>
        </w:trPr>
        <w:tc>
          <w:tcPr>
            <w:tcW w:w="698" w:type="pct"/>
            <w:vAlign w:val="center"/>
          </w:tcPr>
          <w:p w14:paraId="2BCD12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lastRenderedPageBreak/>
              <w:t>30</w:t>
            </w:r>
          </w:p>
        </w:tc>
        <w:tc>
          <w:tcPr>
            <w:tcW w:w="701" w:type="pct"/>
            <w:vAlign w:val="center"/>
          </w:tcPr>
          <w:p w14:paraId="753AE75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FC92A2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361F8D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09473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4A31FA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GG 20</w:t>
            </w:r>
          </w:p>
        </w:tc>
      </w:tr>
      <w:tr w:rsidR="00A52D20" w:rsidRPr="00F92B00" w14:paraId="688DA59E" w14:textId="77777777" w:rsidTr="00F7098E">
        <w:trPr>
          <w:trHeight w:val="16"/>
        </w:trPr>
        <w:tc>
          <w:tcPr>
            <w:tcW w:w="698" w:type="pct"/>
            <w:vAlign w:val="center"/>
          </w:tcPr>
          <w:p w14:paraId="2ED2A5A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22A1BD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047AB99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32F597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7A88AC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684635D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TG 37A</w:t>
            </w:r>
          </w:p>
        </w:tc>
      </w:tr>
      <w:tr w:rsidR="00A52D20" w:rsidRPr="00F92B00" w14:paraId="311A1F72" w14:textId="77777777" w:rsidTr="00F7098E">
        <w:trPr>
          <w:trHeight w:val="16"/>
        </w:trPr>
        <w:tc>
          <w:tcPr>
            <w:tcW w:w="698" w:type="pct"/>
            <w:vAlign w:val="center"/>
          </w:tcPr>
          <w:p w14:paraId="1D17970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2D09F8A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7295FE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7F5E0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437C8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7B095B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ICGV91114</w:t>
            </w:r>
          </w:p>
        </w:tc>
      </w:tr>
      <w:tr w:rsidR="00A52D20" w:rsidRPr="00F92B00" w14:paraId="18CECA7B" w14:textId="77777777" w:rsidTr="00F7098E">
        <w:trPr>
          <w:trHeight w:val="16"/>
        </w:trPr>
        <w:tc>
          <w:tcPr>
            <w:tcW w:w="698" w:type="pct"/>
            <w:vAlign w:val="center"/>
          </w:tcPr>
          <w:p w14:paraId="5235370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5E8DB1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7CCC77E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4B210BD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4DD054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4C41F13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K6</w:t>
            </w:r>
          </w:p>
        </w:tc>
      </w:tr>
    </w:tbl>
    <w:p w14:paraId="503A96D1" w14:textId="77777777" w:rsidR="00A52D20" w:rsidRPr="00F92B00" w:rsidRDefault="00A52D20" w:rsidP="00A52D20">
      <w:pPr>
        <w:spacing w:line="240" w:lineRule="auto"/>
        <w:jc w:val="both"/>
        <w:rPr>
          <w:rFonts w:ascii="Arial" w:hAnsi="Arial" w:cs="Arial"/>
          <w:b/>
          <w:sz w:val="20"/>
          <w:szCs w:val="20"/>
        </w:rPr>
      </w:pPr>
    </w:p>
    <w:p w14:paraId="72B8AA5D" w14:textId="2DD619E7" w:rsidR="00A52D20" w:rsidRPr="00F92B00" w:rsidRDefault="00D42C71" w:rsidP="00A52D20">
      <w:pPr>
        <w:spacing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3</w:t>
      </w:r>
      <w:r w:rsidR="00A52D20" w:rsidRPr="00F92B00">
        <w:rPr>
          <w:rFonts w:ascii="Arial" w:hAnsi="Arial" w:cs="Arial"/>
          <w:b/>
          <w:sz w:val="20"/>
          <w:szCs w:val="20"/>
        </w:rPr>
        <w:t xml:space="preserve"> </w:t>
      </w:r>
      <w:r w:rsidR="00A52D20" w:rsidRPr="007F1E03">
        <w:rPr>
          <w:rFonts w:ascii="Arial" w:hAnsi="Arial" w:cs="Arial"/>
          <w:b/>
          <w:sz w:val="20"/>
          <w:szCs w:val="20"/>
          <w:highlight w:val="yellow"/>
        </w:rPr>
        <w:t>O</w:t>
      </w:r>
      <w:r w:rsidRPr="007F1E03">
        <w:rPr>
          <w:rFonts w:ascii="Arial" w:hAnsi="Arial" w:cs="Arial"/>
          <w:b/>
          <w:sz w:val="20"/>
          <w:szCs w:val="20"/>
          <w:highlight w:val="yellow"/>
        </w:rPr>
        <w:t>bservation</w:t>
      </w:r>
      <w:r w:rsidR="007F1E03" w:rsidRPr="007F1E03">
        <w:rPr>
          <w:rFonts w:ascii="Arial" w:hAnsi="Arial" w:cs="Arial"/>
          <w:b/>
          <w:sz w:val="20"/>
          <w:szCs w:val="20"/>
          <w:highlight w:val="yellow"/>
        </w:rPr>
        <w:t>s</w:t>
      </w:r>
      <w:r w:rsidRPr="007F1E03">
        <w:rPr>
          <w:rFonts w:ascii="Arial" w:hAnsi="Arial" w:cs="Arial"/>
          <w:b/>
          <w:sz w:val="20"/>
          <w:szCs w:val="20"/>
          <w:highlight w:val="yellow"/>
        </w:rPr>
        <w:t xml:space="preserve"> recorded</w:t>
      </w:r>
    </w:p>
    <w:p w14:paraId="316C94D7" w14:textId="0B182882" w:rsidR="00A52D20" w:rsidRPr="00D42C71" w:rsidRDefault="00A52D20" w:rsidP="00A52D20">
      <w:pPr>
        <w:spacing w:line="240" w:lineRule="auto"/>
        <w:jc w:val="both"/>
        <w:rPr>
          <w:rFonts w:ascii="Arial" w:hAnsi="Arial" w:cs="Arial"/>
          <w:sz w:val="20"/>
          <w:szCs w:val="20"/>
        </w:rPr>
      </w:pPr>
      <w:r w:rsidRPr="00F92B00">
        <w:rPr>
          <w:rFonts w:ascii="Arial" w:hAnsi="Arial" w:cs="Arial"/>
          <w:sz w:val="20"/>
          <w:szCs w:val="20"/>
        </w:rPr>
        <w:t>In the present study, a comprehensive set of morphological and yield-contributing traits were recorded to evaluate inter-relationships among the groundnut genotypes</w:t>
      </w:r>
      <w:r w:rsidR="00D42C71">
        <w:rPr>
          <w:rFonts w:ascii="Arial" w:hAnsi="Arial" w:cs="Arial"/>
          <w:sz w:val="20"/>
          <w:szCs w:val="20"/>
        </w:rPr>
        <w:t xml:space="preserve"> </w:t>
      </w:r>
      <w:r w:rsidR="00D42C71">
        <w:rPr>
          <w:rFonts w:ascii="Arial" w:hAnsi="Arial" w:cs="Arial"/>
          <w:i/>
          <w:sz w:val="20"/>
          <w:szCs w:val="20"/>
        </w:rPr>
        <w:t xml:space="preserve">viz., </w:t>
      </w:r>
      <w:r w:rsidR="00D42C71"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745F9AC2" w14:textId="1847B0A7" w:rsidR="00A52D20" w:rsidRPr="00F92B00" w:rsidRDefault="00D42C71" w:rsidP="00A52D20">
      <w:pPr>
        <w:spacing w:before="200"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4</w:t>
      </w:r>
      <w:r w:rsidR="00A52D20" w:rsidRPr="00F92B00">
        <w:rPr>
          <w:rFonts w:ascii="Arial" w:hAnsi="Arial" w:cs="Arial"/>
          <w:b/>
          <w:sz w:val="20"/>
          <w:szCs w:val="20"/>
        </w:rPr>
        <w:t xml:space="preserve"> S</w:t>
      </w:r>
      <w:r w:rsidRPr="00F92B00">
        <w:rPr>
          <w:rFonts w:ascii="Arial" w:hAnsi="Arial" w:cs="Arial"/>
          <w:b/>
          <w:sz w:val="20"/>
          <w:szCs w:val="20"/>
        </w:rPr>
        <w:t>tatistical analysis</w:t>
      </w:r>
    </w:p>
    <w:p w14:paraId="15F51802" w14:textId="048FC1A8" w:rsidR="00985E3F" w:rsidRDefault="00A52D20" w:rsidP="00985E3F">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sidR="00985E3F">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using </w:t>
      </w:r>
      <w:r w:rsidR="00985E3F" w:rsidRPr="007F1E03">
        <w:rPr>
          <w:rFonts w:ascii="Arial" w:hAnsi="Arial" w:cs="Arial"/>
          <w:sz w:val="20"/>
          <w:szCs w:val="20"/>
          <w:highlight w:val="yellow"/>
        </w:rPr>
        <w:t>R</w:t>
      </w:r>
      <w:r w:rsidRPr="007F1E03">
        <w:rPr>
          <w:rFonts w:ascii="Arial" w:hAnsi="Arial" w:cs="Arial"/>
          <w:sz w:val="20"/>
          <w:szCs w:val="20"/>
          <w:highlight w:val="yellow"/>
        </w:rPr>
        <w:t xml:space="preserve"> software tools</w:t>
      </w:r>
      <w:r w:rsidR="007F1E03" w:rsidRPr="007F1E03">
        <w:rPr>
          <w:rFonts w:ascii="Arial" w:hAnsi="Arial" w:cs="Arial"/>
          <w:sz w:val="20"/>
          <w:szCs w:val="20"/>
          <w:highlight w:val="yellow"/>
        </w:rPr>
        <w:t xml:space="preserve"> R-4.5.2</w:t>
      </w:r>
      <w:r w:rsidRPr="007F1E03">
        <w:rPr>
          <w:rFonts w:ascii="Arial" w:hAnsi="Arial" w:cs="Arial"/>
          <w:sz w:val="20"/>
          <w:szCs w:val="20"/>
          <w:highlight w:val="yellow"/>
        </w:rPr>
        <w:t>:</w:t>
      </w:r>
      <w:r w:rsidR="00985E3F">
        <w:rPr>
          <w:rFonts w:ascii="Arial" w:hAnsi="Arial" w:cs="Arial"/>
          <w:sz w:val="20"/>
          <w:szCs w:val="20"/>
        </w:rPr>
        <w:t xml:space="preserve"> </w:t>
      </w:r>
    </w:p>
    <w:p w14:paraId="262D9260" w14:textId="62E8BF05" w:rsidR="00A52D20" w:rsidRDefault="00A52D20" w:rsidP="00985E3F">
      <w:pPr>
        <w:spacing w:before="100" w:beforeAutospacing="1" w:line="240" w:lineRule="auto"/>
        <w:jc w:val="both"/>
        <w:rPr>
          <w:rFonts w:ascii="Arial" w:hAnsi="Arial" w:cs="Arial"/>
          <w:sz w:val="20"/>
          <w:szCs w:val="20"/>
        </w:rPr>
      </w:pPr>
      <w:r w:rsidRPr="00985E3F">
        <w:rPr>
          <w:rFonts w:ascii="Arial" w:hAnsi="Arial" w:cs="Arial"/>
          <w:b/>
          <w:sz w:val="20"/>
          <w:szCs w:val="20"/>
        </w:rPr>
        <w:t>Correlation Coefficient Analysis:</w:t>
      </w:r>
      <w:r w:rsidRPr="00F92B00">
        <w:rPr>
          <w:rFonts w:ascii="Arial" w:hAnsi="Arial" w:cs="Arial"/>
          <w:sz w:val="20"/>
          <w:szCs w:val="20"/>
        </w:rPr>
        <w:t xml:space="preserve"> Phenotypic and genotypic correlation coefficients were computed to study the degree of association among different characters using the method described by Miller et al. (1958). This analysis helps in understanding how traits are interrelated and which traits contribute most to yield.</w:t>
      </w:r>
      <w:r w:rsidR="00985E3F">
        <w:rPr>
          <w:rFonts w:ascii="Arial" w:hAnsi="Arial" w:cs="Arial"/>
          <w:sz w:val="20"/>
          <w:szCs w:val="20"/>
        </w:rPr>
        <w:t xml:space="preserve"> </w:t>
      </w:r>
      <w:r w:rsidRPr="00F92B00">
        <w:rPr>
          <w:rFonts w:ascii="Arial" w:hAnsi="Arial" w:cs="Arial"/>
          <w:b/>
          <w:sz w:val="20"/>
          <w:szCs w:val="20"/>
        </w:rPr>
        <w:t>Path Coefficient Analysis:</w:t>
      </w:r>
      <w:r w:rsidRPr="00F92B00">
        <w:rPr>
          <w:rFonts w:ascii="Arial" w:hAnsi="Arial" w:cs="Arial"/>
          <w:sz w:val="20"/>
          <w:szCs w:val="20"/>
        </w:rPr>
        <w:t xml:space="preserve"> To partition the correlation coefficients into direct and indirect effects and identify the most effective selection criteria for yield improvement, path coefficient analysis was carried out following the method of Dewey and Lu (1959).</w:t>
      </w:r>
    </w:p>
    <w:p w14:paraId="38D733DE" w14:textId="79064DC3" w:rsidR="00A52D20" w:rsidRPr="00985E3F" w:rsidRDefault="00985E3F" w:rsidP="00985E3F">
      <w:pPr>
        <w:spacing w:before="200" w:after="100" w:afterAutospacing="1" w:line="240" w:lineRule="auto"/>
        <w:ind w:firstLine="720"/>
        <w:jc w:val="both"/>
        <w:rPr>
          <w:rFonts w:ascii="Arial" w:hAnsi="Arial" w:cs="Arial"/>
          <w:b/>
          <w:sz w:val="24"/>
          <w:szCs w:val="20"/>
        </w:rPr>
      </w:pPr>
      <w:r w:rsidRPr="00985E3F">
        <w:rPr>
          <w:rFonts w:ascii="Arial" w:hAnsi="Arial" w:cs="Arial"/>
          <w:b/>
          <w:sz w:val="24"/>
          <w:szCs w:val="20"/>
        </w:rPr>
        <w:t>3. RESULTS AND DISCUSSION</w:t>
      </w:r>
    </w:p>
    <w:p w14:paraId="64238E9A" w14:textId="50314CA0" w:rsidR="00A52D20" w:rsidRPr="00A52D20" w:rsidRDefault="00D42C71" w:rsidP="00A52D20">
      <w:pPr>
        <w:spacing w:before="200" w:after="100" w:afterAutospacing="1" w:line="240" w:lineRule="auto"/>
        <w:jc w:val="both"/>
        <w:rPr>
          <w:rFonts w:ascii="Arial" w:hAnsi="Arial" w:cs="Arial"/>
          <w:b/>
          <w:sz w:val="20"/>
          <w:szCs w:val="20"/>
        </w:rPr>
      </w:pPr>
      <w:r>
        <w:rPr>
          <w:rFonts w:ascii="Arial" w:hAnsi="Arial" w:cs="Arial"/>
          <w:b/>
          <w:sz w:val="20"/>
          <w:szCs w:val="20"/>
        </w:rPr>
        <w:t>3.1</w:t>
      </w:r>
      <w:r w:rsidR="00A52D20" w:rsidRPr="00A52D20">
        <w:rPr>
          <w:rFonts w:ascii="Arial" w:hAnsi="Arial" w:cs="Arial"/>
          <w:b/>
          <w:sz w:val="20"/>
          <w:szCs w:val="20"/>
        </w:rPr>
        <w:t xml:space="preserve"> </w:t>
      </w:r>
      <w:r>
        <w:rPr>
          <w:rFonts w:ascii="Arial" w:hAnsi="Arial" w:cs="Arial"/>
          <w:b/>
          <w:sz w:val="20"/>
          <w:szCs w:val="20"/>
        </w:rPr>
        <w:t>C</w:t>
      </w:r>
      <w:r w:rsidRPr="00A52D20">
        <w:rPr>
          <w:rFonts w:ascii="Arial" w:hAnsi="Arial" w:cs="Arial"/>
          <w:b/>
          <w:sz w:val="20"/>
          <w:szCs w:val="20"/>
        </w:rPr>
        <w:t>orrelation coefficients</w:t>
      </w:r>
    </w:p>
    <w:p w14:paraId="43229518" w14:textId="77777777" w:rsidR="00A52D20" w:rsidRPr="00A52D20" w:rsidRDefault="00A52D20" w:rsidP="00A52D20">
      <w:pPr>
        <w:spacing w:before="200" w:after="100" w:afterAutospacing="1" w:line="240" w:lineRule="auto"/>
        <w:jc w:val="both"/>
        <w:rPr>
          <w:rFonts w:ascii="Arial" w:hAnsi="Arial" w:cs="Arial"/>
          <w:sz w:val="20"/>
          <w:szCs w:val="20"/>
        </w:rPr>
      </w:pPr>
      <w:r w:rsidRPr="00A52D20">
        <w:rPr>
          <w:rFonts w:ascii="Arial" w:hAnsi="Arial" w:cs="Arial"/>
          <w:sz w:val="20"/>
          <w:szCs w:val="20"/>
        </w:rPr>
        <w:t xml:space="preserve">The correlation coefficient analysis revealed several significant associations between kernel yield per plant and various agronomic traits in groundnut. Notably, kernel yield per plant showed a strong and positive correlation with 100-kernel weight, 100-pod weight, and shelling percentage at both the genotypic and phenotypic levels, indicating that improvements in these traits are likely to contribute positively to kernel yield. Similarly, days to maturity and days to 50% flowering were also positively and significantly correlated with kernel yield, suggesting that longer crop duration may support better kernel development and filling. Pod yield per plant exhibited a moderate positive correlation with kernel yield, implying that overall pod productivity also plays a contributory role. On the other hand, traits such as biological yield and sound mature kernel percentage showed weak or negative correlations, indicating a limited or inverse relationship with kernel yield. Plant height and harvest index showed a positive association, though comparatively weaker, with kernel yield. These findings suggest that selection for traits like 100-kernel weight, pod weight, shelling percentage, and maturity could be effective strategies in improving kernel yield in groundnut breeding programs. </w:t>
      </w:r>
      <w:r w:rsidRPr="00A52D20">
        <w:rPr>
          <w:rFonts w:ascii="Arial" w:hAnsi="Arial" w:cs="Arial"/>
          <w:color w:val="FFFFFF" w:themeColor="background1"/>
          <w:sz w:val="20"/>
          <w:szCs w:val="20"/>
        </w:rPr>
        <w:t>“</w:t>
      </w:r>
    </w:p>
    <w:p w14:paraId="20BE89D2" w14:textId="0C76E853"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w:t>
      </w:r>
      <w:r w:rsidR="00A52D20" w:rsidRPr="00D42C71">
        <w:rPr>
          <w:rFonts w:ascii="Arial" w:hAnsi="Arial" w:cs="Arial"/>
          <w:b/>
          <w:i/>
          <w:sz w:val="20"/>
          <w:szCs w:val="20"/>
        </w:rPr>
        <w:t>.</w:t>
      </w:r>
      <w:r w:rsidRPr="00D42C71">
        <w:rPr>
          <w:rFonts w:ascii="Arial" w:hAnsi="Arial" w:cs="Arial"/>
          <w:b/>
          <w:i/>
          <w:sz w:val="20"/>
          <w:szCs w:val="20"/>
        </w:rPr>
        <w:t>1</w:t>
      </w:r>
      <w:r w:rsidR="00A52D20" w:rsidRPr="00D42C71">
        <w:rPr>
          <w:rFonts w:ascii="Arial" w:hAnsi="Arial" w:cs="Arial"/>
          <w:b/>
          <w:i/>
          <w:sz w:val="20"/>
          <w:szCs w:val="20"/>
        </w:rPr>
        <w:t xml:space="preserve">.1 Genotypic Correlation Among Agronomic Traits </w:t>
      </w:r>
    </w:p>
    <w:p w14:paraId="48B9F76F" w14:textId="681BF509"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coefficient analysis presented in Table</w:t>
      </w:r>
      <w:r w:rsidR="007F38B2">
        <w:rPr>
          <w:rFonts w:ascii="Arial" w:hAnsi="Arial" w:cs="Arial"/>
          <w:sz w:val="20"/>
          <w:szCs w:val="20"/>
        </w:rPr>
        <w:t xml:space="preserve"> 2 and Fig. 1</w:t>
      </w:r>
      <w:r w:rsidRPr="00A52D20">
        <w:rPr>
          <w:rFonts w:ascii="Arial" w:hAnsi="Arial" w:cs="Arial"/>
          <w:sz w:val="20"/>
          <w:szCs w:val="20"/>
        </w:rPr>
        <w:t xml:space="preserve"> reveals important interrelationships among various traits in groundnut. Plant height exhibited a significant positive correlation with days to 50% flowering (r = 0.222*) and days to maturity (r = 0.179), suggesting that taller plants may be associated with longer growth duration. However, it showed a negative and significant correlation with sound mature kernels (r = –0.256*), implying that increased plant height might slightly reduce the proportion of mature kernels. The 100-pod weight showed a highly significant and positive correlation with 100-kernel weight (r = 0.675**) and shelling percentage (r = 0.627**), indicating that heavier pods tend to have heavier kernels and better shelling efficiency. It also correlated positively with kernel yield per plant (r = 0.465**) but negatively with harvest index (r = –0.309*), suggesting a trade-off between pod weight and overall resource-use efficiency. The 100-kernel weight displayed a strong and significant positive association with shelling percentage (r = 0.829**) and kernel yield (r = 0.667**), as well as a positive correlation with biological yield (r = 0.231*), suggesting that larger kernels contribute significantly to kernel production. Shelling percentage showed a strong positive correlation with kernel </w:t>
      </w:r>
      <w:r w:rsidRPr="00A52D20">
        <w:rPr>
          <w:rFonts w:ascii="Arial" w:hAnsi="Arial" w:cs="Arial"/>
          <w:sz w:val="20"/>
          <w:szCs w:val="20"/>
        </w:rPr>
        <w:lastRenderedPageBreak/>
        <w:t xml:space="preserve">yield (r = 0.646**) and 100-kernel weight, indicating it is a key yield-contributing trait. However, it was negatively correlated with sound mature kernels (r = –0.223*), suggesting that high shelling might not always align with high seed maturity. Days to maturity and days to 50% flowering had a very strong positive correlation (r = 0.885**), indicating synchronous crop development. Both traits were also positively correlated with kernel yield (r = 0.703** and r = 0.668**, respectively), suggesting that prolonged duration supports better kernel production.  Pod yield per plant was positively and significantly associated with kernel yield (r = 0.218*) and biological yield (r = 0.446**), indicating a close linkage between pod productivity and overall plant biomass. Biological yield also showed a significant positive correlation with sound mature kernels (r = 0.217*). Harvest index had a positive and significant correlation with kernel yield (r = 0.259*), suggesting that efficient allocation of biomass toward economic yield is beneficial. Overall, kernel yield was positively and significantly associated with traits such as 100-pod weight, 100-kernel weight, shelling percentage, days to maturity, days to 50% flowering, pod yield, and harvest index, establishing these as important selection criteria in breeding programs for yield </w:t>
      </w:r>
      <w:r w:rsidRPr="001D3FED">
        <w:rPr>
          <w:rFonts w:ascii="Arial" w:hAnsi="Arial" w:cs="Arial"/>
          <w:sz w:val="20"/>
          <w:szCs w:val="20"/>
          <w:highlight w:val="yellow"/>
        </w:rPr>
        <w:t>improvement</w:t>
      </w:r>
      <w:r w:rsidR="001D3FED" w:rsidRPr="001D3FED">
        <w:rPr>
          <w:rFonts w:ascii="Arial" w:hAnsi="Arial" w:cs="Arial"/>
          <w:sz w:val="20"/>
          <w:szCs w:val="20"/>
          <w:highlight w:val="yellow"/>
        </w:rPr>
        <w:t xml:space="preserve"> (</w:t>
      </w:r>
      <w:proofErr w:type="spellStart"/>
      <w:r w:rsidR="001D3FED" w:rsidRPr="001D3FED">
        <w:rPr>
          <w:rFonts w:ascii="Arial" w:hAnsi="Arial" w:cs="Arial"/>
          <w:sz w:val="20"/>
          <w:szCs w:val="20"/>
          <w:highlight w:val="yellow"/>
        </w:rPr>
        <w:t>Tutlani</w:t>
      </w:r>
      <w:proofErr w:type="spellEnd"/>
      <w:r w:rsidR="001D3FED" w:rsidRPr="001D3FED">
        <w:rPr>
          <w:rFonts w:ascii="Arial" w:hAnsi="Arial" w:cs="Arial"/>
          <w:sz w:val="20"/>
          <w:szCs w:val="20"/>
          <w:highlight w:val="yellow"/>
        </w:rPr>
        <w:t xml:space="preserve"> et al., 202</w:t>
      </w:r>
      <w:r w:rsidR="001D3FED">
        <w:rPr>
          <w:rFonts w:ascii="Arial" w:hAnsi="Arial" w:cs="Arial"/>
          <w:sz w:val="20"/>
          <w:szCs w:val="20"/>
          <w:highlight w:val="yellow"/>
        </w:rPr>
        <w:t>4</w:t>
      </w:r>
      <w:r w:rsidR="001D3FED" w:rsidRPr="001D3FED">
        <w:rPr>
          <w:rFonts w:ascii="Arial" w:hAnsi="Arial" w:cs="Arial"/>
          <w:sz w:val="20"/>
          <w:szCs w:val="20"/>
          <w:highlight w:val="yellow"/>
        </w:rPr>
        <w:t>)</w:t>
      </w:r>
      <w:r w:rsidRPr="001D3FED">
        <w:rPr>
          <w:rFonts w:ascii="Arial" w:hAnsi="Arial" w:cs="Arial"/>
          <w:sz w:val="20"/>
          <w:szCs w:val="20"/>
          <w:highlight w:val="yellow"/>
        </w:rPr>
        <w:t>.</w:t>
      </w:r>
    </w:p>
    <w:p w14:paraId="2156355E" w14:textId="3E547C9C"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.2 Phenotypic Correlation Among Agronomic Traits </w:t>
      </w:r>
    </w:p>
    <w:p w14:paraId="034A1B0A" w14:textId="4FA3E8CF"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phenotypic correlations among different traits in groundnut reveal several significant relationships that are crucial for breeding decisions</w:t>
      </w:r>
      <w:r w:rsidR="007F38B2">
        <w:rPr>
          <w:rFonts w:ascii="Arial" w:hAnsi="Arial" w:cs="Arial"/>
          <w:sz w:val="20"/>
          <w:szCs w:val="20"/>
        </w:rPr>
        <w:t xml:space="preserve"> (Table 2 and Fig. 2)</w:t>
      </w:r>
      <w:r w:rsidRPr="00A52D20">
        <w:rPr>
          <w:rFonts w:ascii="Arial" w:hAnsi="Arial" w:cs="Arial"/>
          <w:sz w:val="20"/>
          <w:szCs w:val="20"/>
        </w:rPr>
        <w:t>. Plant height showed a positive phenotypic correlation with Days to 50% Flowering (0.222*), indicating that taller plants tend to flower later. However, it exhibited a negative correlation with Shelling Percentage (-0.256*) and Biological Yield per Plant (-0.187), suggesting that taller plants might not always be beneficial for these traits. X100 Pod Weight had strong positive correlations with both X100 Kernel Weight (0.675**) and Shelling Percentage (0.627**), implying that increasing pod weight is associated with better kernel weight and shelling percentage. Conversely, X100 Pod Weight showed a negative correlation with Pod Yield per Plant (-0.220*) and Harvest Index (-0.309*), indicating trade-offs between these traits in terms of overall yield efficiency. X100 Kernel Weight demonstrated a strong positive relationship with Shelling Percentage (0.829**), suggesting that plants with heavier kernels may also have a better shelling percentage. However, it exhibited a moderate negative correlation with Biological Yield per Plant (-0.125), implying that improving kernel weight might reduce overall plant biomass. Shelling Percentage also showed a significant positive correlation with Harvest Index (0.646**), reflecting that better shelling efficiency could improve the efficiency of harvesting. Days to Maturity had a strong positive correlation with Kernel Yield per Plant (0.703**), highlighting that later maturing plants tend to have higher kernel yield, although it had a weak negative relationship with Biological Yield per Plant (-0.058). Days to 50% Flowering was positively correlated with Kernel Yield per Plant (0.286*), suggesting that earlier flowering could contribute to higher kernel yields, though this correlation was not as strong. Pod Yield per Plant showed a strong positive correlation with Kernel Yield per Plant (0.617**), indicating that higher pod yield often leads to higher kernel yield. Biological Yield per Plant was positively correlated with Sound Mature Kernels (0.217*), suggesting that increased biomass might enhance the proportion of mature kernels. Lastly, Harvest Index had a positive correlation with Kernel Yield per Plant (0.259*), implying that improving harvest index is beneficial for increasing kernel yield. These phenotypic correlations highlight the interconnectedness of several traits, and understanding them can help in developing breeding strategies to improve groundnut yields and overall plant performance.</w:t>
      </w:r>
    </w:p>
    <w:p w14:paraId="4CFBF179" w14:textId="42067302"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.3 C</w:t>
      </w:r>
      <w:r w:rsidRPr="00D42C71">
        <w:rPr>
          <w:rFonts w:ascii="Arial" w:hAnsi="Arial" w:cs="Arial"/>
          <w:b/>
          <w:i/>
          <w:sz w:val="20"/>
          <w:szCs w:val="20"/>
        </w:rPr>
        <w:t xml:space="preserve">orrelation between dry pod yield per plant and other agronomic traits </w:t>
      </w:r>
    </w:p>
    <w:p w14:paraId="786B9A8E" w14:textId="77777777"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 xml:space="preserve">The correlation analysis revealed that dry pod yield per plant had significant positive associations with several traits, indicating their importance in influencing yield performance. A highly significant positive correlation was observed between dry pod yield per plant and biological yield per plant (r = 0.446**), implying that plants producing more biomass also tend to yield more pods. Similarly, a positive and significant correlation was found with harvest index (r = 0.617**), which suggests that a higher proportion of assimilates being converted into economic yield (pods) contributes directly to pod yield. Dry pod yield per plant also showed a positive and significant relationship with days to 50% flowering (r = 0.125) and days to maturity (r = 0.090), though these correlations were not statistically significant, indicating a mild influence of crop duration on pod yield. Additionally, a positive and significant correlation was recorded with kernel yield per plant (r = 0.218*), indicating that improvement in kernel productivity is closely tied to pod yield. On the other hand, dry pod yield per plant was negatively associated with 100-pod weight (r = –0.220), shelling percentage (r = –0.008), and sound mature kernels (r = 0.059), although these associations were not significant. These results suggest that while individual pod weight or kernel soundness may not directly influence pod yield, traits like biological yield, </w:t>
      </w:r>
      <w:r w:rsidRPr="00A52D20">
        <w:rPr>
          <w:rFonts w:ascii="Arial" w:hAnsi="Arial" w:cs="Arial"/>
          <w:sz w:val="20"/>
          <w:szCs w:val="20"/>
        </w:rPr>
        <w:lastRenderedPageBreak/>
        <w:t>harvest index, and kernel yield are reliable indicators and can be effectively used in selection strategies for improving dry pod yield in groundnut.</w:t>
      </w:r>
    </w:p>
    <w:p w14:paraId="53152422" w14:textId="551E8098"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4 Correlation Between Kernel Yield per Plant and Other Agronomic Traits </w:t>
      </w:r>
    </w:p>
    <w:p w14:paraId="0186AB08" w14:textId="77777777" w:rsidR="00CF6736"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between kernel yield per plant and other characters in groundnut reveals several important relationships that can guide breeding efforts. Kernel yield per plant showed a strong positive correlation with X100 pod weight (0.465**), indicating that larger pod weights are associated with higher kernel yields. This suggests that efforts to improve pod weight can potentially lead to an increase in kernel yield. It also demonstrated a significant positive correlation with X100 kernel weight (0.667**), which means that an increase in kernel size is closely linked to an increase in the total kernel yield. This relationship is valuable for breeders focusing on both size and yield improvements.  Additionally, kernel yield per plant was positively correlated with Shelling percentage (0.646**), indicating that higher shelling efficiency can result in better utilization of pods, translating to higher kernel yields. Similarly, kernel yield per plant showed a strong positive correlation with Pod yield per plant (0.617**), further emphasizing that higher pod yield directly contributes to higher kernel yield.  On the other hand, kernel yield per plant had a negative but weak correlation with Sound mature kernels (-0.173), suggesting that there may be a trade-off between the quality of kernels and the quantity of yield. Despite this, the relationship was not strong enough to be of major concern for breeding decisions. Furthermore, the correlation between kernel yield per plant and Biological yield per plant (0.217*) was relatively weak, implying that while an increase in overall plant biomass may contribute to some extent to kernel yield, other factors like pod and kernel weight play more crucial roles.  These correlations underscore the importance of pod weight, kernel weight, and shelling percentage in influencing kernel yield per plant. Breeding strategies aimed at improving these traits could help in enhancing kernel yield in groundnut.</w:t>
      </w:r>
    </w:p>
    <w:p w14:paraId="4C70DE6F"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drawing>
          <wp:inline distT="0" distB="0" distL="0" distR="0" wp14:anchorId="30563429" wp14:editId="1E4D05E7">
            <wp:extent cx="4201551" cy="3575050"/>
            <wp:effectExtent l="19050" t="19050" r="2794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BEBA8EAE-BF5A-486C-A8C5-ECC9F3942E4B}">
                          <a14:imgProps xmlns:a14="http://schemas.microsoft.com/office/drawing/2010/main">
                            <a14:imgLayer r:embed="rId8">
                              <a14:imgEffect>
                                <a14:sharpenSoften amount="25000"/>
                              </a14:imgEffect>
                            </a14:imgLayer>
                          </a14:imgProps>
                        </a:ext>
                      </a:extLst>
                    </a:blip>
                    <a:srcRect l="4187" r="4448"/>
                    <a:stretch/>
                  </pic:blipFill>
                  <pic:spPr bwMode="auto">
                    <a:xfrm>
                      <a:off x="0" y="0"/>
                      <a:ext cx="4229033" cy="3598434"/>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11228D6" w14:textId="6FDDABF8" w:rsidR="00CF6736" w:rsidRPr="00B31F8E" w:rsidRDefault="00CF6736" w:rsidP="00B31F8E">
      <w:pPr>
        <w:pStyle w:val="NoSpacing"/>
        <w:jc w:val="center"/>
        <w:rPr>
          <w:rFonts w:ascii="Arial" w:hAnsi="Arial" w:cs="Arial"/>
          <w:b/>
          <w:sz w:val="20"/>
        </w:rPr>
      </w:pPr>
      <w:r w:rsidRPr="00B31F8E">
        <w:rPr>
          <w:rFonts w:ascii="Arial" w:hAnsi="Arial" w:cs="Arial"/>
          <w:b/>
          <w:sz w:val="20"/>
        </w:rPr>
        <w:t>Fig. 1: Genotypic Correlation Coefficients among various Traits in groundnut</w:t>
      </w:r>
    </w:p>
    <w:p w14:paraId="257FAF25"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lastRenderedPageBreak/>
        <w:drawing>
          <wp:inline distT="0" distB="0" distL="0" distR="0" wp14:anchorId="710421AA" wp14:editId="26EAE4F2">
            <wp:extent cx="4575266" cy="3898900"/>
            <wp:effectExtent l="19050" t="19050" r="15875"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312" r="3098"/>
                    <a:stretch/>
                  </pic:blipFill>
                  <pic:spPr bwMode="auto">
                    <a:xfrm>
                      <a:off x="0" y="0"/>
                      <a:ext cx="4580790" cy="3903607"/>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E6EF044" w14:textId="77777777" w:rsidR="00CF6736" w:rsidRPr="00B31F8E" w:rsidRDefault="00CF6736" w:rsidP="00B31F8E">
      <w:pPr>
        <w:pStyle w:val="NoSpacing"/>
        <w:jc w:val="center"/>
        <w:rPr>
          <w:rFonts w:ascii="Arial" w:hAnsi="Arial" w:cs="Arial"/>
          <w:b/>
          <w:sz w:val="20"/>
        </w:rPr>
        <w:sectPr w:rsidR="00CF6736" w:rsidRPr="00B31F8E" w:rsidSect="00CF673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B31F8E">
        <w:rPr>
          <w:rFonts w:ascii="Arial" w:hAnsi="Arial" w:cs="Arial"/>
          <w:b/>
          <w:sz w:val="20"/>
        </w:rPr>
        <w:t>Fig. 2: Phenotypic Correlation Coefficients among various Traits in groundnut</w:t>
      </w:r>
    </w:p>
    <w:tbl>
      <w:tblPr>
        <w:tblStyle w:val="TableGrid"/>
        <w:tblpPr w:leftFromText="180" w:rightFromText="180" w:vertAnchor="text" w:horzAnchor="margin" w:tblpXSpec="center" w:tblpY="458"/>
        <w:tblW w:w="5502" w:type="pct"/>
        <w:tblLook w:val="04A0" w:firstRow="1" w:lastRow="0" w:firstColumn="1" w:lastColumn="0" w:noHBand="0" w:noVBand="1"/>
      </w:tblPr>
      <w:tblGrid>
        <w:gridCol w:w="1908"/>
        <w:gridCol w:w="998"/>
        <w:gridCol w:w="1105"/>
        <w:gridCol w:w="1292"/>
        <w:gridCol w:w="1013"/>
        <w:gridCol w:w="1142"/>
        <w:gridCol w:w="1397"/>
        <w:gridCol w:w="1262"/>
        <w:gridCol w:w="1262"/>
        <w:gridCol w:w="1608"/>
        <w:gridCol w:w="1099"/>
        <w:gridCol w:w="1262"/>
      </w:tblGrid>
      <w:tr w:rsidR="00CF6736" w:rsidRPr="00CF6736" w14:paraId="3C86C16F" w14:textId="77777777" w:rsidTr="00CF6736">
        <w:trPr>
          <w:trHeight w:val="139"/>
        </w:trPr>
        <w:tc>
          <w:tcPr>
            <w:tcW w:w="622" w:type="pct"/>
            <w:vAlign w:val="center"/>
            <w:hideMark/>
          </w:tcPr>
          <w:p w14:paraId="13BAAE0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lastRenderedPageBreak/>
              <w:t>Traits</w:t>
            </w:r>
          </w:p>
        </w:tc>
        <w:tc>
          <w:tcPr>
            <w:tcW w:w="325" w:type="pct"/>
            <w:vAlign w:val="center"/>
            <w:hideMark/>
          </w:tcPr>
          <w:p w14:paraId="7BB305E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360" w:type="pct"/>
            <w:vAlign w:val="center"/>
            <w:hideMark/>
          </w:tcPr>
          <w:p w14:paraId="1DF6541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421" w:type="pct"/>
            <w:vAlign w:val="center"/>
            <w:hideMark/>
          </w:tcPr>
          <w:p w14:paraId="0E0418C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30" w:type="pct"/>
            <w:vAlign w:val="center"/>
            <w:hideMark/>
          </w:tcPr>
          <w:p w14:paraId="4E371C6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w:t>
            </w:r>
          </w:p>
        </w:tc>
        <w:tc>
          <w:tcPr>
            <w:tcW w:w="372" w:type="pct"/>
            <w:vAlign w:val="center"/>
            <w:hideMark/>
          </w:tcPr>
          <w:p w14:paraId="334A59C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455" w:type="pct"/>
            <w:vAlign w:val="center"/>
            <w:hideMark/>
          </w:tcPr>
          <w:p w14:paraId="46636C3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411" w:type="pct"/>
            <w:vAlign w:val="center"/>
            <w:hideMark/>
          </w:tcPr>
          <w:p w14:paraId="6F3AEE3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w:t>
            </w:r>
          </w:p>
        </w:tc>
        <w:tc>
          <w:tcPr>
            <w:tcW w:w="411" w:type="pct"/>
            <w:vAlign w:val="center"/>
            <w:hideMark/>
          </w:tcPr>
          <w:p w14:paraId="42D1A05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w:t>
            </w:r>
          </w:p>
        </w:tc>
        <w:tc>
          <w:tcPr>
            <w:tcW w:w="524" w:type="pct"/>
            <w:vAlign w:val="center"/>
            <w:hideMark/>
          </w:tcPr>
          <w:p w14:paraId="7F00832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58" w:type="pct"/>
            <w:vAlign w:val="center"/>
            <w:hideMark/>
          </w:tcPr>
          <w:p w14:paraId="51B4DB7E"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w:t>
            </w:r>
          </w:p>
        </w:tc>
        <w:tc>
          <w:tcPr>
            <w:tcW w:w="411" w:type="pct"/>
            <w:vAlign w:val="center"/>
            <w:hideMark/>
          </w:tcPr>
          <w:p w14:paraId="225546B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w:t>
            </w:r>
          </w:p>
        </w:tc>
      </w:tr>
      <w:tr w:rsidR="00CF6736" w:rsidRPr="00CF6736" w14:paraId="4ACD306B" w14:textId="77777777" w:rsidTr="00CF6736">
        <w:trPr>
          <w:trHeight w:val="189"/>
        </w:trPr>
        <w:tc>
          <w:tcPr>
            <w:tcW w:w="622" w:type="pct"/>
            <w:vAlign w:val="center"/>
            <w:hideMark/>
          </w:tcPr>
          <w:p w14:paraId="18B788D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Plant </w:t>
            </w:r>
          </w:p>
          <w:p w14:paraId="54090E1F"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Height</w:t>
            </w:r>
          </w:p>
        </w:tc>
        <w:tc>
          <w:tcPr>
            <w:tcW w:w="325" w:type="pct"/>
            <w:vAlign w:val="center"/>
            <w:hideMark/>
          </w:tcPr>
          <w:p w14:paraId="7A6FA4A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60" w:type="pct"/>
            <w:vAlign w:val="center"/>
            <w:hideMark/>
          </w:tcPr>
          <w:p w14:paraId="280DBD3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421" w:type="pct"/>
            <w:vAlign w:val="center"/>
            <w:hideMark/>
          </w:tcPr>
          <w:p w14:paraId="3220D9B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30" w:type="pct"/>
            <w:vAlign w:val="center"/>
            <w:hideMark/>
          </w:tcPr>
          <w:p w14:paraId="314C5F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72" w:type="pct"/>
            <w:vAlign w:val="center"/>
            <w:hideMark/>
          </w:tcPr>
          <w:p w14:paraId="59E64F7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455" w:type="pct"/>
            <w:vAlign w:val="center"/>
            <w:hideMark/>
          </w:tcPr>
          <w:p w14:paraId="738313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411" w:type="pct"/>
            <w:vAlign w:val="center"/>
            <w:hideMark/>
          </w:tcPr>
          <w:p w14:paraId="067D86A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411" w:type="pct"/>
            <w:vAlign w:val="center"/>
            <w:hideMark/>
          </w:tcPr>
          <w:p w14:paraId="18A3746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524" w:type="pct"/>
            <w:vAlign w:val="center"/>
            <w:hideMark/>
          </w:tcPr>
          <w:p w14:paraId="51B68F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58" w:type="pct"/>
            <w:vAlign w:val="center"/>
            <w:hideMark/>
          </w:tcPr>
          <w:p w14:paraId="63BB78F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411" w:type="pct"/>
            <w:vAlign w:val="center"/>
            <w:hideMark/>
          </w:tcPr>
          <w:p w14:paraId="2A1D8D9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r>
      <w:tr w:rsidR="00CF6736" w:rsidRPr="00CF6736" w14:paraId="4FB1331C" w14:textId="77777777" w:rsidTr="00CF6736">
        <w:trPr>
          <w:trHeight w:val="182"/>
        </w:trPr>
        <w:tc>
          <w:tcPr>
            <w:tcW w:w="622" w:type="pct"/>
            <w:vAlign w:val="center"/>
            <w:hideMark/>
          </w:tcPr>
          <w:p w14:paraId="3CC767E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100-Pod </w:t>
            </w:r>
          </w:p>
          <w:p w14:paraId="48EA5D3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Weight</w:t>
            </w:r>
          </w:p>
        </w:tc>
        <w:tc>
          <w:tcPr>
            <w:tcW w:w="325" w:type="pct"/>
            <w:vAlign w:val="center"/>
            <w:hideMark/>
          </w:tcPr>
          <w:p w14:paraId="6205E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360" w:type="pct"/>
            <w:vAlign w:val="center"/>
            <w:hideMark/>
          </w:tcPr>
          <w:p w14:paraId="180EB2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21" w:type="pct"/>
            <w:vAlign w:val="center"/>
            <w:hideMark/>
          </w:tcPr>
          <w:p w14:paraId="06E424B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330" w:type="pct"/>
            <w:vAlign w:val="center"/>
            <w:hideMark/>
          </w:tcPr>
          <w:p w14:paraId="796126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372" w:type="pct"/>
            <w:vAlign w:val="center"/>
            <w:hideMark/>
          </w:tcPr>
          <w:p w14:paraId="1EFC6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55" w:type="pct"/>
            <w:vAlign w:val="center"/>
            <w:hideMark/>
          </w:tcPr>
          <w:p w14:paraId="5424499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0F2761A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11" w:type="pct"/>
            <w:vAlign w:val="center"/>
            <w:hideMark/>
          </w:tcPr>
          <w:p w14:paraId="74DAD21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524" w:type="pct"/>
            <w:vAlign w:val="center"/>
            <w:hideMark/>
          </w:tcPr>
          <w:p w14:paraId="09BA5E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358" w:type="pct"/>
            <w:vAlign w:val="center"/>
            <w:hideMark/>
          </w:tcPr>
          <w:p w14:paraId="4DBD8E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11" w:type="pct"/>
            <w:vAlign w:val="center"/>
            <w:hideMark/>
          </w:tcPr>
          <w:p w14:paraId="7C0E67C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r>
      <w:tr w:rsidR="00CF6736" w:rsidRPr="00CF6736" w14:paraId="0CA831A3" w14:textId="77777777" w:rsidTr="00CF6736">
        <w:trPr>
          <w:trHeight w:val="277"/>
        </w:trPr>
        <w:tc>
          <w:tcPr>
            <w:tcW w:w="622" w:type="pct"/>
            <w:vAlign w:val="center"/>
            <w:hideMark/>
          </w:tcPr>
          <w:p w14:paraId="5C029AF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25" w:type="pct"/>
            <w:vAlign w:val="center"/>
            <w:hideMark/>
          </w:tcPr>
          <w:p w14:paraId="6AFF5E0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60" w:type="pct"/>
            <w:vAlign w:val="center"/>
            <w:hideMark/>
          </w:tcPr>
          <w:p w14:paraId="61C809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421" w:type="pct"/>
            <w:vAlign w:val="center"/>
            <w:hideMark/>
          </w:tcPr>
          <w:p w14:paraId="5226A8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30" w:type="pct"/>
            <w:vAlign w:val="center"/>
            <w:hideMark/>
          </w:tcPr>
          <w:p w14:paraId="3010962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72" w:type="pct"/>
            <w:vAlign w:val="center"/>
            <w:hideMark/>
          </w:tcPr>
          <w:p w14:paraId="075C60C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455" w:type="pct"/>
            <w:vAlign w:val="center"/>
            <w:hideMark/>
          </w:tcPr>
          <w:p w14:paraId="7DF8B41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9229A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411" w:type="pct"/>
            <w:vAlign w:val="center"/>
            <w:hideMark/>
          </w:tcPr>
          <w:p w14:paraId="4F9C2AD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524" w:type="pct"/>
            <w:vAlign w:val="center"/>
            <w:hideMark/>
          </w:tcPr>
          <w:p w14:paraId="35252F8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58" w:type="pct"/>
            <w:vAlign w:val="center"/>
            <w:hideMark/>
          </w:tcPr>
          <w:p w14:paraId="6E9E61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411" w:type="pct"/>
            <w:vAlign w:val="center"/>
            <w:hideMark/>
          </w:tcPr>
          <w:p w14:paraId="4D107D6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r>
      <w:tr w:rsidR="00CF6736" w:rsidRPr="00CF6736" w14:paraId="250865AA" w14:textId="77777777" w:rsidTr="00CF6736">
        <w:trPr>
          <w:trHeight w:val="182"/>
        </w:trPr>
        <w:tc>
          <w:tcPr>
            <w:tcW w:w="622" w:type="pct"/>
            <w:vAlign w:val="center"/>
            <w:hideMark/>
          </w:tcPr>
          <w:p w14:paraId="2B8503CC"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w:t>
            </w:r>
          </w:p>
          <w:p w14:paraId="28EF6AD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 %</w:t>
            </w:r>
          </w:p>
        </w:tc>
        <w:tc>
          <w:tcPr>
            <w:tcW w:w="325" w:type="pct"/>
            <w:vAlign w:val="center"/>
            <w:hideMark/>
          </w:tcPr>
          <w:p w14:paraId="03E1DF9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60" w:type="pct"/>
            <w:vAlign w:val="center"/>
            <w:hideMark/>
          </w:tcPr>
          <w:p w14:paraId="0B4B93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421" w:type="pct"/>
            <w:vAlign w:val="center"/>
            <w:hideMark/>
          </w:tcPr>
          <w:p w14:paraId="6D74C10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30" w:type="pct"/>
            <w:vAlign w:val="center"/>
            <w:hideMark/>
          </w:tcPr>
          <w:p w14:paraId="331F1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72" w:type="pct"/>
            <w:vAlign w:val="center"/>
            <w:hideMark/>
          </w:tcPr>
          <w:p w14:paraId="4ACC7C2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55" w:type="pct"/>
            <w:vAlign w:val="center"/>
            <w:hideMark/>
          </w:tcPr>
          <w:p w14:paraId="21C4701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411" w:type="pct"/>
            <w:vAlign w:val="center"/>
            <w:hideMark/>
          </w:tcPr>
          <w:p w14:paraId="080DD0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15176C8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524" w:type="pct"/>
            <w:vAlign w:val="center"/>
            <w:hideMark/>
          </w:tcPr>
          <w:p w14:paraId="3EAC339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58" w:type="pct"/>
            <w:vAlign w:val="center"/>
            <w:hideMark/>
          </w:tcPr>
          <w:p w14:paraId="6F44F8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3FB917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r>
      <w:tr w:rsidR="00CF6736" w:rsidRPr="00CF6736" w14:paraId="67C10415" w14:textId="77777777" w:rsidTr="00CF6736">
        <w:trPr>
          <w:trHeight w:val="277"/>
        </w:trPr>
        <w:tc>
          <w:tcPr>
            <w:tcW w:w="622" w:type="pct"/>
            <w:vAlign w:val="center"/>
            <w:hideMark/>
          </w:tcPr>
          <w:p w14:paraId="4E30DFA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 (days)</w:t>
            </w:r>
          </w:p>
        </w:tc>
        <w:tc>
          <w:tcPr>
            <w:tcW w:w="325" w:type="pct"/>
            <w:vAlign w:val="center"/>
            <w:hideMark/>
          </w:tcPr>
          <w:p w14:paraId="4401130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360" w:type="pct"/>
            <w:vAlign w:val="center"/>
            <w:hideMark/>
          </w:tcPr>
          <w:p w14:paraId="784331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21" w:type="pct"/>
            <w:vAlign w:val="center"/>
            <w:hideMark/>
          </w:tcPr>
          <w:p w14:paraId="44DE66A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330" w:type="pct"/>
            <w:vAlign w:val="center"/>
            <w:hideMark/>
          </w:tcPr>
          <w:p w14:paraId="2313DDC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4C2F99A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55" w:type="pct"/>
            <w:vAlign w:val="center"/>
            <w:hideMark/>
          </w:tcPr>
          <w:p w14:paraId="592628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11" w:type="pct"/>
            <w:vAlign w:val="center"/>
            <w:hideMark/>
          </w:tcPr>
          <w:p w14:paraId="27FD121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11" w:type="pct"/>
            <w:vAlign w:val="center"/>
            <w:hideMark/>
          </w:tcPr>
          <w:p w14:paraId="32AB0DB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524" w:type="pct"/>
            <w:vAlign w:val="center"/>
            <w:hideMark/>
          </w:tcPr>
          <w:p w14:paraId="6738E7E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358" w:type="pct"/>
            <w:vAlign w:val="center"/>
            <w:hideMark/>
          </w:tcPr>
          <w:p w14:paraId="0D25C0B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11" w:type="pct"/>
            <w:vAlign w:val="center"/>
            <w:hideMark/>
          </w:tcPr>
          <w:p w14:paraId="7C5F1BF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r>
      <w:tr w:rsidR="00CF6736" w:rsidRPr="00CF6736" w14:paraId="79323B0F" w14:textId="77777777" w:rsidTr="00CF6736">
        <w:trPr>
          <w:trHeight w:val="96"/>
        </w:trPr>
        <w:tc>
          <w:tcPr>
            <w:tcW w:w="622" w:type="pct"/>
            <w:vAlign w:val="center"/>
            <w:hideMark/>
          </w:tcPr>
          <w:p w14:paraId="72C697B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 (days)</w:t>
            </w:r>
          </w:p>
        </w:tc>
        <w:tc>
          <w:tcPr>
            <w:tcW w:w="325" w:type="pct"/>
            <w:vAlign w:val="center"/>
            <w:hideMark/>
          </w:tcPr>
          <w:p w14:paraId="47B7D5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360" w:type="pct"/>
            <w:vAlign w:val="center"/>
            <w:hideMark/>
          </w:tcPr>
          <w:p w14:paraId="728D015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21" w:type="pct"/>
            <w:vAlign w:val="center"/>
            <w:hideMark/>
          </w:tcPr>
          <w:p w14:paraId="26789E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30" w:type="pct"/>
            <w:vAlign w:val="center"/>
            <w:hideMark/>
          </w:tcPr>
          <w:p w14:paraId="7C71DE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372" w:type="pct"/>
            <w:vAlign w:val="center"/>
            <w:hideMark/>
          </w:tcPr>
          <w:p w14:paraId="3765D9F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55" w:type="pct"/>
            <w:vAlign w:val="center"/>
            <w:hideMark/>
          </w:tcPr>
          <w:p w14:paraId="59679C6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76E782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2A991B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524" w:type="pct"/>
            <w:vAlign w:val="center"/>
            <w:hideMark/>
          </w:tcPr>
          <w:p w14:paraId="4ECF0C8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358" w:type="pct"/>
            <w:vAlign w:val="center"/>
            <w:hideMark/>
          </w:tcPr>
          <w:p w14:paraId="781FB0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2C48BC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r>
      <w:tr w:rsidR="00CF6736" w:rsidRPr="00CF6736" w14:paraId="1BBEB135" w14:textId="77777777" w:rsidTr="00CF6736">
        <w:trPr>
          <w:trHeight w:val="277"/>
        </w:trPr>
        <w:tc>
          <w:tcPr>
            <w:tcW w:w="622" w:type="pct"/>
            <w:vAlign w:val="center"/>
            <w:hideMark/>
          </w:tcPr>
          <w:p w14:paraId="1710A77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 (g)</w:t>
            </w:r>
          </w:p>
        </w:tc>
        <w:tc>
          <w:tcPr>
            <w:tcW w:w="325" w:type="pct"/>
            <w:vAlign w:val="center"/>
            <w:hideMark/>
          </w:tcPr>
          <w:p w14:paraId="74F51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360" w:type="pct"/>
            <w:vAlign w:val="center"/>
            <w:hideMark/>
          </w:tcPr>
          <w:p w14:paraId="7A13235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21" w:type="pct"/>
            <w:vAlign w:val="center"/>
            <w:hideMark/>
          </w:tcPr>
          <w:p w14:paraId="4B40737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330" w:type="pct"/>
            <w:vAlign w:val="center"/>
            <w:hideMark/>
          </w:tcPr>
          <w:p w14:paraId="029962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372" w:type="pct"/>
            <w:vAlign w:val="center"/>
            <w:hideMark/>
          </w:tcPr>
          <w:p w14:paraId="5169BD9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55" w:type="pct"/>
            <w:vAlign w:val="center"/>
            <w:hideMark/>
          </w:tcPr>
          <w:p w14:paraId="609C04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5C76079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370DD94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524" w:type="pct"/>
            <w:vAlign w:val="center"/>
            <w:hideMark/>
          </w:tcPr>
          <w:p w14:paraId="2954BC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358" w:type="pct"/>
            <w:vAlign w:val="center"/>
            <w:hideMark/>
          </w:tcPr>
          <w:p w14:paraId="32BE267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43D69FD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r w:rsidR="00CF6736" w:rsidRPr="00CF6736" w14:paraId="319D1D86" w14:textId="77777777" w:rsidTr="00CF6736">
        <w:trPr>
          <w:trHeight w:val="277"/>
        </w:trPr>
        <w:tc>
          <w:tcPr>
            <w:tcW w:w="622" w:type="pct"/>
            <w:vAlign w:val="center"/>
            <w:hideMark/>
          </w:tcPr>
          <w:p w14:paraId="7DA0F74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 (g)</w:t>
            </w:r>
          </w:p>
        </w:tc>
        <w:tc>
          <w:tcPr>
            <w:tcW w:w="325" w:type="pct"/>
            <w:vAlign w:val="center"/>
            <w:hideMark/>
          </w:tcPr>
          <w:p w14:paraId="233B1B0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360" w:type="pct"/>
            <w:vAlign w:val="center"/>
            <w:hideMark/>
          </w:tcPr>
          <w:p w14:paraId="2D89039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421" w:type="pct"/>
            <w:vAlign w:val="center"/>
            <w:hideMark/>
          </w:tcPr>
          <w:p w14:paraId="7C5C3B4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330" w:type="pct"/>
            <w:vAlign w:val="center"/>
            <w:hideMark/>
          </w:tcPr>
          <w:p w14:paraId="795A26A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72" w:type="pct"/>
            <w:vAlign w:val="center"/>
            <w:hideMark/>
          </w:tcPr>
          <w:p w14:paraId="128A6A4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455" w:type="pct"/>
            <w:vAlign w:val="center"/>
            <w:hideMark/>
          </w:tcPr>
          <w:p w14:paraId="631BFEE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411" w:type="pct"/>
            <w:vAlign w:val="center"/>
            <w:hideMark/>
          </w:tcPr>
          <w:p w14:paraId="440DFCD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411" w:type="pct"/>
            <w:vAlign w:val="center"/>
            <w:hideMark/>
          </w:tcPr>
          <w:p w14:paraId="67A8BA2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524" w:type="pct"/>
            <w:vAlign w:val="center"/>
            <w:hideMark/>
          </w:tcPr>
          <w:p w14:paraId="4EFAA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358" w:type="pct"/>
            <w:vAlign w:val="center"/>
            <w:hideMark/>
          </w:tcPr>
          <w:p w14:paraId="0101C6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-0.107</w:t>
            </w:r>
          </w:p>
        </w:tc>
        <w:tc>
          <w:tcPr>
            <w:tcW w:w="411" w:type="pct"/>
            <w:vAlign w:val="center"/>
            <w:hideMark/>
          </w:tcPr>
          <w:p w14:paraId="3C1FF8E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r>
      <w:tr w:rsidR="00CF6736" w:rsidRPr="00CF6736" w14:paraId="3BA0D293" w14:textId="77777777" w:rsidTr="00CF6736">
        <w:trPr>
          <w:trHeight w:val="182"/>
        </w:trPr>
        <w:tc>
          <w:tcPr>
            <w:tcW w:w="622" w:type="pct"/>
            <w:vAlign w:val="center"/>
            <w:hideMark/>
          </w:tcPr>
          <w:p w14:paraId="73826DE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25" w:type="pct"/>
            <w:vAlign w:val="center"/>
            <w:hideMark/>
          </w:tcPr>
          <w:p w14:paraId="6DC00B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60" w:type="pct"/>
            <w:vAlign w:val="center"/>
            <w:hideMark/>
          </w:tcPr>
          <w:p w14:paraId="7B87A3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421" w:type="pct"/>
            <w:vAlign w:val="center"/>
            <w:hideMark/>
          </w:tcPr>
          <w:p w14:paraId="1D961F1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30" w:type="pct"/>
            <w:vAlign w:val="center"/>
            <w:hideMark/>
          </w:tcPr>
          <w:p w14:paraId="233269C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6010BD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455" w:type="pct"/>
            <w:vAlign w:val="center"/>
            <w:hideMark/>
          </w:tcPr>
          <w:p w14:paraId="7D3A19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411" w:type="pct"/>
            <w:vAlign w:val="center"/>
            <w:hideMark/>
          </w:tcPr>
          <w:p w14:paraId="38E93D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411" w:type="pct"/>
            <w:vAlign w:val="center"/>
            <w:hideMark/>
          </w:tcPr>
          <w:p w14:paraId="66EADB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524" w:type="pct"/>
            <w:vAlign w:val="center"/>
            <w:hideMark/>
          </w:tcPr>
          <w:p w14:paraId="5AF4C8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58" w:type="pct"/>
            <w:vAlign w:val="center"/>
            <w:hideMark/>
          </w:tcPr>
          <w:p w14:paraId="7BC34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411" w:type="pct"/>
            <w:vAlign w:val="center"/>
            <w:hideMark/>
          </w:tcPr>
          <w:p w14:paraId="0D922B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r>
      <w:tr w:rsidR="00CF6736" w:rsidRPr="00CF6736" w14:paraId="147DC18B" w14:textId="77777777" w:rsidTr="00CF6736">
        <w:trPr>
          <w:trHeight w:val="47"/>
        </w:trPr>
        <w:tc>
          <w:tcPr>
            <w:tcW w:w="622" w:type="pct"/>
            <w:vAlign w:val="center"/>
            <w:hideMark/>
          </w:tcPr>
          <w:p w14:paraId="23BB1A62"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Harvest </w:t>
            </w:r>
          </w:p>
          <w:p w14:paraId="5BEFF84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Index</w:t>
            </w:r>
          </w:p>
        </w:tc>
        <w:tc>
          <w:tcPr>
            <w:tcW w:w="325" w:type="pct"/>
            <w:vAlign w:val="center"/>
            <w:hideMark/>
          </w:tcPr>
          <w:p w14:paraId="2015352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360" w:type="pct"/>
            <w:vAlign w:val="center"/>
            <w:hideMark/>
          </w:tcPr>
          <w:p w14:paraId="68A506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21" w:type="pct"/>
            <w:vAlign w:val="center"/>
            <w:hideMark/>
          </w:tcPr>
          <w:p w14:paraId="1DEB44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330" w:type="pct"/>
            <w:vAlign w:val="center"/>
            <w:hideMark/>
          </w:tcPr>
          <w:p w14:paraId="65A7B77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6E35BE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55" w:type="pct"/>
            <w:vAlign w:val="center"/>
            <w:hideMark/>
          </w:tcPr>
          <w:p w14:paraId="1EDBDFC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4254DF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562D6AD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524" w:type="pct"/>
            <w:vAlign w:val="center"/>
            <w:hideMark/>
          </w:tcPr>
          <w:p w14:paraId="276910E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358" w:type="pct"/>
            <w:vAlign w:val="center"/>
            <w:hideMark/>
          </w:tcPr>
          <w:p w14:paraId="04BB24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1A82518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r>
      <w:tr w:rsidR="00CF6736" w:rsidRPr="00CF6736" w14:paraId="0865649A" w14:textId="77777777" w:rsidTr="00CF6736">
        <w:trPr>
          <w:trHeight w:val="47"/>
        </w:trPr>
        <w:tc>
          <w:tcPr>
            <w:tcW w:w="622" w:type="pct"/>
            <w:vAlign w:val="center"/>
            <w:hideMark/>
          </w:tcPr>
          <w:p w14:paraId="3776B8C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 (g)</w:t>
            </w:r>
          </w:p>
        </w:tc>
        <w:tc>
          <w:tcPr>
            <w:tcW w:w="325" w:type="pct"/>
            <w:vAlign w:val="center"/>
            <w:hideMark/>
          </w:tcPr>
          <w:p w14:paraId="609A93F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c>
          <w:tcPr>
            <w:tcW w:w="360" w:type="pct"/>
            <w:vAlign w:val="center"/>
            <w:hideMark/>
          </w:tcPr>
          <w:p w14:paraId="252C1C8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c>
          <w:tcPr>
            <w:tcW w:w="421" w:type="pct"/>
            <w:vAlign w:val="center"/>
            <w:hideMark/>
          </w:tcPr>
          <w:p w14:paraId="284EB1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c>
          <w:tcPr>
            <w:tcW w:w="330" w:type="pct"/>
            <w:vAlign w:val="center"/>
            <w:hideMark/>
          </w:tcPr>
          <w:p w14:paraId="6E0F466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5B0C8A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c>
          <w:tcPr>
            <w:tcW w:w="455" w:type="pct"/>
            <w:vAlign w:val="center"/>
            <w:hideMark/>
          </w:tcPr>
          <w:p w14:paraId="0B369D7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c>
          <w:tcPr>
            <w:tcW w:w="411" w:type="pct"/>
            <w:vAlign w:val="center"/>
            <w:hideMark/>
          </w:tcPr>
          <w:p w14:paraId="4944A0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c>
          <w:tcPr>
            <w:tcW w:w="411" w:type="pct"/>
            <w:vAlign w:val="center"/>
            <w:hideMark/>
          </w:tcPr>
          <w:p w14:paraId="68C56B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c>
          <w:tcPr>
            <w:tcW w:w="524" w:type="pct"/>
            <w:vAlign w:val="center"/>
            <w:hideMark/>
          </w:tcPr>
          <w:p w14:paraId="78B7382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c>
          <w:tcPr>
            <w:tcW w:w="358" w:type="pct"/>
            <w:vAlign w:val="center"/>
            <w:hideMark/>
          </w:tcPr>
          <w:p w14:paraId="27F2C85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411" w:type="pct"/>
            <w:vAlign w:val="center"/>
            <w:hideMark/>
          </w:tcPr>
          <w:p w14:paraId="27FBF7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r>
    </w:tbl>
    <w:p w14:paraId="2B995007" w14:textId="77777777" w:rsidR="00CF6736" w:rsidRDefault="00CF6736" w:rsidP="00D42C71">
      <w:pPr>
        <w:spacing w:before="200" w:line="240" w:lineRule="auto"/>
        <w:jc w:val="center"/>
        <w:rPr>
          <w:rFonts w:ascii="Arial" w:hAnsi="Arial" w:cs="Arial"/>
          <w:b/>
          <w:sz w:val="20"/>
        </w:rPr>
      </w:pPr>
      <w:r w:rsidRPr="00CF6736">
        <w:rPr>
          <w:rFonts w:ascii="Arial" w:hAnsi="Arial" w:cs="Arial"/>
          <w:b/>
          <w:sz w:val="20"/>
        </w:rPr>
        <w:t xml:space="preserve">Table </w:t>
      </w:r>
      <w:r>
        <w:rPr>
          <w:rFonts w:ascii="Arial" w:hAnsi="Arial" w:cs="Arial"/>
          <w:b/>
          <w:sz w:val="20"/>
        </w:rPr>
        <w:t>2</w:t>
      </w:r>
      <w:r w:rsidRPr="00CF6736">
        <w:rPr>
          <w:rFonts w:ascii="Arial" w:hAnsi="Arial" w:cs="Arial"/>
          <w:b/>
          <w:sz w:val="20"/>
        </w:rPr>
        <w:t>: Correlation Coefficients among Traits Genotypic and Phenotypic</w:t>
      </w:r>
    </w:p>
    <w:p w14:paraId="339FF4F6" w14:textId="77777777" w:rsidR="001F5CED" w:rsidRPr="008C5AED" w:rsidRDefault="001F5CED" w:rsidP="001F5CED">
      <w:pPr>
        <w:spacing w:line="240" w:lineRule="auto"/>
        <w:jc w:val="center"/>
        <w:rPr>
          <w:rFonts w:ascii="Arial" w:hAnsi="Arial" w:cs="Arial"/>
          <w:i/>
          <w:sz w:val="18"/>
          <w:szCs w:val="20"/>
        </w:rPr>
      </w:pPr>
      <w:r w:rsidRPr="001F5CED">
        <w:rPr>
          <w:rFonts w:ascii="Arial" w:hAnsi="Arial" w:cs="Arial"/>
          <w:i/>
          <w:sz w:val="18"/>
          <w:szCs w:val="20"/>
          <w:highlight w:val="yellow"/>
        </w:rPr>
        <w:t>* and ** denotes significant at 5% and 1% respectively</w:t>
      </w:r>
    </w:p>
    <w:p w14:paraId="648BA673" w14:textId="77777777" w:rsidR="001F5CED" w:rsidRDefault="001F5CED" w:rsidP="00D42C71">
      <w:pPr>
        <w:spacing w:before="200" w:line="240" w:lineRule="auto"/>
        <w:jc w:val="center"/>
        <w:rPr>
          <w:rFonts w:ascii="Arial" w:hAnsi="Arial" w:cs="Arial"/>
          <w:b/>
          <w:sz w:val="20"/>
        </w:rPr>
        <w:sectPr w:rsidR="001F5CED" w:rsidSect="00CF6736">
          <w:headerReference w:type="even" r:id="rId16"/>
          <w:headerReference w:type="default" r:id="rId17"/>
          <w:headerReference w:type="first" r:id="rId18"/>
          <w:pgSz w:w="16838" w:h="11906" w:orient="landscape" w:code="9"/>
          <w:pgMar w:top="1440" w:right="1440" w:bottom="1440" w:left="1440" w:header="709" w:footer="709" w:gutter="0"/>
          <w:cols w:space="708"/>
          <w:titlePg/>
          <w:docGrid w:linePitch="360"/>
        </w:sectPr>
      </w:pPr>
    </w:p>
    <w:p w14:paraId="7CD8F76E" w14:textId="2C29369C" w:rsidR="005E5B95" w:rsidRPr="005E5B95" w:rsidRDefault="005E5B95" w:rsidP="00A52D20">
      <w:pPr>
        <w:spacing w:before="200" w:line="240" w:lineRule="auto"/>
        <w:jc w:val="both"/>
        <w:rPr>
          <w:rFonts w:ascii="Arial" w:hAnsi="Arial" w:cs="Arial"/>
          <w:b/>
          <w:sz w:val="20"/>
          <w:szCs w:val="20"/>
        </w:rPr>
      </w:pPr>
      <w:r>
        <w:rPr>
          <w:rFonts w:ascii="Arial" w:hAnsi="Arial" w:cs="Arial"/>
          <w:b/>
          <w:sz w:val="20"/>
          <w:szCs w:val="20"/>
        </w:rPr>
        <w:lastRenderedPageBreak/>
        <w:t xml:space="preserve">3.1.5 </w:t>
      </w:r>
      <w:r w:rsidRPr="005E5B95">
        <w:rPr>
          <w:rFonts w:ascii="Arial" w:hAnsi="Arial" w:cs="Arial"/>
          <w:b/>
          <w:sz w:val="20"/>
          <w:szCs w:val="20"/>
        </w:rPr>
        <w:t xml:space="preserve">The genotypic and phenotypic correlations between kernel yield per plant and other traits </w:t>
      </w:r>
    </w:p>
    <w:p w14:paraId="1AB645A6" w14:textId="0344A79D"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genotypic and phenotypic correlations between kernel yield per plant and other traits in groundnut reveal several important relationships</w:t>
      </w:r>
      <w:r w:rsidR="007F38B2">
        <w:rPr>
          <w:rFonts w:ascii="Arial" w:hAnsi="Arial" w:cs="Arial"/>
          <w:sz w:val="20"/>
          <w:szCs w:val="20"/>
        </w:rPr>
        <w:t xml:space="preserve"> (Table 3)</w:t>
      </w:r>
      <w:r w:rsidRPr="00A52D20">
        <w:rPr>
          <w:rFonts w:ascii="Arial" w:hAnsi="Arial" w:cs="Arial"/>
          <w:sz w:val="20"/>
          <w:szCs w:val="20"/>
        </w:rPr>
        <w:t xml:space="preserve">. Plant Height shows a very weak positive correlation with Kernel Yield per Plant (0.097) in both genotypic and phenotypic analyses, suggesting it has minimal influence on the yield. 100-Pod Weight exhibits a strong positive correlation with Kernel Yield per Plant (0.465** genotypic, 0.465** phenotypic), indicating that higher pod weight is associated with greater kernel yield. Similarly, 100-Kernel Weight demonstrates a strong positive correlation with Kernel Yield per Plant (0.667** genotypic, 0.667** phenotypic), reflecting that heavier kernels are likely to result in higher yields. Shelling Percentage also shows a positive correlation with Kernel Yield per Plant (0.646** genotypic, 0.646** phenotypic), suggesting that a higher percentage of mature kernels contributes to improved yield. Days to Maturity correlates positively with Kernel Yield per Plant (0.703**), indicating that a longer maturity period is linked to higher kernel yield. This is further supported by Days to 50% Flowering, which shows a strong positive correlation with Kernel Yield per Plant (0.668** genotypic, 0.668** phenotypic), indicating that earlier flowering could improve the yield. Pod Yield per Plant shows a weaker positive correlation with Kernel Yield per Plant (0.218* genotypic, 0.218* phenotypic), suggesting that while pod yield is important, its direct impact on kernel yield is moderate. The correlation between Biological Yield per Plant and Kernel Yield per Plant is very weak (0.027), indicating that biological yield has little effect on kernel yield in this case. Sound Mature Kernel (%) has a negative correlation with Kernel Yield per Plant (-0.173), which may suggest that a higher percentage of mature kernels could slightly reduce kernel yield, although this relationship is weak. Finally, Harvest Index shows a positive correlation with Kernel Yield per Plant (0.259*), reflecting that an efficient harvest index contributes to higher kernel yields.  </w:t>
      </w:r>
    </w:p>
    <w:p w14:paraId="14FA6CEE" w14:textId="50B81728" w:rsidR="00A52D20" w:rsidRPr="00A52D20" w:rsidRDefault="00A52D20" w:rsidP="00CF6736">
      <w:pPr>
        <w:spacing w:before="200" w:after="100" w:afterAutospacing="1" w:line="240" w:lineRule="auto"/>
        <w:jc w:val="center"/>
        <w:rPr>
          <w:rFonts w:ascii="Arial" w:hAnsi="Arial" w:cs="Arial"/>
          <w:b/>
          <w:sz w:val="20"/>
          <w:szCs w:val="20"/>
        </w:rPr>
      </w:pPr>
      <w:r w:rsidRPr="00A52D20">
        <w:rPr>
          <w:rFonts w:ascii="Arial" w:hAnsi="Arial" w:cs="Arial"/>
          <w:b/>
          <w:sz w:val="20"/>
          <w:szCs w:val="20"/>
        </w:rPr>
        <w:t xml:space="preserve">Table </w:t>
      </w:r>
      <w:r w:rsidR="00CF6736">
        <w:rPr>
          <w:rFonts w:ascii="Arial" w:hAnsi="Arial" w:cs="Arial"/>
          <w:b/>
          <w:sz w:val="20"/>
          <w:szCs w:val="20"/>
        </w:rPr>
        <w:t>3</w:t>
      </w:r>
      <w:r w:rsidRPr="00A52D20">
        <w:rPr>
          <w:rFonts w:ascii="Arial" w:hAnsi="Arial" w:cs="Arial"/>
          <w:b/>
          <w:sz w:val="20"/>
          <w:szCs w:val="20"/>
        </w:rPr>
        <w:t>: Genotypic and Phenotypic Correlation Coefficients Between Dry Pod Yield per Plant and Other Agronomic Traits in Groundnut, (</w:t>
      </w:r>
      <w:r w:rsidRPr="00A52D20">
        <w:rPr>
          <w:rStyle w:val="Emphasis"/>
          <w:rFonts w:ascii="Arial" w:hAnsi="Arial" w:cs="Arial"/>
          <w:b/>
          <w:sz w:val="20"/>
          <w:szCs w:val="20"/>
        </w:rPr>
        <w:t>Arachis hypogaea</w:t>
      </w:r>
      <w:r w:rsidRPr="00A52D20">
        <w:rPr>
          <w:rFonts w:ascii="Arial" w:hAnsi="Arial" w:cs="Arial"/>
          <w:b/>
          <w:sz w:val="20"/>
          <w:szCs w:val="20"/>
        </w:rPr>
        <w:t xml:space="preserve"> L.)</w:t>
      </w:r>
    </w:p>
    <w:tbl>
      <w:tblPr>
        <w:tblStyle w:val="TableGrid"/>
        <w:tblW w:w="8889" w:type="dxa"/>
        <w:jc w:val="center"/>
        <w:tblLook w:val="04A0" w:firstRow="1" w:lastRow="0" w:firstColumn="1" w:lastColumn="0" w:noHBand="0" w:noVBand="1"/>
      </w:tblPr>
      <w:tblGrid>
        <w:gridCol w:w="3084"/>
        <w:gridCol w:w="2850"/>
        <w:gridCol w:w="2955"/>
      </w:tblGrid>
      <w:tr w:rsidR="00A52D20" w:rsidRPr="00CF6736" w14:paraId="6711386B" w14:textId="77777777" w:rsidTr="00CF6736">
        <w:trPr>
          <w:trHeight w:val="254"/>
          <w:jc w:val="center"/>
        </w:trPr>
        <w:tc>
          <w:tcPr>
            <w:tcW w:w="0" w:type="auto"/>
            <w:vAlign w:val="center"/>
            <w:hideMark/>
          </w:tcPr>
          <w:p w14:paraId="6631982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Traits</w:t>
            </w:r>
          </w:p>
        </w:tc>
        <w:tc>
          <w:tcPr>
            <w:tcW w:w="0" w:type="auto"/>
            <w:vAlign w:val="center"/>
            <w:hideMark/>
          </w:tcPr>
          <w:p w14:paraId="17A660F7"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Genotypic Correlation (</w:t>
            </w:r>
            <w:proofErr w:type="spellStart"/>
            <w:r w:rsidRPr="00CF6736">
              <w:rPr>
                <w:rFonts w:ascii="Arial" w:eastAsia="Times New Roman" w:hAnsi="Arial" w:cs="Arial"/>
                <w:b/>
                <w:sz w:val="20"/>
                <w:szCs w:val="20"/>
                <w:lang w:eastAsia="en-IN"/>
              </w:rPr>
              <w:t>rg</w:t>
            </w:r>
            <w:proofErr w:type="spellEnd"/>
            <w:r w:rsidRPr="00CF6736">
              <w:rPr>
                <w:rFonts w:ascii="Arial" w:eastAsia="Times New Roman" w:hAnsi="Arial" w:cs="Arial"/>
                <w:b/>
                <w:sz w:val="20"/>
                <w:szCs w:val="20"/>
                <w:lang w:eastAsia="en-IN"/>
              </w:rPr>
              <w:t>)</w:t>
            </w:r>
          </w:p>
        </w:tc>
        <w:tc>
          <w:tcPr>
            <w:tcW w:w="0" w:type="auto"/>
            <w:vAlign w:val="center"/>
            <w:hideMark/>
          </w:tcPr>
          <w:p w14:paraId="64E2ACEF"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Phenotypic Correlation (</w:t>
            </w:r>
            <w:proofErr w:type="spellStart"/>
            <w:r w:rsidRPr="00CF6736">
              <w:rPr>
                <w:rFonts w:ascii="Arial" w:eastAsia="Times New Roman" w:hAnsi="Arial" w:cs="Arial"/>
                <w:b/>
                <w:sz w:val="20"/>
                <w:szCs w:val="20"/>
                <w:lang w:eastAsia="en-IN"/>
              </w:rPr>
              <w:t>rp</w:t>
            </w:r>
            <w:proofErr w:type="spellEnd"/>
            <w:r w:rsidRPr="00CF6736">
              <w:rPr>
                <w:rFonts w:ascii="Arial" w:eastAsia="Times New Roman" w:hAnsi="Arial" w:cs="Arial"/>
                <w:b/>
                <w:sz w:val="20"/>
                <w:szCs w:val="20"/>
                <w:lang w:eastAsia="en-IN"/>
              </w:rPr>
              <w:t>)</w:t>
            </w:r>
          </w:p>
        </w:tc>
      </w:tr>
      <w:tr w:rsidR="00A52D20" w:rsidRPr="00CF6736" w14:paraId="690AA7F0" w14:textId="77777777" w:rsidTr="00CF6736">
        <w:trPr>
          <w:trHeight w:val="254"/>
          <w:jc w:val="center"/>
        </w:trPr>
        <w:tc>
          <w:tcPr>
            <w:tcW w:w="0" w:type="auto"/>
            <w:vAlign w:val="center"/>
            <w:hideMark/>
          </w:tcPr>
          <w:p w14:paraId="1AAE5AC8"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0" w:type="auto"/>
            <w:vAlign w:val="center"/>
            <w:hideMark/>
          </w:tcPr>
          <w:p w14:paraId="2DDD7270"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0.092</w:t>
            </w:r>
          </w:p>
        </w:tc>
        <w:tc>
          <w:tcPr>
            <w:tcW w:w="0" w:type="auto"/>
            <w:vAlign w:val="center"/>
            <w:hideMark/>
          </w:tcPr>
          <w:p w14:paraId="237C0CFA"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r>
      <w:tr w:rsidR="00A52D20" w:rsidRPr="00CF6736" w14:paraId="4D8E436C" w14:textId="77777777" w:rsidTr="00CF6736">
        <w:trPr>
          <w:trHeight w:val="254"/>
          <w:jc w:val="center"/>
        </w:trPr>
        <w:tc>
          <w:tcPr>
            <w:tcW w:w="0" w:type="auto"/>
            <w:vAlign w:val="center"/>
            <w:hideMark/>
          </w:tcPr>
          <w:p w14:paraId="58D98936"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0" w:type="auto"/>
            <w:vAlign w:val="center"/>
            <w:hideMark/>
          </w:tcPr>
          <w:p w14:paraId="2C71D374"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-0.180</w:t>
            </w:r>
          </w:p>
        </w:tc>
        <w:tc>
          <w:tcPr>
            <w:tcW w:w="0" w:type="auto"/>
            <w:vAlign w:val="center"/>
            <w:hideMark/>
          </w:tcPr>
          <w:p w14:paraId="25C9E62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r>
      <w:tr w:rsidR="00A52D20" w:rsidRPr="00CF6736" w14:paraId="7E546571" w14:textId="77777777" w:rsidTr="00CF6736">
        <w:trPr>
          <w:trHeight w:val="269"/>
          <w:jc w:val="center"/>
        </w:trPr>
        <w:tc>
          <w:tcPr>
            <w:tcW w:w="0" w:type="auto"/>
            <w:vAlign w:val="center"/>
            <w:hideMark/>
          </w:tcPr>
          <w:p w14:paraId="65BD725B"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0" w:type="auto"/>
            <w:vAlign w:val="center"/>
            <w:hideMark/>
          </w:tcPr>
          <w:p w14:paraId="2FD8EB0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0.148</w:t>
            </w:r>
          </w:p>
        </w:tc>
        <w:tc>
          <w:tcPr>
            <w:tcW w:w="0" w:type="auto"/>
            <w:vAlign w:val="center"/>
            <w:hideMark/>
          </w:tcPr>
          <w:p w14:paraId="2FBCF0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r>
      <w:tr w:rsidR="00A52D20" w:rsidRPr="00CF6736" w14:paraId="30D62718" w14:textId="77777777" w:rsidTr="00CF6736">
        <w:trPr>
          <w:trHeight w:val="254"/>
          <w:jc w:val="center"/>
        </w:trPr>
        <w:tc>
          <w:tcPr>
            <w:tcW w:w="0" w:type="auto"/>
            <w:vAlign w:val="center"/>
            <w:hideMark/>
          </w:tcPr>
          <w:p w14:paraId="06C4A9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Percentage (%)</w:t>
            </w:r>
          </w:p>
        </w:tc>
        <w:tc>
          <w:tcPr>
            <w:tcW w:w="0" w:type="auto"/>
            <w:vAlign w:val="center"/>
            <w:hideMark/>
          </w:tcPr>
          <w:p w14:paraId="419D9FD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-0.022</w:t>
            </w:r>
          </w:p>
        </w:tc>
        <w:tc>
          <w:tcPr>
            <w:tcW w:w="0" w:type="auto"/>
            <w:vAlign w:val="center"/>
            <w:hideMark/>
          </w:tcPr>
          <w:p w14:paraId="5709DFA8"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r>
      <w:tr w:rsidR="00A52D20" w:rsidRPr="00CF6736" w14:paraId="497330D0" w14:textId="77777777" w:rsidTr="00CF6736">
        <w:trPr>
          <w:trHeight w:val="254"/>
          <w:jc w:val="center"/>
        </w:trPr>
        <w:tc>
          <w:tcPr>
            <w:tcW w:w="0" w:type="auto"/>
            <w:vAlign w:val="center"/>
            <w:hideMark/>
          </w:tcPr>
          <w:p w14:paraId="22A68F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0" w:type="auto"/>
            <w:vAlign w:val="center"/>
            <w:hideMark/>
          </w:tcPr>
          <w:p w14:paraId="6AD24152"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0" w:type="auto"/>
            <w:vAlign w:val="center"/>
            <w:hideMark/>
          </w:tcPr>
          <w:p w14:paraId="1F20D409"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r>
      <w:tr w:rsidR="00A52D20" w:rsidRPr="00CF6736" w14:paraId="5749E58F" w14:textId="77777777" w:rsidTr="00CF6736">
        <w:trPr>
          <w:trHeight w:val="254"/>
          <w:jc w:val="center"/>
        </w:trPr>
        <w:tc>
          <w:tcPr>
            <w:tcW w:w="0" w:type="auto"/>
            <w:vAlign w:val="center"/>
            <w:hideMark/>
          </w:tcPr>
          <w:p w14:paraId="632489B5"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0" w:type="auto"/>
            <w:vAlign w:val="center"/>
            <w:hideMark/>
          </w:tcPr>
          <w:p w14:paraId="0BC3BF0C"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0.139</w:t>
            </w:r>
          </w:p>
        </w:tc>
        <w:tc>
          <w:tcPr>
            <w:tcW w:w="0" w:type="auto"/>
            <w:vAlign w:val="center"/>
            <w:hideMark/>
          </w:tcPr>
          <w:p w14:paraId="6F84DE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r>
      <w:tr w:rsidR="00A52D20" w:rsidRPr="00CF6736" w14:paraId="678CF637" w14:textId="77777777" w:rsidTr="00CF6736">
        <w:trPr>
          <w:trHeight w:val="254"/>
          <w:jc w:val="center"/>
        </w:trPr>
        <w:tc>
          <w:tcPr>
            <w:tcW w:w="0" w:type="auto"/>
            <w:vAlign w:val="center"/>
            <w:hideMark/>
          </w:tcPr>
          <w:p w14:paraId="48F895DC"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 per Plant (g)</w:t>
            </w:r>
          </w:p>
        </w:tc>
        <w:tc>
          <w:tcPr>
            <w:tcW w:w="0" w:type="auto"/>
            <w:vAlign w:val="center"/>
            <w:hideMark/>
          </w:tcPr>
          <w:p w14:paraId="0399FCE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0.512**</w:t>
            </w:r>
          </w:p>
        </w:tc>
        <w:tc>
          <w:tcPr>
            <w:tcW w:w="0" w:type="auto"/>
            <w:vAlign w:val="center"/>
            <w:hideMark/>
          </w:tcPr>
          <w:p w14:paraId="4587030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r>
      <w:tr w:rsidR="00A52D20" w:rsidRPr="00CF6736" w14:paraId="065A8225" w14:textId="77777777" w:rsidTr="00CF6736">
        <w:trPr>
          <w:trHeight w:val="254"/>
          <w:jc w:val="center"/>
        </w:trPr>
        <w:tc>
          <w:tcPr>
            <w:tcW w:w="0" w:type="auto"/>
            <w:vAlign w:val="center"/>
            <w:hideMark/>
          </w:tcPr>
          <w:p w14:paraId="25CE9CC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0" w:type="auto"/>
            <w:vAlign w:val="center"/>
            <w:hideMark/>
          </w:tcPr>
          <w:p w14:paraId="026187B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0.073</w:t>
            </w:r>
          </w:p>
        </w:tc>
        <w:tc>
          <w:tcPr>
            <w:tcW w:w="0" w:type="auto"/>
            <w:vAlign w:val="center"/>
            <w:hideMark/>
          </w:tcPr>
          <w:p w14:paraId="72A02FE6"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r>
      <w:tr w:rsidR="00A52D20" w:rsidRPr="00CF6736" w14:paraId="24E3642D" w14:textId="77777777" w:rsidTr="00CF6736">
        <w:trPr>
          <w:trHeight w:val="254"/>
          <w:jc w:val="center"/>
        </w:trPr>
        <w:tc>
          <w:tcPr>
            <w:tcW w:w="0" w:type="auto"/>
            <w:vAlign w:val="center"/>
            <w:hideMark/>
          </w:tcPr>
          <w:p w14:paraId="593F8C1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 (%)</w:t>
            </w:r>
          </w:p>
        </w:tc>
        <w:tc>
          <w:tcPr>
            <w:tcW w:w="0" w:type="auto"/>
            <w:vAlign w:val="center"/>
            <w:hideMark/>
          </w:tcPr>
          <w:p w14:paraId="75EE7FEF"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0.679**</w:t>
            </w:r>
          </w:p>
        </w:tc>
        <w:tc>
          <w:tcPr>
            <w:tcW w:w="0" w:type="auto"/>
            <w:vAlign w:val="center"/>
            <w:hideMark/>
          </w:tcPr>
          <w:p w14:paraId="59AEE06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r>
      <w:tr w:rsidR="00A52D20" w:rsidRPr="00CF6736" w14:paraId="7143615D" w14:textId="77777777" w:rsidTr="00CF6736">
        <w:trPr>
          <w:trHeight w:val="269"/>
          <w:jc w:val="center"/>
        </w:trPr>
        <w:tc>
          <w:tcPr>
            <w:tcW w:w="0" w:type="auto"/>
            <w:vAlign w:val="center"/>
            <w:hideMark/>
          </w:tcPr>
          <w:p w14:paraId="4286D1E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 per Plant (g)</w:t>
            </w:r>
          </w:p>
        </w:tc>
        <w:tc>
          <w:tcPr>
            <w:tcW w:w="0" w:type="auto"/>
            <w:vAlign w:val="center"/>
            <w:hideMark/>
          </w:tcPr>
          <w:p w14:paraId="492ECC8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0.243*</w:t>
            </w:r>
          </w:p>
        </w:tc>
        <w:tc>
          <w:tcPr>
            <w:tcW w:w="0" w:type="auto"/>
            <w:vAlign w:val="center"/>
            <w:hideMark/>
          </w:tcPr>
          <w:p w14:paraId="23683EF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bl>
    <w:p w14:paraId="52ABDCF7" w14:textId="77777777" w:rsidR="001F5CED" w:rsidRPr="008C5AED" w:rsidRDefault="001F5CED" w:rsidP="001F5CED">
      <w:pPr>
        <w:spacing w:line="240" w:lineRule="auto"/>
        <w:jc w:val="center"/>
        <w:rPr>
          <w:rFonts w:ascii="Arial" w:hAnsi="Arial" w:cs="Arial"/>
          <w:i/>
          <w:sz w:val="18"/>
          <w:szCs w:val="20"/>
        </w:rPr>
      </w:pPr>
      <w:r w:rsidRPr="001F5CED">
        <w:rPr>
          <w:rFonts w:ascii="Arial" w:hAnsi="Arial" w:cs="Arial"/>
          <w:i/>
          <w:sz w:val="18"/>
          <w:szCs w:val="20"/>
          <w:highlight w:val="yellow"/>
        </w:rPr>
        <w:t>* and ** denotes significant at 5% and 1% respectively</w:t>
      </w:r>
    </w:p>
    <w:p w14:paraId="7929B0CD" w14:textId="128B38EF" w:rsidR="005E5B95" w:rsidRDefault="00A52D20" w:rsidP="005E5B95">
      <w:pPr>
        <w:spacing w:before="200" w:after="0" w:line="240" w:lineRule="auto"/>
        <w:ind w:firstLine="720"/>
        <w:jc w:val="both"/>
        <w:rPr>
          <w:rFonts w:ascii="Arial" w:hAnsi="Arial" w:cs="Arial"/>
          <w:sz w:val="20"/>
          <w:szCs w:val="20"/>
        </w:rPr>
      </w:pPr>
      <w:r w:rsidRPr="00A52D20">
        <w:rPr>
          <w:rFonts w:ascii="Arial" w:hAnsi="Arial" w:cs="Arial"/>
          <w:sz w:val="20"/>
          <w:szCs w:val="20"/>
        </w:rPr>
        <w:t>The genotypic correlation between Plant Height and other traits is positive but weak, with values of 0.092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0.069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slight positive relationship between plant height and these traits. 100-Pod Weight shows a negative correlation with a genotypic value of -0.180 and phenotypic value of -0.220, suggesting that as pod weight increases, the plant height tends to decrease, though the relationship is weak. The correlation between 100-Kernel Weight and other traits is positive (0.148 for genotypic, 0.122 for phenotypic), indicating a slight positive relationship. For Shelling Percentage (%), both genotypic (-0.022) and phenotypic (-0.008) correlations are very low, signifying that there is almost no direct relationship between shelling percentage and the other traits. Days to Maturity show a weak positive correlation with a genotypic value of 0.105 and phenotypic value of 0.090, implying a minimal influence of maturity time on the other traits. There is a slightly stronger positive correlation between Days to 50% Flowering and other traits, with a genotypic value of 0.139 and phenotypic value of 0.125. This indicates that as the number of days to 50% flowering increases, there is a modest positive effect on the other traits. Biological Yield per Plant (g) shows a strong positive correlation (0.512** genotypically and 0.446** phenotypically), suggesting that higher biological yields are significantly associated with better performance in other traits. The correlation between Sound Mature Kernel (%) and other traits is weak (0.073 for genotypic and 0.059 for phenotypic), indicating a negligible effect on other traits. The Harvest Index (%) demonstrates a strong positive correlation (0.679** genotypically and 0.617** phenotypically), highlighting its significant impact on other yield-related traits. Finally, Kernel Yield per Plant (g) shows </w:t>
      </w:r>
      <w:r w:rsidRPr="00A52D20">
        <w:rPr>
          <w:rFonts w:ascii="Arial" w:hAnsi="Arial" w:cs="Arial"/>
          <w:sz w:val="20"/>
          <w:szCs w:val="20"/>
        </w:rPr>
        <w:lastRenderedPageBreak/>
        <w:t>a positive correlation with values of 0.243* for genotypic and 0.218* for phenotypic correlation, indicating that an increase in kernel yield is positively associated with other traits, though the correlation is moderate. These correlations collectively provide valuable insights into the interrelationships between various traits affecting groundnut yield and quality.</w:t>
      </w:r>
    </w:p>
    <w:p w14:paraId="752571D3" w14:textId="7CAF5460" w:rsidR="00A52D20" w:rsidRPr="00A52D20" w:rsidRDefault="00A52D20" w:rsidP="005E5B95">
      <w:pPr>
        <w:spacing w:before="200" w:after="0" w:line="240" w:lineRule="auto"/>
        <w:ind w:firstLine="720"/>
        <w:jc w:val="center"/>
        <w:rPr>
          <w:rFonts w:ascii="Arial" w:hAnsi="Arial" w:cs="Arial"/>
          <w:b/>
          <w:sz w:val="20"/>
          <w:szCs w:val="20"/>
        </w:rPr>
      </w:pPr>
      <w:r w:rsidRPr="00A52D20">
        <w:rPr>
          <w:rFonts w:ascii="Arial" w:hAnsi="Arial" w:cs="Arial"/>
          <w:b/>
          <w:sz w:val="20"/>
          <w:szCs w:val="20"/>
        </w:rPr>
        <w:t>Table 4: Genotypic and Phenotypic Correlation Analysis between Kernel Yield per Plant and Other Agronomic Traits in Groundnut</w:t>
      </w:r>
    </w:p>
    <w:tbl>
      <w:tblPr>
        <w:tblStyle w:val="TableGrid"/>
        <w:tblW w:w="8708" w:type="dxa"/>
        <w:jc w:val="center"/>
        <w:tblLook w:val="04A0" w:firstRow="1" w:lastRow="0" w:firstColumn="1" w:lastColumn="0" w:noHBand="0" w:noVBand="1"/>
      </w:tblPr>
      <w:tblGrid>
        <w:gridCol w:w="2868"/>
        <w:gridCol w:w="2867"/>
        <w:gridCol w:w="2973"/>
      </w:tblGrid>
      <w:tr w:rsidR="00A52D20" w:rsidRPr="007F38B2" w14:paraId="5A72F897" w14:textId="77777777" w:rsidTr="007F38B2">
        <w:trPr>
          <w:trHeight w:val="180"/>
          <w:jc w:val="center"/>
        </w:trPr>
        <w:tc>
          <w:tcPr>
            <w:tcW w:w="0" w:type="auto"/>
            <w:vAlign w:val="center"/>
            <w:hideMark/>
          </w:tcPr>
          <w:p w14:paraId="388CA988"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Characters</w:t>
            </w:r>
          </w:p>
        </w:tc>
        <w:tc>
          <w:tcPr>
            <w:tcW w:w="0" w:type="auto"/>
            <w:vAlign w:val="center"/>
            <w:hideMark/>
          </w:tcPr>
          <w:p w14:paraId="0750A63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Genotypic Correlation (</w:t>
            </w:r>
            <w:proofErr w:type="spellStart"/>
            <w:r w:rsidRPr="007F38B2">
              <w:rPr>
                <w:rFonts w:ascii="Arial" w:eastAsia="Times New Roman" w:hAnsi="Arial" w:cs="Arial"/>
                <w:b/>
                <w:sz w:val="20"/>
                <w:lang w:eastAsia="en-IN"/>
              </w:rPr>
              <w:t>rg</w:t>
            </w:r>
            <w:proofErr w:type="spellEnd"/>
            <w:r w:rsidRPr="007F38B2">
              <w:rPr>
                <w:rFonts w:ascii="Arial" w:eastAsia="Times New Roman" w:hAnsi="Arial" w:cs="Arial"/>
                <w:b/>
                <w:sz w:val="20"/>
                <w:lang w:eastAsia="en-IN"/>
              </w:rPr>
              <w:t>)</w:t>
            </w:r>
          </w:p>
        </w:tc>
        <w:tc>
          <w:tcPr>
            <w:tcW w:w="0" w:type="auto"/>
            <w:vAlign w:val="center"/>
            <w:hideMark/>
          </w:tcPr>
          <w:p w14:paraId="3C065837"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Phenotypic Correlation (</w:t>
            </w:r>
            <w:proofErr w:type="spellStart"/>
            <w:r w:rsidRPr="007F38B2">
              <w:rPr>
                <w:rFonts w:ascii="Arial" w:eastAsia="Times New Roman" w:hAnsi="Arial" w:cs="Arial"/>
                <w:b/>
                <w:sz w:val="20"/>
                <w:lang w:eastAsia="en-IN"/>
              </w:rPr>
              <w:t>rp</w:t>
            </w:r>
            <w:proofErr w:type="spellEnd"/>
            <w:r w:rsidRPr="007F38B2">
              <w:rPr>
                <w:rFonts w:ascii="Arial" w:eastAsia="Times New Roman" w:hAnsi="Arial" w:cs="Arial"/>
                <w:b/>
                <w:sz w:val="20"/>
                <w:lang w:eastAsia="en-IN"/>
              </w:rPr>
              <w:t>)</w:t>
            </w:r>
          </w:p>
        </w:tc>
      </w:tr>
      <w:tr w:rsidR="00A52D20" w:rsidRPr="007F38B2" w14:paraId="501CEAC1" w14:textId="77777777" w:rsidTr="007F38B2">
        <w:trPr>
          <w:trHeight w:val="240"/>
          <w:jc w:val="center"/>
        </w:trPr>
        <w:tc>
          <w:tcPr>
            <w:tcW w:w="0" w:type="auto"/>
            <w:vAlign w:val="center"/>
            <w:hideMark/>
          </w:tcPr>
          <w:p w14:paraId="07B7A50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Plant Height</w:t>
            </w:r>
          </w:p>
        </w:tc>
        <w:tc>
          <w:tcPr>
            <w:tcW w:w="0" w:type="auto"/>
            <w:vAlign w:val="center"/>
            <w:hideMark/>
          </w:tcPr>
          <w:p w14:paraId="2B43C8A7"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0.101</w:t>
            </w:r>
          </w:p>
        </w:tc>
        <w:tc>
          <w:tcPr>
            <w:tcW w:w="0" w:type="auto"/>
            <w:vAlign w:val="center"/>
            <w:hideMark/>
          </w:tcPr>
          <w:p w14:paraId="62757BD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0.097</w:t>
            </w:r>
          </w:p>
        </w:tc>
      </w:tr>
      <w:tr w:rsidR="00A52D20" w:rsidRPr="007F38B2" w14:paraId="5344B08B" w14:textId="77777777" w:rsidTr="007F38B2">
        <w:trPr>
          <w:trHeight w:val="240"/>
          <w:jc w:val="center"/>
        </w:trPr>
        <w:tc>
          <w:tcPr>
            <w:tcW w:w="0" w:type="auto"/>
            <w:vAlign w:val="center"/>
            <w:hideMark/>
          </w:tcPr>
          <w:p w14:paraId="0066CD6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100-Pod Weight</w:t>
            </w:r>
          </w:p>
        </w:tc>
        <w:tc>
          <w:tcPr>
            <w:tcW w:w="0" w:type="auto"/>
            <w:vAlign w:val="center"/>
            <w:hideMark/>
          </w:tcPr>
          <w:p w14:paraId="02E383E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0.462**</w:t>
            </w:r>
          </w:p>
        </w:tc>
        <w:tc>
          <w:tcPr>
            <w:tcW w:w="0" w:type="auto"/>
            <w:vAlign w:val="center"/>
            <w:hideMark/>
          </w:tcPr>
          <w:p w14:paraId="6D46E1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0.465**</w:t>
            </w:r>
          </w:p>
        </w:tc>
      </w:tr>
      <w:tr w:rsidR="00A52D20" w:rsidRPr="007F38B2" w14:paraId="48306FD0" w14:textId="77777777" w:rsidTr="007F38B2">
        <w:trPr>
          <w:trHeight w:val="240"/>
          <w:jc w:val="center"/>
        </w:trPr>
        <w:tc>
          <w:tcPr>
            <w:tcW w:w="0" w:type="auto"/>
            <w:vAlign w:val="center"/>
            <w:hideMark/>
          </w:tcPr>
          <w:p w14:paraId="0D359725"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100-Kernel Weight</w:t>
            </w:r>
          </w:p>
        </w:tc>
        <w:tc>
          <w:tcPr>
            <w:tcW w:w="0" w:type="auto"/>
            <w:vAlign w:val="center"/>
            <w:hideMark/>
          </w:tcPr>
          <w:p w14:paraId="5BF4275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0.669**</w:t>
            </w:r>
          </w:p>
        </w:tc>
        <w:tc>
          <w:tcPr>
            <w:tcW w:w="0" w:type="auto"/>
            <w:vAlign w:val="center"/>
            <w:hideMark/>
          </w:tcPr>
          <w:p w14:paraId="4095A6E5"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0.667**</w:t>
            </w:r>
          </w:p>
        </w:tc>
      </w:tr>
      <w:tr w:rsidR="00A52D20" w:rsidRPr="007F38B2" w14:paraId="4651DBD8" w14:textId="77777777" w:rsidTr="007F38B2">
        <w:trPr>
          <w:trHeight w:val="240"/>
          <w:jc w:val="center"/>
        </w:trPr>
        <w:tc>
          <w:tcPr>
            <w:tcW w:w="0" w:type="auto"/>
            <w:vAlign w:val="center"/>
            <w:hideMark/>
          </w:tcPr>
          <w:p w14:paraId="053E697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Shelling Percentage</w:t>
            </w:r>
          </w:p>
        </w:tc>
        <w:tc>
          <w:tcPr>
            <w:tcW w:w="0" w:type="auto"/>
            <w:vAlign w:val="center"/>
            <w:hideMark/>
          </w:tcPr>
          <w:p w14:paraId="46619B9A"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0.651**</w:t>
            </w:r>
          </w:p>
        </w:tc>
        <w:tc>
          <w:tcPr>
            <w:tcW w:w="0" w:type="auto"/>
            <w:vAlign w:val="center"/>
            <w:hideMark/>
          </w:tcPr>
          <w:p w14:paraId="299B4FD1"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0.646**</w:t>
            </w:r>
          </w:p>
        </w:tc>
      </w:tr>
      <w:tr w:rsidR="00A52D20" w:rsidRPr="007F38B2" w14:paraId="11CB3953" w14:textId="77777777" w:rsidTr="007F38B2">
        <w:trPr>
          <w:trHeight w:val="240"/>
          <w:jc w:val="center"/>
        </w:trPr>
        <w:tc>
          <w:tcPr>
            <w:tcW w:w="0" w:type="auto"/>
            <w:vAlign w:val="center"/>
            <w:hideMark/>
          </w:tcPr>
          <w:p w14:paraId="4D6BBBE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Maturity</w:t>
            </w:r>
          </w:p>
        </w:tc>
        <w:tc>
          <w:tcPr>
            <w:tcW w:w="0" w:type="auto"/>
            <w:vAlign w:val="center"/>
            <w:hideMark/>
          </w:tcPr>
          <w:p w14:paraId="3915070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0.692**</w:t>
            </w:r>
          </w:p>
        </w:tc>
        <w:tc>
          <w:tcPr>
            <w:tcW w:w="0" w:type="auto"/>
            <w:vAlign w:val="center"/>
            <w:hideMark/>
          </w:tcPr>
          <w:p w14:paraId="76BB7D8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0.703**</w:t>
            </w:r>
          </w:p>
        </w:tc>
      </w:tr>
      <w:tr w:rsidR="00A52D20" w:rsidRPr="007F38B2" w14:paraId="337A3B93" w14:textId="77777777" w:rsidTr="007F38B2">
        <w:trPr>
          <w:trHeight w:val="240"/>
          <w:jc w:val="center"/>
        </w:trPr>
        <w:tc>
          <w:tcPr>
            <w:tcW w:w="0" w:type="auto"/>
            <w:vAlign w:val="center"/>
            <w:hideMark/>
          </w:tcPr>
          <w:p w14:paraId="3C62EF1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50% Flowering</w:t>
            </w:r>
          </w:p>
        </w:tc>
        <w:tc>
          <w:tcPr>
            <w:tcW w:w="0" w:type="auto"/>
            <w:vAlign w:val="center"/>
            <w:hideMark/>
          </w:tcPr>
          <w:p w14:paraId="3A7BC35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0.658**</w:t>
            </w:r>
          </w:p>
        </w:tc>
        <w:tc>
          <w:tcPr>
            <w:tcW w:w="0" w:type="auto"/>
            <w:vAlign w:val="center"/>
            <w:hideMark/>
          </w:tcPr>
          <w:p w14:paraId="3902977C"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0.668**</w:t>
            </w:r>
          </w:p>
        </w:tc>
      </w:tr>
      <w:tr w:rsidR="00A52D20" w:rsidRPr="007F38B2" w14:paraId="5ECA0649" w14:textId="77777777" w:rsidTr="007F38B2">
        <w:trPr>
          <w:trHeight w:val="240"/>
          <w:jc w:val="center"/>
        </w:trPr>
        <w:tc>
          <w:tcPr>
            <w:tcW w:w="0" w:type="auto"/>
            <w:vAlign w:val="center"/>
            <w:hideMark/>
          </w:tcPr>
          <w:p w14:paraId="734C53D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Pod Yield per Plant</w:t>
            </w:r>
          </w:p>
        </w:tc>
        <w:tc>
          <w:tcPr>
            <w:tcW w:w="0" w:type="auto"/>
            <w:vAlign w:val="center"/>
            <w:hideMark/>
          </w:tcPr>
          <w:p w14:paraId="523925F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0.241*</w:t>
            </w:r>
          </w:p>
        </w:tc>
        <w:tc>
          <w:tcPr>
            <w:tcW w:w="0" w:type="auto"/>
            <w:vAlign w:val="center"/>
            <w:hideMark/>
          </w:tcPr>
          <w:p w14:paraId="75732E7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0.218*</w:t>
            </w:r>
          </w:p>
        </w:tc>
      </w:tr>
      <w:tr w:rsidR="00A52D20" w:rsidRPr="007F38B2" w14:paraId="134B7706" w14:textId="77777777" w:rsidTr="007F38B2">
        <w:trPr>
          <w:trHeight w:val="223"/>
          <w:jc w:val="center"/>
        </w:trPr>
        <w:tc>
          <w:tcPr>
            <w:tcW w:w="0" w:type="auto"/>
            <w:vAlign w:val="center"/>
            <w:hideMark/>
          </w:tcPr>
          <w:p w14:paraId="075FF8F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Biological Yield per Plant</w:t>
            </w:r>
          </w:p>
        </w:tc>
        <w:tc>
          <w:tcPr>
            <w:tcW w:w="0" w:type="auto"/>
            <w:vAlign w:val="center"/>
            <w:hideMark/>
          </w:tcPr>
          <w:p w14:paraId="07DEB21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0.032</w:t>
            </w:r>
          </w:p>
        </w:tc>
        <w:tc>
          <w:tcPr>
            <w:tcW w:w="0" w:type="auto"/>
            <w:vAlign w:val="center"/>
            <w:hideMark/>
          </w:tcPr>
          <w:p w14:paraId="0561C83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0.027</w:t>
            </w:r>
          </w:p>
        </w:tc>
      </w:tr>
      <w:tr w:rsidR="00A52D20" w:rsidRPr="007F38B2" w14:paraId="54F15856" w14:textId="77777777" w:rsidTr="007F38B2">
        <w:trPr>
          <w:trHeight w:val="251"/>
          <w:jc w:val="center"/>
        </w:trPr>
        <w:tc>
          <w:tcPr>
            <w:tcW w:w="0" w:type="auto"/>
            <w:vAlign w:val="center"/>
            <w:hideMark/>
          </w:tcPr>
          <w:p w14:paraId="5121D0C2"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Sound Mature Kernels (%)</w:t>
            </w:r>
          </w:p>
        </w:tc>
        <w:tc>
          <w:tcPr>
            <w:tcW w:w="0" w:type="auto"/>
            <w:vAlign w:val="center"/>
            <w:hideMark/>
          </w:tcPr>
          <w:p w14:paraId="1952896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-0.153</w:t>
            </w:r>
          </w:p>
        </w:tc>
        <w:tc>
          <w:tcPr>
            <w:tcW w:w="0" w:type="auto"/>
            <w:vAlign w:val="center"/>
            <w:hideMark/>
          </w:tcPr>
          <w:p w14:paraId="0E6F0A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-0.173</w:t>
            </w:r>
          </w:p>
        </w:tc>
      </w:tr>
      <w:tr w:rsidR="00A52D20" w:rsidRPr="007F38B2" w14:paraId="6F27572F" w14:textId="77777777" w:rsidTr="007F38B2">
        <w:trPr>
          <w:trHeight w:val="54"/>
          <w:jc w:val="center"/>
        </w:trPr>
        <w:tc>
          <w:tcPr>
            <w:tcW w:w="0" w:type="auto"/>
            <w:vAlign w:val="center"/>
            <w:hideMark/>
          </w:tcPr>
          <w:p w14:paraId="49D6C4A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Harvest Index (%)</w:t>
            </w:r>
          </w:p>
        </w:tc>
        <w:tc>
          <w:tcPr>
            <w:tcW w:w="0" w:type="auto"/>
            <w:vAlign w:val="center"/>
            <w:hideMark/>
          </w:tcPr>
          <w:p w14:paraId="4F439D66"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0.254*</w:t>
            </w:r>
          </w:p>
        </w:tc>
        <w:tc>
          <w:tcPr>
            <w:tcW w:w="0" w:type="auto"/>
            <w:vAlign w:val="center"/>
            <w:hideMark/>
          </w:tcPr>
          <w:p w14:paraId="6FFA449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0.259*</w:t>
            </w:r>
          </w:p>
        </w:tc>
      </w:tr>
    </w:tbl>
    <w:p w14:paraId="185A8F99" w14:textId="77777777" w:rsidR="001F5CED" w:rsidRPr="008C5AED" w:rsidRDefault="001F5CED" w:rsidP="001F5CED">
      <w:pPr>
        <w:spacing w:line="240" w:lineRule="auto"/>
        <w:jc w:val="center"/>
        <w:rPr>
          <w:rFonts w:ascii="Arial" w:hAnsi="Arial" w:cs="Arial"/>
          <w:i/>
          <w:sz w:val="18"/>
          <w:szCs w:val="20"/>
        </w:rPr>
      </w:pPr>
      <w:r w:rsidRPr="001F5CED">
        <w:rPr>
          <w:rFonts w:ascii="Arial" w:hAnsi="Arial" w:cs="Arial"/>
          <w:i/>
          <w:sz w:val="18"/>
          <w:szCs w:val="20"/>
          <w:highlight w:val="yellow"/>
        </w:rPr>
        <w:t>* and ** denotes significant at 5% and 1% respectively</w:t>
      </w:r>
    </w:p>
    <w:p w14:paraId="1D2D13A3" w14:textId="3A32D896"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In Table 4, the genotypic and phenotypic correlation coefficients between Kernel Yield per Plant and various other traits in groundnut are shown. Plant Height shows a weak positive correlation with Kernel Yield per Plant, with values of 0.101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0.097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minimal association between these two traits. 100-Pod Weight demonstrates a stronger positive correlation, with genotypic (0.462**) and phenotypic (0.465**) values being highly significant at the 1% level, suggesting that an increase in pod weight is positively associated with an increase in kernel yield. 100-Kernel Weight has a strong positive correlation with Kernel Yield per Plant, with genotypic (0.669**) and phenotypic (0.667**) values both significant at the 1% level, implying that as kernel weight increases, kernel yield per plant also increases significantly. Similarly, Shelling Percentage shows a strong positive correlation (0.651** for genotypic and 0.646** for phenotypic), indicating a notable association between a higher percentage of sound kernels and an increase in kernel yield per plant. The correlation between Days to Maturity and Kernel Yield per Plant is also positive and significant, with genotypic (0.692**) and phenotypic (0.703**) values, suggesting that longer days to maturity are positively associated with kernel yield. Days to 50% Flowering also shows a positive correlation (0.658** for genotypic and 0.668** for phenotypic), reflecting a strong relationship between flowering time and kernel yield. Pod Yield per Plant shows a moderate positive correlation with Kernel Yield per Plant, with genotypic (0.241*) and phenotypic (0.218*) values significant at the 5% level. However, Biological Yield per Plant does not show a significant correlation, with values of 0.032 for genotypic and 0.027 for phenotypic, indicating a negligible effect on kernel yield. The correlation between Sound Mature Kernels (%) and Kernel Yield per Plant is negative, with values of -0.153 for genotypic and -0.173 for phenotypic, though the correlation is weak and not significant. Finally, Harvest Index (%) shows a moderate positive correlation (0.254* for genotypic and 0.259* for phenotypic), indicating that a higher harvest index is positively associated with increased kernel yield per plant. These results suggest that traits like 100-pod weight, 100-kernel weight, shelling percentage, and days to maturity have the most significant positive correlations with kernel yield per plant, while other traits, such as </w:t>
      </w:r>
      <w:r w:rsidRPr="001C21BB">
        <w:rPr>
          <w:rFonts w:ascii="Arial" w:hAnsi="Arial" w:cs="Arial"/>
          <w:sz w:val="20"/>
          <w:szCs w:val="20"/>
        </w:rPr>
        <w:t>biological yield and sound mature kernels, have weaker or negligible effects.</w:t>
      </w:r>
      <w:r w:rsidR="001C21BB" w:rsidRPr="001C21BB">
        <w:rPr>
          <w:rFonts w:ascii="Arial" w:hAnsi="Arial" w:cs="Arial"/>
          <w:sz w:val="20"/>
          <w:szCs w:val="20"/>
        </w:rPr>
        <w:t xml:space="preserve"> Present results are in accordance with the find</w:t>
      </w:r>
      <w:r w:rsidR="001C21BB" w:rsidRPr="001D3FED">
        <w:rPr>
          <w:rFonts w:ascii="Arial" w:hAnsi="Arial" w:cs="Arial"/>
          <w:sz w:val="20"/>
          <w:szCs w:val="20"/>
          <w:highlight w:val="yellow"/>
        </w:rPr>
        <w:t xml:space="preserve">ings of Sridevi </w:t>
      </w:r>
      <w:r w:rsidR="001C21BB" w:rsidRPr="001D3FED">
        <w:rPr>
          <w:rFonts w:ascii="Arial" w:hAnsi="Arial" w:cs="Arial"/>
          <w:i/>
          <w:iCs/>
          <w:sz w:val="20"/>
          <w:szCs w:val="20"/>
          <w:highlight w:val="yellow"/>
        </w:rPr>
        <w:t>et al.</w:t>
      </w:r>
      <w:r w:rsidR="001C21BB" w:rsidRPr="001D3FED">
        <w:rPr>
          <w:rFonts w:ascii="Arial" w:hAnsi="Arial" w:cs="Arial"/>
          <w:sz w:val="20"/>
          <w:szCs w:val="20"/>
          <w:highlight w:val="yellow"/>
        </w:rPr>
        <w:t xml:space="preserve"> (2022), Al</w:t>
      </w:r>
      <w:r w:rsidR="001C21BB" w:rsidRPr="001D3FED">
        <w:rPr>
          <w:rFonts w:ascii="Arial" w:hAnsi="Arial" w:cs="Arial"/>
          <w:spacing w:val="-5"/>
          <w:sz w:val="20"/>
          <w:szCs w:val="20"/>
          <w:highlight w:val="yellow"/>
        </w:rPr>
        <w:t xml:space="preserve"> </w:t>
      </w:r>
      <w:r w:rsidR="001C21BB" w:rsidRPr="001D3FED">
        <w:rPr>
          <w:rFonts w:ascii="Arial" w:hAnsi="Arial" w:cs="Arial"/>
          <w:sz w:val="20"/>
          <w:szCs w:val="20"/>
          <w:highlight w:val="yellow"/>
        </w:rPr>
        <w:t>Mamun</w:t>
      </w:r>
      <w:r w:rsidR="001C21BB" w:rsidRPr="001D3FED">
        <w:rPr>
          <w:rFonts w:ascii="Arial" w:hAnsi="Arial" w:cs="Arial"/>
          <w:spacing w:val="-2"/>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i/>
          <w:spacing w:val="3"/>
          <w:sz w:val="20"/>
          <w:szCs w:val="20"/>
          <w:highlight w:val="yellow"/>
        </w:rPr>
        <w:t xml:space="preserve"> </w:t>
      </w:r>
      <w:r w:rsidR="001C21BB" w:rsidRPr="001D3FED">
        <w:rPr>
          <w:rFonts w:ascii="Arial" w:hAnsi="Arial" w:cs="Arial"/>
          <w:sz w:val="20"/>
          <w:szCs w:val="20"/>
          <w:highlight w:val="yellow"/>
        </w:rPr>
        <w:t>(2022), Lothe &amp;</w:t>
      </w:r>
      <w:r w:rsidR="001C21BB" w:rsidRPr="001D3FED">
        <w:rPr>
          <w:rFonts w:ascii="Arial" w:hAnsi="Arial" w:cs="Arial"/>
          <w:spacing w:val="-3"/>
          <w:sz w:val="20"/>
          <w:szCs w:val="20"/>
          <w:highlight w:val="yellow"/>
        </w:rPr>
        <w:t xml:space="preserve"> </w:t>
      </w:r>
      <w:r w:rsidR="001C21BB" w:rsidRPr="001D3FED">
        <w:rPr>
          <w:rFonts w:ascii="Arial" w:hAnsi="Arial" w:cs="Arial"/>
          <w:sz w:val="20"/>
          <w:szCs w:val="20"/>
          <w:highlight w:val="yellow"/>
        </w:rPr>
        <w:t>More,</w:t>
      </w:r>
      <w:r w:rsidR="001C21BB" w:rsidRPr="001D3FED">
        <w:rPr>
          <w:rFonts w:ascii="Arial" w:hAnsi="Arial" w:cs="Arial"/>
          <w:spacing w:val="-1"/>
          <w:sz w:val="20"/>
          <w:szCs w:val="20"/>
          <w:highlight w:val="yellow"/>
        </w:rPr>
        <w:t xml:space="preserve"> </w:t>
      </w:r>
      <w:r w:rsidR="001C21BB" w:rsidRPr="001D3FED">
        <w:rPr>
          <w:rFonts w:ascii="Arial" w:hAnsi="Arial" w:cs="Arial"/>
          <w:sz w:val="20"/>
          <w:szCs w:val="20"/>
          <w:highlight w:val="yellow"/>
        </w:rPr>
        <w:t xml:space="preserve">(2022) and </w:t>
      </w:r>
      <w:proofErr w:type="spellStart"/>
      <w:r w:rsidR="001C21BB" w:rsidRPr="001D3FED">
        <w:rPr>
          <w:rFonts w:ascii="Arial" w:hAnsi="Arial" w:cs="Arial"/>
          <w:sz w:val="20"/>
          <w:szCs w:val="20"/>
          <w:highlight w:val="yellow"/>
        </w:rPr>
        <w:t>Amolic</w:t>
      </w:r>
      <w:proofErr w:type="spellEnd"/>
      <w:r w:rsidR="001C21BB" w:rsidRPr="001D3FED">
        <w:rPr>
          <w:rFonts w:ascii="Arial" w:hAnsi="Arial" w:cs="Arial"/>
          <w:spacing w:val="-1"/>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i/>
          <w:spacing w:val="3"/>
          <w:sz w:val="20"/>
          <w:szCs w:val="20"/>
          <w:highlight w:val="yellow"/>
        </w:rPr>
        <w:t xml:space="preserve"> </w:t>
      </w:r>
      <w:r w:rsidR="001C21BB" w:rsidRPr="001D3FED">
        <w:rPr>
          <w:rFonts w:ascii="Arial" w:hAnsi="Arial" w:cs="Arial"/>
          <w:sz w:val="20"/>
          <w:szCs w:val="20"/>
          <w:highlight w:val="yellow"/>
        </w:rPr>
        <w:t>(2019).</w:t>
      </w:r>
    </w:p>
    <w:p w14:paraId="2E5B12F2" w14:textId="538ACE6F" w:rsidR="00A52D20" w:rsidRPr="00A52D20" w:rsidRDefault="005E5B95" w:rsidP="00A52D20">
      <w:pPr>
        <w:spacing w:before="200" w:after="100" w:afterAutospacing="1" w:line="240" w:lineRule="auto"/>
        <w:jc w:val="both"/>
        <w:rPr>
          <w:rFonts w:ascii="Arial" w:hAnsi="Arial" w:cs="Arial"/>
          <w:b/>
          <w:sz w:val="20"/>
          <w:szCs w:val="20"/>
        </w:rPr>
      </w:pPr>
      <w:r>
        <w:rPr>
          <w:rFonts w:ascii="Arial" w:hAnsi="Arial" w:cs="Arial"/>
          <w:b/>
          <w:sz w:val="20"/>
          <w:szCs w:val="20"/>
        </w:rPr>
        <w:t>3.2</w:t>
      </w:r>
      <w:r w:rsidR="00A52D20" w:rsidRPr="00A52D20">
        <w:rPr>
          <w:rFonts w:ascii="Arial" w:hAnsi="Arial" w:cs="Arial"/>
          <w:b/>
          <w:sz w:val="20"/>
          <w:szCs w:val="20"/>
        </w:rPr>
        <w:t xml:space="preserve"> P</w:t>
      </w:r>
      <w:r w:rsidRPr="00A52D20">
        <w:rPr>
          <w:rFonts w:ascii="Arial" w:hAnsi="Arial" w:cs="Arial"/>
          <w:b/>
          <w:sz w:val="20"/>
          <w:szCs w:val="20"/>
        </w:rPr>
        <w:t>ath coefficient analysis</w:t>
      </w:r>
    </w:p>
    <w:p w14:paraId="76F2A1FB" w14:textId="0FEED77E" w:rsidR="00A52D20" w:rsidRPr="00A52D20" w:rsidRDefault="00A52D20" w:rsidP="00A52D20">
      <w:pPr>
        <w:spacing w:before="200" w:line="240" w:lineRule="auto"/>
        <w:jc w:val="both"/>
        <w:rPr>
          <w:rFonts w:ascii="Arial" w:hAnsi="Arial" w:cs="Arial"/>
          <w:b/>
          <w:sz w:val="20"/>
          <w:szCs w:val="20"/>
        </w:rPr>
      </w:pPr>
      <w:r w:rsidRPr="00A52D20">
        <w:rPr>
          <w:rFonts w:ascii="Arial" w:hAnsi="Arial" w:cs="Arial"/>
          <w:sz w:val="20"/>
          <w:szCs w:val="20"/>
        </w:rPr>
        <w:t>Path coefficient analysis is a statistical technique that allows partitioning of correlation coefficients into direct and indirect effects of various traits on a specific dependent variable</w:t>
      </w:r>
      <w:r w:rsidR="005A1F4E">
        <w:rPr>
          <w:rFonts w:ascii="Arial" w:hAnsi="Arial" w:cs="Arial"/>
          <w:sz w:val="20"/>
          <w:szCs w:val="20"/>
        </w:rPr>
        <w:t xml:space="preserve"> (</w:t>
      </w:r>
      <w:r w:rsidR="005A1F4E" w:rsidRPr="005A1F4E">
        <w:rPr>
          <w:rFonts w:ascii="Arial" w:hAnsi="Arial" w:cs="Arial"/>
          <w:sz w:val="20"/>
          <w:szCs w:val="20"/>
          <w:highlight w:val="yellow"/>
        </w:rPr>
        <w:t>Santhoshini et al.</w:t>
      </w:r>
      <w:r w:rsidR="005A1F4E">
        <w:rPr>
          <w:rFonts w:ascii="Arial" w:hAnsi="Arial" w:cs="Arial"/>
          <w:sz w:val="20"/>
          <w:szCs w:val="20"/>
          <w:highlight w:val="yellow"/>
        </w:rPr>
        <w:t>,</w:t>
      </w:r>
      <w:r w:rsidR="005A1F4E" w:rsidRPr="005A1F4E">
        <w:rPr>
          <w:rFonts w:ascii="Arial" w:hAnsi="Arial" w:cs="Arial"/>
          <w:sz w:val="20"/>
          <w:szCs w:val="20"/>
          <w:highlight w:val="yellow"/>
        </w:rPr>
        <w:t xml:space="preserve"> 2023)</w:t>
      </w:r>
      <w:r w:rsidRPr="005A1F4E">
        <w:rPr>
          <w:rFonts w:ascii="Arial" w:hAnsi="Arial" w:cs="Arial"/>
          <w:sz w:val="20"/>
          <w:szCs w:val="20"/>
          <w:highlight w:val="yellow"/>
        </w:rPr>
        <w:t>.</w:t>
      </w:r>
      <w:r w:rsidRPr="00A52D20">
        <w:rPr>
          <w:rFonts w:ascii="Arial" w:hAnsi="Arial" w:cs="Arial"/>
          <w:sz w:val="20"/>
          <w:szCs w:val="20"/>
        </w:rPr>
        <w:t xml:space="preserve"> In this study, the analysis was carried out to understand the magnitude and direction of direct and indirect effects of different yield and yield-contributing traits on </w:t>
      </w:r>
      <w:r w:rsidRPr="005E5B95">
        <w:rPr>
          <w:rStyle w:val="Strong"/>
          <w:rFonts w:ascii="Arial" w:hAnsi="Arial" w:cs="Arial"/>
          <w:b w:val="0"/>
          <w:sz w:val="20"/>
          <w:szCs w:val="20"/>
        </w:rPr>
        <w:t>kernel yield per plant</w:t>
      </w:r>
      <w:r w:rsidRPr="00A52D20">
        <w:rPr>
          <w:rFonts w:ascii="Arial" w:hAnsi="Arial" w:cs="Arial"/>
          <w:sz w:val="20"/>
          <w:szCs w:val="20"/>
        </w:rPr>
        <w:t xml:space="preserve"> in groundnut. While simple correlation reveals the strength of association between traits, it does not distinguish between the cause and effect relationship. Therefore, path analysis was employed to identify the most influential traits that contribute directly to kernel yield and those that exert influence indirectly through other associated characters. This information is crucial for formulating effective selection strategies in groundnut improvement programs.</w:t>
      </w:r>
    </w:p>
    <w:p w14:paraId="553D12BE" w14:textId="5731AEEF" w:rsidR="00A52D20" w:rsidRPr="00A52D20" w:rsidRDefault="005E5B95" w:rsidP="00A52D20">
      <w:pPr>
        <w:pStyle w:val="Heading3"/>
        <w:spacing w:before="200" w:beforeAutospacing="0"/>
        <w:jc w:val="both"/>
        <w:rPr>
          <w:rFonts w:ascii="Arial" w:hAnsi="Arial" w:cs="Arial"/>
          <w:sz w:val="20"/>
          <w:szCs w:val="20"/>
        </w:rPr>
      </w:pPr>
      <w:r>
        <w:rPr>
          <w:rStyle w:val="Strong"/>
          <w:rFonts w:ascii="Arial" w:hAnsi="Arial" w:cs="Arial"/>
          <w:b/>
          <w:bCs/>
          <w:sz w:val="20"/>
          <w:szCs w:val="20"/>
        </w:rPr>
        <w:lastRenderedPageBreak/>
        <w:t>3.2</w:t>
      </w:r>
      <w:r w:rsidR="00A52D20" w:rsidRPr="00A52D20">
        <w:rPr>
          <w:rStyle w:val="Strong"/>
          <w:rFonts w:ascii="Arial" w:hAnsi="Arial" w:cs="Arial"/>
          <w:b/>
          <w:bCs/>
          <w:sz w:val="20"/>
          <w:szCs w:val="20"/>
        </w:rPr>
        <w:t xml:space="preserve">.1 </w:t>
      </w:r>
      <w:r w:rsidR="00A52D20" w:rsidRPr="00A52D20">
        <w:rPr>
          <w:rFonts w:ascii="Arial" w:hAnsi="Arial" w:cs="Arial"/>
          <w:sz w:val="20"/>
          <w:szCs w:val="20"/>
        </w:rPr>
        <w:t xml:space="preserve">Path Coefficient Analysis of Dry Pod Yield per Plant and Its Contributing Agronomic Traits </w:t>
      </w:r>
    </w:p>
    <w:p w14:paraId="0E1B0AA1" w14:textId="1678B8E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t xml:space="preserve">Path coefficient analysis was carried out to partition the correlation coefficients into direct and indirect effects of different yield-contributing characters on dry pod yield per plant in groundnut. The results are presented in Table </w:t>
      </w:r>
      <w:r w:rsidR="007F38B2">
        <w:rPr>
          <w:rFonts w:ascii="Arial" w:hAnsi="Arial" w:cs="Arial"/>
          <w:sz w:val="20"/>
          <w:szCs w:val="20"/>
        </w:rPr>
        <w:t>5</w:t>
      </w:r>
      <w:r w:rsidRPr="00A52D20">
        <w:rPr>
          <w:rFonts w:ascii="Arial" w:hAnsi="Arial" w:cs="Arial"/>
          <w:sz w:val="20"/>
          <w:szCs w:val="20"/>
        </w:rPr>
        <w:t>, where the diagonal values represent direct effects, and the off-diagonal values indicate indirect effects through other traits.</w:t>
      </w:r>
      <w:r w:rsidR="005E5B95">
        <w:rPr>
          <w:rFonts w:ascii="Arial" w:hAnsi="Arial" w:cs="Arial"/>
          <w:sz w:val="20"/>
          <w:szCs w:val="20"/>
        </w:rPr>
        <w:t xml:space="preserve"> </w:t>
      </w:r>
      <w:r w:rsidRPr="00A52D20">
        <w:rPr>
          <w:rFonts w:ascii="Arial" w:hAnsi="Arial" w:cs="Arial"/>
          <w:sz w:val="20"/>
          <w:szCs w:val="20"/>
        </w:rPr>
        <w:t>The analysis revealed that kernel yield per plant exhibited the highest positive direct effect (64.32) on dry pod yield per plant, suggesting it is the most important trait for selection in yield improvement programs. This was followed by pod yield per plant (31.63), harvest index (20.11), and biological yield per plant (7.67), all showing substantial positive direct effects.</w:t>
      </w:r>
    </w:p>
    <w:p w14:paraId="71EB2F16" w14:textId="3D74D8C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t>Indirect effects also played a significant role. Notably, 100-kernel weight and shelling percentage had strong positive indirect effects on dry pod yield via kernel yield and biological yield. Similarly, days to maturity and plant height exhibited substantial indirect contributions through their influence on pod yield and kernel yield, although their direct effects were relatively low.</w:t>
      </w:r>
      <w:r w:rsidR="005E5B95">
        <w:rPr>
          <w:rFonts w:ascii="Arial" w:hAnsi="Arial" w:cs="Arial"/>
          <w:sz w:val="20"/>
          <w:szCs w:val="20"/>
        </w:rPr>
        <w:t xml:space="preserve"> </w:t>
      </w:r>
      <w:r w:rsidRPr="00A52D20">
        <w:rPr>
          <w:rFonts w:ascii="Arial" w:hAnsi="Arial" w:cs="Arial"/>
          <w:sz w:val="20"/>
          <w:szCs w:val="20"/>
        </w:rPr>
        <w:t>Interestingly, sound mature kernel (%) and days to 50% flowering showed negligible or minimal direct effects on dry pod yield per plant. However, their indirect effects, particularly via kernel yield per plant and biological yield, were noteworthy and should not be ignored in a comprehensive breeding approach. The findings suggest that improvement in dry pod yield per plant can be achieved by selecting for traits like kernel yield per plant, pod yield per plant, harvest index, and biological yield per plant, as they exhibit high direct and/or substantial indirect effects.</w:t>
      </w:r>
    </w:p>
    <w:p w14:paraId="3C69146F" w14:textId="45850C64" w:rsidR="005E5B95" w:rsidRPr="00A52D20" w:rsidRDefault="005E5B95" w:rsidP="007F38B2">
      <w:pPr>
        <w:spacing w:line="240" w:lineRule="auto"/>
        <w:ind w:firstLine="720"/>
        <w:jc w:val="both"/>
        <w:rPr>
          <w:rFonts w:ascii="Arial" w:hAnsi="Arial" w:cs="Arial"/>
          <w:sz w:val="20"/>
          <w:szCs w:val="20"/>
        </w:rPr>
      </w:pPr>
      <w:r w:rsidRPr="007F38B2">
        <w:rPr>
          <w:rFonts w:ascii="Arial" w:hAnsi="Arial" w:cs="Arial"/>
          <w:sz w:val="20"/>
          <w:szCs w:val="20"/>
        </w:rPr>
        <w:t>The path coefficient analysis reveals that plant height has a low direct positive effect (0.61) on dry pod yield per plant. However, its significant indirect effects through days to 50% flowering (34.88), days to maturity (33.67), and shelling percentage (21.46) suggest that this trait influences yield more by modifying developmental timing and reproductive efficiency than by its own contribution.</w:t>
      </w:r>
      <w:r w:rsidR="007F38B2" w:rsidRPr="007F38B2">
        <w:rPr>
          <w:rFonts w:ascii="Arial" w:hAnsi="Arial" w:cs="Arial"/>
          <w:sz w:val="20"/>
          <w:szCs w:val="20"/>
        </w:rPr>
        <w:t xml:space="preserve"> </w:t>
      </w:r>
      <w:r w:rsidRPr="007F38B2">
        <w:rPr>
          <w:rFonts w:ascii="Arial" w:hAnsi="Arial" w:cs="Arial"/>
          <w:sz w:val="20"/>
          <w:szCs w:val="20"/>
        </w:rPr>
        <w:t>The trait 100-pod weight</w:t>
      </w:r>
      <w:r w:rsidRPr="00A52D20">
        <w:rPr>
          <w:rFonts w:ascii="Arial" w:hAnsi="Arial" w:cs="Arial"/>
          <w:sz w:val="20"/>
          <w:szCs w:val="20"/>
        </w:rPr>
        <w:t xml:space="preserve"> demonstrates a moderate to high direct effect (14.26) on pod yield, alongside strong indirect effects via pod yield per plant (43.69) and harvest index (17.23). This indicates that selecting for heavier pods can lead to substantial improvements in overall yield, making it a critical trait for yield enhancement.</w:t>
      </w:r>
    </w:p>
    <w:p w14:paraId="4098DDE8" w14:textId="5A37E26E" w:rsidR="005E5B95" w:rsidRPr="00A52D20" w:rsidRDefault="005E5B95" w:rsidP="007F38B2">
      <w:pPr>
        <w:spacing w:line="240" w:lineRule="auto"/>
        <w:ind w:firstLine="720"/>
        <w:jc w:val="both"/>
        <w:rPr>
          <w:rFonts w:ascii="Arial" w:hAnsi="Arial" w:cs="Arial"/>
          <w:sz w:val="20"/>
          <w:szCs w:val="20"/>
        </w:rPr>
      </w:pPr>
      <w:r w:rsidRPr="00A52D20">
        <w:rPr>
          <w:rFonts w:ascii="Arial" w:hAnsi="Arial" w:cs="Arial"/>
          <w:sz w:val="20"/>
          <w:szCs w:val="20"/>
        </w:rPr>
        <w:t>100-kernel weight shows a moderate direct effect (3.48) but contributes significantly to pod yield indirectly through biological yield per plant (21.55) and harvest index (32.07). This suggests that kernel weight enhances dry pod yield primarily by improving the plant’s biomass efficiency and partitioning of resources.</w:t>
      </w:r>
      <w:r w:rsidR="007F38B2">
        <w:rPr>
          <w:rFonts w:ascii="Arial" w:hAnsi="Arial" w:cs="Arial"/>
          <w:sz w:val="20"/>
          <w:szCs w:val="20"/>
        </w:rPr>
        <w:t xml:space="preserve"> </w:t>
      </w:r>
      <w:r w:rsidRPr="00A52D20">
        <w:rPr>
          <w:rFonts w:ascii="Arial" w:hAnsi="Arial" w:cs="Arial"/>
          <w:sz w:val="20"/>
          <w:szCs w:val="20"/>
        </w:rPr>
        <w:t>Shelling percentage exerts a low direct influence (1.11), but its indirect effects are substantial, especially through biological yield (34.38) and sound mature kernel percentage (35.18). This implies that shelling percentage indirectly improves pod yield by contributing to better kernel development and pod filling.</w:t>
      </w:r>
    </w:p>
    <w:p w14:paraId="3BEF4337" w14:textId="77777777" w:rsidR="007F38B2" w:rsidRDefault="005E5B95" w:rsidP="007F38B2">
      <w:pPr>
        <w:spacing w:line="240" w:lineRule="auto"/>
        <w:ind w:firstLine="720"/>
        <w:jc w:val="both"/>
        <w:rPr>
          <w:rFonts w:ascii="Arial" w:hAnsi="Arial" w:cs="Arial"/>
          <w:color w:val="FFFFFF" w:themeColor="background1"/>
          <w:sz w:val="20"/>
          <w:szCs w:val="20"/>
        </w:rPr>
      </w:pPr>
      <w:r w:rsidRPr="00A52D20">
        <w:rPr>
          <w:rFonts w:ascii="Arial" w:hAnsi="Arial" w:cs="Arial"/>
          <w:sz w:val="20"/>
          <w:szCs w:val="20"/>
        </w:rPr>
        <w:t>The trait days to maturity has a very low direct effect (1.61) but large indirect contributions, particularly through sound mature kernel percentage (39.14), indicating that timely maturity aids in developing well-filled pods and better-quality kernels.</w:t>
      </w:r>
      <w:r w:rsidR="009B0279">
        <w:rPr>
          <w:rFonts w:ascii="Arial" w:hAnsi="Arial" w:cs="Arial"/>
          <w:sz w:val="20"/>
          <w:szCs w:val="20"/>
        </w:rPr>
        <w:t xml:space="preserve"> </w:t>
      </w:r>
      <w:r w:rsidRPr="00A52D20">
        <w:rPr>
          <w:rFonts w:ascii="Arial" w:hAnsi="Arial" w:cs="Arial"/>
          <w:sz w:val="20"/>
          <w:szCs w:val="20"/>
        </w:rPr>
        <w:t>Days to 50% flowering shows minimal direct effect (0.40) but strong indirect impact through sound mature kernels (50.96) and 100-pod weight (20.62). Early or synchronized flowering indirectly improves dry pod yield by ensuring better kernel development and reproductive success.</w:t>
      </w:r>
      <w:r w:rsidR="007F38B2">
        <w:rPr>
          <w:rFonts w:ascii="Arial" w:hAnsi="Arial" w:cs="Arial"/>
          <w:sz w:val="20"/>
          <w:szCs w:val="20"/>
        </w:rPr>
        <w:t xml:space="preserve"> </w:t>
      </w:r>
      <w:r w:rsidRPr="00A52D20">
        <w:rPr>
          <w:rFonts w:ascii="Arial" w:hAnsi="Arial" w:cs="Arial"/>
          <w:sz w:val="20"/>
          <w:szCs w:val="20"/>
        </w:rPr>
        <w:t>Pod yield per plant has a strong direct effect (31.63), validating it as the primary determinant of dry pod yield. It also mediates indirect effects from traits like 100-kernel weight (37.79) and biological yield (14.47), reinforcing its importance in breeding programs.</w:t>
      </w:r>
      <w:r w:rsidR="009B0279">
        <w:rPr>
          <w:rFonts w:ascii="Arial" w:hAnsi="Arial" w:cs="Arial"/>
          <w:sz w:val="20"/>
          <w:szCs w:val="20"/>
        </w:rPr>
        <w:t xml:space="preserve"> </w:t>
      </w:r>
      <w:r w:rsidRPr="00A52D20">
        <w:rPr>
          <w:rFonts w:ascii="Arial" w:hAnsi="Arial" w:cs="Arial"/>
          <w:sz w:val="20"/>
          <w:szCs w:val="20"/>
        </w:rPr>
        <w:t>Biological yield per plant has a low direct effect (7.67), but it significantly contributes indirectly through kernel weight (28.68) and days to maturity (34.18). This indicates that higher biomass supports better kernel and pod development.</w:t>
      </w:r>
      <w:r w:rsidRPr="00A52D20">
        <w:rPr>
          <w:rFonts w:ascii="Arial" w:hAnsi="Arial" w:cs="Arial"/>
          <w:color w:val="FFFFFF" w:themeColor="background1"/>
          <w:sz w:val="20"/>
          <w:szCs w:val="20"/>
        </w:rPr>
        <w:t>”</w:t>
      </w:r>
    </w:p>
    <w:p w14:paraId="2F066D79" w14:textId="5C89EE6C" w:rsidR="001C21BB" w:rsidRPr="001C21BB" w:rsidRDefault="005E5B95" w:rsidP="001C21BB">
      <w:pPr>
        <w:spacing w:line="240" w:lineRule="auto"/>
        <w:ind w:firstLine="720"/>
        <w:jc w:val="both"/>
        <w:rPr>
          <w:rFonts w:ascii="Arial" w:hAnsi="Arial" w:cs="Arial"/>
          <w:color w:val="000000"/>
          <w:sz w:val="20"/>
          <w:szCs w:val="20"/>
        </w:rPr>
      </w:pPr>
      <w:r w:rsidRPr="00A52D20">
        <w:rPr>
          <w:rFonts w:ascii="Arial" w:hAnsi="Arial" w:cs="Arial"/>
          <w:sz w:val="20"/>
          <w:szCs w:val="20"/>
        </w:rPr>
        <w:t>Sound mature kernel percentage exerts a negligible direct influence (0.14) but has strong indirect effects via days to 50% flowering (50.96) and shelling percentage (35.18). This underscores its role in determining kernel quality, thereby indirectly affecting yield.</w:t>
      </w:r>
      <w:r w:rsidR="009B0279">
        <w:rPr>
          <w:rFonts w:ascii="Arial" w:hAnsi="Arial" w:cs="Arial"/>
          <w:sz w:val="20"/>
          <w:szCs w:val="20"/>
        </w:rPr>
        <w:t xml:space="preserve"> </w:t>
      </w:r>
      <w:r w:rsidRPr="00A52D20">
        <w:rPr>
          <w:rFonts w:ascii="Arial" w:hAnsi="Arial" w:cs="Arial"/>
          <w:sz w:val="20"/>
          <w:szCs w:val="20"/>
        </w:rPr>
        <w:t xml:space="preserve">Finally, harvest index shows a substantial direct effect (20.11) and strong indirect impacts via kernel weight (13.77) and 100-pod weight (10.74). A higher harvest index implies better resource allocation to pods and kernels, making it </w:t>
      </w:r>
      <w:r w:rsidRPr="001D3FED">
        <w:rPr>
          <w:rFonts w:ascii="Arial" w:hAnsi="Arial" w:cs="Arial"/>
          <w:sz w:val="20"/>
          <w:szCs w:val="20"/>
          <w:highlight w:val="yellow"/>
        </w:rPr>
        <w:t>a crucial trait for improving dry pod yield</w:t>
      </w:r>
      <w:r w:rsidRPr="001D3FED">
        <w:rPr>
          <w:rFonts w:ascii="Arial" w:hAnsi="Arial" w:cs="Arial"/>
          <w:sz w:val="20"/>
          <w:szCs w:val="20"/>
          <w:highlight w:val="yellow"/>
          <w:lang w:eastAsia="en-IN"/>
        </w:rPr>
        <w:t>.</w:t>
      </w:r>
      <w:r w:rsidR="001C21BB" w:rsidRPr="001D3FED">
        <w:rPr>
          <w:rFonts w:ascii="Arial" w:hAnsi="Arial" w:cs="Arial"/>
          <w:sz w:val="20"/>
          <w:szCs w:val="20"/>
          <w:highlight w:val="yellow"/>
          <w:lang w:eastAsia="en-IN"/>
        </w:rPr>
        <w:t xml:space="preserve"> </w:t>
      </w:r>
      <w:r w:rsidR="001C21BB" w:rsidRPr="001D3FED">
        <w:rPr>
          <w:rFonts w:ascii="Arial" w:hAnsi="Arial" w:cs="Arial"/>
          <w:sz w:val="20"/>
          <w:szCs w:val="20"/>
          <w:highlight w:val="yellow"/>
        </w:rPr>
        <w:t xml:space="preserve">Present results are in accordance with the findings of </w:t>
      </w:r>
      <w:proofErr w:type="spellStart"/>
      <w:r w:rsidR="001C21BB" w:rsidRPr="001D3FED">
        <w:rPr>
          <w:rFonts w:ascii="Arial" w:hAnsi="Arial" w:cs="Arial"/>
          <w:sz w:val="20"/>
          <w:szCs w:val="20"/>
          <w:highlight w:val="yellow"/>
        </w:rPr>
        <w:t>Akkareddy</w:t>
      </w:r>
      <w:proofErr w:type="spellEnd"/>
      <w:r w:rsidR="001C21BB" w:rsidRPr="001D3FED">
        <w:rPr>
          <w:rFonts w:ascii="Arial" w:hAnsi="Arial" w:cs="Arial"/>
          <w:spacing w:val="-4"/>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sz w:val="20"/>
          <w:szCs w:val="20"/>
          <w:highlight w:val="yellow"/>
        </w:rPr>
        <w:t>.,</w:t>
      </w:r>
      <w:r w:rsidR="001C21BB" w:rsidRPr="001D3FED">
        <w:rPr>
          <w:rFonts w:ascii="Arial" w:hAnsi="Arial" w:cs="Arial"/>
          <w:spacing w:val="2"/>
          <w:sz w:val="20"/>
          <w:szCs w:val="20"/>
          <w:highlight w:val="yellow"/>
        </w:rPr>
        <w:t xml:space="preserve"> </w:t>
      </w:r>
      <w:r w:rsidR="001C21BB" w:rsidRPr="001D3FED">
        <w:rPr>
          <w:rFonts w:ascii="Arial" w:hAnsi="Arial" w:cs="Arial"/>
          <w:sz w:val="20"/>
          <w:szCs w:val="20"/>
          <w:highlight w:val="yellow"/>
        </w:rPr>
        <w:t>(2023), Pachauri</w:t>
      </w:r>
      <w:r w:rsidR="001C21BB" w:rsidRPr="001D3FED">
        <w:rPr>
          <w:rFonts w:ascii="Arial" w:hAnsi="Arial" w:cs="Arial"/>
          <w:spacing w:val="-7"/>
          <w:sz w:val="20"/>
          <w:szCs w:val="20"/>
          <w:highlight w:val="yellow"/>
        </w:rPr>
        <w:t xml:space="preserve"> </w:t>
      </w:r>
      <w:r w:rsidR="001C21BB" w:rsidRPr="001D3FED">
        <w:rPr>
          <w:rFonts w:ascii="Arial" w:hAnsi="Arial" w:cs="Arial"/>
          <w:sz w:val="20"/>
          <w:szCs w:val="20"/>
          <w:highlight w:val="yellow"/>
        </w:rPr>
        <w:t>&amp;</w:t>
      </w:r>
      <w:r w:rsidR="001C21BB" w:rsidRPr="001D3FED">
        <w:rPr>
          <w:rFonts w:ascii="Arial" w:hAnsi="Arial" w:cs="Arial"/>
          <w:spacing w:val="-6"/>
          <w:sz w:val="20"/>
          <w:szCs w:val="20"/>
          <w:highlight w:val="yellow"/>
        </w:rPr>
        <w:t xml:space="preserve"> </w:t>
      </w:r>
      <w:r w:rsidR="001C21BB" w:rsidRPr="001D3FED">
        <w:rPr>
          <w:rFonts w:ascii="Arial" w:hAnsi="Arial" w:cs="Arial"/>
          <w:sz w:val="20"/>
          <w:szCs w:val="20"/>
          <w:highlight w:val="yellow"/>
        </w:rPr>
        <w:t xml:space="preserve">Sikarwar., (2022), </w:t>
      </w:r>
      <w:proofErr w:type="spellStart"/>
      <w:r w:rsidR="001C21BB" w:rsidRPr="001D3FED">
        <w:rPr>
          <w:rFonts w:ascii="Arial" w:hAnsi="Arial" w:cs="Arial"/>
          <w:sz w:val="20"/>
          <w:szCs w:val="20"/>
          <w:highlight w:val="yellow"/>
        </w:rPr>
        <w:t>Dhuppe</w:t>
      </w:r>
      <w:proofErr w:type="spellEnd"/>
      <w:r w:rsidR="001C21BB" w:rsidRPr="001D3FED">
        <w:rPr>
          <w:rFonts w:ascii="Arial" w:hAnsi="Arial" w:cs="Arial"/>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sz w:val="20"/>
          <w:szCs w:val="20"/>
          <w:highlight w:val="yellow"/>
        </w:rPr>
        <w:t>.,</w:t>
      </w:r>
      <w:r w:rsidR="001C21BB" w:rsidRPr="001D3FED">
        <w:rPr>
          <w:rFonts w:ascii="Arial" w:hAnsi="Arial" w:cs="Arial"/>
          <w:spacing w:val="3"/>
          <w:sz w:val="20"/>
          <w:szCs w:val="20"/>
          <w:highlight w:val="yellow"/>
        </w:rPr>
        <w:t xml:space="preserve"> </w:t>
      </w:r>
      <w:r w:rsidR="001C21BB" w:rsidRPr="001D3FED">
        <w:rPr>
          <w:rFonts w:ascii="Arial" w:hAnsi="Arial" w:cs="Arial"/>
          <w:sz w:val="20"/>
          <w:szCs w:val="20"/>
          <w:highlight w:val="yellow"/>
        </w:rPr>
        <w:t>(2021), Naik</w:t>
      </w:r>
      <w:r w:rsidR="001C21BB" w:rsidRPr="001D3FED">
        <w:rPr>
          <w:rFonts w:ascii="Arial" w:hAnsi="Arial" w:cs="Arial"/>
          <w:spacing w:val="-1"/>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i/>
          <w:spacing w:val="2"/>
          <w:sz w:val="20"/>
          <w:szCs w:val="20"/>
          <w:highlight w:val="yellow"/>
        </w:rPr>
        <w:t xml:space="preserve"> </w:t>
      </w:r>
      <w:r w:rsidR="001C21BB" w:rsidRPr="001D3FED">
        <w:rPr>
          <w:rFonts w:ascii="Arial" w:hAnsi="Arial" w:cs="Arial"/>
          <w:sz w:val="20"/>
          <w:szCs w:val="20"/>
          <w:highlight w:val="yellow"/>
        </w:rPr>
        <w:t xml:space="preserve">(2021) and </w:t>
      </w:r>
      <w:proofErr w:type="spellStart"/>
      <w:r w:rsidR="001C21BB" w:rsidRPr="001D3FED">
        <w:rPr>
          <w:rFonts w:ascii="Arial" w:hAnsi="Arial" w:cs="Arial"/>
          <w:sz w:val="20"/>
          <w:szCs w:val="20"/>
          <w:highlight w:val="yellow"/>
        </w:rPr>
        <w:t>Bodke</w:t>
      </w:r>
      <w:proofErr w:type="spellEnd"/>
      <w:r w:rsidR="001C21BB" w:rsidRPr="001D3FED">
        <w:rPr>
          <w:rFonts w:ascii="Arial" w:hAnsi="Arial" w:cs="Arial"/>
          <w:spacing w:val="1"/>
          <w:sz w:val="20"/>
          <w:szCs w:val="20"/>
          <w:highlight w:val="yellow"/>
        </w:rPr>
        <w:t xml:space="preserve"> </w:t>
      </w:r>
      <w:r w:rsidR="001C21BB" w:rsidRPr="001D3FED">
        <w:rPr>
          <w:rFonts w:ascii="Arial" w:hAnsi="Arial" w:cs="Arial"/>
          <w:i/>
          <w:sz w:val="20"/>
          <w:szCs w:val="20"/>
          <w:highlight w:val="yellow"/>
        </w:rPr>
        <w:t>et al</w:t>
      </w:r>
      <w:r w:rsidR="001C21BB" w:rsidRPr="001D3FED">
        <w:rPr>
          <w:rFonts w:ascii="Arial" w:hAnsi="Arial" w:cs="Arial"/>
          <w:sz w:val="20"/>
          <w:szCs w:val="20"/>
          <w:highlight w:val="yellow"/>
        </w:rPr>
        <w:t>.,</w:t>
      </w:r>
      <w:r w:rsidR="001C21BB" w:rsidRPr="001D3FED">
        <w:rPr>
          <w:rFonts w:ascii="Arial" w:hAnsi="Arial" w:cs="Arial"/>
          <w:spacing w:val="-2"/>
          <w:sz w:val="20"/>
          <w:szCs w:val="20"/>
          <w:highlight w:val="yellow"/>
        </w:rPr>
        <w:t xml:space="preserve"> </w:t>
      </w:r>
      <w:r w:rsidR="001C21BB" w:rsidRPr="001D3FED">
        <w:rPr>
          <w:rFonts w:ascii="Arial" w:hAnsi="Arial" w:cs="Arial"/>
          <w:sz w:val="20"/>
          <w:szCs w:val="20"/>
          <w:highlight w:val="yellow"/>
        </w:rPr>
        <w:t>(2020).</w:t>
      </w:r>
    </w:p>
    <w:p w14:paraId="7C417328" w14:textId="54B21B50" w:rsidR="005E5B95" w:rsidRDefault="005E5B95" w:rsidP="00A52D20">
      <w:pPr>
        <w:spacing w:before="200" w:line="240" w:lineRule="auto"/>
        <w:jc w:val="center"/>
        <w:rPr>
          <w:rFonts w:ascii="Arial" w:hAnsi="Arial" w:cs="Arial"/>
          <w:b/>
          <w:sz w:val="20"/>
          <w:szCs w:val="20"/>
        </w:rPr>
        <w:sectPr w:rsidR="005E5B95" w:rsidSect="00985E3F">
          <w:pgSz w:w="11906" w:h="16838" w:code="9"/>
          <w:pgMar w:top="1440" w:right="1440" w:bottom="1440" w:left="1440" w:header="708" w:footer="708" w:gutter="0"/>
          <w:cols w:space="708"/>
          <w:docGrid w:linePitch="360"/>
        </w:sectPr>
      </w:pPr>
    </w:p>
    <w:p w14:paraId="667A4591" w14:textId="62EDE741" w:rsidR="00A52D20" w:rsidRPr="00A52D20" w:rsidRDefault="00A52D20" w:rsidP="00A52D20">
      <w:pPr>
        <w:spacing w:before="200" w:line="240" w:lineRule="auto"/>
        <w:jc w:val="center"/>
        <w:rPr>
          <w:rFonts w:ascii="Arial" w:hAnsi="Arial" w:cs="Arial"/>
          <w:b/>
          <w:sz w:val="20"/>
          <w:szCs w:val="20"/>
        </w:rPr>
      </w:pPr>
      <w:r w:rsidRPr="00A52D20">
        <w:rPr>
          <w:rFonts w:ascii="Arial" w:hAnsi="Arial" w:cs="Arial"/>
          <w:b/>
          <w:sz w:val="20"/>
          <w:szCs w:val="20"/>
        </w:rPr>
        <w:lastRenderedPageBreak/>
        <w:t xml:space="preserve">Table </w:t>
      </w:r>
      <w:r w:rsidR="007F38B2">
        <w:rPr>
          <w:rFonts w:ascii="Arial" w:hAnsi="Arial" w:cs="Arial"/>
          <w:b/>
          <w:sz w:val="20"/>
          <w:szCs w:val="20"/>
        </w:rPr>
        <w:t>5</w:t>
      </w:r>
      <w:r w:rsidRPr="00A52D20">
        <w:rPr>
          <w:rFonts w:ascii="Arial" w:hAnsi="Arial" w:cs="Arial"/>
          <w:b/>
          <w:sz w:val="20"/>
          <w:szCs w:val="20"/>
        </w:rPr>
        <w:t>: Path Coefficient Matrix of Direct and Indirect Effects of Agronomic Traits on Dry Pod Yield per Plant in Groundnut</w:t>
      </w:r>
    </w:p>
    <w:tbl>
      <w:tblPr>
        <w:tblStyle w:val="TableGrid"/>
        <w:tblW w:w="14973" w:type="dxa"/>
        <w:jc w:val="center"/>
        <w:tblLayout w:type="fixed"/>
        <w:tblLook w:val="04A0" w:firstRow="1" w:lastRow="0" w:firstColumn="1" w:lastColumn="0" w:noHBand="0" w:noVBand="1"/>
      </w:tblPr>
      <w:tblGrid>
        <w:gridCol w:w="1625"/>
        <w:gridCol w:w="888"/>
        <w:gridCol w:w="1059"/>
        <w:gridCol w:w="1243"/>
        <w:gridCol w:w="1134"/>
        <w:gridCol w:w="1134"/>
        <w:gridCol w:w="1417"/>
        <w:gridCol w:w="1276"/>
        <w:gridCol w:w="1276"/>
        <w:gridCol w:w="1581"/>
        <w:gridCol w:w="1049"/>
        <w:gridCol w:w="1291"/>
      </w:tblGrid>
      <w:tr w:rsidR="005E5B95" w:rsidRPr="005E5B95" w14:paraId="66604D8D" w14:textId="77777777" w:rsidTr="005E5B95">
        <w:trPr>
          <w:trHeight w:val="336"/>
          <w:jc w:val="center"/>
        </w:trPr>
        <w:tc>
          <w:tcPr>
            <w:tcW w:w="1625" w:type="dxa"/>
            <w:vAlign w:val="center"/>
            <w:hideMark/>
          </w:tcPr>
          <w:p w14:paraId="7BCBBF23" w14:textId="69AF6BF4"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Traits</w:t>
            </w:r>
          </w:p>
        </w:tc>
        <w:tc>
          <w:tcPr>
            <w:tcW w:w="888" w:type="dxa"/>
            <w:vAlign w:val="center"/>
            <w:hideMark/>
          </w:tcPr>
          <w:p w14:paraId="52709E65"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 Height</w:t>
            </w:r>
          </w:p>
        </w:tc>
        <w:tc>
          <w:tcPr>
            <w:tcW w:w="1059" w:type="dxa"/>
            <w:vAlign w:val="center"/>
            <w:hideMark/>
          </w:tcPr>
          <w:p w14:paraId="45796C1F"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 Weight</w:t>
            </w:r>
          </w:p>
        </w:tc>
        <w:tc>
          <w:tcPr>
            <w:tcW w:w="1243" w:type="dxa"/>
            <w:vAlign w:val="center"/>
            <w:hideMark/>
          </w:tcPr>
          <w:p w14:paraId="5E35BC8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1134" w:type="dxa"/>
            <w:vAlign w:val="center"/>
            <w:hideMark/>
          </w:tcPr>
          <w:p w14:paraId="4E8E43A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 %</w:t>
            </w:r>
          </w:p>
        </w:tc>
        <w:tc>
          <w:tcPr>
            <w:tcW w:w="1134" w:type="dxa"/>
            <w:vAlign w:val="center"/>
            <w:hideMark/>
          </w:tcPr>
          <w:p w14:paraId="42C6823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1417" w:type="dxa"/>
            <w:vAlign w:val="center"/>
            <w:hideMark/>
          </w:tcPr>
          <w:p w14:paraId="547E26F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1276" w:type="dxa"/>
            <w:vAlign w:val="center"/>
            <w:hideMark/>
          </w:tcPr>
          <w:p w14:paraId="06A980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Yield/Plant</w:t>
            </w:r>
          </w:p>
        </w:tc>
        <w:tc>
          <w:tcPr>
            <w:tcW w:w="1276" w:type="dxa"/>
            <w:vAlign w:val="center"/>
            <w:hideMark/>
          </w:tcPr>
          <w:p w14:paraId="2FC43B4C"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1581" w:type="dxa"/>
            <w:vAlign w:val="center"/>
            <w:hideMark/>
          </w:tcPr>
          <w:p w14:paraId="1623B0B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1049" w:type="dxa"/>
            <w:vAlign w:val="center"/>
            <w:hideMark/>
          </w:tcPr>
          <w:p w14:paraId="723F6213"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 Index</w:t>
            </w:r>
          </w:p>
        </w:tc>
        <w:tc>
          <w:tcPr>
            <w:tcW w:w="1291" w:type="dxa"/>
            <w:vAlign w:val="center"/>
            <w:hideMark/>
          </w:tcPr>
          <w:p w14:paraId="04A26D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r>
      <w:tr w:rsidR="005E5B95" w:rsidRPr="005E5B95" w14:paraId="0E5B3DA6" w14:textId="77777777" w:rsidTr="005E5B95">
        <w:trPr>
          <w:trHeight w:val="165"/>
          <w:jc w:val="center"/>
        </w:trPr>
        <w:tc>
          <w:tcPr>
            <w:tcW w:w="1625" w:type="dxa"/>
            <w:vAlign w:val="center"/>
            <w:hideMark/>
          </w:tcPr>
          <w:p w14:paraId="21B746DE" w14:textId="43D2FB99"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p w14:paraId="178C115D" w14:textId="7397CD98"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Height</w:t>
            </w:r>
          </w:p>
        </w:tc>
        <w:tc>
          <w:tcPr>
            <w:tcW w:w="888" w:type="dxa"/>
            <w:vAlign w:val="center"/>
            <w:hideMark/>
          </w:tcPr>
          <w:p w14:paraId="7382C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0.61</w:t>
            </w:r>
          </w:p>
        </w:tc>
        <w:tc>
          <w:tcPr>
            <w:tcW w:w="1059" w:type="dxa"/>
            <w:vAlign w:val="center"/>
            <w:hideMark/>
          </w:tcPr>
          <w:p w14:paraId="7B62B8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6.42</w:t>
            </w:r>
          </w:p>
        </w:tc>
        <w:tc>
          <w:tcPr>
            <w:tcW w:w="1243" w:type="dxa"/>
            <w:vAlign w:val="center"/>
            <w:hideMark/>
          </w:tcPr>
          <w:p w14:paraId="1553FF3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1.68</w:t>
            </w:r>
          </w:p>
        </w:tc>
        <w:tc>
          <w:tcPr>
            <w:tcW w:w="1134" w:type="dxa"/>
            <w:vAlign w:val="center"/>
            <w:hideMark/>
          </w:tcPr>
          <w:p w14:paraId="5271F1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21.46</w:t>
            </w:r>
          </w:p>
        </w:tc>
        <w:tc>
          <w:tcPr>
            <w:tcW w:w="1134" w:type="dxa"/>
            <w:vAlign w:val="center"/>
            <w:hideMark/>
          </w:tcPr>
          <w:p w14:paraId="783BB8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33.67</w:t>
            </w:r>
          </w:p>
        </w:tc>
        <w:tc>
          <w:tcPr>
            <w:tcW w:w="1417" w:type="dxa"/>
            <w:vAlign w:val="center"/>
            <w:hideMark/>
          </w:tcPr>
          <w:p w14:paraId="2612C4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34.88</w:t>
            </w:r>
          </w:p>
        </w:tc>
        <w:tc>
          <w:tcPr>
            <w:tcW w:w="1276" w:type="dxa"/>
            <w:vAlign w:val="center"/>
            <w:hideMark/>
          </w:tcPr>
          <w:p w14:paraId="38F98F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1.00</w:t>
            </w:r>
          </w:p>
        </w:tc>
        <w:tc>
          <w:tcPr>
            <w:tcW w:w="1276" w:type="dxa"/>
            <w:vAlign w:val="center"/>
            <w:hideMark/>
          </w:tcPr>
          <w:p w14:paraId="591374A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581" w:type="dxa"/>
            <w:vAlign w:val="center"/>
            <w:hideMark/>
          </w:tcPr>
          <w:p w14:paraId="5A6FFB2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1503972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0.09</w:t>
            </w:r>
          </w:p>
        </w:tc>
        <w:tc>
          <w:tcPr>
            <w:tcW w:w="1291" w:type="dxa"/>
            <w:vAlign w:val="center"/>
            <w:hideMark/>
          </w:tcPr>
          <w:p w14:paraId="45CAC10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3D66F149" w14:textId="77777777" w:rsidTr="005E5B95">
        <w:trPr>
          <w:trHeight w:val="82"/>
          <w:jc w:val="center"/>
        </w:trPr>
        <w:tc>
          <w:tcPr>
            <w:tcW w:w="1625" w:type="dxa"/>
            <w:vAlign w:val="center"/>
            <w:hideMark/>
          </w:tcPr>
          <w:p w14:paraId="522DD862" w14:textId="100AE7D0"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w:t>
            </w:r>
          </w:p>
          <w:p w14:paraId="5D58CD90" w14:textId="4990C6F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Weight</w:t>
            </w:r>
          </w:p>
        </w:tc>
        <w:tc>
          <w:tcPr>
            <w:tcW w:w="888" w:type="dxa"/>
            <w:vAlign w:val="center"/>
            <w:hideMark/>
          </w:tcPr>
          <w:p w14:paraId="32D2F95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10.92</w:t>
            </w:r>
          </w:p>
        </w:tc>
        <w:tc>
          <w:tcPr>
            <w:tcW w:w="1059" w:type="dxa"/>
            <w:vAlign w:val="center"/>
            <w:hideMark/>
          </w:tcPr>
          <w:p w14:paraId="62B51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14.26</w:t>
            </w:r>
          </w:p>
        </w:tc>
        <w:tc>
          <w:tcPr>
            <w:tcW w:w="1243" w:type="dxa"/>
            <w:vAlign w:val="center"/>
            <w:hideMark/>
          </w:tcPr>
          <w:p w14:paraId="580358E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4.84</w:t>
            </w:r>
          </w:p>
        </w:tc>
        <w:tc>
          <w:tcPr>
            <w:tcW w:w="1134" w:type="dxa"/>
            <w:vAlign w:val="center"/>
            <w:hideMark/>
          </w:tcPr>
          <w:p w14:paraId="137758A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134" w:type="dxa"/>
            <w:vAlign w:val="center"/>
            <w:hideMark/>
          </w:tcPr>
          <w:p w14:paraId="6490253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8F01A6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5.33</w:t>
            </w:r>
          </w:p>
        </w:tc>
        <w:tc>
          <w:tcPr>
            <w:tcW w:w="1276" w:type="dxa"/>
            <w:vAlign w:val="center"/>
            <w:hideMark/>
          </w:tcPr>
          <w:p w14:paraId="7E30B09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43.69</w:t>
            </w:r>
          </w:p>
        </w:tc>
        <w:tc>
          <w:tcPr>
            <w:tcW w:w="1276" w:type="dxa"/>
            <w:vAlign w:val="center"/>
            <w:hideMark/>
          </w:tcPr>
          <w:p w14:paraId="2CF350E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2.66</w:t>
            </w:r>
          </w:p>
        </w:tc>
        <w:tc>
          <w:tcPr>
            <w:tcW w:w="1581" w:type="dxa"/>
            <w:vAlign w:val="center"/>
            <w:hideMark/>
          </w:tcPr>
          <w:p w14:paraId="0D742CE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0.83</w:t>
            </w:r>
          </w:p>
        </w:tc>
        <w:tc>
          <w:tcPr>
            <w:tcW w:w="1049" w:type="dxa"/>
            <w:vAlign w:val="center"/>
            <w:hideMark/>
          </w:tcPr>
          <w:p w14:paraId="3CEB52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17.23</w:t>
            </w:r>
          </w:p>
        </w:tc>
        <w:tc>
          <w:tcPr>
            <w:tcW w:w="1291" w:type="dxa"/>
            <w:vAlign w:val="center"/>
            <w:hideMark/>
          </w:tcPr>
          <w:p w14:paraId="2ABA053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DBB5631" w14:textId="77777777" w:rsidTr="005E5B95">
        <w:trPr>
          <w:trHeight w:val="169"/>
          <w:jc w:val="center"/>
        </w:trPr>
        <w:tc>
          <w:tcPr>
            <w:tcW w:w="1625" w:type="dxa"/>
            <w:vAlign w:val="center"/>
            <w:hideMark/>
          </w:tcPr>
          <w:p w14:paraId="3143635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888" w:type="dxa"/>
            <w:vAlign w:val="center"/>
            <w:hideMark/>
          </w:tcPr>
          <w:p w14:paraId="0147216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17.91</w:t>
            </w:r>
          </w:p>
        </w:tc>
        <w:tc>
          <w:tcPr>
            <w:tcW w:w="1059" w:type="dxa"/>
            <w:vAlign w:val="center"/>
            <w:hideMark/>
          </w:tcPr>
          <w:p w14:paraId="20D93E9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10.85</w:t>
            </w:r>
          </w:p>
        </w:tc>
        <w:tc>
          <w:tcPr>
            <w:tcW w:w="1243" w:type="dxa"/>
            <w:vAlign w:val="center"/>
            <w:hideMark/>
          </w:tcPr>
          <w:p w14:paraId="4943F0D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w:t>
            </w:r>
          </w:p>
        </w:tc>
        <w:tc>
          <w:tcPr>
            <w:tcW w:w="1134" w:type="dxa"/>
            <w:vAlign w:val="center"/>
            <w:hideMark/>
          </w:tcPr>
          <w:p w14:paraId="4E7B4B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0.70</w:t>
            </w:r>
          </w:p>
        </w:tc>
        <w:tc>
          <w:tcPr>
            <w:tcW w:w="1134" w:type="dxa"/>
            <w:vAlign w:val="center"/>
            <w:hideMark/>
          </w:tcPr>
          <w:p w14:paraId="6B0672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0.16</w:t>
            </w:r>
          </w:p>
        </w:tc>
        <w:tc>
          <w:tcPr>
            <w:tcW w:w="1417" w:type="dxa"/>
            <w:vAlign w:val="center"/>
            <w:hideMark/>
          </w:tcPr>
          <w:p w14:paraId="715F57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1.89</w:t>
            </w:r>
          </w:p>
        </w:tc>
        <w:tc>
          <w:tcPr>
            <w:tcW w:w="1276" w:type="dxa"/>
            <w:vAlign w:val="center"/>
            <w:hideMark/>
          </w:tcPr>
          <w:p w14:paraId="719D1BC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2.39</w:t>
            </w:r>
          </w:p>
        </w:tc>
        <w:tc>
          <w:tcPr>
            <w:tcW w:w="1276" w:type="dxa"/>
            <w:vAlign w:val="center"/>
            <w:hideMark/>
          </w:tcPr>
          <w:p w14:paraId="3340202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21.55</w:t>
            </w:r>
          </w:p>
        </w:tc>
        <w:tc>
          <w:tcPr>
            <w:tcW w:w="1581" w:type="dxa"/>
            <w:vAlign w:val="center"/>
            <w:hideMark/>
          </w:tcPr>
          <w:p w14:paraId="3E1D3C5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w:t>
            </w:r>
          </w:p>
        </w:tc>
        <w:tc>
          <w:tcPr>
            <w:tcW w:w="1049" w:type="dxa"/>
            <w:vAlign w:val="center"/>
            <w:hideMark/>
          </w:tcPr>
          <w:p w14:paraId="02A007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32.07</w:t>
            </w:r>
          </w:p>
        </w:tc>
        <w:tc>
          <w:tcPr>
            <w:tcW w:w="1291" w:type="dxa"/>
            <w:vAlign w:val="center"/>
            <w:hideMark/>
          </w:tcPr>
          <w:p w14:paraId="50537BA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7.93</w:t>
            </w:r>
          </w:p>
        </w:tc>
      </w:tr>
      <w:tr w:rsidR="005E5B95" w:rsidRPr="005E5B95" w14:paraId="322C7877" w14:textId="77777777" w:rsidTr="005E5B95">
        <w:trPr>
          <w:trHeight w:val="165"/>
          <w:jc w:val="center"/>
        </w:trPr>
        <w:tc>
          <w:tcPr>
            <w:tcW w:w="1625" w:type="dxa"/>
            <w:vAlign w:val="center"/>
            <w:hideMark/>
          </w:tcPr>
          <w:p w14:paraId="5184502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w:t>
            </w:r>
          </w:p>
          <w:p w14:paraId="06E659D7" w14:textId="0D6BD821"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t>
            </w:r>
          </w:p>
        </w:tc>
        <w:tc>
          <w:tcPr>
            <w:tcW w:w="888" w:type="dxa"/>
            <w:vAlign w:val="center"/>
            <w:hideMark/>
          </w:tcPr>
          <w:p w14:paraId="4E113DE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16.18</w:t>
            </w:r>
          </w:p>
        </w:tc>
        <w:tc>
          <w:tcPr>
            <w:tcW w:w="1059" w:type="dxa"/>
            <w:vAlign w:val="center"/>
            <w:hideMark/>
          </w:tcPr>
          <w:p w14:paraId="067FEA7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13.18</w:t>
            </w:r>
          </w:p>
        </w:tc>
        <w:tc>
          <w:tcPr>
            <w:tcW w:w="1243" w:type="dxa"/>
            <w:vAlign w:val="center"/>
            <w:hideMark/>
          </w:tcPr>
          <w:p w14:paraId="74525EC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0.30</w:t>
            </w:r>
          </w:p>
        </w:tc>
        <w:tc>
          <w:tcPr>
            <w:tcW w:w="1134" w:type="dxa"/>
            <w:vAlign w:val="center"/>
            <w:hideMark/>
          </w:tcPr>
          <w:p w14:paraId="170B9F3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1.11</w:t>
            </w:r>
          </w:p>
        </w:tc>
        <w:tc>
          <w:tcPr>
            <w:tcW w:w="1134" w:type="dxa"/>
            <w:vAlign w:val="center"/>
            <w:hideMark/>
          </w:tcPr>
          <w:p w14:paraId="33E7B20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0.29</w:t>
            </w:r>
          </w:p>
        </w:tc>
        <w:tc>
          <w:tcPr>
            <w:tcW w:w="1417" w:type="dxa"/>
            <w:vAlign w:val="center"/>
            <w:hideMark/>
          </w:tcPr>
          <w:p w14:paraId="5AA6C2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0.13</w:t>
            </w:r>
          </w:p>
        </w:tc>
        <w:tc>
          <w:tcPr>
            <w:tcW w:w="1276" w:type="dxa"/>
            <w:vAlign w:val="center"/>
            <w:hideMark/>
          </w:tcPr>
          <w:p w14:paraId="4A79613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12.99</w:t>
            </w:r>
          </w:p>
        </w:tc>
        <w:tc>
          <w:tcPr>
            <w:tcW w:w="1276" w:type="dxa"/>
            <w:vAlign w:val="center"/>
            <w:hideMark/>
          </w:tcPr>
          <w:p w14:paraId="2D94236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34.38</w:t>
            </w:r>
          </w:p>
        </w:tc>
        <w:tc>
          <w:tcPr>
            <w:tcW w:w="1581" w:type="dxa"/>
            <w:vAlign w:val="center"/>
            <w:hideMark/>
          </w:tcPr>
          <w:p w14:paraId="271EC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5.61</w:t>
            </w:r>
          </w:p>
        </w:tc>
        <w:tc>
          <w:tcPr>
            <w:tcW w:w="1049" w:type="dxa"/>
            <w:vAlign w:val="center"/>
            <w:hideMark/>
          </w:tcPr>
          <w:p w14:paraId="632194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6.92</w:t>
            </w:r>
          </w:p>
        </w:tc>
        <w:tc>
          <w:tcPr>
            <w:tcW w:w="1291" w:type="dxa"/>
            <w:vAlign w:val="center"/>
            <w:hideMark/>
          </w:tcPr>
          <w:p w14:paraId="1A43B2B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8.91</w:t>
            </w:r>
          </w:p>
        </w:tc>
      </w:tr>
      <w:tr w:rsidR="005E5B95" w:rsidRPr="005E5B95" w14:paraId="37E3A9AB" w14:textId="77777777" w:rsidTr="005E5B95">
        <w:trPr>
          <w:trHeight w:val="169"/>
          <w:jc w:val="center"/>
        </w:trPr>
        <w:tc>
          <w:tcPr>
            <w:tcW w:w="1625" w:type="dxa"/>
            <w:vAlign w:val="center"/>
            <w:hideMark/>
          </w:tcPr>
          <w:p w14:paraId="6F16407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888" w:type="dxa"/>
            <w:vAlign w:val="center"/>
            <w:hideMark/>
          </w:tcPr>
          <w:p w14:paraId="43B45A9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9.96</w:t>
            </w:r>
          </w:p>
        </w:tc>
        <w:tc>
          <w:tcPr>
            <w:tcW w:w="1059" w:type="dxa"/>
            <w:vAlign w:val="center"/>
            <w:hideMark/>
          </w:tcPr>
          <w:p w14:paraId="79043DC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16.55</w:t>
            </w:r>
          </w:p>
        </w:tc>
        <w:tc>
          <w:tcPr>
            <w:tcW w:w="1243" w:type="dxa"/>
            <w:vAlign w:val="center"/>
            <w:hideMark/>
          </w:tcPr>
          <w:p w14:paraId="32C2DCD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w:t>
            </w:r>
          </w:p>
        </w:tc>
        <w:tc>
          <w:tcPr>
            <w:tcW w:w="1134" w:type="dxa"/>
            <w:vAlign w:val="center"/>
            <w:hideMark/>
          </w:tcPr>
          <w:p w14:paraId="789F5DD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12.00</w:t>
            </w:r>
          </w:p>
        </w:tc>
        <w:tc>
          <w:tcPr>
            <w:tcW w:w="1134" w:type="dxa"/>
            <w:vAlign w:val="center"/>
            <w:hideMark/>
          </w:tcPr>
          <w:p w14:paraId="14E059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w:t>
            </w:r>
          </w:p>
        </w:tc>
        <w:tc>
          <w:tcPr>
            <w:tcW w:w="1417" w:type="dxa"/>
            <w:vAlign w:val="center"/>
            <w:hideMark/>
          </w:tcPr>
          <w:p w14:paraId="7DC50E1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1.30</w:t>
            </w:r>
          </w:p>
        </w:tc>
        <w:tc>
          <w:tcPr>
            <w:tcW w:w="1276" w:type="dxa"/>
            <w:vAlign w:val="center"/>
            <w:hideMark/>
          </w:tcPr>
          <w:p w14:paraId="0BBA049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7A4FAB8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2.97</w:t>
            </w:r>
          </w:p>
        </w:tc>
        <w:tc>
          <w:tcPr>
            <w:tcW w:w="1581" w:type="dxa"/>
            <w:vAlign w:val="center"/>
            <w:hideMark/>
          </w:tcPr>
          <w:p w14:paraId="5D73AE6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39.14</w:t>
            </w:r>
          </w:p>
        </w:tc>
        <w:tc>
          <w:tcPr>
            <w:tcW w:w="1049" w:type="dxa"/>
            <w:vAlign w:val="center"/>
            <w:hideMark/>
          </w:tcPr>
          <w:p w14:paraId="39F7BD4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291" w:type="dxa"/>
            <w:vAlign w:val="center"/>
            <w:hideMark/>
          </w:tcPr>
          <w:p w14:paraId="702433C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13.28</w:t>
            </w:r>
          </w:p>
        </w:tc>
      </w:tr>
      <w:tr w:rsidR="005E5B95" w:rsidRPr="005E5B95" w14:paraId="446F8915" w14:textId="77777777" w:rsidTr="005E5B95">
        <w:trPr>
          <w:trHeight w:val="165"/>
          <w:jc w:val="center"/>
        </w:trPr>
        <w:tc>
          <w:tcPr>
            <w:tcW w:w="1625" w:type="dxa"/>
            <w:vAlign w:val="center"/>
            <w:hideMark/>
          </w:tcPr>
          <w:p w14:paraId="33F0E482"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888" w:type="dxa"/>
            <w:vAlign w:val="center"/>
            <w:hideMark/>
          </w:tcPr>
          <w:p w14:paraId="3B7B0B7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9.78</w:t>
            </w:r>
          </w:p>
        </w:tc>
        <w:tc>
          <w:tcPr>
            <w:tcW w:w="1059" w:type="dxa"/>
            <w:vAlign w:val="center"/>
            <w:hideMark/>
          </w:tcPr>
          <w:p w14:paraId="7A73D5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20.62</w:t>
            </w:r>
          </w:p>
        </w:tc>
        <w:tc>
          <w:tcPr>
            <w:tcW w:w="1243" w:type="dxa"/>
            <w:vAlign w:val="center"/>
            <w:hideMark/>
          </w:tcPr>
          <w:p w14:paraId="48E2F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2.72</w:t>
            </w:r>
          </w:p>
        </w:tc>
        <w:tc>
          <w:tcPr>
            <w:tcW w:w="1134" w:type="dxa"/>
            <w:vAlign w:val="center"/>
            <w:hideMark/>
          </w:tcPr>
          <w:p w14:paraId="45ED90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5.52</w:t>
            </w:r>
          </w:p>
        </w:tc>
        <w:tc>
          <w:tcPr>
            <w:tcW w:w="1134" w:type="dxa"/>
            <w:vAlign w:val="center"/>
            <w:hideMark/>
          </w:tcPr>
          <w:p w14:paraId="45E01D9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417" w:type="dxa"/>
            <w:vAlign w:val="center"/>
            <w:hideMark/>
          </w:tcPr>
          <w:p w14:paraId="41DB0D7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76" w:type="dxa"/>
            <w:vAlign w:val="center"/>
            <w:hideMark/>
          </w:tcPr>
          <w:p w14:paraId="0BA0FE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0.18</w:t>
            </w:r>
          </w:p>
        </w:tc>
        <w:tc>
          <w:tcPr>
            <w:tcW w:w="1276" w:type="dxa"/>
            <w:vAlign w:val="center"/>
            <w:hideMark/>
          </w:tcPr>
          <w:p w14:paraId="3A48A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7.59</w:t>
            </w:r>
          </w:p>
        </w:tc>
        <w:tc>
          <w:tcPr>
            <w:tcW w:w="1581" w:type="dxa"/>
            <w:vAlign w:val="center"/>
            <w:hideMark/>
          </w:tcPr>
          <w:p w14:paraId="1084E3C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47.90</w:t>
            </w:r>
          </w:p>
        </w:tc>
        <w:tc>
          <w:tcPr>
            <w:tcW w:w="1049" w:type="dxa"/>
            <w:vAlign w:val="center"/>
            <w:hideMark/>
          </w:tcPr>
          <w:p w14:paraId="55237A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91" w:type="dxa"/>
            <w:vAlign w:val="center"/>
            <w:hideMark/>
          </w:tcPr>
          <w:p w14:paraId="4D1F4A3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4.88</w:t>
            </w:r>
          </w:p>
        </w:tc>
      </w:tr>
      <w:tr w:rsidR="005E5B95" w:rsidRPr="005E5B95" w14:paraId="0BB8660C" w14:textId="77777777" w:rsidTr="005E5B95">
        <w:trPr>
          <w:trHeight w:val="165"/>
          <w:jc w:val="center"/>
        </w:trPr>
        <w:tc>
          <w:tcPr>
            <w:tcW w:w="1625" w:type="dxa"/>
            <w:vAlign w:val="center"/>
            <w:hideMark/>
          </w:tcPr>
          <w:p w14:paraId="5AB31C6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w:t>
            </w:r>
          </w:p>
          <w:p w14:paraId="05EAC7B2" w14:textId="77217C86"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tc>
        <w:tc>
          <w:tcPr>
            <w:tcW w:w="888" w:type="dxa"/>
            <w:vAlign w:val="center"/>
            <w:hideMark/>
          </w:tcPr>
          <w:p w14:paraId="1AFB9BB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1.03</w:t>
            </w:r>
          </w:p>
        </w:tc>
        <w:tc>
          <w:tcPr>
            <w:tcW w:w="1059" w:type="dxa"/>
            <w:vAlign w:val="center"/>
            <w:hideMark/>
          </w:tcPr>
          <w:p w14:paraId="419130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4.72</w:t>
            </w:r>
          </w:p>
        </w:tc>
        <w:tc>
          <w:tcPr>
            <w:tcW w:w="1243" w:type="dxa"/>
            <w:vAlign w:val="center"/>
            <w:hideMark/>
          </w:tcPr>
          <w:p w14:paraId="79FA4AA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37.79</w:t>
            </w:r>
          </w:p>
        </w:tc>
        <w:tc>
          <w:tcPr>
            <w:tcW w:w="1134" w:type="dxa"/>
            <w:vAlign w:val="center"/>
            <w:hideMark/>
          </w:tcPr>
          <w:p w14:paraId="120F298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0.80</w:t>
            </w:r>
          </w:p>
        </w:tc>
        <w:tc>
          <w:tcPr>
            <w:tcW w:w="1134" w:type="dxa"/>
            <w:vAlign w:val="center"/>
            <w:hideMark/>
          </w:tcPr>
          <w:p w14:paraId="6AB9353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0.06</w:t>
            </w:r>
          </w:p>
        </w:tc>
        <w:tc>
          <w:tcPr>
            <w:tcW w:w="1417" w:type="dxa"/>
            <w:vAlign w:val="center"/>
            <w:hideMark/>
          </w:tcPr>
          <w:p w14:paraId="5E3BBE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350232B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31.63</w:t>
            </w:r>
          </w:p>
        </w:tc>
        <w:tc>
          <w:tcPr>
            <w:tcW w:w="1276" w:type="dxa"/>
            <w:vAlign w:val="center"/>
            <w:hideMark/>
          </w:tcPr>
          <w:p w14:paraId="3060CD9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14.47</w:t>
            </w:r>
          </w:p>
        </w:tc>
        <w:tc>
          <w:tcPr>
            <w:tcW w:w="1581" w:type="dxa"/>
            <w:vAlign w:val="center"/>
            <w:hideMark/>
          </w:tcPr>
          <w:p w14:paraId="0CBC8A7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1.13</w:t>
            </w:r>
          </w:p>
        </w:tc>
        <w:tc>
          <w:tcPr>
            <w:tcW w:w="1049" w:type="dxa"/>
            <w:vAlign w:val="center"/>
            <w:hideMark/>
          </w:tcPr>
          <w:p w14:paraId="3818412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7.68</w:t>
            </w:r>
          </w:p>
        </w:tc>
        <w:tc>
          <w:tcPr>
            <w:tcW w:w="1291" w:type="dxa"/>
            <w:vAlign w:val="center"/>
            <w:hideMark/>
          </w:tcPr>
          <w:p w14:paraId="158789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0.67</w:t>
            </w:r>
          </w:p>
        </w:tc>
      </w:tr>
      <w:tr w:rsidR="005E5B95" w:rsidRPr="005E5B95" w14:paraId="753DBFAE" w14:textId="77777777" w:rsidTr="005E5B95">
        <w:trPr>
          <w:trHeight w:val="169"/>
          <w:jc w:val="center"/>
        </w:trPr>
        <w:tc>
          <w:tcPr>
            <w:tcW w:w="1625" w:type="dxa"/>
            <w:vAlign w:val="center"/>
            <w:hideMark/>
          </w:tcPr>
          <w:p w14:paraId="3C2F8B7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888" w:type="dxa"/>
            <w:vAlign w:val="center"/>
            <w:hideMark/>
          </w:tcPr>
          <w:p w14:paraId="0705208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0.03</w:t>
            </w:r>
          </w:p>
        </w:tc>
        <w:tc>
          <w:tcPr>
            <w:tcW w:w="1059" w:type="dxa"/>
            <w:vAlign w:val="center"/>
            <w:hideMark/>
          </w:tcPr>
          <w:p w14:paraId="6ABEAB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1.94</w:t>
            </w:r>
          </w:p>
        </w:tc>
        <w:tc>
          <w:tcPr>
            <w:tcW w:w="1243" w:type="dxa"/>
            <w:vAlign w:val="center"/>
            <w:hideMark/>
          </w:tcPr>
          <w:p w14:paraId="2FC22A4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28.68</w:t>
            </w:r>
          </w:p>
        </w:tc>
        <w:tc>
          <w:tcPr>
            <w:tcW w:w="1134" w:type="dxa"/>
            <w:vAlign w:val="center"/>
            <w:hideMark/>
          </w:tcPr>
          <w:p w14:paraId="46DD48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7.54</w:t>
            </w:r>
          </w:p>
        </w:tc>
        <w:tc>
          <w:tcPr>
            <w:tcW w:w="1134" w:type="dxa"/>
            <w:vAlign w:val="center"/>
            <w:hideMark/>
          </w:tcPr>
          <w:p w14:paraId="32370F1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34.18</w:t>
            </w:r>
          </w:p>
        </w:tc>
        <w:tc>
          <w:tcPr>
            <w:tcW w:w="1417" w:type="dxa"/>
            <w:vAlign w:val="center"/>
            <w:hideMark/>
          </w:tcPr>
          <w:p w14:paraId="054BBD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3.97</w:t>
            </w:r>
          </w:p>
        </w:tc>
        <w:tc>
          <w:tcPr>
            <w:tcW w:w="1276" w:type="dxa"/>
            <w:vAlign w:val="center"/>
            <w:hideMark/>
          </w:tcPr>
          <w:p w14:paraId="45A63C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w:t>
            </w:r>
          </w:p>
        </w:tc>
        <w:tc>
          <w:tcPr>
            <w:tcW w:w="1276" w:type="dxa"/>
            <w:vAlign w:val="center"/>
            <w:hideMark/>
          </w:tcPr>
          <w:p w14:paraId="1568CE7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7.67</w:t>
            </w:r>
          </w:p>
        </w:tc>
        <w:tc>
          <w:tcPr>
            <w:tcW w:w="1581" w:type="dxa"/>
            <w:vAlign w:val="center"/>
            <w:hideMark/>
          </w:tcPr>
          <w:p w14:paraId="70C616F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7A6B7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14.32</w:t>
            </w:r>
          </w:p>
        </w:tc>
        <w:tc>
          <w:tcPr>
            <w:tcW w:w="1291" w:type="dxa"/>
            <w:vAlign w:val="center"/>
            <w:hideMark/>
          </w:tcPr>
          <w:p w14:paraId="081DAB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6A962800" w14:textId="77777777" w:rsidTr="005E5B95">
        <w:trPr>
          <w:trHeight w:val="165"/>
          <w:jc w:val="center"/>
        </w:trPr>
        <w:tc>
          <w:tcPr>
            <w:tcW w:w="1625" w:type="dxa"/>
            <w:vAlign w:val="center"/>
            <w:hideMark/>
          </w:tcPr>
          <w:p w14:paraId="5CEF759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888" w:type="dxa"/>
            <w:vAlign w:val="center"/>
            <w:hideMark/>
          </w:tcPr>
          <w:p w14:paraId="697EF3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2.46</w:t>
            </w:r>
          </w:p>
        </w:tc>
        <w:tc>
          <w:tcPr>
            <w:tcW w:w="1059" w:type="dxa"/>
            <w:vAlign w:val="center"/>
            <w:hideMark/>
          </w:tcPr>
          <w:p w14:paraId="46543B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243" w:type="dxa"/>
            <w:vAlign w:val="center"/>
            <w:hideMark/>
          </w:tcPr>
          <w:p w14:paraId="2873E97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3.54</w:t>
            </w:r>
          </w:p>
        </w:tc>
        <w:tc>
          <w:tcPr>
            <w:tcW w:w="1134" w:type="dxa"/>
            <w:vAlign w:val="center"/>
            <w:hideMark/>
          </w:tcPr>
          <w:p w14:paraId="01CF602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35.18</w:t>
            </w:r>
          </w:p>
        </w:tc>
        <w:tc>
          <w:tcPr>
            <w:tcW w:w="1134" w:type="dxa"/>
            <w:vAlign w:val="center"/>
            <w:hideMark/>
          </w:tcPr>
          <w:p w14:paraId="0BA98D2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4.57</w:t>
            </w:r>
          </w:p>
        </w:tc>
        <w:tc>
          <w:tcPr>
            <w:tcW w:w="1417" w:type="dxa"/>
            <w:vAlign w:val="center"/>
            <w:hideMark/>
          </w:tcPr>
          <w:p w14:paraId="029976E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50.96</w:t>
            </w:r>
          </w:p>
        </w:tc>
        <w:tc>
          <w:tcPr>
            <w:tcW w:w="1276" w:type="dxa"/>
            <w:vAlign w:val="center"/>
            <w:hideMark/>
          </w:tcPr>
          <w:p w14:paraId="547342F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2.17</w:t>
            </w:r>
          </w:p>
        </w:tc>
        <w:tc>
          <w:tcPr>
            <w:tcW w:w="1276" w:type="dxa"/>
            <w:vAlign w:val="center"/>
            <w:hideMark/>
          </w:tcPr>
          <w:p w14:paraId="64DBE9A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0.91</w:t>
            </w:r>
          </w:p>
        </w:tc>
        <w:tc>
          <w:tcPr>
            <w:tcW w:w="1581" w:type="dxa"/>
            <w:vAlign w:val="center"/>
            <w:hideMark/>
          </w:tcPr>
          <w:p w14:paraId="639E93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0.14</w:t>
            </w:r>
          </w:p>
        </w:tc>
        <w:tc>
          <w:tcPr>
            <w:tcW w:w="1049" w:type="dxa"/>
            <w:vAlign w:val="center"/>
            <w:hideMark/>
          </w:tcPr>
          <w:p w14:paraId="558A1FC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91" w:type="dxa"/>
            <w:vAlign w:val="center"/>
            <w:hideMark/>
          </w:tcPr>
          <w:p w14:paraId="2EF0E53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52655330" w14:textId="77777777" w:rsidTr="005E5B95">
        <w:trPr>
          <w:trHeight w:val="169"/>
          <w:jc w:val="center"/>
        </w:trPr>
        <w:tc>
          <w:tcPr>
            <w:tcW w:w="1625" w:type="dxa"/>
            <w:vAlign w:val="center"/>
            <w:hideMark/>
          </w:tcPr>
          <w:p w14:paraId="37E8C02E"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w:t>
            </w:r>
          </w:p>
          <w:p w14:paraId="1D896A9C" w14:textId="7D4F1AFD"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Index</w:t>
            </w:r>
          </w:p>
        </w:tc>
        <w:tc>
          <w:tcPr>
            <w:tcW w:w="888" w:type="dxa"/>
            <w:vAlign w:val="center"/>
            <w:hideMark/>
          </w:tcPr>
          <w:p w14:paraId="3BCB97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w:t>
            </w:r>
          </w:p>
        </w:tc>
        <w:tc>
          <w:tcPr>
            <w:tcW w:w="1059" w:type="dxa"/>
            <w:vAlign w:val="center"/>
            <w:hideMark/>
          </w:tcPr>
          <w:p w14:paraId="0C857EE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10.74</w:t>
            </w:r>
          </w:p>
        </w:tc>
        <w:tc>
          <w:tcPr>
            <w:tcW w:w="1243" w:type="dxa"/>
            <w:vAlign w:val="center"/>
            <w:hideMark/>
          </w:tcPr>
          <w:p w14:paraId="7861C48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13.77</w:t>
            </w:r>
          </w:p>
        </w:tc>
        <w:tc>
          <w:tcPr>
            <w:tcW w:w="1134" w:type="dxa"/>
            <w:vAlign w:val="center"/>
            <w:hideMark/>
          </w:tcPr>
          <w:p w14:paraId="59BD1E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13.43</w:t>
            </w:r>
          </w:p>
        </w:tc>
        <w:tc>
          <w:tcPr>
            <w:tcW w:w="1134" w:type="dxa"/>
            <w:vAlign w:val="center"/>
            <w:hideMark/>
          </w:tcPr>
          <w:p w14:paraId="474401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25.36</w:t>
            </w:r>
          </w:p>
        </w:tc>
        <w:tc>
          <w:tcPr>
            <w:tcW w:w="1417" w:type="dxa"/>
            <w:vAlign w:val="center"/>
            <w:hideMark/>
          </w:tcPr>
          <w:p w14:paraId="16EB185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1.02</w:t>
            </w:r>
          </w:p>
        </w:tc>
        <w:tc>
          <w:tcPr>
            <w:tcW w:w="1276" w:type="dxa"/>
            <w:vAlign w:val="center"/>
            <w:hideMark/>
          </w:tcPr>
          <w:p w14:paraId="5410950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2.69</w:t>
            </w:r>
          </w:p>
        </w:tc>
        <w:tc>
          <w:tcPr>
            <w:tcW w:w="1276" w:type="dxa"/>
            <w:vAlign w:val="center"/>
            <w:hideMark/>
          </w:tcPr>
          <w:p w14:paraId="1B32BA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6.68</w:t>
            </w:r>
          </w:p>
        </w:tc>
        <w:tc>
          <w:tcPr>
            <w:tcW w:w="1581" w:type="dxa"/>
            <w:vAlign w:val="center"/>
            <w:hideMark/>
          </w:tcPr>
          <w:p w14:paraId="043C364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4.06</w:t>
            </w:r>
          </w:p>
        </w:tc>
        <w:tc>
          <w:tcPr>
            <w:tcW w:w="1049" w:type="dxa"/>
            <w:vAlign w:val="center"/>
            <w:hideMark/>
          </w:tcPr>
          <w:p w14:paraId="14FB2EB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20.11</w:t>
            </w:r>
          </w:p>
        </w:tc>
        <w:tc>
          <w:tcPr>
            <w:tcW w:w="1291" w:type="dxa"/>
            <w:vAlign w:val="center"/>
            <w:hideMark/>
          </w:tcPr>
          <w:p w14:paraId="033CE68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96BAE5C" w14:textId="77777777" w:rsidTr="005E5B95">
        <w:trPr>
          <w:trHeight w:val="165"/>
          <w:jc w:val="center"/>
        </w:trPr>
        <w:tc>
          <w:tcPr>
            <w:tcW w:w="1625" w:type="dxa"/>
            <w:vAlign w:val="center"/>
            <w:hideMark/>
          </w:tcPr>
          <w:p w14:paraId="1435397A"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c>
          <w:tcPr>
            <w:tcW w:w="888" w:type="dxa"/>
            <w:vAlign w:val="center"/>
            <w:hideMark/>
          </w:tcPr>
          <w:p w14:paraId="58EAAA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28.97</w:t>
            </w:r>
          </w:p>
        </w:tc>
        <w:tc>
          <w:tcPr>
            <w:tcW w:w="1059" w:type="dxa"/>
            <w:vAlign w:val="center"/>
            <w:hideMark/>
          </w:tcPr>
          <w:p w14:paraId="3D8A9F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0.66</w:t>
            </w:r>
          </w:p>
        </w:tc>
        <w:tc>
          <w:tcPr>
            <w:tcW w:w="1243" w:type="dxa"/>
            <w:vAlign w:val="center"/>
            <w:hideMark/>
          </w:tcPr>
          <w:p w14:paraId="0A12BEE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134" w:type="dxa"/>
            <w:vAlign w:val="center"/>
            <w:hideMark/>
          </w:tcPr>
          <w:p w14:paraId="0C31DD5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2.08</w:t>
            </w:r>
          </w:p>
        </w:tc>
        <w:tc>
          <w:tcPr>
            <w:tcW w:w="1134" w:type="dxa"/>
            <w:vAlign w:val="center"/>
            <w:hideMark/>
          </w:tcPr>
          <w:p w14:paraId="7005020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B2BEC4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0.11</w:t>
            </w:r>
          </w:p>
        </w:tc>
        <w:tc>
          <w:tcPr>
            <w:tcW w:w="1276" w:type="dxa"/>
            <w:vAlign w:val="center"/>
            <w:hideMark/>
          </w:tcPr>
          <w:p w14:paraId="2F147E4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1.58</w:t>
            </w:r>
          </w:p>
        </w:tc>
        <w:tc>
          <w:tcPr>
            <w:tcW w:w="1276" w:type="dxa"/>
            <w:vAlign w:val="center"/>
            <w:hideMark/>
          </w:tcPr>
          <w:p w14:paraId="403CD71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0.93</w:t>
            </w:r>
          </w:p>
        </w:tc>
        <w:tc>
          <w:tcPr>
            <w:tcW w:w="1581" w:type="dxa"/>
            <w:vAlign w:val="center"/>
            <w:hideMark/>
          </w:tcPr>
          <w:p w14:paraId="79134A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0.10</w:t>
            </w:r>
          </w:p>
        </w:tc>
        <w:tc>
          <w:tcPr>
            <w:tcW w:w="1049" w:type="dxa"/>
            <w:vAlign w:val="center"/>
            <w:hideMark/>
          </w:tcPr>
          <w:p w14:paraId="742DE5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1.14</w:t>
            </w:r>
          </w:p>
        </w:tc>
        <w:tc>
          <w:tcPr>
            <w:tcW w:w="1291" w:type="dxa"/>
            <w:vAlign w:val="center"/>
            <w:hideMark/>
          </w:tcPr>
          <w:p w14:paraId="1FCA27F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64.32</w:t>
            </w:r>
          </w:p>
        </w:tc>
      </w:tr>
    </w:tbl>
    <w:p w14:paraId="70D9D15E" w14:textId="77777777" w:rsidR="005E5B95" w:rsidRDefault="005E5B95" w:rsidP="00A52D20">
      <w:pPr>
        <w:spacing w:line="240" w:lineRule="auto"/>
        <w:jc w:val="both"/>
        <w:rPr>
          <w:rFonts w:ascii="Arial" w:hAnsi="Arial" w:cs="Arial"/>
          <w:sz w:val="20"/>
          <w:szCs w:val="20"/>
        </w:rPr>
      </w:pPr>
    </w:p>
    <w:p w14:paraId="53229E75" w14:textId="77777777" w:rsidR="005E5B95" w:rsidRDefault="005E5B95" w:rsidP="00A52D20">
      <w:pPr>
        <w:spacing w:line="240" w:lineRule="auto"/>
        <w:jc w:val="both"/>
        <w:rPr>
          <w:rFonts w:ascii="Arial" w:hAnsi="Arial" w:cs="Arial"/>
          <w:sz w:val="20"/>
          <w:szCs w:val="20"/>
        </w:rPr>
        <w:sectPr w:rsidR="005E5B95" w:rsidSect="005E5B95">
          <w:pgSz w:w="16838" w:h="11906" w:orient="landscape" w:code="9"/>
          <w:pgMar w:top="1440" w:right="1440" w:bottom="1440" w:left="1440" w:header="708" w:footer="708" w:gutter="0"/>
          <w:cols w:space="708"/>
          <w:docGrid w:linePitch="360"/>
        </w:sectPr>
      </w:pPr>
    </w:p>
    <w:p w14:paraId="495B259B" w14:textId="5734F64D" w:rsidR="001C21BB" w:rsidRDefault="001C21BB" w:rsidP="001C21BB">
      <w:pPr>
        <w:pStyle w:val="NoSpacing"/>
        <w:numPr>
          <w:ilvl w:val="0"/>
          <w:numId w:val="6"/>
        </w:numPr>
        <w:jc w:val="both"/>
        <w:rPr>
          <w:rFonts w:ascii="Arial" w:hAnsi="Arial" w:cs="Arial"/>
          <w:b/>
          <w:sz w:val="24"/>
          <w:szCs w:val="20"/>
        </w:rPr>
      </w:pPr>
      <w:r w:rsidRPr="00DF2265">
        <w:rPr>
          <w:rFonts w:ascii="Arial" w:hAnsi="Arial" w:cs="Arial"/>
          <w:b/>
          <w:sz w:val="24"/>
          <w:szCs w:val="20"/>
        </w:rPr>
        <w:lastRenderedPageBreak/>
        <w:t>CONCLUSION</w:t>
      </w:r>
    </w:p>
    <w:p w14:paraId="25D9D3F2" w14:textId="30A4BAF0" w:rsidR="001C21BB" w:rsidRDefault="001C21BB" w:rsidP="001C21BB">
      <w:pPr>
        <w:pStyle w:val="NoSpacing"/>
        <w:jc w:val="both"/>
        <w:rPr>
          <w:rFonts w:ascii="Arial" w:hAnsi="Arial" w:cs="Arial"/>
          <w:b/>
          <w:sz w:val="24"/>
          <w:szCs w:val="20"/>
        </w:rPr>
      </w:pPr>
    </w:p>
    <w:p w14:paraId="3AA462BA" w14:textId="4DE3355D" w:rsidR="001C21BB" w:rsidRPr="00B31F8E" w:rsidRDefault="00B31F8E" w:rsidP="001C21BB">
      <w:pPr>
        <w:pStyle w:val="NoSpacing"/>
        <w:jc w:val="both"/>
        <w:rPr>
          <w:rFonts w:ascii="Arial" w:hAnsi="Arial" w:cs="Arial"/>
          <w:sz w:val="20"/>
          <w:szCs w:val="20"/>
        </w:rPr>
      </w:pPr>
      <w:r w:rsidRPr="00B31F8E">
        <w:rPr>
          <w:rFonts w:ascii="Arial" w:hAnsi="Arial" w:cs="Arial"/>
          <w:sz w:val="20"/>
          <w:szCs w:val="20"/>
        </w:rPr>
        <w:t>The present investigation demonstrated substantial genetic variability among the evaluated 61 groundnut genotypes, confirming significant scope for improving kernel and pod yield through strategic trait-based selection. Correlation and path coefficient analyses revealed that 100-pod weight, 100-kernel weight, shelling percentage, pod yield per plant, days to maturity, and days to 50% flowering are the most influential traits governing kernel yield. Kernel yield per plant exhibited the strongest direct effect on pod yield, while several traits contributed indirectly through their influence on kernel development, biomass allocation, and reproductive efficiency. These findings establish a reliable framework for breeders to prioritize traits that consistently and positively influence groundnut productivity, thereby supporting the development of high-yielding varieties. Future research should integrate molecular breeding tools, including marker-assisted selection and genomic selection, to validate the key traits identified and accelerate genetic gains. Multi-location and multi-season evaluations are essential to confirm the stability of promising genotypes across diverse environments. Incorporating physiological, biochemical, and stress-adaptive traits into selection strategies will enhance resilience to drought, heat, and biotic stresses. Additionally, combining correlation-path analysis with modern phenomics, transcriptomics, and machine learning models can help unravel complex trait interactions more efficiently. Ultimately, the integration of conventional and advanced breeding approaches will support the development of climate-resilient, nutritionally superior, and high-yielding groundnut cultivars suited for future agricultural demands.</w:t>
      </w:r>
    </w:p>
    <w:p w14:paraId="52DB33E3" w14:textId="77777777" w:rsidR="001C21BB" w:rsidRDefault="001C21BB" w:rsidP="001C21BB">
      <w:pPr>
        <w:pStyle w:val="NoSpacing"/>
        <w:jc w:val="both"/>
        <w:rPr>
          <w:rFonts w:ascii="Arial" w:hAnsi="Arial" w:cs="Arial"/>
          <w:sz w:val="24"/>
          <w:szCs w:val="24"/>
        </w:rPr>
      </w:pPr>
    </w:p>
    <w:p w14:paraId="3E626228" w14:textId="77777777" w:rsidR="001C21BB" w:rsidRPr="00691D60" w:rsidRDefault="001C21BB" w:rsidP="001C21BB">
      <w:pPr>
        <w:pStyle w:val="NoSpacing"/>
        <w:jc w:val="both"/>
        <w:rPr>
          <w:rFonts w:ascii="Arial" w:hAnsi="Arial" w:cs="Arial"/>
          <w:b/>
          <w:sz w:val="24"/>
          <w:highlight w:val="yellow"/>
        </w:rPr>
      </w:pPr>
      <w:r w:rsidRPr="00691D60">
        <w:rPr>
          <w:rFonts w:ascii="Arial" w:hAnsi="Arial" w:cs="Arial"/>
          <w:b/>
          <w:sz w:val="24"/>
          <w:highlight w:val="yellow"/>
        </w:rPr>
        <w:t>DISCLAIMER (ARTIFICIAL INTELLIGENCE)</w:t>
      </w:r>
    </w:p>
    <w:p w14:paraId="5F5C7870" w14:textId="77777777" w:rsidR="001C21BB" w:rsidRPr="00434627" w:rsidRDefault="001C21BB" w:rsidP="001C21BB">
      <w:pPr>
        <w:pStyle w:val="NoSpacing"/>
        <w:jc w:val="both"/>
        <w:rPr>
          <w:rFonts w:ascii="Arial" w:hAnsi="Arial" w:cs="Arial"/>
          <w:sz w:val="20"/>
          <w:szCs w:val="20"/>
        </w:rPr>
      </w:pPr>
      <w:r w:rsidRPr="00691D60">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r w:rsidRPr="00434627">
        <w:rPr>
          <w:rFonts w:ascii="Arial" w:hAnsi="Arial" w:cs="Arial"/>
          <w:sz w:val="20"/>
          <w:szCs w:val="20"/>
        </w:rPr>
        <w:t xml:space="preserve"> </w:t>
      </w:r>
    </w:p>
    <w:p w14:paraId="79854DB4" w14:textId="77777777" w:rsidR="001C21BB" w:rsidRPr="00DB4106" w:rsidRDefault="001C21BB" w:rsidP="001C21BB">
      <w:pPr>
        <w:pStyle w:val="NoSpacing"/>
        <w:jc w:val="both"/>
        <w:rPr>
          <w:rFonts w:ascii="Arial" w:eastAsia="Times New Roman" w:hAnsi="Arial" w:cs="Arial"/>
          <w:b/>
          <w:bCs/>
          <w:caps/>
          <w:sz w:val="24"/>
          <w:szCs w:val="20"/>
        </w:rPr>
      </w:pPr>
    </w:p>
    <w:p w14:paraId="678845B5" w14:textId="0FC56170" w:rsidR="001C21BB" w:rsidRPr="001C21BB" w:rsidRDefault="001C21BB" w:rsidP="001C21BB">
      <w:pPr>
        <w:spacing w:line="240" w:lineRule="auto"/>
        <w:rPr>
          <w:rFonts w:ascii="Arial" w:hAnsi="Arial" w:cs="Arial"/>
          <w:b/>
          <w:sz w:val="24"/>
          <w:szCs w:val="20"/>
        </w:rPr>
      </w:pPr>
      <w:r w:rsidRPr="001C21BB">
        <w:rPr>
          <w:rFonts w:ascii="Arial" w:hAnsi="Arial" w:cs="Arial"/>
          <w:b/>
          <w:sz w:val="24"/>
          <w:szCs w:val="20"/>
        </w:rPr>
        <w:t>REFERENCES</w:t>
      </w:r>
    </w:p>
    <w:p w14:paraId="2822D242"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Adjei, R. R., Amadu, B., Boateng, A. S., &amp; Donkor, E. F. (2022). Genetic variability, heritability and association among yield components and proximate composition of neglected and underutilized Bambara groundnut (</w:t>
      </w:r>
      <w:proofErr w:type="spellStart"/>
      <w:r w:rsidRPr="00035A18">
        <w:rPr>
          <w:rFonts w:ascii="Arial" w:hAnsi="Arial" w:cs="Arial"/>
          <w:i/>
          <w:iCs/>
          <w:sz w:val="20"/>
          <w:szCs w:val="20"/>
        </w:rPr>
        <w:t>Vigna</w:t>
      </w:r>
      <w:proofErr w:type="spellEnd"/>
      <w:r w:rsidRPr="00035A18">
        <w:rPr>
          <w:rFonts w:ascii="Arial" w:hAnsi="Arial" w:cs="Arial"/>
          <w:i/>
          <w:iCs/>
          <w:sz w:val="20"/>
          <w:szCs w:val="20"/>
        </w:rPr>
        <w:t xml:space="preserve"> </w:t>
      </w:r>
      <w:proofErr w:type="spellStart"/>
      <w:r w:rsidRPr="00035A18">
        <w:rPr>
          <w:rFonts w:ascii="Arial" w:hAnsi="Arial" w:cs="Arial"/>
          <w:i/>
          <w:iCs/>
          <w:sz w:val="20"/>
          <w:szCs w:val="20"/>
        </w:rPr>
        <w:t>subterranea</w:t>
      </w:r>
      <w:proofErr w:type="spellEnd"/>
      <w:r w:rsidRPr="00035A18">
        <w:rPr>
          <w:rFonts w:ascii="Arial" w:hAnsi="Arial" w:cs="Arial"/>
          <w:i/>
          <w:iCs/>
          <w:sz w:val="20"/>
          <w:szCs w:val="20"/>
        </w:rPr>
        <w:t xml:space="preserve">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accessions for varietal development in Ghana. </w:t>
      </w:r>
      <w:proofErr w:type="spellStart"/>
      <w:r w:rsidRPr="00035A18">
        <w:rPr>
          <w:rFonts w:ascii="Arial" w:hAnsi="Arial" w:cs="Arial"/>
          <w:i/>
          <w:iCs/>
          <w:sz w:val="20"/>
          <w:szCs w:val="20"/>
        </w:rPr>
        <w:t>Heliyon</w:t>
      </w:r>
      <w:proofErr w:type="spellEnd"/>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(6).</w:t>
      </w:r>
    </w:p>
    <w:p w14:paraId="5AE9038B"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Ahmed, A. A., Attia, M., &amp; Noman, H. M. (2022). Genetic variation, correlation coefficient and pathway analysis for yield and its components in peanut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SVU-International Journal of Agricultural Sciences</w:t>
      </w:r>
      <w:r w:rsidRPr="00035A18">
        <w:rPr>
          <w:rFonts w:ascii="Arial" w:hAnsi="Arial" w:cs="Arial"/>
          <w:sz w:val="20"/>
          <w:szCs w:val="20"/>
        </w:rPr>
        <w:t xml:space="preserve">, </w:t>
      </w:r>
      <w:r w:rsidRPr="00035A18">
        <w:rPr>
          <w:rFonts w:ascii="Arial" w:hAnsi="Arial" w:cs="Arial"/>
          <w:i/>
          <w:iCs/>
          <w:sz w:val="20"/>
          <w:szCs w:val="20"/>
        </w:rPr>
        <w:t>4</w:t>
      </w:r>
      <w:r w:rsidRPr="00035A18">
        <w:rPr>
          <w:rFonts w:ascii="Arial" w:hAnsi="Arial" w:cs="Arial"/>
          <w:sz w:val="20"/>
          <w:szCs w:val="20"/>
        </w:rPr>
        <w:t>(3): 178–186.</w:t>
      </w:r>
    </w:p>
    <w:p w14:paraId="3839D5F8"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Akkareddy</w:t>
      </w:r>
      <w:proofErr w:type="spellEnd"/>
      <w:r w:rsidRPr="00035A18">
        <w:rPr>
          <w:rFonts w:ascii="Arial" w:hAnsi="Arial" w:cs="Arial"/>
          <w:sz w:val="20"/>
          <w:szCs w:val="20"/>
        </w:rPr>
        <w:t>, S., Kumar, A.R.N., Madhuri, K.V.N., Reddy, C.B.R., Reddy, C.K.K., Sukrutha, B., &amp; Vemireddy, L.N. (2023). Principal Component Analysis and Path Coefficient Analysis for Groundnut Yield and Seed Quality Attributes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 xml:space="preserve">Legume Research – An International </w:t>
      </w:r>
      <w:r w:rsidRPr="00035A18">
        <w:rPr>
          <w:rFonts w:ascii="Arial" w:hAnsi="Arial" w:cs="Arial"/>
          <w:sz w:val="20"/>
          <w:szCs w:val="20"/>
        </w:rPr>
        <w:t>Journal: 1-7.</w:t>
      </w:r>
    </w:p>
    <w:p w14:paraId="1DD26935"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Al Mamun, M., Jusoh, M., Khaliqi, A., Khan, M. M. H., Oladosu, Y., Rafii, M. Y., Ramlee, S. I. (2022). Unveiling Genetic Diversity, Characterization, and Selection of Bambara Groundnut (</w:t>
      </w:r>
      <w:r w:rsidRPr="00035A18">
        <w:rPr>
          <w:rFonts w:ascii="Arial" w:hAnsi="Arial" w:cs="Arial"/>
          <w:i/>
          <w:iCs/>
          <w:sz w:val="20"/>
          <w:szCs w:val="20"/>
        </w:rPr>
        <w:t xml:space="preserve">Vigna subterranea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Genotypes Reflecting Yield and Yield Components in Tropical Malaysia. </w:t>
      </w:r>
      <w:r w:rsidRPr="00035A18">
        <w:rPr>
          <w:rFonts w:ascii="Arial" w:hAnsi="Arial" w:cs="Arial"/>
          <w:i/>
          <w:iCs/>
          <w:sz w:val="20"/>
          <w:szCs w:val="20"/>
        </w:rPr>
        <w:t>BioMed Research International</w:t>
      </w:r>
      <w:r w:rsidRPr="00035A18">
        <w:rPr>
          <w:rFonts w:ascii="Arial" w:hAnsi="Arial" w:cs="Arial"/>
          <w:sz w:val="20"/>
          <w:szCs w:val="20"/>
        </w:rPr>
        <w:t>: 1–23.</w:t>
      </w:r>
    </w:p>
    <w:p w14:paraId="2C1ACF20"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Amolic</w:t>
      </w:r>
      <w:proofErr w:type="spellEnd"/>
      <w:r w:rsidRPr="00035A18">
        <w:rPr>
          <w:rFonts w:ascii="Arial" w:hAnsi="Arial" w:cs="Arial"/>
          <w:sz w:val="20"/>
          <w:szCs w:val="20"/>
        </w:rPr>
        <w:t xml:space="preserve">, V.L., More, S.R., Pawar, S.V., Nimbalkar, C.A., Shinde, G.C., &amp; Shinde, H.N. (2019). Genetic variability and association study for different traits in F5 progenies of groundnut. </w:t>
      </w:r>
      <w:r w:rsidRPr="00035A18">
        <w:rPr>
          <w:rFonts w:ascii="Arial" w:hAnsi="Arial" w:cs="Arial"/>
          <w:i/>
          <w:iCs/>
          <w:sz w:val="20"/>
          <w:szCs w:val="20"/>
        </w:rPr>
        <w:t>Journal of Pharmacognosy and Phytochemistry</w:t>
      </w:r>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(5): 1497-1500.</w:t>
      </w:r>
    </w:p>
    <w:p w14:paraId="1B88D34C"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ANGARU Crop Outlook Report, Dec. 2021. Accessed on: 10 April, 2023.</w:t>
      </w:r>
    </w:p>
    <w:p w14:paraId="6B1EC7D3" w14:textId="77777777" w:rsidR="005A1F4E" w:rsidRPr="00035A18" w:rsidRDefault="005A1F4E" w:rsidP="001C21BB">
      <w:pPr>
        <w:pStyle w:val="Default"/>
        <w:ind w:left="720" w:hanging="720"/>
        <w:jc w:val="both"/>
        <w:rPr>
          <w:rFonts w:ascii="Arial" w:hAnsi="Arial" w:cs="Arial"/>
          <w:sz w:val="20"/>
          <w:szCs w:val="20"/>
        </w:rPr>
      </w:pPr>
      <w:r w:rsidRPr="00035A18">
        <w:rPr>
          <w:rFonts w:ascii="Arial" w:hAnsi="Arial" w:cs="Arial"/>
          <w:sz w:val="20"/>
          <w:szCs w:val="20"/>
        </w:rPr>
        <w:t xml:space="preserve">Bhawar, P. C., Tiwari, S., Tripathi, M. K., Tomar, R. S., &amp; Sikarwar, R. S. (2020). Screening of Groundnut Germplasm for Foliar Fungal Diseases and Population </w:t>
      </w:r>
      <w:r w:rsidRPr="00035A18">
        <w:rPr>
          <w:rFonts w:ascii="Arial" w:hAnsi="Arial" w:cs="Arial"/>
          <w:color w:val="auto"/>
          <w:sz w:val="20"/>
          <w:szCs w:val="20"/>
        </w:rPr>
        <w:t xml:space="preserve">Structure Analysis Using Gene Based SSR Markers. </w:t>
      </w:r>
      <w:r w:rsidRPr="00035A18">
        <w:rPr>
          <w:rFonts w:ascii="Arial" w:hAnsi="Arial" w:cs="Arial"/>
          <w:i/>
          <w:iCs/>
          <w:color w:val="auto"/>
          <w:sz w:val="20"/>
          <w:szCs w:val="20"/>
        </w:rPr>
        <w:t>Current Journal of Applied Science and Technology</w:t>
      </w:r>
      <w:r w:rsidRPr="00035A18">
        <w:rPr>
          <w:rFonts w:ascii="Arial" w:hAnsi="Arial" w:cs="Arial"/>
          <w:color w:val="auto"/>
          <w:sz w:val="20"/>
          <w:szCs w:val="20"/>
        </w:rPr>
        <w:t xml:space="preserve">, </w:t>
      </w:r>
      <w:r w:rsidRPr="00035A18">
        <w:rPr>
          <w:rFonts w:ascii="Arial" w:hAnsi="Arial" w:cs="Arial"/>
          <w:i/>
          <w:iCs/>
          <w:color w:val="auto"/>
          <w:sz w:val="20"/>
          <w:szCs w:val="20"/>
        </w:rPr>
        <w:t>39</w:t>
      </w:r>
      <w:r w:rsidRPr="00035A18">
        <w:rPr>
          <w:rFonts w:ascii="Arial" w:hAnsi="Arial" w:cs="Arial"/>
          <w:color w:val="auto"/>
          <w:sz w:val="20"/>
          <w:szCs w:val="20"/>
        </w:rPr>
        <w:t>(2): 75–84.</w:t>
      </w:r>
    </w:p>
    <w:p w14:paraId="16E4D2DB"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Bodke</w:t>
      </w:r>
      <w:proofErr w:type="spellEnd"/>
      <w:r w:rsidRPr="00035A18">
        <w:rPr>
          <w:rFonts w:ascii="Arial" w:hAnsi="Arial" w:cs="Arial"/>
          <w:sz w:val="20"/>
          <w:szCs w:val="20"/>
        </w:rPr>
        <w:t xml:space="preserve">, C.S., </w:t>
      </w:r>
      <w:proofErr w:type="spellStart"/>
      <w:r w:rsidRPr="00035A18">
        <w:rPr>
          <w:rFonts w:ascii="Arial" w:hAnsi="Arial" w:cs="Arial"/>
          <w:sz w:val="20"/>
          <w:szCs w:val="20"/>
        </w:rPr>
        <w:t>Dahat</w:t>
      </w:r>
      <w:proofErr w:type="spellEnd"/>
      <w:r w:rsidRPr="00035A18">
        <w:rPr>
          <w:rFonts w:ascii="Arial" w:hAnsi="Arial" w:cs="Arial"/>
          <w:sz w:val="20"/>
          <w:szCs w:val="20"/>
        </w:rPr>
        <w:t>, D.V., &amp; Deshmukh, M.P. (2020). Correlation and Path Analysis in Groundnut (</w:t>
      </w:r>
      <w:r w:rsidRPr="00035A18">
        <w:rPr>
          <w:rFonts w:ascii="Arial" w:hAnsi="Arial" w:cs="Arial"/>
          <w:i/>
          <w:iCs/>
          <w:sz w:val="20"/>
          <w:szCs w:val="20"/>
        </w:rPr>
        <w:t xml:space="preserve">Arachis hypogaea </w:t>
      </w:r>
      <w:r w:rsidRPr="00035A18">
        <w:rPr>
          <w:rFonts w:ascii="Arial" w:hAnsi="Arial" w:cs="Arial"/>
          <w:sz w:val="20"/>
          <w:szCs w:val="20"/>
        </w:rPr>
        <w:t>L.) Under Stress Condition</w:t>
      </w:r>
      <w:r w:rsidRPr="00035A18">
        <w:rPr>
          <w:rFonts w:ascii="Arial" w:hAnsi="Arial" w:cs="Arial"/>
          <w:i/>
          <w:iCs/>
          <w:sz w:val="20"/>
          <w:szCs w:val="20"/>
        </w:rPr>
        <w:t>. Journal of Agriculture Research and Technology</w:t>
      </w:r>
      <w:r w:rsidRPr="00035A18">
        <w:rPr>
          <w:rFonts w:ascii="Arial" w:hAnsi="Arial" w:cs="Arial"/>
          <w:sz w:val="20"/>
          <w:szCs w:val="20"/>
        </w:rPr>
        <w:t xml:space="preserve">, </w:t>
      </w:r>
      <w:r w:rsidRPr="00035A18">
        <w:rPr>
          <w:rFonts w:ascii="Arial" w:hAnsi="Arial" w:cs="Arial"/>
          <w:i/>
          <w:iCs/>
          <w:sz w:val="20"/>
          <w:szCs w:val="20"/>
        </w:rPr>
        <w:t>45</w:t>
      </w:r>
      <w:r w:rsidRPr="00035A18">
        <w:rPr>
          <w:rFonts w:ascii="Arial" w:hAnsi="Arial" w:cs="Arial"/>
          <w:sz w:val="20"/>
          <w:szCs w:val="20"/>
        </w:rPr>
        <w:t>(2): 162-17.</w:t>
      </w:r>
    </w:p>
    <w:p w14:paraId="6379CFEE"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lastRenderedPageBreak/>
        <w:t xml:space="preserve">Dewey, J. R., &amp; Lu, K. H. (1959). A correlation and path coefficient analysis of components of crested wheatgrass seed production. </w:t>
      </w:r>
      <w:r w:rsidRPr="00035A18">
        <w:rPr>
          <w:rFonts w:ascii="Arial" w:hAnsi="Arial" w:cs="Arial"/>
          <w:i/>
          <w:iCs/>
          <w:sz w:val="20"/>
          <w:szCs w:val="20"/>
        </w:rPr>
        <w:t>Agronomy Journal, 51</w:t>
      </w:r>
      <w:r w:rsidRPr="00035A18">
        <w:rPr>
          <w:rFonts w:ascii="Arial" w:hAnsi="Arial" w:cs="Arial"/>
          <w:sz w:val="20"/>
          <w:szCs w:val="20"/>
        </w:rPr>
        <w:t>: 515-518.</w:t>
      </w:r>
    </w:p>
    <w:p w14:paraId="532ADC63"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Dhuppe</w:t>
      </w:r>
      <w:proofErr w:type="spellEnd"/>
      <w:r w:rsidRPr="00035A18">
        <w:rPr>
          <w:rFonts w:ascii="Arial" w:hAnsi="Arial" w:cs="Arial"/>
          <w:sz w:val="20"/>
          <w:szCs w:val="20"/>
        </w:rPr>
        <w:t xml:space="preserve">, M. V., Gavade, S. S., </w:t>
      </w:r>
      <w:proofErr w:type="spellStart"/>
      <w:r w:rsidRPr="00035A18">
        <w:rPr>
          <w:rFonts w:ascii="Arial" w:hAnsi="Arial" w:cs="Arial"/>
          <w:sz w:val="20"/>
          <w:szCs w:val="20"/>
        </w:rPr>
        <w:t>Ralebhat</w:t>
      </w:r>
      <w:proofErr w:type="spellEnd"/>
      <w:r w:rsidRPr="00035A18">
        <w:rPr>
          <w:rFonts w:ascii="Arial" w:hAnsi="Arial" w:cs="Arial"/>
          <w:sz w:val="20"/>
          <w:szCs w:val="20"/>
        </w:rPr>
        <w:t xml:space="preserve">, B. N., </w:t>
      </w:r>
      <w:proofErr w:type="spellStart"/>
      <w:r w:rsidRPr="00035A18">
        <w:rPr>
          <w:rFonts w:ascii="Arial" w:hAnsi="Arial" w:cs="Arial"/>
          <w:sz w:val="20"/>
          <w:szCs w:val="20"/>
        </w:rPr>
        <w:t>Sargar</w:t>
      </w:r>
      <w:proofErr w:type="spellEnd"/>
      <w:r w:rsidRPr="00035A18">
        <w:rPr>
          <w:rFonts w:ascii="Arial" w:hAnsi="Arial" w:cs="Arial"/>
          <w:sz w:val="20"/>
          <w:szCs w:val="20"/>
        </w:rPr>
        <w:t>, P. R., &amp; Shrotri, S. M. (2021). Assessment of genetic variability, heritability and genetic advance for yield and yield contributing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10</w:t>
      </w:r>
      <w:r w:rsidRPr="00035A18">
        <w:rPr>
          <w:rFonts w:ascii="Arial" w:hAnsi="Arial" w:cs="Arial"/>
          <w:sz w:val="20"/>
          <w:szCs w:val="20"/>
        </w:rPr>
        <w:t>(11): 1008-1012.</w:t>
      </w:r>
    </w:p>
    <w:p w14:paraId="2E55B6A1"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ICAR-DGR, Annual Report, 2020. Accessed on: 10 April, 2023.</w:t>
      </w:r>
    </w:p>
    <w:p w14:paraId="294C1136" w14:textId="77777777" w:rsidR="005A1F4E" w:rsidRPr="00035A18" w:rsidRDefault="005A1F4E" w:rsidP="001C21BB">
      <w:pPr>
        <w:spacing w:line="240" w:lineRule="auto"/>
        <w:ind w:left="720" w:hanging="720"/>
        <w:jc w:val="both"/>
        <w:rPr>
          <w:rFonts w:ascii="Arial" w:hAnsi="Arial" w:cs="Arial"/>
          <w:i/>
          <w:iCs/>
          <w:sz w:val="20"/>
          <w:szCs w:val="20"/>
        </w:rPr>
      </w:pPr>
      <w:r w:rsidRPr="00035A18">
        <w:rPr>
          <w:rFonts w:ascii="Arial" w:hAnsi="Arial" w:cs="Arial"/>
          <w:sz w:val="20"/>
          <w:szCs w:val="20"/>
        </w:rPr>
        <w:t xml:space="preserve">Janila, P., Nagesh, P., Nigam, S.N., Pandey, M.K., Rajeev, V. (2013). Groundnut improvement: use of genetic and genomic tools, </w:t>
      </w:r>
      <w:r w:rsidRPr="00035A18">
        <w:rPr>
          <w:rFonts w:ascii="Arial" w:hAnsi="Arial" w:cs="Arial"/>
          <w:i/>
          <w:iCs/>
          <w:sz w:val="20"/>
          <w:szCs w:val="20"/>
        </w:rPr>
        <w:t>Frontiers in Plant Science</w:t>
      </w:r>
      <w:r w:rsidRPr="00035A18">
        <w:rPr>
          <w:rFonts w:ascii="Arial" w:hAnsi="Arial" w:cs="Arial"/>
          <w:sz w:val="20"/>
          <w:szCs w:val="20"/>
        </w:rPr>
        <w:t xml:space="preserve">, </w:t>
      </w:r>
      <w:r w:rsidRPr="00035A18">
        <w:rPr>
          <w:rFonts w:ascii="Arial" w:hAnsi="Arial" w:cs="Arial"/>
          <w:i/>
          <w:iCs/>
          <w:sz w:val="20"/>
          <w:szCs w:val="20"/>
        </w:rPr>
        <w:t>4.</w:t>
      </w:r>
    </w:p>
    <w:p w14:paraId="663D0C79" w14:textId="77777777" w:rsidR="005A1F4E" w:rsidRPr="001D3FED" w:rsidRDefault="005A1F4E" w:rsidP="001C21BB">
      <w:pPr>
        <w:spacing w:line="240" w:lineRule="auto"/>
        <w:ind w:left="720" w:hanging="720"/>
        <w:jc w:val="both"/>
        <w:rPr>
          <w:rFonts w:ascii="Arial" w:hAnsi="Arial" w:cs="Arial"/>
          <w:sz w:val="20"/>
          <w:szCs w:val="20"/>
          <w:highlight w:val="yellow"/>
        </w:rPr>
      </w:pPr>
      <w:r w:rsidRPr="001D3FED">
        <w:rPr>
          <w:rFonts w:ascii="Arial" w:hAnsi="Arial" w:cs="Arial"/>
          <w:sz w:val="20"/>
          <w:szCs w:val="20"/>
          <w:highlight w:val="yellow"/>
        </w:rPr>
        <w:t xml:space="preserve">Kumar, P., Kumar, R., Chouhan, S., &amp; </w:t>
      </w:r>
      <w:proofErr w:type="spellStart"/>
      <w:r w:rsidRPr="001D3FED">
        <w:rPr>
          <w:rFonts w:ascii="Arial" w:hAnsi="Arial" w:cs="Arial"/>
          <w:sz w:val="20"/>
          <w:szCs w:val="20"/>
          <w:highlight w:val="yellow"/>
        </w:rPr>
        <w:t>Tutlani</w:t>
      </w:r>
      <w:proofErr w:type="spellEnd"/>
      <w:r w:rsidRPr="001D3FED">
        <w:rPr>
          <w:rFonts w:ascii="Arial" w:hAnsi="Arial" w:cs="Arial"/>
          <w:sz w:val="20"/>
          <w:szCs w:val="20"/>
          <w:highlight w:val="yellow"/>
        </w:rPr>
        <w:t>, A. (2023). Exploring genetic variability, correlation and path analysis in fenugreek (</w:t>
      </w:r>
      <w:proofErr w:type="spellStart"/>
      <w:r w:rsidRPr="001D3FED">
        <w:rPr>
          <w:rFonts w:ascii="Arial" w:hAnsi="Arial" w:cs="Arial"/>
          <w:i/>
          <w:iCs/>
          <w:sz w:val="20"/>
          <w:szCs w:val="20"/>
          <w:highlight w:val="yellow"/>
        </w:rPr>
        <w:t>Trigonella</w:t>
      </w:r>
      <w:proofErr w:type="spellEnd"/>
      <w:r w:rsidRPr="001D3FED">
        <w:rPr>
          <w:rFonts w:ascii="Arial" w:hAnsi="Arial" w:cs="Arial"/>
          <w:i/>
          <w:iCs/>
          <w:sz w:val="20"/>
          <w:szCs w:val="20"/>
          <w:highlight w:val="yellow"/>
        </w:rPr>
        <w:t xml:space="preserve"> </w:t>
      </w:r>
      <w:proofErr w:type="spellStart"/>
      <w:r w:rsidRPr="001D3FED">
        <w:rPr>
          <w:rFonts w:ascii="Arial" w:hAnsi="Arial" w:cs="Arial"/>
          <w:i/>
          <w:iCs/>
          <w:sz w:val="20"/>
          <w:szCs w:val="20"/>
          <w:highlight w:val="yellow"/>
        </w:rPr>
        <w:t>foenum-graecum</w:t>
      </w:r>
      <w:proofErr w:type="spellEnd"/>
      <w:r w:rsidRPr="001D3FED">
        <w:rPr>
          <w:rFonts w:ascii="Arial" w:hAnsi="Arial" w:cs="Arial"/>
          <w:sz w:val="20"/>
          <w:szCs w:val="20"/>
          <w:highlight w:val="yellow"/>
        </w:rPr>
        <w:t xml:space="preserve"> L.) for crop improvement. </w:t>
      </w:r>
      <w:r w:rsidRPr="001D3FED">
        <w:rPr>
          <w:rFonts w:ascii="Arial" w:hAnsi="Arial" w:cs="Arial"/>
          <w:i/>
          <w:iCs/>
          <w:sz w:val="20"/>
          <w:szCs w:val="20"/>
          <w:highlight w:val="yellow"/>
        </w:rPr>
        <w:t>International Journal of Bio-resource and Stress Management</w:t>
      </w:r>
      <w:r w:rsidRPr="001D3FED">
        <w:rPr>
          <w:rFonts w:ascii="Arial" w:hAnsi="Arial" w:cs="Arial"/>
          <w:sz w:val="20"/>
          <w:szCs w:val="20"/>
          <w:highlight w:val="yellow"/>
        </w:rPr>
        <w:t>, </w:t>
      </w:r>
      <w:r w:rsidRPr="001D3FED">
        <w:rPr>
          <w:rFonts w:ascii="Arial" w:hAnsi="Arial" w:cs="Arial"/>
          <w:i/>
          <w:iCs/>
          <w:sz w:val="20"/>
          <w:szCs w:val="20"/>
          <w:highlight w:val="yellow"/>
        </w:rPr>
        <w:t>14</w:t>
      </w:r>
      <w:r w:rsidRPr="001D3FED">
        <w:rPr>
          <w:rFonts w:ascii="Arial" w:hAnsi="Arial" w:cs="Arial"/>
          <w:sz w:val="20"/>
          <w:szCs w:val="20"/>
          <w:highlight w:val="yellow"/>
        </w:rPr>
        <w:t>(11), 1523-1529.</w:t>
      </w:r>
    </w:p>
    <w:p w14:paraId="4F145F37"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Lothe</w:t>
      </w:r>
      <w:proofErr w:type="spellEnd"/>
      <w:r w:rsidRPr="00035A18">
        <w:rPr>
          <w:rFonts w:ascii="Arial" w:hAnsi="Arial" w:cs="Arial"/>
          <w:sz w:val="20"/>
          <w:szCs w:val="20"/>
        </w:rPr>
        <w:t>, G.R., &amp; More, S.R. (2022). Assessment of physiological indices for growth and yield of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(5): 1393-1398.</w:t>
      </w:r>
    </w:p>
    <w:p w14:paraId="5B9591FA" w14:textId="77777777" w:rsidR="005A1F4E" w:rsidRPr="00035A18" w:rsidRDefault="005A1F4E" w:rsidP="001C21BB">
      <w:pPr>
        <w:spacing w:line="240" w:lineRule="auto"/>
        <w:ind w:left="720" w:hanging="720"/>
        <w:jc w:val="both"/>
        <w:rPr>
          <w:rFonts w:ascii="Arial" w:hAnsi="Arial" w:cs="Arial"/>
          <w:color w:val="222222"/>
          <w:sz w:val="20"/>
          <w:szCs w:val="20"/>
          <w:shd w:val="clear" w:color="auto" w:fill="FFFFFF"/>
        </w:rPr>
      </w:pPr>
      <w:r w:rsidRPr="00035A18">
        <w:rPr>
          <w:rFonts w:ascii="Arial" w:hAnsi="Arial" w:cs="Arial"/>
          <w:color w:val="222222"/>
          <w:sz w:val="20"/>
          <w:szCs w:val="20"/>
          <w:shd w:val="clear" w:color="auto" w:fill="FFFFFF"/>
        </w:rPr>
        <w:t>Miller, P. A., Williams Jr, J. C., Robinson, H. F., &amp; Comstock, R. E. (1958). Estimates of genotypic and environmental variances and covariances in upland cotton and their implications in selection 1. </w:t>
      </w:r>
      <w:r w:rsidRPr="00035A18">
        <w:rPr>
          <w:rFonts w:ascii="Arial" w:hAnsi="Arial" w:cs="Arial"/>
          <w:i/>
          <w:iCs/>
          <w:color w:val="222222"/>
          <w:sz w:val="20"/>
          <w:szCs w:val="20"/>
          <w:shd w:val="clear" w:color="auto" w:fill="FFFFFF"/>
        </w:rPr>
        <w:t>Agronomy journal</w:t>
      </w:r>
      <w:r w:rsidRPr="00035A18">
        <w:rPr>
          <w:rFonts w:ascii="Arial" w:hAnsi="Arial" w:cs="Arial"/>
          <w:color w:val="222222"/>
          <w:sz w:val="20"/>
          <w:szCs w:val="20"/>
          <w:shd w:val="clear" w:color="auto" w:fill="FFFFFF"/>
        </w:rPr>
        <w:t>, </w:t>
      </w:r>
      <w:r w:rsidRPr="00035A18">
        <w:rPr>
          <w:rFonts w:ascii="Arial" w:hAnsi="Arial" w:cs="Arial"/>
          <w:i/>
          <w:iCs/>
          <w:color w:val="222222"/>
          <w:sz w:val="20"/>
          <w:szCs w:val="20"/>
          <w:shd w:val="clear" w:color="auto" w:fill="FFFFFF"/>
        </w:rPr>
        <w:t>50</w:t>
      </w:r>
      <w:r w:rsidRPr="00035A18">
        <w:rPr>
          <w:rFonts w:ascii="Arial" w:hAnsi="Arial" w:cs="Arial"/>
          <w:color w:val="222222"/>
          <w:sz w:val="20"/>
          <w:szCs w:val="20"/>
          <w:shd w:val="clear" w:color="auto" w:fill="FFFFFF"/>
        </w:rPr>
        <w:t>(3), 126-131.</w:t>
      </w:r>
    </w:p>
    <w:p w14:paraId="140E0B39" w14:textId="77777777" w:rsidR="005A1F4E" w:rsidRPr="00035A18" w:rsidRDefault="005A1F4E"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Naik</w:t>
      </w:r>
      <w:proofErr w:type="spellEnd"/>
      <w:r w:rsidRPr="00035A18">
        <w:rPr>
          <w:rFonts w:ascii="Arial" w:hAnsi="Arial" w:cs="Arial"/>
          <w:sz w:val="20"/>
          <w:szCs w:val="20"/>
        </w:rPr>
        <w:t xml:space="preserve">, K.S.S., Ramesh, D., Srinivas, T., &amp; Sudhishna, E. (2021). Studies on Character Association and Path Analysis in Groundnut. </w:t>
      </w:r>
      <w:r w:rsidRPr="00035A18">
        <w:rPr>
          <w:rFonts w:ascii="Arial" w:hAnsi="Arial" w:cs="Arial"/>
          <w:i/>
          <w:iCs/>
          <w:sz w:val="20"/>
          <w:szCs w:val="20"/>
        </w:rPr>
        <w:t xml:space="preserve">The Andhra Agricultural Journal, 68 </w:t>
      </w:r>
      <w:r w:rsidRPr="00035A18">
        <w:rPr>
          <w:rFonts w:ascii="Arial" w:hAnsi="Arial" w:cs="Arial"/>
          <w:sz w:val="20"/>
          <w:szCs w:val="20"/>
        </w:rPr>
        <w:t>(2): 182-188.</w:t>
      </w:r>
    </w:p>
    <w:p w14:paraId="79D156A8"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Pachauri, P., &amp; Sikarwar, R.S. (2022). Correlation and path analysis of different environments for yield and component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(2): 1181-1186.</w:t>
      </w:r>
    </w:p>
    <w:p w14:paraId="6EF659C6"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Prajapati, M. R., and </w:t>
      </w:r>
      <w:proofErr w:type="spellStart"/>
      <w:r w:rsidRPr="00035A18">
        <w:rPr>
          <w:rFonts w:ascii="Arial" w:hAnsi="Arial" w:cs="Arial"/>
          <w:sz w:val="20"/>
          <w:szCs w:val="20"/>
        </w:rPr>
        <w:t>Ramoliya</w:t>
      </w:r>
      <w:proofErr w:type="spellEnd"/>
      <w:r w:rsidRPr="00035A18">
        <w:rPr>
          <w:rFonts w:ascii="Arial" w:hAnsi="Arial" w:cs="Arial"/>
          <w:sz w:val="20"/>
          <w:szCs w:val="20"/>
        </w:rPr>
        <w:t xml:space="preserve">, R. K. (2022). A Study on Level of Input and Economics of Production of Groundnut in Gujarat. </w:t>
      </w:r>
      <w:r w:rsidRPr="00035A18">
        <w:rPr>
          <w:rFonts w:ascii="Arial" w:hAnsi="Arial" w:cs="Arial"/>
          <w:i/>
          <w:iCs/>
          <w:sz w:val="20"/>
          <w:szCs w:val="20"/>
        </w:rPr>
        <w:t>Current Journal of Applied Science and Technology</w:t>
      </w:r>
      <w:r w:rsidRPr="00035A18">
        <w:rPr>
          <w:rFonts w:ascii="Arial" w:hAnsi="Arial" w:cs="Arial"/>
          <w:sz w:val="20"/>
          <w:szCs w:val="20"/>
        </w:rPr>
        <w:t xml:space="preserve">, </w:t>
      </w:r>
      <w:r w:rsidRPr="00035A18">
        <w:rPr>
          <w:rFonts w:ascii="Arial" w:hAnsi="Arial" w:cs="Arial"/>
          <w:i/>
          <w:iCs/>
          <w:sz w:val="20"/>
          <w:szCs w:val="20"/>
        </w:rPr>
        <w:t>41</w:t>
      </w:r>
      <w:r w:rsidRPr="00035A18">
        <w:rPr>
          <w:rFonts w:ascii="Arial" w:hAnsi="Arial" w:cs="Arial"/>
          <w:sz w:val="20"/>
          <w:szCs w:val="20"/>
        </w:rPr>
        <w:t>(37): 30-41.</w:t>
      </w:r>
    </w:p>
    <w:p w14:paraId="7BDEECC0" w14:textId="77777777" w:rsidR="005A1F4E" w:rsidRDefault="005A1F4E" w:rsidP="001C21BB">
      <w:pPr>
        <w:spacing w:line="240" w:lineRule="auto"/>
        <w:ind w:left="720" w:hanging="720"/>
        <w:jc w:val="both"/>
        <w:rPr>
          <w:rFonts w:ascii="Arial" w:hAnsi="Arial" w:cs="Arial"/>
          <w:sz w:val="20"/>
          <w:szCs w:val="20"/>
        </w:rPr>
      </w:pPr>
      <w:r w:rsidRPr="005A1F4E">
        <w:rPr>
          <w:rFonts w:ascii="Arial" w:hAnsi="Arial" w:cs="Arial"/>
          <w:sz w:val="20"/>
          <w:szCs w:val="20"/>
          <w:highlight w:val="yellow"/>
        </w:rPr>
        <w:t xml:space="preserve">Santhoshini, A., Dubey, N., </w:t>
      </w:r>
      <w:proofErr w:type="spellStart"/>
      <w:r w:rsidRPr="005A1F4E">
        <w:rPr>
          <w:rFonts w:ascii="Arial" w:hAnsi="Arial" w:cs="Arial"/>
          <w:sz w:val="20"/>
          <w:szCs w:val="20"/>
          <w:highlight w:val="yellow"/>
        </w:rPr>
        <w:t>Avinashe</w:t>
      </w:r>
      <w:proofErr w:type="spellEnd"/>
      <w:r w:rsidRPr="005A1F4E">
        <w:rPr>
          <w:rFonts w:ascii="Arial" w:hAnsi="Arial" w:cs="Arial"/>
          <w:sz w:val="20"/>
          <w:szCs w:val="20"/>
          <w:highlight w:val="yellow"/>
        </w:rPr>
        <w:t xml:space="preserve">, H. A., </w:t>
      </w:r>
      <w:proofErr w:type="spellStart"/>
      <w:r w:rsidRPr="005A1F4E">
        <w:rPr>
          <w:rFonts w:ascii="Arial" w:hAnsi="Arial" w:cs="Arial"/>
          <w:sz w:val="20"/>
          <w:szCs w:val="20"/>
          <w:highlight w:val="yellow"/>
        </w:rPr>
        <w:t>Thonta</w:t>
      </w:r>
      <w:proofErr w:type="spellEnd"/>
      <w:r w:rsidRPr="005A1F4E">
        <w:rPr>
          <w:rFonts w:ascii="Arial" w:hAnsi="Arial" w:cs="Arial"/>
          <w:sz w:val="20"/>
          <w:szCs w:val="20"/>
          <w:highlight w:val="yellow"/>
        </w:rPr>
        <w:t>, R., &amp; Kumar, R. (2023). Inheritance studies in segregating population of bread wheat (</w:t>
      </w:r>
      <w:r w:rsidRPr="005A1F4E">
        <w:rPr>
          <w:rFonts w:ascii="Arial" w:hAnsi="Arial" w:cs="Arial"/>
          <w:i/>
          <w:iCs/>
          <w:sz w:val="20"/>
          <w:szCs w:val="20"/>
          <w:highlight w:val="yellow"/>
        </w:rPr>
        <w:t>Triticum aestivum</w:t>
      </w:r>
      <w:r w:rsidRPr="005A1F4E">
        <w:rPr>
          <w:rFonts w:ascii="Arial" w:hAnsi="Arial" w:cs="Arial"/>
          <w:sz w:val="20"/>
          <w:szCs w:val="20"/>
          <w:highlight w:val="yellow"/>
        </w:rPr>
        <w:t xml:space="preserve"> L.). </w:t>
      </w:r>
      <w:r w:rsidRPr="005A1F4E">
        <w:rPr>
          <w:rFonts w:ascii="Arial" w:hAnsi="Arial" w:cs="Arial"/>
          <w:i/>
          <w:iCs/>
          <w:sz w:val="20"/>
          <w:szCs w:val="20"/>
          <w:highlight w:val="yellow"/>
        </w:rPr>
        <w:t>International Journal of Environment and Climate Change</w:t>
      </w:r>
      <w:r w:rsidRPr="005A1F4E">
        <w:rPr>
          <w:rFonts w:ascii="Arial" w:hAnsi="Arial" w:cs="Arial"/>
          <w:sz w:val="20"/>
          <w:szCs w:val="20"/>
          <w:highlight w:val="yellow"/>
        </w:rPr>
        <w:t>, </w:t>
      </w:r>
      <w:r w:rsidRPr="005A1F4E">
        <w:rPr>
          <w:rFonts w:ascii="Arial" w:hAnsi="Arial" w:cs="Arial"/>
          <w:i/>
          <w:iCs/>
          <w:sz w:val="20"/>
          <w:szCs w:val="20"/>
          <w:highlight w:val="yellow"/>
        </w:rPr>
        <w:t>13</w:t>
      </w:r>
      <w:r w:rsidRPr="005A1F4E">
        <w:rPr>
          <w:rFonts w:ascii="Arial" w:hAnsi="Arial" w:cs="Arial"/>
          <w:sz w:val="20"/>
          <w:szCs w:val="20"/>
          <w:highlight w:val="yellow"/>
        </w:rPr>
        <w:t>(9), 277-287.</w:t>
      </w:r>
    </w:p>
    <w:p w14:paraId="322D6A47" w14:textId="77777777" w:rsidR="005A1F4E" w:rsidRPr="00035A18"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Sridevi, S., Meenakumari, B., Manivannan, N., &amp; Ravichandran, V. (2022). Assessment of genetic variability, character association and path analysis of kernel yield and yield components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Electronic Journal of Plant Breeding</w:t>
      </w:r>
      <w:r w:rsidRPr="00035A18">
        <w:rPr>
          <w:rFonts w:ascii="Arial" w:hAnsi="Arial" w:cs="Arial"/>
          <w:sz w:val="20"/>
          <w:szCs w:val="20"/>
        </w:rPr>
        <w:t xml:space="preserve">, </w:t>
      </w:r>
      <w:r w:rsidRPr="00035A18">
        <w:rPr>
          <w:rFonts w:ascii="Arial" w:hAnsi="Arial" w:cs="Arial"/>
          <w:i/>
          <w:iCs/>
          <w:sz w:val="20"/>
          <w:szCs w:val="20"/>
        </w:rPr>
        <w:t>13</w:t>
      </w:r>
      <w:r w:rsidRPr="00035A18">
        <w:rPr>
          <w:rFonts w:ascii="Arial" w:hAnsi="Arial" w:cs="Arial"/>
          <w:sz w:val="20"/>
          <w:szCs w:val="20"/>
        </w:rPr>
        <w:t>(2), 476-481.</w:t>
      </w:r>
    </w:p>
    <w:p w14:paraId="1352E842" w14:textId="77777777" w:rsidR="005A1F4E" w:rsidRDefault="005A1F4E"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Statista. (2023). India: groundnut production volume 2023. Accessed on: 12 April, 2023. </w:t>
      </w:r>
    </w:p>
    <w:p w14:paraId="6EA4E3DF" w14:textId="77777777" w:rsidR="005A1F4E" w:rsidRDefault="005A1F4E" w:rsidP="001C21BB">
      <w:pPr>
        <w:spacing w:line="240" w:lineRule="auto"/>
        <w:ind w:left="720" w:hanging="720"/>
        <w:jc w:val="both"/>
        <w:rPr>
          <w:rFonts w:ascii="Arial" w:hAnsi="Arial" w:cs="Arial"/>
          <w:sz w:val="20"/>
          <w:szCs w:val="20"/>
        </w:rPr>
      </w:pPr>
      <w:proofErr w:type="spellStart"/>
      <w:r w:rsidRPr="001D3FED">
        <w:rPr>
          <w:rFonts w:ascii="Arial" w:hAnsi="Arial" w:cs="Arial"/>
          <w:sz w:val="20"/>
          <w:szCs w:val="20"/>
          <w:highlight w:val="yellow"/>
        </w:rPr>
        <w:t>Tutlani</w:t>
      </w:r>
      <w:proofErr w:type="spellEnd"/>
      <w:r w:rsidRPr="001D3FED">
        <w:rPr>
          <w:rFonts w:ascii="Arial" w:hAnsi="Arial" w:cs="Arial"/>
          <w:sz w:val="20"/>
          <w:szCs w:val="20"/>
          <w:highlight w:val="yellow"/>
        </w:rPr>
        <w:t>, A., Jaiswal, P., Kumar, R., Rashid, M., Hussan, S. U., Bashir, I., ... &amp; Rashid, Z. (2024). Correlation and Path Coefficient Analysis for Yield and its Phenological, Physiological, Morphological and Biochemical Traits under 60 mM Salinity Stress in Chickpea (</w:t>
      </w:r>
      <w:r w:rsidRPr="001D3FED">
        <w:rPr>
          <w:rFonts w:ascii="Arial" w:hAnsi="Arial" w:cs="Arial"/>
          <w:i/>
          <w:iCs/>
          <w:sz w:val="20"/>
          <w:szCs w:val="20"/>
          <w:highlight w:val="yellow"/>
        </w:rPr>
        <w:t>Cicer arietinum</w:t>
      </w:r>
      <w:r w:rsidRPr="001D3FED">
        <w:rPr>
          <w:rFonts w:ascii="Arial" w:hAnsi="Arial" w:cs="Arial"/>
          <w:sz w:val="20"/>
          <w:szCs w:val="20"/>
          <w:highlight w:val="yellow"/>
        </w:rPr>
        <w:t xml:space="preserve"> L.). </w:t>
      </w:r>
      <w:r w:rsidRPr="001D3FED">
        <w:rPr>
          <w:rFonts w:ascii="Arial" w:hAnsi="Arial" w:cs="Arial"/>
          <w:i/>
          <w:iCs/>
          <w:sz w:val="20"/>
          <w:szCs w:val="20"/>
          <w:highlight w:val="yellow"/>
        </w:rPr>
        <w:t>International Journal of Bio-Resource &amp; Stress Management</w:t>
      </w:r>
      <w:r w:rsidRPr="001D3FED">
        <w:rPr>
          <w:rFonts w:ascii="Arial" w:hAnsi="Arial" w:cs="Arial"/>
          <w:sz w:val="20"/>
          <w:szCs w:val="20"/>
          <w:highlight w:val="yellow"/>
        </w:rPr>
        <w:t>, </w:t>
      </w:r>
      <w:r w:rsidRPr="001D3FED">
        <w:rPr>
          <w:rFonts w:ascii="Arial" w:hAnsi="Arial" w:cs="Arial"/>
          <w:i/>
          <w:iCs/>
          <w:sz w:val="20"/>
          <w:szCs w:val="20"/>
          <w:highlight w:val="yellow"/>
        </w:rPr>
        <w:t>15</w:t>
      </w:r>
      <w:r w:rsidRPr="001D3FED">
        <w:rPr>
          <w:rFonts w:ascii="Arial" w:hAnsi="Arial" w:cs="Arial"/>
          <w:sz w:val="20"/>
          <w:szCs w:val="20"/>
          <w:highlight w:val="yellow"/>
        </w:rPr>
        <w:t>(10).</w:t>
      </w:r>
    </w:p>
    <w:p w14:paraId="4FFCEDE8" w14:textId="77777777" w:rsidR="001D3FED" w:rsidRPr="00035A18" w:rsidRDefault="001D3FED" w:rsidP="001C21BB">
      <w:pPr>
        <w:spacing w:line="240" w:lineRule="auto"/>
        <w:ind w:left="720" w:hanging="720"/>
        <w:jc w:val="both"/>
        <w:rPr>
          <w:rFonts w:ascii="Arial" w:hAnsi="Arial" w:cs="Arial"/>
          <w:sz w:val="20"/>
          <w:szCs w:val="20"/>
        </w:rPr>
      </w:pPr>
    </w:p>
    <w:p w14:paraId="7515A5F3" w14:textId="77777777" w:rsidR="001C21BB" w:rsidRPr="00A52D20" w:rsidRDefault="001C21BB" w:rsidP="00A52D20">
      <w:pPr>
        <w:spacing w:line="240" w:lineRule="auto"/>
        <w:rPr>
          <w:rFonts w:ascii="Arial" w:hAnsi="Arial" w:cs="Arial"/>
          <w:sz w:val="20"/>
          <w:szCs w:val="20"/>
        </w:rPr>
      </w:pPr>
    </w:p>
    <w:sectPr w:rsidR="001C21BB" w:rsidRPr="00A52D20" w:rsidSect="005E5B9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1F6C5" w14:textId="77777777" w:rsidR="00281246" w:rsidRDefault="00281246" w:rsidP="00985E3F">
      <w:pPr>
        <w:spacing w:after="0" w:line="240" w:lineRule="auto"/>
      </w:pPr>
      <w:r>
        <w:separator/>
      </w:r>
    </w:p>
  </w:endnote>
  <w:endnote w:type="continuationSeparator" w:id="0">
    <w:p w14:paraId="288274DE" w14:textId="77777777" w:rsidR="00281246" w:rsidRDefault="00281246" w:rsidP="0098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179C" w14:textId="77777777" w:rsidR="00777822" w:rsidRDefault="0077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70DC" w14:textId="77777777" w:rsidR="00777822" w:rsidRDefault="00777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7245" w14:textId="77777777" w:rsidR="00777822" w:rsidRDefault="0077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A2E5" w14:textId="77777777" w:rsidR="00281246" w:rsidRDefault="00281246" w:rsidP="00985E3F">
      <w:pPr>
        <w:spacing w:after="0" w:line="240" w:lineRule="auto"/>
      </w:pPr>
      <w:r>
        <w:separator/>
      </w:r>
    </w:p>
  </w:footnote>
  <w:footnote w:type="continuationSeparator" w:id="0">
    <w:p w14:paraId="6D977E80" w14:textId="77777777" w:rsidR="00281246" w:rsidRDefault="00281246" w:rsidP="0098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A3994" w14:textId="10DF7DE1" w:rsidR="00777822" w:rsidRDefault="00281246">
    <w:pPr>
      <w:pStyle w:val="Header"/>
    </w:pPr>
    <w:r>
      <w:rPr>
        <w:noProof/>
      </w:rPr>
      <w:pict w14:anchorId="5B52C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C7D5" w14:textId="03A372AF" w:rsidR="00777822" w:rsidRDefault="00281246">
    <w:pPr>
      <w:pStyle w:val="Header"/>
    </w:pPr>
    <w:r>
      <w:rPr>
        <w:noProof/>
      </w:rPr>
      <w:pict w14:anchorId="57BCD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2DFA" w14:textId="041B1C28" w:rsidR="00777822" w:rsidRDefault="00281246">
    <w:pPr>
      <w:pStyle w:val="Header"/>
    </w:pPr>
    <w:r>
      <w:rPr>
        <w:noProof/>
      </w:rPr>
      <w:pict w14:anchorId="7FF20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A697" w14:textId="2B77964F" w:rsidR="00777822" w:rsidRDefault="00281246">
    <w:pPr>
      <w:pStyle w:val="Header"/>
    </w:pPr>
    <w:r>
      <w:rPr>
        <w:noProof/>
      </w:rPr>
      <w:pict w14:anchorId="75111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CF26" w14:textId="143404D2" w:rsidR="00777822" w:rsidRDefault="00281246">
    <w:pPr>
      <w:pStyle w:val="Header"/>
    </w:pPr>
    <w:r>
      <w:rPr>
        <w:noProof/>
      </w:rPr>
      <w:pict w14:anchorId="31408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B5EA" w14:textId="41E85DB6" w:rsidR="00C01FC5" w:rsidRDefault="00281246" w:rsidP="00F7098E">
    <w:pPr>
      <w:spacing w:before="100" w:beforeAutospacing="1" w:after="100" w:afterAutospacing="1" w:line="360" w:lineRule="auto"/>
      <w:jc w:val="center"/>
      <w:rPr>
        <w:b/>
      </w:rPr>
    </w:pPr>
    <w:r>
      <w:rPr>
        <w:noProof/>
      </w:rPr>
      <w:pict w14:anchorId="434B7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3" o:spid="_x0000_s2052" type="#_x0000_t136" style="position:absolute;left:0;text-align:left;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0339"/>
    <w:multiLevelType w:val="multilevel"/>
    <w:tmpl w:val="BDC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4C8"/>
    <w:multiLevelType w:val="multilevel"/>
    <w:tmpl w:val="DB1A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20"/>
    <w:rsid w:val="000E4883"/>
    <w:rsid w:val="001B3225"/>
    <w:rsid w:val="001C21BB"/>
    <w:rsid w:val="001D3FED"/>
    <w:rsid w:val="001F5CED"/>
    <w:rsid w:val="00281246"/>
    <w:rsid w:val="003F7173"/>
    <w:rsid w:val="00451601"/>
    <w:rsid w:val="00544A3C"/>
    <w:rsid w:val="005A1F4E"/>
    <w:rsid w:val="005E5B95"/>
    <w:rsid w:val="00691D60"/>
    <w:rsid w:val="007415C1"/>
    <w:rsid w:val="00777822"/>
    <w:rsid w:val="007F1E03"/>
    <w:rsid w:val="007F38B2"/>
    <w:rsid w:val="008A428C"/>
    <w:rsid w:val="008A43C7"/>
    <w:rsid w:val="00985E3F"/>
    <w:rsid w:val="009B0279"/>
    <w:rsid w:val="00A2119E"/>
    <w:rsid w:val="00A52D20"/>
    <w:rsid w:val="00A77059"/>
    <w:rsid w:val="00AA7C14"/>
    <w:rsid w:val="00B31F8E"/>
    <w:rsid w:val="00B43974"/>
    <w:rsid w:val="00BE1F2A"/>
    <w:rsid w:val="00BE569A"/>
    <w:rsid w:val="00BF1E69"/>
    <w:rsid w:val="00C01FC5"/>
    <w:rsid w:val="00C91BDB"/>
    <w:rsid w:val="00CF6736"/>
    <w:rsid w:val="00D42C71"/>
    <w:rsid w:val="00E71879"/>
    <w:rsid w:val="00F709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7CE34D"/>
  <w15:chartTrackingRefBased/>
  <w15:docId w15:val="{C24B0E48-0DDA-47A1-9734-54DBC3E2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20"/>
    <w:pPr>
      <w:spacing w:after="200" w:line="276" w:lineRule="auto"/>
      <w:ind w:left="0"/>
      <w:jc w:val="left"/>
    </w:pPr>
    <w:rPr>
      <w:rFonts w:eastAsiaTheme="minorEastAsia"/>
      <w:lang w:val="en-US"/>
    </w:rPr>
  </w:style>
  <w:style w:type="paragraph" w:styleId="Heading3">
    <w:name w:val="heading 3"/>
    <w:basedOn w:val="Normal"/>
    <w:link w:val="Heading3Char"/>
    <w:uiPriority w:val="9"/>
    <w:qFormat/>
    <w:rsid w:val="00A52D2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D20"/>
    <w:rPr>
      <w:rFonts w:ascii="Times New Roman" w:eastAsia="Times New Roman" w:hAnsi="Times New Roman" w:cs="Times New Roman"/>
      <w:b/>
      <w:bCs/>
      <w:sz w:val="27"/>
      <w:szCs w:val="27"/>
      <w:lang w:val="en-US" w:eastAsia="en-IN"/>
    </w:rPr>
  </w:style>
  <w:style w:type="character" w:styleId="Strong">
    <w:name w:val="Strong"/>
    <w:basedOn w:val="DefaultParagraphFont"/>
    <w:uiPriority w:val="22"/>
    <w:qFormat/>
    <w:rsid w:val="00A52D20"/>
    <w:rPr>
      <w:b/>
      <w:bCs/>
    </w:rPr>
  </w:style>
  <w:style w:type="table" w:styleId="TableGrid">
    <w:name w:val="Table Grid"/>
    <w:basedOn w:val="TableNormal"/>
    <w:uiPriority w:val="59"/>
    <w:rsid w:val="00A52D20"/>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52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20"/>
    <w:rPr>
      <w:rFonts w:eastAsiaTheme="minorEastAsia"/>
      <w:lang w:val="en-US"/>
    </w:rPr>
  </w:style>
  <w:style w:type="character" w:styleId="Emphasis">
    <w:name w:val="Emphasis"/>
    <w:basedOn w:val="DefaultParagraphFont"/>
    <w:uiPriority w:val="20"/>
    <w:qFormat/>
    <w:rsid w:val="00A52D20"/>
    <w:rPr>
      <w:i/>
      <w:iCs/>
    </w:rPr>
  </w:style>
  <w:style w:type="paragraph" w:styleId="ListParagraph">
    <w:name w:val="List Paragraph"/>
    <w:basedOn w:val="Normal"/>
    <w:uiPriority w:val="1"/>
    <w:qFormat/>
    <w:rsid w:val="00A52D20"/>
    <w:pPr>
      <w:widowControl w:val="0"/>
      <w:autoSpaceDE w:val="0"/>
      <w:autoSpaceDN w:val="0"/>
      <w:spacing w:after="0" w:line="240" w:lineRule="auto"/>
      <w:ind w:left="604" w:hanging="244"/>
    </w:pPr>
    <w:rPr>
      <w:rFonts w:ascii="Times New Roman" w:eastAsia="Times New Roman" w:hAnsi="Times New Roman" w:cs="Times New Roman"/>
    </w:rPr>
  </w:style>
  <w:style w:type="paragraph" w:styleId="NoSpacing">
    <w:name w:val="No Spacing"/>
    <w:uiPriority w:val="1"/>
    <w:qFormat/>
    <w:rsid w:val="00A52D20"/>
    <w:pPr>
      <w:spacing w:line="240" w:lineRule="auto"/>
      <w:ind w:left="0"/>
      <w:jc w:val="left"/>
    </w:pPr>
    <w:rPr>
      <w:rFonts w:eastAsiaTheme="minorEastAsia"/>
      <w:lang w:val="en-US"/>
    </w:rPr>
  </w:style>
  <w:style w:type="character" w:styleId="Hyperlink">
    <w:name w:val="Hyperlink"/>
    <w:basedOn w:val="DefaultParagraphFont"/>
    <w:uiPriority w:val="99"/>
    <w:unhideWhenUsed/>
    <w:rsid w:val="00A52D20"/>
    <w:rPr>
      <w:color w:val="0563C1" w:themeColor="hyperlink"/>
      <w:u w:val="single"/>
    </w:rPr>
  </w:style>
  <w:style w:type="paragraph" w:styleId="NormalWeb">
    <w:name w:val="Normal (Web)"/>
    <w:basedOn w:val="Normal"/>
    <w:uiPriority w:val="99"/>
    <w:unhideWhenUsed/>
    <w:rsid w:val="00A52D2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8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3F"/>
    <w:rPr>
      <w:rFonts w:eastAsiaTheme="minorEastAsia"/>
      <w:lang w:val="en-US"/>
    </w:rPr>
  </w:style>
  <w:style w:type="paragraph" w:customStyle="1" w:styleId="Default">
    <w:name w:val="Default"/>
    <w:rsid w:val="001C21BB"/>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BE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CPU 1117</cp:lastModifiedBy>
  <cp:revision>24</cp:revision>
  <dcterms:created xsi:type="dcterms:W3CDTF">2025-11-21T04:15:00Z</dcterms:created>
  <dcterms:modified xsi:type="dcterms:W3CDTF">2025-11-26T10:56:00Z</dcterms:modified>
</cp:coreProperties>
</file>