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856" w:rsidRDefault="00502895">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Designing Curricula for AI Literacy: A Narrative Review of Emerging Frameworks and Pedagogical Models</w:t>
      </w:r>
    </w:p>
    <w:p w:rsidR="00111856" w:rsidRDefault="00111856">
      <w:pPr>
        <w:spacing w:before="100" w:beforeAutospacing="1" w:after="100" w:afterAutospacing="1" w:line="240" w:lineRule="auto"/>
        <w:rPr>
          <w:rFonts w:ascii="Times New Roman" w:eastAsia="Times New Roman" w:hAnsi="Times New Roman" w:cs="Times New Roman"/>
          <w:b/>
          <w:bCs/>
          <w:sz w:val="24"/>
          <w:szCs w:val="24"/>
        </w:rPr>
      </w:pPr>
    </w:p>
    <w:p w:rsidR="00111856" w:rsidRDefault="00502895">
      <w:pPr>
        <w:pStyle w:val="Heading2"/>
      </w:pPr>
      <w:r>
        <w:rPr>
          <w:rStyle w:val="Strong"/>
          <w:b/>
          <w:bCs/>
        </w:rPr>
        <w:t>Abstract</w:t>
      </w:r>
    </w:p>
    <w:p w:rsidR="00111856" w:rsidRDefault="00502895">
      <w:pPr>
        <w:pStyle w:val="NormalWeb"/>
      </w:pPr>
      <w:r>
        <w:t>Artificial intelligence (AI) is rapidly reshaping the nature of work, communication, and civic life, positioning AI literacy as an essential competency for learners in the 21st century. Education systems are increasingly tasked with integrating AI concepts, yet uncertainty persists about what knowledge and skills should be prioritized, how they should be taught, and which frameworks best support scalable adoption. This narrative review synthesizes emerging literature on AI literacy curriculum design to provide clarity on the field’s evolving foundations. Relevant scholarship was identified through academic database searches and thematic analysis, including peer-reviewed studies, educational frameworks, and policy documents published between 2016 and 2025. The review identifies four primary competency domains—technical knowledge, ethical and societal awareness, human–AI collaboration, and problem-solving and creativity—and highlights pedagogical approaches that promote active, critical, and experiential learning. However, significant gaps remain, particularly regarding equitable access, teacher preparedness, and alignment of policy with rapidly advancing technology. The findings underscore the need for coordinated, research-informed frameworks that embed ethics, inclusion, and adaptability at every level of implementation. Future research and policy efforts should focus on establishing universal learning standards and sustainable support structures to ensure that AI literacy becomes a fundamental and accessible component of modern education.</w:t>
      </w:r>
    </w:p>
    <w:p w:rsidR="00111856" w:rsidRDefault="00502895">
      <w:pPr>
        <w:pStyle w:val="Heading2"/>
      </w:pPr>
      <w:r>
        <w:rPr>
          <w:rStyle w:val="Strong"/>
          <w:b/>
          <w:bCs/>
        </w:rPr>
        <w:t>Keywords</w:t>
      </w:r>
    </w:p>
    <w:p w:rsidR="00111856" w:rsidRDefault="00502895">
      <w:pPr>
        <w:pStyle w:val="NormalWeb"/>
      </w:pPr>
      <w:r>
        <w:t>AI literacy, curriculum design, computational thinking, AI education, digital pedagogy, K-12 education, higher education</w:t>
      </w:r>
    </w:p>
    <w:p w:rsidR="00111856" w:rsidRDefault="0050289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 Introduction</w:t>
      </w: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 Global rise of artificial intelligence and implications for education</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(AI) has rapidly transitioned from a specialized technological domain to a ubiquitous and transformative force influencing nearly every sector of society. AI systems increasingly mediate how individuals communicate, learn, work, and solve problems. These advancements have created urgent demand for a population capable of not only using AI technologies but also understanding their underlying principles, ethical implications, and societal impact. Education systems worldwide are therefore under mounting pressure to integrate AI-related competencies into curricula to prepare learners for participation in AI-enhanced economies and democratic processes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{"citationID":"RwDQbHzx","properties":{"formattedCitation":"(Brandao, 2025)","plainCitation":"(Brandao, 2025)","noteIndex":0},"citationItems":[{"id":9517,"uris":["http://zotero.org/users/16652950/items/Q3NVEXQG"],"itemData":{"id":9517,"type":"article-journal","abstract":"In recent years, artificial intelligence (AI) has emerged as a transformative force across various sectors of modern society, reshaping economic landscapes, social interactions, and ethical considerations. This paper explores the multifaceted impact of AI, analyzing its implications for employment, privacy, and decision-making processes. By synthesizing recent research and case studies, we investigate the dual nature of AI as both a catalyst for innovation and a source of potential disruption. The findings highlight the necessity for proactive governance and ethical frameworks to mitigate risks associated with AI deployment while maximizing its benefits. Ultimately, this paper aims to provide a comprehensive understanding of how AI is redefining human experiences and societal norms, encouraging further discourse on the sustainable integration of these technologies in everyday life.","container-title":"AI","DOI":"10.3390/ai6080190","ISSN":"2673-2688","issue":"8","language":"en","license":"http://creativecommons.org/licenses/by/3.0/","note":"publisher: Multidisciplinary Digital Publishing Institute","page":"190","source":"www.mdpi.com","title":"The Impact of Artificial Intelligence on Modern Society","volume":"6","author":[{"family":"Brandao","given":"Pedro Ramos"}],"issued":{"date-parts":[["2025",8]]}}}],"schema":"https://github.com/citation-style-language/schema/raw/master/csl-citation.json"} </w:instrText>
      </w:r>
      <w:r>
        <w:rPr>
          <w:rFonts w:ascii="Times New Roman" w:eastAsia="Times New Roman" w:hAnsi="Times New Roman" w:cs="Times New Roman"/>
          <w:sz w:val="24"/>
          <w:szCs w:val="24"/>
        </w:rPr>
        <w:fldChar w:fldCharType="separate"/>
      </w:r>
      <w:r w:rsidR="0046095A" w:rsidRPr="0046095A">
        <w:rPr>
          <w:rFonts w:ascii="Times New Roman" w:hAnsi="Times New Roman" w:cs="Times New Roman"/>
          <w:sz w:val="24"/>
        </w:rPr>
        <w:t>(Brandao,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1.2 Definition and evolving scope of “AI literacy”</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concept of </w:t>
      </w:r>
      <w:r>
        <w:rPr>
          <w:rFonts w:ascii="Times New Roman" w:eastAsia="Times New Roman" w:hAnsi="Times New Roman" w:cs="Times New Roman"/>
          <w:b/>
          <w:bCs/>
          <w:sz w:val="24"/>
          <w:szCs w:val="24"/>
        </w:rPr>
        <w:t>AI literacy</w:t>
      </w:r>
      <w:r>
        <w:rPr>
          <w:rFonts w:ascii="Times New Roman" w:eastAsia="Times New Roman" w:hAnsi="Times New Roman" w:cs="Times New Roman"/>
          <w:sz w:val="24"/>
          <w:szCs w:val="24"/>
        </w:rPr>
        <w:t xml:space="preserve"> has emerged as a critical response to these demands. However, its scope remains dynamic and contested. Early notions emphasized technical knowledge, such as understanding machine learning and automation processes. More recent perspectives extend AI literacy to include data awareness, human-AI collaboration skills, and ethical reasoning related to fairness, transparency, and accountability. AI literacy is thus increasingly framed as a multidimensional competency set that enables individuals to critically interact with and shape AI systems rather than function as passive users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{"citationID":"8yLqCdok","properties":{"formattedCitation":"(Polat, 2025)","plainCitation":"(Polat, 2025)","noteIndex":0},"citationItems":[{"id":9519,"uris":["http://zotero.org/users/16652950/items/JDCK7NLW"],"itemData":{"id":9519,"type":"article-journal","abstract":"The study aims to identify the profiles of university students regarding Artificial Intelligence Literacy, Lifelong Learning, and Fear of Innovation using cluster analysis and to examine the relationships among these variables. Cluster analysis and structural equation modeling were conducted with valid responses from 402 university students. The cluster analysis identified three distinct student profiles: the highly adaptive group (Profile 1), the needs improvement group (Profile 2), and the high support required group (Profile 3). Structural equation modeling revealed that artificial intelligence literacy positively affects the tendency for lifelong learning and negatively impacts the fear of innovation. Lifelong Learning Trends also negatively influences the fear of innovation. Furthermore, artificial intelligence literacy was found to indirectly reduce fear of innovation through lifelong learning tendencies. The findings from cluster analysis and structural equation modeling provide significant insights into understanding university students’ artificial intelligence literacy, lifelong learning tendencies, and fear of innovation. Developing customized education and support programs tailored to each profile’s characteristics and the relationships among the study variables can help students enhance their competencies in these areas.","container-title":"Education and Information Technologies","DOI":"10.1007/s10639-025-13548-y","ISSN":"1573-7608","issue":"14","journalAbbreviation":"Educ Inf Technol","language":"en","page":"20183-20214","source":"Springer Link","title":"Artificial intelligence literacy, lifelong learning, and fear of innovation: Identification of profiles and relationships","title-short":"Artificial intelligence literacy, lifelong learning, and fear of innovation","volume":"30","author":[{"family":"Polat","given":"Ebru"}],"issued":{"date-parts":[["2025",9,1]]}}}],"schema":"https://github.com/citation-style-language/schema/raw/master/csl-citation.json"} </w:instrText>
      </w:r>
      <w:r>
        <w:rPr>
          <w:rFonts w:ascii="Times New Roman" w:eastAsia="Times New Roman" w:hAnsi="Times New Roman" w:cs="Times New Roman"/>
          <w:sz w:val="24"/>
          <w:szCs w:val="24"/>
        </w:rPr>
        <w:fldChar w:fldCharType="separate"/>
      </w:r>
      <w:r w:rsidR="0046095A" w:rsidRPr="0046095A">
        <w:rPr>
          <w:rFonts w:ascii="Times New Roman" w:hAnsi="Times New Roman" w:cs="Times New Roman"/>
          <w:sz w:val="24"/>
        </w:rPr>
        <w:t>(Polat,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1.3 The need for structured and scalable curricular guidance</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growing recognition of AI’s educational significance, clear curriculum design standards remain limited. Existing initiatives often operate in isolation, vary widely in depth, and may disproportionately serve well-resourced institutions. Educators continue to report uncertainty about what AI-related knowledge and skills should be taught, at which developmental stages, and through what pedagogical approaches. Systemic challenges—including teacher preparedness, resource disparities, and the fast-evolving nature of AI technologies—further underscore the need for coordinated frameworks that are both scalable and adaptable across diverse learning environments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{"citationID":"5FAsG5WD","properties":{"formattedCitation":"(Kim &amp; Wargo, 2025)","plainCitation":"(Kim &amp; Wargo, 2025)","noteIndex":0},"citationItems":[{"id":9521,"uris":["http://zotero.org/users/16652950/items/BUP8AABG"],"itemData":{"id":9521,"type":"article-journal","abstract":"This study explored the role of educational leaders in integrating artificial intelligence (AI) into rural K-12 STEM education. The research focused on the perceptions, strategies, and barriers that educational leaders face in navigating AI integration, particularly in the unique context of rural schools. Drawing on survey and focus group data from rural school leaders, this study examined how rural educational administrators perceive AI’s potential and the challenges associated with its adoption. It provided insights into leadership strategies for addressing infrastructural limitations, fostering professional development, and ensuring equitable AI adoption. Ultimately, this research aimed to empower rural educational leaders to harness AI technologies to enhance STEM education.","container-title":"Frontiers in Education","DOI":"10.3389/feduc.2025.1567698","ISSN":"2504-284X","journalAbbreviation":"Front. Educ.","language":"English","note":"publisher: Frontiers","source":"Frontiers","title":"Empowering educational leaders for AI integration in rural STEM education: Challenges and strategies","title-short":"Empowering educational leaders for AI integration in rural STEM education","URL":"https://www.frontiersin.org/journals/education/articles/10.3389/feduc.2025.1567698/full","volume":"10","author":[{"family":"Kim","given":"Juhee"},{"family":"Wargo","given":"Elizabeth"}],"accessed":{"date-parts":[["2025",10,26]]},"issued":{"date-parts":[["2025",4,24]]}}}],"schema":"https://github.com/citation-style-language/schema/raw/master/csl-citation.json"} </w:instrText>
      </w:r>
      <w:r>
        <w:rPr>
          <w:rFonts w:ascii="Times New Roman" w:eastAsia="Times New Roman" w:hAnsi="Times New Roman" w:cs="Times New Roman"/>
          <w:sz w:val="24"/>
          <w:szCs w:val="24"/>
        </w:rPr>
        <w:fldChar w:fldCharType="separate"/>
      </w:r>
      <w:r w:rsidR="0046095A" w:rsidRPr="0046095A">
        <w:rPr>
          <w:rFonts w:ascii="Times New Roman" w:hAnsi="Times New Roman" w:cs="Times New Roman"/>
          <w:sz w:val="24"/>
        </w:rPr>
        <w:t>(Kim &amp; Wargo,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1.4 Rationale for a narrative review approach</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emerging, interdisciplinary, and rapidly shifting nature of the field, a </w:t>
      </w:r>
      <w:r>
        <w:rPr>
          <w:rFonts w:ascii="Times New Roman" w:eastAsia="Times New Roman" w:hAnsi="Times New Roman" w:cs="Times New Roman"/>
          <w:b/>
          <w:bCs/>
          <w:sz w:val="24"/>
          <w:szCs w:val="24"/>
        </w:rPr>
        <w:t>narrative review</w:t>
      </w:r>
      <w:r>
        <w:rPr>
          <w:rFonts w:ascii="Times New Roman" w:eastAsia="Times New Roman" w:hAnsi="Times New Roman" w:cs="Times New Roman"/>
          <w:sz w:val="24"/>
          <w:szCs w:val="24"/>
        </w:rPr>
        <w:t xml:space="preserve"> offers a suitable methodology to synthesize conceptual models and practical approaches published across educational research, computer science, and policy discourse. Unlike narrower systematic reviews, a narrative approach allows flexible interpretation of diverse evidence types and supports the development of an integrated perspective on the theoretical, pedagogical, and implementation dimensions of AI literacy.</w:t>
      </w: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1.5 Research questions</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is guided by the following questions:</w:t>
      </w:r>
    </w:p>
    <w:p w:rsidR="00111856" w:rsidRDefault="00502895">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1.What conceptual frameworks exist for AI literacy curriculum design?</w:t>
      </w:r>
    </w:p>
    <w:p w:rsidR="00111856" w:rsidRDefault="00502895">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What pedagogical models are emerging to support learner engagement and competencies?</w:t>
      </w:r>
    </w:p>
    <w:p w:rsidR="00111856" w:rsidRDefault="00502895">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What gaps persist in current educational pathways?</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these questions aim to build a foundation for informed curriculum reform that supports equitable, responsible, and future-ready AI literacy education.</w:t>
      </w:r>
    </w:p>
    <w:p w:rsidR="00111856" w:rsidRDefault="00502895">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Methodology</w:t>
      </w: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 Narrative review justification vs. systematic review</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narrative review methodology was employed to capture the breadth and conceptual evolution of AI literacy as it appears across multiple disciplinary domains, including education, computer science, cognitive science, and digital ethics. While systematic reviews are valuable for clearly bounded topics with established constructs and measurable outcomes, AI literacy is an emerging field with diverse and evolving interpretations. A narrative approach allows for a more flexible, context-sensitive synthesis of theoretical frameworks, policy perspectives, and pedagogical models, enabling the integration of heterogeneous evidence types that may be excluded in stricter systematic protocols.</w:t>
      </w: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2.2 Search strategy and inclusion criteria</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Relevant literature was identified through an iterative search strategy combining database queries, citation chaining, and targeted searches of policy and organizational reports. Inclusion criteria focused on publications that:</w:t>
      </w:r>
    </w:p>
    <w:p w:rsidR="00111856" w:rsidRDefault="0050289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Explicitly addressed AI literacy, AI education, or curriculum design for AI competencies;</w:t>
      </w:r>
    </w:p>
    <w:p w:rsidR="00111856" w:rsidRDefault="0050289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a theoretical framework, pedagogical model, or empirical examination related to curriculum development;</w:t>
      </w:r>
    </w:p>
    <w:p w:rsidR="00111856" w:rsidRDefault="0050289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Were published in peer-reviewed journals, reputable conference proceedings, or recognized educational and policy sources;</w:t>
      </w:r>
    </w:p>
    <w:p w:rsidR="00111856" w:rsidRDefault="0050289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Were available in English.</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Exclusion criteria included studies focused solely on narrow technical AI instruction without a literacy or pedagogical dimension, and non-scholarly sources lacking evidence-based contributions.</w:t>
      </w: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2.3 Databases and timeframe of selected studies</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Searches were conducted across major scholarly databases including </w:t>
      </w:r>
      <w:r>
        <w:rPr>
          <w:rFonts w:ascii="Times New Roman" w:eastAsia="Times New Roman" w:hAnsi="Times New Roman" w:cs="Times New Roman"/>
          <w:b/>
          <w:bCs/>
          <w:sz w:val="24"/>
          <w:szCs w:val="24"/>
        </w:rPr>
        <w:t>Scopus, Web of Science, ERIC, IEEE Xplore, and Google Scholar</w:t>
      </w:r>
      <w:r>
        <w:rPr>
          <w:rFonts w:ascii="Times New Roman" w:eastAsia="Times New Roman" w:hAnsi="Times New Roman" w:cs="Times New Roman"/>
          <w:sz w:val="24"/>
          <w:szCs w:val="24"/>
        </w:rPr>
        <w:t xml:space="preserve">. Given the contemporary nature of AI literacy scholarship, the review emphasized work published between </w:t>
      </w:r>
      <w:r>
        <w:rPr>
          <w:rFonts w:ascii="Times New Roman" w:eastAsia="Times New Roman" w:hAnsi="Times New Roman" w:cs="Times New Roman"/>
          <w:b/>
          <w:bCs/>
          <w:sz w:val="24"/>
          <w:szCs w:val="24"/>
        </w:rPr>
        <w:t>2016 and 2025</w:t>
      </w:r>
      <w:r>
        <w:rPr>
          <w:rFonts w:ascii="Times New Roman" w:eastAsia="Times New Roman" w:hAnsi="Times New Roman" w:cs="Times New Roman"/>
          <w:sz w:val="24"/>
          <w:szCs w:val="24"/>
        </w:rPr>
        <w:t>, aligning with the acceleration of global AI education initiatives. Foundational earlier works were also included selectively when influential to conceptual development.</w:t>
      </w: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2.4 Analytical and thematic synthesis approach</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thematic synthesis approach guided data extraction and analysis. Selected literature was coded according to recurring themes such as competency frameworks, ethics integration, learner engagement strategies, assessment models, and barriers to curriculum adoption. These codes were iteratively refined to construct higher-level categories representing:</w:t>
      </w:r>
    </w:p>
    <w:p w:rsidR="00111856" w:rsidRDefault="00502895">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Conceptual foundations of AI literacy</w:t>
      </w:r>
    </w:p>
    <w:p w:rsidR="00111856" w:rsidRDefault="00502895">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design frameworks</w:t>
      </w:r>
    </w:p>
    <w:p w:rsidR="00111856" w:rsidRDefault="00502895">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Pedagogical and assessment models</w:t>
      </w:r>
    </w:p>
    <w:p w:rsidR="00111856" w:rsidRDefault="00502895">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challenges and equity considerations</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analytical process supported the development of a synthesized map of emerging trends and gaps across educational contexts.</w:t>
      </w:r>
    </w:p>
    <w:p w:rsidR="00111856" w:rsidRDefault="00111856">
      <w:pPr>
        <w:spacing w:before="100" w:beforeAutospacing="1" w:after="100" w:afterAutospacing="1" w:line="240" w:lineRule="auto"/>
        <w:outlineLvl w:val="2"/>
        <w:rPr>
          <w:rFonts w:ascii="Times New Roman" w:eastAsia="Times New Roman" w:hAnsi="Times New Roman" w:cs="Times New Roman"/>
          <w:b/>
          <w:bCs/>
          <w:sz w:val="27"/>
          <w:szCs w:val="27"/>
        </w:rPr>
      </w:pP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2.5 Limitations of review design</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narrative review, this study does not claim exhaustive coverage of all available literature and may reflect a degree of selection bias despite a systematic search strategy. The rapid growth of AI education scholarship means that new frameworks and pedagogical innovations may continue to emerge beyond the review timeframe. Additionally, the focus on English-language sources may limit representation of non-Western perspectives that could contribute meaningfully to global curriculum design.</w:t>
      </w:r>
    </w:p>
    <w:p w:rsidR="00111856" w:rsidRDefault="00502895">
      <w:pPr>
        <w:pStyle w:val="Heading2"/>
        <w:rPr>
          <w:sz w:val="24"/>
          <w:szCs w:val="24"/>
        </w:rPr>
      </w:pPr>
      <w:r>
        <w:rPr>
          <w:rStyle w:val="Strong"/>
          <w:b/>
          <w:bCs/>
          <w:sz w:val="24"/>
          <w:szCs w:val="24"/>
        </w:rPr>
        <w:t>3. Conceptual Foundations of AI Literacy</w:t>
      </w:r>
    </w:p>
    <w:p w:rsidR="00111856" w:rsidRDefault="00502895">
      <w:pPr>
        <w:pStyle w:val="Heading3"/>
      </w:pPr>
      <w:r>
        <w:rPr>
          <w:rStyle w:val="Strong"/>
          <w:b/>
          <w:bCs/>
        </w:rPr>
        <w:t>3.1 Definitions of AI literacy across contexts</w:t>
      </w:r>
    </w:p>
    <w:p w:rsidR="00111856" w:rsidRDefault="00502895">
      <w:pPr>
        <w:pStyle w:val="NormalWeb"/>
      </w:pPr>
      <w:r>
        <w:t>AI literacy is broadly understood as the knowledge, skills, and dispositions enabling individuals to interact effectively, critically, and responsibly with artificial intelligence systems. However, its definition varies depending on disciplinary and educational contexts. In computer science education, AI literacy often emphasizes foundational technical concepts such as algorithms, data, and learning processes. In social science and policy contexts, it expands to include awareness of AI’s implications for society, labor, and governance. Within K–12 settings, definitions prioritize age-appropriate conceptual understanding and engagement rather than technical mastery. Collectively, these perspectives highlight AI literacy as a multidimensional construct that must be adaptable to learners’ developmental needs and sociocultural realities</w:t>
      </w:r>
      <w:r>
        <w:fldChar w:fldCharType="begin"/>
      </w:r>
      <w:r>
        <w:instrText xml:space="preserve"> ADDIN ZOTERO_ITEM CSL_CITATION {"citationID":"6gR6h0bP","properties":{"formattedCitation":"(Salhab &amp; Aboushi, 2025)","plainCitation":"(Salhab &amp; Aboushi, 2025)","noteIndex":0},"citationItems":[{"id":9523,"uris":["http://zotero.org/users/16652950/items/9BPECDHS"],"itemData":{"id":9523,"type":"article-journal","abstract":"IntroductionFostering Artificial Intelligence (AI) literacy and equipping college students with 21st-century skills in the generative AI era have become a global educational priority. In this context, generative AI offers opportunities for development in higher education institutions. Thus, this study investigates the influence of AI literacy and 21st-century skills on generative AI acceptance.MethodsFor data collection, the study employed a quantitative design with three scales, and the study sample included 260 college students selected randomly.ResultsResults revealed that AI literacy and 21st-century skills are present at a moderate level among college students. AI literacy and 21st-century skills influence the generative AI Acceptance level.DiscussionBased on the results, the study recommends enriching the curriculum with AI literacy and equipping students with 21st-century skills while using generative AI applications.","container-title":"Frontiers in Education","DOI":"10.3389/feduc.2025.1640212","ISSN":"2504-284X","journalAbbreviation":"Front. Educ.","language":"English","note":"publisher: Frontiers","source":"Frontiers","title":"Influence of AI literacy and 21st-century skills on the acceptance of generative artificial intelligence among college students","URL":"https://www.frontiersin.org/journals/education/articles/10.3389/feduc.2025.1640212/full","volume":"10","author":[{"family":"Salhab","given":"Reham"},{"family":"Aboushi","given":"Mosab M."}],"accessed":{"date-parts":[["2025",10,26]]},"issued":{"date-parts":[["2025",9,4]]}}}],"schema":"https://github.com/citation-style-language/schema/raw/master/csl-citation.json"} </w:instrText>
      </w:r>
      <w:r>
        <w:fldChar w:fldCharType="separate"/>
      </w:r>
      <w:r w:rsidR="0046095A" w:rsidRPr="0046095A">
        <w:t>(Salhab &amp; Aboushi, 2025)</w:t>
      </w:r>
      <w:r>
        <w:fldChar w:fldCharType="end"/>
      </w:r>
      <w:r>
        <w:t>.</w:t>
      </w:r>
    </w:p>
    <w:p w:rsidR="00111856" w:rsidRDefault="00502895">
      <w:pPr>
        <w:pStyle w:val="Heading3"/>
      </w:pPr>
      <w:r>
        <w:rPr>
          <w:rStyle w:val="Strong"/>
          <w:b/>
          <w:bCs/>
        </w:rPr>
        <w:t>3.2 Competency domains commonly cited</w:t>
      </w:r>
    </w:p>
    <w:p w:rsidR="00111856" w:rsidRDefault="00502895">
      <w:pPr>
        <w:pStyle w:val="NormalWeb"/>
      </w:pPr>
      <w:r>
        <w:t>Despite contextual variations, several competency domains consistently emerge in the literature as core to AI literacy education:</w:t>
      </w:r>
    </w:p>
    <w:p w:rsidR="00111856" w:rsidRDefault="00502895">
      <w:pPr>
        <w:pStyle w:val="NormalWeb"/>
      </w:pPr>
      <w:r>
        <w:rPr>
          <w:rStyle w:val="Strong"/>
        </w:rPr>
        <w:t>Technical knowledge</w:t>
      </w:r>
    </w:p>
    <w:p w:rsidR="00111856" w:rsidRDefault="00502895">
      <w:pPr>
        <w:pStyle w:val="NormalWeb"/>
      </w:pPr>
      <w:r>
        <w:t>Learners should understand fundamental AI principles including machine learning, data representation, automation, and computational logic. Rather than training future specialists exclusively, this domain focuses on conceptual understanding that supports informed participation in AI-mediated environments</w:t>
      </w:r>
      <w:r>
        <w:fldChar w:fldCharType="begin"/>
      </w:r>
      <w:r>
        <w:instrText xml:space="preserve"> ADDIN ZOTERO_ITEM CSL_CITATION {"citationID":"l93SUgGk","properties":{"formattedCitation":"(Lee &amp; Lee, 2025)","plainCitation":"(Lee &amp; Lee, 2025)","noteIndex":0},"citationItems":[{"id":9525,"uris":["http://zotero.org/users/16652950/items/X55JKEA2"],"itemData":{"id":9525,"type":"article-journal","abstract":"The rapid advancement of artificial intelligence has fundamentally transformed how knowledge is created, disseminated, and applied in problem-solving, presenting new challenges for educational models. This study introduces Intelligent Problem-Solving Learning (IPSL)—a capability-based instructional design framework aimed at cultivating learners’ adaptability, creativity, and meta-learning in AI-enhanced environments. Grounded in connectivism, extended mind theory, and the concept of augmented intelligence, IPSL places human–AI collaboration at the core of instructional design. Using a design and development research (DDR) methodology, the study constructs a conceptual model comprising three main categories and eight subcategories, supported by eighteen instructional design principles. The model’s clarity, theoretical coherence, and educational relevance were validated through two rounds of expert review using the Content Validity Index (CVI) and Inter-Rater Agreement (IRA). IPSL emphasizes differentiated task roles—those exclusive to humans, suitable for human–AI collaboration, or fully delegable to AI—alongside meta-learning strategies that empower learners to navigate complex and unpredictable problems. This framework offers both theoretical and practical guidance for building future-oriented education systems, positioning AI as a learning partner while upholding essential human qualities such as ethical judgment, creativity, and agency. It equips educators with actionable principles to harmonize technological integration with human-centered learning in an age of rapid transformation.","container-title":"Sustainability","DOI":"10.3390/su17177682","ISSN":"2071-1050","issue":"17","language":"en","license":"http://creativecommons.org/licenses/by/3.0/","note":"publisher: Multidisciplinary Digital Publishing Institute","page":"7682","source":"www.mdpi.com","title":"Exploring the Conceptual Model and Instructional Design Principles of Intelligent Problem-Solving Learning","volume":"17","author":[{"family":"Lee","given":"Yuna"},{"family":"Lee","given":"Sang-Soo"}],"issued":{"date-parts":[["2025",1]]}}}],"schema":"https://github.com/citation-style-language/schema/raw/master/csl-citation.json"} </w:instrText>
      </w:r>
      <w:r>
        <w:fldChar w:fldCharType="separate"/>
      </w:r>
      <w:r w:rsidR="0046095A" w:rsidRPr="0046095A">
        <w:t>(Lee &amp; Lee, 2025)</w:t>
      </w:r>
      <w:r>
        <w:fldChar w:fldCharType="end"/>
      </w:r>
      <w:r>
        <w:t>.</w:t>
      </w:r>
    </w:p>
    <w:p w:rsidR="00111856" w:rsidRDefault="00502895">
      <w:pPr>
        <w:pStyle w:val="NormalWeb"/>
      </w:pPr>
      <w:r>
        <w:rPr>
          <w:rStyle w:val="Strong"/>
        </w:rPr>
        <w:t>Ethical and societal awareness</w:t>
      </w:r>
    </w:p>
    <w:p w:rsidR="00111856" w:rsidRDefault="00502895">
      <w:pPr>
        <w:pStyle w:val="NormalWeb"/>
      </w:pPr>
      <w:r>
        <w:t xml:space="preserve">AI literacy requires the ability to evaluate issues of fairness, privacy, accountability, sustainability, and the broader societal impacts of automated decision-making. Cultivating </w:t>
      </w:r>
      <w:r>
        <w:lastRenderedPageBreak/>
        <w:t>ethical reasoning ensures that learners are equipped to engage in democratic discourse and contribute to responsible AI development and use</w:t>
      </w:r>
      <w:r>
        <w:fldChar w:fldCharType="begin"/>
      </w:r>
      <w:r>
        <w:instrText xml:space="preserve"> ADDIN ZOTERO_ITEM CSL_CITATION {"citationID":"7CYgAyOT","properties":{"formattedCitation":"(Schiff, 2022)","plainCitation":"(Schiff, 2022)","noteIndex":0},"citationItems":[{"id":9532,"uris":["http://zotero.org/users/16652950/items/XEETKYKE"],"itemData":{"id":9532,"type":"article-journal","abstract":"As of 2021, more than 30 countries have released national artificial intelligence (AI) policy strategies. These documents articulate plans and expectations regarding how AI will impact policy sectors, including education, and typically discuss the social and ethical implications of AI. This article engages in thematic analysis of 24 such national AI policy strategies, reviewing the role of education in global AI policy discourse. It finds that the use of AI in education (AIED) is largely absent from policy conversations, while the instrumental value of education in supporting an AI-ready workforce and training more AI experts is overwhelmingly prioritized. Further, the ethical implications of AIED receive scant attention despite the prominence of AI ethics discussion generally in these documents. This suggests that AIED and its broader policy and ethical implications—good or bad—have failed to reach mainstream awareness and the agendas of key decision-makers, a concern given that effective policy and careful consideration of ethics are inextricably linked, as this article argues. In light of these findings, the article applies a framework of five AI ethics principles to consider ways in which policymakers can better incorporate AIED’s implications. Finally, the article offers recommendations for AIED scholars on strategies for engagement with the policymaking process, and for performing ethics and policy-oriented AIED research to that end, in order to shape policy deliberations on behalf of the public good.","container-title":"International Journal of Artificial Intelligence in Education","DOI":"10.1007/s40593-021-00270-2","ISSN":"1560-4306","issue":"3","journalAbbreviation":"Int J Artif Intell Educ","language":"en","page":"527-563","source":"Springer Link","title":"Education for AI, not AI for Education: The Role of Education and Ethics in National AI Policy Strategies","title-short":"Education for AI, not AI for Education","volume":"32","author":[{"family":"Schiff","given":"Daniel"}],"issued":{"date-parts":[["2022",9,1]]}}}],"schema":"https://github.com/citation-style-language/schema/raw/master/csl-citation.json"} </w:instrText>
      </w:r>
      <w:r>
        <w:fldChar w:fldCharType="separate"/>
      </w:r>
      <w:r w:rsidR="0046095A" w:rsidRPr="0046095A">
        <w:t>(Schiff, 2022)</w:t>
      </w:r>
      <w:r>
        <w:fldChar w:fldCharType="end"/>
      </w:r>
      <w:r>
        <w:t>.</w:t>
      </w:r>
    </w:p>
    <w:p w:rsidR="00111856" w:rsidRDefault="00111856">
      <w:pPr>
        <w:pStyle w:val="NormalWeb"/>
        <w:rPr>
          <w:rStyle w:val="Strong"/>
        </w:rPr>
      </w:pPr>
    </w:p>
    <w:p w:rsidR="00111856" w:rsidRDefault="00111856">
      <w:pPr>
        <w:pStyle w:val="NormalWeb"/>
        <w:rPr>
          <w:rStyle w:val="Strong"/>
        </w:rPr>
      </w:pPr>
    </w:p>
    <w:p w:rsidR="00111856" w:rsidRDefault="00502895">
      <w:pPr>
        <w:pStyle w:val="NormalWeb"/>
      </w:pPr>
      <w:r>
        <w:rPr>
          <w:rStyle w:val="Strong"/>
        </w:rPr>
        <w:t>Human–AI collaboration</w:t>
      </w:r>
    </w:p>
    <w:p w:rsidR="00111856" w:rsidRDefault="00502895">
      <w:pPr>
        <w:pStyle w:val="NormalWeb"/>
      </w:pPr>
      <w:r>
        <w:t>As AI-powered systems increasingly augment human cognition and labor, students must learn how to collaborate with intelligent tools, understand system limitations, and apply critical oversight to automated outputs. This competency promotes agency and resilience in hybrid human–machine workspaces</w:t>
      </w:r>
      <w:r>
        <w:fldChar w:fldCharType="begin"/>
      </w:r>
      <w:r>
        <w:instrText xml:space="preserve"> ADDIN ZOTERO_ITEM CSL_CITATION {"citationID":"5LhLqyiC","properties":{"formattedCitation":"(Gand\\uc0\\u237{}a et al., 2025)","plainCitation":"(Gandía et al., 2025)","noteIndex":0},"citationItems":[{"id":9534,"uris":["http://zotero.org/users/16652950/items/RAYYZ65N"],"itemData":{"id":9534,"type":"article-journal","abstract":"As workplace environments evolve with the integration of artificial intelligence (AI), understanding its impact on employee behaviour and organisational culture becomes critical. This study investigates the influence of AI-based technologies on creating safe and respectful work atmospheres, focusing on their role in fostering safety, inclusion, and ethical management practices. Drawing on recent findings, the paper explores the dual nature of AI's effects, from enabling safer workplaces to posing ethical challenges. (1) The study identifies critical dynamics within AI-driven work environments. Through safety-oriented tools,—such as real-time risk monitoring systems,—AI contributes to incident prevention and fosters inclusion. However, its implementation also introduces challenges, particularly regarding privacy concerns and lack of transparency, which may trigger distrust and raise ethical dilemmas among employees. (2) The analysis further emphasizes ethical and operational barriers. To ensure effective integration, organisations must address the psychological impact of automation, ensuring it does not compromise employee morale or workplace cohesion. Transparent implementation practices are essential to avoid unintended negative consequences. (3) Findings reveal opportunities for AI to reshape organisational culture by harmonising operational efficiency with inclusive values. The study underscores the importance of aligning technological innovation with strategies that prioritise ethical governance and employee well-being. To support these insights, the study adopts a bibliographic analysis methodology, reviewing a curated corpus of peer-reviewed publications from the past five years. Sources were selected based on thematic relevance, scientific rigour, and empirical depth. This method enabled the identification of conceptual patterns, gaps in the literature, and key trends regarding the socio-ethical implications of AI in the workplace. These insights offer practical guidelines for organisations implementing AI technologies. By adopting transparent communication, ethical frameworks, and strategies aligned with employee well-being, businesses can leverage AI to create safer and more inclusive environments. This research underscores the importance of designing policies that balance technological advancement with respect for employee rights and privacy.","container-title":"Journal of Innovation &amp; Knowledge","DOI":"10.1016/j.jik.2025.100750","ISSN":"2444-569X","issue":"4","journalAbbreviation":"Journal of Innovation &amp; Knowledge","page":"100750","source":"ScienceDirect","title":"Knowledge and artificial intelligence on employee behaviour advancing safe and respectful workplace","volume":"10","author":[{"family":"Gandía","given":"José Andrés Gómez"},{"family":"Ancillo","given":"Antonio de Lucas"},{"family":"Val Núñez","given":"María Teresa","non-dropping-particle":"del"}],"issued":{"date-parts":[["2025",7,1]]}}}],"schema":"https://github.com/citation-style-language/schema/raw/master/csl-citation.json"} </w:instrText>
      </w:r>
      <w:r>
        <w:fldChar w:fldCharType="separate"/>
      </w:r>
      <w:r w:rsidR="0046095A" w:rsidRPr="0046095A">
        <w:t>(Gandía et al., 2025)</w:t>
      </w:r>
      <w:r>
        <w:fldChar w:fldCharType="end"/>
      </w:r>
      <w:r>
        <w:t>.</w:t>
      </w:r>
    </w:p>
    <w:p w:rsidR="00111856" w:rsidRDefault="00502895">
      <w:pPr>
        <w:pStyle w:val="NormalWeb"/>
      </w:pPr>
      <w:r>
        <w:rPr>
          <w:rStyle w:val="Strong"/>
        </w:rPr>
        <w:t>Problem-solving and creativity</w:t>
      </w:r>
    </w:p>
    <w:p w:rsidR="00111856" w:rsidRDefault="00502895">
      <w:pPr>
        <w:pStyle w:val="NormalWeb"/>
      </w:pPr>
      <w:r>
        <w:t>AI offers new modalities for inquiry and innovation. Learners should develop the ability to design, experiment, and iterate solutions with AI as a partner in creativity and computational problem-solving. This extends AI literacy beyond comprehension toward active empowerment.</w:t>
      </w:r>
    </w:p>
    <w:p w:rsidR="00111856" w:rsidRDefault="00502895">
      <w:pPr>
        <w:pStyle w:val="Heading3"/>
      </w:pPr>
      <w:r>
        <w:rPr>
          <w:rStyle w:val="Strong"/>
          <w:b/>
          <w:bCs/>
        </w:rPr>
        <w:t>3.3 Relation to existing literacies (digital, data, computational)</w:t>
      </w:r>
    </w:p>
    <w:p w:rsidR="00111856" w:rsidRDefault="00502895">
      <w:pPr>
        <w:pStyle w:val="NormalWeb"/>
      </w:pPr>
      <w:r>
        <w:t xml:space="preserve">AI literacy builds upon and intersects with multiple established learning domains. Like </w:t>
      </w:r>
      <w:r>
        <w:rPr>
          <w:rStyle w:val="Strong"/>
        </w:rPr>
        <w:t>digital literacy</w:t>
      </w:r>
      <w:r>
        <w:t xml:space="preserve">, it involves navigating and interpreting technology. Like </w:t>
      </w:r>
      <w:r>
        <w:rPr>
          <w:rStyle w:val="Strong"/>
        </w:rPr>
        <w:t>data literacy</w:t>
      </w:r>
      <w:r>
        <w:t xml:space="preserve">, it requires understanding data-driven decision-making. And like </w:t>
      </w:r>
      <w:r>
        <w:rPr>
          <w:rStyle w:val="Strong"/>
        </w:rPr>
        <w:t>computational thinking</w:t>
      </w:r>
      <w:r>
        <w:t>, it engages algorithmic reasoning. Yet AI literacy uniquely integrates automation, autonomy, and adaptive intelligence—demanding deeper critical reflection on the boundaries between human intention and machine agency. These overlaps suggest that AI literacy should not be taught in isolation but rather as an expansion of a broader 21st-century literacy ecosystem</w:t>
      </w:r>
      <w:r>
        <w:fldChar w:fldCharType="begin"/>
      </w:r>
      <w:r>
        <w:instrText xml:space="preserve"> ADDIN ZOTERO_ITEM CSL_CITATION {"citationID":"gPxkN3wO","properties":{"formattedCitation":"(Lin et al., 2025)","plainCitation":"(Lin et al., 2025)","noteIndex":0},"citationItems":[{"id":9536,"uris":["http://zotero.org/users/16652950/items/IFXBE4Z6"],"itemData":{"id":9536,"type":"article-journal","abstract":"Artificial intelligence has significantly transformed educational practices across disciplines. This study investigated the cognitive–behavioral mechanisms underpinning mathematics teachers’ engagement with AI teaching tools through an extended technology acceptance model. Utilizing structural equation modeling with data from 500 mathematics educators, we delineated psychological pathways connecting perceptual variables to technology engagement and pedagogical outcomes. Results revealed that perceived usefulness functioned as the primary determinant of AI engagement, while perceived ease of use operated exclusively through sequential mediational pathways, challenging conventional technology acceptance paradigms. Domain-specific factors, such as teacher AI literacy and mathematics teaching beliefs, emerged as significant mediators that conditioned technology-related behavioral responses. The mediators in this study illustrated differential attitudinal mechanisms through which perceptual variables transformed into engagement behaviors. These findings extended technology acceptance theories in educational contexts by demonstrating how domain-specific cognitive structures modulated perception–behavior relationships in professional technology adoption in mathematics education.","container-title":"Sustainability","DOI":"10.3390/su17083698","ISSN":"2071-1050","issue":"8","language":"en","license":"http://creativecommons.org/licenses/by/3.0/","note":"publisher: Multidisciplinary Digital Publishing Institute","page":"3698","source":"www.mdpi.com","title":"Effects of Technology Perceptions, Teacher Beliefs, and AI Literacy on AI Technology Adoption in Sustainable Mathematics Education","volume":"17","author":[{"family":"Lin","given":"Tianqi"},{"family":"Zhang","given":"Jianyang"},{"family":"Xiong","given":"Bin"}],"issued":{"date-parts":[["2025",1]]}}}],"schema":"https://github.com/citation-style-language/schema/raw/master/csl-citation.json"} </w:instrText>
      </w:r>
      <w:r>
        <w:fldChar w:fldCharType="separate"/>
      </w:r>
      <w:r w:rsidR="0046095A" w:rsidRPr="0046095A">
        <w:t>(Lin et al., 2025)</w:t>
      </w:r>
      <w:r>
        <w:fldChar w:fldCharType="end"/>
      </w:r>
      <w:r>
        <w:t>.</w:t>
      </w:r>
    </w:p>
    <w:p w:rsidR="00111856" w:rsidRDefault="00502895">
      <w:pPr>
        <w:pStyle w:val="Heading3"/>
      </w:pPr>
      <w:r>
        <w:rPr>
          <w:rStyle w:val="Strong"/>
          <w:b/>
          <w:bCs/>
        </w:rPr>
        <w:t>3.4 Policy and global education initiatives driving AI literacy</w:t>
      </w:r>
    </w:p>
    <w:p w:rsidR="00111856" w:rsidRDefault="00502895">
      <w:pPr>
        <w:pStyle w:val="NormalWeb"/>
      </w:pPr>
      <w:r>
        <w:t>Governments, international organizations, and industry bodies have launched initiatives positioning AI literacy as a strategic priority. Many national curricula now include AI competencies, often framed around digital transformation, economic innovation, and civic preparedness. Transnational projects led by educational consortia emphasize inclusivity, aiming to prevent widening inequality between learners with and without access to AI knowledge. Such policy momentum reinforces the need for coherent, research-informed guidance to ensure that AI literacy curricula are responsive to both global workforce demands and ethical obligations to foster responsible technological citizenship</w:t>
      </w:r>
      <w:r>
        <w:fldChar w:fldCharType="begin"/>
      </w:r>
      <w:r>
        <w:instrText xml:space="preserve"> ADDIN ZOTERO_ITEM CSL_CITATION {"citationID":"bPRb0xk1","properties":{"formattedCitation":"(Schiff, 2022)","plainCitation":"(Schiff, 2022)","noteIndex":0},"citationItems":[{"id":9532,"uris":["http://zotero.org/users/16652950/items/XEETKYKE"],"itemData":{"id":9532,"type":"article-journal","abstract":"As of 2021, more than 30 countries have released national artificial intelligence (AI) policy strategies. These documents articulate plans and expectations regarding how AI will impact policy sectors, including education, and typically discuss the social and ethical implications of AI. This article engages in thematic analysis of 24 such national AI policy strategies, reviewing the role of education in global AI policy discourse. It finds that the use of AI in education (AIED) is largely absent from policy conversations, while the instrumental value of education in supporting an AI-ready workforce and training more AI experts is overwhelmingly prioritized. Further, the ethical implications of AIED receive scant attention despite the prominence of AI ethics discussion generally in these documents. This suggests that AIED and its broader policy and ethical implications—good or bad—have failed to reach mainstream awareness and the agendas of key decision-makers, a concern given that effective policy and careful consideration of ethics are inextricably linked, as this article argues. In light of these findings, the article applies a framework of five AI ethics principles to consider ways in which policymakers can better incorporate AIED’s implications. Finally, the article offers recommendations for AIED scholars on strategies for engagement with the policymaking process, and for performing ethics and policy-oriented AIED research to that end, in order to shape policy deliberations on behalf of the public good.","container-title":"International Journal of Artificial Intelligence in Education","DOI":"10.1007/s40593-021-00270-2","ISSN":"1560-4306","issue":"3","journalAbbreviation":"Int J Artif Intell Educ","language":"en","page":"527-563","source":"Springer Link","title":"Education for AI, not AI for Education: The Role of Education and Ethics in National AI Policy Strategies","title-short":"Education for AI, not AI for Education","volume":"32","author":[{"family":"Schiff","given":"Daniel"}],"issued":{"date-parts":[["2022",9,1]]}}}],"schema":"https://github.com/citation-style-language/schema/raw/master/csl-citation.json"} </w:instrText>
      </w:r>
      <w:r>
        <w:fldChar w:fldCharType="separate"/>
      </w:r>
      <w:r w:rsidR="0046095A" w:rsidRPr="0046095A">
        <w:t>(Schiff, 2022)</w:t>
      </w:r>
      <w:r>
        <w:fldChar w:fldCharType="end"/>
      </w:r>
      <w:r>
        <w:t>.</w:t>
      </w:r>
    </w:p>
    <w:p w:rsidR="00111856" w:rsidRDefault="00502895">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Emerging Frameworks for AI Literacy Curriculum Design</w:t>
      </w: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4.1 K–12 frameworks</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K–12 AI literacy frameworks primarily aim to introduce foundational concepts in developmentally appropriate ways. Many models embed AI learning within broader </w:t>
      </w:r>
      <w:r>
        <w:rPr>
          <w:rFonts w:ascii="Times New Roman" w:eastAsia="Times New Roman" w:hAnsi="Times New Roman" w:cs="Times New Roman"/>
          <w:b/>
          <w:bCs/>
          <w:sz w:val="24"/>
          <w:szCs w:val="24"/>
        </w:rPr>
        <w:t>computational thinking</w:t>
      </w:r>
      <w:r>
        <w:rPr>
          <w:rFonts w:ascii="Times New Roman" w:eastAsia="Times New Roman" w:hAnsi="Times New Roman" w:cs="Times New Roman"/>
          <w:sz w:val="24"/>
          <w:szCs w:val="24"/>
        </w:rPr>
        <w:t xml:space="preserve"> curricula, using algorithmic reasoning and data exploration as entry points to understanding intelligent systems. This approach positions AI as an extension of existing STEM education rather than wholly new content, enabling smoother adoption in schools.</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same time, there is a growing emphasis on </w:t>
      </w:r>
      <w:r>
        <w:rPr>
          <w:rFonts w:ascii="Times New Roman" w:eastAsia="Times New Roman" w:hAnsi="Times New Roman" w:cs="Times New Roman"/>
          <w:b/>
          <w:bCs/>
          <w:sz w:val="24"/>
          <w:szCs w:val="24"/>
        </w:rPr>
        <w:t>age-appropriate conceptualization of AI</w:t>
      </w:r>
      <w:r>
        <w:rPr>
          <w:rFonts w:ascii="Times New Roman" w:eastAsia="Times New Roman" w:hAnsi="Times New Roman" w:cs="Times New Roman"/>
          <w:sz w:val="24"/>
          <w:szCs w:val="24"/>
        </w:rPr>
        <w:t>. Early primary students may engage through tangible activities such as robotics or rule-based games to explore ideas of perception and decision-making. Secondary students increasingly address machine learning, data ethics, and real-world applications. These frameworks consistently promote inquiry-based learning, encouraging students to explore how AI affects their daily lives and communities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{"citationID":"IJKZJgAV","properties":{"formattedCitation":"(Yim &amp; Su, 2025)","plainCitation":"(Yim &amp; Su, 2025)","noteIndex":0},"citationItems":[{"id":9538,"uris":["http://zotero.org/users/16652950/items/FSBV5UWM"],"itemData":{"id":9538,"type":"article-journal","abstract":"Artificial intelligence (AI) literacy is a global strategic objective in education. However, little is known about how AI should be taught. In this paper, 46 studies in academic conferences and journals are reviewed to investigate pedagogical strategies, learning tools, assessment methods in AI literacy education in K-12 contexts, and students’ learning outcomes. The investigation reveals that the promotion of AI literacy education has seen significant progress in the past two decades. This highlights that intelligent agents, including Google’s Teachable Machine, Learning ML, and Machine Learning for Kids, are age-appropriate tools for AI literacy education in K-12 contexts. Kindergarten students can benefit from learning tools such as PopBots, while software devices, such as Scratch and Python, which help to develop the computational thinking of AI algorithms, can be introduced to both primary and secondary schools. The research shows that project-based, human–computer collaborative learning and play- and game-based approaches, with constructivist methodologies, have been applied frequently in AI literacy education. Cognitive, affective, and behavioral learning outcomes, course satisfaction and soft skills acquisition have been reported. The paper informs educators of appropriate learning tools, pedagogical strategies, assessment methodologies in AI literacy education, and students’ learning outcomes. Research implications and future research directions within the K-12 context are also discussed.","container-title":"Journal of Computers in Education","DOI":"10.1007/s40692-023-00304-9","ISSN":"2197-9995","issue":"1","journalAbbreviation":"J. Comput. Educ.","language":"en","page":"93-131","source":"Springer Link","title":"Artificial intelligence (AI) learning tools in K-12 education: A scoping review","title-short":"Artificial intelligence (AI) learning tools in K-12 education","volume":"12","author":[{"family":"Yim","given":"Iris Heung Yue"},{"family":"Su","given":"Jiahong"}],"issued":{"date-parts":[["2025",3,1]]}}}],"schema":"https://github.com/citation-style-language/schema/raw/master/csl-citation.json"} </w:instrText>
      </w:r>
      <w:r>
        <w:rPr>
          <w:rFonts w:ascii="Times New Roman" w:eastAsia="Times New Roman" w:hAnsi="Times New Roman" w:cs="Times New Roman"/>
          <w:sz w:val="24"/>
          <w:szCs w:val="24"/>
        </w:rPr>
        <w:fldChar w:fldCharType="separate"/>
      </w:r>
      <w:r w:rsidR="0046095A" w:rsidRPr="0046095A">
        <w:rPr>
          <w:rFonts w:ascii="Times New Roman" w:hAnsi="Times New Roman" w:cs="Times New Roman"/>
          <w:sz w:val="24"/>
        </w:rPr>
        <w:t>(Yim &amp; Su,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4.2 Higher education frameworks</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higher education, AI literacy frameworks are expanding into </w:t>
      </w:r>
      <w:r>
        <w:rPr>
          <w:rFonts w:ascii="Times New Roman" w:eastAsia="Times New Roman" w:hAnsi="Times New Roman" w:cs="Times New Roman"/>
          <w:b/>
          <w:bCs/>
          <w:sz w:val="24"/>
          <w:szCs w:val="24"/>
        </w:rPr>
        <w:t>interdisciplinary and domain-specific pathways</w:t>
      </w:r>
      <w:r>
        <w:rPr>
          <w:rFonts w:ascii="Times New Roman" w:eastAsia="Times New Roman" w:hAnsi="Times New Roman" w:cs="Times New Roman"/>
          <w:sz w:val="24"/>
          <w:szCs w:val="24"/>
        </w:rPr>
        <w:t>. While technical programs continue to advance specialized AI competency, non-technical majors are now integrating AI concepts relevant to their fields—such as AI in healthcare, finance, design, and public policy. These frameworks emphasize productive human–AI collaboration, ethical literacy, and future-of-work readiness. Universities are increasingly adopting flexible micro-credentialing models to support continuous upskilling, reflecting the evolving demands of the AI-driven labor market</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{"citationID":"jIgwRbAd","properties":{"formattedCitation":"(Biagini, 2025)","plainCitation":"(Biagini, 2025)","noteIndex":0},"citationItems":[{"id":7571,"uris":["http://zotero.org/users/16652950/items/IFZUNRBK"],"itemData":{"id":7571,"type":"article-journal","abstract":"This study investigates the evolving landscape of Artificial Intelligence (AI) literacy, acknowledging AI's transformative impact across various sectors in the twenty-first century. Starting from AI's inception to its current pervasive role in education, everyday life, and beyond, this paper explores the relevance and complexity of AI literacy in the modern world. To evaluate the current state of the literature on AI literacy, a systematic literature review was conducted with the objective of identifying thematic and recent research trends. Through a rigorous selection process involving 323 records from databases such as Web of Science, SCOPUS, ERIC, and IEEE Xplore, 87 high-quality studies have been analysed to identify central themes and definitions related to AI literacy. Our findings reveal that AI literacy extends beyond technical proficiency to encompass ethical considerations, societal impacts, and practical applications. Key themes identified include the ethical and social implications of AI, AI literacy in K-12 education, AI literacy curriculum development, and the integration of AI in education and workplaces. The study also highlights the importance of AI literacy models and frameworks for structuring education across diverse learning environments, as well as the significance of AI and digital interaction literacy. Additionally, our analysis of publication trends indicates a strong growth in AI literacy research, particularly in China and the United States, reflecting the global urgency of addressing AI literacy in policy and education. Conclusively, the research underscores the importance of an adaptable, comprehensive educational paradigm that incorporates AI literacy, reflecting its diverse interpretations and the dynamic nature of AI. The study advocates for interdisciplinary collaboration in developing AI literacy programs, emphasizing the need to equip future generations with the knowledge, skills, and ethical discernment to navigate an increasingly AI-driven world.","container-title":"International Journal of Artificial Intelligence in Education","DOI":"10.1007/s40593-025-00466-w","ISSN":"1560-4306","journalAbbreviation":"Int J Artif Intell Educ","language":"en","source":"Springer Link","title":"Towards an AI-Literate Future: A Systematic Literature Review Exploring Education, Ethics, and Applications","title-short":"Towards an AI-Literate Future","URL":"https://doi.org/10.1007/s40593-025-00466-w","author":[{"family":"Biagini","given":"Gabriele"}],"accessed":{"date-parts":[["2025",9,13]]},"issued":{"date-parts":[["2025",3,12]]}}}],"schema":"https://github.com/citation-style-language/schema/raw/master/csl-citation.json"} </w:instrText>
      </w:r>
      <w:r>
        <w:rPr>
          <w:rFonts w:ascii="Times New Roman" w:eastAsia="Times New Roman" w:hAnsi="Times New Roman" w:cs="Times New Roman"/>
          <w:sz w:val="24"/>
          <w:szCs w:val="24"/>
        </w:rPr>
        <w:fldChar w:fldCharType="separate"/>
      </w:r>
      <w:r w:rsidR="0046095A" w:rsidRPr="0046095A">
        <w:rPr>
          <w:rFonts w:ascii="Times New Roman" w:hAnsi="Times New Roman" w:cs="Times New Roman"/>
          <w:sz w:val="24"/>
        </w:rPr>
        <w:t>(Biagini,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4.3 Industry-driven and non-formal learning models</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Outside formal schooling, technology companies, nonprofit organizations, and community programs are becoming major contributors to AI literacy education. These initiatives often focus on </w:t>
      </w:r>
      <w:r>
        <w:rPr>
          <w:rFonts w:ascii="Times New Roman" w:eastAsia="Times New Roman" w:hAnsi="Times New Roman" w:cs="Times New Roman"/>
          <w:b/>
          <w:bCs/>
          <w:sz w:val="24"/>
          <w:szCs w:val="24"/>
        </w:rPr>
        <w:t>rapid skill development</w:t>
      </w:r>
      <w:r>
        <w:rPr>
          <w:rFonts w:ascii="Times New Roman" w:eastAsia="Times New Roman" w:hAnsi="Times New Roman" w:cs="Times New Roman"/>
          <w:sz w:val="24"/>
          <w:szCs w:val="24"/>
        </w:rPr>
        <w:t>, exposing learners to practical tools such as conversational AI, data annotation, and machine learning platforms. Industry frameworks typically emphasize hands-on experiences and workforce alignment but may place less emphasis on critical societal perspectives. Non-formal learning contexts—such as maker spaces, online courses, and youth innovation programs—play an important role in widening access and motivation, particularly for underserved populations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{"citationID":"EgDwQrdF","properties":{"formattedCitation":"(Walter, 2024)","plainCitation":"(Walter, 2024)","noteIndex":0},"citationItems":[{"id":4399,"uris":["http://zotero.org/users/16652950/items/5FAI9PN9"],"itemData":{"id":4399,"type":"article-journal","abstract":"This paper delves into the complexities of global AI regulation and governance, emphasizing the socio-economic repercussions of rapid AI development. It scrutinizes the challenges in creating effective governance structures amidst the AI race, considering diverse global perspectives and policies. The discourse moves beyond specific corporate examples, addressing broader implications and sector-wide impacts of AI on employment, truth discernment, and democratic stability. The analysis focuses on contrasting regulatory approaches across key regions—the United States, European Union, Asia, Africa, and the Americas and thus highlighting the variations and commonalities in strategies and implementations. This comparative study reveals the intricacies and hurdles in formulating a cohesive global policy for AI regulation. Central to the paper is the examination of the dynamic between rapid AI innovation and the slower pace of regulatory and ethical standard-setting. It critically evaluates the advantages and drawbacks of shifting regulatory responsibilities between government bodies and the private sector. In response to these challenges, the discussion proposes an innovative and integrated regulatory model. The model advocates for a collaborative network that blends governmental authority with industry expertise, aiming to establish adaptive, responsive regulations (called “dynamic laws”) that can evolve with technological advancements. The novel approach aims to bridge the gap between rapid AI advancements in the industry and the essential democratic processes of law-making.","container-title":"Discover Artificial Intelligence","DOI":"10.1007/s44163-024-00109-4","ISSN":"2731-0809","issue":"1","journalAbbreviation":"Discov Artif Intell","language":"en","page":"14","source":"Springer Link","title":"Managing the race to the moon: Global policy and governance in Artificial Intelligence regulation—A contemporary overview and an analysis of socioeconomic consequences","title-short":"Managing the race to the moon","volume":"4","author":[{"family":"Walter","given":"Yoshija"}],"issued":{"date-parts":[["2024",2,26]]}}}],"schema":"https://github.com/citation-style-language/schema/raw/master/csl-citation.json"} </w:instrText>
      </w:r>
      <w:r>
        <w:rPr>
          <w:rFonts w:ascii="Times New Roman" w:eastAsia="Times New Roman" w:hAnsi="Times New Roman" w:cs="Times New Roman"/>
          <w:sz w:val="24"/>
          <w:szCs w:val="24"/>
        </w:rPr>
        <w:fldChar w:fldCharType="separate"/>
      </w:r>
      <w:r w:rsidR="0046095A" w:rsidRPr="0046095A">
        <w:rPr>
          <w:rFonts w:ascii="Times New Roman" w:hAnsi="Times New Roman" w:cs="Times New Roman"/>
          <w:sz w:val="24"/>
        </w:rPr>
        <w:t>(Walter, 2024)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4.4 Comparative analysis of major frameworks</w:t>
      </w:r>
    </w:p>
    <w:p w:rsidR="00111856" w:rsidRDefault="00502895">
      <w:pPr>
        <w:pStyle w:val="NormalWeb"/>
      </w:pPr>
      <w:r>
        <w:t xml:space="preserve">Across K–12, higher education, and non-formal environments, frameworks vary substantially in their </w:t>
      </w:r>
      <w:r>
        <w:rPr>
          <w:b/>
          <w:bCs/>
        </w:rPr>
        <w:t>scope</w:t>
      </w:r>
      <w:r>
        <w:t xml:space="preserve">, </w:t>
      </w:r>
      <w:r>
        <w:rPr>
          <w:b/>
          <w:bCs/>
        </w:rPr>
        <w:t>depth</w:t>
      </w:r>
      <w:r>
        <w:t xml:space="preserve">, and </w:t>
      </w:r>
      <w:r>
        <w:rPr>
          <w:b/>
          <w:bCs/>
        </w:rPr>
        <w:t>pedagogical emphasis</w:t>
      </w:r>
      <w:r>
        <w:t>. While some focus heavily on technical competencies, others prioritize civic and ethical understanding. Ethics integration ranges from being treated as a standalone topic to being embedded throughout instruction, with the latter increasingly viewed as a best practice. Accessibility also differs across global and socioeconomic contexts—well-resourced schools often have pathways unavailable to marginalized learners. These variations highlight the lack of standardized benchmarks for what constitutes comprehensive and equitable AI literacy</w:t>
      </w:r>
      <w:r>
        <w:fldChar w:fldCharType="begin"/>
      </w:r>
      <w:r>
        <w:instrText xml:space="preserve"> ADDIN ZOTERO_ITEM CSL_CITATION {"citationID":"Wj5SHplu","properties":{"formattedCitation":"(Paraskeva-Hadjichambi et al., 2020)","plainCitation":"(Paraskeva-Hadjichambi et al., 2020)","noteIndex":0},"citationItems":[{"id":9540,"uris":["http://zotero.org/users/16652950/items/2PMN2IGC"],"itemData":{"id":9540,"type":"chapter","abstract":"Non-formal education is an integral component to lifelong learning and its aim is for young people and adults to acquire and maintain the skills and competencies necessary to adapt to a continuously changing environment. Non-formal education implements different learning activities and is supplementary to formal education, taking place outside, but supplementary, to the formal educational system. From the conception and throughout the ongoing evolution of environmental education, non-formal education has been identified as an important framework for conducting Environmental Education and Education for Sustainability. Therefore, non-formal settings for secondary education level can contribute to Education for Environmental Citizenship by providing the opportunity and conditions that enable young people to acquire the body of knowledge as well as the skills, values, attitudes and pro-environmental actions necessary to become an Environmental Citizen. In addition, an Environmental Citizen is empowered and motivated to participate in society as an agent-of-change in the direction of solving contemporary environmental problems, preventing the creation of new ones, and achieving sustainability and restoring our (human) relationships with nature. Pedagogies including place-based education, civic ecology education, ecojustice pedagogy, action competence and socio-scientific inquiry-based learning can contribute to building students’ competencies for the deep civic participation necessary to realise environmental and social change. However, due to the novelty of the concept, the lack of a complete pedagogical framework for Education in Environmental Citizenship in non-formal settings presents a major challenge.","container-title":"Conceptualizing Environmental Citizenship for 21st Century Education","event-place":"Cham","ISBN":"978-3-030-20249-1","language":"en","note":"DOI: 10.1007/978-3-030-20249-1_14","page":"213-235","publisher":"Springer International Publishing","publisher-place":"Cham","source":"Springer Link","title":"Educating for Environmental Citizenship in Non-formal Frameworks for Secondary Level Youth","URL":"https://doi.org/10.1007/978-3-030-20249-1_14","author":[{"family":"Paraskeva-Hadjichambi","given":"Demetra"},{"family":"Goldman","given":"Daphne"},{"family":"Hadjichambis","given":"Andreas Ch."},{"family":"Parra","given":"Gema"},{"family":"Lapin","given":"Katharina"},{"family":"Knippels","given":"Marie-Christine"},{"family":"Van Dam","given":"Frans"}],"editor":[{"family":"Hadjichambis","given":"Andreas Ch."},{"family":"Reis","given":"Pedro"},{"family":"Paraskeva-Hadjichambi","given":"Demetra"},{"family":"Činčera","given":"Jan"},{"family":"Boeve-de Pauw","given":"Jelle"},{"family":"Gericke","given":"Niklas"},{"family":"Knippels","given":"Marie-Christine"}],"accessed":{"date-parts":[["2025",10,26]]},"issued":{"date-parts":[["2020"]]}}}],"schema":"https://github.com/citation-style-language/schema/raw/master/csl-citation.json"} </w:instrText>
      </w:r>
      <w:r>
        <w:fldChar w:fldCharType="separate"/>
      </w:r>
      <w:r w:rsidR="0046095A" w:rsidRPr="0046095A">
        <w:t>(Paraskeva-Hadjichambi et al., 2020)</w:t>
      </w:r>
      <w:r>
        <w:fldChar w:fldCharType="end"/>
      </w:r>
      <w:r>
        <w:t xml:space="preserve">. </w:t>
      </w:r>
      <w:r>
        <w:rPr>
          <w:rStyle w:val="Emphasis"/>
          <w:rFonts w:eastAsiaTheme="majorEastAsia"/>
        </w:rPr>
        <w:t xml:space="preserve">Table 1 compares major AI literacy frameworks identified in the literature, highlighting their target audience, core </w:t>
      </w:r>
      <w:r>
        <w:rPr>
          <w:rStyle w:val="Emphasis"/>
          <w:rFonts w:eastAsiaTheme="majorEastAsia"/>
        </w:rPr>
        <w:lastRenderedPageBreak/>
        <w:t>competency domains, and distinctive pedagogical or policy orientations. This comparison underscores variations in scope, ethical integration, and adaptability across educational contexts.</w:t>
      </w:r>
    </w:p>
    <w:p w:rsidR="00111856" w:rsidRDefault="00502895">
      <w:pPr>
        <w:pStyle w:val="NormalWeb"/>
      </w:pPr>
      <w:r>
        <w:rPr>
          <w:rStyle w:val="Strong"/>
        </w:rPr>
        <w:t>Table 1. Comparative Overview of Major AI Literacy Frameworks and Competency Domains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73"/>
        <w:gridCol w:w="1315"/>
        <w:gridCol w:w="1593"/>
        <w:gridCol w:w="1696"/>
        <w:gridCol w:w="1983"/>
      </w:tblGrid>
      <w:tr w:rsidR="00111856">
        <w:trPr>
          <w:tblHeader/>
          <w:tblCellSpacing w:w="15" w:type="dxa"/>
        </w:trPr>
        <w:tc>
          <w:tcPr>
            <w:tcW w:w="0" w:type="auto"/>
            <w:vAlign w:val="center"/>
          </w:tcPr>
          <w:p w:rsidR="00111856" w:rsidRDefault="00502895">
            <w:pPr>
              <w:jc w:val="center"/>
              <w:rPr>
                <w:b/>
                <w:bCs/>
              </w:rPr>
            </w:pPr>
            <w:r>
              <w:rPr>
                <w:rStyle w:val="Strong"/>
              </w:rPr>
              <w:t>Framework / Source</w:t>
            </w:r>
          </w:p>
        </w:tc>
        <w:tc>
          <w:tcPr>
            <w:tcW w:w="0" w:type="auto"/>
            <w:vAlign w:val="center"/>
          </w:tcPr>
          <w:p w:rsidR="00111856" w:rsidRDefault="00502895">
            <w:pPr>
              <w:jc w:val="center"/>
              <w:rPr>
                <w:b/>
                <w:bCs/>
              </w:rPr>
            </w:pPr>
            <w:r>
              <w:rPr>
                <w:rStyle w:val="Strong"/>
              </w:rPr>
              <w:t>Educational Level or Context</w:t>
            </w:r>
          </w:p>
        </w:tc>
        <w:tc>
          <w:tcPr>
            <w:tcW w:w="0" w:type="auto"/>
            <w:vAlign w:val="center"/>
          </w:tcPr>
          <w:p w:rsidR="00111856" w:rsidRDefault="00502895">
            <w:pPr>
              <w:jc w:val="center"/>
              <w:rPr>
                <w:b/>
                <w:bCs/>
              </w:rPr>
            </w:pPr>
            <w:r>
              <w:rPr>
                <w:rStyle w:val="Strong"/>
              </w:rPr>
              <w:t>Core Competency Domains</w:t>
            </w:r>
          </w:p>
        </w:tc>
        <w:tc>
          <w:tcPr>
            <w:tcW w:w="0" w:type="auto"/>
            <w:vAlign w:val="center"/>
          </w:tcPr>
          <w:p w:rsidR="00111856" w:rsidRDefault="00502895">
            <w:pPr>
              <w:jc w:val="center"/>
              <w:rPr>
                <w:b/>
                <w:bCs/>
              </w:rPr>
            </w:pPr>
            <w:r>
              <w:rPr>
                <w:rStyle w:val="Strong"/>
              </w:rPr>
              <w:t>Pedagogical Orientation</w:t>
            </w:r>
          </w:p>
        </w:tc>
        <w:tc>
          <w:tcPr>
            <w:tcW w:w="0" w:type="auto"/>
            <w:vAlign w:val="center"/>
          </w:tcPr>
          <w:p w:rsidR="00111856" w:rsidRDefault="00502895">
            <w:pPr>
              <w:jc w:val="center"/>
              <w:rPr>
                <w:b/>
                <w:bCs/>
              </w:rPr>
            </w:pPr>
            <w:r>
              <w:rPr>
                <w:rStyle w:val="Strong"/>
              </w:rPr>
              <w:t>Distinctive Features / Focus Areas</w:t>
            </w:r>
          </w:p>
        </w:tc>
      </w:tr>
      <w:tr w:rsidR="00111856">
        <w:trPr>
          <w:tblCellSpacing w:w="15" w:type="dxa"/>
        </w:trPr>
        <w:tc>
          <w:tcPr>
            <w:tcW w:w="0" w:type="auto"/>
            <w:vAlign w:val="center"/>
          </w:tcPr>
          <w:p w:rsidR="00111856" w:rsidRDefault="00502895">
            <w:r>
              <w:rPr>
                <w:rStyle w:val="Strong"/>
              </w:rPr>
              <w:t xml:space="preserve">Long &amp; </w:t>
            </w:r>
            <w:proofErr w:type="spellStart"/>
            <w:r>
              <w:rPr>
                <w:rStyle w:val="Strong"/>
              </w:rPr>
              <w:t>Magerko</w:t>
            </w:r>
            <w:proofErr w:type="spellEnd"/>
            <w:r>
              <w:rPr>
                <w:rStyle w:val="Strong"/>
              </w:rPr>
              <w:t xml:space="preserve"> (2020) – “What is AI Literacy?” Framework</w:t>
            </w:r>
            <w:r>
              <w:rPr>
                <w:rStyle w:val="Strong"/>
              </w:rPr>
              <w:fldChar w:fldCharType="begin"/>
            </w:r>
            <w:r>
              <w:rPr>
                <w:rStyle w:val="Strong"/>
              </w:rPr>
              <w:instrText xml:space="preserve"> ADDIN ZOTERO_ITEM CSL_CITATION {"citationID":"050Xfj50","properties":{"formattedCitation":"(Long &amp; Magerko, 2020)","plainCitation":"(Long &amp; Magerko, 2020)","noteIndex":0},"citationItems":[{"id":9548,"uris":["http://zotero.org/users/16652950/items/9222X5F8"],"itemData":{"id":9548,"type":"paper-conference","abstract":"Artificial intelligence (AI) is becoming increasingly integrated in user-facing technology, but public understanding of these technologies is often limited. There is a need for additional HCI research investigating a) what competencies users need in order to effectively interact with and critically evaluate AI and b) how to design learner-centered AI technologies that foster increased user understanding of AI. This paper takes a step towards realizing both of these goals by providing a concrete definition of AI literacy based on existing research. We synthesize a variety of interdisciplinary literature into a set of core competencies of AI literacy and suggest several design considerations to support AI developers and educators in creating learner-centered AI. These competencies and design considerations are organized in a conceptual framework thematically derived from the literature. This paper's contributions can be used to start a conversation about and guide future research on AI literacy within the HCI community.","collection-title":"CHI '20","container-title":"Proceedings of the 2020 CHI Conference on Human Factors in Computing Systems","DOI":"10.1145/3313831.3376727","event-place":"New York, NY, USA","ISBN":"978-1-4503-6708-0","page":"1–16","publisher":"Association for Computing Machinery","publisher-place":"New York, NY, USA","source":"ACM Digital Library","title":"What is AI Literacy? Competencies and Design Considerations","title-short":"What is AI Literacy?","URL":"https://doi.org/10.1145/3313831.3376727","author":[{"family":"Long","given":"Duri"},{"family":"Magerko","given":"Brian"}],"accessed":{"date-parts":[["2025",10,26]]},"issued":{"date-parts":[["2020",4,23]]}}}],"schema":"https://github.com/citation-style-language/schema/raw/master/csl-citation.json"} </w:instrText>
            </w:r>
            <w:r>
              <w:rPr>
                <w:rStyle w:val="Strong"/>
              </w:rPr>
              <w:fldChar w:fldCharType="separate"/>
            </w:r>
            <w:r w:rsidR="0046095A" w:rsidRPr="0046095A">
              <w:rPr>
                <w:rFonts w:ascii="Calibri" w:hAnsi="Calibri" w:cs="Calibri"/>
              </w:rPr>
              <w:t>(Long &amp; Magerko, 2020)</w:t>
            </w:r>
            <w:r>
              <w:rPr>
                <w:rStyle w:val="Strong"/>
              </w:rPr>
              <w:fldChar w:fldCharType="end"/>
            </w:r>
          </w:p>
        </w:tc>
        <w:tc>
          <w:tcPr>
            <w:tcW w:w="0" w:type="auto"/>
            <w:vAlign w:val="center"/>
          </w:tcPr>
          <w:p w:rsidR="00111856" w:rsidRDefault="00502895">
            <w:r>
              <w:t>General / K–12</w:t>
            </w:r>
          </w:p>
        </w:tc>
        <w:tc>
          <w:tcPr>
            <w:tcW w:w="0" w:type="auto"/>
            <w:vAlign w:val="center"/>
          </w:tcPr>
          <w:p w:rsidR="00111856" w:rsidRDefault="00502895">
            <w:r>
              <w:t>1. Knowing and understanding AI</w:t>
            </w:r>
          </w:p>
          <w:p w:rsidR="00111856" w:rsidRDefault="00502895">
            <w:r>
              <w:t>2. Using AI</w:t>
            </w:r>
          </w:p>
          <w:p w:rsidR="00111856" w:rsidRDefault="00502895">
            <w:r>
              <w:t>3. Evaluating AI</w:t>
            </w:r>
          </w:p>
          <w:p w:rsidR="00111856" w:rsidRDefault="00502895">
            <w:r>
              <w:t>4. Ethical and societal awareness</w:t>
            </w:r>
          </w:p>
        </w:tc>
        <w:tc>
          <w:tcPr>
            <w:tcW w:w="0" w:type="auto"/>
            <w:vAlign w:val="center"/>
          </w:tcPr>
          <w:p w:rsidR="00111856" w:rsidRDefault="00502895">
            <w:r>
              <w:t>Constructivist, inquiry-based</w:t>
            </w:r>
          </w:p>
        </w:tc>
        <w:tc>
          <w:tcPr>
            <w:tcW w:w="0" w:type="auto"/>
            <w:vAlign w:val="center"/>
          </w:tcPr>
          <w:p w:rsidR="00111856" w:rsidRDefault="00502895">
            <w:r>
              <w:t>Defines foundational dimensions of AI literacy; widely cited baseline model for general learners.</w:t>
            </w:r>
          </w:p>
        </w:tc>
      </w:tr>
      <w:tr w:rsidR="00111856">
        <w:trPr>
          <w:tblCellSpacing w:w="15" w:type="dxa"/>
        </w:trPr>
        <w:tc>
          <w:tcPr>
            <w:tcW w:w="0" w:type="auto"/>
            <w:vAlign w:val="center"/>
          </w:tcPr>
          <w:p w:rsidR="00111856" w:rsidRDefault="00502895">
            <w:r>
              <w:rPr>
                <w:rStyle w:val="Strong"/>
              </w:rPr>
              <w:t>UNESCO (2023) – “AI Competency Framework for Teachers”</w:t>
            </w:r>
            <w:r>
              <w:rPr>
                <w:rStyle w:val="Strong"/>
              </w:rPr>
              <w:fldChar w:fldCharType="begin"/>
            </w:r>
            <w:r>
              <w:rPr>
                <w:rStyle w:val="Strong"/>
              </w:rPr>
              <w:instrText xml:space="preserve"> ADDIN ZOTERO_ITEM CSL_CITATION {"citationID":"KnLtKUgk","properties":{"formattedCitation":"({\\i{}AI Competency Framework for Teachers - UNESCO Digital Library}, n.d.)","plainCitation":"(AI Competency Framework for Teachers - UNESCO Digital Library, n.d.)","noteIndex":0},"citationItems":[{"id":9545,"uris":["http://zotero.org/users/16652950/items/EBRE7HXH"],"itemData":{"id":9545,"type":"webpage","title":"AI competency framework for teachers - UNESCO Digital Library","URL":"https://unesdoc.unesco.org/ark:/48223/pf0000391104.locale=en","accessed":{"date-parts":[["2025",10,26]]}}}],"schema":"https://github.com/citation-style-language/schema/raw/master/csl-citation.json"} </w:instrText>
            </w:r>
            <w:r>
              <w:rPr>
                <w:rStyle w:val="Strong"/>
              </w:rPr>
              <w:fldChar w:fldCharType="separate"/>
            </w:r>
            <w:r w:rsidR="0046095A" w:rsidRPr="0046095A">
              <w:rPr>
                <w:rFonts w:ascii="Calibri" w:hAnsi="Calibri" w:cs="Calibri"/>
                <w:szCs w:val="24"/>
              </w:rPr>
              <w:t>(</w:t>
            </w:r>
            <w:r w:rsidR="0046095A" w:rsidRPr="0046095A">
              <w:rPr>
                <w:rFonts w:ascii="Calibri" w:hAnsi="Calibri" w:cs="Calibri"/>
                <w:i/>
                <w:iCs/>
                <w:szCs w:val="24"/>
              </w:rPr>
              <w:t>AI Competency Framework for Teachers - UNESCO Digital Library</w:t>
            </w:r>
            <w:r w:rsidR="0046095A" w:rsidRPr="0046095A">
              <w:rPr>
                <w:rFonts w:ascii="Calibri" w:hAnsi="Calibri" w:cs="Calibri"/>
                <w:szCs w:val="24"/>
              </w:rPr>
              <w:t>, n.d.)</w:t>
            </w:r>
            <w:r>
              <w:rPr>
                <w:rStyle w:val="Strong"/>
              </w:rPr>
              <w:fldChar w:fldCharType="end"/>
            </w:r>
          </w:p>
        </w:tc>
        <w:tc>
          <w:tcPr>
            <w:tcW w:w="0" w:type="auto"/>
            <w:vAlign w:val="center"/>
          </w:tcPr>
          <w:p w:rsidR="00111856" w:rsidRDefault="00502895">
            <w:r>
              <w:t>K–12 / Teacher Education</w:t>
            </w:r>
          </w:p>
        </w:tc>
        <w:tc>
          <w:tcPr>
            <w:tcW w:w="0" w:type="auto"/>
            <w:vAlign w:val="center"/>
          </w:tcPr>
          <w:p w:rsidR="00111856" w:rsidRDefault="00502895">
            <w:r>
              <w:t>1. Technical understanding</w:t>
            </w:r>
          </w:p>
          <w:p w:rsidR="00111856" w:rsidRDefault="00502895">
            <w:r>
              <w:t>2. Pedagogical integration</w:t>
            </w:r>
          </w:p>
          <w:p w:rsidR="00111856" w:rsidRDefault="00502895">
            <w:r>
              <w:t>3. Ethical and policy literacy</w:t>
            </w:r>
          </w:p>
        </w:tc>
        <w:tc>
          <w:tcPr>
            <w:tcW w:w="0" w:type="auto"/>
            <w:vAlign w:val="center"/>
          </w:tcPr>
          <w:p w:rsidR="00111856" w:rsidRDefault="00502895">
            <w:r>
              <w:t>Human-centered, ethics-first</w:t>
            </w:r>
          </w:p>
        </w:tc>
        <w:tc>
          <w:tcPr>
            <w:tcW w:w="0" w:type="auto"/>
            <w:vAlign w:val="center"/>
          </w:tcPr>
          <w:p w:rsidR="00111856" w:rsidRDefault="00502895">
            <w:r>
              <w:t>Focuses on teacher capacity-building and policy alignment; emphasizes responsible classroom use.</w:t>
            </w:r>
          </w:p>
        </w:tc>
      </w:tr>
      <w:tr w:rsidR="00111856">
        <w:trPr>
          <w:tblCellSpacing w:w="15" w:type="dxa"/>
        </w:trPr>
        <w:tc>
          <w:tcPr>
            <w:tcW w:w="0" w:type="auto"/>
            <w:vAlign w:val="center"/>
          </w:tcPr>
          <w:p w:rsidR="00111856" w:rsidRDefault="00502895">
            <w:r>
              <w:rPr>
                <w:rStyle w:val="Strong"/>
              </w:rPr>
              <w:t>MIT Media Lab (2021) – “K–12 AI Literacy Framework”</w:t>
            </w:r>
            <w:r>
              <w:rPr>
                <w:rStyle w:val="Strong"/>
              </w:rPr>
              <w:fldChar w:fldCharType="begin"/>
            </w:r>
            <w:r>
              <w:rPr>
                <w:rStyle w:val="Strong"/>
              </w:rPr>
              <w:instrText xml:space="preserve"> ADDIN ZOTERO_ITEM CSL_CITATION {"citationID":"0jYQXd4f","properties":{"formattedCitation":"({\\i{}Project Overview \\uc0\\u8249{} Impact.AI}, n.d.)","plainCitation":"(Project Overview ‹ Impact.AI, n.d.)","noteIndex":0},"citationItems":[{"id":9549,"uris":["http://zotero.org/users/16652950/items/8I8A93VQ"],"itemData":{"id":9549,"type":"webpage","abstract":"Today’s artificial intelligence (AI) technologies are changing how many people play, work, learn, and govern themselves. Due to this rapid technological change…","container-title":"MIT Media Lab","title":"Project Overview ‹ Impact.AI: K-12 AI Literacy","title-short":"Project Overview ‹ Impact.AI","URL":"https://www.media.mit.edu/projects/impact-ai-k-12/overview/","accessed":{"date-parts":[["2025",10,26]]}}}],"schema":"https://github.com/citation-style-language/schema/raw/master/csl-citation.json"} </w:instrText>
            </w:r>
            <w:r>
              <w:rPr>
                <w:rStyle w:val="Strong"/>
              </w:rPr>
              <w:fldChar w:fldCharType="separate"/>
            </w:r>
            <w:r w:rsidR="0046095A" w:rsidRPr="0046095A">
              <w:rPr>
                <w:rFonts w:ascii="Calibri" w:hAnsi="Calibri" w:cs="Calibri"/>
                <w:szCs w:val="24"/>
              </w:rPr>
              <w:t>(</w:t>
            </w:r>
            <w:r w:rsidR="0046095A" w:rsidRPr="0046095A">
              <w:rPr>
                <w:rFonts w:ascii="Calibri" w:hAnsi="Calibri" w:cs="Calibri"/>
                <w:i/>
                <w:iCs/>
                <w:szCs w:val="24"/>
              </w:rPr>
              <w:t>Project Overview ‹ Impact.AI</w:t>
            </w:r>
            <w:r w:rsidR="0046095A" w:rsidRPr="0046095A">
              <w:rPr>
                <w:rFonts w:ascii="Calibri" w:hAnsi="Calibri" w:cs="Calibri"/>
                <w:szCs w:val="24"/>
              </w:rPr>
              <w:t>, n.d.)</w:t>
            </w:r>
            <w:r>
              <w:rPr>
                <w:rStyle w:val="Strong"/>
              </w:rPr>
              <w:fldChar w:fldCharType="end"/>
            </w:r>
          </w:p>
        </w:tc>
        <w:tc>
          <w:tcPr>
            <w:tcW w:w="0" w:type="auto"/>
            <w:vAlign w:val="center"/>
          </w:tcPr>
          <w:p w:rsidR="00111856" w:rsidRDefault="00502895">
            <w:r>
              <w:t>Primary &amp; Secondary Education</w:t>
            </w:r>
          </w:p>
        </w:tc>
        <w:tc>
          <w:tcPr>
            <w:tcW w:w="0" w:type="auto"/>
            <w:vAlign w:val="center"/>
          </w:tcPr>
          <w:p w:rsidR="00111856" w:rsidRDefault="00502895">
            <w:r>
              <w:t>1. Perception and representation</w:t>
            </w:r>
          </w:p>
          <w:p w:rsidR="00111856" w:rsidRDefault="00502895">
            <w:r>
              <w:t>2. Learning and reasoning</w:t>
            </w:r>
          </w:p>
          <w:p w:rsidR="00111856" w:rsidRDefault="00502895">
            <w:r>
              <w:t>3. Natural interaction</w:t>
            </w:r>
          </w:p>
          <w:p w:rsidR="00111856" w:rsidRDefault="00502895">
            <w:r>
              <w:t>4. Societal impact</w:t>
            </w:r>
          </w:p>
        </w:tc>
        <w:tc>
          <w:tcPr>
            <w:tcW w:w="0" w:type="auto"/>
            <w:vAlign w:val="center"/>
          </w:tcPr>
          <w:p w:rsidR="00111856" w:rsidRDefault="00502895">
            <w:r>
              <w:t>Project-based, experiential</w:t>
            </w:r>
          </w:p>
        </w:tc>
        <w:tc>
          <w:tcPr>
            <w:tcW w:w="0" w:type="auto"/>
            <w:vAlign w:val="center"/>
          </w:tcPr>
          <w:p w:rsidR="00111856" w:rsidRDefault="00502895">
            <w:r>
              <w:t>Uses hands-on activities (robotics, ML experiments); integrates social and technical dimensions.</w:t>
            </w:r>
          </w:p>
        </w:tc>
      </w:tr>
      <w:tr w:rsidR="00111856">
        <w:trPr>
          <w:tblCellSpacing w:w="15" w:type="dxa"/>
        </w:trPr>
        <w:tc>
          <w:tcPr>
            <w:tcW w:w="0" w:type="auto"/>
            <w:vAlign w:val="center"/>
          </w:tcPr>
          <w:p w:rsidR="00111856" w:rsidRDefault="00502895">
            <w:r>
              <w:rPr>
                <w:rStyle w:val="Strong"/>
              </w:rPr>
              <w:t>AI4K12 Initiative (</w:t>
            </w:r>
            <w:proofErr w:type="spellStart"/>
            <w:r>
              <w:rPr>
                <w:rStyle w:val="Strong"/>
              </w:rPr>
              <w:t>Touretzky</w:t>
            </w:r>
            <w:proofErr w:type="spellEnd"/>
            <w:r>
              <w:rPr>
                <w:rStyle w:val="Strong"/>
              </w:rPr>
              <w:t xml:space="preserve"> et al., 2019)</w:t>
            </w:r>
            <w:r>
              <w:rPr>
                <w:rStyle w:val="Strong"/>
              </w:rPr>
              <w:fldChar w:fldCharType="begin"/>
            </w:r>
            <w:r>
              <w:rPr>
                <w:rStyle w:val="Strong"/>
              </w:rPr>
              <w:instrText xml:space="preserve"> ADDIN ZOTERO_ITEM CSL_CITATION {"citationID":"WNYC5Px0","properties":{"formattedCitation":"({\\i{}AI4K12}, n.d.)","plainCitation":"(AI4K12, n.d.)","noteIndex":0},"citationItems":[{"id":9552,"uris":["http://zotero.org/users/16652950/items/STTI6DIK"],"itemData":{"id":9552,"type":"webpage","abstract":"Sparking Curiosity in AI","container-title":"AI4K12","language":"en-US","title":"AI4K12","URL":"https://ai4k12.org/","accessed":{"date-parts":[["2025",10,26]]}}}],"schema":"https://github.com/citation-style-language/schema/raw/master/csl-citation.json"} </w:instrText>
            </w:r>
            <w:r>
              <w:rPr>
                <w:rStyle w:val="Strong"/>
              </w:rPr>
              <w:fldChar w:fldCharType="separate"/>
            </w:r>
            <w:r w:rsidR="0046095A" w:rsidRPr="0046095A">
              <w:rPr>
                <w:rFonts w:ascii="Calibri" w:hAnsi="Calibri" w:cs="Calibri"/>
                <w:szCs w:val="24"/>
              </w:rPr>
              <w:t>(</w:t>
            </w:r>
            <w:r w:rsidR="0046095A" w:rsidRPr="0046095A">
              <w:rPr>
                <w:rFonts w:ascii="Calibri" w:hAnsi="Calibri" w:cs="Calibri"/>
                <w:i/>
                <w:iCs/>
                <w:szCs w:val="24"/>
              </w:rPr>
              <w:t>AI4K12</w:t>
            </w:r>
            <w:r w:rsidR="0046095A" w:rsidRPr="0046095A">
              <w:rPr>
                <w:rFonts w:ascii="Calibri" w:hAnsi="Calibri" w:cs="Calibri"/>
                <w:szCs w:val="24"/>
              </w:rPr>
              <w:t>, n.d.)</w:t>
            </w:r>
            <w:r>
              <w:rPr>
                <w:rStyle w:val="Strong"/>
              </w:rPr>
              <w:fldChar w:fldCharType="end"/>
            </w:r>
          </w:p>
        </w:tc>
        <w:tc>
          <w:tcPr>
            <w:tcW w:w="0" w:type="auto"/>
            <w:vAlign w:val="center"/>
          </w:tcPr>
          <w:p w:rsidR="00111856" w:rsidRDefault="00502895">
            <w:r>
              <w:t>K–12</w:t>
            </w:r>
          </w:p>
        </w:tc>
        <w:tc>
          <w:tcPr>
            <w:tcW w:w="0" w:type="auto"/>
            <w:vAlign w:val="center"/>
          </w:tcPr>
          <w:p w:rsidR="00111856" w:rsidRDefault="00502895">
            <w:r>
              <w:t>1. Representation &amp; reasoning</w:t>
            </w:r>
          </w:p>
          <w:p w:rsidR="00111856" w:rsidRDefault="00502895">
            <w:r>
              <w:lastRenderedPageBreak/>
              <w:t>2. Learning</w:t>
            </w:r>
          </w:p>
          <w:p w:rsidR="00111856" w:rsidRDefault="00502895">
            <w:r>
              <w:t>3. Natural interaction</w:t>
            </w:r>
          </w:p>
          <w:p w:rsidR="00111856" w:rsidRDefault="00502895">
            <w:r>
              <w:t>4. Societal implications</w:t>
            </w:r>
          </w:p>
          <w:p w:rsidR="00111856" w:rsidRDefault="00502895">
            <w:r>
              <w:t>5. Perception</w:t>
            </w:r>
          </w:p>
        </w:tc>
        <w:tc>
          <w:tcPr>
            <w:tcW w:w="0" w:type="auto"/>
            <w:vAlign w:val="center"/>
          </w:tcPr>
          <w:p w:rsidR="00111856" w:rsidRDefault="00502895">
            <w:r>
              <w:lastRenderedPageBreak/>
              <w:t>Inquiry-based, spiral curriculum</w:t>
            </w:r>
          </w:p>
        </w:tc>
        <w:tc>
          <w:tcPr>
            <w:tcW w:w="0" w:type="auto"/>
            <w:vAlign w:val="center"/>
          </w:tcPr>
          <w:p w:rsidR="00111856" w:rsidRDefault="00502895">
            <w:r>
              <w:t xml:space="preserve">Establishes five “big ideas of AI”; </w:t>
            </w:r>
            <w:r>
              <w:lastRenderedPageBreak/>
              <w:t>scaffolds learning across grade bands.</w:t>
            </w:r>
          </w:p>
        </w:tc>
      </w:tr>
      <w:tr w:rsidR="00111856">
        <w:trPr>
          <w:tblCellSpacing w:w="15" w:type="dxa"/>
        </w:trPr>
        <w:tc>
          <w:tcPr>
            <w:tcW w:w="0" w:type="auto"/>
            <w:vAlign w:val="center"/>
          </w:tcPr>
          <w:p w:rsidR="00111856" w:rsidRDefault="00502895">
            <w:r>
              <w:rPr>
                <w:rStyle w:val="Strong"/>
              </w:rPr>
              <w:lastRenderedPageBreak/>
              <w:t>OECD (2022) – “AI and the Future of Skills” Framework</w:t>
            </w:r>
            <w:r>
              <w:rPr>
                <w:rStyle w:val="Strong"/>
              </w:rPr>
              <w:fldChar w:fldCharType="begin"/>
            </w:r>
            <w:r>
              <w:rPr>
                <w:rStyle w:val="Strong"/>
              </w:rPr>
              <w:instrText xml:space="preserve"> ADDIN ZOTERO_ITEM CSL_CITATION {"citationID":"ogzJKRiK","properties":{"formattedCitation":"({\\i{}AI and the Future of Skills, Volume 2}, 2023)","plainCitation":"(AI and the Future of Skills, Volume 2, 2023)","noteIndex":0},"citationItems":[{"id":9554,"uris":["http://zotero.org/users/16652950/items/RAMK6E7A"],"itemData":{"id":9554,"type":"webpage","abstract":"This volume describes the second phase of the project: exploring three different approaches to assessing AI.","container-title":"OECD","language":"en","title":"AI and the Future of Skills, Volume 2","URL":"https://www.oecd.org/en/publications/ai-and-the-future-of-skills-volume-2_a9fe53cb-en.html","accessed":{"date-parts":[["2025",10,26]]},"issued":{"date-parts":[["2023",11,15]]}}}],"schema":"https://github.com/citation-style-language/schema/raw/master/csl-citation.json"} </w:instrText>
            </w:r>
            <w:r>
              <w:rPr>
                <w:rStyle w:val="Strong"/>
              </w:rPr>
              <w:fldChar w:fldCharType="separate"/>
            </w:r>
            <w:r w:rsidR="0046095A" w:rsidRPr="0046095A">
              <w:rPr>
                <w:rFonts w:ascii="Calibri" w:hAnsi="Calibri" w:cs="Calibri"/>
                <w:szCs w:val="24"/>
              </w:rPr>
              <w:t>(</w:t>
            </w:r>
            <w:r w:rsidR="0046095A" w:rsidRPr="0046095A">
              <w:rPr>
                <w:rFonts w:ascii="Calibri" w:hAnsi="Calibri" w:cs="Calibri"/>
                <w:i/>
                <w:iCs/>
                <w:szCs w:val="24"/>
              </w:rPr>
              <w:t>AI and the Future of Skills, Volume 2</w:t>
            </w:r>
            <w:r w:rsidR="0046095A" w:rsidRPr="0046095A">
              <w:rPr>
                <w:rFonts w:ascii="Calibri" w:hAnsi="Calibri" w:cs="Calibri"/>
                <w:szCs w:val="24"/>
              </w:rPr>
              <w:t>, 2023)</w:t>
            </w:r>
            <w:r>
              <w:rPr>
                <w:rStyle w:val="Strong"/>
              </w:rPr>
              <w:fldChar w:fldCharType="end"/>
            </w:r>
          </w:p>
        </w:tc>
        <w:tc>
          <w:tcPr>
            <w:tcW w:w="0" w:type="auto"/>
            <w:vAlign w:val="center"/>
          </w:tcPr>
          <w:p w:rsidR="00111856" w:rsidRDefault="00502895">
            <w:r>
              <w:t>Secondary / Tertiary / Workforce</w:t>
            </w:r>
          </w:p>
        </w:tc>
        <w:tc>
          <w:tcPr>
            <w:tcW w:w="0" w:type="auto"/>
            <w:vAlign w:val="center"/>
          </w:tcPr>
          <w:p w:rsidR="00111856" w:rsidRDefault="00502895">
            <w:r>
              <w:t>1. Human–AI collaboration</w:t>
            </w:r>
          </w:p>
          <w:p w:rsidR="00111856" w:rsidRDefault="00502895">
            <w:r>
              <w:t>2. Ethics &amp; governance</w:t>
            </w:r>
          </w:p>
          <w:p w:rsidR="00111856" w:rsidRDefault="00502895">
            <w:r>
              <w:t>3. Data &amp; computational literacy</w:t>
            </w:r>
          </w:p>
          <w:p w:rsidR="00111856" w:rsidRDefault="00502895">
            <w:r>
              <w:t>4. Innovation &amp; creativity</w:t>
            </w:r>
          </w:p>
        </w:tc>
        <w:tc>
          <w:tcPr>
            <w:tcW w:w="0" w:type="auto"/>
            <w:vAlign w:val="center"/>
          </w:tcPr>
          <w:p w:rsidR="00111856" w:rsidRDefault="00502895">
            <w:r>
              <w:t>Interdisciplinary, reflective</w:t>
            </w:r>
          </w:p>
        </w:tc>
        <w:tc>
          <w:tcPr>
            <w:tcW w:w="0" w:type="auto"/>
            <w:vAlign w:val="center"/>
          </w:tcPr>
          <w:p w:rsidR="00111856" w:rsidRDefault="00502895">
            <w:r>
              <w:t>Emphasizes lifelong learning, global citizenship, and equitable participation in AI-driven economies.</w:t>
            </w:r>
          </w:p>
        </w:tc>
      </w:tr>
      <w:tr w:rsidR="00111856">
        <w:trPr>
          <w:tblCellSpacing w:w="15" w:type="dxa"/>
        </w:trPr>
        <w:tc>
          <w:tcPr>
            <w:tcW w:w="0" w:type="auto"/>
            <w:vAlign w:val="center"/>
          </w:tcPr>
          <w:p w:rsidR="00111856" w:rsidRDefault="00502895">
            <w:r>
              <w:rPr>
                <w:rStyle w:val="Strong"/>
              </w:rPr>
              <w:t>Microsoft &amp; ISTE (2021) – “AI Explorations Framework”</w:t>
            </w:r>
          </w:p>
        </w:tc>
        <w:tc>
          <w:tcPr>
            <w:tcW w:w="0" w:type="auto"/>
            <w:vAlign w:val="center"/>
          </w:tcPr>
          <w:p w:rsidR="00111856" w:rsidRDefault="00502895">
            <w:r>
              <w:t>K–12 / Teacher PD</w:t>
            </w:r>
          </w:p>
        </w:tc>
        <w:tc>
          <w:tcPr>
            <w:tcW w:w="0" w:type="auto"/>
            <w:vAlign w:val="center"/>
          </w:tcPr>
          <w:p w:rsidR="00111856" w:rsidRDefault="00502895">
            <w:r>
              <w:t>1. AI concepts</w:t>
            </w:r>
          </w:p>
          <w:p w:rsidR="00111856" w:rsidRDefault="00502895">
            <w:r>
              <w:t>2. Practical applications</w:t>
            </w:r>
          </w:p>
          <w:p w:rsidR="00111856" w:rsidRDefault="00502895">
            <w:r>
              <w:t>3. Societal implications</w:t>
            </w:r>
          </w:p>
        </w:tc>
        <w:tc>
          <w:tcPr>
            <w:tcW w:w="0" w:type="auto"/>
            <w:vAlign w:val="center"/>
          </w:tcPr>
          <w:p w:rsidR="00111856" w:rsidRDefault="00502895">
            <w:r>
              <w:t>Project-based, practice-oriented</w:t>
            </w:r>
          </w:p>
        </w:tc>
        <w:tc>
          <w:tcPr>
            <w:tcW w:w="0" w:type="auto"/>
            <w:vAlign w:val="center"/>
          </w:tcPr>
          <w:p w:rsidR="00111856" w:rsidRDefault="00502895">
            <w:r>
              <w:t>Integrates AI toolkits for classroom use; aligns with STEM and computer science standards.</w:t>
            </w:r>
          </w:p>
        </w:tc>
      </w:tr>
    </w:tbl>
    <w:p w:rsidR="00111856" w:rsidRDefault="0050289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4.5 Gaps: equity, teacher readiness, scalability</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promising progress, several persistent gaps challenge scalable curriculum adoption:</w:t>
      </w:r>
    </w:p>
    <w:p w:rsidR="00111856" w:rsidRDefault="00502895">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Equity concerns</w:t>
      </w:r>
      <w:r>
        <w:rPr>
          <w:rFonts w:ascii="Times New Roman" w:eastAsia="Times New Roman" w:hAnsi="Times New Roman" w:cs="Times New Roman"/>
          <w:sz w:val="24"/>
          <w:szCs w:val="24"/>
        </w:rPr>
        <w:t>: Unequal access to technology and expertise risks deepening digital and social divides.</w:t>
      </w:r>
    </w:p>
    <w:p w:rsidR="00111856" w:rsidRDefault="00502895">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Teacher readiness</w:t>
      </w:r>
      <w:r>
        <w:rPr>
          <w:rFonts w:ascii="Times New Roman" w:eastAsia="Times New Roman" w:hAnsi="Times New Roman" w:cs="Times New Roman"/>
          <w:sz w:val="24"/>
          <w:szCs w:val="24"/>
        </w:rPr>
        <w:t>: Many educators lack confidence or training in AI pedagogy, limiting implementation quality.</w:t>
      </w:r>
    </w:p>
    <w:p w:rsidR="00111856" w:rsidRDefault="00502895">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Scalability</w:t>
      </w:r>
      <w:r>
        <w:rPr>
          <w:rFonts w:ascii="Times New Roman" w:eastAsia="Times New Roman" w:hAnsi="Times New Roman" w:cs="Times New Roman"/>
          <w:sz w:val="24"/>
          <w:szCs w:val="24"/>
        </w:rPr>
        <w:t>: Programs often remain pilot-based or siloed, without sustained policy or institutional support.</w:t>
      </w:r>
    </w:p>
    <w:p w:rsidR="00111856" w:rsidRDefault="00502895">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Curricular coherence</w:t>
      </w:r>
      <w:r>
        <w:rPr>
          <w:rFonts w:ascii="Times New Roman" w:eastAsia="Times New Roman" w:hAnsi="Times New Roman" w:cs="Times New Roman"/>
          <w:sz w:val="24"/>
          <w:szCs w:val="24"/>
        </w:rPr>
        <w:t>: Fragmented efforts result in overlapping or inconsistent learning expectations across grade levels.</w:t>
      </w:r>
    </w:p>
    <w:p w:rsidR="00111856" w:rsidRDefault="00502895">
      <w:pPr>
        <w:spacing w:before="100" w:beforeAutospacing="1" w:after="100" w:afterAutospacing="1" w:line="240" w:lineRule="auto"/>
        <w:rPr>
          <w:rStyle w:val="Emphasis"/>
        </w:rPr>
      </w:pPr>
      <w:r>
        <w:rPr>
          <w:rFonts w:ascii="Times New Roman" w:eastAsia="Times New Roman" w:hAnsi="Times New Roman" w:cs="Times New Roman"/>
          <w:sz w:val="24"/>
          <w:szCs w:val="24"/>
        </w:rPr>
        <w:lastRenderedPageBreak/>
        <w:t>Addressing these gaps requires coordinated systems-level action and resources to ensure that AI literacy opportunities are distributed fairly and sustainably.</w:t>
      </w:r>
      <w:r>
        <w:rPr>
          <w:rStyle w:val="Emphasis"/>
        </w:rPr>
        <w:t xml:space="preserve"> </w:t>
      </w:r>
      <w:r>
        <w:rPr>
          <w:rStyle w:val="Emphasis"/>
          <w:rFonts w:ascii="Times New Roman" w:hAnsi="Times New Roman" w:cs="Times New Roman"/>
          <w:sz w:val="24"/>
          <w:szCs w:val="24"/>
        </w:rPr>
        <w:t>Figure 1 presents the conceptual ecosystem underlying AI literacy curriculum design, emphasizing the interconnections between teacher capacity, curricular structure, student engagement, and supporting infrastructure</w:t>
      </w:r>
      <w:r>
        <w:rPr>
          <w:rStyle w:val="Emphasis"/>
        </w:rPr>
        <w:t>.</w:t>
      </w:r>
    </w:p>
    <w:p w:rsidR="00111856" w:rsidRDefault="005028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111856" w:rsidRDefault="00502895">
      <w:pPr>
        <w:pStyle w:val="NormalWeb"/>
      </w:pPr>
      <w:r>
        <w:rPr>
          <w:rStyle w:val="Strong"/>
        </w:rPr>
        <w:t>Figure 1. Conceptual Ecosystem of AI Literacy Curriculum</w:t>
      </w:r>
      <w:r>
        <w:t xml:space="preserve">. This conceptual diagram illustrates the interdependent components of the AI literacy curriculum ecosystem. It positions </w:t>
      </w:r>
      <w:r>
        <w:rPr>
          <w:rStyle w:val="Strong"/>
        </w:rPr>
        <w:t>teacher training</w:t>
      </w:r>
      <w:r>
        <w:t xml:space="preserve">, </w:t>
      </w:r>
      <w:r>
        <w:rPr>
          <w:rStyle w:val="Strong"/>
        </w:rPr>
        <w:t>curriculum design</w:t>
      </w:r>
      <w:r>
        <w:t xml:space="preserve">, </w:t>
      </w:r>
      <w:r>
        <w:rPr>
          <w:rStyle w:val="Strong"/>
        </w:rPr>
        <w:t>student learning</w:t>
      </w:r>
      <w:r>
        <w:t xml:space="preserve">, and </w:t>
      </w:r>
      <w:r>
        <w:rPr>
          <w:rStyle w:val="Strong"/>
        </w:rPr>
        <w:t>resources and tools</w:t>
      </w:r>
      <w:r>
        <w:t xml:space="preserve"> as interconnected domains supported by cross-sector collaboration. The central brain icon symbolizes the integration of </w:t>
      </w:r>
      <w:r>
        <w:rPr>
          <w:rStyle w:val="Strong"/>
        </w:rPr>
        <w:t>technical knowledge</w:t>
      </w:r>
      <w:r>
        <w:t xml:space="preserve">, </w:t>
      </w:r>
      <w:r>
        <w:rPr>
          <w:rStyle w:val="Strong"/>
        </w:rPr>
        <w:t>ethical awareness</w:t>
      </w:r>
      <w:r>
        <w:t xml:space="preserve">, and </w:t>
      </w:r>
      <w:r>
        <w:rPr>
          <w:rStyle w:val="Strong"/>
        </w:rPr>
        <w:t xml:space="preserve">human–AI </w:t>
      </w:r>
      <w:r>
        <w:rPr>
          <w:rStyle w:val="Strong"/>
        </w:rPr>
        <w:lastRenderedPageBreak/>
        <w:t>collaboration</w:t>
      </w:r>
      <w:r>
        <w:t xml:space="preserve"> at the core of AI literacy education. The cyclical structure reflects the dynamic feedback between pedagogy, policy, and practice.</w:t>
      </w:r>
    </w:p>
    <w:p w:rsidR="00111856" w:rsidRDefault="00111856">
      <w:pPr>
        <w:spacing w:before="100" w:beforeAutospacing="1" w:after="100" w:afterAutospacing="1" w:line="240" w:lineRule="auto"/>
        <w:rPr>
          <w:rFonts w:ascii="Times New Roman" w:eastAsia="Times New Roman" w:hAnsi="Times New Roman" w:cs="Times New Roman"/>
          <w:sz w:val="24"/>
          <w:szCs w:val="24"/>
        </w:rPr>
      </w:pPr>
    </w:p>
    <w:p w:rsidR="00111856" w:rsidRDefault="00502895">
      <w:pPr>
        <w:pStyle w:val="Heading2"/>
        <w:rPr>
          <w:sz w:val="24"/>
          <w:szCs w:val="24"/>
        </w:rPr>
      </w:pPr>
      <w:r>
        <w:rPr>
          <w:rStyle w:val="Strong"/>
          <w:b/>
          <w:bCs/>
          <w:sz w:val="24"/>
          <w:szCs w:val="24"/>
        </w:rPr>
        <w:t>5. Pedagogical Models Supporting AI Literacy</w:t>
      </w:r>
    </w:p>
    <w:p w:rsidR="00111856" w:rsidRDefault="00502895">
      <w:pPr>
        <w:pStyle w:val="Heading3"/>
      </w:pPr>
      <w:r>
        <w:rPr>
          <w:rStyle w:val="Strong"/>
          <w:b/>
          <w:bCs/>
        </w:rPr>
        <w:t>5.1 Constructivist and inquiry-based learning approaches</w:t>
      </w:r>
    </w:p>
    <w:p w:rsidR="00111856" w:rsidRDefault="00502895">
      <w:pPr>
        <w:pStyle w:val="NormalWeb"/>
      </w:pPr>
      <w:r>
        <w:t>Constructivist pedagogy forms a foundational approach to AI literacy instruction. Inquiry-based models encourage learners to develop their own understanding of AI by questioning how intelligent systems perceive, learn, and act. Students are positioned as active knowledge builders rather than passive recipients of information, engaging in exploration, reflection, and collaborative discourse. This model also supports the development of critical thinking skills as learners analyze the assumptions and limitations embedded in AI technologies</w:t>
      </w:r>
      <w:r>
        <w:fldChar w:fldCharType="begin"/>
      </w:r>
      <w:r>
        <w:instrText xml:space="preserve"> ADDIN ZOTERO_ITEM CSL_CITATION {"citationID":"LPHSo3q4","properties":{"formattedCitation":"(Wang et al., 2025)","plainCitation":"(Wang et al., 2025)","noteIndex":0},"citationItems":[{"id":9558,"uris":["http://zotero.org/users/16652950/items/7BLEZHAL"],"itemData":{"id":9558,"type":"article-journal","abstract":"This study, grounded in constructivist theory, presents an innovative artificial intelligence (AI) course framework for undergraduate students from the School of Artificial Intelligence at Anhui University. This research focuses on students’ perceptions and explores the impact of blogs as a platform for assignment submission in an AI course. Data are collected using structured questionnaires and analyzed quantitatively using a partial least squares structural equation model. Additionally, interviews are conducted to provide nuanced insights and contextual explanations, thus supplementing the quantitative findings. This study explores the specific impacts of blogs on students’ learning abilities, learning experiences, academic outcomes, and overall satisfaction within the AI course. By leveraging blogs as pedagogical tools, this study highlights their potential to transform traditional teaching methods and promote active learning and knowledge sharing in higher education. The proposed course framework also offers a scalable model that can be adapted for other science and engineering disciplines in colleges and universities.","container-title":"Education Sciences","DOI":"10.3390/educsci15020217","ISSN":"2227-7102","issue":"2","language":"en","license":"http://creativecommons.org/licenses/by/3.0/","note":"publisher: Multidisciplinary Digital Publishing Institute","page":"217","source":"www.mdpi.com","title":"Enhance College AI Course Learning Experience with Constructivism-Based Blog Assignments","volume":"15","author":[{"family":"Wang","given":"Di"},{"family":"Dong","given":"Xingbo"},{"family":"Zhong","given":"Jingxun"}],"issued":{"date-parts":[["2025",2]]}}}],"schema":"https://github.com/citation-style-language/schema/raw/master/csl-citation.json"} </w:instrText>
      </w:r>
      <w:r>
        <w:fldChar w:fldCharType="separate"/>
      </w:r>
      <w:r w:rsidR="0046095A" w:rsidRPr="0046095A">
        <w:t>(Wang et al., 2025)</w:t>
      </w:r>
      <w:r>
        <w:fldChar w:fldCharType="end"/>
      </w:r>
      <w:r>
        <w:t>.</w:t>
      </w:r>
    </w:p>
    <w:p w:rsidR="00111856" w:rsidRDefault="00502895">
      <w:pPr>
        <w:pStyle w:val="Heading3"/>
      </w:pPr>
      <w:r>
        <w:rPr>
          <w:rStyle w:val="Strong"/>
          <w:b/>
          <w:bCs/>
        </w:rPr>
        <w:t>5.2 Project-based and experiential learning</w:t>
      </w:r>
    </w:p>
    <w:p w:rsidR="00111856" w:rsidRDefault="00502895">
      <w:pPr>
        <w:pStyle w:val="NormalWeb"/>
      </w:pPr>
      <w:r>
        <w:t>Project-based and experiential learning approaches provide authentic contexts in which students can design, test, and evaluate AI systems. Activities such as robotics, game design, machine learning experiments, and data exploration expose students to the practical dimensions of AI functionality. These pedagogies strengthen conceptual understanding while fostering innovation, resilience, and computational problem-solving. Hands-on engagement enables learners to perceive AI as a tool for creative inquiry and societal improvement rather than a distant technical abstraction</w:t>
      </w:r>
      <w:r>
        <w:fldChar w:fldCharType="begin"/>
      </w:r>
      <w:r>
        <w:instrText xml:space="preserve"> ADDIN ZOTERO_ITEM CSL_CITATION {"citationID":"pPSjcNwo","properties":{"formattedCitation":"(Dai et al., 2025)","plainCitation":"(Dai et al., 2025)","noteIndex":0},"citationItems":[{"id":9562,"uris":["http://zotero.org/users/16652950/items/HK3JKLHL"],"itemData":{"id":9562,"type":"article-journal","abstract":"Using Generative Artificial Intelligence (GAI) in education has opened new avenues for innovation, yet its role as an interactive tool with learners remains underexplored. Research in this domain faces challenges from pedagogical complexities and the variability of AI tools. To address these gaps, this study developed an online project-based learning (PBL) platform incorporating a GAI plug-in and conducted a year-long experiment to analyze its impact. Three sets of experimental analyses were performed to examine learners’ methods, cognitive processes, and learning effectiveness. The findings reveal that GAI significantly influenced students’ learning approaches, cognitive engagement, and learning effectiveness. Additionally, the study demonstrates that PBL offers an effective framework for investigating the educational implications of GAI, providing new insights for future research in this evolving field.","container-title":"Applied Sciences","DOI":"10.3390/app15052369","ISSN":"2076-3417","issue":"5","language":"en","license":"http://creativecommons.org/licenses/by/3.0/","note":"publisher: Multidisciplinary Digital Publishing Institute","page":"2369","source":"www.mdpi.com","title":"How Generative AI Enables an Online Project-Based Learning Platform: An Applied Study of Learning Behavior Analysis in Undergraduate Students","title-short":"How Generative AI Enables an Online Project-Based Learning Platform","volume":"15","author":[{"family":"Dai","given":"Yi"},{"family":"Xiao","given":"Jia-Ying"},{"family":"Huang","given":"Yizhe"},{"family":"Zhai","given":"Xuesong"},{"family":"Wai","given":"Fan-Chun"},{"family":"Zhang","given":"Ming"}],"issued":{"date-parts":[["2025",1]]}}}],"schema":"https://github.com/citation-style-language/schema/raw/master/csl-citation.json"} </w:instrText>
      </w:r>
      <w:r>
        <w:fldChar w:fldCharType="separate"/>
      </w:r>
      <w:r w:rsidR="0046095A" w:rsidRPr="0046095A">
        <w:t>(Dai et al., 2025)</w:t>
      </w:r>
      <w:r>
        <w:fldChar w:fldCharType="end"/>
      </w:r>
      <w:r>
        <w:t>.</w:t>
      </w:r>
    </w:p>
    <w:p w:rsidR="00111856" w:rsidRDefault="00502895">
      <w:pPr>
        <w:pStyle w:val="Heading3"/>
      </w:pPr>
      <w:r>
        <w:rPr>
          <w:rStyle w:val="Strong"/>
          <w:b/>
          <w:bCs/>
        </w:rPr>
        <w:t>5.3 Human-centered and ethics-first pedagogies</w:t>
      </w:r>
    </w:p>
    <w:p w:rsidR="00111856" w:rsidRDefault="00502895">
      <w:pPr>
        <w:pStyle w:val="NormalWeb"/>
      </w:pPr>
      <w:r>
        <w:t>Human-centered models place emphasis on the interaction between AI systems and human users, prioritizing ethical reasoning and social awareness. Ethics-first pedagogies foreground critical issues such as bias, privacy, transparency, and the environmental implications of AI infrastructures. These approaches ask learners to consider how AI affects different communities and to advocate for fair and responsible use. Such engagement supports the cultivation of ethical agency and prepares learners to contribute thoughtfully to public discussions on AI regulation and design</w:t>
      </w:r>
      <w:r>
        <w:fldChar w:fldCharType="begin"/>
      </w:r>
      <w:r>
        <w:instrText xml:space="preserve"> ADDIN ZOTERO_ITEM CSL_CITATION {"citationID":"1AK13a27","properties":{"formattedCitation":"(Chen et al., 2023)","plainCitation":"(Chen et al., 2023)","noteIndex":0},"citationItems":[{"id":9564,"uris":["http://zotero.org/users/16652950/items/FIH4T23B"],"itemData":{"id":9564,"type":"article-journal","abstract":"The potential of artificial intelligence (AI) to reduce health care disparities and inequities is recognized, but it can also exacerbate these issues if not implemented in an equitable manner. This perspective identifies potential biases in each ...","container-title":"Journal of Medical Internet Research","DOI":"10.2196/43251","language":"en","note":"PMID: 36961506","page":"e43251","source":"pmc.ncbi.nlm.nih.gov","title":"Human-Centered Design to Address Biases in Artificial Intelligence","volume":"25","author":[{"family":"Chen","given":"You"},{"family":"Clayton","given":"Ellen Wright"},{"family":"Novak","given":"Laurie Lovett"},{"family":"Anders","given":"Shilo"},{"family":"Malin","given":"Bradley"}],"issued":{"date-parts":[["2023",3,24]]}}}],"schema":"https://github.com/citation-style-language/schema/raw/master/csl-citation.json"} </w:instrText>
      </w:r>
      <w:r>
        <w:fldChar w:fldCharType="separate"/>
      </w:r>
      <w:r w:rsidR="0046095A" w:rsidRPr="0046095A">
        <w:t>(Chen et al., 2023)</w:t>
      </w:r>
      <w:r>
        <w:fldChar w:fldCharType="end"/>
      </w:r>
      <w:r>
        <w:t>.</w:t>
      </w:r>
    </w:p>
    <w:p w:rsidR="00111856" w:rsidRDefault="00502895">
      <w:pPr>
        <w:pStyle w:val="Heading3"/>
      </w:pPr>
      <w:r>
        <w:rPr>
          <w:rStyle w:val="Strong"/>
          <w:b/>
          <w:bCs/>
        </w:rPr>
        <w:t>5.4 Use of AI tools as learning agents</w:t>
      </w:r>
    </w:p>
    <w:p w:rsidR="00111856" w:rsidRDefault="00502895">
      <w:pPr>
        <w:pStyle w:val="NormalWeb"/>
      </w:pPr>
      <w:r>
        <w:t>AI tools themselves are increasingly integrated into the learning process as adaptive tutors, collaborators, or feedback agents. Intelligent tutoring systems, generative AI platforms, and conversational agents can personalize instruction, model reasoning, and support iterative learning. Engaging AI as a learning partner provides both functional and meta-cognitive benefits: students practice effective oversight of automated outputs while gaining insight into the strengths and boundaries of AI decision-making. These experiences reinforce students’ roles as informed evaluators of AI-generated content</w:t>
      </w:r>
      <w:r>
        <w:fldChar w:fldCharType="begin"/>
      </w:r>
      <w:r>
        <w:instrText xml:space="preserve"> ADDIN ZOTERO_ITEM CSL_CITATION {"citationID":"291qq4b1","properties":{"formattedCitation":"(Sajja et al., 2024)","plainCitation":"(Sajja et al., 2024)","noteIndex":0},"citationItems":[{"id":9568,"uris":["http://zotero.org/users/16652950/items/HMCMHBZ8"],"itemData":{"id":9568,"type":"article-journal","abstract":"This paper presents a novel framework, artificial intelligence-enabled intelligent assistant (AIIA), for personalized and adaptive learning in higher education. The AIIA system leverages advanced AI and natural language processing (NLP) techniques to create an interactive and engaging learning platform. This platform is engineered to reduce cognitive load on learners by providing easy access to information, facilitating knowledge assessment, and delivering personalized learning support tailored to individual needs and learning styles. The AIIA’s capabilities include understanding and responding to student inquiries, generating quizzes and flashcards, and offering personalized learning pathways. The research findings have the potential to significantly impact the design, implementation, and evaluation of AI-enabled virtual teaching assistants (VTAs) in higher education, informing the development of innovative educational tools that can enhance student learning outcomes, engagement, and satisfaction. The paper presents the methodology, system architecture, intelligent services, and integration with learning management systems (LMSs) while discussing the challenges, limitations, and future directions for the development of AI-enabled intelligent assistants in education.","container-title":"Information","DOI":"10.3390/info15100596","ISSN":"2078-2489","issue":"10","language":"en","license":"http://creativecommons.org/licenses/by/3.0/","note":"publisher: Multidisciplinary Digital Publishing Institute","page":"596","source":"www.mdpi.com","title":"Artificial Intelligence-Enabled Intelligent Assistant for Personalized and Adaptive Learning in Higher Education","volume":"15","author":[{"family":"Sajja","given":"Ramteja"},{"family":"Sermet","given":"Yusuf"},{"family":"Cikmaz","given":"Muhammed"},{"family":"Cwiertny","given":"David"},{"family":"Demir","given":"Ibrahim"}],"issued":{"date-parts":[["2024",10]]}}}],"schema":"https://github.com/citation-style-language/schema/raw/master/csl-citation.json"} </w:instrText>
      </w:r>
      <w:r>
        <w:fldChar w:fldCharType="separate"/>
      </w:r>
      <w:r w:rsidR="0046095A" w:rsidRPr="0046095A">
        <w:t>(Sajja et al., 2024)</w:t>
      </w:r>
      <w:r>
        <w:fldChar w:fldCharType="end"/>
      </w:r>
      <w:r>
        <w:t>.</w:t>
      </w:r>
    </w:p>
    <w:p w:rsidR="00111856" w:rsidRDefault="00502895">
      <w:pPr>
        <w:pStyle w:val="Heading3"/>
      </w:pPr>
      <w:r>
        <w:rPr>
          <w:rStyle w:val="Strong"/>
          <w:b/>
          <w:bCs/>
        </w:rPr>
        <w:lastRenderedPageBreak/>
        <w:t>5.5 Assessment models for AI literacy competencies</w:t>
      </w:r>
    </w:p>
    <w:p w:rsidR="00111856" w:rsidRDefault="00502895">
      <w:pPr>
        <w:pStyle w:val="NormalWeb"/>
      </w:pPr>
      <w:r>
        <w:t>Assessment practices for AI literacy remain emergent but increasingly emphasize multidimensional evaluation across cognitive, practical, and ethical domains. Performance-based assessments—such as design portfolios, reflective case studies, and collaborative problem-solving tasks—capture students’ ability to apply AI concepts in meaningful contexts. Formative assessment strategies, supported by teacher feedback and AI-driven analytics, help track conceptual growth and meta-cognitive awareness. The inclusion of ethics and human-AI interaction skills in assessment frameworks is critical to ensuring a holistic understanding of AI literacy outcomes</w:t>
      </w:r>
      <w:r>
        <w:fldChar w:fldCharType="begin"/>
      </w:r>
      <w:r>
        <w:instrText xml:space="preserve"> ADDIN ZOTERO_ITEM CSL_CITATION {"citationID":"YBQrhKY1","properties":{"formattedCitation":"(Ayanwale et al., 2024)","plainCitation":"(Ayanwale et al., 2024)","noteIndex":0},"citationItems":[{"id":9571,"uris":["http://zotero.org/users/16652950/items/BR2T9XYH"],"itemData":{"id":9571,"type":"article-journal","abstract":"In the context of global integration and increasing reliance on Artificial Intelligence (AI) in education, evaluating the AI literacy of pre-service teachers is crucial. As future architects of educational systems, pre-service teachers must not only possess pedagogical expertise but also a strong foundation in AI literacy. This quantitative study examines AI literacy among 529 pre-service teachers in a Nigerian university, utilizing structural equation modeling (SEM) for comprehensive analysis. The research explores various dimensions of AI literacy, revealing that a profound understanding of AI significantly predicts positive outcomes in AI use, detection, ethics, creation, and problem-solving. However, no correlation exists between AI knowledge and emotion regulation or the assumption that active AI use enhances AI detection capabilities. The study identifies a trade-off between AI application and creation, emphasizing the ethical considerations intertwined with emotional and persuasive facets of AI use. It also supports the link between AI creation and problem-solving, emphasizing the foundational role of AI knowledge in shaping diverse aspects of AI literacy among pre-service teachers. The findings offer valuable insights for educators, administrators, policymakers, and researchers aiming to enhance AI literacy in pre-service teacher education programs.","container-title":"Computers and Education Open","DOI":"10.1016/j.caeo.2024.100179","ISSN":"2666-5573","journalAbbreviation":"Computers and Education Open","page":"100179","source":"ScienceDirect","title":"Examining artificial intelligence literacy among pre-service teachers for future classrooms","volume":"6","author":[{"family":"Ayanwale","given":"Musa Adekunle"},{"family":"Adelana","given":"Owolabi Paul"},{"family":"Molefi","given":"Rethabile Rosemary"},{"family":"Adeeko","given":"Olalekan"},{"family":"Ishola","given":"Adebayo Monsur"}],"issued":{"date-parts":[["2024",6,1]]}}}],"schema":"https://github.com/citation-style-language/schema/raw/master/csl-citation.json"} </w:instrText>
      </w:r>
      <w:r>
        <w:fldChar w:fldCharType="separate"/>
      </w:r>
      <w:r w:rsidR="0046095A" w:rsidRPr="0046095A">
        <w:t>(Ayanwale et al., 2024)</w:t>
      </w:r>
      <w:r>
        <w:fldChar w:fldCharType="end"/>
      </w:r>
      <w:r>
        <w:t>.</w:t>
      </w:r>
    </w:p>
    <w:p w:rsidR="00111856" w:rsidRDefault="00502895">
      <w:pPr>
        <w:pStyle w:val="Heading2"/>
        <w:rPr>
          <w:sz w:val="24"/>
          <w:szCs w:val="24"/>
        </w:rPr>
      </w:pPr>
      <w:r>
        <w:rPr>
          <w:rStyle w:val="Strong"/>
          <w:b/>
          <w:bCs/>
          <w:sz w:val="24"/>
          <w:szCs w:val="24"/>
        </w:rPr>
        <w:t>6. Challenges and Barriers in Curriculum Implementation</w:t>
      </w:r>
    </w:p>
    <w:p w:rsidR="00111856" w:rsidRDefault="00502895">
      <w:pPr>
        <w:pStyle w:val="Heading3"/>
      </w:pPr>
      <w:r>
        <w:rPr>
          <w:rStyle w:val="Strong"/>
          <w:b/>
          <w:bCs/>
        </w:rPr>
        <w:t>6.1 Teacher professional development and misconceptions</w:t>
      </w:r>
    </w:p>
    <w:p w:rsidR="00111856" w:rsidRDefault="00502895">
      <w:pPr>
        <w:pStyle w:val="NormalWeb"/>
      </w:pPr>
      <w:r>
        <w:t xml:space="preserve">Teachers play a central role in advancing AI literacy, yet many </w:t>
      </w:r>
      <w:proofErr w:type="gramStart"/>
      <w:r>
        <w:t>report</w:t>
      </w:r>
      <w:proofErr w:type="gramEnd"/>
      <w:r>
        <w:t xml:space="preserve"> limited confidence in both their technical knowledge and pedagogical strategies for AI instruction. Misconceptions about AI—such as overly narrow associations with robotics or fears of replacing human educators—can impede curriculum adoption. Insufficient training opportunities and lack of professional learning communities compound these challenges, resulting in uneven implementation quality across educational settings</w:t>
      </w:r>
      <w:r>
        <w:fldChar w:fldCharType="begin"/>
      </w:r>
      <w:r>
        <w:instrText xml:space="preserve"> ADDIN ZOTERO_ITEM CSL_CITATION {"citationID":"6i1f2xvT","properties":{"formattedCitation":"(Traga Philippakos &amp; Rocconi, 2025)","plainCitation":"(Traga Philippakos &amp; Rocconi, 2025)","noteIndex":0},"citationItems":[{"id":9572,"uris":["http://zotero.org/users/16652950/items/A5LQWC44"],"itemData":{"id":9572,"type":"article-journal","abstract":"The development of artificial intelligence (AI) has had a significant impact on various sectors, including education. The successful integration of AI tools in classrooms depends largely on teachers’ understanding and knowledge, confidence, and training. This study explores how educators in grade 3 to 12 utilize AI tools, their level of confidence employing these tools, and their professional development (PD) needs. It also investigates the challenges educators face integrating AI into their practice. Participants were 242 teachers (79% female). Findings revealed that while most teachers were aware of AI writing tools like ChatGPT, their overall familiarity with and understanding of AI concepts were mixed, with slightly less than half currently using AI tools in their instruction. Secondary teachers consistently showed significantly higher levels of AI knowledge, familiarity, usage, and confidence in AI-related teaching practices compared to their elementary counterparts. The primary PD need identified to boost teacher confidence was “Professional development workshops,” with challenges highlighted by lower confidence in areas like AI-based grading and troubleshooting, alongside desires for clear policies and best practice guidance.","container-title":"Education Sciences","DOI":"10.3390/educsci15091186","ISSN":"2227-7102","issue":"9","language":"en","license":"http://creativecommons.org/licenses/by/3.0/","note":"publisher: Multidisciplinary Digital Publishing Institute","page":"1186","source":"www.mdpi.com","title":"AI Literacy: Elementary and Secondary Teachers’ Use of AI-Tools, Reported Confidence, and Professional Development Needs","title-short":"AI Literacy","volume":"15","author":[{"family":"Traga Philippakos","given":"Zoi A."},{"family":"Rocconi","given":"Louis"}],"issued":{"date-parts":[["2025",9]]}}}],"schema":"https://github.com/citation-style-language/schema/raw/master/csl-citation.json"} </w:instrText>
      </w:r>
      <w:r>
        <w:fldChar w:fldCharType="separate"/>
      </w:r>
      <w:r w:rsidR="0046095A" w:rsidRPr="0046095A">
        <w:t>(Traga Philippakos &amp; Rocconi, 2025)</w:t>
      </w:r>
      <w:r>
        <w:fldChar w:fldCharType="end"/>
      </w:r>
      <w:r>
        <w:t>.</w:t>
      </w:r>
    </w:p>
    <w:p w:rsidR="00111856" w:rsidRDefault="00502895">
      <w:pPr>
        <w:pStyle w:val="Heading3"/>
      </w:pPr>
      <w:r>
        <w:rPr>
          <w:rStyle w:val="Strong"/>
          <w:b/>
          <w:bCs/>
        </w:rPr>
        <w:t>6.2 Resource disparities and technological access</w:t>
      </w:r>
    </w:p>
    <w:p w:rsidR="00111856" w:rsidRDefault="00502895">
      <w:pPr>
        <w:pStyle w:val="NormalWeb"/>
      </w:pPr>
      <w:r>
        <w:t>Access to AI education often mirrors existing digital inequities. Schools in under-resourced regions may lack essential infrastructure, including reliable internet connectivity, computing devices, and appropriate learning tools. These disparities risk creating new divides between learners who can engage meaningfully with AI systems and those who are excluded. Ensuring equitable resource distribution remains a critical prerequisite for scalable AI literacy initiatives</w:t>
      </w:r>
      <w:r>
        <w:fldChar w:fldCharType="begin"/>
      </w:r>
      <w:r>
        <w:instrText xml:space="preserve"> ADDIN ZOTERO_ITEM CSL_CITATION {"citationID":"PFzce5HM","properties":{"formattedCitation":"(Qin et al., 2025)","plainCitation":"(Qin et al., 2025)","noteIndex":0},"citationItems":[{"id":9574,"uris":["http://zotero.org/users/16652950/items/KQA3W8IJ"],"itemData":{"id":9574,"type":"chapter","abstract":"The integration of Artificial Intelligence (AI) in higher education is a double-edged sword, offering transformative potential while posing complex ethical challenges. This chapter provides a focused examination of the ethical implications inherent in AI’s application within academic settings.","container-title":"The Global Development of AI-Empowered Higher Education: Beyond the Horizon","event-place":"Singapore","ISBN":"978-981-96-9005-3","language":"en","note":"DOI: 10.1007/978-981-96-9005-3_3","page":"65-92","publisher":"Springer Nature","publisher-place":"Singapore","source":"Springer Link","title":"Ethical Challenges of AI-Empowered Higher Education","URL":"https://doi.org/10.1007/978-981-96-9005-3_3","author":[{"family":"Qin","given":"Fei"},{"family":"Yang","given":"Xinyue"},{"family":"Zhang","given":"Yu"}],"editor":[{"family":"Wen","given":"Wen"},{"family":"Zhang","given":"Yu"}],"accessed":{"date-parts":[["2025",10,26]]},"issued":{"date-parts":[["2025"]]}}}],"schema":"https://github.com/citation-style-language/schema/raw/master/csl-citation.json"} </w:instrText>
      </w:r>
      <w:r>
        <w:fldChar w:fldCharType="separate"/>
      </w:r>
      <w:r w:rsidR="0046095A" w:rsidRPr="0046095A">
        <w:t>(Qin et al., 2025)</w:t>
      </w:r>
      <w:r>
        <w:fldChar w:fldCharType="end"/>
      </w:r>
      <w:r>
        <w:t>.</w:t>
      </w:r>
    </w:p>
    <w:p w:rsidR="00111856" w:rsidRDefault="00502895">
      <w:pPr>
        <w:pStyle w:val="Heading3"/>
      </w:pPr>
      <w:r>
        <w:rPr>
          <w:rStyle w:val="Strong"/>
          <w:b/>
          <w:bCs/>
        </w:rPr>
        <w:t>6.3 Ethical and cultural considerations</w:t>
      </w:r>
    </w:p>
    <w:p w:rsidR="00111856" w:rsidRDefault="00502895">
      <w:pPr>
        <w:pStyle w:val="NormalWeb"/>
      </w:pPr>
      <w:r>
        <w:t>AI is deployed within complex social contexts that can vary significantly across cultures. Issues such as surveillance, algorithmic bias, and labor displacement may be perceived differently depending on local histories and community values. Curriculum designers must carefully balance global AI competencies with culturally responsive pedagogy that respects diverse perspectives. Ethical instruction that is overly abstract or detached from lived realities may fail to cultivate genuine critical engagement</w:t>
      </w:r>
      <w:r>
        <w:fldChar w:fldCharType="begin"/>
      </w:r>
      <w:r>
        <w:instrText xml:space="preserve"> ADDIN ZOTERO_ITEM CSL_CITATION {"citationID":"KTT2HyoI","properties":{"formattedCitation":"(Brandao, 2025)","plainCitation":"(Brandao, 2025)","noteIndex":0},"citationItems":[{"id":9517,"uris":["http://zotero.org/users/16652950/items/Q3NVEXQG"],"itemData":{"id":9517,"type":"article-journal","abstract":"In recent years, artificial intelligence (AI) has emerged as a transformative force across various sectors of modern society, reshaping economic landscapes, social interactions, and ethical considerations. This paper explores the multifaceted impact of AI, analyzing its implications for employment, privacy, and decision-making processes. By synthesizing recent research and case studies, we investigate the dual nature of AI as both a catalyst for innovation and a source of potential disruption. The findings highlight the necessity for proactive governance and ethical frameworks to mitigate risks associated with AI deployment while maximizing its benefits. Ultimately, this paper aims to provide a comprehensive understanding of how AI is redefining human experiences and societal norms, encouraging further discourse on the sustainable integration of these technologies in everyday life.","container-title":"AI","DOI":"10.3390/ai6080190","ISSN":"2673-2688","issue":"8","language":"en","license":"http://creativecommons.org/licenses/by/3.0/","note":"publisher: Multidisciplinary Digital Publishing Institute","page":"190","source":"www.mdpi.com","title":"The Impact of Artificial Intelligence on Modern Society","volume":"6","author":[{"family":"Brandao","given":"Pedro Ramos"}],"issued":{"date-parts":[["2025",8]]}}}],"schema":"https://github.com/citation-style-language/schema/raw/master/csl-citation.json"} </w:instrText>
      </w:r>
      <w:r>
        <w:fldChar w:fldCharType="separate"/>
      </w:r>
      <w:r w:rsidR="0046095A" w:rsidRPr="0046095A">
        <w:t>(Brandao, 2025)</w:t>
      </w:r>
      <w:r>
        <w:fldChar w:fldCharType="end"/>
      </w:r>
      <w:r>
        <w:t>.</w:t>
      </w:r>
    </w:p>
    <w:p w:rsidR="00111856" w:rsidRDefault="00502895">
      <w:pPr>
        <w:pStyle w:val="Heading3"/>
      </w:pPr>
      <w:r>
        <w:rPr>
          <w:rStyle w:val="Strong"/>
          <w:b/>
          <w:bCs/>
        </w:rPr>
        <w:t>6.4 Rapid evolution of technologies vs. slow curriculum cycles</w:t>
      </w:r>
    </w:p>
    <w:p w:rsidR="00111856" w:rsidRDefault="00502895">
      <w:pPr>
        <w:pStyle w:val="NormalWeb"/>
      </w:pPr>
      <w:r>
        <w:t xml:space="preserve">AI technology evolves faster than most educational systems can respond. Curriculum development processes—often governed by lengthy approval cycles and institutional inertia—struggle to keep pace with emerging tools, applications, and ethical concerns. This mismatch </w:t>
      </w:r>
      <w:r>
        <w:lastRenderedPageBreak/>
        <w:t>risks embedding outdated content and leaves educators with few mechanisms to adapt learning pathways as the AI landscape shifts</w:t>
      </w:r>
      <w:r>
        <w:fldChar w:fldCharType="begin"/>
      </w:r>
      <w:r>
        <w:instrText xml:space="preserve"> ADDIN ZOTERO_ITEM CSL_CITATION {"citationID":"rrNeYpBa","properties":{"formattedCitation":"(Kamalov et al., 2023)","plainCitation":"(Kamalov et al., 2023)","noteIndex":0},"citationItems":[{"id":7596,"uris":["http://zotero.org/users/16652950/items/4DFPC6XT"],"itemData":{"id":7596,"type":"article-journal","abstract":"The recent high performance of ChatGPT on several standardized academic tests has thrust the topic of artificial intelligence (AI) into the mainstream conversation about the future of education. As deep learning is poised to shift the teaching paradigm, it is essential to have a clear understanding of its effects on the current education system to ensure sustainable development and deployment of AI-driven technologies at schools and universities. This research aims to investigate the potential impact of AI on education through review and analysis of the existing literature across three major axes: applications, advantages, and challenges. Our review focuses on the use of artificial intelligence in collaborative teacher–student learning, intelligent tutoring systems, automated assessment, and personalized learning. We also report on the potential negative aspects, ethical issues, and possible future routes for AI implementation in education. Ultimately, we find that the only way forward is to embrace the new technology, while implementing guardrails to prevent its abuse.","container-title":"Sustainability","DOI":"10.3390/su151612451","ISSN":"2071-1050","issue":"16","language":"en","license":"http://creativecommons.org/licenses/by/3.0/","note":"publisher: Multidisciplinary Digital Publishing Institute","page":"12451","source":"www.mdpi.com","title":"New Era of Artificial Intelligence in Education: Towards a Sustainable Multifaceted Revolution","title-short":"New Era of Artificial Intelligence in Education","volume":"15","author":[{"family":"Kamalov","given":"Firuz"},{"family":"Santandreu Calonge","given":"David"},{"family":"Gurrib","given":"Ikhlaas"}],"issued":{"date-parts":[["2023",1]]}}}],"schema":"https://github.com/citation-style-language/schema/raw/master/csl-citation.json"} </w:instrText>
      </w:r>
      <w:r>
        <w:fldChar w:fldCharType="separate"/>
      </w:r>
      <w:r w:rsidR="0046095A" w:rsidRPr="0046095A">
        <w:t>(Kamalov et al., 2023)</w:t>
      </w:r>
      <w:r>
        <w:fldChar w:fldCharType="end"/>
      </w:r>
      <w:r>
        <w:t>.</w:t>
      </w:r>
    </w:p>
    <w:p w:rsidR="00111856" w:rsidRDefault="00502895">
      <w:pPr>
        <w:pStyle w:val="Heading3"/>
      </w:pPr>
      <w:r>
        <w:rPr>
          <w:rStyle w:val="Strong"/>
          <w:b/>
          <w:bCs/>
        </w:rPr>
        <w:t>6.5 Policy fragmentation and accreditation issues</w:t>
      </w:r>
    </w:p>
    <w:p w:rsidR="00111856" w:rsidRDefault="00502895">
      <w:pPr>
        <w:pStyle w:val="NormalWeb"/>
      </w:pPr>
      <w:r>
        <w:t>Policy guidance for AI literacy remains inconsistent across jurisdictions. Varying national standards, unclear accreditation pathways, and limited integration within existing qualification frameworks create uncertainty for educators and institutions. The absence of coordinated policy infrastructures results in isolated initiatives with limited sustainability, undermining efforts to establish AI literacy as a core component of modern education systems</w:t>
      </w:r>
      <w:r>
        <w:fldChar w:fldCharType="begin"/>
      </w:r>
      <w:r>
        <w:instrText xml:space="preserve"> ADDIN ZOTERO_ITEM CSL_CITATION {"citationID":"kl0mYIC0","properties":{"formattedCitation":"(Alami et al., 2024)","plainCitation":"(Alami et al., 2024)","noteIndex":0},"citationItems":[{"id":9575,"uris":["http://zotero.org/users/16652950/items/MGLRTD2A"],"itemData":{"id":9575,"type":"article-journal","abstract":"Background\nArtificial intelligence (AI) technologies are expected to “revolutionise” healthcare. However, despite their promises, their integration within healthcare organisations and systems remains limited. The objective of this study is to explore and understand the systemic challenges and implications of their integration in a leading Canadian academic hospital.\n\nMethods\nSemi-structured interviews were conducted with 29 stakeholders concerned by the integration of a large set of AI technologies within the organisation (e.g., managers, clinicians, researchers, patients, technology providers). Data were collected and analysed using the Non-Adoption, Abandonment, Scale-up, Spread, Sustainability (NASSS) framework.\n\nResults\nAmong enabling factors and conditions, our findings highlight: a supportive organisational culture and leadership leading to a coherent organisational innovation narrative; mutual trust and transparent communication between senior management and frontline teams; the presence of champions, translators, and boundary spanners for AI able to build bridges and trust; and the capacity to attract technical and clinical talents and expertise., Constraints and barriers include: contrasting definitions of the value of AI technologies and ways to measure such value; lack of real-life and context-based evidence; varying patients’ digital and health literacy capacities; misalignments between organisational dynamics, clinical and administrative processes, infrastructures, and AI technologies; lack of funding mechanisms covering the implementation, adaptation, and expertise required; challenges arising from practice change, new expertise development, and professional identities; lack of official professional, reimbursement, and insurance guidelines; lack of pre- and post-market approval legal and governance frameworks; diversity of the business and financing models for AI technologies; and misalignments between investors’ priorities and the needs and expectations of healthcare organisations and systems.\n\nConclusion\nThanks to the multidimensional NASSS framework, this study provides original insights and a detailed learning base for analysing AI technologies in healthcare from a thorough socio-technical perspective. Our findings highlight the importance of considering the complexity characterising healthcare organisations and systems in current efforts to introduce AI technologies within clinical routines. This study adds to the existing literature and can inform decision-making towards a judicious, responsible, and sustainable integration of these technologies in healthcare organisations and systems.","container-title":"BMC Health Services Research","DOI":"10.1186/s12913-024-11112-x","ISSN":"1472-6963","journalAbbreviation":"BMC Health Serv Res","note":"PMID: 38831298\nPMCID: PMC11149257","page":"701","source":"PubMed Central","title":"Understanding the integration of artificial intelligence in healthcare organisations and systems through the NASSS framework: a qualitative study in a leading Canadian academic centre","title-short":"Understanding the integration of artificial intelligence in healthcare organisations and systems through the NASSS framework","volume":"24","author":[{"family":"Alami","given":"Hassane"},{"family":"Lehoux","given":"Pascale"},{"family":"Papoutsi","given":"Chrysanthi"},{"family":"Shaw","given":"Sara E."},{"family":"Fleet","given":"Richard"},{"family":"Fortin","given":"Jean-Paul"}],"issued":{"date-parts":[["2024",6,3]]}}}],"schema":"https://github.com/citation-style-language/schema/raw/master/csl-citation.json"} </w:instrText>
      </w:r>
      <w:r>
        <w:fldChar w:fldCharType="separate"/>
      </w:r>
      <w:r w:rsidR="0046095A" w:rsidRPr="0046095A">
        <w:t>(Alami et al., 2024)</w:t>
      </w:r>
      <w:r>
        <w:fldChar w:fldCharType="end"/>
      </w:r>
      <w:r>
        <w:t>.</w:t>
      </w:r>
    </w:p>
    <w:p w:rsidR="00111856" w:rsidRDefault="00502895">
      <w:pPr>
        <w:pStyle w:val="Heading2"/>
        <w:rPr>
          <w:sz w:val="24"/>
          <w:szCs w:val="24"/>
        </w:rPr>
      </w:pPr>
      <w:r>
        <w:rPr>
          <w:rStyle w:val="Strong"/>
          <w:b/>
          <w:bCs/>
          <w:sz w:val="24"/>
          <w:szCs w:val="24"/>
        </w:rPr>
        <w:t>7. Future Directions for AI Literacy Curriculum Design</w:t>
      </w:r>
    </w:p>
    <w:p w:rsidR="00111856" w:rsidRDefault="00502895">
      <w:pPr>
        <w:pStyle w:val="Heading3"/>
      </w:pPr>
      <w:r>
        <w:rPr>
          <w:rStyle w:val="Strong"/>
          <w:b/>
          <w:bCs/>
        </w:rPr>
        <w:t>7.1 Universal learning outcomes and global standards</w:t>
      </w:r>
    </w:p>
    <w:p w:rsidR="00111856" w:rsidRDefault="00502895">
      <w:pPr>
        <w:pStyle w:val="NormalWeb"/>
      </w:pPr>
      <w:r>
        <w:t>To ensure AI literacy is accessible to all learners, future curricula must define clear and adaptable learning outcomes that can be aligned across educational systems worldwide. These standards should articulate a balanced integration of technical, ethical, and human-centered competencies. Establishing shared benchmarks can support international collaboration, reduce fragmentation, and provide educators with coherent guidance while retaining flexibility for local adaptation</w:t>
      </w:r>
      <w:r>
        <w:fldChar w:fldCharType="begin"/>
      </w:r>
      <w:r>
        <w:instrText xml:space="preserve"> ADDIN ZOTERO_ITEM CSL_CITATION {"citationID":"hHOL2lGb","properties":{"formattedCitation":"(Al-Abdullatif, 2025)","plainCitation":"(Al-Abdullatif, 2025)","noteIndex":0},"citationItems":[{"id":9580,"uris":["http://zotero.org/users/16652950/items/STWZ2LGP"],"itemData":{"id":9580,"type":"article-journal","abstract":"The integration of artificial intelligence (AI) in education highlights the growing need for AI literacy among K–12 teachers, particularly to enable effective human–machine cooperation. This study investigates Saudi K–12 educators’ AI literacy competencies across four key dimensions: awareness, ethics, evaluation, and use. Using a survey of 426 teachers and analyzing the data through descriptive statistics and structural equation modeling (SEM), this study found high overall literacy levels, with ethics scoring the highest and use slightly lower, indicating a modest gap between knowledge and application. The SEM results indicated that awareness significantly influenced ethics, evaluation, and use, positioning it as a foundational competency. Ethics also strongly predicted both evaluation and use, while evaluation contributed positively to use. These findings underscore AI literacy skills’ interconnected nature and point to the importance of integrating ethical reasoning and critical evaluation into teacher training. This study provides evidence-based guidance for educational policymakers and leaders in designing professional development programs that prepare teachers for effective and responsible AI integration in K–12 education.","container-title":"Systems","DOI":"10.3390/systems13060490","ISSN":"2079-8954","issue":"6","language":"en","license":"http://creativecommons.org/licenses/by/3.0/","note":"publisher: Multidisciplinary Digital Publishing Institute","page":"490","source":"www.mdpi.com","title":"Auditing AI Literacy Competency in K–12 Education: The Role of Awareness, Ethics, Evaluation, and Use in Human–Machine Cooperation","title-short":"Auditing AI Literacy Competency in K–12 Education","volume":"13","author":[{"family":"Al-Abdullatif","given":"Ahlam Mohammed"}],"issued":{"date-parts":[["2025",6]]}}}],"schema":"https://github.com/citation-style-language/schema/raw/master/csl-citation.json"} </w:instrText>
      </w:r>
      <w:r>
        <w:fldChar w:fldCharType="separate"/>
      </w:r>
      <w:r w:rsidR="0046095A" w:rsidRPr="0046095A">
        <w:t>(Al-Abdullatif, 2025)</w:t>
      </w:r>
      <w:r>
        <w:fldChar w:fldCharType="end"/>
      </w:r>
      <w:r>
        <w:t>.</w:t>
      </w:r>
    </w:p>
    <w:p w:rsidR="00111856" w:rsidRDefault="00502895">
      <w:pPr>
        <w:pStyle w:val="Heading3"/>
      </w:pPr>
      <w:r>
        <w:rPr>
          <w:rStyle w:val="Strong"/>
          <w:b/>
          <w:bCs/>
        </w:rPr>
        <w:t>7.2 Integrating creativity, critical data awareness, and AI ethics</w:t>
      </w:r>
    </w:p>
    <w:p w:rsidR="00111856" w:rsidRDefault="00502895">
      <w:pPr>
        <w:pStyle w:val="NormalWeb"/>
      </w:pPr>
      <w:r>
        <w:t>Next-generation AI literacy should empower learners not only to understand how AI works but also to harness it as a creative tool for innovation and problem-solving. At the same time, responsible participation in AI-rich societies requires critical awareness of how data shapes automated decisions. Ethics must be embedded throughout instruction, encouraging students to interrogate bias, transparency, and accountability in AI systems. This holistic integration moves AI literacy beyond technical proficiency toward reflective and socially informed engagement</w:t>
      </w:r>
      <w:r>
        <w:fldChar w:fldCharType="begin"/>
      </w:r>
      <w:r>
        <w:instrText xml:space="preserve"> ADDIN ZOTERO_ITEM CSL_CITATION {"citationID":"G4IsyLcf","properties":{"formattedCitation":"(Enabulele et al., 2025)","plainCitation":"(Enabulele et al., 2025)","noteIndex":0},"citationItems":[{"id":9513,"uris":["http://zotero.org/users/16652950/items/J2XZLMR9"],"itemData":{"id":9513,"type":"article-journal","abstract":"This article presents a narrative literature review of the emerging intersection between Generative Artificial Intelligence (GenAI) and Agile Project Management (APM). Using purposive, iterative searches across academic and practitioner sources, we screen for relevance to GenAI applications along the Agile lifecycle (planning, backlog refinement, estimation, development, testing, and retrospectives) and synthesize findings through a concept-centric, thematic analysis. The paper makes three contributions: (1) an integrative GenAI–APM alignment framework that maps core GenAI capabilities (e.g., requirements elaboration, code and test generation, risk sensing, knowledge summarization) to Agile roles, ceremonies, and artifacts; (2) an evidence-weighted assessment of opportunities (speed, decision support, collaboration) and risks (bias, privacy, model drift, over-reliance), with associated governance controls; and (3) a research agenda with testable propositions on effectiveness, human–AI teaming, measurement, compliance, and adoption barriers. Scholarly implications include clearer constructs and operational definitions to support cumulative empirical work. Practical implications include actionable guidance for PMOs and Scrum teams on where to pilot GenAI, how to measure value, and how to implement safeguards (data governance, responsible-AI checklists, and role/skill adjustments). By clarifying method, contribution, and significance, the review consolidates a fragmented discourse and offers a roadmap for rigorous research and responsible deployment of GenAI in Agile settings.","container-title":"Journal of Global Economics, Management and Business Research","DOI":"10.56557/jgembr/2025/v17i39877","ISSN":"2454-2504","issue":"3","language":"en","page":"349-360","source":"ikprress.org","title":"AI-Augmented Agility: A Comprehensive Review of Generative AI Applications in Agile Project Management","title-short":"AI-Augmented Agility","volume":"17","author":[{"family":"Enabulele","given":"Amienye Babatunde Omo"},{"family":"Ojo","given":"Damilola Ayodele"},{"family":"Egwatu","given":"Joshua Okechukwu"},{"family":"Thomas","given":"George Ayobami"}],"issued":{"date-parts":[["2025",10,24]]}}}],"schema":"https://github.com/citation-style-language/schema/raw/master/csl-citation.json"} </w:instrText>
      </w:r>
      <w:r>
        <w:fldChar w:fldCharType="separate"/>
      </w:r>
      <w:r w:rsidR="0046095A" w:rsidRPr="0046095A">
        <w:t>(Enabulele et al., 2025)</w:t>
      </w:r>
      <w:r>
        <w:fldChar w:fldCharType="end"/>
      </w:r>
      <w:r>
        <w:t>.</w:t>
      </w:r>
    </w:p>
    <w:p w:rsidR="00111856" w:rsidRDefault="00502895">
      <w:pPr>
        <w:pStyle w:val="Heading3"/>
      </w:pPr>
      <w:r>
        <w:rPr>
          <w:rStyle w:val="Strong"/>
          <w:b/>
          <w:bCs/>
        </w:rPr>
        <w:t>7.3 Cross-sector partnerships: academia, industry, policymakers</w:t>
      </w:r>
    </w:p>
    <w:p w:rsidR="00111856" w:rsidRDefault="00502895">
      <w:pPr>
        <w:pStyle w:val="NormalWeb"/>
      </w:pPr>
      <w:r>
        <w:t>Sustainable AI literacy initiatives require cooperation among stakeholders who influence both education and technology development. Partnerships between schools, universities, industry leaders, and policymakers can ensure curriculum relevance, provide access to cutting-edge tools, and expand opportunities for practical learning experiences. These collaborations can also facilitate teacher upskilling, promote research-informed innovation, and align educational priorities with workforce and societal needs</w:t>
      </w:r>
      <w:r>
        <w:fldChar w:fldCharType="begin"/>
      </w:r>
      <w:r>
        <w:instrText xml:space="preserve"> ADDIN ZOTERO_ITEM CSL_CITATION {"citationID":"9YVjqIWW","properties":{"formattedCitation":"(Ferk Savec &amp; Jedrinovi\\uc0\\u263{}, 2025)","plainCitation":"(Ferk Savec &amp; Jedrinović, 2025)","noteIndex":0},"citationItems":[{"id":9582,"uris":["http://zotero.org/users/16652950/items/EC4ZLZIM"],"itemData":{"id":9582,"type":"article-journal","abstract":"Artificial intelligence (AI) holds immense potential to drive sustainable development by enabling progress toward the realization of the 17 Sustainable Development Goals (SDGs) outlined in the 2030 Agenda. This potential is emphasized by the concept of twin transitions, where the digital and green transformations reinforce each other. This study examines the integration of AI in 26 study courses at the University of Ljubljana, Slovenia, focusing on its sustainable impact. Using an exploratory case study and a comprehensive content analysis framework, the study identifies the enabling and inhibiting factors in the interplay of digital and green transitions in education. The results reveal that the integration of AI in higher education can facilitate progress toward achieving 11 SDGs and 28 targets by promoting innovation, equality, and digital literacy. At the same time, however, it also harbors risks that can hinder 7 SDGs and 11 targets, particularly in terms of data protection and equal access. By highlighting the synergies between digital and green transformations, this case study provides actionable insights for educators and policy makers who want to harness the transformative potential of AI while addressing its challenges and calls for future research in a broader educational landscape.","container-title":"Sustainability","DOI":"10.3390/su17010183","ISSN":"2071-1050","issue":"1","language":"en","license":"http://creativecommons.org/licenses/by/3.0/","note":"publisher: Multidisciplinary Digital Publishing Institute","page":"183","source":"www.mdpi.com","title":"The Role of AI Implementation in Higher Education in Achieving the Sustainable Development Goals: A Case Study from Slovenia","title-short":"The Role of AI Implementation in Higher Education in Achieving the Sustainable Development Goals","volume":"17","author":[{"family":"Ferk Savec","given":"Vesna"},{"family":"Jedrinović","given":"Sanja"}],"issued":{"date-parts":[["2025",1]]}}}],"schema":"https://github.com/citation-style-language/schema/raw/master/csl-citation.json"} </w:instrText>
      </w:r>
      <w:r>
        <w:fldChar w:fldCharType="separate"/>
      </w:r>
      <w:r w:rsidR="0046095A" w:rsidRPr="0046095A">
        <w:t>(Ferk Savec &amp; Jedrinović, 2025)</w:t>
      </w:r>
      <w:r>
        <w:fldChar w:fldCharType="end"/>
      </w:r>
      <w:r>
        <w:t>.</w:t>
      </w:r>
    </w:p>
    <w:p w:rsidR="00111856" w:rsidRDefault="00502895">
      <w:pPr>
        <w:pStyle w:val="Heading3"/>
      </w:pPr>
      <w:r>
        <w:rPr>
          <w:rStyle w:val="Strong"/>
          <w:b/>
          <w:bCs/>
        </w:rPr>
        <w:t>7.4 Focus on inclusion, diversity, and responsible AI</w:t>
      </w:r>
    </w:p>
    <w:p w:rsidR="00111856" w:rsidRDefault="00502895">
      <w:pPr>
        <w:pStyle w:val="NormalWeb"/>
      </w:pPr>
      <w:r>
        <w:t xml:space="preserve">Ensuring equity in AI education demands intentional strategies to engage underrepresented groups, including learners from low-resource communities, marginalized populations, and diverse cultural backgrounds. Inclusive curriculum design should amplify multiple perspectives, </w:t>
      </w:r>
      <w:r>
        <w:lastRenderedPageBreak/>
        <w:t>challenge historical biases, and empower students to shape AI technologies that reflect social justice principles. Responsible AI education must foreground humanity’s role in guiding technological progress toward equitable outcomes</w:t>
      </w:r>
      <w:r>
        <w:fldChar w:fldCharType="begin"/>
      </w:r>
      <w:r>
        <w:instrText xml:space="preserve"> ADDIN ZOTERO_ITEM CSL_CITATION {"citationID":"td9dV8Ob","properties":{"formattedCitation":"(Shehu et al., 2025)","plainCitation":"(Shehu et al., 2025)","noteIndex":0},"citationItems":[{"id":6376,"uris":["http://zotero.org/users/16652950/items/CBRDIFBL"],"itemData":{"id":6376,"type":"article-journal","abstract":"Using Artificial Intelligence (AI) in engineering and construction projects promises greater efficiency, design optimisation, and enhanced risk management, but it also raises pressing ethical questions surrounding governance, trust, and human-centered design (HCD). This multidisciplinary review critically evaluates the current state of responsible AI deployment in the built environment. Employing a systematic thematic synthesis methodology, the study organises the literature into three core domains: governance structures (e.g., regulatory frameworks and institutional oversight), trust mechanisms (e.g., transparency, explainability, stakeholder engagement), and HCD practices (e.g., participatory design and usability testing). Findings reveal fragmented approaches across these domains and tensions between rapid technical innovation and ethical imperatives. The synthesis highlights that ethical AI in construction requires context-specific governance, structured trust-building mechanisms, and user-value-driven design processes. Based on these insights, the article proposes an integrative framework for policymakers, engineering firms, and AI tool developers, and outlines a future research agenda emphasising real-world fieldwork, participatory pilots, and cross-jurisdictional policy studies. Ultimately, the review underscores the importance of embedding ethics across the AI lifecycle to ensure socially responsible, human-centred transformation in engineering and construction.","container-title":"Scientific Journal of Engineering, and Technology","DOI":"10.69739/sjet.v2i2.833","ISSN":"3007-9519","issue":"2","language":"en","license":"Copyright (c) 2025 Habib Shehu, Emmanuel Ogunleye, Mesach Olamide Atilola, Eric Iyere Eromosele, Aliu Bolade Lawal, Tobechukwu Thomas Chukwuma (Author)","page":"53-62","source":"journals.stecab.com","title":"Ethical and Responsible AI in Engineering and Construction Projects: Governance, Trust, and Human-Centered Design","title-short":"Ethical and Responsible AI in Engineering and Construction Projects","volume":"2","author":[{"family":"Shehu","given":"Habib"},{"family":"Ogunleye","given":"Emmanuel"},{"family":"Atilola","given":"Mesach Olamide"},{"family":"Eromosele","given":"Eric Iyere"},{"family":"Lawal","given":"Aliu Bolade"},{"family":"Chukwuma","given":"Tobechukwu Thomas"}],"issued":{"date-parts":[["2025",12,31]]}}}],"schema":"https://github.com/citation-style-language/schema/raw/master/csl-citation.json"} </w:instrText>
      </w:r>
      <w:r>
        <w:fldChar w:fldCharType="separate"/>
      </w:r>
      <w:r w:rsidR="0046095A" w:rsidRPr="0046095A">
        <w:t>(Shehu et al., 2025)</w:t>
      </w:r>
      <w:r>
        <w:fldChar w:fldCharType="end"/>
      </w:r>
      <w:r>
        <w:t>.</w:t>
      </w:r>
    </w:p>
    <w:p w:rsidR="00111856" w:rsidRDefault="00502895">
      <w:pPr>
        <w:pStyle w:val="Heading3"/>
      </w:pPr>
      <w:r>
        <w:rPr>
          <w:rStyle w:val="Strong"/>
          <w:b/>
          <w:bCs/>
        </w:rPr>
        <w:t>7.5 Continuous curriculum updating mechanisms</w:t>
      </w:r>
    </w:p>
    <w:p w:rsidR="00111856" w:rsidRDefault="00502895">
      <w:pPr>
        <w:pStyle w:val="NormalWeb"/>
      </w:pPr>
      <w:r>
        <w:t>Given AI’s rapid advancement, curricula should incorporate structures for ongoing revision. Dynamic updating mechanisms—supported by professional learning communities, adaptive digital platforms, and policy flexibility—can help educators maintain relevance without overhauling core frameworks. Regular feedback from practitioners, learners, and industry partners will be essential to sustaining curriculum durability and responsiveness over time.</w:t>
      </w:r>
    </w:p>
    <w:p w:rsidR="00111856" w:rsidRDefault="00502895">
      <w:pPr>
        <w:pStyle w:val="Heading2"/>
        <w:rPr>
          <w:sz w:val="24"/>
          <w:szCs w:val="24"/>
        </w:rPr>
      </w:pPr>
      <w:r>
        <w:rPr>
          <w:rStyle w:val="Strong"/>
          <w:b/>
          <w:bCs/>
          <w:sz w:val="24"/>
          <w:szCs w:val="24"/>
        </w:rPr>
        <w:t>8. Conclusion</w:t>
      </w:r>
    </w:p>
    <w:p w:rsidR="00111856" w:rsidRDefault="00502895">
      <w:pPr>
        <w:pStyle w:val="NormalWeb"/>
      </w:pPr>
      <w:r>
        <w:t>The accelerating integration of artificial intelligence across all dimensions of society has elevated AI literacy from a specialized skillset to a core competency for informed citizenship, workforce readiness, and ethical participation in digital environments. This narrative review synthesized emerging scholarship on the conceptual foundations, curriculum frameworks, and pedagogical approaches shaping AI literacy education. The evidence reveals meaningful progress: foundational competency domains are becoming clearer, frameworks are diversifying across K–12, higher education, and non-formal learning contexts, and innovative teaching models are enabling learners to engage critically and creatively with AI.</w:t>
      </w:r>
    </w:p>
    <w:p w:rsidR="00111856" w:rsidRDefault="00502895">
      <w:pPr>
        <w:pStyle w:val="NormalWeb"/>
      </w:pPr>
      <w:r>
        <w:t>Yet, persistent challenges underscore the need for coordinated advancement. Variability in curriculum design, gaps in teacher preparedness, inequitable access to resources, and policy fragmentation continue to hinder scalable and inclusive implementation. Without deliberate action, existing educational disparities may deepen, leaving many students unprepared to navigate or influence AI-shaped futures.</w:t>
      </w:r>
    </w:p>
    <w:p w:rsidR="00111856" w:rsidRDefault="00502895">
      <w:pPr>
        <w:pStyle w:val="NormalWeb"/>
      </w:pPr>
      <w:r>
        <w:t>A collective call to action is therefore required. Policymakers, educators, researchers, and industry stakeholders must collaborate to establish coherent standards, strengthen professional development infrastructures, and invest in equitable access to AI learning opportunities. Future curriculum design must remain dynamic, ethically grounded, and culturally responsive—ensuring that all learners not only understand AI but can actively and responsibly shape technological progress. In doing so, AI literacy can become a foundational component of lifelong learning and a catalyst for more just and inclusive technological societies.</w:t>
      </w:r>
    </w:p>
    <w:p w:rsidR="00111856" w:rsidRDefault="00502895">
      <w:pPr>
        <w:rPr>
          <w:rFonts w:ascii="Calibri" w:eastAsia="Calibri" w:hAnsi="Calibri" w:cs="Times New Roman"/>
          <w:kern w:val="2"/>
          <w:highlight w:val="yellow"/>
        </w:rPr>
      </w:pPr>
      <w:bookmarkStart w:id="0" w:name="_Hlk211509776"/>
      <w:r>
        <w:rPr>
          <w:rFonts w:ascii="Calibri" w:eastAsia="Calibri" w:hAnsi="Calibri" w:cs="Times New Roman"/>
          <w:kern w:val="2"/>
          <w:highlight w:val="yellow"/>
        </w:rPr>
        <w:t>Disclaimer (Artificial intelligence)</w:t>
      </w:r>
    </w:p>
    <w:p w:rsidR="00111856" w:rsidRDefault="00502895">
      <w:pPr>
        <w:rPr>
          <w:rFonts w:ascii="Calibri" w:eastAsia="Calibri" w:hAnsi="Calibri" w:cs="Times New Roman"/>
          <w:kern w:val="2"/>
          <w:highlight w:val="yellow"/>
        </w:rPr>
      </w:pPr>
      <w:bookmarkStart w:id="1" w:name="_GoBack"/>
      <w:bookmarkEnd w:id="1"/>
      <w:r>
        <w:rPr>
          <w:rFonts w:ascii="Calibri" w:eastAsia="Calibri" w:hAnsi="Calibri" w:cs="Times New Roman"/>
          <w:kern w:val="2"/>
          <w:highlight w:val="yellow"/>
        </w:rPr>
        <w:t>Author(s) hereby declare that NO generative AI technologies such as Large Language Models (</w:t>
      </w:r>
      <w:proofErr w:type="spellStart"/>
      <w:r>
        <w:rPr>
          <w:rFonts w:ascii="Calibri" w:eastAsia="Calibri" w:hAnsi="Calibri" w:cs="Times New Roman"/>
          <w:kern w:val="2"/>
          <w:highlight w:val="yellow"/>
        </w:rPr>
        <w:t>ChatGPT</w:t>
      </w:r>
      <w:proofErr w:type="spellEnd"/>
      <w:r>
        <w:rPr>
          <w:rFonts w:ascii="Calibri" w:eastAsia="Calibri" w:hAnsi="Calibri" w:cs="Times New Roman"/>
          <w:kern w:val="2"/>
          <w:highlight w:val="yellow"/>
        </w:rPr>
        <w:t xml:space="preserve">, COPILOT, etc.) and text-to-image generators have been used during the writing or editing of this manuscript. </w:t>
      </w:r>
    </w:p>
    <w:bookmarkEnd w:id="0"/>
    <w:p w:rsidR="00111856" w:rsidRDefault="00502895">
      <w:pPr>
        <w:pStyle w:val="NormalWeb"/>
      </w:pPr>
      <w:r>
        <w:t>REFERNCES</w:t>
      </w:r>
    </w:p>
    <w:p w:rsidR="00111856" w:rsidRDefault="00111856">
      <w:pPr>
        <w:pStyle w:val="NormalWeb"/>
      </w:pPr>
    </w:p>
    <w:p w:rsidR="0046095A" w:rsidRPr="0046095A" w:rsidRDefault="00502895" w:rsidP="0046095A">
      <w:pPr>
        <w:pStyle w:val="Bibliography"/>
        <w:rPr>
          <w:rFonts w:ascii="Times New Roman" w:hAnsi="Times New Roman" w:cs="Times New Roman"/>
          <w:sz w:val="24"/>
        </w:rPr>
      </w:pPr>
      <w:r>
        <w:lastRenderedPageBreak/>
        <w:fldChar w:fldCharType="begin"/>
      </w:r>
      <w:r w:rsidR="0046095A">
        <w:instrText xml:space="preserve"> ADDIN ZOTERO_BIBL {"uncited":[],"omitted":[],"custom":[]} CSL_BIBLIOGRAPHY </w:instrText>
      </w:r>
      <w:r>
        <w:fldChar w:fldCharType="separate"/>
      </w:r>
      <w:r w:rsidR="0046095A" w:rsidRPr="0046095A">
        <w:rPr>
          <w:rFonts w:ascii="Times New Roman" w:hAnsi="Times New Roman" w:cs="Times New Roman"/>
          <w:i/>
          <w:iCs/>
          <w:sz w:val="24"/>
        </w:rPr>
        <w:t>AI and the Future of Skills, Volume 2</w:t>
      </w:r>
      <w:r w:rsidR="0046095A" w:rsidRPr="0046095A">
        <w:rPr>
          <w:rFonts w:ascii="Times New Roman" w:hAnsi="Times New Roman" w:cs="Times New Roman"/>
          <w:sz w:val="24"/>
        </w:rPr>
        <w:t>. (2023, November 15). OECD. https://www.oecd.org/en/publications/ai-and-the-future-of-skills-volume-2_a9fe53cb-en.html</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i/>
          <w:iCs/>
          <w:sz w:val="24"/>
        </w:rPr>
        <w:t>AI competency framework for teachers—UNESCO Digital Library</w:t>
      </w:r>
      <w:r w:rsidRPr="0046095A">
        <w:rPr>
          <w:rFonts w:ascii="Times New Roman" w:hAnsi="Times New Roman" w:cs="Times New Roman"/>
          <w:sz w:val="24"/>
        </w:rPr>
        <w:t>. (n.d.). Retrieved October 26, 2025, from https://unesdoc.unesco.org/ark:/48223/pf0000391104.locale=en</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i/>
          <w:iCs/>
          <w:sz w:val="24"/>
        </w:rPr>
        <w:t>AI4K12</w:t>
      </w:r>
      <w:r w:rsidRPr="0046095A">
        <w:rPr>
          <w:rFonts w:ascii="Times New Roman" w:hAnsi="Times New Roman" w:cs="Times New Roman"/>
          <w:sz w:val="24"/>
        </w:rPr>
        <w:t>. (n.d.). AI4K12. Retrieved October 26, 2025, from https://ai4k12.org/</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Al-Abdullatif, A. M. (2025). Auditing AI Literacy Competency in K–12 Education: The Role of Awareness, Ethics, Evaluation, and Use in Human–Machine Cooperation. </w:t>
      </w:r>
      <w:r w:rsidRPr="0046095A">
        <w:rPr>
          <w:rFonts w:ascii="Times New Roman" w:hAnsi="Times New Roman" w:cs="Times New Roman"/>
          <w:i/>
          <w:iCs/>
          <w:sz w:val="24"/>
        </w:rPr>
        <w:t>Systems</w:t>
      </w:r>
      <w:r w:rsidRPr="0046095A">
        <w:rPr>
          <w:rFonts w:ascii="Times New Roman" w:hAnsi="Times New Roman" w:cs="Times New Roman"/>
          <w:sz w:val="24"/>
        </w:rPr>
        <w:t xml:space="preserve">, </w:t>
      </w:r>
      <w:r w:rsidRPr="0046095A">
        <w:rPr>
          <w:rFonts w:ascii="Times New Roman" w:hAnsi="Times New Roman" w:cs="Times New Roman"/>
          <w:i/>
          <w:iCs/>
          <w:sz w:val="24"/>
        </w:rPr>
        <w:t>13</w:t>
      </w:r>
      <w:r w:rsidRPr="0046095A">
        <w:rPr>
          <w:rFonts w:ascii="Times New Roman" w:hAnsi="Times New Roman" w:cs="Times New Roman"/>
          <w:sz w:val="24"/>
        </w:rPr>
        <w:t>(6), 490. https://doi.org/10.3390/systems13060490</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Alami, H., Lehoux, P., Papoutsi, C., Shaw, S. E., Fleet, R., &amp; Fortin, J.-P. (2024). Understanding the integration of artificial intelligence in healthcare organisations and systems through the NASSS framework: A qualitative study in a leading Canadian academic centre. </w:t>
      </w:r>
      <w:r w:rsidRPr="0046095A">
        <w:rPr>
          <w:rFonts w:ascii="Times New Roman" w:hAnsi="Times New Roman" w:cs="Times New Roman"/>
          <w:i/>
          <w:iCs/>
          <w:sz w:val="24"/>
        </w:rPr>
        <w:t>BMC Health Services Research</w:t>
      </w:r>
      <w:r w:rsidRPr="0046095A">
        <w:rPr>
          <w:rFonts w:ascii="Times New Roman" w:hAnsi="Times New Roman" w:cs="Times New Roman"/>
          <w:sz w:val="24"/>
        </w:rPr>
        <w:t xml:space="preserve">, </w:t>
      </w:r>
      <w:r w:rsidRPr="0046095A">
        <w:rPr>
          <w:rFonts w:ascii="Times New Roman" w:hAnsi="Times New Roman" w:cs="Times New Roman"/>
          <w:i/>
          <w:iCs/>
          <w:sz w:val="24"/>
        </w:rPr>
        <w:t>24</w:t>
      </w:r>
      <w:r w:rsidRPr="0046095A">
        <w:rPr>
          <w:rFonts w:ascii="Times New Roman" w:hAnsi="Times New Roman" w:cs="Times New Roman"/>
          <w:sz w:val="24"/>
        </w:rPr>
        <w:t>, 701. https://doi.org/10.1186/s12913-024-11112-x</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Ayanwale, M. A., Adelana, O. P., Molefi, R. R., Adeeko, O., &amp; Ishola, A. M. (2024). Examining artificial intelligence literacy among pre-service teachers for future classrooms. </w:t>
      </w:r>
      <w:r w:rsidRPr="0046095A">
        <w:rPr>
          <w:rFonts w:ascii="Times New Roman" w:hAnsi="Times New Roman" w:cs="Times New Roman"/>
          <w:i/>
          <w:iCs/>
          <w:sz w:val="24"/>
        </w:rPr>
        <w:t>Computers and Education Open</w:t>
      </w:r>
      <w:r w:rsidRPr="0046095A">
        <w:rPr>
          <w:rFonts w:ascii="Times New Roman" w:hAnsi="Times New Roman" w:cs="Times New Roman"/>
          <w:sz w:val="24"/>
        </w:rPr>
        <w:t xml:space="preserve">, </w:t>
      </w:r>
      <w:r w:rsidRPr="0046095A">
        <w:rPr>
          <w:rFonts w:ascii="Times New Roman" w:hAnsi="Times New Roman" w:cs="Times New Roman"/>
          <w:i/>
          <w:iCs/>
          <w:sz w:val="24"/>
        </w:rPr>
        <w:t>6</w:t>
      </w:r>
      <w:r w:rsidRPr="0046095A">
        <w:rPr>
          <w:rFonts w:ascii="Times New Roman" w:hAnsi="Times New Roman" w:cs="Times New Roman"/>
          <w:sz w:val="24"/>
        </w:rPr>
        <w:t>, 100179. https://doi.org/10.1016/j.caeo.2024.100179</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Biagini, G. (2025). Towards an AI-Literate Future: A Systematic Literature Review Exploring Education, Ethics, and Applications. </w:t>
      </w:r>
      <w:r w:rsidRPr="0046095A">
        <w:rPr>
          <w:rFonts w:ascii="Times New Roman" w:hAnsi="Times New Roman" w:cs="Times New Roman"/>
          <w:i/>
          <w:iCs/>
          <w:sz w:val="24"/>
        </w:rPr>
        <w:t>International Journal of Artificial Intelligence in Education</w:t>
      </w:r>
      <w:r w:rsidRPr="0046095A">
        <w:rPr>
          <w:rFonts w:ascii="Times New Roman" w:hAnsi="Times New Roman" w:cs="Times New Roman"/>
          <w:sz w:val="24"/>
        </w:rPr>
        <w:t>. https://doi.org/10.1007/s40593-025-00466-w</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Brandao, P. R. (2025). The Impact of Artificial Intelligence on Modern Society. </w:t>
      </w:r>
      <w:r w:rsidRPr="0046095A">
        <w:rPr>
          <w:rFonts w:ascii="Times New Roman" w:hAnsi="Times New Roman" w:cs="Times New Roman"/>
          <w:i/>
          <w:iCs/>
          <w:sz w:val="24"/>
        </w:rPr>
        <w:t>AI</w:t>
      </w:r>
      <w:r w:rsidRPr="0046095A">
        <w:rPr>
          <w:rFonts w:ascii="Times New Roman" w:hAnsi="Times New Roman" w:cs="Times New Roman"/>
          <w:sz w:val="24"/>
        </w:rPr>
        <w:t xml:space="preserve">, </w:t>
      </w:r>
      <w:r w:rsidRPr="0046095A">
        <w:rPr>
          <w:rFonts w:ascii="Times New Roman" w:hAnsi="Times New Roman" w:cs="Times New Roman"/>
          <w:i/>
          <w:iCs/>
          <w:sz w:val="24"/>
        </w:rPr>
        <w:t>6</w:t>
      </w:r>
      <w:r w:rsidRPr="0046095A">
        <w:rPr>
          <w:rFonts w:ascii="Times New Roman" w:hAnsi="Times New Roman" w:cs="Times New Roman"/>
          <w:sz w:val="24"/>
        </w:rPr>
        <w:t>(8), 190. https://doi.org/10.3390/ai6080190</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Chen, Y., Clayton, E. W., Novak, L. L., Anders, S., &amp; Malin, B. (2023). Human-Centered Design to Address Biases in Artificial Intelligence. </w:t>
      </w:r>
      <w:r w:rsidRPr="0046095A">
        <w:rPr>
          <w:rFonts w:ascii="Times New Roman" w:hAnsi="Times New Roman" w:cs="Times New Roman"/>
          <w:i/>
          <w:iCs/>
          <w:sz w:val="24"/>
        </w:rPr>
        <w:t>Journal of Medical Internet Research</w:t>
      </w:r>
      <w:r w:rsidRPr="0046095A">
        <w:rPr>
          <w:rFonts w:ascii="Times New Roman" w:hAnsi="Times New Roman" w:cs="Times New Roman"/>
          <w:sz w:val="24"/>
        </w:rPr>
        <w:t xml:space="preserve">, </w:t>
      </w:r>
      <w:r w:rsidRPr="0046095A">
        <w:rPr>
          <w:rFonts w:ascii="Times New Roman" w:hAnsi="Times New Roman" w:cs="Times New Roman"/>
          <w:i/>
          <w:iCs/>
          <w:sz w:val="24"/>
        </w:rPr>
        <w:t>25</w:t>
      </w:r>
      <w:r w:rsidRPr="0046095A">
        <w:rPr>
          <w:rFonts w:ascii="Times New Roman" w:hAnsi="Times New Roman" w:cs="Times New Roman"/>
          <w:sz w:val="24"/>
        </w:rPr>
        <w:t>, e43251. https://doi.org/10.2196/43251</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Dai, Y., Xiao, J.-Y., Huang, Y., Zhai, X., Wai, F.-C., &amp; Zhang, M. (2025). How Generative AI Enables an Online Project-Based Learning Platform: An Applied Study of Learning Behavior Analysis in Undergraduate Students. </w:t>
      </w:r>
      <w:r w:rsidRPr="0046095A">
        <w:rPr>
          <w:rFonts w:ascii="Times New Roman" w:hAnsi="Times New Roman" w:cs="Times New Roman"/>
          <w:i/>
          <w:iCs/>
          <w:sz w:val="24"/>
        </w:rPr>
        <w:t>Applied Sciences</w:t>
      </w:r>
      <w:r w:rsidRPr="0046095A">
        <w:rPr>
          <w:rFonts w:ascii="Times New Roman" w:hAnsi="Times New Roman" w:cs="Times New Roman"/>
          <w:sz w:val="24"/>
        </w:rPr>
        <w:t xml:space="preserve">, </w:t>
      </w:r>
      <w:r w:rsidRPr="0046095A">
        <w:rPr>
          <w:rFonts w:ascii="Times New Roman" w:hAnsi="Times New Roman" w:cs="Times New Roman"/>
          <w:i/>
          <w:iCs/>
          <w:sz w:val="24"/>
        </w:rPr>
        <w:t>15</w:t>
      </w:r>
      <w:r w:rsidRPr="0046095A">
        <w:rPr>
          <w:rFonts w:ascii="Times New Roman" w:hAnsi="Times New Roman" w:cs="Times New Roman"/>
          <w:sz w:val="24"/>
        </w:rPr>
        <w:t>(5), 2369. https://doi.org/10.3390/app15052369</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Enabulele, A. B. O., Ojo, D. A., Egwatu, J. O., &amp; Thomas, G. A. (2025). AI-Augmented Agility: A Comprehensive Review of Generative AI Applications in Agile Project Management. </w:t>
      </w:r>
      <w:r w:rsidRPr="0046095A">
        <w:rPr>
          <w:rFonts w:ascii="Times New Roman" w:hAnsi="Times New Roman" w:cs="Times New Roman"/>
          <w:i/>
          <w:iCs/>
          <w:sz w:val="24"/>
        </w:rPr>
        <w:t>Journal of Global Economics, Management and Business Research</w:t>
      </w:r>
      <w:r w:rsidRPr="0046095A">
        <w:rPr>
          <w:rFonts w:ascii="Times New Roman" w:hAnsi="Times New Roman" w:cs="Times New Roman"/>
          <w:sz w:val="24"/>
        </w:rPr>
        <w:t xml:space="preserve">, </w:t>
      </w:r>
      <w:r w:rsidRPr="0046095A">
        <w:rPr>
          <w:rFonts w:ascii="Times New Roman" w:hAnsi="Times New Roman" w:cs="Times New Roman"/>
          <w:i/>
          <w:iCs/>
          <w:sz w:val="24"/>
        </w:rPr>
        <w:t>17</w:t>
      </w:r>
      <w:r w:rsidRPr="0046095A">
        <w:rPr>
          <w:rFonts w:ascii="Times New Roman" w:hAnsi="Times New Roman" w:cs="Times New Roman"/>
          <w:sz w:val="24"/>
        </w:rPr>
        <w:t>(3), 349–360. https://doi.org/10.56557/jgembr/2025/v17i39877</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Ferk Savec, V., &amp; Jedrinović, S. (2025). The Role of AI Implementation in Higher Education in Achieving the Sustainable Development Goals: A Case Study from Slovenia. </w:t>
      </w:r>
      <w:r w:rsidRPr="0046095A">
        <w:rPr>
          <w:rFonts w:ascii="Times New Roman" w:hAnsi="Times New Roman" w:cs="Times New Roman"/>
          <w:i/>
          <w:iCs/>
          <w:sz w:val="24"/>
        </w:rPr>
        <w:t>Sustainability</w:t>
      </w:r>
      <w:r w:rsidRPr="0046095A">
        <w:rPr>
          <w:rFonts w:ascii="Times New Roman" w:hAnsi="Times New Roman" w:cs="Times New Roman"/>
          <w:sz w:val="24"/>
        </w:rPr>
        <w:t xml:space="preserve">, </w:t>
      </w:r>
      <w:r w:rsidRPr="0046095A">
        <w:rPr>
          <w:rFonts w:ascii="Times New Roman" w:hAnsi="Times New Roman" w:cs="Times New Roman"/>
          <w:i/>
          <w:iCs/>
          <w:sz w:val="24"/>
        </w:rPr>
        <w:t>17</w:t>
      </w:r>
      <w:r w:rsidRPr="0046095A">
        <w:rPr>
          <w:rFonts w:ascii="Times New Roman" w:hAnsi="Times New Roman" w:cs="Times New Roman"/>
          <w:sz w:val="24"/>
        </w:rPr>
        <w:t>(1), 183. https://doi.org/10.3390/su17010183</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Gandía, J. A. G., Ancillo, A. de L., &amp; del Val Núñez, M. T. (2025). Knowledge and artificial intelligence on employee behaviour advancing safe and respectful workplace. </w:t>
      </w:r>
      <w:r w:rsidRPr="0046095A">
        <w:rPr>
          <w:rFonts w:ascii="Times New Roman" w:hAnsi="Times New Roman" w:cs="Times New Roman"/>
          <w:i/>
          <w:iCs/>
          <w:sz w:val="24"/>
        </w:rPr>
        <w:t>Journal of Innovation &amp; Knowledge</w:t>
      </w:r>
      <w:r w:rsidRPr="0046095A">
        <w:rPr>
          <w:rFonts w:ascii="Times New Roman" w:hAnsi="Times New Roman" w:cs="Times New Roman"/>
          <w:sz w:val="24"/>
        </w:rPr>
        <w:t xml:space="preserve">, </w:t>
      </w:r>
      <w:r w:rsidRPr="0046095A">
        <w:rPr>
          <w:rFonts w:ascii="Times New Roman" w:hAnsi="Times New Roman" w:cs="Times New Roman"/>
          <w:i/>
          <w:iCs/>
          <w:sz w:val="24"/>
        </w:rPr>
        <w:t>10</w:t>
      </w:r>
      <w:r w:rsidRPr="0046095A">
        <w:rPr>
          <w:rFonts w:ascii="Times New Roman" w:hAnsi="Times New Roman" w:cs="Times New Roman"/>
          <w:sz w:val="24"/>
        </w:rPr>
        <w:t>(4), 100750. https://doi.org/10.1016/j.jik.2025.100750</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lastRenderedPageBreak/>
        <w:t xml:space="preserve">Kamalov, F., Santandreu Calonge, D., &amp; Gurrib, I. (2023). New Era of Artificial Intelligence in Education: Towards a Sustainable Multifaceted Revolution. </w:t>
      </w:r>
      <w:r w:rsidRPr="0046095A">
        <w:rPr>
          <w:rFonts w:ascii="Times New Roman" w:hAnsi="Times New Roman" w:cs="Times New Roman"/>
          <w:i/>
          <w:iCs/>
          <w:sz w:val="24"/>
        </w:rPr>
        <w:t>Sustainability</w:t>
      </w:r>
      <w:r w:rsidRPr="0046095A">
        <w:rPr>
          <w:rFonts w:ascii="Times New Roman" w:hAnsi="Times New Roman" w:cs="Times New Roman"/>
          <w:sz w:val="24"/>
        </w:rPr>
        <w:t xml:space="preserve">, </w:t>
      </w:r>
      <w:r w:rsidRPr="0046095A">
        <w:rPr>
          <w:rFonts w:ascii="Times New Roman" w:hAnsi="Times New Roman" w:cs="Times New Roman"/>
          <w:i/>
          <w:iCs/>
          <w:sz w:val="24"/>
        </w:rPr>
        <w:t>15</w:t>
      </w:r>
      <w:r w:rsidRPr="0046095A">
        <w:rPr>
          <w:rFonts w:ascii="Times New Roman" w:hAnsi="Times New Roman" w:cs="Times New Roman"/>
          <w:sz w:val="24"/>
        </w:rPr>
        <w:t>(16), 12451. https://doi.org/10.3390/su151612451</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Kim, J., &amp; Wargo, E. (2025). Empowering educational leaders for AI integration in rural STEM education: Challenges and strategies. </w:t>
      </w:r>
      <w:r w:rsidRPr="0046095A">
        <w:rPr>
          <w:rFonts w:ascii="Times New Roman" w:hAnsi="Times New Roman" w:cs="Times New Roman"/>
          <w:i/>
          <w:iCs/>
          <w:sz w:val="24"/>
        </w:rPr>
        <w:t>Frontiers in Education</w:t>
      </w:r>
      <w:r w:rsidRPr="0046095A">
        <w:rPr>
          <w:rFonts w:ascii="Times New Roman" w:hAnsi="Times New Roman" w:cs="Times New Roman"/>
          <w:sz w:val="24"/>
        </w:rPr>
        <w:t xml:space="preserve">, </w:t>
      </w:r>
      <w:r w:rsidRPr="0046095A">
        <w:rPr>
          <w:rFonts w:ascii="Times New Roman" w:hAnsi="Times New Roman" w:cs="Times New Roman"/>
          <w:i/>
          <w:iCs/>
          <w:sz w:val="24"/>
        </w:rPr>
        <w:t>10</w:t>
      </w:r>
      <w:r w:rsidRPr="0046095A">
        <w:rPr>
          <w:rFonts w:ascii="Times New Roman" w:hAnsi="Times New Roman" w:cs="Times New Roman"/>
          <w:sz w:val="24"/>
        </w:rPr>
        <w:t>. https://doi.org/10.3389/feduc.2025.1567698</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Lee, Y., &amp; Lee, S.-S. (2025). Exploring the Conceptual Model and Instructional Design Principles of Intelligent Problem-Solving Learning. </w:t>
      </w:r>
      <w:r w:rsidRPr="0046095A">
        <w:rPr>
          <w:rFonts w:ascii="Times New Roman" w:hAnsi="Times New Roman" w:cs="Times New Roman"/>
          <w:i/>
          <w:iCs/>
          <w:sz w:val="24"/>
        </w:rPr>
        <w:t>Sustainability</w:t>
      </w:r>
      <w:r w:rsidRPr="0046095A">
        <w:rPr>
          <w:rFonts w:ascii="Times New Roman" w:hAnsi="Times New Roman" w:cs="Times New Roman"/>
          <w:sz w:val="24"/>
        </w:rPr>
        <w:t xml:space="preserve">, </w:t>
      </w:r>
      <w:r w:rsidRPr="0046095A">
        <w:rPr>
          <w:rFonts w:ascii="Times New Roman" w:hAnsi="Times New Roman" w:cs="Times New Roman"/>
          <w:i/>
          <w:iCs/>
          <w:sz w:val="24"/>
        </w:rPr>
        <w:t>17</w:t>
      </w:r>
      <w:r w:rsidRPr="0046095A">
        <w:rPr>
          <w:rFonts w:ascii="Times New Roman" w:hAnsi="Times New Roman" w:cs="Times New Roman"/>
          <w:sz w:val="24"/>
        </w:rPr>
        <w:t>(17), 7682. https://doi.org/10.3390/su17177682</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Lin, T., Zhang, J., &amp; Xiong, B. (2025). Effects of Technology Perceptions, Teacher Beliefs, and AI Literacy on AI Technology Adoption in Sustainable Mathematics Education. </w:t>
      </w:r>
      <w:r w:rsidRPr="0046095A">
        <w:rPr>
          <w:rFonts w:ascii="Times New Roman" w:hAnsi="Times New Roman" w:cs="Times New Roman"/>
          <w:i/>
          <w:iCs/>
          <w:sz w:val="24"/>
        </w:rPr>
        <w:t>Sustainability</w:t>
      </w:r>
      <w:r w:rsidRPr="0046095A">
        <w:rPr>
          <w:rFonts w:ascii="Times New Roman" w:hAnsi="Times New Roman" w:cs="Times New Roman"/>
          <w:sz w:val="24"/>
        </w:rPr>
        <w:t xml:space="preserve">, </w:t>
      </w:r>
      <w:r w:rsidRPr="0046095A">
        <w:rPr>
          <w:rFonts w:ascii="Times New Roman" w:hAnsi="Times New Roman" w:cs="Times New Roman"/>
          <w:i/>
          <w:iCs/>
          <w:sz w:val="24"/>
        </w:rPr>
        <w:t>17</w:t>
      </w:r>
      <w:r w:rsidRPr="0046095A">
        <w:rPr>
          <w:rFonts w:ascii="Times New Roman" w:hAnsi="Times New Roman" w:cs="Times New Roman"/>
          <w:sz w:val="24"/>
        </w:rPr>
        <w:t>(8), 3698. https://doi.org/10.3390/su17083698</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Long, D., &amp; Magerko, B. (2020). What is AI Literacy? Competencies and Design Considerations. </w:t>
      </w:r>
      <w:r w:rsidRPr="0046095A">
        <w:rPr>
          <w:rFonts w:ascii="Times New Roman" w:hAnsi="Times New Roman" w:cs="Times New Roman"/>
          <w:i/>
          <w:iCs/>
          <w:sz w:val="24"/>
        </w:rPr>
        <w:t>Proceedings of the 2020 CHI Conference on Human Factors in Computing Systems</w:t>
      </w:r>
      <w:r w:rsidRPr="0046095A">
        <w:rPr>
          <w:rFonts w:ascii="Times New Roman" w:hAnsi="Times New Roman" w:cs="Times New Roman"/>
          <w:sz w:val="24"/>
        </w:rPr>
        <w:t>, 1–16. https://doi.org/10.1145/3313831.3376727</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Paraskeva-Hadjichambi, D., Goldman, D., Hadjichambis, A. Ch., Parra, G., Lapin, K., Knippels, M.-C., &amp; Van Dam, F. (2020). Educating for Environmental Citizenship in Non-formal Frameworks for Secondary Level Youth. In A. Ch. Hadjichambis, P. Reis, D. Paraskeva-Hadjichambi, J. Činčera, J. Boeve-de Pauw, N. Gericke, &amp; M.-C. Knippels (Eds.), </w:t>
      </w:r>
      <w:r w:rsidRPr="0046095A">
        <w:rPr>
          <w:rFonts w:ascii="Times New Roman" w:hAnsi="Times New Roman" w:cs="Times New Roman"/>
          <w:i/>
          <w:iCs/>
          <w:sz w:val="24"/>
        </w:rPr>
        <w:t>Conceptualizing Environmental Citizenship for 21st Century Education</w:t>
      </w:r>
      <w:r w:rsidRPr="0046095A">
        <w:rPr>
          <w:rFonts w:ascii="Times New Roman" w:hAnsi="Times New Roman" w:cs="Times New Roman"/>
          <w:sz w:val="24"/>
        </w:rPr>
        <w:t xml:space="preserve"> (pp. 213–235). Springer International Publishing. https://doi.org/10.1007/978-3-030-20249-1_14</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Polat, E. (2025). Artificial intelligence literacy, lifelong learning, and fear of innovation: Identification of profiles and relationships. </w:t>
      </w:r>
      <w:r w:rsidRPr="0046095A">
        <w:rPr>
          <w:rFonts w:ascii="Times New Roman" w:hAnsi="Times New Roman" w:cs="Times New Roman"/>
          <w:i/>
          <w:iCs/>
          <w:sz w:val="24"/>
        </w:rPr>
        <w:t>Education and Information Technologies</w:t>
      </w:r>
      <w:r w:rsidRPr="0046095A">
        <w:rPr>
          <w:rFonts w:ascii="Times New Roman" w:hAnsi="Times New Roman" w:cs="Times New Roman"/>
          <w:sz w:val="24"/>
        </w:rPr>
        <w:t xml:space="preserve">, </w:t>
      </w:r>
      <w:r w:rsidRPr="0046095A">
        <w:rPr>
          <w:rFonts w:ascii="Times New Roman" w:hAnsi="Times New Roman" w:cs="Times New Roman"/>
          <w:i/>
          <w:iCs/>
          <w:sz w:val="24"/>
        </w:rPr>
        <w:t>30</w:t>
      </w:r>
      <w:r w:rsidRPr="0046095A">
        <w:rPr>
          <w:rFonts w:ascii="Times New Roman" w:hAnsi="Times New Roman" w:cs="Times New Roman"/>
          <w:sz w:val="24"/>
        </w:rPr>
        <w:t>(14), 20183–20214. https://doi.org/10.1007/s10639-025-13548-y</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i/>
          <w:iCs/>
          <w:sz w:val="24"/>
        </w:rPr>
        <w:t>Project Overview ‹ Impact.AI: K-12 AI Literacy</w:t>
      </w:r>
      <w:r w:rsidRPr="0046095A">
        <w:rPr>
          <w:rFonts w:ascii="Times New Roman" w:hAnsi="Times New Roman" w:cs="Times New Roman"/>
          <w:sz w:val="24"/>
        </w:rPr>
        <w:t>. (n.d.). MIT Media Lab. Retrieved October 26, 2025, from https://www.media.mit.edu/projects/impact-ai-k-12/overview/</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Qin, F., Yang, X., &amp; Zhang, Y. (2025). Ethical Challenges of AI-Empowered Higher Education. In W. Wen &amp; Y. Zhang (Eds.), </w:t>
      </w:r>
      <w:r w:rsidRPr="0046095A">
        <w:rPr>
          <w:rFonts w:ascii="Times New Roman" w:hAnsi="Times New Roman" w:cs="Times New Roman"/>
          <w:i/>
          <w:iCs/>
          <w:sz w:val="24"/>
        </w:rPr>
        <w:t>The Global Development of AI-Empowered Higher Education: Beyond the Horizon</w:t>
      </w:r>
      <w:r w:rsidRPr="0046095A">
        <w:rPr>
          <w:rFonts w:ascii="Times New Roman" w:hAnsi="Times New Roman" w:cs="Times New Roman"/>
          <w:sz w:val="24"/>
        </w:rPr>
        <w:t xml:space="preserve"> (pp. 65–92). Springer Nature. https://doi.org/10.1007/978-981-96-9005-3_3</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Sajja, R., Sermet, Y., Cikmaz, M., Cwiertny, D., &amp; Demir, I. (2024). Artificial Intelligence-Enabled Intelligent Assistant for Personalized and Adaptive Learning in Higher Education. </w:t>
      </w:r>
      <w:r w:rsidRPr="0046095A">
        <w:rPr>
          <w:rFonts w:ascii="Times New Roman" w:hAnsi="Times New Roman" w:cs="Times New Roman"/>
          <w:i/>
          <w:iCs/>
          <w:sz w:val="24"/>
        </w:rPr>
        <w:t>Information</w:t>
      </w:r>
      <w:r w:rsidRPr="0046095A">
        <w:rPr>
          <w:rFonts w:ascii="Times New Roman" w:hAnsi="Times New Roman" w:cs="Times New Roman"/>
          <w:sz w:val="24"/>
        </w:rPr>
        <w:t xml:space="preserve">, </w:t>
      </w:r>
      <w:r w:rsidRPr="0046095A">
        <w:rPr>
          <w:rFonts w:ascii="Times New Roman" w:hAnsi="Times New Roman" w:cs="Times New Roman"/>
          <w:i/>
          <w:iCs/>
          <w:sz w:val="24"/>
        </w:rPr>
        <w:t>15</w:t>
      </w:r>
      <w:r w:rsidRPr="0046095A">
        <w:rPr>
          <w:rFonts w:ascii="Times New Roman" w:hAnsi="Times New Roman" w:cs="Times New Roman"/>
          <w:sz w:val="24"/>
        </w:rPr>
        <w:t>(10), 596. https://doi.org/10.3390/info15100596</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Salhab, R., &amp; Aboushi, M. M. (2025). Influence of AI literacy and 21st-century skills on the acceptance of generative artificial intelligence among college students. </w:t>
      </w:r>
      <w:r w:rsidRPr="0046095A">
        <w:rPr>
          <w:rFonts w:ascii="Times New Roman" w:hAnsi="Times New Roman" w:cs="Times New Roman"/>
          <w:i/>
          <w:iCs/>
          <w:sz w:val="24"/>
        </w:rPr>
        <w:t>Frontiers in Education</w:t>
      </w:r>
      <w:r w:rsidRPr="0046095A">
        <w:rPr>
          <w:rFonts w:ascii="Times New Roman" w:hAnsi="Times New Roman" w:cs="Times New Roman"/>
          <w:sz w:val="24"/>
        </w:rPr>
        <w:t xml:space="preserve">, </w:t>
      </w:r>
      <w:r w:rsidRPr="0046095A">
        <w:rPr>
          <w:rFonts w:ascii="Times New Roman" w:hAnsi="Times New Roman" w:cs="Times New Roman"/>
          <w:i/>
          <w:iCs/>
          <w:sz w:val="24"/>
        </w:rPr>
        <w:t>10</w:t>
      </w:r>
      <w:r w:rsidRPr="0046095A">
        <w:rPr>
          <w:rFonts w:ascii="Times New Roman" w:hAnsi="Times New Roman" w:cs="Times New Roman"/>
          <w:sz w:val="24"/>
        </w:rPr>
        <w:t>. https://doi.org/10.3389/feduc.2025.1640212</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lastRenderedPageBreak/>
        <w:t xml:space="preserve">Schiff, D. (2022). Education for AI, not AI for Education: The Role of Education and Ethics in National AI Policy Strategies. </w:t>
      </w:r>
      <w:r w:rsidRPr="0046095A">
        <w:rPr>
          <w:rFonts w:ascii="Times New Roman" w:hAnsi="Times New Roman" w:cs="Times New Roman"/>
          <w:i/>
          <w:iCs/>
          <w:sz w:val="24"/>
        </w:rPr>
        <w:t>International Journal of Artificial Intelligence in Education</w:t>
      </w:r>
      <w:r w:rsidRPr="0046095A">
        <w:rPr>
          <w:rFonts w:ascii="Times New Roman" w:hAnsi="Times New Roman" w:cs="Times New Roman"/>
          <w:sz w:val="24"/>
        </w:rPr>
        <w:t xml:space="preserve">, </w:t>
      </w:r>
      <w:r w:rsidRPr="0046095A">
        <w:rPr>
          <w:rFonts w:ascii="Times New Roman" w:hAnsi="Times New Roman" w:cs="Times New Roman"/>
          <w:i/>
          <w:iCs/>
          <w:sz w:val="24"/>
        </w:rPr>
        <w:t>32</w:t>
      </w:r>
      <w:r w:rsidRPr="0046095A">
        <w:rPr>
          <w:rFonts w:ascii="Times New Roman" w:hAnsi="Times New Roman" w:cs="Times New Roman"/>
          <w:sz w:val="24"/>
        </w:rPr>
        <w:t>(3), 527–563. https://doi.org/10.1007/s40593-021-00270-2</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Shehu, H., Ogunleye, E., Atilola, M. O., Eromosele, E. I., Lawal, A. B., &amp; Chukwuma, T. T. (2025). Ethical and Responsible AI in Engineering and Construction Projects: Governance, Trust, and Human-Centered Design. </w:t>
      </w:r>
      <w:r w:rsidRPr="0046095A">
        <w:rPr>
          <w:rFonts w:ascii="Times New Roman" w:hAnsi="Times New Roman" w:cs="Times New Roman"/>
          <w:i/>
          <w:iCs/>
          <w:sz w:val="24"/>
        </w:rPr>
        <w:t>Scientific Journal of Engineering, and Technology</w:t>
      </w:r>
      <w:r w:rsidRPr="0046095A">
        <w:rPr>
          <w:rFonts w:ascii="Times New Roman" w:hAnsi="Times New Roman" w:cs="Times New Roman"/>
          <w:sz w:val="24"/>
        </w:rPr>
        <w:t xml:space="preserve">, </w:t>
      </w:r>
      <w:r w:rsidRPr="0046095A">
        <w:rPr>
          <w:rFonts w:ascii="Times New Roman" w:hAnsi="Times New Roman" w:cs="Times New Roman"/>
          <w:i/>
          <w:iCs/>
          <w:sz w:val="24"/>
        </w:rPr>
        <w:t>2</w:t>
      </w:r>
      <w:r w:rsidRPr="0046095A">
        <w:rPr>
          <w:rFonts w:ascii="Times New Roman" w:hAnsi="Times New Roman" w:cs="Times New Roman"/>
          <w:sz w:val="24"/>
        </w:rPr>
        <w:t>(2), 53–62. https://doi.org/10.69739/sjet.v2i2.833</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Traga Philippakos, Z. A., &amp; Rocconi, L. (2025). AI Literacy: Elementary and Secondary Teachers’ Use of AI-Tools, Reported Confidence, and Professional Development Needs. </w:t>
      </w:r>
      <w:r w:rsidRPr="0046095A">
        <w:rPr>
          <w:rFonts w:ascii="Times New Roman" w:hAnsi="Times New Roman" w:cs="Times New Roman"/>
          <w:i/>
          <w:iCs/>
          <w:sz w:val="24"/>
        </w:rPr>
        <w:t>Education Sciences</w:t>
      </w:r>
      <w:r w:rsidRPr="0046095A">
        <w:rPr>
          <w:rFonts w:ascii="Times New Roman" w:hAnsi="Times New Roman" w:cs="Times New Roman"/>
          <w:sz w:val="24"/>
        </w:rPr>
        <w:t xml:space="preserve">, </w:t>
      </w:r>
      <w:r w:rsidRPr="0046095A">
        <w:rPr>
          <w:rFonts w:ascii="Times New Roman" w:hAnsi="Times New Roman" w:cs="Times New Roman"/>
          <w:i/>
          <w:iCs/>
          <w:sz w:val="24"/>
        </w:rPr>
        <w:t>15</w:t>
      </w:r>
      <w:r w:rsidRPr="0046095A">
        <w:rPr>
          <w:rFonts w:ascii="Times New Roman" w:hAnsi="Times New Roman" w:cs="Times New Roman"/>
          <w:sz w:val="24"/>
        </w:rPr>
        <w:t>(9), 1186. https://doi.org/10.3390/educsci15091186</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Walter, Y. (2024). Managing the race to the moon: Global policy and governance in Artificial Intelligence regulation—A contemporary overview and an analysis of socioeconomic consequences. </w:t>
      </w:r>
      <w:r w:rsidRPr="0046095A">
        <w:rPr>
          <w:rFonts w:ascii="Times New Roman" w:hAnsi="Times New Roman" w:cs="Times New Roman"/>
          <w:i/>
          <w:iCs/>
          <w:sz w:val="24"/>
        </w:rPr>
        <w:t>Discover Artificial Intelligence</w:t>
      </w:r>
      <w:r w:rsidRPr="0046095A">
        <w:rPr>
          <w:rFonts w:ascii="Times New Roman" w:hAnsi="Times New Roman" w:cs="Times New Roman"/>
          <w:sz w:val="24"/>
        </w:rPr>
        <w:t xml:space="preserve">, </w:t>
      </w:r>
      <w:r w:rsidRPr="0046095A">
        <w:rPr>
          <w:rFonts w:ascii="Times New Roman" w:hAnsi="Times New Roman" w:cs="Times New Roman"/>
          <w:i/>
          <w:iCs/>
          <w:sz w:val="24"/>
        </w:rPr>
        <w:t>4</w:t>
      </w:r>
      <w:r w:rsidRPr="0046095A">
        <w:rPr>
          <w:rFonts w:ascii="Times New Roman" w:hAnsi="Times New Roman" w:cs="Times New Roman"/>
          <w:sz w:val="24"/>
        </w:rPr>
        <w:t>(1), 14. https://doi.org/10.1007/s44163-024-00109-4</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Wang, D., Dong, X., &amp; Zhong, J. (2025). Enhance College AI Course Learning Experience with Constructivism-Based Blog Assignments. </w:t>
      </w:r>
      <w:r w:rsidRPr="0046095A">
        <w:rPr>
          <w:rFonts w:ascii="Times New Roman" w:hAnsi="Times New Roman" w:cs="Times New Roman"/>
          <w:i/>
          <w:iCs/>
          <w:sz w:val="24"/>
        </w:rPr>
        <w:t>Education Sciences</w:t>
      </w:r>
      <w:r w:rsidRPr="0046095A">
        <w:rPr>
          <w:rFonts w:ascii="Times New Roman" w:hAnsi="Times New Roman" w:cs="Times New Roman"/>
          <w:sz w:val="24"/>
        </w:rPr>
        <w:t xml:space="preserve">, </w:t>
      </w:r>
      <w:r w:rsidRPr="0046095A">
        <w:rPr>
          <w:rFonts w:ascii="Times New Roman" w:hAnsi="Times New Roman" w:cs="Times New Roman"/>
          <w:i/>
          <w:iCs/>
          <w:sz w:val="24"/>
        </w:rPr>
        <w:t>15</w:t>
      </w:r>
      <w:r w:rsidRPr="0046095A">
        <w:rPr>
          <w:rFonts w:ascii="Times New Roman" w:hAnsi="Times New Roman" w:cs="Times New Roman"/>
          <w:sz w:val="24"/>
        </w:rPr>
        <w:t>(2), 217. https://doi.org/10.3390/educsci15020217</w:t>
      </w:r>
    </w:p>
    <w:p w:rsidR="0046095A" w:rsidRPr="0046095A" w:rsidRDefault="0046095A" w:rsidP="0046095A">
      <w:pPr>
        <w:pStyle w:val="Bibliography"/>
        <w:rPr>
          <w:rFonts w:ascii="Times New Roman" w:hAnsi="Times New Roman" w:cs="Times New Roman"/>
          <w:sz w:val="24"/>
        </w:rPr>
      </w:pPr>
      <w:r w:rsidRPr="0046095A">
        <w:rPr>
          <w:rFonts w:ascii="Times New Roman" w:hAnsi="Times New Roman" w:cs="Times New Roman"/>
          <w:sz w:val="24"/>
        </w:rPr>
        <w:t xml:space="preserve">Yim, I. H. Y., &amp; Su, J. (2025). Artificial intelligence (AI) learning tools in K-12 education: A scoping review. </w:t>
      </w:r>
      <w:r w:rsidRPr="0046095A">
        <w:rPr>
          <w:rFonts w:ascii="Times New Roman" w:hAnsi="Times New Roman" w:cs="Times New Roman"/>
          <w:i/>
          <w:iCs/>
          <w:sz w:val="24"/>
        </w:rPr>
        <w:t>Journal of Computers in Education</w:t>
      </w:r>
      <w:r w:rsidRPr="0046095A">
        <w:rPr>
          <w:rFonts w:ascii="Times New Roman" w:hAnsi="Times New Roman" w:cs="Times New Roman"/>
          <w:sz w:val="24"/>
        </w:rPr>
        <w:t xml:space="preserve">, </w:t>
      </w:r>
      <w:r w:rsidRPr="0046095A">
        <w:rPr>
          <w:rFonts w:ascii="Times New Roman" w:hAnsi="Times New Roman" w:cs="Times New Roman"/>
          <w:i/>
          <w:iCs/>
          <w:sz w:val="24"/>
        </w:rPr>
        <w:t>12</w:t>
      </w:r>
      <w:r w:rsidRPr="0046095A">
        <w:rPr>
          <w:rFonts w:ascii="Times New Roman" w:hAnsi="Times New Roman" w:cs="Times New Roman"/>
          <w:sz w:val="24"/>
        </w:rPr>
        <w:t>(1), 93–131. https://doi.org/10.1007/s40692-023-00304-9</w:t>
      </w:r>
    </w:p>
    <w:p w:rsidR="00111856" w:rsidRDefault="00502895">
      <w:pPr>
        <w:pStyle w:val="NormalWeb"/>
      </w:pPr>
      <w:r>
        <w:fldChar w:fldCharType="end"/>
      </w:r>
    </w:p>
    <w:p w:rsidR="00111856" w:rsidRDefault="00111856">
      <w:pPr>
        <w:pStyle w:val="NormalWeb"/>
      </w:pPr>
    </w:p>
    <w:sectPr w:rsidR="0011185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3A0C" w:rsidRDefault="008A3A0C">
      <w:pPr>
        <w:spacing w:line="240" w:lineRule="auto"/>
      </w:pPr>
      <w:r>
        <w:separator/>
      </w:r>
    </w:p>
  </w:endnote>
  <w:endnote w:type="continuationSeparator" w:id="0">
    <w:p w:rsidR="008A3A0C" w:rsidRDefault="008A3A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856" w:rsidRDefault="001118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856" w:rsidRDefault="001118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856" w:rsidRDefault="00111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3A0C" w:rsidRDefault="008A3A0C">
      <w:pPr>
        <w:spacing w:after="0"/>
      </w:pPr>
      <w:r>
        <w:separator/>
      </w:r>
    </w:p>
  </w:footnote>
  <w:footnote w:type="continuationSeparator" w:id="0">
    <w:p w:rsidR="008A3A0C" w:rsidRDefault="008A3A0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856" w:rsidRDefault="008A3A0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759141" o:spid="_x0000_s2050" type="#_x0000_t136" style="position:absolute;margin-left:0;margin-top:0;width:555.05pt;height:104.6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856" w:rsidRDefault="008A3A0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759142" o:spid="_x0000_s2051" type="#_x0000_t136" style="position:absolute;margin-left:0;margin-top:0;width:555.05pt;height:104.6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856" w:rsidRDefault="008A3A0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759140" o:spid="_x0000_s2049" type="#_x0000_t136" style="position:absolute;margin-left:0;margin-top:0;width:555.05pt;height:104.6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87FEE"/>
    <w:multiLevelType w:val="multilevel"/>
    <w:tmpl w:val="13D87FE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33E921F2"/>
    <w:multiLevelType w:val="multilevel"/>
    <w:tmpl w:val="33E921F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49FF0589"/>
    <w:multiLevelType w:val="multilevel"/>
    <w:tmpl w:val="49FF058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FB4"/>
    <w:rsid w:val="00005FDC"/>
    <w:rsid w:val="00111856"/>
    <w:rsid w:val="00123116"/>
    <w:rsid w:val="001D1572"/>
    <w:rsid w:val="00211C9F"/>
    <w:rsid w:val="00407828"/>
    <w:rsid w:val="004135E0"/>
    <w:rsid w:val="0044707C"/>
    <w:rsid w:val="0046095A"/>
    <w:rsid w:val="004769D2"/>
    <w:rsid w:val="004D333A"/>
    <w:rsid w:val="00502895"/>
    <w:rsid w:val="0052133C"/>
    <w:rsid w:val="00703122"/>
    <w:rsid w:val="00794E3D"/>
    <w:rsid w:val="00795D19"/>
    <w:rsid w:val="008A3A0C"/>
    <w:rsid w:val="008E408E"/>
    <w:rsid w:val="00945FE4"/>
    <w:rsid w:val="00A41950"/>
    <w:rsid w:val="00AB08C1"/>
    <w:rsid w:val="00AC5FB4"/>
    <w:rsid w:val="00AD4BC9"/>
    <w:rsid w:val="00BD7DBF"/>
    <w:rsid w:val="00C10F73"/>
    <w:rsid w:val="00D90E82"/>
    <w:rsid w:val="00EC76E0"/>
    <w:rsid w:val="00FF693A"/>
    <w:rsid w:val="57472F5C"/>
    <w:rsid w:val="6474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434E03D"/>
  <w15:docId w15:val="{687DF058-16DA-4498-9B0B-01D25161D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rPr>
  </w:style>
  <w:style w:type="paragraph" w:customStyle="1" w:styleId="Bibliography1">
    <w:name w:val="Bibliography1"/>
    <w:basedOn w:val="Normal"/>
    <w:next w:val="Normal"/>
    <w:uiPriority w:val="37"/>
    <w:unhideWhenUsed/>
    <w:qFormat/>
    <w:pPr>
      <w:spacing w:after="0" w:line="480" w:lineRule="auto"/>
      <w:ind w:left="720" w:hanging="720"/>
    </w:pPr>
  </w:style>
  <w:style w:type="paragraph" w:styleId="ListParagraph">
    <w:name w:val="List Paragraph"/>
    <w:basedOn w:val="Normal"/>
    <w:uiPriority w:val="99"/>
    <w:unhideWhenUsed/>
    <w:pPr>
      <w:ind w:left="720"/>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val="en-US" w:eastAsia="en-US"/>
    </w:rPr>
  </w:style>
  <w:style w:type="paragraph" w:styleId="Bibliography">
    <w:name w:val="Bibliography"/>
    <w:basedOn w:val="Normal"/>
    <w:next w:val="Normal"/>
    <w:uiPriority w:val="37"/>
    <w:unhideWhenUsed/>
    <w:rsid w:val="00460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47C075-73E4-4742-8D90-9C495DD9B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16</Pages>
  <Words>15928</Words>
  <Characters>90790</Characters>
  <Application>Microsoft Office Word</Application>
  <DocSecurity>0</DocSecurity>
  <Lines>756</Lines>
  <Paragraphs>213</Paragraphs>
  <ScaleCrop>false</ScaleCrop>
  <Company/>
  <LinksUpToDate>false</LinksUpToDate>
  <CharactersWithSpaces>106505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Olabisi Lawal</dc:creator>
  <cp:lastModifiedBy>SDI 1186</cp:lastModifiedBy>
  <cp:revision>21</cp:revision>
  <dcterms:created xsi:type="dcterms:W3CDTF">2025-10-25T09:26:00Z</dcterms:created>
  <dcterms:modified xsi:type="dcterms:W3CDTF">2025-10-31T08:47:00Z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id="t8azNorG"/&gt;&lt;style id="http://www.zotero.org/styles/apa" locale="en-US" hasBibliography="1" bibliographyStyleHasBeenSet="1"/&gt;&lt;prefs&gt;&lt;pref name="fieldType" value="Field"/&gt;&lt;/prefs&gt;&lt;/data&gt;</vt:lpwstr>
  </property>
  <property fmtid="{D5CDD505-2E9C-101B-9397-08002B2CF9AE}" pid="3" name="GrammarlyDocumentId">
    <vt:lpwstr>f7572233-ecf6-4624-a7ef-34228d4b4bd0</vt:lpwstr>
  </property>
  <property fmtid="{D5CDD505-2E9C-101B-9397-08002B2CF9AE}" pid="4" name="KSOProductBuildVer">
    <vt:lpwstr>1033-12.2.0.23131</vt:lpwstr>
  </property>
  <property fmtid="{D5CDD505-2E9C-101B-9397-08002B2CF9AE}" pid="5" name="ICV">
    <vt:lpwstr>C55F70BC12F3433B9E3C885A11B0857B_12</vt:lpwstr>
  </property>
</Properties>
</file>