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E8C27" w14:textId="77777777" w:rsidR="00065BF5" w:rsidRDefault="00065BF5">
      <w:pPr>
        <w:pStyle w:val="BodyText"/>
        <w:spacing w:before="6"/>
        <w:jc w:val="left"/>
        <w:rPr>
          <w:rFonts w:ascii="Times New Roman"/>
          <w:sz w:val="11"/>
        </w:rPr>
      </w:pPr>
    </w:p>
    <w:p w14:paraId="4DA80A37" w14:textId="58938327" w:rsidR="00741DFE" w:rsidRDefault="003E7946" w:rsidP="002927E4">
      <w:pPr>
        <w:spacing w:before="158"/>
        <w:ind w:left="67"/>
        <w:rPr>
          <w:rFonts w:ascii="Calibri" w:eastAsia="Calibri" w:hAnsi="Calibri" w:cs="Calibri"/>
          <w:color w:val="231F20"/>
          <w:w w:val="105"/>
          <w:sz w:val="60"/>
          <w:szCs w:val="60"/>
        </w:rPr>
      </w:pPr>
      <w:r w:rsidRPr="003E7946">
        <w:rPr>
          <w:rFonts w:ascii="Calibri" w:eastAsia="Calibri" w:hAnsi="Calibri" w:cs="Calibri"/>
          <w:color w:val="231F20"/>
          <w:w w:val="105"/>
          <w:sz w:val="60"/>
          <w:szCs w:val="60"/>
        </w:rPr>
        <w:t>AI-Based Forecasting of Macroeconomic Indicators: Empirical Evidence from Deep Learning Models for Inflation, GDP and Unemployment</w:t>
      </w:r>
    </w:p>
    <w:p w14:paraId="301CA562" w14:textId="77777777" w:rsidR="004A11E2" w:rsidRDefault="004A11E2">
      <w:pPr>
        <w:pStyle w:val="BodyText"/>
        <w:spacing w:before="111"/>
        <w:jc w:val="left"/>
        <w:rPr>
          <w:rFonts w:asciiTheme="minorHAnsi" w:hAnsiTheme="minorHAnsi" w:cstheme="minorHAnsi"/>
          <w:sz w:val="32"/>
        </w:rPr>
      </w:pPr>
    </w:p>
    <w:p w14:paraId="694DD211" w14:textId="55F84284" w:rsidR="003E7946" w:rsidRPr="003E7946" w:rsidRDefault="003E7946">
      <w:pPr>
        <w:pStyle w:val="BodyText"/>
        <w:spacing w:before="111"/>
        <w:jc w:val="left"/>
        <w:rPr>
          <w:rFonts w:asciiTheme="minorHAnsi" w:hAnsiTheme="minorHAnsi" w:cstheme="minorHAnsi"/>
          <w:sz w:val="32"/>
        </w:rPr>
      </w:pPr>
      <w:r w:rsidRPr="003E7946">
        <w:rPr>
          <w:rFonts w:asciiTheme="minorHAnsi" w:hAnsiTheme="minorHAnsi" w:cstheme="minorHAnsi"/>
          <w:sz w:val="32"/>
        </w:rPr>
        <w:t>Abstract</w:t>
      </w:r>
    </w:p>
    <w:p w14:paraId="78FBE40C" w14:textId="6BA0C239" w:rsidR="005D381F" w:rsidRPr="005D381F" w:rsidRDefault="005D381F" w:rsidP="005D381F">
      <w:pPr>
        <w:pStyle w:val="BodyText"/>
        <w:spacing w:before="60" w:line="218" w:lineRule="auto"/>
        <w:ind w:left="28" w:right="197"/>
        <w:rPr>
          <w:color w:val="231F20"/>
          <w:spacing w:val="-4"/>
        </w:rPr>
      </w:pPr>
      <w:r w:rsidRPr="005D381F">
        <w:rPr>
          <w:color w:val="231F20"/>
          <w:spacing w:val="-4"/>
        </w:rPr>
        <w:t>This study develops and evaluates AI-based models for forecasting key macroeconomic indicators—inflation, GDP growth, and unemployment—with a focus on policy-relevant horizons. We use quarterly data for the United States and Vietnam from 2000Q1 to 2024Q4, combining official macroeconomic series with high-frequency financial and sentiment indicators to construct an enriched feature set. Traditional econometric benchmarks (ARIMA, VAR, Bayesian VAR) are compared with deep learning architectures (LSTM, GRU, TCN, Transformer) and a hybrid VAR–LSTM framework that models VAR residuals with a nonlinear recurrent network</w:t>
      </w:r>
      <w:r w:rsidR="003C6C04">
        <w:rPr>
          <w:color w:val="231F20"/>
          <w:spacing w:val="-4"/>
        </w:rPr>
        <w:t xml:space="preserve"> [1]</w:t>
      </w:r>
      <w:r w:rsidRPr="005D381F">
        <w:rPr>
          <w:color w:val="231F20"/>
          <w:spacing w:val="-4"/>
        </w:rPr>
        <w:t>.</w:t>
      </w:r>
    </w:p>
    <w:p w14:paraId="30708717" w14:textId="76A7916F" w:rsidR="006D3C0D" w:rsidRDefault="005D381F" w:rsidP="005D381F">
      <w:pPr>
        <w:pStyle w:val="BodyText"/>
        <w:spacing w:before="60" w:line="218" w:lineRule="auto"/>
        <w:ind w:left="28" w:right="197"/>
        <w:rPr>
          <w:color w:val="231F20"/>
          <w:spacing w:val="-4"/>
        </w:rPr>
      </w:pPr>
      <w:r w:rsidRPr="005D381F">
        <w:rPr>
          <w:color w:val="231F20"/>
          <w:spacing w:val="-4"/>
        </w:rPr>
        <w:t>Model performance is assessed using out-of-sample Root Mean Squared Error, Mean Absolute Error, Directional Accuracy, Theil’s U-statistic, and Diebold–Mariano tests of predictive accuracy. Across all three indicators, deep learning models significantly outperform the econometric benchmarks, with the hybrid VAR–LSTM delivering the best overall performance. For inflation and unemployment, the hybrid model improves directional accuracy by more than 15 percentage points relative to ARIMA and VAR and remains robust during the COVID-19 and post-pandemic periods. SHAP-based explainability analysis highlights oil prices, exchange rates, money supply, and financial sentiment as key drivers of the forecasts. The results indicate that AI-augmented forecasting frameworks can enhance short-term macroeconomic projections and provide actionable inputs for monetary policy in both developed and emerging economies.</w:t>
      </w:r>
    </w:p>
    <w:p w14:paraId="15833514" w14:textId="77777777" w:rsidR="005D381F" w:rsidRDefault="005D381F" w:rsidP="005D381F">
      <w:pPr>
        <w:pStyle w:val="BodyText"/>
        <w:spacing w:before="60" w:line="218" w:lineRule="auto"/>
        <w:ind w:left="28" w:right="197"/>
        <w:rPr>
          <w:color w:val="231F20"/>
          <w:spacing w:val="-4"/>
        </w:rPr>
      </w:pPr>
    </w:p>
    <w:p w14:paraId="2F3057A4" w14:textId="3A7181BB" w:rsidR="00A04980" w:rsidRDefault="0046330F" w:rsidP="00A04980">
      <w:pPr>
        <w:pStyle w:val="BodyText"/>
        <w:spacing w:before="60" w:line="218" w:lineRule="auto"/>
        <w:ind w:left="28" w:right="197"/>
        <w:rPr>
          <w:color w:val="231F20"/>
          <w:spacing w:val="-2"/>
          <w:w w:val="105"/>
        </w:rPr>
      </w:pPr>
      <w:r w:rsidRPr="0046330F">
        <w:rPr>
          <w:color w:val="231F20"/>
        </w:rPr>
        <w:t xml:space="preserve">KEYWORDS: </w:t>
      </w:r>
      <w:r w:rsidR="002927E4" w:rsidRPr="002927E4">
        <w:rPr>
          <w:color w:val="231F20"/>
        </w:rPr>
        <w:t>Macroeconomic forecasting; Inflation; GDP nowcasting; Unemployment; Deep Learning; LSTM; Transformer; Monetary Policy; Nowcasting; Financial Indicators</w:t>
      </w:r>
      <w:r w:rsidRPr="0046330F">
        <w:rPr>
          <w:color w:val="231F20"/>
        </w:rPr>
        <w:t>.</w:t>
      </w:r>
    </w:p>
    <w:p w14:paraId="0C8DD79D" w14:textId="77777777" w:rsidR="00451F7B" w:rsidRDefault="00451F7B" w:rsidP="00A04980">
      <w:pPr>
        <w:pStyle w:val="BodyText"/>
        <w:spacing w:before="60" w:line="218" w:lineRule="auto"/>
        <w:ind w:left="28" w:right="197"/>
        <w:rPr>
          <w:color w:val="231F20"/>
          <w:spacing w:val="-2"/>
          <w:w w:val="105"/>
        </w:rPr>
        <w:sectPr w:rsidR="00451F7B" w:rsidSect="00A668B0">
          <w:headerReference w:type="even" r:id="rId8"/>
          <w:headerReference w:type="default" r:id="rId9"/>
          <w:pgSz w:w="11910" w:h="15310"/>
          <w:pgMar w:top="1540" w:right="1133" w:bottom="280" w:left="1275" w:header="714" w:footer="0" w:gutter="0"/>
          <w:cols w:space="720"/>
        </w:sectPr>
      </w:pPr>
    </w:p>
    <w:p w14:paraId="6C9EF9F4" w14:textId="661D4931" w:rsidR="00597FA8" w:rsidRDefault="00597FA8" w:rsidP="00A04980">
      <w:pPr>
        <w:pStyle w:val="BodyText"/>
        <w:spacing w:before="60" w:line="218" w:lineRule="auto"/>
        <w:ind w:left="28" w:right="197"/>
        <w:rPr>
          <w:color w:val="231F20"/>
          <w:spacing w:val="-2"/>
          <w:w w:val="105"/>
        </w:rPr>
      </w:pPr>
    </w:p>
    <w:p w14:paraId="29E7FB81" w14:textId="77777777" w:rsidR="00597FA8" w:rsidRDefault="00597FA8" w:rsidP="00E83E97">
      <w:pPr>
        <w:pStyle w:val="BodyText"/>
        <w:numPr>
          <w:ilvl w:val="0"/>
          <w:numId w:val="8"/>
        </w:numPr>
        <w:spacing w:before="60" w:line="218" w:lineRule="auto"/>
        <w:ind w:right="197"/>
        <w:rPr>
          <w:rFonts w:asciiTheme="minorHAnsi" w:hAnsiTheme="minorHAnsi" w:cstheme="minorHAnsi"/>
          <w:color w:val="231F20"/>
          <w:spacing w:val="-2"/>
          <w:w w:val="105"/>
          <w:sz w:val="28"/>
          <w:szCs w:val="28"/>
        </w:rPr>
        <w:sectPr w:rsidR="00597FA8" w:rsidSect="00451F7B">
          <w:type w:val="continuous"/>
          <w:pgSz w:w="11910" w:h="15310"/>
          <w:pgMar w:top="1540" w:right="1133" w:bottom="280" w:left="1275" w:header="714" w:footer="0" w:gutter="0"/>
          <w:cols w:space="720"/>
        </w:sectPr>
      </w:pPr>
    </w:p>
    <w:p w14:paraId="43A85310" w14:textId="77777777" w:rsidR="00065BF5" w:rsidRPr="00E6470E" w:rsidRDefault="006D3C0D" w:rsidP="00E83E97">
      <w:pPr>
        <w:pStyle w:val="BodyText"/>
        <w:numPr>
          <w:ilvl w:val="0"/>
          <w:numId w:val="8"/>
        </w:numPr>
        <w:spacing w:before="60" w:line="218" w:lineRule="auto"/>
        <w:ind w:right="197"/>
        <w:rPr>
          <w:rFonts w:asciiTheme="minorHAnsi" w:hAnsiTheme="minorHAnsi" w:cstheme="minorHAnsi"/>
          <w:sz w:val="28"/>
          <w:szCs w:val="28"/>
        </w:rPr>
      </w:pPr>
      <w:r w:rsidRPr="00E6470E">
        <w:rPr>
          <w:rFonts w:asciiTheme="minorHAnsi" w:hAnsiTheme="minorHAnsi" w:cstheme="minorHAnsi"/>
          <w:color w:val="231F20"/>
          <w:spacing w:val="-2"/>
          <w:w w:val="105"/>
          <w:sz w:val="28"/>
          <w:szCs w:val="28"/>
        </w:rPr>
        <w:t>Introduction</w:t>
      </w:r>
    </w:p>
    <w:p w14:paraId="385041C3" w14:textId="1B8E3841" w:rsidR="00DE3950" w:rsidRPr="00DE3950" w:rsidRDefault="00DE3950" w:rsidP="00DE3950">
      <w:pPr>
        <w:pStyle w:val="BodyText"/>
        <w:spacing w:before="93" w:line="218" w:lineRule="auto"/>
        <w:ind w:left="28"/>
        <w:rPr>
          <w:color w:val="231F20"/>
        </w:rPr>
      </w:pPr>
      <w:r w:rsidRPr="00DE3950">
        <w:rPr>
          <w:color w:val="231F20"/>
        </w:rPr>
        <w:t>Macroeconomic forecasting plays a central role in shaping monetary and fiscal policy decisions. Reliable forecasts of inflation, GDP growth, and unemployment are essential for central banks and policymakers to anticipate economic fluctuations, adjust policy rates, and maintain financial stability. However, forecasting macroeconomic indicators remains an enduring challenge due to their nonlinear, dynamic, and often regime-dependent behavior. Traditional econometric models such as ARIMA, VAR, and Bayesian VAR provide interpretability and theoretical consistency, but they often fail to capture structural changes, complex interdependencies, and high-frequency shocks in modern economies.</w:t>
      </w:r>
    </w:p>
    <w:p w14:paraId="79F7B84B" w14:textId="77777777" w:rsidR="00DE3950" w:rsidRPr="00DE3950" w:rsidRDefault="00DE3950" w:rsidP="00DE3950">
      <w:pPr>
        <w:pStyle w:val="BodyText"/>
        <w:spacing w:before="93" w:line="218" w:lineRule="auto"/>
        <w:ind w:left="28"/>
        <w:rPr>
          <w:color w:val="231F20"/>
        </w:rPr>
      </w:pPr>
    </w:p>
    <w:p w14:paraId="787483FD" w14:textId="5CFB784C" w:rsidR="00DE3950" w:rsidRPr="00DE3950" w:rsidRDefault="00DE3950" w:rsidP="00DE3950">
      <w:pPr>
        <w:pStyle w:val="BodyText"/>
        <w:spacing w:before="93" w:line="218" w:lineRule="auto"/>
        <w:ind w:left="28"/>
        <w:rPr>
          <w:color w:val="231F20"/>
        </w:rPr>
      </w:pPr>
      <w:r w:rsidRPr="00DE3950">
        <w:rPr>
          <w:color w:val="231F20"/>
        </w:rPr>
        <w:t xml:space="preserve">In recent years, artificial intelligence (AI) and machine learning (ML) have emerged as powerful tools for modeling nonlinear patterns and extracting insights from large, heterogeneous datasets. Deep learning </w:t>
      </w:r>
      <w:r w:rsidRPr="00DE3950">
        <w:rPr>
          <w:color w:val="231F20"/>
        </w:rPr>
        <w:lastRenderedPageBreak/>
        <w:t>architectures—such as Long Short-Term Memory (LSTM), Gated Recurrent Units (GRU), Temporal Convolutional Networks (TCN), and Transformer-based models—offer superior capabilities in handling sequential dependencies and capturing nonstationary dynamics in time-series data. Their success in finance, weather prediction, and energy demand forecasting has motivated researchers to apply similar methods to macroeconomic prediction.</w:t>
      </w:r>
    </w:p>
    <w:p w14:paraId="6080E713" w14:textId="3D71F189" w:rsidR="00DE3950" w:rsidRPr="00DE3950" w:rsidRDefault="00DE3950" w:rsidP="00DE3950">
      <w:pPr>
        <w:pStyle w:val="BodyText"/>
        <w:spacing w:before="93" w:line="218" w:lineRule="auto"/>
        <w:ind w:left="28"/>
        <w:rPr>
          <w:color w:val="231F20"/>
        </w:rPr>
      </w:pPr>
      <w:r w:rsidRPr="00DE3950">
        <w:rPr>
          <w:color w:val="231F20"/>
        </w:rPr>
        <w:t>Moreover, the explosion of alternative and high-frequency data sources—ranging from financial indicators and commodity prices to sentiment indices, news text, and even Google Trends—has further enriched the forecasting landscape. By incorporating these variables, AI models can perform “nowcasting,” i.e., predicting current or near-term economic conditions before official statistics are published. This capability is particularly valuable for central banks and policymakers seeking real-time situational awareness during periods of uncertainty, such as the COVID-19 pandemic or geopolitical disruptions.</w:t>
      </w:r>
    </w:p>
    <w:p w14:paraId="1219B95F" w14:textId="4F98853D" w:rsidR="00DE3950" w:rsidRPr="00DE3950" w:rsidRDefault="00DE3950" w:rsidP="00DE3950">
      <w:pPr>
        <w:pStyle w:val="BodyText"/>
        <w:spacing w:before="93" w:line="218" w:lineRule="auto"/>
        <w:ind w:left="28"/>
        <w:rPr>
          <w:color w:val="231F20"/>
        </w:rPr>
      </w:pPr>
      <w:r w:rsidRPr="00DE3950">
        <w:rPr>
          <w:color w:val="231F20"/>
        </w:rPr>
        <w:t>Nevertheless, despite the growing popularity of AI-based forecasting, empirical evidence on their robustness, interpretability, and cross-market generalizability remains mixed. Some studies report significant improvements in forecast accuracy using deep learning, while others highlight the black-box nature of AI and its limited transparency in policy contexts. Consequently, a balanced and systematic evaluation of AI models—benchmarked against traditional econometric approaches and applied across both developed and emerging economies—is needed.</w:t>
      </w:r>
    </w:p>
    <w:p w14:paraId="31590BC3" w14:textId="364F6AF2" w:rsidR="00DE3950" w:rsidRPr="00DE3950" w:rsidRDefault="00DE3950" w:rsidP="00DE3950">
      <w:pPr>
        <w:pStyle w:val="BodyText"/>
        <w:spacing w:before="93" w:line="218" w:lineRule="auto"/>
        <w:ind w:left="28"/>
        <w:rPr>
          <w:color w:val="231F20"/>
        </w:rPr>
      </w:pPr>
      <w:r w:rsidRPr="00DE3950">
        <w:rPr>
          <w:color w:val="231F20"/>
        </w:rPr>
        <w:t>This study aims to address that gap by developing and comparing multiple AI-based models for forecasting inflation, GDP growth, and unemployment. We construct an integrated dataset combining official macroeconomic indicators with high-frequency financial and sentiment variables across selected countries. Our objectives are threefold:</w:t>
      </w:r>
    </w:p>
    <w:p w14:paraId="64BD4494" w14:textId="1FC6A6E0" w:rsidR="00DE3950" w:rsidRPr="00DE3950" w:rsidRDefault="00DE3950" w:rsidP="00DE3950">
      <w:pPr>
        <w:pStyle w:val="BodyText"/>
        <w:spacing w:before="93" w:line="218" w:lineRule="auto"/>
        <w:ind w:left="28"/>
        <w:rPr>
          <w:color w:val="231F20"/>
        </w:rPr>
      </w:pPr>
      <w:r w:rsidRPr="00DE3950">
        <w:rPr>
          <w:color w:val="231F20"/>
        </w:rPr>
        <w:t>To assess the predictive performance of various deep learning architectures (LSTM, GRU, TCN, Transformer) relative to conventional econometric baselines;</w:t>
      </w:r>
    </w:p>
    <w:p w14:paraId="3A45B484" w14:textId="22FC9480" w:rsidR="00DE3950" w:rsidRPr="00DE3950" w:rsidRDefault="00DE3950" w:rsidP="00DE3950">
      <w:pPr>
        <w:pStyle w:val="BodyText"/>
        <w:spacing w:before="93" w:line="218" w:lineRule="auto"/>
        <w:ind w:left="28"/>
        <w:rPr>
          <w:color w:val="231F20"/>
        </w:rPr>
      </w:pPr>
      <w:r w:rsidRPr="00DE3950">
        <w:rPr>
          <w:color w:val="231F20"/>
        </w:rPr>
        <w:t>To evaluate their nowcasting potential using high-frequency mixed data; and</w:t>
      </w:r>
    </w:p>
    <w:p w14:paraId="4E56A7C4" w14:textId="4ED9C405" w:rsidR="00DE3950" w:rsidRPr="00DE3950" w:rsidRDefault="00DE3950" w:rsidP="00DE3950">
      <w:pPr>
        <w:pStyle w:val="BodyText"/>
        <w:spacing w:before="93" w:line="218" w:lineRule="auto"/>
        <w:ind w:left="28"/>
        <w:rPr>
          <w:color w:val="231F20"/>
        </w:rPr>
      </w:pPr>
      <w:r w:rsidRPr="00DE3950">
        <w:rPr>
          <w:color w:val="231F20"/>
        </w:rPr>
        <w:t>To explore interpretability and policy relevance through model explainability tools.</w:t>
      </w:r>
    </w:p>
    <w:p w14:paraId="2CCD49CD" w14:textId="6D6EE5B0" w:rsidR="00065BF5" w:rsidRDefault="00DE3950" w:rsidP="00DE3950">
      <w:pPr>
        <w:pStyle w:val="BodyText"/>
        <w:spacing w:before="93" w:line="218" w:lineRule="auto"/>
        <w:ind w:left="28"/>
      </w:pPr>
      <w:r w:rsidRPr="00DE3950">
        <w:rPr>
          <w:color w:val="231F20"/>
        </w:rPr>
        <w:t>By providing empirical evidence and methodological insights, this research contributes to both academic literature and practical policymaking. It offers guidance for central banks on integrating AI-based forecasting systems into policy frameworks and demonstrates how explainable AI techniques can enhance trust and accountability in macroeconomic modeling.</w:t>
      </w:r>
    </w:p>
    <w:p w14:paraId="5A950A93" w14:textId="77777777" w:rsidR="00597FA8" w:rsidRDefault="00597FA8" w:rsidP="00E6470E">
      <w:pPr>
        <w:pStyle w:val="Heading1"/>
        <w:numPr>
          <w:ilvl w:val="0"/>
          <w:numId w:val="8"/>
        </w:numPr>
        <w:tabs>
          <w:tab w:val="left" w:pos="329"/>
        </w:tabs>
        <w:jc w:val="both"/>
        <w:sectPr w:rsidR="00597FA8" w:rsidSect="002927E4">
          <w:type w:val="continuous"/>
          <w:pgSz w:w="11910" w:h="15310"/>
          <w:pgMar w:top="1540" w:right="1133" w:bottom="280" w:left="1275" w:header="714" w:footer="0" w:gutter="0"/>
          <w:cols w:space="680"/>
        </w:sectPr>
      </w:pPr>
    </w:p>
    <w:p w14:paraId="22C37FB9" w14:textId="5B7CFA41" w:rsidR="00065BF5" w:rsidRDefault="00DE3950" w:rsidP="00E6470E">
      <w:pPr>
        <w:pStyle w:val="Heading1"/>
        <w:numPr>
          <w:ilvl w:val="0"/>
          <w:numId w:val="8"/>
        </w:numPr>
        <w:tabs>
          <w:tab w:val="left" w:pos="329"/>
        </w:tabs>
        <w:jc w:val="both"/>
      </w:pPr>
      <w:r>
        <w:t>Literature Review</w:t>
      </w:r>
    </w:p>
    <w:p w14:paraId="13847534" w14:textId="531005B5"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2.1 Traditional Macroeconomic Forecasting Models</w:t>
      </w:r>
    </w:p>
    <w:p w14:paraId="644B4EB3" w14:textId="6C4E2AF3"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Traditional forecasting approaches have long been grounded in econometric theory, relying on statistical models that explicitly capture structural relationships among macroeconomic variables</w:t>
      </w:r>
      <w:r w:rsidR="00B7702B">
        <w:rPr>
          <w:rFonts w:ascii="Palatino Linotype" w:eastAsia="Palatino Linotype" w:hAnsi="Palatino Linotype" w:cs="Palatino Linotype"/>
          <w:color w:val="231F20"/>
          <w:spacing w:val="-6"/>
          <w:sz w:val="20"/>
          <w:szCs w:val="20"/>
        </w:rPr>
        <w:t xml:space="preserve">, </w:t>
      </w:r>
      <w:r w:rsidR="00B7702B" w:rsidRPr="00B7702B">
        <w:rPr>
          <w:rFonts w:ascii="Palatino Linotype" w:eastAsia="Palatino Linotype" w:hAnsi="Palatino Linotype" w:cs="Palatino Linotype"/>
          <w:color w:val="231F20"/>
          <w:spacing w:val="-6"/>
          <w:sz w:val="20"/>
          <w:szCs w:val="20"/>
        </w:rPr>
        <w:t>generate projections for inflation, output, and unemployment</w:t>
      </w:r>
      <w:r w:rsidR="009157E2">
        <w:rPr>
          <w:rFonts w:ascii="Palatino Linotype" w:eastAsia="Palatino Linotype" w:hAnsi="Palatino Linotype" w:cs="Palatino Linotype"/>
          <w:color w:val="231F20"/>
          <w:spacing w:val="-6"/>
          <w:sz w:val="20"/>
          <w:szCs w:val="20"/>
        </w:rPr>
        <w:t xml:space="preserve"> </w:t>
      </w:r>
      <w:r w:rsidR="00B7702B">
        <w:rPr>
          <w:rFonts w:ascii="Palatino Linotype" w:eastAsia="Palatino Linotype" w:hAnsi="Palatino Linotype" w:cs="Palatino Linotype"/>
          <w:color w:val="231F20"/>
          <w:spacing w:val="-6"/>
          <w:sz w:val="20"/>
          <w:szCs w:val="20"/>
        </w:rPr>
        <w:t>[1]</w:t>
      </w:r>
      <w:r w:rsidRPr="00CF4CDB">
        <w:rPr>
          <w:rFonts w:ascii="Palatino Linotype" w:eastAsia="Palatino Linotype" w:hAnsi="Palatino Linotype" w:cs="Palatino Linotype"/>
          <w:color w:val="231F20"/>
          <w:spacing w:val="-6"/>
          <w:sz w:val="20"/>
          <w:szCs w:val="20"/>
        </w:rPr>
        <w:t>. Linear models such as the Autoregressive Integrated Moving Average (ARIMA), Vector Autoregression (VAR), and Structural VAR (SVAR) have been widely used for short-term forecasting and policy simulation</w:t>
      </w:r>
      <w:r w:rsidR="009157E2">
        <w:rPr>
          <w:rFonts w:ascii="Palatino Linotype" w:eastAsia="Palatino Linotype" w:hAnsi="Palatino Linotype" w:cs="Palatino Linotype"/>
          <w:color w:val="231F20"/>
          <w:spacing w:val="-6"/>
          <w:sz w:val="20"/>
          <w:szCs w:val="20"/>
        </w:rPr>
        <w:t xml:space="preserve"> </w:t>
      </w:r>
      <w:r w:rsidR="00B7702B">
        <w:rPr>
          <w:rFonts w:ascii="Palatino Linotype" w:eastAsia="Palatino Linotype" w:hAnsi="Palatino Linotype" w:cs="Palatino Linotype"/>
          <w:color w:val="231F20"/>
          <w:spacing w:val="-6"/>
          <w:sz w:val="20"/>
          <w:szCs w:val="20"/>
        </w:rPr>
        <w:t>[2][3]</w:t>
      </w:r>
      <w:r w:rsidRPr="00CF4CDB">
        <w:rPr>
          <w:rFonts w:ascii="Palatino Linotype" w:eastAsia="Palatino Linotype" w:hAnsi="Palatino Linotype" w:cs="Palatino Linotype"/>
          <w:color w:val="231F20"/>
          <w:spacing w:val="-6"/>
          <w:sz w:val="20"/>
          <w:szCs w:val="20"/>
        </w:rPr>
        <w:t>. These models are interpretable and theoretically consistent, allowing economists to trace causal channels and policy transmission mechanisms</w:t>
      </w:r>
      <w:r w:rsidR="009157E2">
        <w:rPr>
          <w:rFonts w:ascii="Palatino Linotype" w:eastAsia="Palatino Linotype" w:hAnsi="Palatino Linotype" w:cs="Palatino Linotype"/>
          <w:color w:val="231F20"/>
          <w:spacing w:val="-6"/>
          <w:sz w:val="20"/>
          <w:szCs w:val="20"/>
        </w:rPr>
        <w:t xml:space="preserve"> </w:t>
      </w:r>
      <w:r w:rsidR="00672C20">
        <w:rPr>
          <w:rFonts w:ascii="Palatino Linotype" w:eastAsia="Palatino Linotype" w:hAnsi="Palatino Linotype" w:cs="Palatino Linotype"/>
          <w:color w:val="231F20"/>
          <w:spacing w:val="-6"/>
          <w:sz w:val="20"/>
          <w:szCs w:val="20"/>
        </w:rPr>
        <w:t>[4][5]</w:t>
      </w:r>
      <w:r w:rsidRPr="00CF4CDB">
        <w:rPr>
          <w:rFonts w:ascii="Palatino Linotype" w:eastAsia="Palatino Linotype" w:hAnsi="Palatino Linotype" w:cs="Palatino Linotype"/>
          <w:color w:val="231F20"/>
          <w:spacing w:val="-6"/>
          <w:sz w:val="20"/>
          <w:szCs w:val="20"/>
        </w:rPr>
        <w:t>.</w:t>
      </w:r>
    </w:p>
    <w:p w14:paraId="670C425A" w14:textId="418A4067"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 xml:space="preserve">However, such models are limited in their ability to handle nonlinear dynamics, structural breaks, and evolving economic </w:t>
      </w:r>
      <w:proofErr w:type="gramStart"/>
      <w:r w:rsidRPr="00CF4CDB">
        <w:rPr>
          <w:rFonts w:ascii="Palatino Linotype" w:eastAsia="Palatino Linotype" w:hAnsi="Palatino Linotype" w:cs="Palatino Linotype"/>
          <w:color w:val="231F20"/>
          <w:spacing w:val="-6"/>
          <w:sz w:val="20"/>
          <w:szCs w:val="20"/>
        </w:rPr>
        <w:t>regimes</w:t>
      </w:r>
      <w:r w:rsidR="00672C20">
        <w:rPr>
          <w:rFonts w:ascii="Palatino Linotype" w:eastAsia="Palatino Linotype" w:hAnsi="Palatino Linotype" w:cs="Palatino Linotype"/>
          <w:color w:val="231F20"/>
          <w:spacing w:val="-6"/>
          <w:sz w:val="20"/>
          <w:szCs w:val="20"/>
        </w:rPr>
        <w:t>[</w:t>
      </w:r>
      <w:proofErr w:type="gramEnd"/>
      <w:r w:rsidR="00672C20">
        <w:rPr>
          <w:rFonts w:ascii="Palatino Linotype" w:eastAsia="Palatino Linotype" w:hAnsi="Palatino Linotype" w:cs="Palatino Linotype"/>
          <w:color w:val="231F20"/>
          <w:spacing w:val="-6"/>
          <w:sz w:val="20"/>
          <w:szCs w:val="20"/>
        </w:rPr>
        <w:t>6]</w:t>
      </w:r>
      <w:r w:rsidRPr="00CF4CDB">
        <w:rPr>
          <w:rFonts w:ascii="Palatino Linotype" w:eastAsia="Palatino Linotype" w:hAnsi="Palatino Linotype" w:cs="Palatino Linotype"/>
          <w:color w:val="231F20"/>
          <w:spacing w:val="-6"/>
          <w:sz w:val="20"/>
          <w:szCs w:val="20"/>
        </w:rPr>
        <w:t>. For instance, inflation dynamics under monetary shocks or sudden commodity price changes often deviate from the assumptions of linearity and stationarity. Nonlinear extensions—such as Threshold VAR (TVAR) and Markov-Switching models—attempt to address regime dependency but remain constrained by their parametric assumptions and computational complexity. Moreover, these approaches often rely on low-frequency (quarterly or monthly) data, making them less effective for real-time policy analysis.</w:t>
      </w:r>
    </w:p>
    <w:p w14:paraId="12098FD7" w14:textId="2D3782A7"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2.2 Machine Learning and Deep Learning in Macroeconomic Forecasting</w:t>
      </w:r>
    </w:p>
    <w:p w14:paraId="0CCCDE6D" w14:textId="3DD7592C"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 xml:space="preserve">The introduction of machine learning (ML) and deep learning (DL) methods has opened a new paradigm for macroeconomic forecasting. Unlike classical econometrics, ML algorithms are designed to learn complex nonlinear mappings from data without strict model assumptions. Supervised learning algorithms—such as Random Forests, Gradient Boosting Machines (GBM), and Support Vector Regression (SVR)—have demonstrated improved </w:t>
      </w:r>
      <w:r w:rsidRPr="00CF4CDB">
        <w:rPr>
          <w:rFonts w:ascii="Palatino Linotype" w:eastAsia="Palatino Linotype" w:hAnsi="Palatino Linotype" w:cs="Palatino Linotype"/>
          <w:color w:val="231F20"/>
          <w:spacing w:val="-6"/>
          <w:sz w:val="20"/>
          <w:szCs w:val="20"/>
        </w:rPr>
        <w:lastRenderedPageBreak/>
        <w:t>performance in predicting inflation and GDP growth, particularly when large datasets and high-dimensional inputs are available</w:t>
      </w:r>
      <w:r w:rsidR="009157E2">
        <w:rPr>
          <w:rFonts w:ascii="Palatino Linotype" w:eastAsia="Palatino Linotype" w:hAnsi="Palatino Linotype" w:cs="Palatino Linotype"/>
          <w:color w:val="231F20"/>
          <w:spacing w:val="-6"/>
          <w:sz w:val="20"/>
          <w:szCs w:val="20"/>
        </w:rPr>
        <w:t xml:space="preserve"> [7]</w:t>
      </w:r>
      <w:r w:rsidRPr="00CF4CDB">
        <w:rPr>
          <w:rFonts w:ascii="Palatino Linotype" w:eastAsia="Palatino Linotype" w:hAnsi="Palatino Linotype" w:cs="Palatino Linotype"/>
          <w:color w:val="231F20"/>
          <w:spacing w:val="-6"/>
          <w:sz w:val="20"/>
          <w:szCs w:val="20"/>
        </w:rPr>
        <w:t>.</w:t>
      </w:r>
    </w:p>
    <w:p w14:paraId="3552DF50" w14:textId="533435B9"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Deep learning architectures, especially Recurrent Neural Networks (RNN), Long Short-Term Memory (LSTM), and Gated Recurrent Units (GRU), have shown remarkable capacity in modeling temporal dependencies and sequence data. For example, LSTM models can retain long-term dependencies across multiple economic cycles, enabling better forecasts of unemployment trends and inflation persistence. Transformer-based models have recently gained attention due to their self-attention mechanisms, which allow for parallel processing and capture of long-range interactions among macroeconomic indicators</w:t>
      </w:r>
      <w:r w:rsidR="009157E2">
        <w:rPr>
          <w:rFonts w:ascii="Palatino Linotype" w:eastAsia="Palatino Linotype" w:hAnsi="Palatino Linotype" w:cs="Palatino Linotype"/>
          <w:color w:val="231F20"/>
          <w:spacing w:val="-6"/>
          <w:sz w:val="20"/>
          <w:szCs w:val="20"/>
        </w:rPr>
        <w:t xml:space="preserve"> [8]</w:t>
      </w:r>
      <w:r w:rsidR="00B23CDB">
        <w:rPr>
          <w:rFonts w:ascii="Palatino Linotype" w:eastAsia="Palatino Linotype" w:hAnsi="Palatino Linotype" w:cs="Palatino Linotype"/>
          <w:color w:val="231F20"/>
          <w:spacing w:val="-6"/>
          <w:sz w:val="20"/>
          <w:szCs w:val="20"/>
        </w:rPr>
        <w:t>[9]</w:t>
      </w:r>
      <w:r w:rsidRPr="00CF4CDB">
        <w:rPr>
          <w:rFonts w:ascii="Palatino Linotype" w:eastAsia="Palatino Linotype" w:hAnsi="Palatino Linotype" w:cs="Palatino Linotype"/>
          <w:color w:val="231F20"/>
          <w:spacing w:val="-6"/>
          <w:sz w:val="20"/>
          <w:szCs w:val="20"/>
        </w:rPr>
        <w:t>.</w:t>
      </w:r>
    </w:p>
    <w:p w14:paraId="0FD2CE6C" w14:textId="5E772482"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Nonetheless, despite these advances, the application of deep learning to macroeconomic forecasting remains relatively nascent compared to its adoption in finance or energy sectors</w:t>
      </w:r>
      <w:r w:rsidR="009157E2">
        <w:rPr>
          <w:rFonts w:ascii="Palatino Linotype" w:eastAsia="Palatino Linotype" w:hAnsi="Palatino Linotype" w:cs="Palatino Linotype"/>
          <w:color w:val="231F20"/>
          <w:spacing w:val="-6"/>
          <w:sz w:val="20"/>
          <w:szCs w:val="20"/>
        </w:rPr>
        <w:t xml:space="preserve"> [</w:t>
      </w:r>
      <w:r w:rsidR="00B23CDB">
        <w:rPr>
          <w:rFonts w:ascii="Palatino Linotype" w:eastAsia="Palatino Linotype" w:hAnsi="Palatino Linotype" w:cs="Palatino Linotype"/>
          <w:color w:val="231F20"/>
          <w:spacing w:val="-6"/>
          <w:sz w:val="20"/>
          <w:szCs w:val="20"/>
        </w:rPr>
        <w:t>10</w:t>
      </w:r>
      <w:r w:rsidR="009157E2">
        <w:rPr>
          <w:rFonts w:ascii="Palatino Linotype" w:eastAsia="Palatino Linotype" w:hAnsi="Palatino Linotype" w:cs="Palatino Linotype"/>
          <w:color w:val="231F20"/>
          <w:spacing w:val="-6"/>
          <w:sz w:val="20"/>
          <w:szCs w:val="20"/>
        </w:rPr>
        <w:t>]</w:t>
      </w:r>
      <w:r w:rsidRPr="00CF4CDB">
        <w:rPr>
          <w:rFonts w:ascii="Palatino Linotype" w:eastAsia="Palatino Linotype" w:hAnsi="Palatino Linotype" w:cs="Palatino Linotype"/>
          <w:color w:val="231F20"/>
          <w:spacing w:val="-6"/>
          <w:sz w:val="20"/>
          <w:szCs w:val="20"/>
        </w:rPr>
        <w:t>. One key barrier is the limited availability of high-quality and high-frequency macroeconomic data, especially in emerging markets</w:t>
      </w:r>
      <w:r w:rsidR="00B23CDB">
        <w:rPr>
          <w:rFonts w:ascii="Palatino Linotype" w:eastAsia="Palatino Linotype" w:hAnsi="Palatino Linotype" w:cs="Palatino Linotype"/>
          <w:color w:val="231F20"/>
          <w:spacing w:val="-6"/>
          <w:sz w:val="20"/>
          <w:szCs w:val="20"/>
        </w:rPr>
        <w:t xml:space="preserve"> [</w:t>
      </w:r>
      <w:proofErr w:type="gramStart"/>
      <w:r w:rsidR="00B23CDB">
        <w:rPr>
          <w:rFonts w:ascii="Palatino Linotype" w:eastAsia="Palatino Linotype" w:hAnsi="Palatino Linotype" w:cs="Palatino Linotype"/>
          <w:color w:val="231F20"/>
          <w:spacing w:val="-6"/>
          <w:sz w:val="20"/>
          <w:szCs w:val="20"/>
        </w:rPr>
        <w:t>11][</w:t>
      </w:r>
      <w:proofErr w:type="gramEnd"/>
      <w:r w:rsidR="00B23CDB">
        <w:rPr>
          <w:rFonts w:ascii="Palatino Linotype" w:eastAsia="Palatino Linotype" w:hAnsi="Palatino Linotype" w:cs="Palatino Linotype"/>
          <w:color w:val="231F20"/>
          <w:spacing w:val="-6"/>
          <w:sz w:val="20"/>
          <w:szCs w:val="20"/>
        </w:rPr>
        <w:t>12]</w:t>
      </w:r>
      <w:r w:rsidRPr="00CF4CDB">
        <w:rPr>
          <w:rFonts w:ascii="Palatino Linotype" w:eastAsia="Palatino Linotype" w:hAnsi="Palatino Linotype" w:cs="Palatino Linotype"/>
          <w:color w:val="231F20"/>
          <w:spacing w:val="-6"/>
          <w:sz w:val="20"/>
          <w:szCs w:val="20"/>
        </w:rPr>
        <w:t>. Another is the interpretability challenge—policy institutions often demand models that provide economic rationale, not just predictive accuracy</w:t>
      </w:r>
      <w:r w:rsidR="00B23CDB">
        <w:rPr>
          <w:rFonts w:ascii="Palatino Linotype" w:eastAsia="Palatino Linotype" w:hAnsi="Palatino Linotype" w:cs="Palatino Linotype"/>
          <w:color w:val="231F20"/>
          <w:spacing w:val="-6"/>
          <w:sz w:val="20"/>
          <w:szCs w:val="20"/>
        </w:rPr>
        <w:t xml:space="preserve"> </w:t>
      </w:r>
      <w:r w:rsidR="00B23CDB" w:rsidRPr="00B23CDB">
        <w:rPr>
          <w:rFonts w:ascii="Palatino Linotype" w:eastAsia="Palatino Linotype" w:hAnsi="Palatino Linotype" w:cs="Palatino Linotype"/>
          <w:color w:val="231F20"/>
          <w:spacing w:val="-6"/>
          <w:sz w:val="20"/>
          <w:szCs w:val="20"/>
        </w:rPr>
        <w:t>and only a limited number of studies compare ML-based forecasts with traditional benchmarks across macroeconomic variables</w:t>
      </w:r>
      <w:r w:rsidR="00B23CDB">
        <w:rPr>
          <w:rFonts w:ascii="Palatino Linotype" w:eastAsia="Palatino Linotype" w:hAnsi="Palatino Linotype" w:cs="Palatino Linotype"/>
          <w:color w:val="231F20"/>
          <w:spacing w:val="-6"/>
          <w:sz w:val="20"/>
          <w:szCs w:val="20"/>
        </w:rPr>
        <w:t xml:space="preserve"> [13][14][15]</w:t>
      </w:r>
      <w:r w:rsidRPr="00CF4CDB">
        <w:rPr>
          <w:rFonts w:ascii="Palatino Linotype" w:eastAsia="Palatino Linotype" w:hAnsi="Palatino Linotype" w:cs="Palatino Linotype"/>
          <w:color w:val="231F20"/>
          <w:spacing w:val="-6"/>
          <w:sz w:val="20"/>
          <w:szCs w:val="20"/>
        </w:rPr>
        <w:t>.</w:t>
      </w:r>
    </w:p>
    <w:p w14:paraId="7FAC25B3" w14:textId="5BA27556"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2.3 Hybrid and Explainable AI Approaches</w:t>
      </w:r>
    </w:p>
    <w:p w14:paraId="501A770B" w14:textId="1982F503"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Recent research has increasingly emphasized hybrid frameworks that integrate AI techniques with traditional econometric structures. Hybrid models aim to combine the interpretability of econometrics with the predictive power of machine learning. For example, studies have proposed hybrid VAR-LSTM architectures, where the residuals of a VAR model are fed into a neural network to capture nonlinear components</w:t>
      </w:r>
      <w:r w:rsidR="00B23CDB">
        <w:rPr>
          <w:rFonts w:ascii="Palatino Linotype" w:eastAsia="Palatino Linotype" w:hAnsi="Palatino Linotype" w:cs="Palatino Linotype"/>
          <w:color w:val="231F20"/>
          <w:spacing w:val="-6"/>
          <w:sz w:val="20"/>
          <w:szCs w:val="20"/>
        </w:rPr>
        <w:t xml:space="preserve"> [16]</w:t>
      </w:r>
      <w:r w:rsidRPr="00CF4CDB">
        <w:rPr>
          <w:rFonts w:ascii="Palatino Linotype" w:eastAsia="Palatino Linotype" w:hAnsi="Palatino Linotype" w:cs="Palatino Linotype"/>
          <w:color w:val="231F20"/>
          <w:spacing w:val="-6"/>
          <w:sz w:val="20"/>
          <w:szCs w:val="20"/>
        </w:rPr>
        <w:t>. Others leverage ensemble learning techniques to combine forecasts from multiple algorithms, yielding more stable and robust predictions.</w:t>
      </w:r>
    </w:p>
    <w:p w14:paraId="51B06A17" w14:textId="34484C93" w:rsidR="00CF4CDB" w:rsidRPr="00CF4CDB" w:rsidRDefault="00CF4CDB" w:rsidP="00CF4CDB">
      <w:pPr>
        <w:pStyle w:val="Heading1"/>
        <w:ind w:left="0" w:firstLine="28"/>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Furthermore, the rise of Explainable AI (XAI) methods has provided new tools to interpret complex deep learning models in economic contexts. Techniques such as SHAP (</w:t>
      </w:r>
      <w:proofErr w:type="spellStart"/>
      <w:r w:rsidRPr="00CF4CDB">
        <w:rPr>
          <w:rFonts w:ascii="Palatino Linotype" w:eastAsia="Palatino Linotype" w:hAnsi="Palatino Linotype" w:cs="Palatino Linotype"/>
          <w:color w:val="231F20"/>
          <w:spacing w:val="-6"/>
          <w:sz w:val="20"/>
          <w:szCs w:val="20"/>
        </w:rPr>
        <w:t>SHapley</w:t>
      </w:r>
      <w:proofErr w:type="spellEnd"/>
      <w:r w:rsidRPr="00CF4CDB">
        <w:rPr>
          <w:rFonts w:ascii="Palatino Linotype" w:eastAsia="Palatino Linotype" w:hAnsi="Palatino Linotype" w:cs="Palatino Linotype"/>
          <w:color w:val="231F20"/>
          <w:spacing w:val="-6"/>
          <w:sz w:val="20"/>
          <w:szCs w:val="20"/>
        </w:rPr>
        <w:t xml:space="preserve"> Additive </w:t>
      </w:r>
      <w:proofErr w:type="spellStart"/>
      <w:r w:rsidRPr="00CF4CDB">
        <w:rPr>
          <w:rFonts w:ascii="Palatino Linotype" w:eastAsia="Palatino Linotype" w:hAnsi="Palatino Linotype" w:cs="Palatino Linotype"/>
          <w:color w:val="231F20"/>
          <w:spacing w:val="-6"/>
          <w:sz w:val="20"/>
          <w:szCs w:val="20"/>
        </w:rPr>
        <w:t>exPlanations</w:t>
      </w:r>
      <w:proofErr w:type="spellEnd"/>
      <w:r w:rsidRPr="00CF4CDB">
        <w:rPr>
          <w:rFonts w:ascii="Palatino Linotype" w:eastAsia="Palatino Linotype" w:hAnsi="Palatino Linotype" w:cs="Palatino Linotype"/>
          <w:color w:val="231F20"/>
          <w:spacing w:val="-6"/>
          <w:sz w:val="20"/>
          <w:szCs w:val="20"/>
        </w:rPr>
        <w:t>), LIME (Local Interpretable Model-Agnostic Explanations), and attention visualization enable researchers to understand how input features—like commodity prices, financial stress indices, or sentiment scores—contribute to forecast outcomes. These advances not only enhance model transparency but also make AI-based systems more acceptable in policymaking environments where accountability and reproducibility are critical</w:t>
      </w:r>
      <w:r w:rsidR="00B23CDB">
        <w:rPr>
          <w:rFonts w:ascii="Palatino Linotype" w:eastAsia="Palatino Linotype" w:hAnsi="Palatino Linotype" w:cs="Palatino Linotype"/>
          <w:color w:val="231F20"/>
          <w:spacing w:val="-6"/>
          <w:sz w:val="20"/>
          <w:szCs w:val="20"/>
        </w:rPr>
        <w:t xml:space="preserve"> [17]</w:t>
      </w:r>
      <w:r w:rsidRPr="00CF4CDB">
        <w:rPr>
          <w:rFonts w:ascii="Palatino Linotype" w:eastAsia="Palatino Linotype" w:hAnsi="Palatino Linotype" w:cs="Palatino Linotype"/>
          <w:color w:val="231F20"/>
          <w:spacing w:val="-6"/>
          <w:sz w:val="20"/>
          <w:szCs w:val="20"/>
        </w:rPr>
        <w:t>.</w:t>
      </w:r>
    </w:p>
    <w:p w14:paraId="1F1031FB" w14:textId="77E2CE44" w:rsidR="00B8505C" w:rsidRDefault="00CF4CDB" w:rsidP="00CF4CDB">
      <w:pPr>
        <w:pStyle w:val="Heading1"/>
        <w:ind w:left="0" w:firstLine="28"/>
        <w:rPr>
          <w:color w:val="231F20"/>
          <w:w w:val="105"/>
        </w:rPr>
      </w:pPr>
      <w:r w:rsidRPr="00CF4CDB">
        <w:rPr>
          <w:rFonts w:ascii="Palatino Linotype" w:eastAsia="Palatino Linotype" w:hAnsi="Palatino Linotype" w:cs="Palatino Linotype"/>
          <w:color w:val="231F20"/>
          <w:spacing w:val="-6"/>
          <w:sz w:val="20"/>
          <w:szCs w:val="20"/>
        </w:rPr>
        <w:t>Overall, the literature indicates a growing consensus that hybrid AI models, when properly calibrated and combined with interpretable frameworks, can outperform traditional models in both predictive accuracy and adaptability. Yet, empirical validation across different macroeconomic contexts remains limited—highlighting the need for comprehensive, cross-country evaluation, which this study aims to provide.</w:t>
      </w:r>
    </w:p>
    <w:p w14:paraId="4B5A26E0" w14:textId="2F8DC8DC" w:rsidR="004149D7" w:rsidRDefault="004149D7" w:rsidP="00CF4CDB">
      <w:pPr>
        <w:pStyle w:val="Heading1"/>
        <w:tabs>
          <w:tab w:val="left" w:pos="343"/>
        </w:tabs>
        <w:ind w:left="0" w:firstLine="0"/>
        <w:rPr>
          <w:color w:val="231F20"/>
          <w:w w:val="105"/>
        </w:rPr>
        <w:sectPr w:rsidR="004149D7" w:rsidSect="002927E4">
          <w:type w:val="continuous"/>
          <w:pgSz w:w="11910" w:h="15310"/>
          <w:pgMar w:top="1540" w:right="1133" w:bottom="280" w:left="1275" w:header="714" w:footer="0" w:gutter="0"/>
          <w:cols w:space="680"/>
        </w:sectPr>
      </w:pPr>
    </w:p>
    <w:p w14:paraId="0050BEF6" w14:textId="78D2BF23" w:rsidR="00B8505C" w:rsidRDefault="00CC6AE1" w:rsidP="00711322">
      <w:pPr>
        <w:pStyle w:val="Heading1"/>
        <w:numPr>
          <w:ilvl w:val="0"/>
          <w:numId w:val="8"/>
        </w:numPr>
        <w:tabs>
          <w:tab w:val="left" w:pos="343"/>
        </w:tabs>
        <w:ind w:left="343" w:hanging="286"/>
      </w:pPr>
      <w:r w:rsidRPr="00CC6AE1">
        <w:rPr>
          <w:color w:val="231F20"/>
          <w:w w:val="105"/>
        </w:rPr>
        <w:t>Methodology</w:t>
      </w:r>
    </w:p>
    <w:p w14:paraId="5A40C54A" w14:textId="2FC8D1DD" w:rsidR="00CF4CDB" w:rsidRPr="00CF4CDB" w:rsidRDefault="00CF4CDB" w:rsidP="00CF4CDB">
      <w:pPr>
        <w:rPr>
          <w:sz w:val="20"/>
          <w:szCs w:val="20"/>
        </w:rPr>
      </w:pPr>
      <w:r w:rsidRPr="00CF4CDB">
        <w:rPr>
          <w:sz w:val="20"/>
          <w:szCs w:val="20"/>
        </w:rPr>
        <w:t>3.1 Data Description</w:t>
      </w:r>
    </w:p>
    <w:p w14:paraId="293F4DF5" w14:textId="4627DE15" w:rsidR="00CF4CDB" w:rsidRPr="00CF4CDB" w:rsidRDefault="00CF4CDB" w:rsidP="00CF4CDB">
      <w:pPr>
        <w:rPr>
          <w:sz w:val="20"/>
          <w:szCs w:val="20"/>
        </w:rPr>
      </w:pPr>
      <w:r w:rsidRPr="00CF4CDB">
        <w:rPr>
          <w:sz w:val="20"/>
          <w:szCs w:val="20"/>
        </w:rPr>
        <w:t>The study employs macroeconomic data from both developed and emerging economies to enhance generalizability. Specifically, quarterly data from the United States (FRED database) and Vietnam (General Statistics Office, State Bank of Vietnam) are used, covering the period 2000Q1–2024Q4.</w:t>
      </w:r>
    </w:p>
    <w:p w14:paraId="6951A9AF" w14:textId="027F9A75" w:rsidR="00CF4CDB" w:rsidRPr="00CF4CDB" w:rsidRDefault="00CF4CDB" w:rsidP="00CF4CDB">
      <w:pPr>
        <w:rPr>
          <w:sz w:val="20"/>
          <w:szCs w:val="20"/>
        </w:rPr>
      </w:pPr>
      <w:r w:rsidRPr="00CF4CDB">
        <w:rPr>
          <w:sz w:val="20"/>
          <w:szCs w:val="20"/>
        </w:rPr>
        <w:t>Key indicators include:</w:t>
      </w:r>
    </w:p>
    <w:p w14:paraId="5B199D1B" w14:textId="74553146" w:rsidR="00CF4CDB" w:rsidRPr="00CF4CDB" w:rsidRDefault="00CF4CDB" w:rsidP="00CF4CDB">
      <w:pPr>
        <w:pStyle w:val="ListParagraph"/>
        <w:numPr>
          <w:ilvl w:val="0"/>
          <w:numId w:val="21"/>
        </w:numPr>
        <w:rPr>
          <w:sz w:val="20"/>
          <w:szCs w:val="20"/>
        </w:rPr>
      </w:pPr>
      <w:r w:rsidRPr="00CF4CDB">
        <w:rPr>
          <w:sz w:val="20"/>
          <w:szCs w:val="20"/>
        </w:rPr>
        <w:t>Inflation rate (Consumer Price Index, CPI-based, YoY %)</w:t>
      </w:r>
    </w:p>
    <w:p w14:paraId="04AB2F39" w14:textId="0350422C" w:rsidR="00CF4CDB" w:rsidRPr="00CF4CDB" w:rsidRDefault="00CF4CDB" w:rsidP="00CF4CDB">
      <w:pPr>
        <w:pStyle w:val="ListParagraph"/>
        <w:numPr>
          <w:ilvl w:val="0"/>
          <w:numId w:val="21"/>
        </w:numPr>
        <w:rPr>
          <w:sz w:val="20"/>
          <w:szCs w:val="20"/>
        </w:rPr>
      </w:pPr>
      <w:r w:rsidRPr="00CF4CDB">
        <w:rPr>
          <w:sz w:val="20"/>
          <w:szCs w:val="20"/>
        </w:rPr>
        <w:t>Gross Domestic Product (GDP) growth (real GDP, quarterly %)</w:t>
      </w:r>
    </w:p>
    <w:p w14:paraId="362014FC" w14:textId="39074037" w:rsidR="00CF4CDB" w:rsidRPr="00CF4CDB" w:rsidRDefault="00CF4CDB" w:rsidP="00CF4CDB">
      <w:pPr>
        <w:pStyle w:val="ListParagraph"/>
        <w:numPr>
          <w:ilvl w:val="0"/>
          <w:numId w:val="21"/>
        </w:numPr>
        <w:rPr>
          <w:sz w:val="20"/>
          <w:szCs w:val="20"/>
        </w:rPr>
      </w:pPr>
      <w:r w:rsidRPr="00CF4CDB">
        <w:rPr>
          <w:sz w:val="20"/>
          <w:szCs w:val="20"/>
        </w:rPr>
        <w:t>Unemployment rate (total, seasonally adjusted)</w:t>
      </w:r>
    </w:p>
    <w:p w14:paraId="1981277C" w14:textId="66375A98" w:rsidR="00CF4CDB" w:rsidRPr="00CF4CDB" w:rsidRDefault="00CF4CDB" w:rsidP="00CF4CDB">
      <w:pPr>
        <w:pStyle w:val="ListParagraph"/>
        <w:numPr>
          <w:ilvl w:val="0"/>
          <w:numId w:val="21"/>
        </w:numPr>
        <w:rPr>
          <w:sz w:val="20"/>
          <w:szCs w:val="20"/>
        </w:rPr>
      </w:pPr>
      <w:r w:rsidRPr="00CF4CDB">
        <w:rPr>
          <w:sz w:val="20"/>
          <w:szCs w:val="20"/>
        </w:rPr>
        <w:t>Auxiliary variables: interest rates, M2 money supply, exchange rate index, crude oil prices, and financial sentiment indices extracted from macroeconomic news data [20].</w:t>
      </w:r>
    </w:p>
    <w:p w14:paraId="15661613" w14:textId="650F335E" w:rsidR="00CF4CDB" w:rsidRPr="00CF4CDB" w:rsidRDefault="00CF4CDB" w:rsidP="00CF4CDB">
      <w:pPr>
        <w:rPr>
          <w:sz w:val="20"/>
          <w:szCs w:val="20"/>
        </w:rPr>
      </w:pPr>
      <w:r w:rsidRPr="00CF4CDB">
        <w:rPr>
          <w:sz w:val="20"/>
          <w:szCs w:val="20"/>
        </w:rPr>
        <w:t>All series are standardized using z-scores to ensure comparability. Missing data are handled via Kalman filtering</w:t>
      </w:r>
      <w:r w:rsidR="00B23CDB">
        <w:rPr>
          <w:sz w:val="20"/>
          <w:szCs w:val="20"/>
        </w:rPr>
        <w:t xml:space="preserve">, </w:t>
      </w:r>
      <w:r w:rsidRPr="00CF4CDB">
        <w:rPr>
          <w:sz w:val="20"/>
          <w:szCs w:val="20"/>
        </w:rPr>
        <w:t>linear interpolation</w:t>
      </w:r>
      <w:r w:rsidR="00B23CDB">
        <w:rPr>
          <w:sz w:val="20"/>
          <w:szCs w:val="20"/>
        </w:rPr>
        <w:t xml:space="preserve"> </w:t>
      </w:r>
      <w:r w:rsidR="00B23CDB" w:rsidRPr="00B23CDB">
        <w:rPr>
          <w:sz w:val="20"/>
          <w:szCs w:val="20"/>
        </w:rPr>
        <w:t>and a rolling-window validation approach is adopted for out-of-sample evaluation</w:t>
      </w:r>
      <w:r w:rsidR="00B23CDB">
        <w:rPr>
          <w:sz w:val="20"/>
          <w:szCs w:val="20"/>
        </w:rPr>
        <w:t xml:space="preserve"> [13]</w:t>
      </w:r>
      <w:r w:rsidRPr="00CF4CDB">
        <w:rPr>
          <w:sz w:val="20"/>
          <w:szCs w:val="20"/>
        </w:rPr>
        <w:t>. Data splitting follows an 80/20 ratio for training and testing, with a rolling window validation approach to preserve temporal dependence.</w:t>
      </w:r>
    </w:p>
    <w:p w14:paraId="57AE91B7" w14:textId="7E604BEC" w:rsidR="00CF4CDB" w:rsidRDefault="00CF4CDB" w:rsidP="002E24D3">
      <w:pPr>
        <w:rPr>
          <w:sz w:val="20"/>
          <w:szCs w:val="20"/>
        </w:rPr>
      </w:pPr>
      <w:r w:rsidRPr="00CF4CDB">
        <w:rPr>
          <w:sz w:val="20"/>
          <w:szCs w:val="20"/>
        </w:rPr>
        <w:t>3.2 Model Architecture</w:t>
      </w:r>
    </w:p>
    <w:p w14:paraId="4F4DA986" w14:textId="0D2EFD0E" w:rsidR="001A0C10" w:rsidRDefault="001A0C10" w:rsidP="002E24D3">
      <w:pPr>
        <w:rPr>
          <w:sz w:val="20"/>
          <w:szCs w:val="20"/>
        </w:rPr>
      </w:pPr>
      <w:r w:rsidRPr="001A0C10">
        <w:rPr>
          <w:sz w:val="20"/>
          <w:szCs w:val="20"/>
        </w:rPr>
        <w:lastRenderedPageBreak/>
        <w:t>3.2.1 ARIMA Model</w:t>
      </w:r>
    </w:p>
    <w:p w14:paraId="5EAEBC9A" w14:textId="0901CFD7" w:rsidR="001A0C10" w:rsidRDefault="001A0C10" w:rsidP="002E24D3">
      <w:r>
        <w:t xml:space="preserve">An ARIMA </w:t>
      </w:r>
      <m:oMath>
        <m:d>
          <m:dPr>
            <m:ctrlPr>
              <w:rPr>
                <w:rFonts w:ascii="Cambria Math" w:hAnsi="Cambria Math"/>
                <w:i/>
              </w:rPr>
            </m:ctrlPr>
          </m:dPr>
          <m:e>
            <m:r>
              <w:rPr>
                <w:rFonts w:ascii="Cambria Math" w:hAnsi="Cambria Math"/>
              </w:rPr>
              <m:t>p,d,q</m:t>
            </m:r>
          </m:e>
        </m:d>
      </m:oMath>
      <w:r>
        <w:t xml:space="preserve"> process is defined as:</w:t>
      </w:r>
    </w:p>
    <w:p w14:paraId="258F2F84" w14:textId="25777CC3" w:rsidR="001A0C10" w:rsidRDefault="001A0C10" w:rsidP="001A0C10">
      <w:pPr>
        <w:jc w:val="center"/>
        <w:rPr>
          <w:sz w:val="20"/>
          <w:szCs w:val="20"/>
        </w:rPr>
      </w:pPr>
      <m:oMath>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L</m:t>
            </m:r>
          </m:e>
        </m:d>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1-L</m:t>
                </m:r>
              </m:e>
            </m:d>
          </m:e>
          <m:sup>
            <m:r>
              <w:rPr>
                <w:rFonts w:ascii="Cambria Math" w:hAnsi="Cambria Math"/>
                <w:sz w:val="20"/>
                <w:szCs w:val="20"/>
              </w:rPr>
              <m:t>d</m:t>
            </m:r>
          </m:sup>
        </m:sSup>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=θ(L)</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t</m:t>
            </m:r>
          </m:sub>
        </m:sSub>
      </m:oMath>
      <w:r>
        <w:rPr>
          <w:sz w:val="20"/>
          <w:szCs w:val="20"/>
        </w:rPr>
        <w:t>,</w:t>
      </w:r>
    </w:p>
    <w:p w14:paraId="6E5BE86F" w14:textId="77777777" w:rsidR="001A0C10" w:rsidRDefault="001A0C10" w:rsidP="001A0C10">
      <w:pPr>
        <w:rPr>
          <w:sz w:val="20"/>
          <w:szCs w:val="20"/>
        </w:rPr>
      </w:pPr>
      <w:r>
        <w:rPr>
          <w:sz w:val="20"/>
          <w:szCs w:val="20"/>
        </w:rPr>
        <w:t xml:space="preserve">Where L is the lag operator, </w:t>
      </w:r>
    </w:p>
    <w:p w14:paraId="6F994C42" w14:textId="77777777" w:rsidR="001A0C10" w:rsidRPr="00AA4066" w:rsidRDefault="001A0C10" w:rsidP="001A0C10">
      <w:pPr>
        <w:rPr>
          <w:sz w:val="20"/>
          <w:szCs w:val="20"/>
        </w:rPr>
      </w:pPr>
      <m:oMathPara>
        <m:oMathParaPr>
          <m:jc m:val="center"/>
        </m:oMathParaPr>
        <m:oMath>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L</m:t>
              </m:r>
            </m:e>
          </m:d>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1</m:t>
              </m:r>
            </m:sub>
          </m:sSub>
          <m:r>
            <w:rPr>
              <w:rFonts w:ascii="Cambria Math" w:hAnsi="Cambria Math"/>
              <w:sz w:val="20"/>
              <w:szCs w:val="20"/>
            </w:rPr>
            <m:t>L-…-</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p</m:t>
              </m:r>
            </m:sub>
          </m:sSub>
          <m:sSup>
            <m:sSupPr>
              <m:ctrlPr>
                <w:rPr>
                  <w:rFonts w:ascii="Cambria Math" w:hAnsi="Cambria Math"/>
                  <w:i/>
                  <w:sz w:val="20"/>
                  <w:szCs w:val="20"/>
                </w:rPr>
              </m:ctrlPr>
            </m:sSupPr>
            <m:e>
              <m:r>
                <w:rPr>
                  <w:rFonts w:ascii="Cambria Math" w:hAnsi="Cambria Math"/>
                  <w:sz w:val="20"/>
                  <w:szCs w:val="20"/>
                </w:rPr>
                <m:t>L</m:t>
              </m:r>
            </m:e>
            <m:sup>
              <m:r>
                <w:rPr>
                  <w:rFonts w:ascii="Cambria Math" w:hAnsi="Cambria Math"/>
                  <w:sz w:val="20"/>
                  <w:szCs w:val="20"/>
                </w:rPr>
                <m:t>p</m:t>
              </m:r>
            </m:sup>
          </m:sSup>
          <m:r>
            <w:rPr>
              <w:rFonts w:ascii="Cambria Math" w:hAnsi="Cambria Math"/>
              <w:sz w:val="20"/>
              <w:szCs w:val="20"/>
            </w:rPr>
            <m:t xml:space="preserve">, </m:t>
          </m:r>
        </m:oMath>
      </m:oMathPara>
    </w:p>
    <w:p w14:paraId="3D9F4A4C" w14:textId="77777777" w:rsidR="001A0C10" w:rsidRPr="00AA4066" w:rsidRDefault="001A0C10" w:rsidP="001A0C10">
      <w:pPr>
        <w:rPr>
          <w:sz w:val="20"/>
          <w:szCs w:val="20"/>
        </w:rPr>
      </w:pPr>
      <m:oMathPara>
        <m:oMathParaPr>
          <m:jc m:val="center"/>
        </m:oMathParaPr>
        <m:oMath>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L</m:t>
              </m:r>
            </m:e>
          </m:d>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1</m:t>
              </m:r>
            </m:sub>
          </m:sSub>
          <m:r>
            <w:rPr>
              <w:rFonts w:ascii="Cambria Math" w:hAnsi="Cambria Math"/>
              <w:sz w:val="20"/>
              <w:szCs w:val="20"/>
            </w:rPr>
            <m:t>L+…+</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p</m:t>
              </m:r>
            </m:sub>
          </m:sSub>
          <m:sSup>
            <m:sSupPr>
              <m:ctrlPr>
                <w:rPr>
                  <w:rFonts w:ascii="Cambria Math" w:hAnsi="Cambria Math"/>
                  <w:i/>
                  <w:sz w:val="20"/>
                  <w:szCs w:val="20"/>
                </w:rPr>
              </m:ctrlPr>
            </m:sSupPr>
            <m:e>
              <m:r>
                <w:rPr>
                  <w:rFonts w:ascii="Cambria Math" w:hAnsi="Cambria Math"/>
                  <w:sz w:val="20"/>
                  <w:szCs w:val="20"/>
                </w:rPr>
                <m:t>L</m:t>
              </m:r>
            </m:e>
            <m:sup>
              <m:r>
                <w:rPr>
                  <w:rFonts w:ascii="Cambria Math" w:hAnsi="Cambria Math"/>
                  <w:sz w:val="20"/>
                  <w:szCs w:val="20"/>
                </w:rPr>
                <m:t>p</m:t>
              </m:r>
            </m:sup>
          </m:sSup>
          <m:r>
            <w:rPr>
              <w:rFonts w:ascii="Cambria Math" w:hAnsi="Cambria Math"/>
              <w:sz w:val="20"/>
              <w:szCs w:val="20"/>
            </w:rPr>
            <m:t>,</m:t>
          </m:r>
        </m:oMath>
      </m:oMathPara>
    </w:p>
    <w:p w14:paraId="73FA0FD8" w14:textId="22F22DD6" w:rsidR="001A0C10" w:rsidRPr="00AA4066" w:rsidRDefault="001A0C10" w:rsidP="001A0C10">
      <w:pPr>
        <w:rPr>
          <w:sz w:val="20"/>
          <w:szCs w:val="20"/>
        </w:rPr>
      </w:pPr>
      <m:oMathPara>
        <m:oMathParaPr>
          <m:jc m:val="center"/>
        </m:oMathParaPr>
        <m:oMath>
          <m:r>
            <w:rPr>
              <w:rFonts w:ascii="Cambria Math" w:hAnsi="Cambria Math"/>
              <w:sz w:val="20"/>
              <w:szCs w:val="20"/>
            </w:rPr>
            <m:t xml:space="preserve"> and </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t</m:t>
              </m:r>
            </m:sub>
          </m:sSub>
          <m:r>
            <w:rPr>
              <w:rFonts w:ascii="Cambria Math" w:hAnsi="Cambria Math"/>
              <w:sz w:val="20"/>
              <w:szCs w:val="20"/>
            </w:rPr>
            <m:t>~i.id.</m:t>
          </m:r>
          <m:d>
            <m:dPr>
              <m:ctrlPr>
                <w:rPr>
                  <w:rFonts w:ascii="Cambria Math" w:hAnsi="Cambria Math"/>
                  <w:i/>
                  <w:sz w:val="20"/>
                  <w:szCs w:val="20"/>
                </w:rPr>
              </m:ctrlPr>
            </m:dPr>
            <m:e>
              <m:r>
                <w:rPr>
                  <w:rFonts w:ascii="Cambria Math" w:hAnsi="Cambria Math"/>
                  <w:sz w:val="20"/>
                  <w:szCs w:val="20"/>
                </w:rPr>
                <m:t>0,</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e>
          </m:d>
          <m:r>
            <w:rPr>
              <w:rFonts w:ascii="Cambria Math" w:hAnsi="Cambria Math"/>
              <w:sz w:val="20"/>
              <w:szCs w:val="20"/>
            </w:rPr>
            <m:t>.</m:t>
          </m:r>
        </m:oMath>
      </m:oMathPara>
    </w:p>
    <w:p w14:paraId="3FD5379E" w14:textId="7AFB7AAD" w:rsidR="001A0C10" w:rsidRDefault="001A0C10" w:rsidP="001A0C10">
      <w:r>
        <w:t>3.2.2 Vector Autoregression (VAR)</w:t>
      </w:r>
    </w:p>
    <w:p w14:paraId="1C9E3576" w14:textId="4C439B2A" w:rsidR="001A0C10" w:rsidRDefault="001A0C10" w:rsidP="001A0C10">
      <w:r>
        <w:t xml:space="preserve">For an </w:t>
      </w:r>
      <m:oMath>
        <m:r>
          <w:rPr>
            <w:rFonts w:ascii="Cambria Math" w:hAnsi="Cambria Math"/>
          </w:rPr>
          <m:t>n-</m:t>
        </m:r>
      </m:oMath>
      <w:r>
        <w:t xml:space="preserve">dimensional vecto off macroeconomic indicators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oMath>
      <w:r>
        <w:t xml:space="preserve"> a </w:t>
      </w:r>
      <m:oMath>
        <m:r>
          <w:rPr>
            <w:rFonts w:ascii="Cambria Math" w:hAnsi="Cambria Math"/>
          </w:rPr>
          <m:t>VAR(p)</m:t>
        </m:r>
      </m:oMath>
      <w:r>
        <w:t xml:space="preserve"> model is: </w:t>
      </w:r>
    </w:p>
    <w:p w14:paraId="58A479CA" w14:textId="5E974738" w:rsidR="001A0C10" w:rsidRPr="00DE537D" w:rsidRDefault="00A44FC9" w:rsidP="001A0C10">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p</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t</m:t>
              </m:r>
            </m:sub>
          </m:sSub>
          <m:r>
            <w:rPr>
              <w:rFonts w:ascii="Cambria Math" w:hAnsi="Cambria Math"/>
              <w:sz w:val="20"/>
              <w:szCs w:val="20"/>
            </w:rPr>
            <m:t>,</m:t>
          </m:r>
        </m:oMath>
      </m:oMathPara>
    </w:p>
    <w:p w14:paraId="6C94097B" w14:textId="457CEF2F" w:rsidR="00DE537D" w:rsidRDefault="00DE537D" w:rsidP="001A0C10">
      <w:pPr>
        <w:rPr>
          <w:sz w:val="20"/>
          <w:szCs w:val="20"/>
        </w:rPr>
      </w:pPr>
      <w:r>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Pr>
          <w:sz w:val="20"/>
          <w:szCs w:val="20"/>
        </w:rPr>
        <w:t xml:space="preserve"> are coefficient matrices and </w:t>
      </w:r>
      <m:oMath>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t</m:t>
            </m:r>
          </m:sub>
        </m:sSub>
        <m:r>
          <w:rPr>
            <w:rFonts w:ascii="Cambria Math" w:hAnsi="Cambria Math"/>
            <w:sz w:val="20"/>
            <w:szCs w:val="20"/>
          </w:rPr>
          <m:t>~N</m:t>
        </m:r>
        <m:d>
          <m:dPr>
            <m:ctrlPr>
              <w:rPr>
                <w:rFonts w:ascii="Cambria Math" w:hAnsi="Cambria Math"/>
                <w:i/>
                <w:sz w:val="20"/>
                <w:szCs w:val="20"/>
              </w:rPr>
            </m:ctrlPr>
          </m:dPr>
          <m:e>
            <m:r>
              <w:rPr>
                <w:rFonts w:ascii="Cambria Math" w:hAnsi="Cambria Math"/>
                <w:sz w:val="20"/>
                <w:szCs w:val="20"/>
              </w:rPr>
              <m:t xml:space="preserve">0, </m:t>
            </m:r>
            <m:r>
              <m:rPr>
                <m:sty m:val="p"/>
              </m:rPr>
              <w:rPr>
                <w:rFonts w:ascii="Cambria Math" w:hAnsi="Cambria Math"/>
                <w:sz w:val="20"/>
                <w:szCs w:val="20"/>
              </w:rPr>
              <m:t>Σ</m:t>
            </m:r>
          </m:e>
        </m:d>
        <m:r>
          <w:rPr>
            <w:rFonts w:ascii="Cambria Math" w:hAnsi="Cambria Math"/>
            <w:sz w:val="20"/>
            <w:szCs w:val="20"/>
          </w:rPr>
          <m:t>.</m:t>
        </m:r>
      </m:oMath>
    </w:p>
    <w:p w14:paraId="64F0BFEE" w14:textId="6CAC313C" w:rsidR="00DE537D" w:rsidRDefault="00DE537D" w:rsidP="001A0C10">
      <w:r>
        <w:t>Bayesian VAR (BVAR)</w:t>
      </w:r>
    </w:p>
    <w:p w14:paraId="24E9C515" w14:textId="352181D5" w:rsidR="00DE537D" w:rsidRDefault="00DE537D" w:rsidP="001A0C10">
      <w:r>
        <w:t>Posterior estimation follows:</w:t>
      </w:r>
    </w:p>
    <w:p w14:paraId="617E885E" w14:textId="74FEF4EF" w:rsidR="00DE537D" w:rsidRPr="00DE537D" w:rsidRDefault="00DE537D" w:rsidP="001A0C10">
      <w:pPr>
        <w:rPr>
          <w:sz w:val="20"/>
          <w:szCs w:val="20"/>
        </w:rPr>
      </w:pPr>
      <m:oMathPara>
        <m:oMathParaPr>
          <m:jc m:val="center"/>
        </m:oMathParaPr>
        <m:oMath>
          <m:r>
            <w:rPr>
              <w:rFonts w:ascii="Cambria Math" w:hAnsi="Cambria Math"/>
              <w:sz w:val="20"/>
              <w:szCs w:val="20"/>
            </w:rPr>
            <m:t>β|y~N</m:t>
          </m:r>
          <m:d>
            <m:dPr>
              <m:ctrlPr>
                <w:rPr>
                  <w:rFonts w:ascii="Cambria Math" w:hAnsi="Cambria Math"/>
                  <w:i/>
                  <w:sz w:val="20"/>
                  <w:szCs w:val="20"/>
                </w:rPr>
              </m:ctrlPr>
            </m:dPr>
            <m:e>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post</m:t>
                  </m:r>
                </m:sub>
              </m:sSub>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Σ</m:t>
                  </m:r>
                </m:e>
                <m:sub>
                  <m:r>
                    <w:rPr>
                      <w:rFonts w:ascii="Cambria Math" w:hAnsi="Cambria Math"/>
                      <w:sz w:val="20"/>
                      <w:szCs w:val="20"/>
                    </w:rPr>
                    <m:t>post</m:t>
                  </m:r>
                </m:sub>
              </m:sSub>
            </m:e>
          </m:d>
          <m:r>
            <w:rPr>
              <w:rFonts w:ascii="Cambria Math" w:hAnsi="Cambria Math"/>
              <w:sz w:val="20"/>
              <w:szCs w:val="20"/>
            </w:rPr>
            <m:t>,</m:t>
          </m:r>
        </m:oMath>
      </m:oMathPara>
    </w:p>
    <w:p w14:paraId="52E4BA9D" w14:textId="77777777" w:rsidR="00DE537D" w:rsidRDefault="00DE537D" w:rsidP="001A0C10">
      <w:r>
        <w:t>with Minnesota priors imposing shrinkage toward random-walk behavior.</w:t>
      </w:r>
    </w:p>
    <w:p w14:paraId="5406ECBB" w14:textId="5397EB6B" w:rsidR="00DE537D" w:rsidRDefault="00DE537D" w:rsidP="001A0C10">
      <w:r>
        <w:t>3.2.3 Long Short-Term Memory (LSTM)</w:t>
      </w:r>
    </w:p>
    <w:p w14:paraId="1918D786" w14:textId="77777777" w:rsidR="00DE537D" w:rsidRDefault="00DE537D" w:rsidP="001A0C10">
      <w:r>
        <w:t xml:space="preserve">Given input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previous hidden state </w:t>
      </w:r>
      <m:oMath>
        <m:sSub>
          <m:sSubPr>
            <m:ctrlPr>
              <w:rPr>
                <w:rFonts w:ascii="Cambria Math" w:hAnsi="Cambria Math"/>
                <w:i/>
              </w:rPr>
            </m:ctrlPr>
          </m:sSubPr>
          <m:e>
            <m:r>
              <w:rPr>
                <w:rFonts w:ascii="Cambria Math" w:hAnsi="Cambria Math"/>
              </w:rPr>
              <m:t>h</m:t>
            </m:r>
          </m:e>
          <m:sub>
            <m:r>
              <w:rPr>
                <w:rFonts w:ascii="Cambria Math" w:hAnsi="Cambria Math"/>
              </w:rPr>
              <m:t>t-1</m:t>
            </m:r>
          </m:sub>
        </m:sSub>
      </m:oMath>
      <w:r>
        <w:t xml:space="preserve">, and cell state </w:t>
      </w:r>
      <m:oMath>
        <m:sSub>
          <m:sSubPr>
            <m:ctrlPr>
              <w:rPr>
                <w:rFonts w:ascii="Cambria Math" w:hAnsi="Cambria Math"/>
                <w:i/>
              </w:rPr>
            </m:ctrlPr>
          </m:sSubPr>
          <m:e>
            <m:r>
              <w:rPr>
                <w:rFonts w:ascii="Cambria Math" w:hAnsi="Cambria Math"/>
              </w:rPr>
              <m:t>c</m:t>
            </m:r>
          </m:e>
          <m:sub>
            <m:r>
              <w:rPr>
                <w:rFonts w:ascii="Cambria Math" w:hAnsi="Cambria Math"/>
              </w:rPr>
              <m:t>t-1</m:t>
            </m:r>
          </m:sub>
        </m:sSub>
      </m:oMath>
      <w:r>
        <w:t xml:space="preserve">, the LSTM updates are: </w:t>
      </w:r>
    </w:p>
    <w:p w14:paraId="0AD5E32F" w14:textId="43E79A0D" w:rsidR="00C8647A" w:rsidRDefault="00A44FC9" w:rsidP="00C8647A">
      <w:pPr>
        <w:jc w:val="center"/>
        <w:rPr>
          <w:sz w:val="20"/>
          <w:szCs w:val="20"/>
        </w:rPr>
      </w:p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m:t>
            </m:r>
          </m:sub>
        </m:sSub>
        <m: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f</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f</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f</m:t>
            </m:r>
          </m:sub>
        </m:sSub>
        <m:r>
          <w:rPr>
            <w:rFonts w:ascii="Cambria Math" w:hAnsi="Cambria Math"/>
            <w:sz w:val="20"/>
            <w:szCs w:val="20"/>
          </w:rPr>
          <m:t>)</m:t>
        </m:r>
      </m:oMath>
      <w:r w:rsidR="00DE537D">
        <w:rPr>
          <w:sz w:val="20"/>
          <w:szCs w:val="20"/>
        </w:rPr>
        <w:t>,</w:t>
      </w:r>
    </w:p>
    <w:p w14:paraId="25FCDFEC" w14:textId="270DCDB3" w:rsidR="00C8647A" w:rsidRDefault="00A44FC9" w:rsidP="00C8647A">
      <w:pPr>
        <w:jc w:val="center"/>
        <w:rPr>
          <w:sz w:val="20"/>
          <w:szCs w:val="20"/>
        </w:rPr>
      </w:pP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t</m:t>
            </m:r>
          </m:sub>
        </m:sSub>
        <m: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i</m:t>
            </m:r>
          </m:sub>
        </m:sSub>
        <m:r>
          <w:rPr>
            <w:rFonts w:ascii="Cambria Math" w:hAnsi="Cambria Math"/>
            <w:sz w:val="20"/>
            <w:szCs w:val="20"/>
          </w:rPr>
          <m:t>)</m:t>
        </m:r>
      </m:oMath>
      <w:r w:rsidR="00C8647A">
        <w:rPr>
          <w:sz w:val="20"/>
          <w:szCs w:val="20"/>
        </w:rPr>
        <w:t>,</w:t>
      </w:r>
    </w:p>
    <w:p w14:paraId="08DF4C80" w14:textId="579911DC" w:rsidR="00C8647A" w:rsidRDefault="00A44FC9" w:rsidP="00C8647A">
      <w:pPr>
        <w:jc w:val="center"/>
        <w:rPr>
          <w:sz w:val="20"/>
          <w:szCs w:val="20"/>
        </w:rPr>
      </w:pPr>
      <m:oMath>
        <m:acc>
          <m:accPr>
            <m:chr m:val="̃"/>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e>
        </m:acc>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tanh</m:t>
            </m:r>
          </m:fName>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c</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c</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c</m:t>
                </m:r>
              </m:sub>
            </m:sSub>
            <m:r>
              <w:rPr>
                <w:rFonts w:ascii="Cambria Math" w:hAnsi="Cambria Math"/>
                <w:sz w:val="20"/>
                <w:szCs w:val="20"/>
              </w:rPr>
              <m:t>)</m:t>
            </m:r>
          </m:e>
        </m:func>
      </m:oMath>
      <w:r w:rsidR="00C8647A">
        <w:rPr>
          <w:sz w:val="20"/>
          <w:szCs w:val="20"/>
        </w:rPr>
        <w:t>,</w:t>
      </w:r>
    </w:p>
    <w:p w14:paraId="3898A61D" w14:textId="264F09DA" w:rsidR="00C8647A" w:rsidRDefault="00A44FC9" w:rsidP="00C8647A">
      <w:pPr>
        <w:jc w:val="center"/>
        <w:rPr>
          <w:sz w:val="20"/>
          <w:szCs w:val="20"/>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t</m:t>
            </m:r>
          </m:sub>
        </m:sSub>
        <m:r>
          <w:rPr>
            <w:rFonts w:ascii="Cambria Math" w:hAnsi="Cambria Math"/>
            <w:sz w:val="20"/>
            <w:szCs w:val="20"/>
          </w:rPr>
          <m:t>⊙</m:t>
        </m:r>
        <m:acc>
          <m:accPr>
            <m:chr m:val="̃"/>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e>
        </m:acc>
      </m:oMath>
      <w:r w:rsidR="00C8647A">
        <w:rPr>
          <w:sz w:val="20"/>
          <w:szCs w:val="20"/>
        </w:rPr>
        <w:t>,</w:t>
      </w:r>
    </w:p>
    <w:p w14:paraId="77885311" w14:textId="4139BD5F" w:rsidR="00C8647A" w:rsidRDefault="00A44FC9" w:rsidP="00C8647A">
      <w:pPr>
        <w:jc w:val="center"/>
        <w:rPr>
          <w:sz w:val="20"/>
          <w:szCs w:val="20"/>
        </w:rPr>
      </w:pPr>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t</m:t>
            </m:r>
          </m:sub>
        </m:sSub>
        <m: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o</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o</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o</m:t>
            </m:r>
          </m:sub>
        </m:sSub>
        <m:r>
          <w:rPr>
            <w:rFonts w:ascii="Cambria Math" w:hAnsi="Cambria Math"/>
            <w:sz w:val="20"/>
            <w:szCs w:val="20"/>
          </w:rPr>
          <m:t>)</m:t>
        </m:r>
      </m:oMath>
      <w:r w:rsidR="00C8647A">
        <w:rPr>
          <w:sz w:val="20"/>
          <w:szCs w:val="20"/>
        </w:rPr>
        <w:t>,</w:t>
      </w:r>
    </w:p>
    <w:p w14:paraId="74076FA1" w14:textId="0E9C02A5" w:rsidR="00DE537D" w:rsidRDefault="00A44FC9" w:rsidP="00C8647A">
      <w:pPr>
        <w:jc w:val="center"/>
        <w:rPr>
          <w:sz w:val="20"/>
          <w:szCs w:val="20"/>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t</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tanh</m:t>
            </m:r>
          </m:fName>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r>
              <w:rPr>
                <w:rFonts w:ascii="Cambria Math" w:hAnsi="Cambria Math"/>
                <w:sz w:val="20"/>
                <w:szCs w:val="20"/>
              </w:rPr>
              <m:t>)</m:t>
            </m:r>
          </m:e>
        </m:func>
      </m:oMath>
      <w:r w:rsidR="00C8647A">
        <w:rPr>
          <w:sz w:val="20"/>
          <w:szCs w:val="20"/>
        </w:rPr>
        <w:t>.</w:t>
      </w:r>
    </w:p>
    <w:p w14:paraId="121E3249" w14:textId="77777777" w:rsidR="00F627F4" w:rsidRDefault="00F627F4" w:rsidP="00C8647A">
      <w:pPr>
        <w:jc w:val="center"/>
        <w:rPr>
          <w:sz w:val="20"/>
          <w:szCs w:val="20"/>
        </w:rPr>
      </w:pPr>
    </w:p>
    <w:p w14:paraId="5E3DB1AF" w14:textId="3501B066" w:rsidR="00C8647A" w:rsidRDefault="00C8647A" w:rsidP="00C8647A">
      <w:r>
        <w:t>3.2.4 Gated Recurrent Unit (GRU)</w:t>
      </w:r>
    </w:p>
    <w:p w14:paraId="1CD91751" w14:textId="6B38086B" w:rsidR="00C8647A" w:rsidRDefault="00A44FC9" w:rsidP="006447F0">
      <w:pPr>
        <w:jc w:val="center"/>
        <w:rPr>
          <w:sz w:val="20"/>
          <w:szCs w:val="20"/>
        </w:rPr>
      </w:p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t</m:t>
            </m:r>
          </m:sub>
        </m:sSub>
        <m: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z</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z</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oMath>
      <w:r w:rsidR="002B39A0">
        <w:rPr>
          <w:sz w:val="20"/>
          <w:szCs w:val="20"/>
        </w:rPr>
        <w:t>,</w:t>
      </w:r>
    </w:p>
    <w:p w14:paraId="5FA7D0A1" w14:textId="6A38809C" w:rsidR="002B39A0" w:rsidRDefault="00A44FC9" w:rsidP="006447F0">
      <w:pPr>
        <w:jc w:val="center"/>
        <w:rPr>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r</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r</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oMath>
      <w:r w:rsidR="002B39A0">
        <w:rPr>
          <w:sz w:val="20"/>
          <w:szCs w:val="20"/>
        </w:rPr>
        <w:t>,</w:t>
      </w:r>
    </w:p>
    <w:p w14:paraId="14AAD078" w14:textId="726A390D" w:rsidR="002B39A0" w:rsidRPr="006447F0" w:rsidRDefault="00A44FC9" w:rsidP="00C8647A">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t</m:t>
                  </m:r>
                </m:sub>
              </m:sSub>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t</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tanh</m:t>
              </m:r>
            </m:fName>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t</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h</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t-1</m:t>
                          </m:r>
                        </m:sub>
                      </m:sSub>
                    </m:e>
                  </m:d>
                </m:e>
              </m:d>
              <m:r>
                <w:rPr>
                  <w:rFonts w:ascii="Cambria Math" w:hAnsi="Cambria Math"/>
                  <w:sz w:val="20"/>
                  <w:szCs w:val="20"/>
                </w:rPr>
                <m:t>.</m:t>
              </m:r>
            </m:e>
          </m:func>
        </m:oMath>
      </m:oMathPara>
    </w:p>
    <w:p w14:paraId="19A2DCA9" w14:textId="21800068" w:rsidR="006447F0" w:rsidRPr="006447F0" w:rsidRDefault="006447F0" w:rsidP="006447F0">
      <w:pPr>
        <w:rPr>
          <w:sz w:val="20"/>
          <w:szCs w:val="20"/>
        </w:rPr>
      </w:pPr>
      <w:r w:rsidRPr="006447F0">
        <w:rPr>
          <w:sz w:val="20"/>
          <w:szCs w:val="20"/>
        </w:rPr>
        <w:t>3.2.5 Temporal Convolutional Network (TCN)</w:t>
      </w:r>
    </w:p>
    <w:p w14:paraId="701B9411" w14:textId="469C509A" w:rsidR="006447F0" w:rsidRDefault="006447F0" w:rsidP="006447F0">
      <w:pPr>
        <w:rPr>
          <w:sz w:val="20"/>
          <w:szCs w:val="20"/>
        </w:rPr>
      </w:pPr>
      <w:r w:rsidRPr="006447F0">
        <w:rPr>
          <w:sz w:val="20"/>
          <w:szCs w:val="20"/>
        </w:rPr>
        <w:t>A TCN uses dilated causal convolutions:</w:t>
      </w:r>
    </w:p>
    <w:p w14:paraId="75CCEDF9" w14:textId="68AE590F" w:rsidR="006447F0" w:rsidRPr="006447F0" w:rsidRDefault="00A44FC9" w:rsidP="006447F0">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k=0</m:t>
              </m:r>
            </m:sub>
            <m:sup>
              <m:r>
                <w:rPr>
                  <w:rFonts w:ascii="Cambria Math" w:hAnsi="Cambria Math"/>
                  <w:sz w:val="20"/>
                  <w:szCs w:val="20"/>
                </w:rPr>
                <m:t>K-1</m:t>
              </m:r>
            </m:sup>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k</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t-d.k</m:t>
                  </m:r>
                </m:sub>
              </m:sSub>
            </m:e>
          </m:nary>
        </m:oMath>
      </m:oMathPara>
    </w:p>
    <w:p w14:paraId="4E56C902" w14:textId="2D89D751" w:rsidR="006447F0" w:rsidRDefault="006447F0" w:rsidP="00C8647A">
      <w:r>
        <w:t xml:space="preserve">where </w:t>
      </w:r>
      <m:oMath>
        <m:r>
          <w:rPr>
            <w:rFonts w:ascii="Cambria Math" w:hAnsi="Cambria Math"/>
          </w:rPr>
          <m:t>d</m:t>
        </m:r>
      </m:oMath>
      <w:r>
        <w:t xml:space="preserve"> is the dilation factor and </w:t>
      </w:r>
      <m:oMath>
        <m:r>
          <w:rPr>
            <w:rFonts w:ascii="Cambria Math" w:hAnsi="Cambria Math"/>
          </w:rPr>
          <m:t>K</m:t>
        </m:r>
      </m:oMath>
      <w:r>
        <w:t xml:space="preserve"> is filter </w:t>
      </w:r>
      <w:proofErr w:type="gramStart"/>
      <w:r>
        <w:t>length.</w:t>
      </w:r>
      <w:proofErr w:type="gramEnd"/>
    </w:p>
    <w:p w14:paraId="1C15FF2B" w14:textId="067CB0EC" w:rsidR="006447F0" w:rsidRDefault="006447F0" w:rsidP="00C8647A">
      <w:r>
        <w:t>Residual blocks ensure stable training:</w:t>
      </w:r>
    </w:p>
    <w:p w14:paraId="789BFA9D" w14:textId="4AC2DA26" w:rsidR="006447F0" w:rsidRPr="006447F0" w:rsidRDefault="00A44FC9" w:rsidP="00C8647A">
      <w:pPr>
        <w:rPr>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=ReLU</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+F</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;θ</m:t>
                  </m:r>
                </m:e>
              </m:d>
            </m:e>
          </m:d>
          <m:r>
            <w:rPr>
              <w:rFonts w:ascii="Cambria Math" w:hAnsi="Cambria Math"/>
              <w:sz w:val="20"/>
              <w:szCs w:val="20"/>
            </w:rPr>
            <m:t>.</m:t>
          </m:r>
        </m:oMath>
      </m:oMathPara>
    </w:p>
    <w:p w14:paraId="7DBB6D7D" w14:textId="77777777" w:rsidR="006447F0" w:rsidRPr="006447F0" w:rsidRDefault="006447F0" w:rsidP="006447F0">
      <w:pPr>
        <w:rPr>
          <w:sz w:val="20"/>
          <w:szCs w:val="20"/>
        </w:rPr>
      </w:pPr>
      <w:r w:rsidRPr="006447F0">
        <w:rPr>
          <w:sz w:val="20"/>
          <w:szCs w:val="20"/>
        </w:rPr>
        <w:t>3.2.6 Transformer (Self-Attention)</w:t>
      </w:r>
    </w:p>
    <w:p w14:paraId="1A644302" w14:textId="77777777" w:rsidR="006447F0" w:rsidRPr="006447F0" w:rsidRDefault="006447F0" w:rsidP="006447F0">
      <w:pPr>
        <w:rPr>
          <w:sz w:val="20"/>
          <w:szCs w:val="20"/>
        </w:rPr>
      </w:pPr>
    </w:p>
    <w:p w14:paraId="3037CF08" w14:textId="1892B0D7" w:rsidR="006447F0" w:rsidRDefault="006447F0" w:rsidP="006447F0">
      <w:pPr>
        <w:rPr>
          <w:sz w:val="20"/>
          <w:szCs w:val="20"/>
        </w:rPr>
      </w:pPr>
      <w:r w:rsidRPr="006447F0">
        <w:rPr>
          <w:sz w:val="20"/>
          <w:szCs w:val="20"/>
        </w:rPr>
        <w:t>Self-attention is computed as:</w:t>
      </w:r>
    </w:p>
    <w:p w14:paraId="4E96EB04" w14:textId="604EAC11" w:rsidR="006447F0" w:rsidRPr="006447F0" w:rsidRDefault="006447F0" w:rsidP="006447F0">
      <w:pPr>
        <w:rPr>
          <w:sz w:val="20"/>
          <w:szCs w:val="20"/>
        </w:rPr>
      </w:pPr>
      <m:oMathPara>
        <m:oMath>
          <m:r>
            <w:rPr>
              <w:rFonts w:ascii="Cambria Math" w:hAnsi="Cambria Math"/>
              <w:sz w:val="20"/>
              <w:szCs w:val="20"/>
            </w:rPr>
            <m:t>Attention</m:t>
          </m:r>
          <m:d>
            <m:dPr>
              <m:ctrlPr>
                <w:rPr>
                  <w:rFonts w:ascii="Cambria Math" w:hAnsi="Cambria Math"/>
                  <w:i/>
                  <w:sz w:val="20"/>
                  <w:szCs w:val="20"/>
                </w:rPr>
              </m:ctrlPr>
            </m:dPr>
            <m:e>
              <m:r>
                <w:rPr>
                  <w:rFonts w:ascii="Cambria Math" w:hAnsi="Cambria Math"/>
                  <w:sz w:val="20"/>
                  <w:szCs w:val="20"/>
                </w:rPr>
                <m:t xml:space="preserve">Q, K </m:t>
              </m:r>
              <m:r>
                <m:rPr>
                  <m:lit/>
                </m:rPr>
                <w:rPr>
                  <w:rFonts w:ascii="Cambria Math" w:hAnsi="Cambria Math"/>
                  <w:sz w:val="20"/>
                  <w:szCs w:val="20"/>
                </w:rPr>
                <m:t>,</m:t>
              </m:r>
              <m:r>
                <w:rPr>
                  <w:rFonts w:ascii="Cambria Math" w:hAnsi="Cambria Math"/>
                  <w:sz w:val="20"/>
                  <w:szCs w:val="20"/>
                </w:rPr>
                <m:t>V</m:t>
              </m:r>
            </m:e>
          </m:d>
          <m:r>
            <w:rPr>
              <w:rFonts w:ascii="Cambria Math" w:hAnsi="Cambria Math"/>
              <w:sz w:val="20"/>
              <w:szCs w:val="20"/>
            </w:rPr>
            <m:t>=softmax</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Q</m:t>
                  </m:r>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T</m:t>
                      </m:r>
                    </m:sup>
                  </m:sSup>
                </m:num>
                <m:den>
                  <m:rad>
                    <m:radPr>
                      <m:degHide m:val="1"/>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e>
                  </m:rad>
                </m:den>
              </m:f>
            </m:e>
          </m:d>
          <m:r>
            <w:rPr>
              <w:rFonts w:ascii="Cambria Math" w:hAnsi="Cambria Math"/>
              <w:sz w:val="20"/>
              <w:szCs w:val="20"/>
            </w:rPr>
            <m:t>V,</m:t>
          </m:r>
        </m:oMath>
      </m:oMathPara>
    </w:p>
    <w:p w14:paraId="452BF6D8" w14:textId="1E12BC41" w:rsidR="006447F0" w:rsidRDefault="006447F0" w:rsidP="006447F0">
      <w:r>
        <w:t xml:space="preserve">with queries </w:t>
      </w:r>
      <m:oMath>
        <m:r>
          <w:rPr>
            <w:rFonts w:ascii="Cambria Math" w:hAnsi="Cambria Math"/>
          </w:rPr>
          <m:t>Q</m:t>
        </m:r>
      </m:oMath>
      <w:r>
        <w:t xml:space="preserve">, keys </w:t>
      </w:r>
      <m:oMath>
        <m:r>
          <w:rPr>
            <w:rFonts w:ascii="Cambria Math" w:hAnsi="Cambria Math"/>
          </w:rPr>
          <m:t>K</m:t>
        </m:r>
      </m:oMath>
      <w:r>
        <w:t xml:space="preserve">, values </w:t>
      </w:r>
      <m:oMath>
        <m:r>
          <w:rPr>
            <w:rFonts w:ascii="Cambria Math" w:hAnsi="Cambria Math"/>
          </w:rPr>
          <m:t>V</m:t>
        </m:r>
      </m:oMath>
      <w:r>
        <w:t xml:space="preserve">, and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t>the key dimension.</w:t>
      </w:r>
    </w:p>
    <w:p w14:paraId="4FCCBF90" w14:textId="2C076EDD" w:rsidR="006447F0" w:rsidRDefault="006447F0" w:rsidP="006447F0">
      <w:pPr>
        <w:rPr>
          <w:sz w:val="20"/>
          <w:szCs w:val="20"/>
        </w:rPr>
      </w:pPr>
      <w:r>
        <w:rPr>
          <w:sz w:val="20"/>
          <w:szCs w:val="20"/>
        </w:rPr>
        <w:t>The model aggregates temporal</w:t>
      </w:r>
      <w:r w:rsidR="00696576">
        <w:rPr>
          <w:sz w:val="20"/>
          <w:szCs w:val="20"/>
        </w:rPr>
        <w:t xml:space="preserve"> dependencies without recurrence.</w:t>
      </w:r>
    </w:p>
    <w:p w14:paraId="4A436321" w14:textId="4667D8BF" w:rsidR="00696576" w:rsidRPr="00696576" w:rsidRDefault="00696576" w:rsidP="00696576">
      <w:pPr>
        <w:rPr>
          <w:sz w:val="20"/>
          <w:szCs w:val="20"/>
        </w:rPr>
      </w:pPr>
      <w:r w:rsidRPr="00696576">
        <w:rPr>
          <w:sz w:val="20"/>
          <w:szCs w:val="20"/>
        </w:rPr>
        <w:t>3.2.7 Hybrid VAR–LSTM Model</w:t>
      </w:r>
    </w:p>
    <w:p w14:paraId="0199C71F" w14:textId="18F2F695" w:rsidR="00696576" w:rsidRPr="00696576" w:rsidRDefault="00696576" w:rsidP="00696576">
      <w:pPr>
        <w:rPr>
          <w:sz w:val="20"/>
          <w:szCs w:val="20"/>
        </w:rPr>
      </w:pPr>
      <w:r w:rsidRPr="00696576">
        <w:rPr>
          <w:sz w:val="20"/>
          <w:szCs w:val="20"/>
        </w:rPr>
        <w:t>We adopt a two-stage hybrid model:</w:t>
      </w:r>
    </w:p>
    <w:p w14:paraId="3434DADE" w14:textId="3BEA6887" w:rsidR="00696576" w:rsidRDefault="00696576" w:rsidP="00696576">
      <w:pPr>
        <w:rPr>
          <w:sz w:val="20"/>
          <w:szCs w:val="20"/>
        </w:rPr>
      </w:pPr>
      <w:r w:rsidRPr="00696576">
        <w:rPr>
          <w:sz w:val="20"/>
          <w:szCs w:val="20"/>
        </w:rPr>
        <w:t>Stage 1 (Linear baseline):</w:t>
      </w:r>
    </w:p>
    <w:p w14:paraId="2AB8D7F0" w14:textId="36056919" w:rsidR="00696576" w:rsidRPr="00696576" w:rsidRDefault="00A44FC9" w:rsidP="00696576">
      <w:pPr>
        <w:rPr>
          <w:sz w:val="20"/>
          <w:szCs w:val="20"/>
        </w:rPr>
      </w:pPr>
      <m:oMathPara>
        <m:oMath>
          <m:sSup>
            <m:sSupPr>
              <m:ctrlPr>
                <w:rPr>
                  <w:rFonts w:ascii="Cambria Math" w:hAnsi="Cambria Math"/>
                  <w:i/>
                  <w:sz w:val="20"/>
                  <w:szCs w:val="20"/>
                </w:rPr>
              </m:ctrlPr>
            </m:sSupPr>
            <m:e>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e>
              </m:acc>
            </m:e>
            <m:sup>
              <m:r>
                <w:rPr>
                  <w:rFonts w:ascii="Cambria Math" w:hAnsi="Cambria Math"/>
                  <w:sz w:val="20"/>
                  <w:szCs w:val="20"/>
                </w:rPr>
                <m:t>VAR</m:t>
              </m:r>
            </m:sup>
          </m:sSup>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p</m:t>
              </m:r>
            </m:sub>
          </m:s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t-p</m:t>
              </m:r>
            </m:sub>
          </m:sSub>
          <m:r>
            <w:rPr>
              <w:rFonts w:ascii="Cambria Math" w:hAnsi="Cambria Math"/>
              <w:sz w:val="20"/>
              <w:szCs w:val="20"/>
            </w:rPr>
            <m:t>.</m:t>
          </m:r>
        </m:oMath>
      </m:oMathPara>
    </w:p>
    <w:p w14:paraId="59DA80E0" w14:textId="77777777" w:rsidR="00696576" w:rsidRPr="00696576" w:rsidRDefault="00696576" w:rsidP="00696576">
      <w:pPr>
        <w:rPr>
          <w:sz w:val="20"/>
          <w:szCs w:val="20"/>
        </w:rPr>
      </w:pPr>
      <w:r w:rsidRPr="00696576">
        <w:rPr>
          <w:sz w:val="20"/>
          <w:szCs w:val="20"/>
        </w:rPr>
        <w:t>Stage 2 (Nonlinear correction):</w:t>
      </w:r>
    </w:p>
    <w:p w14:paraId="089DA2E0" w14:textId="3DDF37C3" w:rsidR="00696576" w:rsidRDefault="00696576" w:rsidP="00696576">
      <w:pPr>
        <w:rPr>
          <w:sz w:val="20"/>
          <w:szCs w:val="20"/>
        </w:rPr>
      </w:pPr>
      <w:r w:rsidRPr="00696576">
        <w:rPr>
          <w:sz w:val="20"/>
          <w:szCs w:val="20"/>
        </w:rPr>
        <w:t>Compute residuals:</w:t>
      </w:r>
    </w:p>
    <w:p w14:paraId="376B0CB5" w14:textId="101790AE" w:rsidR="00696576" w:rsidRPr="00696576" w:rsidRDefault="00A44FC9" w:rsidP="00696576">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p>
            <m:sSupPr>
              <m:ctrlPr>
                <w:rPr>
                  <w:rFonts w:ascii="Cambria Math" w:hAnsi="Cambria Math"/>
                  <w:i/>
                  <w:sz w:val="20"/>
                  <w:szCs w:val="20"/>
                </w:rPr>
              </m:ctrlPr>
            </m:sSupPr>
            <m:e>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e>
              </m:acc>
            </m:e>
            <m:sup>
              <m:r>
                <w:rPr>
                  <w:rFonts w:ascii="Cambria Math" w:hAnsi="Cambria Math"/>
                  <w:sz w:val="20"/>
                  <w:szCs w:val="20"/>
                </w:rPr>
                <m:t>VAR</m:t>
              </m:r>
            </m:sup>
          </m:sSup>
          <m:r>
            <w:rPr>
              <w:rFonts w:ascii="Cambria Math" w:hAnsi="Cambria Math"/>
              <w:sz w:val="20"/>
              <w:szCs w:val="20"/>
            </w:rPr>
            <m:t>.</m:t>
          </m:r>
        </m:oMath>
      </m:oMathPara>
    </w:p>
    <w:p w14:paraId="73161629" w14:textId="46F95237" w:rsidR="00696576" w:rsidRDefault="00696576" w:rsidP="00696576">
      <w:r>
        <w:t xml:space="preserve">Then model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t xml:space="preserve"> with an LSTM:</w:t>
      </w:r>
    </w:p>
    <w:p w14:paraId="65D3D0A9" w14:textId="69878C71" w:rsidR="00696576" w:rsidRPr="00696576" w:rsidRDefault="00A44FC9" w:rsidP="00696576">
      <w:pPr>
        <w:rPr>
          <w:sz w:val="20"/>
          <w:szCs w:val="20"/>
        </w:rPr>
      </w:pPr>
      <m:oMathPara>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LSTM</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t-2</m:t>
                  </m:r>
                </m:sub>
              </m:sSub>
              <m:r>
                <w:rPr>
                  <w:rFonts w:ascii="Cambria Math" w:hAnsi="Cambria Math"/>
                  <w:sz w:val="20"/>
                  <w:szCs w:val="20"/>
                </w:rPr>
                <m:t>,…</m:t>
              </m:r>
            </m:e>
          </m:d>
          <m:r>
            <w:rPr>
              <w:rFonts w:ascii="Cambria Math" w:hAnsi="Cambria Math"/>
              <w:sz w:val="20"/>
              <w:szCs w:val="20"/>
            </w:rPr>
            <m:t>.</m:t>
          </m:r>
        </m:oMath>
      </m:oMathPara>
    </w:p>
    <w:p w14:paraId="1023ACC3" w14:textId="14F41897" w:rsidR="00696576" w:rsidRDefault="00696576" w:rsidP="00696576">
      <w:r>
        <w:t>Final hybrid forecast:</w:t>
      </w:r>
    </w:p>
    <w:bookmarkStart w:id="0" w:name="_Hlk213958206"/>
    <w:p w14:paraId="4EE82DE6" w14:textId="3C35BCFA" w:rsidR="00696576" w:rsidRDefault="00A44FC9" w:rsidP="00696576">
      <w:pPr>
        <w:rPr>
          <w:sz w:val="20"/>
          <w:szCs w:val="20"/>
        </w:rPr>
      </w:pPr>
      <m:oMathPara>
        <m:oMath>
          <m:sSup>
            <m:sSupPr>
              <m:ctrlPr>
                <w:rPr>
                  <w:rFonts w:ascii="Cambria Math" w:hAnsi="Cambria Math"/>
                  <w:i/>
                  <w:sz w:val="20"/>
                  <w:szCs w:val="20"/>
                </w:rPr>
              </m:ctrlPr>
            </m:sSupPr>
            <m:e>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e>
              </m:acc>
            </m:e>
            <m:sup>
              <m:r>
                <w:rPr>
                  <w:rFonts w:ascii="Cambria Math" w:hAnsi="Cambria Math"/>
                  <w:sz w:val="20"/>
                  <w:szCs w:val="20"/>
                </w:rPr>
                <m:t>HYB</m:t>
              </m:r>
            </m:sup>
          </m:sSup>
          <w:bookmarkEnd w:id="0"/>
          <m:r>
            <w:rPr>
              <w:rFonts w:ascii="Cambria Math" w:hAnsi="Cambria Math"/>
              <w:sz w:val="20"/>
              <w:szCs w:val="20"/>
            </w:rPr>
            <m:t>=</m:t>
          </m:r>
          <m:sSup>
            <m:sSupPr>
              <m:ctrlPr>
                <w:rPr>
                  <w:rFonts w:ascii="Cambria Math" w:hAnsi="Cambria Math"/>
                  <w:i/>
                  <w:sz w:val="20"/>
                  <w:szCs w:val="20"/>
                </w:rPr>
              </m:ctrlPr>
            </m:sSupPr>
            <m:e>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e>
              </m:acc>
            </m:e>
            <m:sup>
              <m:r>
                <w:rPr>
                  <w:rFonts w:ascii="Cambria Math" w:hAnsi="Cambria Math"/>
                  <w:sz w:val="20"/>
                  <w:szCs w:val="20"/>
                </w:rPr>
                <m:t>VAR</m:t>
              </m:r>
            </m:sup>
          </m:sSup>
          <m:r>
            <w:rPr>
              <w:rFonts w:ascii="Cambria Math" w:hAnsi="Cambria Math"/>
              <w:sz w:val="20"/>
              <w:szCs w:val="20"/>
            </w:rPr>
            <m:t>+</m:t>
          </m:r>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e>
          </m:acc>
          <m:r>
            <w:rPr>
              <w:rFonts w:ascii="Cambria Math" w:hAnsi="Cambria Math"/>
              <w:sz w:val="20"/>
              <w:szCs w:val="20"/>
            </w:rPr>
            <m:t>.</m:t>
          </m:r>
        </m:oMath>
      </m:oMathPara>
    </w:p>
    <w:p w14:paraId="54F8EEC4" w14:textId="4A64403F" w:rsidR="00696576" w:rsidRPr="00C8647A" w:rsidRDefault="00696576" w:rsidP="00696576">
      <w:pPr>
        <w:rPr>
          <w:sz w:val="20"/>
          <w:szCs w:val="20"/>
        </w:rPr>
      </w:pPr>
      <w:r>
        <w:t>This allows the LSTM to learn nonlinear patterns unexplained by the VAR.</w:t>
      </w:r>
    </w:p>
    <w:p w14:paraId="07A13778" w14:textId="3AF73993" w:rsidR="00CF4CDB" w:rsidRPr="00CF4CDB" w:rsidRDefault="00CF4CDB" w:rsidP="00CF4CDB">
      <w:r w:rsidRPr="00CF4CDB">
        <w:t>3.3 Training and Evaluation Metrics</w:t>
      </w:r>
    </w:p>
    <w:p w14:paraId="0E4D3280" w14:textId="7674BB00" w:rsidR="00CF4CDB" w:rsidRPr="00CF4CDB" w:rsidRDefault="00CF4CDB" w:rsidP="00CF4CDB">
      <w:r w:rsidRPr="00CF4CDB">
        <w:t>All models are implemented in Python (TensorFlow/</w:t>
      </w:r>
      <w:proofErr w:type="spellStart"/>
      <w:r w:rsidRPr="00CF4CDB">
        <w:t>Keras</w:t>
      </w:r>
      <w:proofErr w:type="spellEnd"/>
      <w:r w:rsidRPr="00CF4CDB">
        <w:t xml:space="preserve">, </w:t>
      </w:r>
      <w:proofErr w:type="spellStart"/>
      <w:r w:rsidRPr="00CF4CDB">
        <w:t>Statsmodels</w:t>
      </w:r>
      <w:proofErr w:type="spellEnd"/>
      <w:r w:rsidRPr="00CF4CDB">
        <w:t>) and trained using a time-series cross-validation strategy to avoid lookahead bias. The following evaluation metrics are used:</w:t>
      </w:r>
    </w:p>
    <w:p w14:paraId="38CFDAB1" w14:textId="4F8529EF" w:rsidR="00CF4CDB" w:rsidRDefault="00CF4CDB" w:rsidP="00CF4CDB">
      <w:pPr>
        <w:pStyle w:val="ListParagraph"/>
        <w:numPr>
          <w:ilvl w:val="0"/>
          <w:numId w:val="19"/>
        </w:numPr>
      </w:pPr>
      <w:r w:rsidRPr="00CF4CDB">
        <w:t>Root Mean Squared Error (RMSE): measures overall forecast deviation</w:t>
      </w:r>
      <w:r w:rsidR="00696576">
        <w:t>:</w:t>
      </w:r>
    </w:p>
    <w:p w14:paraId="2584D8AC" w14:textId="6277EFA1" w:rsidR="00696576" w:rsidRPr="00CF4CDB" w:rsidRDefault="00696576" w:rsidP="00696576">
      <w:pPr>
        <w:pStyle w:val="ListParagraph"/>
        <w:ind w:left="720" w:firstLine="0"/>
      </w:pPr>
      <m:oMathPara>
        <m:oMath>
          <m:r>
            <w:rPr>
              <w:rFonts w:ascii="Cambria Math" w:hAnsi="Cambria Math"/>
            </w:rPr>
            <m:t xml:space="preserve">RMSE= </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t</m:t>
                                  </m:r>
                                </m:sub>
                              </m:sSub>
                            </m:e>
                          </m:acc>
                        </m:e>
                      </m:d>
                    </m:e>
                    <m:sup>
                      <m:r>
                        <w:rPr>
                          <w:rFonts w:ascii="Cambria Math" w:hAnsi="Cambria Math"/>
                        </w:rPr>
                        <m:t>2</m:t>
                      </m:r>
                    </m:sup>
                  </m:sSup>
                </m:e>
              </m:nary>
            </m:e>
          </m:rad>
          <m:r>
            <w:rPr>
              <w:rFonts w:ascii="Cambria Math" w:hAnsi="Cambria Math"/>
            </w:rPr>
            <m:t>.</m:t>
          </m:r>
        </m:oMath>
      </m:oMathPara>
    </w:p>
    <w:p w14:paraId="020CCB90" w14:textId="4939C3C4" w:rsidR="00CF4CDB" w:rsidRDefault="00CF4CDB" w:rsidP="00CF4CDB">
      <w:pPr>
        <w:pStyle w:val="ListParagraph"/>
        <w:numPr>
          <w:ilvl w:val="0"/>
          <w:numId w:val="19"/>
        </w:numPr>
      </w:pPr>
      <w:r w:rsidRPr="00CF4CDB">
        <w:t>Mean Absolute Error (MAE): provides scale-independent accuracy</w:t>
      </w:r>
      <w:r w:rsidR="00696576">
        <w:t>:</w:t>
      </w:r>
    </w:p>
    <w:p w14:paraId="1E241D6E" w14:textId="5A5928A8" w:rsidR="007D3E02" w:rsidRPr="00CF4CDB" w:rsidRDefault="00696576" w:rsidP="007D3E02">
      <w:pPr>
        <w:pStyle w:val="ListParagraph"/>
        <w:ind w:left="720" w:firstLine="0"/>
      </w:pPr>
      <m:oMathPara>
        <m:oMath>
          <m:r>
            <w:rPr>
              <w:rFonts w:ascii="Cambria Math" w:hAnsi="Cambria Math"/>
            </w:rPr>
            <m:t xml:space="preserve">MAE= </m:t>
          </m:r>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t</m:t>
                          </m:r>
                        </m:sub>
                      </m:sSub>
                    </m:e>
                  </m:acc>
                </m:e>
              </m:d>
            </m:e>
          </m:nary>
          <m:r>
            <w:rPr>
              <w:rFonts w:ascii="Cambria Math" w:hAnsi="Cambria Math"/>
            </w:rPr>
            <m:t>.</m:t>
          </m:r>
        </m:oMath>
      </m:oMathPara>
    </w:p>
    <w:p w14:paraId="0D758331" w14:textId="2C79B2AD" w:rsidR="00CF4CDB" w:rsidRDefault="00CF4CDB" w:rsidP="00CF4CDB">
      <w:pPr>
        <w:pStyle w:val="ListParagraph"/>
        <w:numPr>
          <w:ilvl w:val="0"/>
          <w:numId w:val="19"/>
        </w:numPr>
      </w:pPr>
      <w:r w:rsidRPr="00CF4CDB">
        <w:t>Directional Accuracy (DA): captures the model’s ability to predict trend direction correctly</w:t>
      </w:r>
      <w:r w:rsidR="007D3E02">
        <w:t>:</w:t>
      </w:r>
    </w:p>
    <w:p w14:paraId="53C867B2" w14:textId="371A2E84" w:rsidR="007D3E02" w:rsidRPr="00DB1084" w:rsidRDefault="007D3E02" w:rsidP="007D3E02">
      <w:pPr>
        <w:pStyle w:val="ListParagraph"/>
        <w:ind w:left="720" w:firstLine="0"/>
      </w:pPr>
      <m:oMathPara>
        <m:oMath>
          <m:r>
            <w:rPr>
              <w:rFonts w:ascii="Cambria Math" w:hAnsi="Cambria Math"/>
            </w:rPr>
            <m:t xml:space="preserve">DA= </m:t>
          </m:r>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r>
                <m:rPr>
                  <m:scr m:val="double-struck"/>
                </m:rPr>
                <w:rPr>
                  <w:rFonts w:ascii="Cambria Math" w:hAnsi="Cambria Math"/>
                </w:rPr>
                <m:t>I</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e>
                  </m:d>
                  <m:d>
                    <m:dPr>
                      <m:ctrlPr>
                        <w:rPr>
                          <w:rFonts w:ascii="Cambria Math" w:hAnsi="Cambria Math"/>
                          <w:i/>
                        </w:rPr>
                      </m:ctrlPr>
                    </m:dPr>
                    <m:e>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t</m:t>
                              </m:r>
                            </m:sub>
                          </m:sSub>
                        </m:e>
                      </m:ac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e>
                  </m:d>
                  <m:r>
                    <w:rPr>
                      <w:rFonts w:ascii="Cambria Math" w:hAnsi="Cambria Math"/>
                    </w:rPr>
                    <m:t>&gt;0</m:t>
                  </m:r>
                </m:e>
              </m:d>
              <m:r>
                <w:rPr>
                  <w:rFonts w:ascii="Cambria Math" w:hAnsi="Cambria Math"/>
                </w:rPr>
                <m:t>,</m:t>
              </m:r>
            </m:e>
          </m:nary>
        </m:oMath>
      </m:oMathPara>
    </w:p>
    <w:p w14:paraId="027746B6" w14:textId="451E6DAF" w:rsidR="00DB1084" w:rsidRPr="00CF4CDB" w:rsidRDefault="00DB1084" w:rsidP="007D3E02">
      <w:pPr>
        <w:pStyle w:val="ListParagraph"/>
        <w:ind w:left="720" w:firstLine="0"/>
      </w:pPr>
      <w:r>
        <w:t xml:space="preserve">where </w:t>
      </w:r>
      <m:oMath>
        <m:r>
          <m:rPr>
            <m:scr m:val="double-struck"/>
          </m:rPr>
          <w:rPr>
            <w:rFonts w:ascii="Cambria Math" w:hAnsi="Cambria Math"/>
          </w:rPr>
          <m:t>I</m:t>
        </m:r>
      </m:oMath>
      <w:r>
        <w:t xml:space="preserve"> is the indicator </w:t>
      </w:r>
      <w:proofErr w:type="gramStart"/>
      <w:r>
        <w:t>function.</w:t>
      </w:r>
      <w:proofErr w:type="gramEnd"/>
      <w:r>
        <w:t xml:space="preserve"> </w:t>
      </w:r>
    </w:p>
    <w:p w14:paraId="7E88A698" w14:textId="773ED48B" w:rsidR="00CF4CDB" w:rsidRDefault="00CF4CDB" w:rsidP="00CF4CDB">
      <w:pPr>
        <w:pStyle w:val="ListParagraph"/>
        <w:numPr>
          <w:ilvl w:val="0"/>
          <w:numId w:val="19"/>
        </w:numPr>
      </w:pPr>
      <w:r w:rsidRPr="00CF4CDB">
        <w:t>Theil’s U-statistic: compares forecast efficiency relative to a naïve random-walk model</w:t>
      </w:r>
      <w:r w:rsidR="00DB1084">
        <w:t>:</w:t>
      </w:r>
    </w:p>
    <w:p w14:paraId="4907BB26" w14:textId="720AF7CE" w:rsidR="00DA7897" w:rsidRPr="00DA7897" w:rsidRDefault="00DB1084" w:rsidP="00DA7897">
      <w:pPr>
        <w:pStyle w:val="ListParagraph"/>
        <w:ind w:left="720" w:firstLine="0"/>
      </w:pPr>
      <m:oMathPara>
        <m:oMath>
          <m:r>
            <w:rPr>
              <w:rFonts w:ascii="Cambria Math" w:hAnsi="Cambria Math"/>
            </w:rPr>
            <m:t>U=</m:t>
          </m:r>
          <m:f>
            <m:fPr>
              <m:ctrlPr>
                <w:rPr>
                  <w:rFonts w:ascii="Cambria Math" w:hAnsi="Cambria Math"/>
                  <w:i/>
                </w:rPr>
              </m:ctrlPr>
            </m:fPr>
            <m:num>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subSup"/>
                      <m:ctrlPr>
                        <w:rPr>
                          <w:rFonts w:ascii="Cambria Math" w:hAnsi="Cambria Math"/>
                          <w:i/>
                        </w:rPr>
                      </m:ctrlPr>
                    </m:naryPr>
                    <m:sub>
                      <m:r>
                        <w:rPr>
                          <w:rFonts w:ascii="Cambria Math" w:hAnsi="Cambria Math"/>
                        </w:rPr>
                        <m:t>t=1</m:t>
                      </m:r>
                    </m:sub>
                    <m:sup>
                      <m:r>
                        <w:rPr>
                          <w:rFonts w:ascii="Cambria Math" w:hAnsi="Cambria Math"/>
                        </w:rPr>
                        <m:t>T</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t</m:t>
                                      </m:r>
                                    </m:sub>
                                  </m:sSub>
                                </m:e>
                              </m:acc>
                            </m:e>
                          </m:d>
                        </m:e>
                        <m:sup>
                          <m:r>
                            <w:rPr>
                              <w:rFonts w:ascii="Cambria Math" w:hAnsi="Cambria Math"/>
                            </w:rPr>
                            <m:t>2</m:t>
                          </m:r>
                        </m:sup>
                      </m:sSup>
                    </m:e>
                  </m:nary>
                </m:e>
              </m:ra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subSup"/>
                      <m:ctrlPr>
                        <w:rPr>
                          <w:rFonts w:ascii="Cambria Math" w:hAnsi="Cambria Math"/>
                          <w:i/>
                        </w:rPr>
                      </m:ctrlPr>
                    </m:naryPr>
                    <m:sub>
                      <m:r>
                        <w:rPr>
                          <w:rFonts w:ascii="Cambria Math" w:hAnsi="Cambria Math"/>
                        </w:rPr>
                        <m:t>t=1</m:t>
                      </m:r>
                    </m:sub>
                    <m:sup>
                      <m:r>
                        <w:rPr>
                          <w:rFonts w:ascii="Cambria Math" w:hAnsi="Cambria Math"/>
                        </w:rPr>
                        <m:t>T</m:t>
                      </m:r>
                    </m:sup>
                    <m:e>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hAnsi="Cambria Math"/>
                                </w:rPr>
                                <m:t>t</m:t>
                              </m:r>
                            </m:sub>
                          </m:sSub>
                        </m:e>
                        <m:sup>
                          <m:r>
                            <w:rPr>
                              <w:rFonts w:ascii="Cambria Math" w:hAnsi="Cambria Math"/>
                            </w:rPr>
                            <m:t>2</m:t>
                          </m:r>
                        </m:sup>
                      </m:sSup>
                    </m:e>
                  </m:nary>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t</m:t>
                                  </m:r>
                                </m:sub>
                              </m:sSub>
                            </m:e>
                          </m:acc>
                        </m:e>
                        <m:sup>
                          <m:r>
                            <w:rPr>
                              <w:rFonts w:ascii="Cambria Math" w:hAnsi="Cambria Math"/>
                            </w:rPr>
                            <m:t>2</m:t>
                          </m:r>
                        </m:sup>
                      </m:sSup>
                    </m:e>
                  </m:nary>
                </m:e>
              </m:rad>
            </m:den>
          </m:f>
          <m:r>
            <w:rPr>
              <w:rFonts w:ascii="Cambria Math" w:hAnsi="Cambria Math"/>
            </w:rPr>
            <m:t>.</m:t>
          </m:r>
        </m:oMath>
      </m:oMathPara>
    </w:p>
    <w:p w14:paraId="5CC39EE0" w14:textId="3FDEEC7F" w:rsidR="00CF4CDB" w:rsidRDefault="00CF4CDB" w:rsidP="00CF4CDB">
      <w:r w:rsidRPr="00CF4CDB">
        <w:t>Additionally, Diebold–Mariano tests are conducted to assess the statistical significance of forecast improvements across models</w:t>
      </w:r>
      <w:r w:rsidR="00DA7897">
        <w:t>:</w:t>
      </w:r>
    </w:p>
    <w:p w14:paraId="34441E95" w14:textId="0A41DAF4" w:rsidR="00DA7897" w:rsidRDefault="00DA7897" w:rsidP="00CF4CDB">
      <w:r>
        <w:t xml:space="preserve">Given loss differential </w:t>
      </w:r>
      <m:oMath>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1t</m:t>
                </m:r>
              </m:sub>
            </m:sSub>
          </m:e>
        </m:d>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2t</m:t>
                </m:r>
              </m:sub>
            </m:sSub>
          </m:e>
        </m:d>
      </m:oMath>
      <w:r>
        <w:t>:</w:t>
      </w:r>
    </w:p>
    <w:p w14:paraId="1B79809C" w14:textId="11948622" w:rsidR="00DA7897" w:rsidRPr="00CF4CDB" w:rsidRDefault="00DA7897" w:rsidP="00CF4CDB">
      <m:oMathPara>
        <m:oMath>
          <m:r>
            <w:rPr>
              <w:rFonts w:ascii="Cambria Math" w:hAnsi="Cambria Math"/>
            </w:rPr>
            <m:t>DM=</m:t>
          </m:r>
          <m:f>
            <m:fPr>
              <m:ctrlPr>
                <w:rPr>
                  <w:rFonts w:ascii="Cambria Math" w:hAnsi="Cambria Math"/>
                  <w:i/>
                </w:rPr>
              </m:ctrlPr>
            </m:fPr>
            <m:num>
              <m:acc>
                <m:accPr>
                  <m:chr m:val="̅"/>
                  <m:ctrlPr>
                    <w:rPr>
                      <w:rFonts w:ascii="Cambria Math" w:hAnsi="Cambria Math"/>
                      <w:i/>
                    </w:rPr>
                  </m:ctrlPr>
                </m:accPr>
                <m:e>
                  <m:r>
                    <w:rPr>
                      <w:rFonts w:ascii="Cambria Math" w:hAnsi="Cambria Math"/>
                    </w:rPr>
                    <m:t>d</m:t>
                  </m:r>
                </m:e>
              </m:acc>
            </m:num>
            <m:den>
              <m:rad>
                <m:radPr>
                  <m:degHide m:val="1"/>
                  <m:ctrlPr>
                    <w:rPr>
                      <w:rFonts w:ascii="Cambria Math" w:hAnsi="Cambria Math"/>
                      <w:i/>
                    </w:rPr>
                  </m:ctrlPr>
                </m:radPr>
                <m:deg/>
                <m:e>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rPr>
                                <m:t>σ</m:t>
                              </m:r>
                            </m:e>
                            <m:sub>
                              <m:r>
                                <w:rPr>
                                  <w:rFonts w:ascii="Cambria Math" w:hAnsi="Cambria Math"/>
                                </w:rPr>
                                <m:t>d</m:t>
                              </m:r>
                            </m:sub>
                          </m:sSub>
                        </m:e>
                      </m:acc>
                    </m:e>
                    <m:sup>
                      <m:r>
                        <w:rPr>
                          <w:rFonts w:ascii="Cambria Math" w:hAnsi="Cambria Math"/>
                        </w:rPr>
                        <m:t>2</m:t>
                      </m:r>
                    </m:sup>
                  </m:sSup>
                  <m:r>
                    <w:rPr>
                      <w:rFonts w:ascii="Cambria Math" w:hAnsi="Cambria Math"/>
                    </w:rPr>
                    <m:t>/T</m:t>
                  </m:r>
                </m:e>
              </m:rad>
            </m:den>
          </m:f>
          <m:r>
            <w:rPr>
              <w:rFonts w:ascii="Cambria Math" w:hAnsi="Cambria Math"/>
            </w:rPr>
            <m:t>.</m:t>
          </m:r>
        </m:oMath>
      </m:oMathPara>
    </w:p>
    <w:p w14:paraId="1C320B7B" w14:textId="64E67204" w:rsidR="00CF4CDB" w:rsidRPr="00B52050" w:rsidRDefault="00CF4CDB" w:rsidP="00CF4CDB">
      <w:pPr>
        <w:rPr>
          <w:sz w:val="20"/>
          <w:szCs w:val="20"/>
        </w:rPr>
      </w:pPr>
      <w:r w:rsidRPr="00CF4CDB">
        <w:t>To prevent overfitting, dropout regularization, early stopping, and learning rate scheduling are employed</w:t>
      </w:r>
      <w:r w:rsidR="00B23CDB">
        <w:t xml:space="preserve"> [6]</w:t>
      </w:r>
      <w:r w:rsidRPr="00CF4CDB">
        <w:t>. Feature importance and explainability are later assessed using SHAP values, as detailed in Section 4.</w:t>
      </w:r>
    </w:p>
    <w:p w14:paraId="3B5E7E68" w14:textId="77777777" w:rsidR="00065BF5" w:rsidRDefault="00065BF5">
      <w:pPr>
        <w:pStyle w:val="BodyText"/>
        <w:spacing w:line="20" w:lineRule="exact"/>
        <w:ind w:left="28"/>
        <w:jc w:val="left"/>
        <w:rPr>
          <w:sz w:val="2"/>
        </w:rPr>
      </w:pPr>
    </w:p>
    <w:p w14:paraId="33243399" w14:textId="77777777" w:rsidR="00B8505C" w:rsidRDefault="00B8505C" w:rsidP="00E6470E">
      <w:pPr>
        <w:pStyle w:val="Heading1"/>
        <w:numPr>
          <w:ilvl w:val="0"/>
          <w:numId w:val="8"/>
        </w:numPr>
        <w:tabs>
          <w:tab w:val="left" w:pos="314"/>
        </w:tabs>
        <w:ind w:left="314" w:hanging="286"/>
        <w:rPr>
          <w:color w:val="231F20"/>
          <w:w w:val="105"/>
        </w:rPr>
        <w:sectPr w:rsidR="00B8505C" w:rsidSect="002927E4">
          <w:type w:val="continuous"/>
          <w:pgSz w:w="11910" w:h="15310"/>
          <w:pgMar w:top="1540" w:right="1133" w:bottom="280" w:left="1275" w:header="714" w:footer="0" w:gutter="0"/>
          <w:cols w:space="680"/>
        </w:sectPr>
      </w:pPr>
    </w:p>
    <w:p w14:paraId="0EDC49EE" w14:textId="09C46FBB" w:rsidR="00065BF5" w:rsidRDefault="00DA41FA" w:rsidP="00E6470E">
      <w:pPr>
        <w:pStyle w:val="Heading1"/>
        <w:numPr>
          <w:ilvl w:val="0"/>
          <w:numId w:val="8"/>
        </w:numPr>
        <w:tabs>
          <w:tab w:val="left" w:pos="314"/>
        </w:tabs>
        <w:ind w:left="314" w:hanging="286"/>
      </w:pPr>
      <w:r>
        <w:t>Results and Discussion</w:t>
      </w:r>
    </w:p>
    <w:p w14:paraId="5A6153D4" w14:textId="30B4D795" w:rsidR="00DA41FA" w:rsidRPr="00DA41FA" w:rsidRDefault="00DA41FA" w:rsidP="00DA41FA">
      <w:pPr>
        <w:pStyle w:val="BodyText"/>
        <w:spacing w:before="93" w:line="218" w:lineRule="auto"/>
        <w:rPr>
          <w:noProof/>
          <w:color w:val="231F20"/>
          <w:spacing w:val="-2"/>
        </w:rPr>
      </w:pPr>
      <w:r w:rsidRPr="00DA41FA">
        <w:rPr>
          <w:noProof/>
          <w:color w:val="231F20"/>
          <w:spacing w:val="-2"/>
        </w:rPr>
        <w:t>4.1 Model Performance Overview</w:t>
      </w:r>
    </w:p>
    <w:p w14:paraId="56E68070" w14:textId="458902A5" w:rsidR="00DA41FA" w:rsidRDefault="00DA41FA" w:rsidP="00DA41FA">
      <w:pPr>
        <w:pStyle w:val="BodyText"/>
        <w:spacing w:before="93" w:line="218" w:lineRule="auto"/>
        <w:rPr>
          <w:noProof/>
          <w:color w:val="231F20"/>
          <w:spacing w:val="-2"/>
        </w:rPr>
      </w:pPr>
      <w:r w:rsidRPr="00DA41FA">
        <w:rPr>
          <w:noProof/>
          <w:color w:val="231F20"/>
          <w:spacing w:val="-2"/>
        </w:rPr>
        <w:t>Table 1 summarizes the forecasting performance of all models across three macroeconomic indicators (Inflation, GDP Growth, and Unemployment). The deep learning–based approaches consistently outperform traditional econometric models in terms of RMSE and MAE, demonstrating the capability of AI to capture complex nonlinear dynamics.</w:t>
      </w:r>
    </w:p>
    <w:p w14:paraId="306939E9" w14:textId="77777777" w:rsidR="00100930" w:rsidRDefault="00100930" w:rsidP="00100930">
      <w:pPr>
        <w:pStyle w:val="BodyText"/>
        <w:spacing w:before="93" w:line="218" w:lineRule="auto"/>
        <w:rPr>
          <w:noProof/>
          <w:color w:val="231F20"/>
          <w:spacing w:val="-2"/>
        </w:rPr>
      </w:pPr>
      <w:r>
        <w:rPr>
          <w:noProof/>
          <w:color w:val="231F20"/>
          <w:spacing w:val="-2"/>
        </w:rPr>
        <w:lastRenderedPageBreak/>
        <w:t xml:space="preserve">Table 1 - </w:t>
      </w:r>
      <w:r w:rsidRPr="0012518D">
        <w:rPr>
          <w:noProof/>
          <w:color w:val="231F20"/>
          <w:spacing w:val="-2"/>
        </w:rPr>
        <w:t>Comparative Performance of Forecasting Models</w:t>
      </w:r>
    </w:p>
    <w:p w14:paraId="442BD28A" w14:textId="77777777" w:rsidR="00DA41FA" w:rsidRPr="00DA41FA" w:rsidRDefault="00DA41FA" w:rsidP="00DA41FA">
      <w:pPr>
        <w:pStyle w:val="BodyText"/>
        <w:spacing w:before="93" w:line="218" w:lineRule="auto"/>
        <w:rPr>
          <w:noProof/>
          <w:color w:val="231F20"/>
          <w:spacing w:val="-2"/>
        </w:rPr>
      </w:pPr>
    </w:p>
    <w:tbl>
      <w:tblPr>
        <w:tblStyle w:val="TableGrid"/>
        <w:tblW w:w="0" w:type="auto"/>
        <w:tblLook w:val="04A0" w:firstRow="1" w:lastRow="0" w:firstColumn="1" w:lastColumn="0" w:noHBand="0" w:noVBand="1"/>
      </w:tblPr>
      <w:tblGrid>
        <w:gridCol w:w="1898"/>
        <w:gridCol w:w="1898"/>
        <w:gridCol w:w="1898"/>
        <w:gridCol w:w="1899"/>
        <w:gridCol w:w="1899"/>
      </w:tblGrid>
      <w:tr w:rsidR="008162CE" w:rsidRPr="008162CE" w14:paraId="5BEE2B35" w14:textId="77777777" w:rsidTr="008162CE">
        <w:tc>
          <w:tcPr>
            <w:tcW w:w="1898" w:type="dxa"/>
          </w:tcPr>
          <w:p w14:paraId="1DBADA76"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Model</w:t>
            </w:r>
          </w:p>
        </w:tc>
        <w:tc>
          <w:tcPr>
            <w:tcW w:w="1898" w:type="dxa"/>
          </w:tcPr>
          <w:p w14:paraId="245BA7FA"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RMSE</w:t>
            </w:r>
          </w:p>
        </w:tc>
        <w:tc>
          <w:tcPr>
            <w:tcW w:w="1898" w:type="dxa"/>
          </w:tcPr>
          <w:p w14:paraId="6B47FAC2"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MAE</w:t>
            </w:r>
          </w:p>
        </w:tc>
        <w:tc>
          <w:tcPr>
            <w:tcW w:w="1899" w:type="dxa"/>
          </w:tcPr>
          <w:p w14:paraId="436BD59E"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DA (%)</w:t>
            </w:r>
          </w:p>
        </w:tc>
        <w:tc>
          <w:tcPr>
            <w:tcW w:w="1899" w:type="dxa"/>
          </w:tcPr>
          <w:p w14:paraId="1AEEF308"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Theil’s U</w:t>
            </w:r>
          </w:p>
        </w:tc>
      </w:tr>
      <w:tr w:rsidR="008162CE" w:rsidRPr="008162CE" w14:paraId="65855256" w14:textId="77777777" w:rsidTr="008162CE">
        <w:tc>
          <w:tcPr>
            <w:tcW w:w="1898" w:type="dxa"/>
          </w:tcPr>
          <w:p w14:paraId="5AFC7E06"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ARIMA</w:t>
            </w:r>
          </w:p>
        </w:tc>
        <w:tc>
          <w:tcPr>
            <w:tcW w:w="1898" w:type="dxa"/>
          </w:tcPr>
          <w:p w14:paraId="237B89FE"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0.96</w:t>
            </w:r>
          </w:p>
        </w:tc>
        <w:tc>
          <w:tcPr>
            <w:tcW w:w="1898" w:type="dxa"/>
          </w:tcPr>
          <w:p w14:paraId="556998A2"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0.74</w:t>
            </w:r>
          </w:p>
        </w:tc>
        <w:tc>
          <w:tcPr>
            <w:tcW w:w="1899" w:type="dxa"/>
          </w:tcPr>
          <w:p w14:paraId="4F116401"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55.8</w:t>
            </w:r>
          </w:p>
        </w:tc>
        <w:tc>
          <w:tcPr>
            <w:tcW w:w="1899" w:type="dxa"/>
          </w:tcPr>
          <w:p w14:paraId="69365C71"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0.89</w:t>
            </w:r>
          </w:p>
        </w:tc>
      </w:tr>
      <w:tr w:rsidR="008162CE" w:rsidRPr="008162CE" w14:paraId="6E1D6F36" w14:textId="77777777" w:rsidTr="008162CE">
        <w:tc>
          <w:tcPr>
            <w:tcW w:w="1898" w:type="dxa"/>
          </w:tcPr>
          <w:p w14:paraId="46B48DAD"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VAR</w:t>
            </w:r>
          </w:p>
        </w:tc>
        <w:tc>
          <w:tcPr>
            <w:tcW w:w="1898" w:type="dxa"/>
          </w:tcPr>
          <w:p w14:paraId="17ABF6EC"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0.85</w:t>
            </w:r>
          </w:p>
        </w:tc>
        <w:tc>
          <w:tcPr>
            <w:tcW w:w="1898" w:type="dxa"/>
          </w:tcPr>
          <w:p w14:paraId="3B2C83BE"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0.67</w:t>
            </w:r>
          </w:p>
        </w:tc>
        <w:tc>
          <w:tcPr>
            <w:tcW w:w="1899" w:type="dxa"/>
          </w:tcPr>
          <w:p w14:paraId="35C6D8DB"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59.2</w:t>
            </w:r>
          </w:p>
        </w:tc>
        <w:tc>
          <w:tcPr>
            <w:tcW w:w="1899" w:type="dxa"/>
          </w:tcPr>
          <w:p w14:paraId="287A1251"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0.83</w:t>
            </w:r>
          </w:p>
        </w:tc>
      </w:tr>
      <w:tr w:rsidR="008162CE" w:rsidRPr="008162CE" w14:paraId="15D8B3F4" w14:textId="77777777" w:rsidTr="008162CE">
        <w:tc>
          <w:tcPr>
            <w:tcW w:w="1898" w:type="dxa"/>
          </w:tcPr>
          <w:p w14:paraId="7A4056E3"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LSTM</w:t>
            </w:r>
          </w:p>
        </w:tc>
        <w:tc>
          <w:tcPr>
            <w:tcW w:w="1898" w:type="dxa"/>
          </w:tcPr>
          <w:p w14:paraId="11522E71"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0.63</w:t>
            </w:r>
          </w:p>
        </w:tc>
        <w:tc>
          <w:tcPr>
            <w:tcW w:w="1898" w:type="dxa"/>
          </w:tcPr>
          <w:p w14:paraId="18CC4ECA"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0.49</w:t>
            </w:r>
          </w:p>
        </w:tc>
        <w:tc>
          <w:tcPr>
            <w:tcW w:w="1899" w:type="dxa"/>
          </w:tcPr>
          <w:p w14:paraId="70F75586"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71.5</w:t>
            </w:r>
          </w:p>
        </w:tc>
        <w:tc>
          <w:tcPr>
            <w:tcW w:w="1899" w:type="dxa"/>
          </w:tcPr>
          <w:p w14:paraId="5B98F415"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0.67</w:t>
            </w:r>
          </w:p>
        </w:tc>
      </w:tr>
      <w:tr w:rsidR="008162CE" w:rsidRPr="008162CE" w14:paraId="27B2DD0F" w14:textId="77777777" w:rsidTr="008162CE">
        <w:tc>
          <w:tcPr>
            <w:tcW w:w="1898" w:type="dxa"/>
          </w:tcPr>
          <w:p w14:paraId="357C67D1"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GRU</w:t>
            </w:r>
          </w:p>
        </w:tc>
        <w:tc>
          <w:tcPr>
            <w:tcW w:w="1898" w:type="dxa"/>
          </w:tcPr>
          <w:p w14:paraId="00A77E0B"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0.65</w:t>
            </w:r>
          </w:p>
        </w:tc>
        <w:tc>
          <w:tcPr>
            <w:tcW w:w="1898" w:type="dxa"/>
          </w:tcPr>
          <w:p w14:paraId="349B198E"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0.51</w:t>
            </w:r>
          </w:p>
        </w:tc>
        <w:tc>
          <w:tcPr>
            <w:tcW w:w="1899" w:type="dxa"/>
          </w:tcPr>
          <w:p w14:paraId="3D3020D9"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70.4</w:t>
            </w:r>
          </w:p>
        </w:tc>
        <w:tc>
          <w:tcPr>
            <w:tcW w:w="1899" w:type="dxa"/>
          </w:tcPr>
          <w:p w14:paraId="7A68F603"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0.69</w:t>
            </w:r>
          </w:p>
        </w:tc>
      </w:tr>
      <w:tr w:rsidR="008162CE" w:rsidRPr="008162CE" w14:paraId="520740D2" w14:textId="77777777" w:rsidTr="008162CE">
        <w:tc>
          <w:tcPr>
            <w:tcW w:w="1898" w:type="dxa"/>
          </w:tcPr>
          <w:p w14:paraId="13D7479E"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Transformer</w:t>
            </w:r>
          </w:p>
        </w:tc>
        <w:tc>
          <w:tcPr>
            <w:tcW w:w="1898" w:type="dxa"/>
          </w:tcPr>
          <w:p w14:paraId="44E33098"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0.61</w:t>
            </w:r>
          </w:p>
        </w:tc>
        <w:tc>
          <w:tcPr>
            <w:tcW w:w="1898" w:type="dxa"/>
          </w:tcPr>
          <w:p w14:paraId="5ACC19E6"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0.47</w:t>
            </w:r>
          </w:p>
        </w:tc>
        <w:tc>
          <w:tcPr>
            <w:tcW w:w="1899" w:type="dxa"/>
          </w:tcPr>
          <w:p w14:paraId="630A6EDC"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72.1</w:t>
            </w:r>
          </w:p>
        </w:tc>
        <w:tc>
          <w:tcPr>
            <w:tcW w:w="1899" w:type="dxa"/>
          </w:tcPr>
          <w:p w14:paraId="224BD3C0"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0.65</w:t>
            </w:r>
          </w:p>
        </w:tc>
      </w:tr>
      <w:tr w:rsidR="008162CE" w:rsidRPr="008162CE" w14:paraId="1318D11A" w14:textId="77777777" w:rsidTr="008162CE">
        <w:tc>
          <w:tcPr>
            <w:tcW w:w="1898" w:type="dxa"/>
          </w:tcPr>
          <w:p w14:paraId="7B4E8A7B"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Hybrid VAR–LSTM</w:t>
            </w:r>
          </w:p>
        </w:tc>
        <w:tc>
          <w:tcPr>
            <w:tcW w:w="1898" w:type="dxa"/>
          </w:tcPr>
          <w:p w14:paraId="0F239ADB"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0.58</w:t>
            </w:r>
          </w:p>
        </w:tc>
        <w:tc>
          <w:tcPr>
            <w:tcW w:w="1898" w:type="dxa"/>
          </w:tcPr>
          <w:p w14:paraId="63F874EF"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0.45</w:t>
            </w:r>
          </w:p>
        </w:tc>
        <w:tc>
          <w:tcPr>
            <w:tcW w:w="1899" w:type="dxa"/>
          </w:tcPr>
          <w:p w14:paraId="4DAAE990"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74.0</w:t>
            </w:r>
          </w:p>
        </w:tc>
        <w:tc>
          <w:tcPr>
            <w:tcW w:w="1899" w:type="dxa"/>
          </w:tcPr>
          <w:p w14:paraId="30CF1301" w14:textId="77777777" w:rsidR="008162CE" w:rsidRPr="008162CE" w:rsidRDefault="008162CE" w:rsidP="006447F0">
            <w:pPr>
              <w:pStyle w:val="BodyText"/>
              <w:spacing w:before="93" w:line="218" w:lineRule="auto"/>
              <w:rPr>
                <w:noProof/>
                <w:color w:val="231F20"/>
                <w:spacing w:val="-2"/>
              </w:rPr>
            </w:pPr>
            <w:r w:rsidRPr="008162CE">
              <w:rPr>
                <w:noProof/>
                <w:color w:val="231F20"/>
                <w:spacing w:val="-2"/>
              </w:rPr>
              <w:t>0.63</w:t>
            </w:r>
          </w:p>
        </w:tc>
      </w:tr>
    </w:tbl>
    <w:p w14:paraId="3E87043B" w14:textId="5D9C9128" w:rsidR="00DA41FA" w:rsidRPr="00DA41FA" w:rsidRDefault="00DA41FA" w:rsidP="00DA41FA">
      <w:pPr>
        <w:pStyle w:val="BodyText"/>
        <w:spacing w:before="93" w:line="218" w:lineRule="auto"/>
        <w:rPr>
          <w:noProof/>
          <w:color w:val="231F20"/>
          <w:spacing w:val="-2"/>
        </w:rPr>
      </w:pPr>
      <w:r w:rsidRPr="00DA41FA">
        <w:rPr>
          <w:noProof/>
          <w:color w:val="231F20"/>
          <w:spacing w:val="-2"/>
        </w:rPr>
        <w:t>(Source: Author’s computation based on FRED and GSO data, 2000–2024)</w:t>
      </w:r>
    </w:p>
    <w:p w14:paraId="6A9C9277" w14:textId="6038DAD0" w:rsidR="00DA41FA" w:rsidRPr="00DA41FA" w:rsidRDefault="00DA41FA" w:rsidP="00DA41FA">
      <w:pPr>
        <w:pStyle w:val="BodyText"/>
        <w:spacing w:before="93" w:line="218" w:lineRule="auto"/>
        <w:rPr>
          <w:noProof/>
          <w:color w:val="231F20"/>
          <w:spacing w:val="-2"/>
        </w:rPr>
      </w:pPr>
      <w:r w:rsidRPr="00DA41FA">
        <w:rPr>
          <w:noProof/>
          <w:color w:val="231F20"/>
          <w:spacing w:val="-2"/>
        </w:rPr>
        <w:t>These results indicate that the Hybrid VAR–LSTM model yields the best overall accuracy, outperforming both traditional and purely deep learning models. Particularly for inflation and unemployment, the hybrid approach improves directional accuracy by over 15% compared with ARIMA and VAR models.</w:t>
      </w:r>
    </w:p>
    <w:p w14:paraId="3F4C292D" w14:textId="570F065F" w:rsidR="00DA41FA" w:rsidRPr="00DA41FA" w:rsidRDefault="00DA41FA" w:rsidP="00DA41FA">
      <w:pPr>
        <w:pStyle w:val="BodyText"/>
        <w:spacing w:before="93" w:line="218" w:lineRule="auto"/>
        <w:rPr>
          <w:noProof/>
          <w:color w:val="231F20"/>
          <w:spacing w:val="-2"/>
        </w:rPr>
      </w:pPr>
      <w:r w:rsidRPr="00DA41FA">
        <w:rPr>
          <w:noProof/>
          <w:color w:val="231F20"/>
          <w:spacing w:val="-2"/>
        </w:rPr>
        <w:t>These findings align with prior research demonstrating that hybrid architectures combining econometric and neural network components enhance both accuracy and stability under structural changes.</w:t>
      </w:r>
    </w:p>
    <w:p w14:paraId="5BEAC218" w14:textId="2FB20D7A" w:rsidR="00DA41FA" w:rsidRPr="00DA41FA" w:rsidRDefault="00DA41FA" w:rsidP="00DA41FA">
      <w:pPr>
        <w:pStyle w:val="BodyText"/>
        <w:spacing w:before="93" w:line="218" w:lineRule="auto"/>
        <w:rPr>
          <w:noProof/>
          <w:color w:val="231F20"/>
          <w:spacing w:val="-2"/>
        </w:rPr>
      </w:pPr>
      <w:r w:rsidRPr="00DA41FA">
        <w:rPr>
          <w:noProof/>
          <w:color w:val="231F20"/>
          <w:spacing w:val="-2"/>
        </w:rPr>
        <w:t>4.2 Comparative Analysis: Developed vs. Emerging Markets</w:t>
      </w:r>
    </w:p>
    <w:p w14:paraId="1D03EB12" w14:textId="5CBBD564" w:rsidR="00DA41FA" w:rsidRPr="00DA41FA" w:rsidRDefault="00DA41FA" w:rsidP="00DA41FA">
      <w:pPr>
        <w:pStyle w:val="BodyText"/>
        <w:spacing w:before="93" w:line="218" w:lineRule="auto"/>
        <w:rPr>
          <w:noProof/>
          <w:color w:val="231F20"/>
          <w:spacing w:val="-2"/>
        </w:rPr>
      </w:pPr>
      <w:r w:rsidRPr="00DA41FA">
        <w:rPr>
          <w:noProof/>
          <w:color w:val="231F20"/>
          <w:spacing w:val="-2"/>
        </w:rPr>
        <w:t>When comparing across regions, the model performance exhibits heterogeneity between the United States and Vietnam.</w:t>
      </w:r>
    </w:p>
    <w:p w14:paraId="3BBAAC59" w14:textId="2CF63DEA" w:rsidR="00DA41FA" w:rsidRPr="00DA41FA" w:rsidRDefault="00DA41FA" w:rsidP="00DA41FA">
      <w:pPr>
        <w:pStyle w:val="BodyText"/>
        <w:spacing w:before="93" w:line="218" w:lineRule="auto"/>
        <w:rPr>
          <w:noProof/>
          <w:color w:val="231F20"/>
          <w:spacing w:val="-2"/>
        </w:rPr>
      </w:pPr>
      <w:r w:rsidRPr="00DA41FA">
        <w:rPr>
          <w:noProof/>
          <w:color w:val="231F20"/>
          <w:spacing w:val="-2"/>
        </w:rPr>
        <w:t>In the U.S. dataset, all deep learning models achieve low forecast errors due to stable data quality and consistent policy frameworks.</w:t>
      </w:r>
    </w:p>
    <w:p w14:paraId="60976D6A" w14:textId="5A2DEFF1" w:rsidR="00DA41FA" w:rsidRPr="00DA41FA" w:rsidRDefault="00DA41FA" w:rsidP="00DA41FA">
      <w:pPr>
        <w:pStyle w:val="BodyText"/>
        <w:spacing w:before="93" w:line="218" w:lineRule="auto"/>
        <w:rPr>
          <w:noProof/>
          <w:color w:val="231F20"/>
          <w:spacing w:val="-2"/>
        </w:rPr>
      </w:pPr>
      <w:r w:rsidRPr="00DA41FA">
        <w:rPr>
          <w:noProof/>
          <w:color w:val="231F20"/>
          <w:spacing w:val="-2"/>
        </w:rPr>
        <w:t>In contrast, the Vietnam dataset presents higher volatility, reflecting structural changes, data limitations, and frequent policy adjustments</w:t>
      </w:r>
      <w:r w:rsidR="00B23CDB">
        <w:rPr>
          <w:noProof/>
          <w:color w:val="231F20"/>
          <w:spacing w:val="-2"/>
        </w:rPr>
        <w:t xml:space="preserve"> [18][19]</w:t>
      </w:r>
      <w:r w:rsidRPr="00DA41FA">
        <w:rPr>
          <w:noProof/>
          <w:color w:val="231F20"/>
          <w:spacing w:val="-2"/>
        </w:rPr>
        <w:t>.</w:t>
      </w:r>
    </w:p>
    <w:p w14:paraId="304E2C4B" w14:textId="79D322E6" w:rsidR="00DA41FA" w:rsidRPr="00DA41FA" w:rsidRDefault="00DA41FA" w:rsidP="00DA41FA">
      <w:pPr>
        <w:pStyle w:val="BodyText"/>
        <w:spacing w:before="93" w:line="218" w:lineRule="auto"/>
        <w:rPr>
          <w:noProof/>
          <w:color w:val="231F20"/>
          <w:spacing w:val="-2"/>
        </w:rPr>
      </w:pPr>
      <w:r w:rsidRPr="00DA41FA">
        <w:rPr>
          <w:noProof/>
          <w:color w:val="231F20"/>
          <w:spacing w:val="-2"/>
        </w:rPr>
        <w:t>Interestingly, the Transformer model performs best in emerging markets, suggesting that its self-attention mechanism is more effective in identifying non-stationary behavior and abrupt policy-induced shifts.</w:t>
      </w:r>
    </w:p>
    <w:p w14:paraId="7EE5FB59" w14:textId="14D0C97A" w:rsidR="00DA41FA" w:rsidRPr="00DA41FA" w:rsidRDefault="00DA41FA" w:rsidP="00DA41FA">
      <w:pPr>
        <w:pStyle w:val="BodyText"/>
        <w:spacing w:before="93" w:line="218" w:lineRule="auto"/>
        <w:rPr>
          <w:noProof/>
          <w:color w:val="231F20"/>
          <w:spacing w:val="-2"/>
        </w:rPr>
      </w:pPr>
      <w:r w:rsidRPr="00DA41FA">
        <w:rPr>
          <w:noProof/>
          <w:color w:val="231F20"/>
          <w:spacing w:val="-2"/>
        </w:rPr>
        <w:t>These results imply that AI models can adapt more flexibly to heterogeneous economic regimes than traditional linear frameworks, a crucial advantage for real-time policy simulation in developing economies</w:t>
      </w:r>
      <w:r w:rsidR="00B23CDB">
        <w:rPr>
          <w:noProof/>
          <w:color w:val="231F20"/>
          <w:spacing w:val="-2"/>
        </w:rPr>
        <w:t xml:space="preserve"> </w:t>
      </w:r>
      <w:r w:rsidR="00B23CDB" w:rsidRPr="00B23CDB">
        <w:rPr>
          <w:noProof/>
          <w:color w:val="231F20"/>
          <w:spacing w:val="-2"/>
        </w:rPr>
        <w:t>which is consistent with modern New Keynesian views on the transmission of monetary policy</w:t>
      </w:r>
      <w:r w:rsidR="00B23CDB">
        <w:rPr>
          <w:noProof/>
          <w:color w:val="231F20"/>
          <w:spacing w:val="-2"/>
        </w:rPr>
        <w:t xml:space="preserve"> </w:t>
      </w:r>
      <w:r w:rsidRPr="00DA41FA">
        <w:rPr>
          <w:noProof/>
          <w:color w:val="231F20"/>
          <w:spacing w:val="-2"/>
        </w:rPr>
        <w:t>.</w:t>
      </w:r>
    </w:p>
    <w:p w14:paraId="0FCD59B5" w14:textId="3CF83CE2" w:rsidR="00DA41FA" w:rsidRPr="00DA41FA" w:rsidRDefault="00DA41FA" w:rsidP="00DA41FA">
      <w:pPr>
        <w:pStyle w:val="BodyText"/>
        <w:spacing w:before="93" w:line="218" w:lineRule="auto"/>
        <w:rPr>
          <w:noProof/>
          <w:color w:val="231F20"/>
          <w:spacing w:val="-2"/>
        </w:rPr>
      </w:pPr>
      <w:r w:rsidRPr="00DA41FA">
        <w:rPr>
          <w:noProof/>
          <w:color w:val="231F20"/>
          <w:spacing w:val="-2"/>
        </w:rPr>
        <w:t>4.3 Explainability and Feature Importance</w:t>
      </w:r>
    </w:p>
    <w:p w14:paraId="4CFD0387" w14:textId="1A448B49" w:rsidR="00DA41FA" w:rsidRPr="00DA41FA" w:rsidRDefault="00DA41FA" w:rsidP="00DA41FA">
      <w:pPr>
        <w:pStyle w:val="BodyText"/>
        <w:spacing w:before="93" w:line="218" w:lineRule="auto"/>
        <w:rPr>
          <w:noProof/>
          <w:color w:val="231F20"/>
          <w:spacing w:val="-2"/>
        </w:rPr>
      </w:pPr>
      <w:r w:rsidRPr="00DA41FA">
        <w:rPr>
          <w:noProof/>
          <w:color w:val="231F20"/>
          <w:spacing w:val="-2"/>
        </w:rPr>
        <w:t>Interpretability remains a major concern for policymakers. To address this, SHAP (SHapley Additive Explanations) values are computed to quantify the marginal contribution of each input feature to the predicted macroeconomic indicators.</w:t>
      </w:r>
    </w:p>
    <w:p w14:paraId="585D020B" w14:textId="52A0398C" w:rsidR="00DA41FA" w:rsidRPr="00DA41FA" w:rsidRDefault="00DA41FA" w:rsidP="00DA41FA">
      <w:pPr>
        <w:pStyle w:val="BodyText"/>
        <w:spacing w:before="93" w:line="218" w:lineRule="auto"/>
        <w:rPr>
          <w:noProof/>
          <w:color w:val="231F20"/>
          <w:spacing w:val="-2"/>
        </w:rPr>
      </w:pPr>
      <w:r w:rsidRPr="00DA41FA">
        <w:rPr>
          <w:noProof/>
          <w:color w:val="231F20"/>
          <w:spacing w:val="-2"/>
        </w:rPr>
        <w:t>Figure 4 illustrates the SHAP summary plot for inflation forecasting, showing that oil prices, exchange rate index, and M2 money supply are the top three drivers of inflation forecasts across models. Conversely, interest rate and financial sentiment index have relatively smaller contributions.</w:t>
      </w:r>
    </w:p>
    <w:p w14:paraId="1FC2F8CE" w14:textId="09952919" w:rsidR="00DA41FA" w:rsidRPr="00DA41FA" w:rsidRDefault="00DA41FA" w:rsidP="00DA41FA">
      <w:pPr>
        <w:pStyle w:val="BodyText"/>
        <w:spacing w:before="93" w:line="218" w:lineRule="auto"/>
        <w:rPr>
          <w:noProof/>
          <w:color w:val="231F20"/>
          <w:spacing w:val="-2"/>
        </w:rPr>
      </w:pPr>
      <w:r w:rsidRPr="00DA41FA">
        <w:rPr>
          <w:noProof/>
          <w:color w:val="231F20"/>
          <w:spacing w:val="-2"/>
        </w:rPr>
        <w:t>This insight provides intuitive validation: inflation in both markets is strongly influenced by commodity shocks and liquidity conditions, consistent with classical monetary transmission theory.</w:t>
      </w:r>
    </w:p>
    <w:p w14:paraId="5C8EB32C" w14:textId="2F71CB2E" w:rsidR="00DA41FA" w:rsidRPr="00DA41FA" w:rsidRDefault="00DA41FA" w:rsidP="00DA41FA">
      <w:pPr>
        <w:pStyle w:val="BodyText"/>
        <w:spacing w:before="93" w:line="218" w:lineRule="auto"/>
        <w:rPr>
          <w:noProof/>
          <w:color w:val="231F20"/>
          <w:spacing w:val="-2"/>
        </w:rPr>
      </w:pPr>
      <w:r w:rsidRPr="00DA41FA">
        <w:rPr>
          <w:noProof/>
          <w:color w:val="231F20"/>
          <w:spacing w:val="-2"/>
        </w:rPr>
        <w:t>Moreover, attention-weight visualization from the Transformer model reveals that the network focuses heavily on lagged inflation values and exchange rate movements during high-volatility periods (e.g., 2008 global crisis, 2020 pandemic). This reinforces the model’s interpretability and its alignment with economic logic.</w:t>
      </w:r>
    </w:p>
    <w:p w14:paraId="6B10DBD5" w14:textId="3B8C6F9D" w:rsidR="00DA41FA" w:rsidRPr="00DA41FA" w:rsidRDefault="00DA41FA" w:rsidP="00DA41FA">
      <w:pPr>
        <w:pStyle w:val="BodyText"/>
        <w:spacing w:before="93" w:line="218" w:lineRule="auto"/>
        <w:rPr>
          <w:noProof/>
          <w:color w:val="231F20"/>
          <w:spacing w:val="-2"/>
        </w:rPr>
      </w:pPr>
      <w:r w:rsidRPr="00DA41FA">
        <w:rPr>
          <w:noProof/>
          <w:color w:val="231F20"/>
          <w:spacing w:val="-2"/>
        </w:rPr>
        <w:t>4.4 Robustness and Stability Analysis</w:t>
      </w:r>
    </w:p>
    <w:p w14:paraId="0C75358D" w14:textId="15A2B3F4" w:rsidR="00DA41FA" w:rsidRPr="00DA41FA" w:rsidRDefault="00DA41FA" w:rsidP="00DA41FA">
      <w:pPr>
        <w:pStyle w:val="BodyText"/>
        <w:spacing w:before="93" w:line="218" w:lineRule="auto"/>
        <w:rPr>
          <w:noProof/>
          <w:color w:val="231F20"/>
          <w:spacing w:val="-2"/>
        </w:rPr>
      </w:pPr>
      <w:r w:rsidRPr="00DA41FA">
        <w:rPr>
          <w:noProof/>
          <w:color w:val="231F20"/>
          <w:spacing w:val="-2"/>
        </w:rPr>
        <w:t>To ensure robustness, several validation steps were performed:</w:t>
      </w:r>
    </w:p>
    <w:p w14:paraId="586D218D" w14:textId="1DDE49EC" w:rsidR="00DA41FA" w:rsidRPr="00DA41FA" w:rsidRDefault="00DA41FA" w:rsidP="00DA41FA">
      <w:pPr>
        <w:pStyle w:val="BodyText"/>
        <w:spacing w:before="93" w:line="218" w:lineRule="auto"/>
        <w:rPr>
          <w:noProof/>
          <w:color w:val="231F20"/>
          <w:spacing w:val="-2"/>
        </w:rPr>
      </w:pPr>
      <w:r w:rsidRPr="00DA41FA">
        <w:rPr>
          <w:noProof/>
          <w:color w:val="231F20"/>
          <w:spacing w:val="-2"/>
        </w:rPr>
        <w:t>Rolling-window forecasts were repeated using 8-quarter and 12-quarter horizons. Results remained stable, confirming model consistency.</w:t>
      </w:r>
    </w:p>
    <w:p w14:paraId="21D8E6D0" w14:textId="73C691A3" w:rsidR="00DA41FA" w:rsidRPr="00DA41FA" w:rsidRDefault="00DA41FA" w:rsidP="00DA41FA">
      <w:pPr>
        <w:pStyle w:val="BodyText"/>
        <w:spacing w:before="93" w:line="218" w:lineRule="auto"/>
        <w:rPr>
          <w:noProof/>
          <w:color w:val="231F20"/>
          <w:spacing w:val="-2"/>
        </w:rPr>
      </w:pPr>
      <w:r w:rsidRPr="00DA41FA">
        <w:rPr>
          <w:noProof/>
          <w:color w:val="231F20"/>
          <w:spacing w:val="-2"/>
        </w:rPr>
        <w:lastRenderedPageBreak/>
        <w:t>Out-of-sample backtesting over the 2020–2024 period (including COVID-19 and post-pandemic recovery) showed that deep learning models maintained superior performance even under regime shifts.</w:t>
      </w:r>
    </w:p>
    <w:p w14:paraId="4EB6CD56" w14:textId="6422CB05" w:rsidR="00DA41FA" w:rsidRPr="00DA41FA" w:rsidRDefault="00DA41FA" w:rsidP="00DA41FA">
      <w:pPr>
        <w:pStyle w:val="BodyText"/>
        <w:spacing w:before="93" w:line="218" w:lineRule="auto"/>
        <w:rPr>
          <w:noProof/>
          <w:color w:val="231F20"/>
          <w:spacing w:val="-2"/>
        </w:rPr>
      </w:pPr>
      <w:r w:rsidRPr="00DA41FA">
        <w:rPr>
          <w:noProof/>
          <w:color w:val="231F20"/>
          <w:spacing w:val="-2"/>
        </w:rPr>
        <w:t>Diebold–Mariano (DM) tests confirmed that forecast improvements of hybrid models over VAR are statistically significant at the 1% level.</w:t>
      </w:r>
    </w:p>
    <w:p w14:paraId="7AEA5A36" w14:textId="33292005" w:rsidR="00DA41FA" w:rsidRPr="00DA41FA" w:rsidRDefault="00DA41FA" w:rsidP="00DA41FA">
      <w:pPr>
        <w:pStyle w:val="BodyText"/>
        <w:spacing w:before="93" w:line="218" w:lineRule="auto"/>
        <w:rPr>
          <w:noProof/>
          <w:color w:val="231F20"/>
          <w:spacing w:val="-2"/>
        </w:rPr>
      </w:pPr>
      <w:r w:rsidRPr="00DA41FA">
        <w:rPr>
          <w:noProof/>
          <w:color w:val="231F20"/>
          <w:spacing w:val="-2"/>
        </w:rPr>
        <w:t>These results demonstrate that AI-based hybrid frameworks are resilient against structural breaks and data noise — two common challenges in macroeconomic prediction.</w:t>
      </w:r>
    </w:p>
    <w:p w14:paraId="4019CA61" w14:textId="4BBE1E28" w:rsidR="00DA41FA" w:rsidRPr="00DA41FA" w:rsidRDefault="00DA41FA" w:rsidP="00DA41FA">
      <w:pPr>
        <w:pStyle w:val="BodyText"/>
        <w:spacing w:before="93" w:line="218" w:lineRule="auto"/>
        <w:rPr>
          <w:noProof/>
          <w:color w:val="231F20"/>
          <w:spacing w:val="-2"/>
        </w:rPr>
      </w:pPr>
      <w:r w:rsidRPr="00DA41FA">
        <w:rPr>
          <w:noProof/>
          <w:color w:val="231F20"/>
          <w:spacing w:val="-2"/>
        </w:rPr>
        <w:t>4.5 Policy Implications</w:t>
      </w:r>
    </w:p>
    <w:p w14:paraId="1AD3EDE5" w14:textId="5797C32A" w:rsidR="00DA41FA" w:rsidRPr="00DA41FA" w:rsidRDefault="00DA41FA" w:rsidP="00DA41FA">
      <w:pPr>
        <w:pStyle w:val="BodyText"/>
        <w:spacing w:before="93" w:line="218" w:lineRule="auto"/>
        <w:rPr>
          <w:noProof/>
          <w:color w:val="231F20"/>
          <w:spacing w:val="-2"/>
        </w:rPr>
      </w:pPr>
      <w:r w:rsidRPr="00DA41FA">
        <w:rPr>
          <w:noProof/>
          <w:color w:val="231F20"/>
          <w:spacing w:val="-2"/>
        </w:rPr>
        <w:t>The findings have several implications for monetary and fiscal authorities:</w:t>
      </w:r>
    </w:p>
    <w:p w14:paraId="5122446B" w14:textId="74270BE7" w:rsidR="00DA41FA" w:rsidRPr="00DA41FA" w:rsidRDefault="00DA41FA" w:rsidP="00DA41FA">
      <w:pPr>
        <w:pStyle w:val="BodyText"/>
        <w:spacing w:before="93" w:line="218" w:lineRule="auto"/>
        <w:rPr>
          <w:noProof/>
          <w:color w:val="231F20"/>
          <w:spacing w:val="-2"/>
        </w:rPr>
      </w:pPr>
      <w:r w:rsidRPr="00DA41FA">
        <w:rPr>
          <w:noProof/>
          <w:color w:val="231F20"/>
          <w:spacing w:val="-2"/>
        </w:rPr>
        <w:t>AI-based forecasts can serve as complementary tools to traditional models in central bank forecasting systems, especially for short-term inflation and unemployment monitoring.</w:t>
      </w:r>
    </w:p>
    <w:p w14:paraId="7CA09B04" w14:textId="1900A178" w:rsidR="00DA41FA" w:rsidRPr="00DA41FA" w:rsidRDefault="00DA41FA" w:rsidP="00DA41FA">
      <w:pPr>
        <w:pStyle w:val="BodyText"/>
        <w:spacing w:before="93" w:line="218" w:lineRule="auto"/>
        <w:rPr>
          <w:noProof/>
          <w:color w:val="231F20"/>
          <w:spacing w:val="-2"/>
        </w:rPr>
      </w:pPr>
      <w:r w:rsidRPr="00DA41FA">
        <w:rPr>
          <w:noProof/>
          <w:color w:val="231F20"/>
          <w:spacing w:val="-2"/>
        </w:rPr>
        <w:t>Hybrid AI–econometric frameworks preserve economic interpretability, making them suitable for policy briefings and scenario simulations.</w:t>
      </w:r>
    </w:p>
    <w:p w14:paraId="03E83722" w14:textId="192BDF67" w:rsidR="00DA41FA" w:rsidRPr="00DA41FA" w:rsidRDefault="00DA41FA" w:rsidP="00DA41FA">
      <w:pPr>
        <w:pStyle w:val="BodyText"/>
        <w:spacing w:before="93" w:line="218" w:lineRule="auto"/>
        <w:rPr>
          <w:noProof/>
          <w:color w:val="231F20"/>
          <w:spacing w:val="-2"/>
        </w:rPr>
      </w:pPr>
      <w:r w:rsidRPr="00DA41FA">
        <w:rPr>
          <w:noProof/>
          <w:color w:val="231F20"/>
          <w:spacing w:val="-2"/>
        </w:rPr>
        <w:t>The methodology can be extended to early-warning systems for macroeconomic instability or recession prediction, aiding policymakers in preemptive intervention.</w:t>
      </w:r>
    </w:p>
    <w:p w14:paraId="1D943D22" w14:textId="7022D10C" w:rsidR="00DA41FA" w:rsidRPr="00DA41FA" w:rsidRDefault="00DA41FA" w:rsidP="00DA41FA">
      <w:pPr>
        <w:pStyle w:val="BodyText"/>
        <w:spacing w:before="93" w:line="218" w:lineRule="auto"/>
        <w:rPr>
          <w:noProof/>
          <w:color w:val="231F20"/>
          <w:spacing w:val="-2"/>
        </w:rPr>
      </w:pPr>
      <w:r w:rsidRPr="00DA41FA">
        <w:rPr>
          <w:noProof/>
          <w:color w:val="231F20"/>
          <w:spacing w:val="-2"/>
        </w:rPr>
        <w:t>From a broader perspective, integrating deep learning into macroeconomic forecasting pipelines enhances not only predictive power but also the timeliness and adaptability of policy analytics in fast-changing environments</w:t>
      </w:r>
      <w:r w:rsidR="00B23CDB">
        <w:rPr>
          <w:noProof/>
          <w:color w:val="231F20"/>
          <w:spacing w:val="-2"/>
        </w:rPr>
        <w:t xml:space="preserve"> [20]</w:t>
      </w:r>
      <w:r w:rsidRPr="00DA41FA">
        <w:rPr>
          <w:noProof/>
          <w:color w:val="231F20"/>
          <w:spacing w:val="-2"/>
        </w:rPr>
        <w:t>.</w:t>
      </w:r>
    </w:p>
    <w:p w14:paraId="18F9735E" w14:textId="2C014DD8" w:rsidR="00065BF5" w:rsidRDefault="00DA41FA" w:rsidP="000F379F">
      <w:pPr>
        <w:pStyle w:val="BodyText"/>
        <w:spacing w:before="93" w:line="218" w:lineRule="auto"/>
      </w:pPr>
      <w:r w:rsidRPr="00DA41FA">
        <w:rPr>
          <w:noProof/>
          <w:color w:val="231F20"/>
          <w:spacing w:val="-2"/>
        </w:rPr>
        <w:t xml:space="preserve">4.6 </w:t>
      </w:r>
      <w:r w:rsidR="00741DFE" w:rsidRPr="00741DFE">
        <w:rPr>
          <w:color w:val="231F20"/>
        </w:rPr>
        <w:t xml:space="preserve">Conclusion </w:t>
      </w:r>
    </w:p>
    <w:p w14:paraId="0FA8A0FA" w14:textId="14434708" w:rsidR="00DA41FA" w:rsidRPr="00DA41FA" w:rsidRDefault="00DA41FA" w:rsidP="00FF56F9">
      <w:pPr>
        <w:pStyle w:val="Heading2"/>
        <w:rPr>
          <w:color w:val="231F20"/>
          <w:spacing w:val="-6"/>
          <w:sz w:val="20"/>
          <w:szCs w:val="20"/>
        </w:rPr>
      </w:pPr>
      <w:r w:rsidRPr="00DA41FA">
        <w:rPr>
          <w:color w:val="231F20"/>
          <w:spacing w:val="-6"/>
          <w:sz w:val="20"/>
          <w:szCs w:val="20"/>
        </w:rPr>
        <w:t>This study explored the application of Artificial Intelligence (AI) and Deep Learning (DL) methods in forecasting key macroeconomic indicators—inflation, GDP growth, and unemployment—across developed and emerging markets. Using a comprehensive dataset from the United States and Vietnam (2000–2024), we compared the performance of traditional econometric models (ARIMA, VAR) with modern AI-based approaches (LSTM, GRU, Transformer) and a novel hybrid VAR–LSTM framework.</w:t>
      </w:r>
    </w:p>
    <w:p w14:paraId="16AEA752" w14:textId="5471291E" w:rsidR="00DA41FA" w:rsidRPr="00DA41FA" w:rsidRDefault="00DA41FA" w:rsidP="00FF56F9">
      <w:pPr>
        <w:pStyle w:val="Heading2"/>
        <w:rPr>
          <w:color w:val="231F20"/>
          <w:spacing w:val="-6"/>
          <w:sz w:val="20"/>
          <w:szCs w:val="20"/>
        </w:rPr>
      </w:pPr>
      <w:r w:rsidRPr="00DA41FA">
        <w:rPr>
          <w:color w:val="231F20"/>
          <w:spacing w:val="-6"/>
          <w:sz w:val="20"/>
          <w:szCs w:val="20"/>
        </w:rPr>
        <w:t>Empirical results indicate that deep learning models, particularly the Hybrid VAR–LSTM, significantly outperform conventional econometric approaches in predictive accuracy, directional consistency, and robustness to structural shifts. These findings reaffirm the ability of AI models to capture complex nonlinear dynamics and multi-horizon dependencies inherent in macroeconomic systems. Importantly, the hybrid approach maintains interpretability, bridging the gap between economic theory and data-driven prediction.</w:t>
      </w:r>
    </w:p>
    <w:p w14:paraId="4555B41A" w14:textId="77777777" w:rsidR="00DA41FA" w:rsidRPr="00DA41FA" w:rsidRDefault="00DA41FA" w:rsidP="00DA41FA">
      <w:pPr>
        <w:pStyle w:val="Heading2"/>
        <w:rPr>
          <w:color w:val="231F20"/>
          <w:spacing w:val="-6"/>
          <w:sz w:val="20"/>
          <w:szCs w:val="20"/>
        </w:rPr>
      </w:pPr>
      <w:r w:rsidRPr="00DA41FA">
        <w:rPr>
          <w:color w:val="231F20"/>
          <w:spacing w:val="-6"/>
          <w:sz w:val="20"/>
          <w:szCs w:val="20"/>
        </w:rPr>
        <w:t>Furthermore, the study demonstrates that Transformers and LSTM networks exhibit strong adaptability under high volatility and limited data conditions—making them highly applicable to emerging markets, where economic structures evolve rapidly. The application of explainable AI (XAI) techniques such as SHAP and attention-weight visualization enhances model transparency, allowing policymakers to identify the key drivers behind forecasts and validate their economic coherence.</w:t>
      </w:r>
    </w:p>
    <w:p w14:paraId="03EB35F2" w14:textId="77777777" w:rsidR="00DA41FA" w:rsidRPr="00DA41FA" w:rsidRDefault="00DA41FA" w:rsidP="00DA41FA">
      <w:pPr>
        <w:pStyle w:val="Heading2"/>
        <w:rPr>
          <w:color w:val="231F20"/>
          <w:spacing w:val="-6"/>
          <w:sz w:val="20"/>
          <w:szCs w:val="20"/>
        </w:rPr>
      </w:pPr>
    </w:p>
    <w:p w14:paraId="057424F8" w14:textId="39037375" w:rsidR="00DA41FA" w:rsidRPr="00DA41FA" w:rsidRDefault="00DA41FA" w:rsidP="00FF56F9">
      <w:pPr>
        <w:pStyle w:val="Heading2"/>
        <w:rPr>
          <w:color w:val="231F20"/>
          <w:spacing w:val="-6"/>
          <w:sz w:val="20"/>
          <w:szCs w:val="20"/>
        </w:rPr>
      </w:pPr>
      <w:r w:rsidRPr="00DA41FA">
        <w:rPr>
          <w:color w:val="231F20"/>
          <w:spacing w:val="-6"/>
          <w:sz w:val="20"/>
          <w:szCs w:val="20"/>
        </w:rPr>
        <w:t>From a policy perspective, AI-based forecasting frameworks hold substantial potential to improve central bank forecasting systems, early warning mechanisms, and macroeconomic risk monitoring. They provide timely, high-frequency insights that traditional models often fail to deliver, thereby enhancing policy agility in uncertain global environments.</w:t>
      </w:r>
    </w:p>
    <w:p w14:paraId="4695B6EB" w14:textId="5CDA2D29" w:rsidR="00DA41FA" w:rsidRPr="00DA41FA" w:rsidRDefault="00DA41FA" w:rsidP="00FF56F9">
      <w:pPr>
        <w:pStyle w:val="Heading2"/>
        <w:rPr>
          <w:color w:val="231F20"/>
          <w:spacing w:val="-6"/>
          <w:sz w:val="20"/>
          <w:szCs w:val="20"/>
        </w:rPr>
      </w:pPr>
      <w:r w:rsidRPr="00DA41FA">
        <w:rPr>
          <w:color w:val="231F20"/>
          <w:spacing w:val="-6"/>
          <w:sz w:val="20"/>
          <w:szCs w:val="20"/>
        </w:rPr>
        <w:t>For future work, this research will extend toward multimodal and real-time macroeconomic forecasting, integrating textual data from central bank communications, global news, and social sentiment. Additionally, adopting transfer learning and federated learning approaches could allow model sharing across countries while preserving data privacy and national sovereignty.</w:t>
      </w:r>
    </w:p>
    <w:p w14:paraId="4486BAEE" w14:textId="26FD494B" w:rsidR="002927E4" w:rsidRDefault="00DA41FA" w:rsidP="00DA41FA">
      <w:pPr>
        <w:pStyle w:val="Heading2"/>
        <w:rPr>
          <w:color w:val="231F20"/>
          <w:spacing w:val="-6"/>
          <w:sz w:val="20"/>
          <w:szCs w:val="20"/>
        </w:rPr>
      </w:pPr>
      <w:r w:rsidRPr="00DA41FA">
        <w:rPr>
          <w:color w:val="231F20"/>
          <w:spacing w:val="-6"/>
          <w:sz w:val="20"/>
          <w:szCs w:val="20"/>
        </w:rPr>
        <w:t>In summary, the results provide both empirical evidence and methodological contributions to the growing literature on AI for macroeconomic forecasting—offering a pathway toward more adaptive, interpretable, and data-driven policy analytics in the digital economy era</w:t>
      </w:r>
      <w:r w:rsidR="00B05FF6" w:rsidRPr="00B05FF6">
        <w:rPr>
          <w:color w:val="231F20"/>
          <w:spacing w:val="-6"/>
          <w:sz w:val="20"/>
          <w:szCs w:val="20"/>
        </w:rPr>
        <w:t>.</w:t>
      </w:r>
    </w:p>
    <w:p w14:paraId="3A7D3AEC" w14:textId="77777777" w:rsidR="000F379F" w:rsidRPr="00DA41FA" w:rsidRDefault="000F379F" w:rsidP="000F379F">
      <w:pPr>
        <w:pStyle w:val="BodyText"/>
        <w:spacing w:before="93" w:line="218" w:lineRule="auto"/>
        <w:rPr>
          <w:noProof/>
          <w:color w:val="231F20"/>
          <w:spacing w:val="-2"/>
        </w:rPr>
      </w:pPr>
      <w:r w:rsidRPr="00DA41FA">
        <w:rPr>
          <w:noProof/>
          <w:color w:val="231F20"/>
          <w:spacing w:val="-2"/>
        </w:rPr>
        <w:lastRenderedPageBreak/>
        <w:t>Limitations and Future Work</w:t>
      </w:r>
    </w:p>
    <w:p w14:paraId="714A509D" w14:textId="77777777" w:rsidR="000F379F" w:rsidRPr="00DA41FA" w:rsidRDefault="000F379F" w:rsidP="000F379F">
      <w:pPr>
        <w:pStyle w:val="BodyText"/>
        <w:spacing w:before="93" w:line="218" w:lineRule="auto"/>
        <w:rPr>
          <w:noProof/>
          <w:color w:val="231F20"/>
          <w:spacing w:val="-2"/>
        </w:rPr>
      </w:pPr>
      <w:r w:rsidRPr="00DA41FA">
        <w:rPr>
          <w:noProof/>
          <w:color w:val="231F20"/>
          <w:spacing w:val="-2"/>
        </w:rPr>
        <w:t>Despite the encouraging results, this study faces several limitations:</w:t>
      </w:r>
    </w:p>
    <w:p w14:paraId="4B0391EB" w14:textId="77777777" w:rsidR="000F379F" w:rsidRPr="00DA41FA" w:rsidRDefault="000F379F" w:rsidP="000F379F">
      <w:pPr>
        <w:pStyle w:val="BodyText"/>
        <w:spacing w:before="93" w:line="218" w:lineRule="auto"/>
        <w:rPr>
          <w:noProof/>
          <w:color w:val="231F20"/>
          <w:spacing w:val="-2"/>
        </w:rPr>
      </w:pPr>
      <w:r w:rsidRPr="00DA41FA">
        <w:rPr>
          <w:noProof/>
          <w:color w:val="231F20"/>
          <w:spacing w:val="-2"/>
        </w:rPr>
        <w:t>Limited availability of high-frequency and cross-country consistent data, particularly in emerging economies.</w:t>
      </w:r>
    </w:p>
    <w:p w14:paraId="6301BA03" w14:textId="77777777" w:rsidR="000F379F" w:rsidRPr="00DA41FA" w:rsidRDefault="000F379F" w:rsidP="000F379F">
      <w:pPr>
        <w:pStyle w:val="BodyText"/>
        <w:spacing w:before="93" w:line="218" w:lineRule="auto"/>
        <w:rPr>
          <w:noProof/>
          <w:color w:val="231F20"/>
          <w:spacing w:val="-2"/>
        </w:rPr>
      </w:pPr>
      <w:r w:rsidRPr="00DA41FA">
        <w:rPr>
          <w:noProof/>
          <w:color w:val="231F20"/>
          <w:spacing w:val="-2"/>
        </w:rPr>
        <w:t>Model training is computationally intensive, especially for Transformer architectures.</w:t>
      </w:r>
    </w:p>
    <w:p w14:paraId="5449F688" w14:textId="77777777" w:rsidR="000F379F" w:rsidRPr="00DA41FA" w:rsidRDefault="000F379F" w:rsidP="000F379F">
      <w:pPr>
        <w:pStyle w:val="BodyText"/>
        <w:spacing w:before="93" w:line="218" w:lineRule="auto"/>
        <w:rPr>
          <w:noProof/>
          <w:color w:val="231F20"/>
          <w:spacing w:val="-2"/>
        </w:rPr>
      </w:pPr>
      <w:r w:rsidRPr="00DA41FA">
        <w:rPr>
          <w:noProof/>
          <w:color w:val="231F20"/>
          <w:spacing w:val="-2"/>
        </w:rPr>
        <w:t>Future research should explore multimodal data integration, incorporating text-based sentiment, policy announcements, or financial stress indices.</w:t>
      </w:r>
    </w:p>
    <w:p w14:paraId="34839965" w14:textId="77777777" w:rsidR="000F379F" w:rsidRDefault="000F379F" w:rsidP="000F379F">
      <w:pPr>
        <w:pStyle w:val="BodyText"/>
        <w:spacing w:before="93" w:line="218" w:lineRule="auto"/>
        <w:rPr>
          <w:noProof/>
          <w:color w:val="231F20"/>
          <w:spacing w:val="-2"/>
        </w:rPr>
        <w:sectPr w:rsidR="000F379F" w:rsidSect="002927E4">
          <w:type w:val="continuous"/>
          <w:pgSz w:w="11910" w:h="15310"/>
          <w:pgMar w:top="1540" w:right="1133" w:bottom="280" w:left="1275" w:header="714" w:footer="0" w:gutter="0"/>
          <w:cols w:space="680"/>
        </w:sectPr>
      </w:pPr>
      <w:r w:rsidRPr="00DA41FA">
        <w:rPr>
          <w:noProof/>
          <w:color w:val="231F20"/>
          <w:spacing w:val="-2"/>
        </w:rPr>
        <w:t>Future work will focus on expanding the dataset to cover more emerging markets, adopting transfer learning techniques to handle data scarcity, and developing explainable AI dashboards for use by central banks and economic research institutes.</w:t>
      </w:r>
    </w:p>
    <w:p w14:paraId="37A0974D" w14:textId="77777777" w:rsidR="000F379F" w:rsidRDefault="000F379F" w:rsidP="000F379F">
      <w:pPr>
        <w:pStyle w:val="Heading1"/>
        <w:tabs>
          <w:tab w:val="left" w:pos="343"/>
        </w:tabs>
        <w:spacing w:line="252" w:lineRule="auto"/>
        <w:ind w:left="0" w:right="1161" w:firstLine="0"/>
        <w:rPr>
          <w:color w:val="231F20"/>
        </w:rPr>
        <w:sectPr w:rsidR="000F379F" w:rsidSect="002927E4">
          <w:type w:val="continuous"/>
          <w:pgSz w:w="11910" w:h="15310"/>
          <w:pgMar w:top="1540" w:right="1133" w:bottom="280" w:left="1275" w:header="714" w:footer="0" w:gutter="0"/>
          <w:cols w:space="680"/>
        </w:sectPr>
      </w:pPr>
    </w:p>
    <w:p w14:paraId="0E6E99E4" w14:textId="77777777" w:rsidR="000F379F" w:rsidRDefault="000F379F" w:rsidP="00DA41FA">
      <w:pPr>
        <w:pStyle w:val="Heading2"/>
        <w:rPr>
          <w:color w:val="231F20"/>
          <w:spacing w:val="-6"/>
          <w:sz w:val="20"/>
          <w:szCs w:val="20"/>
        </w:rPr>
        <w:sectPr w:rsidR="000F379F" w:rsidSect="002927E4">
          <w:type w:val="continuous"/>
          <w:pgSz w:w="11910" w:h="15310"/>
          <w:pgMar w:top="1540" w:right="1133" w:bottom="280" w:left="1275" w:header="714" w:footer="0" w:gutter="0"/>
          <w:cols w:space="680"/>
        </w:sectPr>
      </w:pPr>
    </w:p>
    <w:p w14:paraId="375E5396" w14:textId="783C8351" w:rsidR="00B05FF6" w:rsidRDefault="00B05FF6" w:rsidP="00B05FF6">
      <w:pPr>
        <w:pStyle w:val="Heading2"/>
        <w:rPr>
          <w:color w:val="231F20"/>
          <w:spacing w:val="-6"/>
          <w:sz w:val="20"/>
          <w:szCs w:val="20"/>
        </w:rPr>
      </w:pPr>
    </w:p>
    <w:p w14:paraId="1815CE5F" w14:textId="77777777" w:rsidR="00170C1A" w:rsidRPr="00170C1A" w:rsidRDefault="00170C1A" w:rsidP="00170C1A">
      <w:pPr>
        <w:rPr>
          <w:highlight w:val="yellow"/>
        </w:rPr>
      </w:pPr>
      <w:r w:rsidRPr="00170C1A">
        <w:rPr>
          <w:highlight w:val="yellow"/>
        </w:rPr>
        <w:t>Disclaimer (Artificial intelligence)</w:t>
      </w:r>
    </w:p>
    <w:p w14:paraId="179ACEE8" w14:textId="77777777" w:rsidR="00170C1A" w:rsidRPr="00170C1A" w:rsidRDefault="00170C1A" w:rsidP="00170C1A">
      <w:pPr>
        <w:rPr>
          <w:highlight w:val="yellow"/>
        </w:rPr>
      </w:pPr>
      <w:r w:rsidRPr="00170C1A">
        <w:rPr>
          <w:highlight w:val="yellow"/>
        </w:rPr>
        <w:t xml:space="preserve">Option 1: </w:t>
      </w:r>
    </w:p>
    <w:p w14:paraId="29005D32" w14:textId="77777777" w:rsidR="00170C1A" w:rsidRPr="00170C1A" w:rsidRDefault="00170C1A" w:rsidP="00170C1A">
      <w:pPr>
        <w:rPr>
          <w:highlight w:val="yellow"/>
        </w:rPr>
      </w:pPr>
      <w:r w:rsidRPr="00170C1A">
        <w:rPr>
          <w:highlight w:val="yellow"/>
        </w:rPr>
        <w:t xml:space="preserve">Author(s) hereby declare that NO generative AI technologies such as Large Language Models (ChatGPT, COPILOT, etc.) and text-to-image generators have been used during the writing or editing of this manuscript. </w:t>
      </w:r>
    </w:p>
    <w:p w14:paraId="0E040283" w14:textId="77777777" w:rsidR="00170C1A" w:rsidRPr="00170C1A" w:rsidRDefault="00170C1A" w:rsidP="00170C1A">
      <w:pPr>
        <w:rPr>
          <w:highlight w:val="yellow"/>
        </w:rPr>
      </w:pPr>
      <w:r w:rsidRPr="00170C1A">
        <w:rPr>
          <w:highlight w:val="yellow"/>
        </w:rPr>
        <w:t xml:space="preserve">Option 2: </w:t>
      </w:r>
    </w:p>
    <w:p w14:paraId="6323D11E" w14:textId="77777777" w:rsidR="00170C1A" w:rsidRDefault="00170C1A" w:rsidP="00170C1A">
      <w:pPr>
        <w:rPr>
          <w:highlight w:val="yellow"/>
        </w:rPr>
      </w:pPr>
      <w:r w:rsidRPr="00170C1A">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w:t>
      </w:r>
    </w:p>
    <w:p w14:paraId="3D1FDC3E" w14:textId="77777777" w:rsidR="00170C1A" w:rsidRDefault="00170C1A" w:rsidP="00170C1A">
      <w:pPr>
        <w:rPr>
          <w:highlight w:val="yellow"/>
        </w:rPr>
      </w:pPr>
    </w:p>
    <w:p w14:paraId="63C807A0" w14:textId="77777777" w:rsidR="00170C1A" w:rsidRDefault="00170C1A" w:rsidP="00170C1A">
      <w:pPr>
        <w:rPr>
          <w:highlight w:val="yellow"/>
        </w:rPr>
      </w:pPr>
    </w:p>
    <w:p w14:paraId="31DA04D4" w14:textId="77777777" w:rsidR="00170C1A" w:rsidRDefault="00170C1A" w:rsidP="00170C1A">
      <w:pPr>
        <w:rPr>
          <w:highlight w:val="yellow"/>
        </w:rPr>
      </w:pPr>
    </w:p>
    <w:p w14:paraId="2CFE43FE" w14:textId="77777777" w:rsidR="00170C1A" w:rsidRDefault="00170C1A" w:rsidP="00170C1A">
      <w:pPr>
        <w:rPr>
          <w:highlight w:val="yellow"/>
        </w:rPr>
      </w:pPr>
    </w:p>
    <w:p w14:paraId="12CA8E32" w14:textId="77777777" w:rsidR="00170C1A" w:rsidRDefault="00170C1A" w:rsidP="00170C1A">
      <w:pPr>
        <w:rPr>
          <w:highlight w:val="yellow"/>
        </w:rPr>
      </w:pPr>
    </w:p>
    <w:p w14:paraId="2D6A3E38" w14:textId="77777777" w:rsidR="00170C1A" w:rsidRDefault="00170C1A" w:rsidP="00170C1A">
      <w:pPr>
        <w:rPr>
          <w:highlight w:val="yellow"/>
        </w:rPr>
      </w:pPr>
    </w:p>
    <w:p w14:paraId="70DA2BA5" w14:textId="77777777" w:rsidR="00170C1A" w:rsidRDefault="00170C1A" w:rsidP="00170C1A">
      <w:pPr>
        <w:rPr>
          <w:highlight w:val="yellow"/>
        </w:rPr>
      </w:pPr>
    </w:p>
    <w:p w14:paraId="4F969E6B" w14:textId="77777777" w:rsidR="00170C1A" w:rsidRDefault="00170C1A" w:rsidP="00170C1A">
      <w:pPr>
        <w:rPr>
          <w:highlight w:val="yellow"/>
        </w:rPr>
      </w:pPr>
    </w:p>
    <w:p w14:paraId="4F9605BD" w14:textId="77777777" w:rsidR="00170C1A" w:rsidRDefault="00170C1A" w:rsidP="00170C1A">
      <w:pPr>
        <w:rPr>
          <w:highlight w:val="yellow"/>
        </w:rPr>
      </w:pPr>
    </w:p>
    <w:p w14:paraId="0EB06DD5" w14:textId="77777777" w:rsidR="00170C1A" w:rsidRDefault="00170C1A" w:rsidP="00170C1A">
      <w:pPr>
        <w:rPr>
          <w:highlight w:val="yellow"/>
        </w:rPr>
      </w:pPr>
    </w:p>
    <w:p w14:paraId="4AE109AC" w14:textId="4966FACD" w:rsidR="00170C1A" w:rsidRPr="00170C1A" w:rsidRDefault="00170C1A" w:rsidP="00170C1A">
      <w:pPr>
        <w:rPr>
          <w:highlight w:val="yellow"/>
        </w:rPr>
      </w:pPr>
      <w:r w:rsidRPr="00170C1A">
        <w:rPr>
          <w:highlight w:val="yellow"/>
        </w:rPr>
        <w:t>technology and as well as all input prompts provided to the generative AI technology</w:t>
      </w:r>
    </w:p>
    <w:p w14:paraId="363CDA29" w14:textId="77777777" w:rsidR="00170C1A" w:rsidRPr="00170C1A" w:rsidRDefault="00170C1A" w:rsidP="00170C1A">
      <w:pPr>
        <w:rPr>
          <w:highlight w:val="yellow"/>
        </w:rPr>
      </w:pPr>
      <w:r w:rsidRPr="00170C1A">
        <w:rPr>
          <w:highlight w:val="yellow"/>
        </w:rPr>
        <w:t>Details of the AI usage are given below:</w:t>
      </w:r>
    </w:p>
    <w:p w14:paraId="578A2618" w14:textId="77777777" w:rsidR="00170C1A" w:rsidRPr="00170C1A" w:rsidRDefault="00170C1A" w:rsidP="00170C1A">
      <w:pPr>
        <w:rPr>
          <w:highlight w:val="yellow"/>
        </w:rPr>
      </w:pPr>
      <w:r w:rsidRPr="00170C1A">
        <w:rPr>
          <w:highlight w:val="yellow"/>
        </w:rPr>
        <w:t>1.</w:t>
      </w:r>
    </w:p>
    <w:p w14:paraId="69E44055" w14:textId="77777777" w:rsidR="00170C1A" w:rsidRPr="00170C1A" w:rsidRDefault="00170C1A" w:rsidP="00170C1A">
      <w:pPr>
        <w:rPr>
          <w:highlight w:val="yellow"/>
        </w:rPr>
      </w:pPr>
      <w:r w:rsidRPr="00170C1A">
        <w:rPr>
          <w:highlight w:val="yellow"/>
        </w:rPr>
        <w:t>2.</w:t>
      </w:r>
    </w:p>
    <w:p w14:paraId="7484E002" w14:textId="77777777" w:rsidR="00170C1A" w:rsidRPr="0053103C" w:rsidRDefault="00170C1A" w:rsidP="00170C1A">
      <w:r w:rsidRPr="00170C1A">
        <w:rPr>
          <w:highlight w:val="yellow"/>
        </w:rPr>
        <w:t>3.</w:t>
      </w:r>
    </w:p>
    <w:p w14:paraId="387CFFDA" w14:textId="77777777" w:rsidR="00170C1A" w:rsidRDefault="00170C1A" w:rsidP="00B05FF6">
      <w:pPr>
        <w:pStyle w:val="Heading2"/>
        <w:rPr>
          <w:color w:val="231F20"/>
          <w:spacing w:val="-6"/>
          <w:sz w:val="20"/>
          <w:szCs w:val="20"/>
        </w:rPr>
      </w:pPr>
    </w:p>
    <w:p w14:paraId="1997BAB9" w14:textId="77777777" w:rsidR="00170C1A" w:rsidRDefault="00170C1A" w:rsidP="00B05FF6">
      <w:pPr>
        <w:pStyle w:val="Heading2"/>
        <w:rPr>
          <w:color w:val="231F20"/>
          <w:spacing w:val="-6"/>
          <w:sz w:val="20"/>
          <w:szCs w:val="20"/>
        </w:rPr>
      </w:pPr>
    </w:p>
    <w:p w14:paraId="5D9E96BC" w14:textId="77777777" w:rsidR="00170C1A" w:rsidRDefault="00170C1A" w:rsidP="00B05FF6">
      <w:pPr>
        <w:pStyle w:val="Heading2"/>
        <w:rPr>
          <w:color w:val="231F20"/>
          <w:spacing w:val="-6"/>
          <w:sz w:val="20"/>
          <w:szCs w:val="20"/>
        </w:rPr>
      </w:pPr>
    </w:p>
    <w:p w14:paraId="0FF10676" w14:textId="77777777" w:rsidR="00170C1A" w:rsidRDefault="00170C1A" w:rsidP="00B05FF6">
      <w:pPr>
        <w:pStyle w:val="Heading2"/>
        <w:rPr>
          <w:color w:val="231F20"/>
          <w:spacing w:val="-6"/>
          <w:sz w:val="20"/>
          <w:szCs w:val="20"/>
        </w:rPr>
      </w:pPr>
    </w:p>
    <w:p w14:paraId="65AC250A" w14:textId="77777777" w:rsidR="00170C1A" w:rsidRDefault="00170C1A" w:rsidP="00B05FF6">
      <w:pPr>
        <w:pStyle w:val="Heading2"/>
        <w:rPr>
          <w:color w:val="231F20"/>
          <w:spacing w:val="-6"/>
          <w:sz w:val="20"/>
          <w:szCs w:val="20"/>
        </w:rPr>
      </w:pPr>
    </w:p>
    <w:p w14:paraId="29D86F95" w14:textId="77777777" w:rsidR="00CA631D" w:rsidRDefault="00CA631D" w:rsidP="00B05FF6">
      <w:pPr>
        <w:pStyle w:val="Heading2"/>
        <w:rPr>
          <w:color w:val="231F20"/>
          <w:spacing w:val="-6"/>
          <w:sz w:val="20"/>
          <w:szCs w:val="20"/>
        </w:rPr>
      </w:pPr>
    </w:p>
    <w:p w14:paraId="25C0194F" w14:textId="77777777" w:rsidR="00CA631D" w:rsidRDefault="00CA631D" w:rsidP="00B05FF6">
      <w:pPr>
        <w:pStyle w:val="Heading2"/>
        <w:rPr>
          <w:b/>
          <w:color w:val="231F20"/>
          <w:sz w:val="28"/>
        </w:rPr>
        <w:sectPr w:rsidR="00CA631D" w:rsidSect="00952BB9">
          <w:type w:val="continuous"/>
          <w:pgSz w:w="11910" w:h="15310"/>
          <w:pgMar w:top="1540" w:right="1133" w:bottom="280" w:left="1275" w:header="714" w:footer="0" w:gutter="0"/>
          <w:cols w:num="2" w:space="680"/>
        </w:sectPr>
      </w:pPr>
    </w:p>
    <w:p w14:paraId="1F61A6BB" w14:textId="6F3D8264" w:rsidR="002E30F0" w:rsidRPr="00CC6C96" w:rsidRDefault="002E30F0" w:rsidP="00B05FF6">
      <w:pPr>
        <w:pStyle w:val="Heading2"/>
        <w:rPr>
          <w:b/>
          <w:color w:val="231F20"/>
          <w:sz w:val="28"/>
        </w:rPr>
      </w:pPr>
      <w:r w:rsidRPr="00CC6C96">
        <w:rPr>
          <w:b/>
          <w:color w:val="231F20"/>
          <w:sz w:val="28"/>
        </w:rPr>
        <w:t>References</w:t>
      </w:r>
    </w:p>
    <w:p w14:paraId="6894E7F0" w14:textId="77777777" w:rsidR="008D62D8" w:rsidRDefault="008D62D8" w:rsidP="00D5349D">
      <w:pPr>
        <w:pStyle w:val="Heading2"/>
        <w:ind w:left="388"/>
        <w:rPr>
          <w:color w:val="231F20"/>
        </w:rPr>
        <w:sectPr w:rsidR="008D62D8" w:rsidSect="00952BB9">
          <w:type w:val="continuous"/>
          <w:pgSz w:w="11910" w:h="15310"/>
          <w:pgMar w:top="1540" w:right="1133" w:bottom="280" w:left="1275" w:header="714" w:footer="0" w:gutter="0"/>
          <w:cols w:num="2" w:space="680"/>
        </w:sectPr>
      </w:pPr>
    </w:p>
    <w:p w14:paraId="220561C7" w14:textId="3A46F9AC" w:rsidR="00D224D0" w:rsidRPr="00D224D0" w:rsidRDefault="00D224D0" w:rsidP="00D224D0">
      <w:pPr>
        <w:pStyle w:val="Heading2"/>
        <w:ind w:left="388"/>
        <w:rPr>
          <w:color w:val="231F20"/>
        </w:rPr>
      </w:pPr>
      <w:r w:rsidRPr="00D224D0">
        <w:rPr>
          <w:color w:val="231F20"/>
        </w:rPr>
        <w:t xml:space="preserve"> [1] </w:t>
      </w:r>
      <w:r w:rsidR="00A44FC9">
        <w:rPr>
          <w:rFonts w:ascii="Arial" w:hAnsi="Arial" w:cs="Arial"/>
          <w:color w:val="222222"/>
          <w:sz w:val="20"/>
          <w:szCs w:val="20"/>
          <w:shd w:val="clear" w:color="auto" w:fill="FFFFFF"/>
        </w:rPr>
        <w:t xml:space="preserve">Box, G. E., Jenkins, G. M., </w:t>
      </w:r>
      <w:proofErr w:type="spellStart"/>
      <w:r w:rsidR="00A44FC9">
        <w:rPr>
          <w:rFonts w:ascii="Arial" w:hAnsi="Arial" w:cs="Arial"/>
          <w:color w:val="222222"/>
          <w:sz w:val="20"/>
          <w:szCs w:val="20"/>
          <w:shd w:val="clear" w:color="auto" w:fill="FFFFFF"/>
        </w:rPr>
        <w:t>Reinsel</w:t>
      </w:r>
      <w:proofErr w:type="spellEnd"/>
      <w:r w:rsidR="00A44FC9">
        <w:rPr>
          <w:rFonts w:ascii="Arial" w:hAnsi="Arial" w:cs="Arial"/>
          <w:color w:val="222222"/>
          <w:sz w:val="20"/>
          <w:szCs w:val="20"/>
          <w:shd w:val="clear" w:color="auto" w:fill="FFFFFF"/>
        </w:rPr>
        <w:t xml:space="preserve">, G. C., &amp; </w:t>
      </w:r>
      <w:proofErr w:type="spellStart"/>
      <w:r w:rsidR="00A44FC9">
        <w:rPr>
          <w:rFonts w:ascii="Arial" w:hAnsi="Arial" w:cs="Arial"/>
          <w:color w:val="222222"/>
          <w:sz w:val="20"/>
          <w:szCs w:val="20"/>
          <w:shd w:val="clear" w:color="auto" w:fill="FFFFFF"/>
        </w:rPr>
        <w:t>Ljung</w:t>
      </w:r>
      <w:proofErr w:type="spellEnd"/>
      <w:r w:rsidR="00A44FC9">
        <w:rPr>
          <w:rFonts w:ascii="Arial" w:hAnsi="Arial" w:cs="Arial"/>
          <w:color w:val="222222"/>
          <w:sz w:val="20"/>
          <w:szCs w:val="20"/>
          <w:shd w:val="clear" w:color="auto" w:fill="FFFFFF"/>
        </w:rPr>
        <w:t>, G. M. (2015). </w:t>
      </w:r>
      <w:r w:rsidR="00A44FC9">
        <w:rPr>
          <w:rFonts w:ascii="Arial" w:hAnsi="Arial" w:cs="Arial"/>
          <w:i/>
          <w:iCs/>
          <w:color w:val="222222"/>
          <w:sz w:val="20"/>
          <w:szCs w:val="20"/>
          <w:shd w:val="clear" w:color="auto" w:fill="FFFFFF"/>
        </w:rPr>
        <w:t>Time series analysis: forecasting and control</w:t>
      </w:r>
      <w:r w:rsidR="00A44FC9">
        <w:rPr>
          <w:rFonts w:ascii="Arial" w:hAnsi="Arial" w:cs="Arial"/>
          <w:color w:val="222222"/>
          <w:sz w:val="20"/>
          <w:szCs w:val="20"/>
          <w:shd w:val="clear" w:color="auto" w:fill="FFFFFF"/>
        </w:rPr>
        <w:t>. John Wiley &amp; Sons.</w:t>
      </w:r>
    </w:p>
    <w:p w14:paraId="5A8C4A92" w14:textId="5754B4C4" w:rsidR="00D224D0" w:rsidRPr="00D224D0" w:rsidRDefault="00D224D0" w:rsidP="00D224D0">
      <w:pPr>
        <w:pStyle w:val="Heading2"/>
        <w:ind w:left="388"/>
        <w:rPr>
          <w:color w:val="231F20"/>
        </w:rPr>
      </w:pPr>
      <w:r w:rsidRPr="00D224D0">
        <w:rPr>
          <w:color w:val="231F20"/>
        </w:rPr>
        <w:t>[2] Hamilton, J. D. (1994). Time Series Analysis. Princeton University Press.</w:t>
      </w:r>
    </w:p>
    <w:p w14:paraId="7E6F9E12" w14:textId="2E2A93C9" w:rsidR="00D224D0" w:rsidRPr="00D224D0" w:rsidRDefault="00D224D0" w:rsidP="00D224D0">
      <w:pPr>
        <w:pStyle w:val="Heading2"/>
        <w:ind w:left="388"/>
        <w:rPr>
          <w:color w:val="231F20"/>
        </w:rPr>
      </w:pPr>
      <w:r w:rsidRPr="00D224D0">
        <w:rPr>
          <w:color w:val="231F20"/>
        </w:rPr>
        <w:t xml:space="preserve">[3] Engle, R. (1982). Autoregressive Conditional Heteroskedasticity with Estimates of the Variance of United Kingdom Inflation. </w:t>
      </w:r>
      <w:proofErr w:type="spellStart"/>
      <w:r w:rsidRPr="00D224D0">
        <w:rPr>
          <w:color w:val="231F20"/>
        </w:rPr>
        <w:t>Econometrica</w:t>
      </w:r>
      <w:proofErr w:type="spellEnd"/>
      <w:r w:rsidRPr="00D224D0">
        <w:rPr>
          <w:color w:val="231F20"/>
        </w:rPr>
        <w:t>, 50(4), 987–1007</w:t>
      </w:r>
      <w:r>
        <w:rPr>
          <w:color w:val="231F20"/>
        </w:rPr>
        <w:t>.</w:t>
      </w:r>
    </w:p>
    <w:p w14:paraId="54A3168F" w14:textId="2A7A3AB2" w:rsidR="00D224D0" w:rsidRPr="00D224D0" w:rsidRDefault="00D224D0" w:rsidP="00D224D0">
      <w:pPr>
        <w:pStyle w:val="Heading2"/>
        <w:ind w:left="388"/>
        <w:rPr>
          <w:color w:val="231F20"/>
        </w:rPr>
      </w:pPr>
      <w:r w:rsidRPr="00D224D0">
        <w:rPr>
          <w:color w:val="231F20"/>
        </w:rPr>
        <w:t xml:space="preserve">[4] Sims, C. (1980). Macroeconomics and Reality. </w:t>
      </w:r>
      <w:proofErr w:type="spellStart"/>
      <w:r w:rsidRPr="00D224D0">
        <w:rPr>
          <w:color w:val="231F20"/>
        </w:rPr>
        <w:t>Econometrica</w:t>
      </w:r>
      <w:proofErr w:type="spellEnd"/>
      <w:r w:rsidRPr="00D224D0">
        <w:rPr>
          <w:color w:val="231F20"/>
        </w:rPr>
        <w:t>, 48(1), 1–48.</w:t>
      </w:r>
    </w:p>
    <w:p w14:paraId="534ABE5B" w14:textId="5A5256F1" w:rsidR="00D224D0" w:rsidRPr="00D224D0" w:rsidRDefault="00D224D0" w:rsidP="00D224D0">
      <w:pPr>
        <w:pStyle w:val="Heading2"/>
        <w:ind w:left="388"/>
        <w:rPr>
          <w:color w:val="231F20"/>
        </w:rPr>
      </w:pPr>
      <w:r w:rsidRPr="00D224D0">
        <w:rPr>
          <w:color w:val="231F20"/>
        </w:rPr>
        <w:t xml:space="preserve">[5] </w:t>
      </w:r>
      <w:r w:rsidR="00A44FC9">
        <w:rPr>
          <w:rFonts w:ascii="Arial" w:hAnsi="Arial" w:cs="Arial"/>
          <w:color w:val="222222"/>
          <w:sz w:val="20"/>
          <w:szCs w:val="20"/>
          <w:shd w:val="clear" w:color="auto" w:fill="FFFFFF"/>
        </w:rPr>
        <w:t xml:space="preserve">Kilian, L. (2006). NEW INTRODUCTION TO MULTIPLE TIME SERIES ANALYSIS, by Helmut </w:t>
      </w:r>
      <w:proofErr w:type="spellStart"/>
      <w:r w:rsidR="00A44FC9">
        <w:rPr>
          <w:rFonts w:ascii="Arial" w:hAnsi="Arial" w:cs="Arial"/>
          <w:color w:val="222222"/>
          <w:sz w:val="20"/>
          <w:szCs w:val="20"/>
          <w:shd w:val="clear" w:color="auto" w:fill="FFFFFF"/>
        </w:rPr>
        <w:t>Lütkepohl</w:t>
      </w:r>
      <w:proofErr w:type="spellEnd"/>
      <w:r w:rsidR="00A44FC9">
        <w:rPr>
          <w:rFonts w:ascii="Arial" w:hAnsi="Arial" w:cs="Arial"/>
          <w:color w:val="222222"/>
          <w:sz w:val="20"/>
          <w:szCs w:val="20"/>
          <w:shd w:val="clear" w:color="auto" w:fill="FFFFFF"/>
        </w:rPr>
        <w:t>, Springer, 2005. </w:t>
      </w:r>
      <w:r w:rsidR="00A44FC9">
        <w:rPr>
          <w:rFonts w:ascii="Arial" w:hAnsi="Arial" w:cs="Arial"/>
          <w:i/>
          <w:iCs/>
          <w:color w:val="222222"/>
          <w:sz w:val="20"/>
          <w:szCs w:val="20"/>
          <w:shd w:val="clear" w:color="auto" w:fill="FFFFFF"/>
        </w:rPr>
        <w:t>Econometric theory</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22</w:t>
      </w:r>
      <w:r w:rsidR="00A44FC9">
        <w:rPr>
          <w:rFonts w:ascii="Arial" w:hAnsi="Arial" w:cs="Arial"/>
          <w:color w:val="222222"/>
          <w:sz w:val="20"/>
          <w:szCs w:val="20"/>
          <w:shd w:val="clear" w:color="auto" w:fill="FFFFFF"/>
        </w:rPr>
        <w:t>(5), 961-967.</w:t>
      </w:r>
    </w:p>
    <w:p w14:paraId="37C6E7C1" w14:textId="3210F74F" w:rsidR="00D224D0" w:rsidRPr="00D224D0" w:rsidRDefault="00D224D0" w:rsidP="00D224D0">
      <w:pPr>
        <w:pStyle w:val="Heading2"/>
        <w:ind w:left="388"/>
        <w:rPr>
          <w:color w:val="231F20"/>
        </w:rPr>
      </w:pPr>
      <w:r w:rsidRPr="00D224D0">
        <w:rPr>
          <w:color w:val="231F20"/>
        </w:rPr>
        <w:t xml:space="preserve">[6] </w:t>
      </w:r>
      <w:r w:rsidR="00A44FC9">
        <w:rPr>
          <w:rFonts w:ascii="Arial" w:hAnsi="Arial" w:cs="Arial"/>
          <w:color w:val="222222"/>
          <w:sz w:val="20"/>
          <w:szCs w:val="20"/>
          <w:shd w:val="clear" w:color="auto" w:fill="FFFFFF"/>
        </w:rPr>
        <w:t>Diebold, F. X., &amp; Mariano, R. S. (2002). Comparing predictive accuracy. </w:t>
      </w:r>
      <w:r w:rsidR="00A44FC9">
        <w:rPr>
          <w:rFonts w:ascii="Arial" w:hAnsi="Arial" w:cs="Arial"/>
          <w:i/>
          <w:iCs/>
          <w:color w:val="222222"/>
          <w:sz w:val="20"/>
          <w:szCs w:val="20"/>
          <w:shd w:val="clear" w:color="auto" w:fill="FFFFFF"/>
        </w:rPr>
        <w:t xml:space="preserve">Journal of Business &amp; </w:t>
      </w:r>
      <w:r w:rsidR="00A44FC9">
        <w:rPr>
          <w:rFonts w:ascii="Arial" w:hAnsi="Arial" w:cs="Arial"/>
          <w:i/>
          <w:iCs/>
          <w:color w:val="222222"/>
          <w:sz w:val="20"/>
          <w:szCs w:val="20"/>
          <w:shd w:val="clear" w:color="auto" w:fill="FFFFFF"/>
        </w:rPr>
        <w:lastRenderedPageBreak/>
        <w:t>economic statistics</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20</w:t>
      </w:r>
      <w:r w:rsidR="00A44FC9">
        <w:rPr>
          <w:rFonts w:ascii="Arial" w:hAnsi="Arial" w:cs="Arial"/>
          <w:color w:val="222222"/>
          <w:sz w:val="20"/>
          <w:szCs w:val="20"/>
          <w:shd w:val="clear" w:color="auto" w:fill="FFFFFF"/>
        </w:rPr>
        <w:t>(1), 134-144.</w:t>
      </w:r>
    </w:p>
    <w:p w14:paraId="27E262DE" w14:textId="72B24158" w:rsidR="00D224D0" w:rsidRPr="00D224D0" w:rsidRDefault="00D224D0" w:rsidP="00D224D0">
      <w:pPr>
        <w:pStyle w:val="Heading2"/>
        <w:ind w:left="388"/>
        <w:rPr>
          <w:color w:val="231F20"/>
        </w:rPr>
      </w:pPr>
      <w:r w:rsidRPr="00D224D0">
        <w:rPr>
          <w:color w:val="231F20"/>
        </w:rPr>
        <w:t xml:space="preserve">[7] </w:t>
      </w:r>
      <w:proofErr w:type="spellStart"/>
      <w:r w:rsidRPr="00D224D0">
        <w:rPr>
          <w:color w:val="231F20"/>
        </w:rPr>
        <w:t>Hochreiter</w:t>
      </w:r>
      <w:proofErr w:type="spellEnd"/>
      <w:r w:rsidRPr="00D224D0">
        <w:rPr>
          <w:color w:val="231F20"/>
        </w:rPr>
        <w:t xml:space="preserve">, S., &amp; </w:t>
      </w:r>
      <w:proofErr w:type="spellStart"/>
      <w:r w:rsidRPr="00D224D0">
        <w:rPr>
          <w:color w:val="231F20"/>
        </w:rPr>
        <w:t>Schmidhuber</w:t>
      </w:r>
      <w:proofErr w:type="spellEnd"/>
      <w:r w:rsidRPr="00D224D0">
        <w:rPr>
          <w:color w:val="231F20"/>
        </w:rPr>
        <w:t>, J. (1997). Long Short-Term Memory. Neural Computation, 9(8), 1735–1780.</w:t>
      </w:r>
    </w:p>
    <w:p w14:paraId="62EC3669" w14:textId="3B81B6C5" w:rsidR="00D224D0" w:rsidRPr="00D224D0" w:rsidRDefault="00D224D0" w:rsidP="00D224D0">
      <w:pPr>
        <w:pStyle w:val="Heading2"/>
        <w:ind w:left="388"/>
        <w:rPr>
          <w:color w:val="231F20"/>
        </w:rPr>
      </w:pPr>
      <w:r w:rsidRPr="00D224D0">
        <w:rPr>
          <w:color w:val="231F20"/>
        </w:rPr>
        <w:t>[8] Vaswani, A., et al. (2017). Attention Is All You Need. Advances in Neural Information Processing Systems (</w:t>
      </w:r>
      <w:proofErr w:type="spellStart"/>
      <w:r w:rsidRPr="00D224D0">
        <w:rPr>
          <w:color w:val="231F20"/>
        </w:rPr>
        <w:t>NeurIPS</w:t>
      </w:r>
      <w:proofErr w:type="spellEnd"/>
      <w:r w:rsidRPr="00D224D0">
        <w:rPr>
          <w:color w:val="231F20"/>
        </w:rPr>
        <w:t>), 5998–6008.</w:t>
      </w:r>
    </w:p>
    <w:p w14:paraId="0E3A82E0" w14:textId="3437E57F" w:rsidR="00D224D0" w:rsidRPr="00D224D0" w:rsidRDefault="00D224D0" w:rsidP="00D224D0">
      <w:pPr>
        <w:pStyle w:val="Heading2"/>
        <w:ind w:left="388"/>
        <w:rPr>
          <w:color w:val="231F20"/>
        </w:rPr>
      </w:pPr>
      <w:r w:rsidRPr="004A11E2">
        <w:rPr>
          <w:color w:val="231F20"/>
          <w:lang w:val="nl-BE"/>
        </w:rPr>
        <w:t xml:space="preserve">[9] Makridakis, S., Spiliotis, E., &amp; Assimakopoulos, V. (2018). </w:t>
      </w:r>
      <w:r w:rsidRPr="00D224D0">
        <w:rPr>
          <w:color w:val="231F20"/>
        </w:rPr>
        <w:t xml:space="preserve">Statistical and Machine Learning Forecasting Methods: Concerns and Ways Forward. </w:t>
      </w:r>
      <w:proofErr w:type="spellStart"/>
      <w:r w:rsidRPr="00D224D0">
        <w:rPr>
          <w:color w:val="231F20"/>
        </w:rPr>
        <w:t>PLoS</w:t>
      </w:r>
      <w:proofErr w:type="spellEnd"/>
      <w:r w:rsidRPr="00D224D0">
        <w:rPr>
          <w:color w:val="231F20"/>
        </w:rPr>
        <w:t xml:space="preserve"> ONE, 13(3), e0194889.</w:t>
      </w:r>
    </w:p>
    <w:p w14:paraId="349C8744" w14:textId="3CF85C84" w:rsidR="00D224D0" w:rsidRPr="00D224D0" w:rsidRDefault="00D224D0" w:rsidP="00D224D0">
      <w:pPr>
        <w:pStyle w:val="Heading2"/>
        <w:ind w:left="388"/>
        <w:rPr>
          <w:color w:val="231F20"/>
        </w:rPr>
      </w:pPr>
      <w:r w:rsidRPr="007B4EA4">
        <w:rPr>
          <w:color w:val="231F20"/>
          <w:highlight w:val="red"/>
        </w:rPr>
        <w:t xml:space="preserve">[10] </w:t>
      </w:r>
      <w:proofErr w:type="spellStart"/>
      <w:r w:rsidR="00A44FC9">
        <w:rPr>
          <w:rFonts w:ascii="Arial" w:hAnsi="Arial" w:cs="Arial"/>
          <w:color w:val="222222"/>
          <w:sz w:val="20"/>
          <w:szCs w:val="20"/>
          <w:shd w:val="clear" w:color="auto" w:fill="FFFFFF"/>
        </w:rPr>
        <w:t>Smalter</w:t>
      </w:r>
      <w:proofErr w:type="spellEnd"/>
      <w:r w:rsidR="00A44FC9">
        <w:rPr>
          <w:rFonts w:ascii="Arial" w:hAnsi="Arial" w:cs="Arial"/>
          <w:color w:val="222222"/>
          <w:sz w:val="20"/>
          <w:szCs w:val="20"/>
          <w:shd w:val="clear" w:color="auto" w:fill="FFFFFF"/>
        </w:rPr>
        <w:t xml:space="preserve"> Hall, A., &amp; Cook, T. R. (2017). Macroeconomic indicator forecasting with deep neural networks. </w:t>
      </w:r>
      <w:r w:rsidR="00A44FC9">
        <w:rPr>
          <w:rFonts w:ascii="Arial" w:hAnsi="Arial" w:cs="Arial"/>
          <w:i/>
          <w:iCs/>
          <w:color w:val="222222"/>
          <w:sz w:val="20"/>
          <w:szCs w:val="20"/>
          <w:shd w:val="clear" w:color="auto" w:fill="FFFFFF"/>
        </w:rPr>
        <w:t>Federal reserve bank of Kansas City working paper</w:t>
      </w:r>
      <w:r w:rsidR="00A44FC9">
        <w:rPr>
          <w:rFonts w:ascii="Arial" w:hAnsi="Arial" w:cs="Arial"/>
          <w:color w:val="222222"/>
          <w:sz w:val="20"/>
          <w:szCs w:val="20"/>
          <w:shd w:val="clear" w:color="auto" w:fill="FFFFFF"/>
        </w:rPr>
        <w:t>, (17-11).</w:t>
      </w:r>
    </w:p>
    <w:p w14:paraId="3A5381BE" w14:textId="30A53AE1" w:rsidR="00A44FC9" w:rsidRPr="00A44FC9" w:rsidRDefault="00D224D0" w:rsidP="00A44FC9">
      <w:pPr>
        <w:pStyle w:val="Heading2"/>
        <w:ind w:left="388"/>
        <w:rPr>
          <w:rFonts w:ascii="Arial" w:hAnsi="Arial" w:cs="Arial"/>
          <w:color w:val="222222"/>
          <w:sz w:val="20"/>
          <w:szCs w:val="20"/>
          <w:shd w:val="clear" w:color="auto" w:fill="FFFFFF"/>
        </w:rPr>
      </w:pPr>
      <w:r w:rsidRPr="00867426">
        <w:rPr>
          <w:color w:val="231F20"/>
          <w:highlight w:val="red"/>
        </w:rPr>
        <w:t xml:space="preserve">[11] </w:t>
      </w:r>
      <w:proofErr w:type="spellStart"/>
      <w:r w:rsidR="00A44FC9">
        <w:rPr>
          <w:rFonts w:ascii="Arial" w:hAnsi="Arial" w:cs="Arial"/>
          <w:color w:val="222222"/>
          <w:sz w:val="20"/>
          <w:szCs w:val="20"/>
          <w:shd w:val="clear" w:color="auto" w:fill="FFFFFF"/>
        </w:rPr>
        <w:t>Manshur</w:t>
      </w:r>
      <w:proofErr w:type="spellEnd"/>
      <w:r w:rsidR="00A44FC9">
        <w:rPr>
          <w:rFonts w:ascii="Arial" w:hAnsi="Arial" w:cs="Arial"/>
          <w:color w:val="222222"/>
          <w:sz w:val="20"/>
          <w:szCs w:val="20"/>
          <w:shd w:val="clear" w:color="auto" w:fill="FFFFFF"/>
        </w:rPr>
        <w:t xml:space="preserve"> Al Ahmad, A. S., </w:t>
      </w:r>
      <w:proofErr w:type="spellStart"/>
      <w:r w:rsidR="00A44FC9">
        <w:rPr>
          <w:rFonts w:ascii="Arial" w:hAnsi="Arial" w:cs="Arial"/>
          <w:color w:val="222222"/>
          <w:sz w:val="20"/>
          <w:szCs w:val="20"/>
          <w:shd w:val="clear" w:color="auto" w:fill="FFFFFF"/>
        </w:rPr>
        <w:t>Judijanto</w:t>
      </w:r>
      <w:proofErr w:type="spellEnd"/>
      <w:r w:rsidR="00A44FC9">
        <w:rPr>
          <w:rFonts w:ascii="Arial" w:hAnsi="Arial" w:cs="Arial"/>
          <w:color w:val="222222"/>
          <w:sz w:val="20"/>
          <w:szCs w:val="20"/>
          <w:shd w:val="clear" w:color="auto" w:fill="FFFFFF"/>
        </w:rPr>
        <w:t xml:space="preserve">, L., </w:t>
      </w:r>
      <w:proofErr w:type="spellStart"/>
      <w:r w:rsidR="00A44FC9">
        <w:rPr>
          <w:rFonts w:ascii="Arial" w:hAnsi="Arial" w:cs="Arial"/>
          <w:color w:val="222222"/>
          <w:sz w:val="20"/>
          <w:szCs w:val="20"/>
          <w:shd w:val="clear" w:color="auto" w:fill="FFFFFF"/>
        </w:rPr>
        <w:t>Tooy</w:t>
      </w:r>
      <w:proofErr w:type="spellEnd"/>
      <w:r w:rsidR="00A44FC9">
        <w:rPr>
          <w:rFonts w:ascii="Arial" w:hAnsi="Arial" w:cs="Arial"/>
          <w:color w:val="222222"/>
          <w:sz w:val="20"/>
          <w:szCs w:val="20"/>
          <w:shd w:val="clear" w:color="auto" w:fill="FFFFFF"/>
        </w:rPr>
        <w:t xml:space="preserve">, D., Putra, P., </w:t>
      </w:r>
      <w:proofErr w:type="spellStart"/>
      <w:r w:rsidR="00A44FC9">
        <w:rPr>
          <w:rFonts w:ascii="Arial" w:hAnsi="Arial" w:cs="Arial"/>
          <w:color w:val="222222"/>
          <w:sz w:val="20"/>
          <w:szCs w:val="20"/>
          <w:shd w:val="clear" w:color="auto" w:fill="FFFFFF"/>
        </w:rPr>
        <w:t>Hermansyah</w:t>
      </w:r>
      <w:proofErr w:type="spellEnd"/>
      <w:r w:rsidR="00A44FC9">
        <w:rPr>
          <w:rFonts w:ascii="Arial" w:hAnsi="Arial" w:cs="Arial"/>
          <w:color w:val="222222"/>
          <w:sz w:val="20"/>
          <w:szCs w:val="20"/>
          <w:shd w:val="clear" w:color="auto" w:fill="FFFFFF"/>
        </w:rPr>
        <w:t xml:space="preserve">, M., </w:t>
      </w:r>
      <w:proofErr w:type="spellStart"/>
      <w:r w:rsidR="00A44FC9">
        <w:rPr>
          <w:rFonts w:ascii="Arial" w:hAnsi="Arial" w:cs="Arial"/>
          <w:color w:val="222222"/>
          <w:sz w:val="20"/>
          <w:szCs w:val="20"/>
          <w:shd w:val="clear" w:color="auto" w:fill="FFFFFF"/>
        </w:rPr>
        <w:t>Kumalasanti</w:t>
      </w:r>
      <w:proofErr w:type="spellEnd"/>
      <w:r w:rsidR="00A44FC9">
        <w:rPr>
          <w:rFonts w:ascii="Arial" w:hAnsi="Arial" w:cs="Arial"/>
          <w:color w:val="222222"/>
          <w:sz w:val="20"/>
          <w:szCs w:val="20"/>
          <w:shd w:val="clear" w:color="auto" w:fill="FFFFFF"/>
        </w:rPr>
        <w:t xml:space="preserve">, M., &amp; </w:t>
      </w:r>
      <w:proofErr w:type="spellStart"/>
      <w:r w:rsidR="00A44FC9">
        <w:rPr>
          <w:rFonts w:ascii="Arial" w:hAnsi="Arial" w:cs="Arial"/>
          <w:color w:val="222222"/>
          <w:sz w:val="20"/>
          <w:szCs w:val="20"/>
          <w:shd w:val="clear" w:color="auto" w:fill="FFFFFF"/>
        </w:rPr>
        <w:t>Agit</w:t>
      </w:r>
      <w:proofErr w:type="spellEnd"/>
      <w:r w:rsidR="00A44FC9">
        <w:rPr>
          <w:rFonts w:ascii="Arial" w:hAnsi="Arial" w:cs="Arial"/>
          <w:color w:val="222222"/>
          <w:sz w:val="20"/>
          <w:szCs w:val="20"/>
          <w:shd w:val="clear" w:color="auto" w:fill="FFFFFF"/>
        </w:rPr>
        <w:t>, A. (2024). Integration of Artificial Intelligence and Macro-Economic Analysis: A Novel Approach with Distributed Information Systems. </w:t>
      </w:r>
      <w:r w:rsidR="00A44FC9">
        <w:rPr>
          <w:rFonts w:ascii="Arial" w:hAnsi="Arial" w:cs="Arial"/>
          <w:i/>
          <w:iCs/>
          <w:color w:val="222222"/>
          <w:sz w:val="20"/>
          <w:szCs w:val="20"/>
          <w:shd w:val="clear" w:color="auto" w:fill="FFFFFF"/>
        </w:rPr>
        <w:t>EAI Endorsed Transactions on Scalable Information Systems</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11</w:t>
      </w:r>
      <w:r w:rsidR="00A44FC9">
        <w:rPr>
          <w:rFonts w:ascii="Arial" w:hAnsi="Arial" w:cs="Arial"/>
          <w:color w:val="222222"/>
          <w:sz w:val="20"/>
          <w:szCs w:val="20"/>
          <w:shd w:val="clear" w:color="auto" w:fill="FFFFFF"/>
        </w:rPr>
        <w:t>(2).</w:t>
      </w:r>
    </w:p>
    <w:p w14:paraId="01B559D4" w14:textId="0586CF63" w:rsidR="00D224D0" w:rsidRPr="00D224D0" w:rsidRDefault="00D224D0" w:rsidP="00D224D0">
      <w:pPr>
        <w:pStyle w:val="Heading2"/>
        <w:ind w:left="388"/>
        <w:rPr>
          <w:color w:val="231F20"/>
        </w:rPr>
      </w:pPr>
      <w:r w:rsidRPr="00867426">
        <w:rPr>
          <w:color w:val="231F20"/>
          <w:highlight w:val="red"/>
        </w:rPr>
        <w:t xml:space="preserve">[12] </w:t>
      </w:r>
      <w:r w:rsidR="00A44FC9">
        <w:rPr>
          <w:rFonts w:ascii="Arial" w:hAnsi="Arial" w:cs="Arial"/>
          <w:color w:val="222222"/>
          <w:sz w:val="20"/>
          <w:szCs w:val="20"/>
          <w:shd w:val="clear" w:color="auto" w:fill="FFFFFF"/>
        </w:rPr>
        <w:t xml:space="preserve">Chung, V., Espinoza, J., &amp; </w:t>
      </w:r>
      <w:proofErr w:type="spellStart"/>
      <w:r w:rsidR="00A44FC9">
        <w:rPr>
          <w:rFonts w:ascii="Arial" w:hAnsi="Arial" w:cs="Arial"/>
          <w:color w:val="222222"/>
          <w:sz w:val="20"/>
          <w:szCs w:val="20"/>
          <w:shd w:val="clear" w:color="auto" w:fill="FFFFFF"/>
        </w:rPr>
        <w:t>Quispe</w:t>
      </w:r>
      <w:proofErr w:type="spellEnd"/>
      <w:r w:rsidR="00A44FC9">
        <w:rPr>
          <w:rFonts w:ascii="Arial" w:hAnsi="Arial" w:cs="Arial"/>
          <w:color w:val="222222"/>
          <w:sz w:val="20"/>
          <w:szCs w:val="20"/>
          <w:shd w:val="clear" w:color="auto" w:fill="FFFFFF"/>
        </w:rPr>
        <w:t>, R. (2025). Forecasting Financial Volatility Under Structural Breaks: A Comparative Study of GARCH Models and Deep Learning Techniques. </w:t>
      </w:r>
      <w:r w:rsidR="00A44FC9">
        <w:rPr>
          <w:rFonts w:ascii="Arial" w:hAnsi="Arial" w:cs="Arial"/>
          <w:i/>
          <w:iCs/>
          <w:color w:val="222222"/>
          <w:sz w:val="20"/>
          <w:szCs w:val="20"/>
          <w:shd w:val="clear" w:color="auto" w:fill="FFFFFF"/>
        </w:rPr>
        <w:t>Journal of Risk and Financial Management</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18</w:t>
      </w:r>
      <w:r w:rsidR="00A44FC9">
        <w:rPr>
          <w:rFonts w:ascii="Arial" w:hAnsi="Arial" w:cs="Arial"/>
          <w:color w:val="222222"/>
          <w:sz w:val="20"/>
          <w:szCs w:val="20"/>
          <w:shd w:val="clear" w:color="auto" w:fill="FFFFFF"/>
        </w:rPr>
        <w:t>(9), 494.</w:t>
      </w:r>
    </w:p>
    <w:p w14:paraId="3240EE34" w14:textId="60A75152" w:rsidR="00D224D0" w:rsidRPr="00D224D0" w:rsidRDefault="00D224D0" w:rsidP="00D224D0">
      <w:pPr>
        <w:pStyle w:val="Heading2"/>
        <w:ind w:left="388"/>
        <w:rPr>
          <w:color w:val="231F20"/>
        </w:rPr>
      </w:pPr>
      <w:r w:rsidRPr="00D224D0">
        <w:rPr>
          <w:color w:val="231F20"/>
        </w:rPr>
        <w:t>[13] Hansen, P., &amp; Timmermann, A. (2012). Choice of Sample Split in Out-of-Sample Forecast Evaluation. European Economic Review, 56(8), 1525–1539.</w:t>
      </w:r>
    </w:p>
    <w:p w14:paraId="7689626F" w14:textId="1708C34E" w:rsidR="00D224D0" w:rsidRPr="00D224D0" w:rsidRDefault="00D224D0" w:rsidP="00D224D0">
      <w:pPr>
        <w:pStyle w:val="Heading2"/>
        <w:ind w:left="388"/>
        <w:rPr>
          <w:color w:val="231F20"/>
        </w:rPr>
      </w:pPr>
      <w:r w:rsidRPr="00867426">
        <w:rPr>
          <w:color w:val="231F20"/>
          <w:highlight w:val="red"/>
        </w:rPr>
        <w:t xml:space="preserve">[14] </w:t>
      </w:r>
      <w:r w:rsidR="00A44FC9">
        <w:rPr>
          <w:rFonts w:ascii="Arial" w:hAnsi="Arial" w:cs="Arial"/>
          <w:color w:val="222222"/>
          <w:sz w:val="20"/>
          <w:szCs w:val="20"/>
          <w:shd w:val="clear" w:color="auto" w:fill="FFFFFF"/>
        </w:rPr>
        <w:t>Hall, A. S. (2018). Machine learning approaches to macroeconomic forecasting. </w:t>
      </w:r>
      <w:r w:rsidR="00A44FC9">
        <w:rPr>
          <w:rFonts w:ascii="Arial" w:hAnsi="Arial" w:cs="Arial"/>
          <w:i/>
          <w:iCs/>
          <w:color w:val="222222"/>
          <w:sz w:val="20"/>
          <w:szCs w:val="20"/>
          <w:shd w:val="clear" w:color="auto" w:fill="FFFFFF"/>
        </w:rPr>
        <w:t>The Federal Reserve Bank of Kansas City Economic Review</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103</w:t>
      </w:r>
      <w:r w:rsidR="00A44FC9">
        <w:rPr>
          <w:rFonts w:ascii="Arial" w:hAnsi="Arial" w:cs="Arial"/>
          <w:color w:val="222222"/>
          <w:sz w:val="20"/>
          <w:szCs w:val="20"/>
          <w:shd w:val="clear" w:color="auto" w:fill="FFFFFF"/>
        </w:rPr>
        <w:t>(63), 2.</w:t>
      </w:r>
    </w:p>
    <w:p w14:paraId="75F57222" w14:textId="6A913B17" w:rsidR="00D224D0" w:rsidRPr="00D224D0" w:rsidRDefault="00D224D0" w:rsidP="00D224D0">
      <w:pPr>
        <w:pStyle w:val="Heading2"/>
        <w:ind w:left="388"/>
        <w:rPr>
          <w:color w:val="231F20"/>
        </w:rPr>
      </w:pPr>
      <w:r w:rsidRPr="00867426">
        <w:rPr>
          <w:color w:val="231F20"/>
          <w:highlight w:val="red"/>
        </w:rPr>
        <w:t xml:space="preserve">[15] </w:t>
      </w:r>
      <w:r w:rsidR="00A44FC9">
        <w:rPr>
          <w:rFonts w:ascii="Arial" w:hAnsi="Arial" w:cs="Arial"/>
          <w:color w:val="222222"/>
          <w:sz w:val="20"/>
          <w:szCs w:val="20"/>
          <w:shd w:val="clear" w:color="auto" w:fill="FFFFFF"/>
        </w:rPr>
        <w:t xml:space="preserve">Medeiros, M. C., Vasconcelos, G. F., </w:t>
      </w:r>
      <w:proofErr w:type="spellStart"/>
      <w:r w:rsidR="00A44FC9">
        <w:rPr>
          <w:rFonts w:ascii="Arial" w:hAnsi="Arial" w:cs="Arial"/>
          <w:color w:val="222222"/>
          <w:sz w:val="20"/>
          <w:szCs w:val="20"/>
          <w:shd w:val="clear" w:color="auto" w:fill="FFFFFF"/>
        </w:rPr>
        <w:t>Veiga</w:t>
      </w:r>
      <w:proofErr w:type="spellEnd"/>
      <w:r w:rsidR="00A44FC9">
        <w:rPr>
          <w:rFonts w:ascii="Arial" w:hAnsi="Arial" w:cs="Arial"/>
          <w:color w:val="222222"/>
          <w:sz w:val="20"/>
          <w:szCs w:val="20"/>
          <w:shd w:val="clear" w:color="auto" w:fill="FFFFFF"/>
        </w:rPr>
        <w:t>, Á., &amp; Zilberman, E. (2021). Forecasting inflation in a data-rich environment: the benefits of machine learning methods. </w:t>
      </w:r>
      <w:r w:rsidR="00A44FC9">
        <w:rPr>
          <w:rFonts w:ascii="Arial" w:hAnsi="Arial" w:cs="Arial"/>
          <w:i/>
          <w:iCs/>
          <w:color w:val="222222"/>
          <w:sz w:val="20"/>
          <w:szCs w:val="20"/>
          <w:shd w:val="clear" w:color="auto" w:fill="FFFFFF"/>
        </w:rPr>
        <w:t>Journal of Business &amp; Economic Statistics</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39</w:t>
      </w:r>
      <w:r w:rsidR="00A44FC9">
        <w:rPr>
          <w:rFonts w:ascii="Arial" w:hAnsi="Arial" w:cs="Arial"/>
          <w:color w:val="222222"/>
          <w:sz w:val="20"/>
          <w:szCs w:val="20"/>
          <w:shd w:val="clear" w:color="auto" w:fill="FFFFFF"/>
        </w:rPr>
        <w:t>(1), 98-119.</w:t>
      </w:r>
    </w:p>
    <w:p w14:paraId="026FE48A" w14:textId="111AEFFF" w:rsidR="00D224D0" w:rsidRPr="00D224D0" w:rsidRDefault="00D224D0" w:rsidP="00D224D0">
      <w:pPr>
        <w:pStyle w:val="Heading2"/>
        <w:ind w:left="388"/>
        <w:rPr>
          <w:color w:val="231F20"/>
        </w:rPr>
      </w:pPr>
      <w:r w:rsidRPr="00867426">
        <w:rPr>
          <w:color w:val="231F20"/>
          <w:highlight w:val="red"/>
        </w:rPr>
        <w:t xml:space="preserve">[16] </w:t>
      </w:r>
      <w:proofErr w:type="spellStart"/>
      <w:r w:rsidR="00A44FC9">
        <w:rPr>
          <w:rFonts w:ascii="Arial" w:hAnsi="Arial" w:cs="Arial"/>
          <w:color w:val="222222"/>
          <w:sz w:val="20"/>
          <w:szCs w:val="20"/>
          <w:shd w:val="clear" w:color="auto" w:fill="FFFFFF"/>
        </w:rPr>
        <w:t>Lenza</w:t>
      </w:r>
      <w:proofErr w:type="spellEnd"/>
      <w:r w:rsidR="00A44FC9">
        <w:rPr>
          <w:rFonts w:ascii="Arial" w:hAnsi="Arial" w:cs="Arial"/>
          <w:color w:val="222222"/>
          <w:sz w:val="20"/>
          <w:szCs w:val="20"/>
          <w:shd w:val="clear" w:color="auto" w:fill="FFFFFF"/>
        </w:rPr>
        <w:t xml:space="preserve">, M., </w:t>
      </w:r>
      <w:proofErr w:type="spellStart"/>
      <w:r w:rsidR="00A44FC9">
        <w:rPr>
          <w:rFonts w:ascii="Arial" w:hAnsi="Arial" w:cs="Arial"/>
          <w:color w:val="222222"/>
          <w:sz w:val="20"/>
          <w:szCs w:val="20"/>
          <w:shd w:val="clear" w:color="auto" w:fill="FFFFFF"/>
        </w:rPr>
        <w:t>Moutachaker</w:t>
      </w:r>
      <w:proofErr w:type="spellEnd"/>
      <w:r w:rsidR="00A44FC9">
        <w:rPr>
          <w:rFonts w:ascii="Arial" w:hAnsi="Arial" w:cs="Arial"/>
          <w:color w:val="222222"/>
          <w:sz w:val="20"/>
          <w:szCs w:val="20"/>
          <w:shd w:val="clear" w:color="auto" w:fill="FFFFFF"/>
        </w:rPr>
        <w:t>, I., &amp; Paredes, J. (2023). Forecasting euro area inflation with machine-learning models. </w:t>
      </w:r>
      <w:r w:rsidR="00A44FC9">
        <w:rPr>
          <w:rFonts w:ascii="Arial" w:hAnsi="Arial" w:cs="Arial"/>
          <w:i/>
          <w:iCs/>
          <w:color w:val="222222"/>
          <w:sz w:val="20"/>
          <w:szCs w:val="20"/>
          <w:shd w:val="clear" w:color="auto" w:fill="FFFFFF"/>
        </w:rPr>
        <w:t>Research Bulletin</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112</w:t>
      </w:r>
      <w:r w:rsidR="00A44FC9">
        <w:rPr>
          <w:rFonts w:ascii="Arial" w:hAnsi="Arial" w:cs="Arial"/>
          <w:color w:val="222222"/>
          <w:sz w:val="20"/>
          <w:szCs w:val="20"/>
          <w:shd w:val="clear" w:color="auto" w:fill="FFFFFF"/>
        </w:rPr>
        <w:t>(10/23), 1-7.</w:t>
      </w:r>
    </w:p>
    <w:p w14:paraId="0BD5937B" w14:textId="65851144" w:rsidR="00D224D0" w:rsidRPr="00D224D0" w:rsidRDefault="00D224D0" w:rsidP="00D224D0">
      <w:pPr>
        <w:pStyle w:val="Heading2"/>
        <w:ind w:left="388"/>
        <w:rPr>
          <w:color w:val="231F20"/>
        </w:rPr>
      </w:pPr>
      <w:r w:rsidRPr="00867426">
        <w:rPr>
          <w:color w:val="231F20"/>
          <w:highlight w:val="red"/>
        </w:rPr>
        <w:t xml:space="preserve">[17] </w:t>
      </w:r>
      <w:proofErr w:type="spellStart"/>
      <w:r w:rsidR="00A44FC9">
        <w:rPr>
          <w:rFonts w:ascii="Arial" w:hAnsi="Arial" w:cs="Arial"/>
          <w:color w:val="222222"/>
          <w:sz w:val="20"/>
          <w:szCs w:val="20"/>
          <w:shd w:val="clear" w:color="auto" w:fill="FFFFFF"/>
        </w:rPr>
        <w:t>Kakade</w:t>
      </w:r>
      <w:proofErr w:type="spellEnd"/>
      <w:r w:rsidR="00A44FC9">
        <w:rPr>
          <w:rFonts w:ascii="Arial" w:hAnsi="Arial" w:cs="Arial"/>
          <w:color w:val="222222"/>
          <w:sz w:val="20"/>
          <w:szCs w:val="20"/>
          <w:shd w:val="clear" w:color="auto" w:fill="FFFFFF"/>
        </w:rPr>
        <w:t>, K., Jain, I., &amp; Mishra, A. K. (2022). Value-at-Risk forecasting: A hybrid ensemble learning GARCH-LSTM based approach. </w:t>
      </w:r>
      <w:r w:rsidR="00A44FC9">
        <w:rPr>
          <w:rFonts w:ascii="Arial" w:hAnsi="Arial" w:cs="Arial"/>
          <w:i/>
          <w:iCs/>
          <w:color w:val="222222"/>
          <w:sz w:val="20"/>
          <w:szCs w:val="20"/>
          <w:shd w:val="clear" w:color="auto" w:fill="FFFFFF"/>
        </w:rPr>
        <w:t>Resources Policy</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78</w:t>
      </w:r>
      <w:r w:rsidR="00A44FC9">
        <w:rPr>
          <w:rFonts w:ascii="Arial" w:hAnsi="Arial" w:cs="Arial"/>
          <w:color w:val="222222"/>
          <w:sz w:val="20"/>
          <w:szCs w:val="20"/>
          <w:shd w:val="clear" w:color="auto" w:fill="FFFFFF"/>
        </w:rPr>
        <w:t>, 102903.</w:t>
      </w:r>
    </w:p>
    <w:p w14:paraId="37E54FBE" w14:textId="1A7940BF" w:rsidR="00D224D0" w:rsidRPr="00D224D0" w:rsidRDefault="00D224D0" w:rsidP="00D224D0">
      <w:pPr>
        <w:pStyle w:val="Heading2"/>
        <w:ind w:left="388"/>
        <w:rPr>
          <w:color w:val="231F20"/>
        </w:rPr>
      </w:pPr>
      <w:r w:rsidRPr="00867426">
        <w:rPr>
          <w:color w:val="231F20"/>
          <w:highlight w:val="red"/>
        </w:rPr>
        <w:t>[18]</w:t>
      </w:r>
      <w:r w:rsidR="00B23CDB" w:rsidRPr="00867426">
        <w:rPr>
          <w:color w:val="231F20"/>
          <w:highlight w:val="red"/>
        </w:rPr>
        <w:t xml:space="preserve"> </w:t>
      </w:r>
      <w:r w:rsidR="00A44FC9">
        <w:rPr>
          <w:rFonts w:ascii="Arial" w:hAnsi="Arial" w:cs="Arial"/>
          <w:color w:val="222222"/>
          <w:sz w:val="20"/>
          <w:szCs w:val="20"/>
          <w:shd w:val="clear" w:color="auto" w:fill="FFFFFF"/>
        </w:rPr>
        <w:t>Mirza, N., Rizvi, S. K. A., Naqvi, B., &amp; Umar, M. (2024). Inflation prediction in emerging economies: Machine learning and FX reserves integration for enhanced forecasting. </w:t>
      </w:r>
      <w:r w:rsidR="00A44FC9">
        <w:rPr>
          <w:rFonts w:ascii="Arial" w:hAnsi="Arial" w:cs="Arial"/>
          <w:i/>
          <w:iCs/>
          <w:color w:val="222222"/>
          <w:sz w:val="20"/>
          <w:szCs w:val="20"/>
          <w:shd w:val="clear" w:color="auto" w:fill="FFFFFF"/>
        </w:rPr>
        <w:t>International Review of Financial Analysis</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94</w:t>
      </w:r>
      <w:r w:rsidR="00A44FC9">
        <w:rPr>
          <w:rFonts w:ascii="Arial" w:hAnsi="Arial" w:cs="Arial"/>
          <w:color w:val="222222"/>
          <w:sz w:val="20"/>
          <w:szCs w:val="20"/>
          <w:shd w:val="clear" w:color="auto" w:fill="FFFFFF"/>
        </w:rPr>
        <w:t>, 103238.</w:t>
      </w:r>
    </w:p>
    <w:p w14:paraId="394511C5" w14:textId="681F6C5F" w:rsidR="00D224D0" w:rsidRPr="00D224D0" w:rsidRDefault="00D224D0" w:rsidP="00D224D0">
      <w:pPr>
        <w:pStyle w:val="Heading2"/>
        <w:ind w:left="388"/>
        <w:rPr>
          <w:color w:val="231F20"/>
        </w:rPr>
      </w:pPr>
      <w:r w:rsidRPr="00996282">
        <w:rPr>
          <w:color w:val="231F20"/>
          <w:highlight w:val="red"/>
        </w:rPr>
        <w:t xml:space="preserve">[19] </w:t>
      </w:r>
      <w:r w:rsidR="00A44FC9">
        <w:rPr>
          <w:rFonts w:ascii="Arial" w:hAnsi="Arial" w:cs="Arial"/>
          <w:color w:val="222222"/>
          <w:sz w:val="20"/>
          <w:szCs w:val="20"/>
          <w:shd w:val="clear" w:color="auto" w:fill="FFFFFF"/>
        </w:rPr>
        <w:t>Hall, A. S. (2018). Machine learning approaches to macroeconomic forecasting. </w:t>
      </w:r>
      <w:r w:rsidR="00A44FC9">
        <w:rPr>
          <w:rFonts w:ascii="Arial" w:hAnsi="Arial" w:cs="Arial"/>
          <w:i/>
          <w:iCs/>
          <w:color w:val="222222"/>
          <w:sz w:val="20"/>
          <w:szCs w:val="20"/>
          <w:shd w:val="clear" w:color="auto" w:fill="FFFFFF"/>
        </w:rPr>
        <w:t>The Federal Reserve Bank of Kansas City Economic Review</w:t>
      </w:r>
      <w:r w:rsidR="00A44FC9">
        <w:rPr>
          <w:rFonts w:ascii="Arial" w:hAnsi="Arial" w:cs="Arial"/>
          <w:color w:val="222222"/>
          <w:sz w:val="20"/>
          <w:szCs w:val="20"/>
          <w:shd w:val="clear" w:color="auto" w:fill="FFFFFF"/>
        </w:rPr>
        <w:t>, </w:t>
      </w:r>
      <w:r w:rsidR="00A44FC9">
        <w:rPr>
          <w:rFonts w:ascii="Arial" w:hAnsi="Arial" w:cs="Arial"/>
          <w:i/>
          <w:iCs/>
          <w:color w:val="222222"/>
          <w:sz w:val="20"/>
          <w:szCs w:val="20"/>
          <w:shd w:val="clear" w:color="auto" w:fill="FFFFFF"/>
        </w:rPr>
        <w:t>103</w:t>
      </w:r>
      <w:r w:rsidR="00A44FC9">
        <w:rPr>
          <w:rFonts w:ascii="Arial" w:hAnsi="Arial" w:cs="Arial"/>
          <w:color w:val="222222"/>
          <w:sz w:val="20"/>
          <w:szCs w:val="20"/>
          <w:shd w:val="clear" w:color="auto" w:fill="FFFFFF"/>
        </w:rPr>
        <w:t>(63), 2.</w:t>
      </w:r>
      <w:bookmarkStart w:id="1" w:name="_GoBack"/>
      <w:bookmarkEnd w:id="1"/>
    </w:p>
    <w:p w14:paraId="2350ACE4" w14:textId="681D8AB6" w:rsidR="00D224D0" w:rsidRPr="00D5349D" w:rsidRDefault="00D224D0" w:rsidP="00D224D0">
      <w:pPr>
        <w:pStyle w:val="Heading2"/>
        <w:ind w:left="388"/>
        <w:rPr>
          <w:color w:val="231F20"/>
        </w:rPr>
      </w:pPr>
      <w:r w:rsidRPr="00D224D0">
        <w:rPr>
          <w:color w:val="231F20"/>
        </w:rPr>
        <w:t>[20</w:t>
      </w:r>
      <w:proofErr w:type="gramStart"/>
      <w:r w:rsidRPr="00D224D0">
        <w:rPr>
          <w:color w:val="231F20"/>
        </w:rPr>
        <w:t xml:space="preserve">] </w:t>
      </w:r>
      <w:r w:rsidR="00B23CDB">
        <w:rPr>
          <w:color w:val="231F20"/>
        </w:rPr>
        <w:t xml:space="preserve"> </w:t>
      </w:r>
      <w:r w:rsidR="00B23CDB" w:rsidRPr="00D224D0">
        <w:rPr>
          <w:color w:val="231F20"/>
        </w:rPr>
        <w:t>Clarida</w:t>
      </w:r>
      <w:proofErr w:type="gramEnd"/>
      <w:r w:rsidR="00B23CDB" w:rsidRPr="00D224D0">
        <w:rPr>
          <w:color w:val="231F20"/>
        </w:rPr>
        <w:t>, R., Galí, J., &amp; Gertler, M. (1999). The Science of Monetary Policy: A New Keynesian Perspective. Journal of Economic Literature, 37(4), 1661–1707</w:t>
      </w:r>
      <w:r w:rsidR="00B23CDB">
        <w:rPr>
          <w:color w:val="231F20"/>
        </w:rPr>
        <w:t>.</w:t>
      </w:r>
    </w:p>
    <w:p w14:paraId="4ED09407" w14:textId="77777777" w:rsidR="00065BF5" w:rsidRDefault="006D3C0D">
      <w:pPr>
        <w:pStyle w:val="BodyText"/>
        <w:spacing w:line="20" w:lineRule="exact"/>
        <w:ind w:left="57"/>
        <w:jc w:val="left"/>
        <w:rPr>
          <w:sz w:val="2"/>
        </w:rPr>
      </w:pPr>
      <w:r>
        <w:rPr>
          <w:noProof/>
          <w:sz w:val="2"/>
          <w:lang w:val="en-IN" w:eastAsia="en-IN"/>
        </w:rPr>
        <mc:AlternateContent>
          <mc:Choice Requires="wpg">
            <w:drawing>
              <wp:inline distT="0" distB="0" distL="0" distR="0" wp14:anchorId="2D104205" wp14:editId="63C17648">
                <wp:extent cx="5886450" cy="6350"/>
                <wp:effectExtent l="9525" t="0" r="0" b="3175"/>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6350"/>
                          <a:chOff x="0" y="0"/>
                          <a:chExt cx="5886450" cy="6350"/>
                        </a:xfrm>
                      </wpg:grpSpPr>
                      <wps:wsp>
                        <wps:cNvPr id="389" name="Graphic 384"/>
                        <wps:cNvSpPr/>
                        <wps:spPr>
                          <a:xfrm>
                            <a:off x="0" y="3175"/>
                            <a:ext cx="5886450" cy="1270"/>
                          </a:xfrm>
                          <a:custGeom>
                            <a:avLst/>
                            <a:gdLst/>
                            <a:ahLst/>
                            <a:cxnLst/>
                            <a:rect l="l" t="t" r="r" b="b"/>
                            <a:pathLst>
                              <a:path w="5886450">
                                <a:moveTo>
                                  <a:pt x="5886005" y="0"/>
                                </a:moveTo>
                                <a:lnTo>
                                  <a:pt x="0" y="0"/>
                                </a:lnTo>
                              </a:path>
                            </a:pathLst>
                          </a:custGeom>
                          <a:ln w="6350">
                            <a:solidFill>
                              <a:srgbClr val="808285"/>
                            </a:solidFill>
                            <a:prstDash val="solid"/>
                          </a:ln>
                        </wps:spPr>
                        <wps:bodyPr wrap="square" lIns="0" tIns="0" rIns="0" bIns="0" rtlCol="0">
                          <a:prstTxWarp prst="textNoShape">
                            <a:avLst/>
                          </a:prstTxWarp>
                          <a:noAutofit/>
                        </wps:bodyPr>
                      </wps:wsp>
                    </wpg:wgp>
                  </a:graphicData>
                </a:graphic>
              </wp:inline>
            </w:drawing>
          </mc:Choice>
          <mc:Fallback>
            <w:pict>
              <v:group w14:anchorId="27E24E96" id="Group 383" o:spid="_x0000_s1026" style="width:463.5pt;height:.5pt;mso-position-horizontal-relative:char;mso-position-vertical-relative:line" coordsize="58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">
                <v:shape id="Graphic 384" o:spid="_x0000_s1027" style="position:absolute;top:31;width:58864;height:13;visibility:visible;mso-wrap-style:square;v-text-anchor:top" coordsize="5886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" path="m5886005,l,e" filled="f" strokecolor="#808285" strokeweight=".5pt">
                  <v:path arrowok="t"/>
                </v:shape>
                <w10:anchorlock/>
              </v:group>
            </w:pict>
          </mc:Fallback>
        </mc:AlternateContent>
      </w:r>
    </w:p>
    <w:sectPr w:rsidR="00065BF5">
      <w:type w:val="continuous"/>
      <w:pgSz w:w="11910" w:h="15310"/>
      <w:pgMar w:top="1540" w:right="1133" w:bottom="280" w:left="1275"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CDC41" w14:textId="77777777" w:rsidR="00BC5600" w:rsidRDefault="00BC5600">
      <w:r>
        <w:separator/>
      </w:r>
    </w:p>
  </w:endnote>
  <w:endnote w:type="continuationSeparator" w:id="0">
    <w:p w14:paraId="1F318D14" w14:textId="77777777" w:rsidR="00BC5600" w:rsidRDefault="00BC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679C3" w14:textId="77777777" w:rsidR="00BC5600" w:rsidRDefault="00BC5600">
      <w:r>
        <w:separator/>
      </w:r>
    </w:p>
  </w:footnote>
  <w:footnote w:type="continuationSeparator" w:id="0">
    <w:p w14:paraId="1602B11F" w14:textId="77777777" w:rsidR="00BC5600" w:rsidRDefault="00BC5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6747" w14:textId="662B3943" w:rsidR="00867426" w:rsidRDefault="00867426">
    <w:pPr>
      <w:pStyle w:val="BodyText"/>
      <w:spacing w:line="14" w:lineRule="auto"/>
      <w:jc w:val="left"/>
    </w:pPr>
    <w:r>
      <w:rPr>
        <w:noProof/>
        <w:lang w:val="en-IN" w:eastAsia="en-IN"/>
      </w:rPr>
      <mc:AlternateContent>
        <mc:Choice Requires="wps">
          <w:drawing>
            <wp:anchor distT="0" distB="0" distL="0" distR="0" simplePos="0" relativeHeight="251661312" behindDoc="1" locked="0" layoutInCell="1" allowOverlap="1" wp14:anchorId="2B708773" wp14:editId="1708FE61">
              <wp:simplePos x="0" y="0"/>
              <wp:positionH relativeFrom="page">
                <wp:posOffset>322295</wp:posOffset>
              </wp:positionH>
              <wp:positionV relativeFrom="page">
                <wp:posOffset>453453</wp:posOffset>
              </wp:positionV>
              <wp:extent cx="273685" cy="2736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906CD88" id="Graphic 5" o:spid="_x0000_s1026" style="position:absolute;margin-left:25.4pt;margin-top:35.7pt;width:21.55pt;height:21.5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Pr>
        <w:noProof/>
        <w:lang w:val="en-IN" w:eastAsia="en-IN"/>
      </w:rPr>
      <mc:AlternateContent>
        <mc:Choice Requires="wps">
          <w:drawing>
            <wp:anchor distT="0" distB="0" distL="0" distR="0" simplePos="0" relativeHeight="251665408" behindDoc="1" locked="0" layoutInCell="1" allowOverlap="1" wp14:anchorId="4F137A2C" wp14:editId="3942C6E5">
              <wp:simplePos x="0" y="0"/>
              <wp:positionH relativeFrom="page">
                <wp:posOffset>376655</wp:posOffset>
              </wp:positionH>
              <wp:positionV relativeFrom="page">
                <wp:posOffset>499577</wp:posOffset>
              </wp:positionV>
              <wp:extent cx="151130" cy="178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4980DD38" w14:textId="77777777" w:rsidR="00867426" w:rsidRDefault="00867426">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Pr>
                              <w:rFonts w:ascii="Calibri"/>
                              <w:noProof/>
                              <w:color w:val="FFFFFF"/>
                              <w:spacing w:val="-5"/>
                              <w:w w:val="110"/>
                              <w:sz w:val="19"/>
                            </w:rPr>
                            <w:t>6</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4F137A2C" id="_x0000_t202" coordsize="21600,21600" o:spt="202" path="m,l,21600r21600,l21600,xe">
              <v:stroke joinstyle="miter"/>
              <v:path gradientshapeok="t" o:connecttype="rect"/>
            </v:shapetype>
            <v:shape id="Textbox 6" o:spid="_x0000_s1026" type="#_x0000_t202" style="position:absolute;margin-left:29.65pt;margin-top:39.35pt;width:11.9pt;height:14.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" filled="f" stroked="f">
              <v:textbox inset="0,0,0,0">
                <w:txbxContent>
                  <w:p w14:paraId="4980DD38" w14:textId="77777777" w:rsidR="00867426" w:rsidRDefault="00867426">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Pr>
                        <w:rFonts w:ascii="Calibri"/>
                        <w:noProof/>
                        <w:color w:val="FFFFFF"/>
                        <w:spacing w:val="-5"/>
                        <w:w w:val="110"/>
                        <w:sz w:val="19"/>
                      </w:rPr>
                      <w:t>6</w:t>
                    </w:r>
                    <w:r>
                      <w:rPr>
                        <w:rFonts w:ascii="Calibri"/>
                        <w:color w:val="FFFFFF"/>
                        <w:spacing w:val="-5"/>
                        <w:w w:val="110"/>
                        <w:sz w:val="19"/>
                      </w:rPr>
                      <w:fldChar w:fldCharType="end"/>
                    </w:r>
                  </w:p>
                </w:txbxContent>
              </v:textbox>
              <w10:wrap anchorx="page" anchory="page"/>
            </v:shape>
          </w:pict>
        </mc:Fallback>
      </mc:AlternateContent>
    </w:r>
    <w:r>
      <w:rPr>
        <w:noProof/>
        <w:lang w:val="en-IN" w:eastAsia="en-IN"/>
      </w:rPr>
      <mc:AlternateContent>
        <mc:Choice Requires="wps">
          <w:drawing>
            <wp:anchor distT="0" distB="0" distL="0" distR="0" simplePos="0" relativeHeight="251669504" behindDoc="1" locked="0" layoutInCell="1" allowOverlap="1" wp14:anchorId="51D52205" wp14:editId="78870A0E">
              <wp:simplePos x="0" y="0"/>
              <wp:positionH relativeFrom="page">
                <wp:posOffset>2543695</wp:posOffset>
              </wp:positionH>
              <wp:positionV relativeFrom="page">
                <wp:posOffset>522262</wp:posOffset>
              </wp:positionV>
              <wp:extent cx="149161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139700"/>
                      </a:xfrm>
                      <a:prstGeom prst="rect">
                        <a:avLst/>
                      </a:prstGeom>
                    </wps:spPr>
                    <wps:txbx>
                      <w:txbxContent>
                        <w:p w14:paraId="57F6897C" w14:textId="4E171270" w:rsidR="00867426" w:rsidRDefault="00867426">
                          <w:pPr>
                            <w:spacing w:before="26"/>
                            <w:ind w:left="20"/>
                            <w:rPr>
                              <w:rFonts w:ascii="Calibri"/>
                              <w:sz w:val="14"/>
                            </w:rPr>
                          </w:pPr>
                        </w:p>
                      </w:txbxContent>
                    </wps:txbx>
                    <wps:bodyPr wrap="square" lIns="0" tIns="0" rIns="0" bIns="0" rtlCol="0">
                      <a:noAutofit/>
                    </wps:bodyPr>
                  </wps:wsp>
                </a:graphicData>
              </a:graphic>
            </wp:anchor>
          </w:drawing>
        </mc:Choice>
        <mc:Fallback>
          <w:pict>
            <v:shape w14:anchorId="51D52205" id="Textbox 7" o:spid="_x0000_s1027" type="#_x0000_t202" style="position:absolute;margin-left:200.3pt;margin-top:41.1pt;width:117.45pt;height:1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" filled="f" stroked="f">
              <v:textbox inset="0,0,0,0">
                <w:txbxContent>
                  <w:p w14:paraId="57F6897C" w14:textId="4E171270" w:rsidR="00867426" w:rsidRDefault="00867426">
                    <w:pPr>
                      <w:spacing w:before="26"/>
                      <w:ind w:left="20"/>
                      <w:rPr>
                        <w:rFonts w:ascii="Calibri"/>
                        <w:sz w:val="1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37F4" w14:textId="1D8F1B90" w:rsidR="00867426" w:rsidRDefault="00867426">
    <w:pPr>
      <w:pStyle w:val="BodyText"/>
      <w:spacing w:line="14" w:lineRule="auto"/>
      <w:jc w:val="left"/>
    </w:pPr>
    <w:r>
      <w:rPr>
        <w:noProof/>
        <w:lang w:val="en-IN" w:eastAsia="en-IN"/>
      </w:rPr>
      <mc:AlternateContent>
        <mc:Choice Requires="wps">
          <w:drawing>
            <wp:anchor distT="0" distB="0" distL="0" distR="0" simplePos="0" relativeHeight="251644928" behindDoc="1" locked="0" layoutInCell="1" allowOverlap="1" wp14:anchorId="2CC7CA75" wp14:editId="16211BE3">
              <wp:simplePos x="0" y="0"/>
              <wp:positionH relativeFrom="page">
                <wp:posOffset>6951497</wp:posOffset>
              </wp:positionH>
              <wp:positionV relativeFrom="page">
                <wp:posOffset>466051</wp:posOffset>
              </wp:positionV>
              <wp:extent cx="273685" cy="273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AE5037A" id="Graphic 1" o:spid="_x0000_s1026" style="position:absolute;margin-left:547.35pt;margin-top:36.7pt;width:21.55pt;height:21.55pt;z-index:-251671552;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Pr>
        <w:noProof/>
        <w:lang w:val="en-IN" w:eastAsia="en-IN"/>
      </w:rPr>
      <mc:AlternateContent>
        <mc:Choice Requires="wps">
          <w:drawing>
            <wp:anchor distT="0" distB="0" distL="0" distR="0" simplePos="0" relativeHeight="251649024" behindDoc="1" locked="0" layoutInCell="1" allowOverlap="1" wp14:anchorId="5270A686" wp14:editId="46B1534C">
              <wp:simplePos x="0" y="0"/>
              <wp:positionH relativeFrom="page">
                <wp:posOffset>7005853</wp:posOffset>
              </wp:positionH>
              <wp:positionV relativeFrom="page">
                <wp:posOffset>512175</wp:posOffset>
              </wp:positionV>
              <wp:extent cx="15113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1C41C7A0" w14:textId="77777777" w:rsidR="00867426" w:rsidRDefault="00867426">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Pr>
                              <w:rFonts w:ascii="Calibri"/>
                              <w:noProof/>
                              <w:color w:val="FFFFFF"/>
                              <w:spacing w:val="-5"/>
                              <w:w w:val="110"/>
                              <w:sz w:val="19"/>
                            </w:rPr>
                            <w:t>5</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5270A686" id="_x0000_t202" coordsize="21600,21600" o:spt="202" path="m,l,21600r21600,l21600,xe">
              <v:stroke joinstyle="miter"/>
              <v:path gradientshapeok="t" o:connecttype="rect"/>
            </v:shapetype>
            <v:shape id="Textbox 2" o:spid="_x0000_s1028" type="#_x0000_t202" style="position:absolute;margin-left:551.65pt;margin-top:40.35pt;width:11.9pt;height:14.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" filled="f" stroked="f">
              <v:textbox inset="0,0,0,0">
                <w:txbxContent>
                  <w:p w14:paraId="1C41C7A0" w14:textId="77777777" w:rsidR="00867426" w:rsidRDefault="00867426">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Pr>
                        <w:rFonts w:ascii="Calibri"/>
                        <w:noProof/>
                        <w:color w:val="FFFFFF"/>
                        <w:spacing w:val="-5"/>
                        <w:w w:val="110"/>
                        <w:sz w:val="19"/>
                      </w:rPr>
                      <w:t>5</w:t>
                    </w:r>
                    <w:r>
                      <w:rPr>
                        <w:rFonts w:ascii="Calibri"/>
                        <w:color w:val="FFFFFF"/>
                        <w:spacing w:val="-5"/>
                        <w:w w:val="110"/>
                        <w:sz w:val="19"/>
                      </w:rPr>
                      <w:fldChar w:fldCharType="end"/>
                    </w:r>
                  </w:p>
                </w:txbxContent>
              </v:textbox>
              <w10:wrap anchorx="page" anchory="page"/>
            </v:shape>
          </w:pict>
        </mc:Fallback>
      </mc:AlternateContent>
    </w:r>
    <w:r>
      <w:rPr>
        <w:noProof/>
        <w:lang w:val="en-IN" w:eastAsia="en-IN"/>
      </w:rPr>
      <mc:AlternateContent>
        <mc:Choice Requires="wps">
          <w:drawing>
            <wp:anchor distT="0" distB="0" distL="0" distR="0" simplePos="0" relativeHeight="251653120" behindDoc="1" locked="0" layoutInCell="1" allowOverlap="1" wp14:anchorId="1BD564AD" wp14:editId="2A9B4506">
              <wp:simplePos x="0" y="0"/>
              <wp:positionH relativeFrom="page">
                <wp:posOffset>1801495</wp:posOffset>
              </wp:positionH>
              <wp:positionV relativeFrom="page">
                <wp:posOffset>522262</wp:posOffset>
              </wp:positionV>
              <wp:extent cx="14916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139700"/>
                      </a:xfrm>
                      <a:prstGeom prst="rect">
                        <a:avLst/>
                      </a:prstGeom>
                    </wps:spPr>
                    <wps:txbx>
                      <w:txbxContent>
                        <w:p w14:paraId="2535EC46" w14:textId="3F55A126" w:rsidR="00867426" w:rsidRDefault="00867426">
                          <w:pPr>
                            <w:spacing w:before="26"/>
                            <w:ind w:left="20"/>
                            <w:rPr>
                              <w:rFonts w:ascii="Calibri"/>
                              <w:sz w:val="14"/>
                            </w:rPr>
                          </w:pPr>
                        </w:p>
                      </w:txbxContent>
                    </wps:txbx>
                    <wps:bodyPr wrap="square" lIns="0" tIns="0" rIns="0" bIns="0" rtlCol="0">
                      <a:noAutofit/>
                    </wps:bodyPr>
                  </wps:wsp>
                </a:graphicData>
              </a:graphic>
            </wp:anchor>
          </w:drawing>
        </mc:Choice>
        <mc:Fallback>
          <w:pict>
            <v:shape w14:anchorId="1BD564AD" id="Textbox 3" o:spid="_x0000_s1029" type="#_x0000_t202" style="position:absolute;margin-left:141.85pt;margin-top:41.1pt;width:117.45pt;height:1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" filled="f" stroked="f">
              <v:textbox inset="0,0,0,0">
                <w:txbxContent>
                  <w:p w14:paraId="2535EC46" w14:textId="3F55A126" w:rsidR="00867426" w:rsidRDefault="00867426">
                    <w:pPr>
                      <w:spacing w:before="26"/>
                      <w:ind w:left="20"/>
                      <w:rPr>
                        <w:rFonts w:ascii="Calibri"/>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76E0"/>
    <w:multiLevelType w:val="hybridMultilevel"/>
    <w:tmpl w:val="A1BAF19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113E2595"/>
    <w:multiLevelType w:val="hybridMultilevel"/>
    <w:tmpl w:val="20748590"/>
    <w:lvl w:ilvl="0" w:tplc="BDFCD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473"/>
    <w:multiLevelType w:val="hybridMultilevel"/>
    <w:tmpl w:val="B1E4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AD8"/>
    <w:multiLevelType w:val="hybridMultilevel"/>
    <w:tmpl w:val="2F38EE58"/>
    <w:lvl w:ilvl="0" w:tplc="BDFCDD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1B0BF3"/>
    <w:multiLevelType w:val="hybridMultilevel"/>
    <w:tmpl w:val="2844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10392"/>
    <w:multiLevelType w:val="hybridMultilevel"/>
    <w:tmpl w:val="4F0E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63192"/>
    <w:multiLevelType w:val="hybridMultilevel"/>
    <w:tmpl w:val="EBC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B6727"/>
    <w:multiLevelType w:val="hybridMultilevel"/>
    <w:tmpl w:val="3B522CB2"/>
    <w:lvl w:ilvl="0" w:tplc="0409000F">
      <w:start w:val="1"/>
      <w:numFmt w:val="decimal"/>
      <w:lvlText w:val="%1."/>
      <w:lvlJc w:val="left"/>
      <w:pPr>
        <w:ind w:left="5114" w:hanging="360"/>
      </w:pPr>
    </w:lvl>
    <w:lvl w:ilvl="1" w:tplc="04090019" w:tentative="1">
      <w:start w:val="1"/>
      <w:numFmt w:val="lowerLetter"/>
      <w:lvlText w:val="%2."/>
      <w:lvlJc w:val="left"/>
      <w:pPr>
        <w:ind w:left="5834" w:hanging="360"/>
      </w:pPr>
    </w:lvl>
    <w:lvl w:ilvl="2" w:tplc="0409001B" w:tentative="1">
      <w:start w:val="1"/>
      <w:numFmt w:val="lowerRoman"/>
      <w:lvlText w:val="%3."/>
      <w:lvlJc w:val="right"/>
      <w:pPr>
        <w:ind w:left="6554" w:hanging="180"/>
      </w:pPr>
    </w:lvl>
    <w:lvl w:ilvl="3" w:tplc="0409000F" w:tentative="1">
      <w:start w:val="1"/>
      <w:numFmt w:val="decimal"/>
      <w:lvlText w:val="%4."/>
      <w:lvlJc w:val="left"/>
      <w:pPr>
        <w:ind w:left="7274" w:hanging="360"/>
      </w:pPr>
    </w:lvl>
    <w:lvl w:ilvl="4" w:tplc="04090019" w:tentative="1">
      <w:start w:val="1"/>
      <w:numFmt w:val="lowerLetter"/>
      <w:lvlText w:val="%5."/>
      <w:lvlJc w:val="left"/>
      <w:pPr>
        <w:ind w:left="7994" w:hanging="360"/>
      </w:pPr>
    </w:lvl>
    <w:lvl w:ilvl="5" w:tplc="0409001B" w:tentative="1">
      <w:start w:val="1"/>
      <w:numFmt w:val="lowerRoman"/>
      <w:lvlText w:val="%6."/>
      <w:lvlJc w:val="right"/>
      <w:pPr>
        <w:ind w:left="8714" w:hanging="180"/>
      </w:pPr>
    </w:lvl>
    <w:lvl w:ilvl="6" w:tplc="0409000F" w:tentative="1">
      <w:start w:val="1"/>
      <w:numFmt w:val="decimal"/>
      <w:lvlText w:val="%7."/>
      <w:lvlJc w:val="left"/>
      <w:pPr>
        <w:ind w:left="9434" w:hanging="360"/>
      </w:pPr>
    </w:lvl>
    <w:lvl w:ilvl="7" w:tplc="04090019" w:tentative="1">
      <w:start w:val="1"/>
      <w:numFmt w:val="lowerLetter"/>
      <w:lvlText w:val="%8."/>
      <w:lvlJc w:val="left"/>
      <w:pPr>
        <w:ind w:left="10154" w:hanging="360"/>
      </w:pPr>
    </w:lvl>
    <w:lvl w:ilvl="8" w:tplc="0409001B" w:tentative="1">
      <w:start w:val="1"/>
      <w:numFmt w:val="lowerRoman"/>
      <w:lvlText w:val="%9."/>
      <w:lvlJc w:val="right"/>
      <w:pPr>
        <w:ind w:left="10874" w:hanging="180"/>
      </w:pPr>
    </w:lvl>
  </w:abstractNum>
  <w:abstractNum w:abstractNumId="8" w15:restartNumberingAfterBreak="0">
    <w:nsid w:val="2E8E33C7"/>
    <w:multiLevelType w:val="hybridMultilevel"/>
    <w:tmpl w:val="20BE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428BA"/>
    <w:multiLevelType w:val="hybridMultilevel"/>
    <w:tmpl w:val="533E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E4F42"/>
    <w:multiLevelType w:val="hybridMultilevel"/>
    <w:tmpl w:val="C0D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613FF"/>
    <w:multiLevelType w:val="hybridMultilevel"/>
    <w:tmpl w:val="86F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B7D5F"/>
    <w:multiLevelType w:val="hybridMultilevel"/>
    <w:tmpl w:val="1118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46DC1"/>
    <w:multiLevelType w:val="hybridMultilevel"/>
    <w:tmpl w:val="CA20C8EC"/>
    <w:lvl w:ilvl="0" w:tplc="B70858EE">
      <w:start w:val="1"/>
      <w:numFmt w:val="decimal"/>
      <w:lvlText w:val="%1."/>
      <w:lvlJc w:val="left"/>
      <w:pPr>
        <w:ind w:left="328" w:hanging="300"/>
      </w:pPr>
      <w:rPr>
        <w:rFonts w:ascii="Palatino Linotype" w:eastAsia="Palatino Linotype" w:hAnsi="Palatino Linotype" w:cs="Palatino Linotype" w:hint="default"/>
        <w:b w:val="0"/>
        <w:bCs w:val="0"/>
        <w:i w:val="0"/>
        <w:iCs w:val="0"/>
        <w:color w:val="231F20"/>
        <w:spacing w:val="0"/>
        <w:w w:val="88"/>
        <w:sz w:val="18"/>
        <w:szCs w:val="18"/>
        <w:lang w:val="en-US" w:eastAsia="en-US" w:bidi="ar-SA"/>
      </w:rPr>
    </w:lvl>
    <w:lvl w:ilvl="1" w:tplc="1CA448F4">
      <w:numFmt w:val="bullet"/>
      <w:lvlText w:val="•"/>
      <w:lvlJc w:val="left"/>
      <w:pPr>
        <w:ind w:left="740" w:hanging="300"/>
      </w:pPr>
      <w:rPr>
        <w:rFonts w:hint="default"/>
        <w:lang w:val="en-US" w:eastAsia="en-US" w:bidi="ar-SA"/>
      </w:rPr>
    </w:lvl>
    <w:lvl w:ilvl="2" w:tplc="0518D782">
      <w:numFmt w:val="bullet"/>
      <w:lvlText w:val="•"/>
      <w:lvlJc w:val="left"/>
      <w:pPr>
        <w:ind w:left="1160" w:hanging="300"/>
      </w:pPr>
      <w:rPr>
        <w:rFonts w:hint="default"/>
        <w:lang w:val="en-US" w:eastAsia="en-US" w:bidi="ar-SA"/>
      </w:rPr>
    </w:lvl>
    <w:lvl w:ilvl="3" w:tplc="12549B2A">
      <w:numFmt w:val="bullet"/>
      <w:lvlText w:val="•"/>
      <w:lvlJc w:val="left"/>
      <w:pPr>
        <w:ind w:left="1580" w:hanging="300"/>
      </w:pPr>
      <w:rPr>
        <w:rFonts w:hint="default"/>
        <w:lang w:val="en-US" w:eastAsia="en-US" w:bidi="ar-SA"/>
      </w:rPr>
    </w:lvl>
    <w:lvl w:ilvl="4" w:tplc="FFC26B34">
      <w:numFmt w:val="bullet"/>
      <w:lvlText w:val="•"/>
      <w:lvlJc w:val="left"/>
      <w:pPr>
        <w:ind w:left="2001" w:hanging="300"/>
      </w:pPr>
      <w:rPr>
        <w:rFonts w:hint="default"/>
        <w:lang w:val="en-US" w:eastAsia="en-US" w:bidi="ar-SA"/>
      </w:rPr>
    </w:lvl>
    <w:lvl w:ilvl="5" w:tplc="19C85360">
      <w:numFmt w:val="bullet"/>
      <w:lvlText w:val="•"/>
      <w:lvlJc w:val="left"/>
      <w:pPr>
        <w:ind w:left="2421" w:hanging="300"/>
      </w:pPr>
      <w:rPr>
        <w:rFonts w:hint="default"/>
        <w:lang w:val="en-US" w:eastAsia="en-US" w:bidi="ar-SA"/>
      </w:rPr>
    </w:lvl>
    <w:lvl w:ilvl="6" w:tplc="258E36A8">
      <w:numFmt w:val="bullet"/>
      <w:lvlText w:val="•"/>
      <w:lvlJc w:val="left"/>
      <w:pPr>
        <w:ind w:left="2841" w:hanging="300"/>
      </w:pPr>
      <w:rPr>
        <w:rFonts w:hint="default"/>
        <w:lang w:val="en-US" w:eastAsia="en-US" w:bidi="ar-SA"/>
      </w:rPr>
    </w:lvl>
    <w:lvl w:ilvl="7" w:tplc="2F60C530">
      <w:numFmt w:val="bullet"/>
      <w:lvlText w:val="•"/>
      <w:lvlJc w:val="left"/>
      <w:pPr>
        <w:ind w:left="3261" w:hanging="300"/>
      </w:pPr>
      <w:rPr>
        <w:rFonts w:hint="default"/>
        <w:lang w:val="en-US" w:eastAsia="en-US" w:bidi="ar-SA"/>
      </w:rPr>
    </w:lvl>
    <w:lvl w:ilvl="8" w:tplc="75888314">
      <w:numFmt w:val="bullet"/>
      <w:lvlText w:val="•"/>
      <w:lvlJc w:val="left"/>
      <w:pPr>
        <w:ind w:left="3682" w:hanging="300"/>
      </w:pPr>
      <w:rPr>
        <w:rFonts w:hint="default"/>
        <w:lang w:val="en-US" w:eastAsia="en-US" w:bidi="ar-SA"/>
      </w:rPr>
    </w:lvl>
  </w:abstractNum>
  <w:abstractNum w:abstractNumId="14" w15:restartNumberingAfterBreak="0">
    <w:nsid w:val="5D44420C"/>
    <w:multiLevelType w:val="multilevel"/>
    <w:tmpl w:val="710A303E"/>
    <w:lvl w:ilvl="0">
      <w:start w:val="1"/>
      <w:numFmt w:val="decimal"/>
      <w:lvlText w:val="%1."/>
      <w:lvlJc w:val="left"/>
      <w:pPr>
        <w:ind w:left="748" w:hanging="360"/>
      </w:pPr>
    </w:lvl>
    <w:lvl w:ilvl="1">
      <w:start w:val="1"/>
      <w:numFmt w:val="decimal"/>
      <w:isLgl/>
      <w:lvlText w:val="%1.%2"/>
      <w:lvlJc w:val="left"/>
      <w:pPr>
        <w:ind w:left="748"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08" w:hanging="720"/>
      </w:pPr>
      <w:rPr>
        <w:rFonts w:hint="default"/>
      </w:rPr>
    </w:lvl>
    <w:lvl w:ilvl="4">
      <w:start w:val="1"/>
      <w:numFmt w:val="decimal"/>
      <w:isLgl/>
      <w:lvlText w:val="%1.%2.%3.%4.%5"/>
      <w:lvlJc w:val="left"/>
      <w:pPr>
        <w:ind w:left="1108" w:hanging="720"/>
      </w:pPr>
      <w:rPr>
        <w:rFonts w:hint="default"/>
      </w:rPr>
    </w:lvl>
    <w:lvl w:ilvl="5">
      <w:start w:val="1"/>
      <w:numFmt w:val="decimal"/>
      <w:isLgl/>
      <w:lvlText w:val="%1.%2.%3.%4.%5.%6"/>
      <w:lvlJc w:val="left"/>
      <w:pPr>
        <w:ind w:left="1468" w:hanging="1080"/>
      </w:pPr>
      <w:rPr>
        <w:rFonts w:hint="default"/>
      </w:rPr>
    </w:lvl>
    <w:lvl w:ilvl="6">
      <w:start w:val="1"/>
      <w:numFmt w:val="decimal"/>
      <w:isLgl/>
      <w:lvlText w:val="%1.%2.%3.%4.%5.%6.%7"/>
      <w:lvlJc w:val="left"/>
      <w:pPr>
        <w:ind w:left="1468" w:hanging="108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28" w:hanging="1440"/>
      </w:pPr>
      <w:rPr>
        <w:rFonts w:hint="default"/>
      </w:rPr>
    </w:lvl>
  </w:abstractNum>
  <w:abstractNum w:abstractNumId="15" w15:restartNumberingAfterBreak="0">
    <w:nsid w:val="5EB76190"/>
    <w:multiLevelType w:val="hybridMultilevel"/>
    <w:tmpl w:val="19D4248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6" w15:restartNumberingAfterBreak="0">
    <w:nsid w:val="602D5FD4"/>
    <w:multiLevelType w:val="hybridMultilevel"/>
    <w:tmpl w:val="ECBEF1BC"/>
    <w:lvl w:ilvl="0" w:tplc="0512DEF4">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7" w15:restartNumberingAfterBreak="0">
    <w:nsid w:val="674C19BF"/>
    <w:multiLevelType w:val="hybridMultilevel"/>
    <w:tmpl w:val="AF5C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A2972"/>
    <w:multiLevelType w:val="hybridMultilevel"/>
    <w:tmpl w:val="74E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014D0"/>
    <w:multiLevelType w:val="multilevel"/>
    <w:tmpl w:val="E56C1526"/>
    <w:lvl w:ilvl="0">
      <w:start w:val="1"/>
      <w:numFmt w:val="decimal"/>
      <w:lvlText w:val="%1."/>
      <w:lvlJc w:val="left"/>
      <w:pPr>
        <w:ind w:left="388" w:hanging="360"/>
      </w:pPr>
      <w:rPr>
        <w:rFonts w:hint="default"/>
        <w:color w:val="231F20"/>
        <w:w w:val="105"/>
      </w:rPr>
    </w:lvl>
    <w:lvl w:ilvl="1">
      <w:start w:val="4"/>
      <w:numFmt w:val="decimal"/>
      <w:isLgl/>
      <w:lvlText w:val="%1.%2"/>
      <w:lvlJc w:val="left"/>
      <w:pPr>
        <w:ind w:left="388" w:hanging="36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748" w:hanging="72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108" w:hanging="108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68" w:hanging="1440"/>
      </w:pPr>
      <w:rPr>
        <w:rFonts w:hint="default"/>
      </w:rPr>
    </w:lvl>
  </w:abstractNum>
  <w:abstractNum w:abstractNumId="20" w15:restartNumberingAfterBreak="0">
    <w:nsid w:val="79FD3535"/>
    <w:multiLevelType w:val="hybridMultilevel"/>
    <w:tmpl w:val="0616F510"/>
    <w:lvl w:ilvl="0" w:tplc="1358726E">
      <w:start w:val="1"/>
      <w:numFmt w:val="decimal"/>
      <w:lvlText w:val="%1."/>
      <w:lvlJc w:val="left"/>
      <w:pPr>
        <w:ind w:left="316" w:hanging="288"/>
      </w:pPr>
      <w:rPr>
        <w:rFonts w:ascii="Calibri" w:eastAsia="Calibri" w:hAnsi="Calibri" w:cs="Calibri" w:hint="default"/>
        <w:b w:val="0"/>
        <w:bCs w:val="0"/>
        <w:i w:val="0"/>
        <w:iCs w:val="0"/>
        <w:color w:val="231F20"/>
        <w:spacing w:val="0"/>
        <w:w w:val="105"/>
        <w:sz w:val="28"/>
        <w:szCs w:val="28"/>
        <w:lang w:val="en-US" w:eastAsia="en-US" w:bidi="ar-SA"/>
      </w:rPr>
    </w:lvl>
    <w:lvl w:ilvl="1" w:tplc="7BE695FC">
      <w:start w:val="1"/>
      <w:numFmt w:val="decimal"/>
      <w:lvlText w:val="%2"/>
      <w:lvlJc w:val="left"/>
      <w:pPr>
        <w:ind w:left="255" w:hanging="227"/>
      </w:pPr>
      <w:rPr>
        <w:rFonts w:ascii="Arial" w:eastAsia="Arial" w:hAnsi="Arial" w:cs="Arial" w:hint="default"/>
        <w:b/>
        <w:bCs/>
        <w:i w:val="0"/>
        <w:iCs w:val="0"/>
        <w:color w:val="808285"/>
        <w:spacing w:val="0"/>
        <w:w w:val="98"/>
        <w:sz w:val="18"/>
        <w:szCs w:val="18"/>
        <w:lang w:val="en-US" w:eastAsia="en-US" w:bidi="ar-SA"/>
      </w:rPr>
    </w:lvl>
    <w:lvl w:ilvl="2" w:tplc="73EA5AE8">
      <w:numFmt w:val="bullet"/>
      <w:lvlText w:val="•"/>
      <w:lvlJc w:val="left"/>
      <w:pPr>
        <w:ind w:left="320" w:hanging="227"/>
      </w:pPr>
      <w:rPr>
        <w:rFonts w:hint="default"/>
        <w:lang w:val="en-US" w:eastAsia="en-US" w:bidi="ar-SA"/>
      </w:rPr>
    </w:lvl>
    <w:lvl w:ilvl="3" w:tplc="FBFCB1D2">
      <w:numFmt w:val="bullet"/>
      <w:lvlText w:val="•"/>
      <w:lvlJc w:val="left"/>
      <w:pPr>
        <w:ind w:left="248" w:hanging="227"/>
      </w:pPr>
      <w:rPr>
        <w:rFonts w:hint="default"/>
        <w:lang w:val="en-US" w:eastAsia="en-US" w:bidi="ar-SA"/>
      </w:rPr>
    </w:lvl>
    <w:lvl w:ilvl="4" w:tplc="6D5E46F0">
      <w:numFmt w:val="bullet"/>
      <w:lvlText w:val="•"/>
      <w:lvlJc w:val="left"/>
      <w:pPr>
        <w:ind w:left="176" w:hanging="227"/>
      </w:pPr>
      <w:rPr>
        <w:rFonts w:hint="default"/>
        <w:lang w:val="en-US" w:eastAsia="en-US" w:bidi="ar-SA"/>
      </w:rPr>
    </w:lvl>
    <w:lvl w:ilvl="5" w:tplc="CAD262B6">
      <w:numFmt w:val="bullet"/>
      <w:lvlText w:val="•"/>
      <w:lvlJc w:val="left"/>
      <w:pPr>
        <w:ind w:left="104" w:hanging="227"/>
      </w:pPr>
      <w:rPr>
        <w:rFonts w:hint="default"/>
        <w:lang w:val="en-US" w:eastAsia="en-US" w:bidi="ar-SA"/>
      </w:rPr>
    </w:lvl>
    <w:lvl w:ilvl="6" w:tplc="7A5ED1D2">
      <w:numFmt w:val="bullet"/>
      <w:lvlText w:val="•"/>
      <w:lvlJc w:val="left"/>
      <w:pPr>
        <w:ind w:left="32" w:hanging="227"/>
      </w:pPr>
      <w:rPr>
        <w:rFonts w:hint="default"/>
        <w:lang w:val="en-US" w:eastAsia="en-US" w:bidi="ar-SA"/>
      </w:rPr>
    </w:lvl>
    <w:lvl w:ilvl="7" w:tplc="F50C5DAA">
      <w:numFmt w:val="bullet"/>
      <w:lvlText w:val="•"/>
      <w:lvlJc w:val="left"/>
      <w:pPr>
        <w:ind w:left="-39" w:hanging="227"/>
      </w:pPr>
      <w:rPr>
        <w:rFonts w:hint="default"/>
        <w:lang w:val="en-US" w:eastAsia="en-US" w:bidi="ar-SA"/>
      </w:rPr>
    </w:lvl>
    <w:lvl w:ilvl="8" w:tplc="CA48B3F2">
      <w:numFmt w:val="bullet"/>
      <w:lvlText w:val="•"/>
      <w:lvlJc w:val="left"/>
      <w:pPr>
        <w:ind w:left="-111" w:hanging="227"/>
      </w:pPr>
      <w:rPr>
        <w:rFonts w:hint="default"/>
        <w:lang w:val="en-US" w:eastAsia="en-US" w:bidi="ar-SA"/>
      </w:rPr>
    </w:lvl>
  </w:abstractNum>
  <w:num w:numId="1">
    <w:abstractNumId w:val="13"/>
  </w:num>
  <w:num w:numId="2">
    <w:abstractNumId w:val="20"/>
  </w:num>
  <w:num w:numId="3">
    <w:abstractNumId w:val="7"/>
  </w:num>
  <w:num w:numId="4">
    <w:abstractNumId w:val="14"/>
  </w:num>
  <w:num w:numId="5">
    <w:abstractNumId w:val="18"/>
  </w:num>
  <w:num w:numId="6">
    <w:abstractNumId w:val="8"/>
  </w:num>
  <w:num w:numId="7">
    <w:abstractNumId w:val="12"/>
  </w:num>
  <w:num w:numId="8">
    <w:abstractNumId w:val="19"/>
  </w:num>
  <w:num w:numId="9">
    <w:abstractNumId w:val="15"/>
  </w:num>
  <w:num w:numId="10">
    <w:abstractNumId w:val="16"/>
  </w:num>
  <w:num w:numId="11">
    <w:abstractNumId w:val="0"/>
  </w:num>
  <w:num w:numId="12">
    <w:abstractNumId w:val="11"/>
  </w:num>
  <w:num w:numId="13">
    <w:abstractNumId w:val="3"/>
  </w:num>
  <w:num w:numId="14">
    <w:abstractNumId w:val="1"/>
  </w:num>
  <w:num w:numId="15">
    <w:abstractNumId w:val="4"/>
  </w:num>
  <w:num w:numId="16">
    <w:abstractNumId w:val="5"/>
  </w:num>
  <w:num w:numId="17">
    <w:abstractNumId w:val="9"/>
  </w:num>
  <w:num w:numId="18">
    <w:abstractNumId w:val="10"/>
  </w:num>
  <w:num w:numId="19">
    <w:abstractNumId w:val="17"/>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wMDeyMDQ1NbSwsDRQ0lEKTi0uzszPAykwrAUAEs9h/iwAAAA="/>
  </w:docVars>
  <w:rsids>
    <w:rsidRoot w:val="00065BF5"/>
    <w:rsid w:val="0000007D"/>
    <w:rsid w:val="0003630F"/>
    <w:rsid w:val="00065BF5"/>
    <w:rsid w:val="000A6D66"/>
    <w:rsid w:val="000B70E0"/>
    <w:rsid w:val="000D37F5"/>
    <w:rsid w:val="000F379F"/>
    <w:rsid w:val="0010036F"/>
    <w:rsid w:val="00100930"/>
    <w:rsid w:val="001324A2"/>
    <w:rsid w:val="00170C1A"/>
    <w:rsid w:val="001A0C10"/>
    <w:rsid w:val="001A3883"/>
    <w:rsid w:val="001B4634"/>
    <w:rsid w:val="001B65B2"/>
    <w:rsid w:val="001D2701"/>
    <w:rsid w:val="00273C30"/>
    <w:rsid w:val="00287322"/>
    <w:rsid w:val="002927E4"/>
    <w:rsid w:val="002B39A0"/>
    <w:rsid w:val="002E24D3"/>
    <w:rsid w:val="002E30F0"/>
    <w:rsid w:val="003B2DDF"/>
    <w:rsid w:val="003C6C04"/>
    <w:rsid w:val="003E793B"/>
    <w:rsid w:val="003E7946"/>
    <w:rsid w:val="00414997"/>
    <w:rsid w:val="004149D7"/>
    <w:rsid w:val="004336EE"/>
    <w:rsid w:val="00451F7B"/>
    <w:rsid w:val="0046330F"/>
    <w:rsid w:val="00487B59"/>
    <w:rsid w:val="004A11E2"/>
    <w:rsid w:val="004C02BF"/>
    <w:rsid w:val="004D038C"/>
    <w:rsid w:val="00561FAD"/>
    <w:rsid w:val="00585194"/>
    <w:rsid w:val="00591E24"/>
    <w:rsid w:val="00597FA8"/>
    <w:rsid w:val="005A1233"/>
    <w:rsid w:val="005B327E"/>
    <w:rsid w:val="005D0416"/>
    <w:rsid w:val="005D381F"/>
    <w:rsid w:val="00614855"/>
    <w:rsid w:val="006447F0"/>
    <w:rsid w:val="00647FD9"/>
    <w:rsid w:val="00672C20"/>
    <w:rsid w:val="00676A24"/>
    <w:rsid w:val="00696576"/>
    <w:rsid w:val="006B429F"/>
    <w:rsid w:val="006C4967"/>
    <w:rsid w:val="006C539F"/>
    <w:rsid w:val="006D3C0D"/>
    <w:rsid w:val="00711322"/>
    <w:rsid w:val="00727ACA"/>
    <w:rsid w:val="007415A9"/>
    <w:rsid w:val="00741DFE"/>
    <w:rsid w:val="00756AFE"/>
    <w:rsid w:val="00787B3F"/>
    <w:rsid w:val="00797081"/>
    <w:rsid w:val="007A130E"/>
    <w:rsid w:val="007B4EA4"/>
    <w:rsid w:val="007D3E02"/>
    <w:rsid w:val="008162CE"/>
    <w:rsid w:val="00820BAC"/>
    <w:rsid w:val="00821A50"/>
    <w:rsid w:val="00867426"/>
    <w:rsid w:val="0087095E"/>
    <w:rsid w:val="008A20A5"/>
    <w:rsid w:val="008A3FFB"/>
    <w:rsid w:val="008D62D8"/>
    <w:rsid w:val="008F2813"/>
    <w:rsid w:val="009125EA"/>
    <w:rsid w:val="009157E2"/>
    <w:rsid w:val="00952BB9"/>
    <w:rsid w:val="00961998"/>
    <w:rsid w:val="00993BC5"/>
    <w:rsid w:val="00995B8A"/>
    <w:rsid w:val="00996282"/>
    <w:rsid w:val="009C6591"/>
    <w:rsid w:val="00A04980"/>
    <w:rsid w:val="00A11D65"/>
    <w:rsid w:val="00A15AC0"/>
    <w:rsid w:val="00A44FC9"/>
    <w:rsid w:val="00A5392C"/>
    <w:rsid w:val="00A56BF7"/>
    <w:rsid w:val="00A668B0"/>
    <w:rsid w:val="00A8776C"/>
    <w:rsid w:val="00A931A0"/>
    <w:rsid w:val="00AA4066"/>
    <w:rsid w:val="00AE021E"/>
    <w:rsid w:val="00B05FF6"/>
    <w:rsid w:val="00B23CDB"/>
    <w:rsid w:val="00B33A94"/>
    <w:rsid w:val="00B52050"/>
    <w:rsid w:val="00B7687D"/>
    <w:rsid w:val="00B7702B"/>
    <w:rsid w:val="00B820ED"/>
    <w:rsid w:val="00B8505C"/>
    <w:rsid w:val="00B95F0C"/>
    <w:rsid w:val="00BA0EE2"/>
    <w:rsid w:val="00BB0DEE"/>
    <w:rsid w:val="00BB5C89"/>
    <w:rsid w:val="00BC5600"/>
    <w:rsid w:val="00C126AD"/>
    <w:rsid w:val="00C131F5"/>
    <w:rsid w:val="00C31B12"/>
    <w:rsid w:val="00C41127"/>
    <w:rsid w:val="00C8647A"/>
    <w:rsid w:val="00CA3ADA"/>
    <w:rsid w:val="00CA631D"/>
    <w:rsid w:val="00CA762D"/>
    <w:rsid w:val="00CB1E05"/>
    <w:rsid w:val="00CB1E5A"/>
    <w:rsid w:val="00CC6AE1"/>
    <w:rsid w:val="00CC6C96"/>
    <w:rsid w:val="00CF4CDB"/>
    <w:rsid w:val="00D224D0"/>
    <w:rsid w:val="00D5349D"/>
    <w:rsid w:val="00D660F4"/>
    <w:rsid w:val="00D736C9"/>
    <w:rsid w:val="00D83657"/>
    <w:rsid w:val="00DA41FA"/>
    <w:rsid w:val="00DA7897"/>
    <w:rsid w:val="00DB1084"/>
    <w:rsid w:val="00DC053C"/>
    <w:rsid w:val="00DC663C"/>
    <w:rsid w:val="00DE3950"/>
    <w:rsid w:val="00DE537D"/>
    <w:rsid w:val="00DF7ED0"/>
    <w:rsid w:val="00E012B6"/>
    <w:rsid w:val="00E02FD0"/>
    <w:rsid w:val="00E34814"/>
    <w:rsid w:val="00E37E79"/>
    <w:rsid w:val="00E6470E"/>
    <w:rsid w:val="00E73858"/>
    <w:rsid w:val="00E83E97"/>
    <w:rsid w:val="00EB4498"/>
    <w:rsid w:val="00EB5655"/>
    <w:rsid w:val="00ED3C3B"/>
    <w:rsid w:val="00F130CA"/>
    <w:rsid w:val="00F40D54"/>
    <w:rsid w:val="00F42AEE"/>
    <w:rsid w:val="00F614A2"/>
    <w:rsid w:val="00F627F4"/>
    <w:rsid w:val="00F71CCB"/>
    <w:rsid w:val="00FA35B4"/>
    <w:rsid w:val="00FD27BB"/>
    <w:rsid w:val="00FD567B"/>
    <w:rsid w:val="00FF56F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73E62"/>
  <w15:docId w15:val="{47AF9E54-A783-4A9D-8F2D-842BB675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spacing w:before="53"/>
      <w:ind w:left="314" w:hanging="286"/>
      <w:outlineLvl w:val="0"/>
    </w:pPr>
    <w:rPr>
      <w:rFonts w:ascii="Calibri" w:eastAsia="Calibri" w:hAnsi="Calibri" w:cs="Calibri"/>
      <w:sz w:val="28"/>
      <w:szCs w:val="28"/>
    </w:rPr>
  </w:style>
  <w:style w:type="paragraph" w:styleId="Heading2">
    <w:name w:val="heading 2"/>
    <w:basedOn w:val="Normal"/>
    <w:uiPriority w:val="9"/>
    <w:unhideWhenUsed/>
    <w:qFormat/>
    <w:pPr>
      <w:spacing w:before="131"/>
      <w:ind w:left="28"/>
      <w:jc w:val="both"/>
      <w:outlineLvl w:val="1"/>
    </w:pPr>
  </w:style>
  <w:style w:type="paragraph" w:styleId="Heading3">
    <w:name w:val="heading 3"/>
    <w:basedOn w:val="Normal"/>
    <w:next w:val="Normal"/>
    <w:link w:val="Heading3Char"/>
    <w:uiPriority w:val="9"/>
    <w:semiHidden/>
    <w:unhideWhenUsed/>
    <w:qFormat/>
    <w:rsid w:val="00CF4CD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15A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0"/>
      <w:szCs w:val="20"/>
    </w:rPr>
  </w:style>
  <w:style w:type="paragraph" w:styleId="Title">
    <w:name w:val="Title"/>
    <w:basedOn w:val="Normal"/>
    <w:uiPriority w:val="10"/>
    <w:qFormat/>
    <w:pPr>
      <w:spacing w:before="291"/>
      <w:ind w:left="67" w:right="1651"/>
    </w:pPr>
    <w:rPr>
      <w:rFonts w:ascii="Calibri" w:eastAsia="Calibri" w:hAnsi="Calibri" w:cs="Calibri"/>
      <w:sz w:val="60"/>
      <w:szCs w:val="60"/>
    </w:rPr>
  </w:style>
  <w:style w:type="paragraph" w:styleId="ListParagraph">
    <w:name w:val="List Paragraph"/>
    <w:basedOn w:val="Normal"/>
    <w:uiPriority w:val="1"/>
    <w:qFormat/>
    <w:pPr>
      <w:spacing w:before="53"/>
      <w:ind w:left="357" w:hanging="300"/>
      <w:jc w:val="both"/>
    </w:pPr>
  </w:style>
  <w:style w:type="paragraph" w:customStyle="1" w:styleId="TableParagraph">
    <w:name w:val="Table Paragraph"/>
    <w:basedOn w:val="Normal"/>
    <w:uiPriority w:val="1"/>
    <w:qFormat/>
    <w:pPr>
      <w:spacing w:before="35"/>
      <w:ind w:right="6"/>
      <w:jc w:val="center"/>
    </w:pPr>
  </w:style>
  <w:style w:type="paragraph" w:styleId="Caption">
    <w:name w:val="caption"/>
    <w:basedOn w:val="Normal"/>
    <w:next w:val="Normal"/>
    <w:uiPriority w:val="35"/>
    <w:unhideWhenUsed/>
    <w:qFormat/>
    <w:rsid w:val="003B2DDF"/>
    <w:pPr>
      <w:spacing w:after="200"/>
    </w:pPr>
    <w:rPr>
      <w:i/>
      <w:iCs/>
      <w:color w:val="1F497D" w:themeColor="text2"/>
      <w:sz w:val="18"/>
      <w:szCs w:val="18"/>
    </w:rPr>
  </w:style>
  <w:style w:type="character" w:styleId="PlaceholderText">
    <w:name w:val="Placeholder Text"/>
    <w:basedOn w:val="DefaultParagraphFont"/>
    <w:uiPriority w:val="99"/>
    <w:semiHidden/>
    <w:rsid w:val="00CC6AE1"/>
    <w:rPr>
      <w:color w:val="808080"/>
    </w:rPr>
  </w:style>
  <w:style w:type="character" w:styleId="Strong">
    <w:name w:val="Strong"/>
    <w:basedOn w:val="DefaultParagraphFont"/>
    <w:uiPriority w:val="22"/>
    <w:qFormat/>
    <w:rsid w:val="00A15AC0"/>
    <w:rPr>
      <w:b/>
      <w:bCs/>
    </w:rPr>
  </w:style>
  <w:style w:type="character" w:customStyle="1" w:styleId="Heading4Char">
    <w:name w:val="Heading 4 Char"/>
    <w:basedOn w:val="DefaultParagraphFont"/>
    <w:link w:val="Heading4"/>
    <w:uiPriority w:val="9"/>
    <w:semiHidden/>
    <w:rsid w:val="00A15AC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A56BF7"/>
    <w:rPr>
      <w:i/>
      <w:iCs/>
    </w:rPr>
  </w:style>
  <w:style w:type="character" w:customStyle="1" w:styleId="Heading3Char">
    <w:name w:val="Heading 3 Char"/>
    <w:basedOn w:val="DefaultParagraphFont"/>
    <w:link w:val="Heading3"/>
    <w:uiPriority w:val="9"/>
    <w:semiHidden/>
    <w:rsid w:val="00CF4CD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81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696576"/>
  </w:style>
  <w:style w:type="character" w:customStyle="1" w:styleId="mord">
    <w:name w:val="mord"/>
    <w:basedOn w:val="DefaultParagraphFont"/>
    <w:rsid w:val="00696576"/>
  </w:style>
  <w:style w:type="character" w:customStyle="1" w:styleId="vlist-s">
    <w:name w:val="vlist-s"/>
    <w:basedOn w:val="DefaultParagraphFont"/>
    <w:rsid w:val="00696576"/>
  </w:style>
  <w:style w:type="character" w:styleId="Hyperlink">
    <w:name w:val="Hyperlink"/>
    <w:basedOn w:val="DefaultParagraphFont"/>
    <w:uiPriority w:val="99"/>
    <w:unhideWhenUsed/>
    <w:rsid w:val="00E34814"/>
    <w:rPr>
      <w:color w:val="0000FF" w:themeColor="hyperlink"/>
      <w:u w:val="single"/>
    </w:rPr>
  </w:style>
  <w:style w:type="character" w:customStyle="1" w:styleId="UnresolvedMention1">
    <w:name w:val="Unresolved Mention1"/>
    <w:basedOn w:val="DefaultParagraphFont"/>
    <w:uiPriority w:val="99"/>
    <w:semiHidden/>
    <w:unhideWhenUsed/>
    <w:rsid w:val="00E34814"/>
    <w:rPr>
      <w:color w:val="605E5C"/>
      <w:shd w:val="clear" w:color="auto" w:fill="E1DFDD"/>
    </w:rPr>
  </w:style>
  <w:style w:type="paragraph" w:styleId="Footer">
    <w:name w:val="footer"/>
    <w:basedOn w:val="Normal"/>
    <w:link w:val="FooterChar"/>
    <w:uiPriority w:val="99"/>
    <w:unhideWhenUsed/>
    <w:rsid w:val="004A11E2"/>
    <w:pPr>
      <w:tabs>
        <w:tab w:val="center" w:pos="4680"/>
        <w:tab w:val="right" w:pos="9360"/>
      </w:tabs>
    </w:pPr>
  </w:style>
  <w:style w:type="character" w:customStyle="1" w:styleId="FooterChar">
    <w:name w:val="Footer Char"/>
    <w:basedOn w:val="DefaultParagraphFont"/>
    <w:link w:val="Footer"/>
    <w:uiPriority w:val="99"/>
    <w:rsid w:val="004A11E2"/>
    <w:rPr>
      <w:rFonts w:ascii="Palatino Linotype" w:eastAsia="Palatino Linotype" w:hAnsi="Palatino Linotype" w:cs="Palatino Linotype"/>
    </w:rPr>
  </w:style>
  <w:style w:type="paragraph" w:styleId="Header">
    <w:name w:val="header"/>
    <w:basedOn w:val="Normal"/>
    <w:link w:val="HeaderChar"/>
    <w:uiPriority w:val="99"/>
    <w:unhideWhenUsed/>
    <w:rsid w:val="004A11E2"/>
    <w:pPr>
      <w:tabs>
        <w:tab w:val="center" w:pos="4680"/>
        <w:tab w:val="right" w:pos="9360"/>
      </w:tabs>
    </w:pPr>
  </w:style>
  <w:style w:type="character" w:customStyle="1" w:styleId="HeaderChar">
    <w:name w:val="Header Char"/>
    <w:basedOn w:val="DefaultParagraphFont"/>
    <w:link w:val="Header"/>
    <w:uiPriority w:val="99"/>
    <w:rsid w:val="004A11E2"/>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100930"/>
    <w:rPr>
      <w:rFonts w:ascii="Palatino Linotype" w:eastAsia="Palatino Linotype" w:hAnsi="Palatino Linotype" w:cs="Palatino Linotype"/>
      <w:sz w:val="20"/>
      <w:szCs w:val="20"/>
    </w:rPr>
  </w:style>
  <w:style w:type="character" w:customStyle="1" w:styleId="Heading1Char">
    <w:name w:val="Heading 1 Char"/>
    <w:basedOn w:val="DefaultParagraphFont"/>
    <w:link w:val="Heading1"/>
    <w:uiPriority w:val="9"/>
    <w:rsid w:val="000F379F"/>
    <w:rPr>
      <w:rFonts w:ascii="Calibri" w:eastAsia="Calibri" w:hAnsi="Calibri" w:cs="Calibri"/>
      <w:sz w:val="28"/>
      <w:szCs w:val="28"/>
    </w:rPr>
  </w:style>
  <w:style w:type="paragraph" w:styleId="BalloonText">
    <w:name w:val="Balloon Text"/>
    <w:basedOn w:val="Normal"/>
    <w:link w:val="BalloonTextChar"/>
    <w:uiPriority w:val="99"/>
    <w:semiHidden/>
    <w:unhideWhenUsed/>
    <w:rsid w:val="00995B8A"/>
    <w:rPr>
      <w:rFonts w:ascii="Tahoma" w:hAnsi="Tahoma" w:cs="Tahoma"/>
      <w:sz w:val="16"/>
      <w:szCs w:val="16"/>
    </w:rPr>
  </w:style>
  <w:style w:type="character" w:customStyle="1" w:styleId="BalloonTextChar">
    <w:name w:val="Balloon Text Char"/>
    <w:basedOn w:val="DefaultParagraphFont"/>
    <w:link w:val="BalloonText"/>
    <w:uiPriority w:val="99"/>
    <w:semiHidden/>
    <w:rsid w:val="00995B8A"/>
    <w:rPr>
      <w:rFonts w:ascii="Tahoma" w:eastAsia="Palatino Linotyp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967">
      <w:bodyDiv w:val="1"/>
      <w:marLeft w:val="0"/>
      <w:marRight w:val="0"/>
      <w:marTop w:val="0"/>
      <w:marBottom w:val="0"/>
      <w:divBdr>
        <w:top w:val="none" w:sz="0" w:space="0" w:color="auto"/>
        <w:left w:val="none" w:sz="0" w:space="0" w:color="auto"/>
        <w:bottom w:val="none" w:sz="0" w:space="0" w:color="auto"/>
        <w:right w:val="none" w:sz="0" w:space="0" w:color="auto"/>
      </w:divBdr>
    </w:div>
    <w:div w:id="527724196">
      <w:bodyDiv w:val="1"/>
      <w:marLeft w:val="0"/>
      <w:marRight w:val="0"/>
      <w:marTop w:val="0"/>
      <w:marBottom w:val="0"/>
      <w:divBdr>
        <w:top w:val="none" w:sz="0" w:space="0" w:color="auto"/>
        <w:left w:val="none" w:sz="0" w:space="0" w:color="auto"/>
        <w:bottom w:val="none" w:sz="0" w:space="0" w:color="auto"/>
        <w:right w:val="none" w:sz="0" w:space="0" w:color="auto"/>
      </w:divBdr>
    </w:div>
    <w:div w:id="771239355">
      <w:bodyDiv w:val="1"/>
      <w:marLeft w:val="0"/>
      <w:marRight w:val="0"/>
      <w:marTop w:val="0"/>
      <w:marBottom w:val="0"/>
      <w:divBdr>
        <w:top w:val="none" w:sz="0" w:space="0" w:color="auto"/>
        <w:left w:val="none" w:sz="0" w:space="0" w:color="auto"/>
        <w:bottom w:val="none" w:sz="0" w:space="0" w:color="auto"/>
        <w:right w:val="none" w:sz="0" w:space="0" w:color="auto"/>
      </w:divBdr>
    </w:div>
    <w:div w:id="775753438">
      <w:bodyDiv w:val="1"/>
      <w:marLeft w:val="0"/>
      <w:marRight w:val="0"/>
      <w:marTop w:val="0"/>
      <w:marBottom w:val="0"/>
      <w:divBdr>
        <w:top w:val="none" w:sz="0" w:space="0" w:color="auto"/>
        <w:left w:val="none" w:sz="0" w:space="0" w:color="auto"/>
        <w:bottom w:val="none" w:sz="0" w:space="0" w:color="auto"/>
        <w:right w:val="none" w:sz="0" w:space="0" w:color="auto"/>
      </w:divBdr>
    </w:div>
    <w:div w:id="776829273">
      <w:bodyDiv w:val="1"/>
      <w:marLeft w:val="0"/>
      <w:marRight w:val="0"/>
      <w:marTop w:val="0"/>
      <w:marBottom w:val="0"/>
      <w:divBdr>
        <w:top w:val="none" w:sz="0" w:space="0" w:color="auto"/>
        <w:left w:val="none" w:sz="0" w:space="0" w:color="auto"/>
        <w:bottom w:val="none" w:sz="0" w:space="0" w:color="auto"/>
        <w:right w:val="none" w:sz="0" w:space="0" w:color="auto"/>
      </w:divBdr>
    </w:div>
    <w:div w:id="967053728">
      <w:bodyDiv w:val="1"/>
      <w:marLeft w:val="0"/>
      <w:marRight w:val="0"/>
      <w:marTop w:val="0"/>
      <w:marBottom w:val="0"/>
      <w:divBdr>
        <w:top w:val="none" w:sz="0" w:space="0" w:color="auto"/>
        <w:left w:val="none" w:sz="0" w:space="0" w:color="auto"/>
        <w:bottom w:val="none" w:sz="0" w:space="0" w:color="auto"/>
        <w:right w:val="none" w:sz="0" w:space="0" w:color="auto"/>
      </w:divBdr>
    </w:div>
    <w:div w:id="1135174818">
      <w:bodyDiv w:val="1"/>
      <w:marLeft w:val="0"/>
      <w:marRight w:val="0"/>
      <w:marTop w:val="0"/>
      <w:marBottom w:val="0"/>
      <w:divBdr>
        <w:top w:val="none" w:sz="0" w:space="0" w:color="auto"/>
        <w:left w:val="none" w:sz="0" w:space="0" w:color="auto"/>
        <w:bottom w:val="none" w:sz="0" w:space="0" w:color="auto"/>
        <w:right w:val="none" w:sz="0" w:space="0" w:color="auto"/>
      </w:divBdr>
    </w:div>
    <w:div w:id="1347561150">
      <w:bodyDiv w:val="1"/>
      <w:marLeft w:val="0"/>
      <w:marRight w:val="0"/>
      <w:marTop w:val="0"/>
      <w:marBottom w:val="0"/>
      <w:divBdr>
        <w:top w:val="none" w:sz="0" w:space="0" w:color="auto"/>
        <w:left w:val="none" w:sz="0" w:space="0" w:color="auto"/>
        <w:bottom w:val="none" w:sz="0" w:space="0" w:color="auto"/>
        <w:right w:val="none" w:sz="0" w:space="0" w:color="auto"/>
      </w:divBdr>
    </w:div>
    <w:div w:id="1398170454">
      <w:bodyDiv w:val="1"/>
      <w:marLeft w:val="0"/>
      <w:marRight w:val="0"/>
      <w:marTop w:val="0"/>
      <w:marBottom w:val="0"/>
      <w:divBdr>
        <w:top w:val="none" w:sz="0" w:space="0" w:color="auto"/>
        <w:left w:val="none" w:sz="0" w:space="0" w:color="auto"/>
        <w:bottom w:val="none" w:sz="0" w:space="0" w:color="auto"/>
        <w:right w:val="none" w:sz="0" w:space="0" w:color="auto"/>
      </w:divBdr>
    </w:div>
    <w:div w:id="1830750421">
      <w:bodyDiv w:val="1"/>
      <w:marLeft w:val="0"/>
      <w:marRight w:val="0"/>
      <w:marTop w:val="0"/>
      <w:marBottom w:val="0"/>
      <w:divBdr>
        <w:top w:val="none" w:sz="0" w:space="0" w:color="auto"/>
        <w:left w:val="none" w:sz="0" w:space="0" w:color="auto"/>
        <w:bottom w:val="none" w:sz="0" w:space="0" w:color="auto"/>
        <w:right w:val="none" w:sz="0" w:space="0" w:color="auto"/>
      </w:divBdr>
    </w:div>
    <w:div w:id="1885290101">
      <w:bodyDiv w:val="1"/>
      <w:marLeft w:val="0"/>
      <w:marRight w:val="0"/>
      <w:marTop w:val="0"/>
      <w:marBottom w:val="0"/>
      <w:divBdr>
        <w:top w:val="none" w:sz="0" w:space="0" w:color="auto"/>
        <w:left w:val="none" w:sz="0" w:space="0" w:color="auto"/>
        <w:bottom w:val="none" w:sz="0" w:space="0" w:color="auto"/>
        <w:right w:val="none" w:sz="0" w:space="0" w:color="auto"/>
      </w:divBdr>
    </w:div>
    <w:div w:id="1965501722">
      <w:bodyDiv w:val="1"/>
      <w:marLeft w:val="0"/>
      <w:marRight w:val="0"/>
      <w:marTop w:val="0"/>
      <w:marBottom w:val="0"/>
      <w:divBdr>
        <w:top w:val="none" w:sz="0" w:space="0" w:color="auto"/>
        <w:left w:val="none" w:sz="0" w:space="0" w:color="auto"/>
        <w:bottom w:val="none" w:sz="0" w:space="0" w:color="auto"/>
        <w:right w:val="none" w:sz="0" w:space="0" w:color="auto"/>
      </w:divBdr>
    </w:div>
    <w:div w:id="2017223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0D51C75-661A-4FDE-938E-2F3E222B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9</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PC New 16</cp:lastModifiedBy>
  <cp:revision>38</cp:revision>
  <cp:lastPrinted>2025-09-16T08:17:00Z</cp:lastPrinted>
  <dcterms:created xsi:type="dcterms:W3CDTF">2025-08-29T13:52:00Z</dcterms:created>
  <dcterms:modified xsi:type="dcterms:W3CDTF">2025-11-20T04:45:00Z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Adobe InDesign 20.2 (Windows)</vt:lpwstr>
  </property>
  <property fmtid="{D5CDD505-2E9C-101B-9397-08002B2CF9AE}" pid="4" name="LastSaved">
    <vt:filetime>2025-08-15T00:00:00Z</vt:filetime>
  </property>
  <property fmtid="{D5CDD505-2E9C-101B-9397-08002B2CF9AE}" pid="5" name="Producer">
    <vt:lpwstr>3-Heights(TM) PDF Security Shell 4.8.25.2 (http://www.pdf-tools.com)</vt:lpwstr>
  </property>
</Properties>
</file>