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52829" w14:textId="77777777" w:rsidR="001040D1" w:rsidRDefault="005D36C1">
      <w:pPr>
        <w:tabs>
          <w:tab w:val="center" w:pos="4680"/>
        </w:tabs>
        <w:jc w:val="center"/>
        <w:rPr>
          <w:rFonts w:eastAsia="Calibri" w:cs="Times New Roman"/>
          <w:b/>
          <w:bCs/>
          <w:sz w:val="28"/>
          <w:szCs w:val="28"/>
        </w:rPr>
      </w:pPr>
      <w:r>
        <w:rPr>
          <w:rStyle w:val="HTMLCode"/>
          <w:rFonts w:ascii="Times New Roman" w:eastAsia="SimSun" w:hAnsi="Times New Roman" w:cs="Times New Roman"/>
          <w:b/>
          <w:bCs/>
          <w:sz w:val="28"/>
          <w:szCs w:val="28"/>
        </w:rPr>
        <w:t>The Impact of Tax Rates on the Profitability of Listed Oil and Gas Multinational Firms in Nigeria</w:t>
      </w:r>
    </w:p>
    <w:p w14:paraId="1DC27B33" w14:textId="77777777" w:rsidR="001040D1" w:rsidRDefault="005D36C1">
      <w:pPr>
        <w:tabs>
          <w:tab w:val="center" w:pos="4680"/>
        </w:tabs>
        <w:rPr>
          <w:rFonts w:eastAsia="Calibri" w:cs="Times New Roman"/>
          <w:b/>
          <w:bCs/>
          <w:szCs w:val="24"/>
        </w:rPr>
      </w:pPr>
      <w:r>
        <w:rPr>
          <w:rFonts w:eastAsia="Calibri" w:cs="Times New Roman"/>
          <w:b/>
          <w:bCs/>
          <w:szCs w:val="24"/>
        </w:rPr>
        <w:t xml:space="preserve"> ABSTRACT</w:t>
      </w:r>
    </w:p>
    <w:p w14:paraId="48FD0B63" w14:textId="77777777" w:rsidR="001040D1" w:rsidRDefault="005D36C1">
      <w:pPr>
        <w:pStyle w:val="NormalWeb"/>
        <w:spacing w:before="0" w:after="0"/>
        <w:rPr>
          <w:rStyle w:val="Strong"/>
          <w:b w:val="0"/>
          <w:bCs w:val="0"/>
        </w:rPr>
      </w:pPr>
      <w:r>
        <w:t xml:space="preserve">This research work examines the tax rate and profitability of multinational firms in Nigeria using the Multinational Oil Firms in Nigeria. </w:t>
      </w:r>
      <w:r>
        <w:rPr>
          <w:rStyle w:val="Strong"/>
          <w:b w:val="0"/>
          <w:bCs w:val="0"/>
        </w:rPr>
        <w:t>The study's population comprises the top five multinational oil and gas firms listed in Nigeria, namely Shell, Chevro</w:t>
      </w:r>
      <w:r>
        <w:rPr>
          <w:rStyle w:val="Strong"/>
          <w:b w:val="0"/>
          <w:bCs w:val="0"/>
        </w:rPr>
        <w:t>n, ExxonMobil, AGIP, and Total. A census sampling method was adopted for this study.</w:t>
      </w:r>
      <w:r>
        <w:t xml:space="preserve"> The data used are gathered from the published annual statement of accounts of the companies for a decade, </w:t>
      </w:r>
      <w:r>
        <w:rPr>
          <w:rStyle w:val="Strong"/>
          <w:b w:val="0"/>
          <w:bCs w:val="0"/>
        </w:rPr>
        <w:t>covering the period from 2011 to 2020. The Autoregressive Distrib</w:t>
      </w:r>
      <w:r>
        <w:rPr>
          <w:rStyle w:val="Strong"/>
          <w:b w:val="0"/>
          <w:bCs w:val="0"/>
        </w:rPr>
        <w:t>uted Lag (ARDL) model was utilized as the technique for data analysis.</w:t>
      </w:r>
      <w:r>
        <w:t xml:space="preserve"> Based on the results of the study: (1) H01 Marginal Tax Rate (MTR) on the short run has a negative and non-significant effect on Return on assets (ROA) with a p-value of 0.3940, (2) H02</w:t>
      </w:r>
      <w:r>
        <w:t xml:space="preserve"> Effective Tax Rate (ETR) on the short run has a positive and non-significant effect on Return on assets (ROA) with a p-value of 0.5976, (3) On the long run according to the result of the study; Effective Tax rate (ETR) has a negative and significant effec</w:t>
      </w:r>
      <w:r>
        <w:t>t. Therefore, the study recommends that the relevant tax authorities should formulate tax reforms that would result in low taxation return rates, especially the statutory tax rate, as it is observed that there are tax incidence rates on the profitability o</w:t>
      </w:r>
      <w:r>
        <w:t xml:space="preserve">f multinational firms. </w:t>
      </w:r>
      <w:r>
        <w:rPr>
          <w:rStyle w:val="Strong"/>
          <w:b w:val="0"/>
          <w:bCs w:val="0"/>
        </w:rPr>
        <w:t>Based on these findings, the study recommends that policymakers prioritize stable and predictable tax regimes to foster a conducive environment for investment and sustainable corporate growth in Nigeria.</w:t>
      </w:r>
    </w:p>
    <w:p w14:paraId="2EAAAB79" w14:textId="77777777" w:rsidR="001040D1" w:rsidRDefault="005D36C1">
      <w:pPr>
        <w:pStyle w:val="NormalWeb"/>
        <w:spacing w:before="0" w:after="0"/>
      </w:pPr>
      <w:r>
        <w:t xml:space="preserve">Keywords: </w:t>
      </w:r>
      <w:r>
        <w:rPr>
          <w:rStyle w:val="Emphasis"/>
        </w:rPr>
        <w:t>Tax, Tax rate, Prof</w:t>
      </w:r>
      <w:r>
        <w:rPr>
          <w:rStyle w:val="Emphasis"/>
        </w:rPr>
        <w:t>itability, Marginal Tax Rate (MTR), Effective Tax Rate (ETR), Average Tax Rate (ATR)</w:t>
      </w:r>
    </w:p>
    <w:p w14:paraId="435BEA6B" w14:textId="77777777" w:rsidR="001040D1" w:rsidRDefault="005D36C1">
      <w:pPr>
        <w:spacing w:after="160"/>
        <w:rPr>
          <w:rFonts w:eastAsia="Calibri" w:cs="Times New Roman"/>
          <w:b/>
          <w:sz w:val="28"/>
          <w:szCs w:val="28"/>
        </w:rPr>
      </w:pPr>
      <w:r>
        <w:rPr>
          <w:rFonts w:eastAsia="Calibri" w:cs="Times New Roman"/>
          <w:b/>
          <w:szCs w:val="24"/>
        </w:rPr>
        <w:t xml:space="preserve">1. </w:t>
      </w:r>
      <w:r>
        <w:rPr>
          <w:rFonts w:eastAsia="Calibri" w:cs="Times New Roman"/>
          <w:b/>
          <w:sz w:val="28"/>
          <w:szCs w:val="28"/>
        </w:rPr>
        <w:t>Introduction</w:t>
      </w:r>
    </w:p>
    <w:p w14:paraId="383CD98C" w14:textId="77777777" w:rsidR="001040D1" w:rsidRDefault="005D36C1">
      <w:pPr>
        <w:rPr>
          <w:rFonts w:cs="Times New Roman"/>
          <w:szCs w:val="24"/>
        </w:rPr>
      </w:pPr>
      <w:r>
        <w:rPr>
          <w:rFonts w:cs="Times New Roman"/>
          <w:szCs w:val="24"/>
        </w:rPr>
        <w:t>The performance of the multinational enterprises and their sustainability is one of the crucial indicators of the economic development of a nation, especia</w:t>
      </w:r>
      <w:r>
        <w:rPr>
          <w:rFonts w:cs="Times New Roman"/>
          <w:szCs w:val="24"/>
        </w:rPr>
        <w:t>lly a resource-dependent one like Nigeria. As a developing country with huge dependence on revenues from petroleum, the Nigerian fiscal framework is affected by the taxation system of the country. Taxation plays a significant role as a source of revenue to</w:t>
      </w:r>
      <w:r>
        <w:rPr>
          <w:rFonts w:cs="Times New Roman"/>
          <w:szCs w:val="24"/>
        </w:rPr>
        <w:t xml:space="preserve"> the government, making it possible for the government to finance infrastructure, social welfare, and macroeconomic stability (Ogbonna &amp; </w:t>
      </w:r>
      <w:proofErr w:type="spellStart"/>
      <w:r>
        <w:rPr>
          <w:rFonts w:cs="Times New Roman"/>
          <w:szCs w:val="24"/>
        </w:rPr>
        <w:t>Appah</w:t>
      </w:r>
      <w:proofErr w:type="spellEnd"/>
      <w:r>
        <w:rPr>
          <w:rFonts w:cs="Times New Roman"/>
          <w:szCs w:val="24"/>
        </w:rPr>
        <w:t>, 2012). Within this context, tax rates' interaction with corporate profitability has been the subject of consider</w:t>
      </w:r>
      <w:r>
        <w:rPr>
          <w:rFonts w:cs="Times New Roman"/>
          <w:szCs w:val="24"/>
        </w:rPr>
        <w:t>able scholarly interest, mainly because their relationship has implications for investment decisions, capital allocation and firm competitiveness.</w:t>
      </w:r>
    </w:p>
    <w:p w14:paraId="11729F10" w14:textId="77777777" w:rsidR="001040D1" w:rsidRDefault="005D36C1">
      <w:pPr>
        <w:rPr>
          <w:rFonts w:cs="Times New Roman"/>
          <w:szCs w:val="24"/>
        </w:rPr>
      </w:pPr>
      <w:r>
        <w:rPr>
          <w:rFonts w:cs="Times New Roman"/>
          <w:szCs w:val="24"/>
        </w:rPr>
        <w:t>Historically, taxes were introduced as a compulsory levy which was designed firstly to meet the cost of admin</w:t>
      </w:r>
      <w:r>
        <w:rPr>
          <w:rFonts w:cs="Times New Roman"/>
          <w:szCs w:val="24"/>
        </w:rPr>
        <w:t>istration and defence of states (</w:t>
      </w:r>
      <w:proofErr w:type="spellStart"/>
      <w:r>
        <w:rPr>
          <w:rFonts w:cs="Times New Roman"/>
          <w:szCs w:val="24"/>
        </w:rPr>
        <w:t>Kiabel</w:t>
      </w:r>
      <w:proofErr w:type="spellEnd"/>
      <w:r>
        <w:rPr>
          <w:rFonts w:cs="Times New Roman"/>
          <w:szCs w:val="24"/>
        </w:rPr>
        <w:t xml:space="preserve"> &amp; </w:t>
      </w:r>
      <w:proofErr w:type="spellStart"/>
      <w:r>
        <w:rPr>
          <w:rFonts w:cs="Times New Roman"/>
          <w:szCs w:val="24"/>
        </w:rPr>
        <w:t>Nwokah</w:t>
      </w:r>
      <w:proofErr w:type="spellEnd"/>
      <w:r>
        <w:rPr>
          <w:rFonts w:cs="Times New Roman"/>
          <w:szCs w:val="24"/>
        </w:rPr>
        <w:t>, 2009). However, in a modern economy, taxation has become a complex fiscal instrument for wealth redistribution, economic regulation, and stimulating the growth of industry. In Nigeria, the income tax of com</w:t>
      </w:r>
      <w:r>
        <w:rPr>
          <w:rFonts w:cs="Times New Roman"/>
          <w:szCs w:val="24"/>
        </w:rPr>
        <w:t>panies (CIT) is one of the significant components of the non-oil revenue that is imposed on the profits of all registered corporations (</w:t>
      </w:r>
      <w:proofErr w:type="spellStart"/>
      <w:r>
        <w:rPr>
          <w:rFonts w:cs="Times New Roman"/>
          <w:szCs w:val="24"/>
        </w:rPr>
        <w:t>Ezugwu</w:t>
      </w:r>
      <w:proofErr w:type="spellEnd"/>
      <w:r>
        <w:rPr>
          <w:rFonts w:cs="Times New Roman"/>
          <w:szCs w:val="24"/>
        </w:rPr>
        <w:t xml:space="preserve"> &amp; </w:t>
      </w:r>
      <w:proofErr w:type="spellStart"/>
      <w:r>
        <w:rPr>
          <w:rFonts w:cs="Times New Roman"/>
          <w:szCs w:val="24"/>
        </w:rPr>
        <w:t>Akubo</w:t>
      </w:r>
      <w:proofErr w:type="spellEnd"/>
      <w:r>
        <w:rPr>
          <w:rFonts w:cs="Times New Roman"/>
          <w:szCs w:val="24"/>
        </w:rPr>
        <w:t>, 2014). The challenge is, however, between revenue mobilisation and corporate performance incentives. Exc</w:t>
      </w:r>
      <w:r>
        <w:rPr>
          <w:rFonts w:cs="Times New Roman"/>
          <w:szCs w:val="24"/>
        </w:rPr>
        <w:t>essive tax burdens can deter investment, lower operational efficiency and stymie reinvestment potential.</w:t>
      </w:r>
    </w:p>
    <w:p w14:paraId="754CDC0F" w14:textId="77777777" w:rsidR="001040D1" w:rsidRDefault="005D36C1">
      <w:pPr>
        <w:rPr>
          <w:rFonts w:cs="Times New Roman"/>
          <w:szCs w:val="24"/>
        </w:rPr>
      </w:pPr>
      <w:r>
        <w:rPr>
          <w:rFonts w:cs="Times New Roman"/>
          <w:szCs w:val="24"/>
        </w:rPr>
        <w:lastRenderedPageBreak/>
        <w:t>Multinational corporations (MNCs) are dominating the strategic sectors of Nigeria, especially oil and gas, banking and manufacturing sectors. These fir</w:t>
      </w:r>
      <w:r>
        <w:rPr>
          <w:rFonts w:cs="Times New Roman"/>
          <w:szCs w:val="24"/>
        </w:rPr>
        <w:t>ms have massive power in the market and significantly contribute to the production of the nation. However, the profitability of these corporations is sensitive to the pressures in the fiscal environment and changing taxation regimes. While taxation is stil</w:t>
      </w:r>
      <w:r>
        <w:rPr>
          <w:rFonts w:cs="Times New Roman"/>
          <w:szCs w:val="24"/>
        </w:rPr>
        <w:t>l essential in public revenue, taxation also constitutes one of the cost factors that impact the net returns of the firms on one hand and long-term capital formation on the other (</w:t>
      </w:r>
      <w:proofErr w:type="spellStart"/>
      <w:r>
        <w:rPr>
          <w:rFonts w:cs="Times New Roman"/>
          <w:szCs w:val="24"/>
        </w:rPr>
        <w:t>Osibanjo</w:t>
      </w:r>
      <w:proofErr w:type="spellEnd"/>
      <w:r>
        <w:rPr>
          <w:rFonts w:cs="Times New Roman"/>
          <w:szCs w:val="24"/>
        </w:rPr>
        <w:t xml:space="preserve"> et al., 2014). In the oil sector, where exploration and oil compani</w:t>
      </w:r>
      <w:r>
        <w:rPr>
          <w:rFonts w:cs="Times New Roman"/>
          <w:szCs w:val="24"/>
        </w:rPr>
        <w:t>es such as Shell, Chevron, ExxonMobil, AGIP, Total, etc., work under joint venture and production sharing contracts, the tax rates are very crucial in determining the sustainability of investment and the profitability of organisations.</w:t>
      </w:r>
    </w:p>
    <w:p w14:paraId="20A334F2" w14:textId="77777777" w:rsidR="001040D1" w:rsidRDefault="005D36C1">
      <w:pPr>
        <w:rPr>
          <w:rFonts w:cs="Times New Roman"/>
          <w:szCs w:val="24"/>
        </w:rPr>
      </w:pPr>
      <w:r>
        <w:rPr>
          <w:rFonts w:cs="Times New Roman"/>
          <w:szCs w:val="24"/>
        </w:rPr>
        <w:t xml:space="preserve">Despite the absence </w:t>
      </w:r>
      <w:r>
        <w:rPr>
          <w:rFonts w:cs="Times New Roman"/>
          <w:szCs w:val="24"/>
        </w:rPr>
        <w:t>of reforms in the Nigerian tax administration, such as the introduction of the Finance Act (2019) and the efforts of the Federal Inland Revenue Service (FIRS) in improving the compliance issues of tax evasion, under-declaration of profits, and inconsistent</w:t>
      </w:r>
      <w:r>
        <w:rPr>
          <w:rFonts w:cs="Times New Roman"/>
          <w:szCs w:val="24"/>
        </w:rPr>
        <w:t xml:space="preserve"> enforcement of the law persist (Zucman, 2015). These challenges destroy fiscal efficiency and create ambiguity for investors from multinational companies. Moreover, there has been increased global tax competition, with corporate tax rates falling worldwid</w:t>
      </w:r>
      <w:r>
        <w:rPr>
          <w:rFonts w:cs="Times New Roman"/>
          <w:szCs w:val="24"/>
        </w:rPr>
        <w:t>e by almost 50% between 1985 and 2018 (Zucman, 2015), which puts pressure on developing economies to ensure they remain a competitive economy whilst also protecting their domestic revenue bases.</w:t>
      </w:r>
    </w:p>
    <w:p w14:paraId="3032E761" w14:textId="77777777" w:rsidR="001040D1" w:rsidRDefault="005D36C1">
      <w:pPr>
        <w:rPr>
          <w:rFonts w:cs="Times New Roman"/>
          <w:szCs w:val="24"/>
        </w:rPr>
      </w:pPr>
      <w:r>
        <w:rPr>
          <w:rFonts w:cs="Times New Roman"/>
          <w:szCs w:val="24"/>
        </w:rPr>
        <w:t>Therefore, it is important to know how significant the impact</w:t>
      </w:r>
      <w:r>
        <w:rPr>
          <w:rFonts w:cs="Times New Roman"/>
          <w:szCs w:val="24"/>
        </w:rPr>
        <w:t xml:space="preserve"> of tax rates on profitability is in order to make reasonable fiscal policy decisions. The present study analyses the short-run and long-run effects of Marginal Tax Rate (MTR), Effective Tax Rate (ETR) and Average Tax Rate (ATR) of the economy on the profi</w:t>
      </w:r>
      <w:r>
        <w:rPr>
          <w:rFonts w:cs="Times New Roman"/>
          <w:szCs w:val="24"/>
        </w:rPr>
        <w:t>tability of the MNC oil firms in Nigeria. Thus, by using the ex post facto research design and incorporating the Autoregressive Distributed Lag (ARDL) model to empirically test whether variation in tax creates any significant impact on the financial perfor</w:t>
      </w:r>
      <w:r>
        <w:rPr>
          <w:rFonts w:cs="Times New Roman"/>
          <w:szCs w:val="24"/>
        </w:rPr>
        <w:t>mance of the firms measured using the Return on Assets (ROA).</w:t>
      </w:r>
    </w:p>
    <w:p w14:paraId="2BE3484F" w14:textId="77777777" w:rsidR="001040D1" w:rsidRDefault="005D36C1">
      <w:pPr>
        <w:rPr>
          <w:rFonts w:cs="Times New Roman"/>
          <w:szCs w:val="24"/>
        </w:rPr>
      </w:pPr>
      <w:r>
        <w:rPr>
          <w:rFonts w:cs="Times New Roman"/>
          <w:szCs w:val="24"/>
        </w:rPr>
        <w:t>This research is significant because it contributes to the debate on the effect of fiscal policy on the performance of the private sector in emerging economies, which has been ongoing for a long</w:t>
      </w:r>
      <w:r>
        <w:rPr>
          <w:rFonts w:cs="Times New Roman"/>
          <w:szCs w:val="24"/>
        </w:rPr>
        <w:t xml:space="preserve"> time. It also creates some insight into how tax reforms can be optimised in balancing government revenue generation on one hand with the profit motives of a multinational corporation on the other. By addressing both the goals of equity and efficiency in t</w:t>
      </w:r>
      <w:r>
        <w:rPr>
          <w:rFonts w:cs="Times New Roman"/>
          <w:szCs w:val="24"/>
        </w:rPr>
        <w:t>axation, the findings can guide policymakers, investors and academics in developing policy and strategy for sustainable economic growth and corporate resilience.</w:t>
      </w:r>
    </w:p>
    <w:p w14:paraId="4959D0E5" w14:textId="77777777" w:rsidR="001040D1" w:rsidRDefault="005D36C1">
      <w:pPr>
        <w:rPr>
          <w:b/>
          <w:bCs/>
          <w:szCs w:val="24"/>
        </w:rPr>
      </w:pPr>
      <w:r>
        <w:rPr>
          <w:b/>
          <w:bCs/>
          <w:szCs w:val="24"/>
        </w:rPr>
        <w:t>2. LITERATURE REVIEW</w:t>
      </w:r>
    </w:p>
    <w:p w14:paraId="15AFC500" w14:textId="77777777" w:rsidR="001040D1" w:rsidRDefault="005D36C1">
      <w:pPr>
        <w:rPr>
          <w:b/>
          <w:bCs/>
          <w:szCs w:val="24"/>
        </w:rPr>
      </w:pPr>
      <w:r>
        <w:rPr>
          <w:b/>
          <w:bCs/>
          <w:szCs w:val="24"/>
        </w:rPr>
        <w:t>2.1 Conceptual Review</w:t>
      </w:r>
    </w:p>
    <w:p w14:paraId="13254261" w14:textId="77777777" w:rsidR="001040D1" w:rsidRDefault="005D36C1">
      <w:pPr>
        <w:rPr>
          <w:szCs w:val="24"/>
        </w:rPr>
      </w:pPr>
      <w:r>
        <w:rPr>
          <w:szCs w:val="24"/>
        </w:rPr>
        <w:t>This paper considers tax rates as Marginal Tax Rate</w:t>
      </w:r>
      <w:r>
        <w:rPr>
          <w:szCs w:val="24"/>
        </w:rPr>
        <w:t xml:space="preserve"> (MTR), Effective Tax rate (ETR), and Average Tax rate (ATR) as important independent variables. Profitability as a dependent variable is determined using the Return on Assets (ROA) which is the efficiency of a firm to use its assets to generate earnings.</w:t>
      </w:r>
    </w:p>
    <w:p w14:paraId="1770519E" w14:textId="77777777" w:rsidR="001040D1" w:rsidRDefault="005D36C1">
      <w:pPr>
        <w:rPr>
          <w:b/>
          <w:bCs/>
          <w:szCs w:val="24"/>
        </w:rPr>
      </w:pPr>
      <w:r>
        <w:rPr>
          <w:b/>
          <w:bCs/>
          <w:szCs w:val="24"/>
        </w:rPr>
        <w:t>2.2 Theoretical Framework</w:t>
      </w:r>
    </w:p>
    <w:p w14:paraId="4AF7CDB9" w14:textId="77777777" w:rsidR="001040D1" w:rsidRDefault="005D36C1">
      <w:pPr>
        <w:rPr>
          <w:szCs w:val="24"/>
        </w:rPr>
      </w:pPr>
      <w:r>
        <w:rPr>
          <w:szCs w:val="24"/>
        </w:rPr>
        <w:lastRenderedPageBreak/>
        <w:t>The paper bases itself on the Ability-to-Pay Theory (Kendrick, 1939) that states that taxes are supposed to be proportional to the financial power of a taxpayer. It is also based on Laffer Curve idea, which states that there is an</w:t>
      </w:r>
      <w:r>
        <w:rPr>
          <w:szCs w:val="24"/>
        </w:rPr>
        <w:t xml:space="preserve"> optimum tax rate over which increased taxes may discourage productivity and may actually decrease the overall collected government revenue.</w:t>
      </w:r>
    </w:p>
    <w:p w14:paraId="1F9C1C4F" w14:textId="77777777" w:rsidR="001040D1" w:rsidRDefault="005D36C1">
      <w:pPr>
        <w:rPr>
          <w:b/>
          <w:bCs/>
          <w:szCs w:val="24"/>
        </w:rPr>
      </w:pPr>
      <w:r>
        <w:rPr>
          <w:b/>
          <w:bCs/>
          <w:szCs w:val="24"/>
        </w:rPr>
        <w:t>2.3 Empirical Evidence</w:t>
      </w:r>
    </w:p>
    <w:p w14:paraId="42F6BDF8" w14:textId="77777777" w:rsidR="001040D1" w:rsidRDefault="005D36C1">
      <w:pPr>
        <w:rPr>
          <w:rFonts w:cs="Times New Roman"/>
          <w:szCs w:val="24"/>
        </w:rPr>
      </w:pPr>
      <w:r>
        <w:rPr>
          <w:szCs w:val="24"/>
        </w:rPr>
        <w:t xml:space="preserve">An inverse correlation between tax burdens and firm profitability is usually supported by </w:t>
      </w:r>
      <w:r>
        <w:rPr>
          <w:szCs w:val="24"/>
        </w:rPr>
        <w:t xml:space="preserve">empirical research. In Nigeria, the studies by Ogbonna and </w:t>
      </w:r>
      <w:proofErr w:type="spellStart"/>
      <w:r>
        <w:rPr>
          <w:szCs w:val="24"/>
        </w:rPr>
        <w:t>Ebimobowei</w:t>
      </w:r>
      <w:proofErr w:type="spellEnd"/>
      <w:r>
        <w:rPr>
          <w:szCs w:val="24"/>
        </w:rPr>
        <w:t xml:space="preserve"> (2012) and </w:t>
      </w:r>
      <w:proofErr w:type="spellStart"/>
      <w:r>
        <w:rPr>
          <w:szCs w:val="24"/>
        </w:rPr>
        <w:t>Chude</w:t>
      </w:r>
      <w:proofErr w:type="spellEnd"/>
      <w:r>
        <w:rPr>
          <w:szCs w:val="24"/>
        </w:rPr>
        <w:t xml:space="preserve"> and </w:t>
      </w:r>
      <w:proofErr w:type="spellStart"/>
      <w:r>
        <w:rPr>
          <w:szCs w:val="24"/>
        </w:rPr>
        <w:t>Chude</w:t>
      </w:r>
      <w:proofErr w:type="spellEnd"/>
      <w:r>
        <w:rPr>
          <w:szCs w:val="24"/>
        </w:rPr>
        <w:t xml:space="preserve"> (2015) revealed that corporate taxes have an adverse effect on the performance of a firm. </w:t>
      </w:r>
      <w:proofErr w:type="spellStart"/>
      <w:r>
        <w:rPr>
          <w:szCs w:val="24"/>
        </w:rPr>
        <w:t>Udeh</w:t>
      </w:r>
      <w:proofErr w:type="spellEnd"/>
      <w:r>
        <w:rPr>
          <w:szCs w:val="24"/>
        </w:rPr>
        <w:t xml:space="preserve"> and </w:t>
      </w:r>
      <w:proofErr w:type="spellStart"/>
      <w:r>
        <w:rPr>
          <w:szCs w:val="24"/>
        </w:rPr>
        <w:t>Eze</w:t>
      </w:r>
      <w:proofErr w:type="spellEnd"/>
      <w:r>
        <w:rPr>
          <w:szCs w:val="24"/>
        </w:rPr>
        <w:t xml:space="preserve"> (2024) note that current sector-related research indicat</w:t>
      </w:r>
      <w:r>
        <w:rPr>
          <w:szCs w:val="24"/>
        </w:rPr>
        <w:t>es that fiscal instability especially negatively affects investment and profitability of the oil and gas industry. On the global scale, it is observed that predictable tax systems lead to improved corporate planning and sustainability (</w:t>
      </w:r>
      <w:proofErr w:type="spellStart"/>
      <w:r>
        <w:rPr>
          <w:szCs w:val="24"/>
        </w:rPr>
        <w:t>Gribnau</w:t>
      </w:r>
      <w:proofErr w:type="spellEnd"/>
      <w:r>
        <w:rPr>
          <w:szCs w:val="24"/>
        </w:rPr>
        <w:t xml:space="preserve"> &amp; </w:t>
      </w:r>
      <w:proofErr w:type="spellStart"/>
      <w:r>
        <w:rPr>
          <w:szCs w:val="24"/>
        </w:rPr>
        <w:t>Jallai</w:t>
      </w:r>
      <w:proofErr w:type="spellEnd"/>
      <w:r>
        <w:rPr>
          <w:szCs w:val="24"/>
        </w:rPr>
        <w:t>, 20</w:t>
      </w:r>
      <w:r>
        <w:rPr>
          <w:szCs w:val="24"/>
        </w:rPr>
        <w:t xml:space="preserve">18; </w:t>
      </w:r>
      <w:proofErr w:type="spellStart"/>
      <w:r>
        <w:rPr>
          <w:szCs w:val="24"/>
        </w:rPr>
        <w:t>Slemrod</w:t>
      </w:r>
      <w:proofErr w:type="spellEnd"/>
      <w:r>
        <w:rPr>
          <w:szCs w:val="24"/>
        </w:rPr>
        <w:t>, 2019). The research is an important contribution to the existing literature as it performs a narrower deterministic analysis of the short and long-run dynamics of multiple tax rate variables with profitability in the critical oil and gas indus</w:t>
      </w:r>
      <w:r>
        <w:rPr>
          <w:szCs w:val="24"/>
        </w:rPr>
        <w:t>try of Nigeria through the ARDL method.</w:t>
      </w:r>
    </w:p>
    <w:p w14:paraId="0EE2A093" w14:textId="77777777" w:rsidR="001040D1" w:rsidRDefault="005D36C1">
      <w:pPr>
        <w:numPr>
          <w:ilvl w:val="0"/>
          <w:numId w:val="1"/>
        </w:numPr>
        <w:rPr>
          <w:rFonts w:cs="Times New Roman"/>
          <w:b/>
          <w:bCs/>
          <w:sz w:val="28"/>
          <w:szCs w:val="28"/>
        </w:rPr>
      </w:pPr>
      <w:r>
        <w:rPr>
          <w:rFonts w:cs="Times New Roman"/>
          <w:b/>
          <w:bCs/>
          <w:sz w:val="28"/>
          <w:szCs w:val="28"/>
        </w:rPr>
        <w:t>Materials and Methods</w:t>
      </w:r>
    </w:p>
    <w:p w14:paraId="2736D3D6" w14:textId="77777777" w:rsidR="001040D1" w:rsidRDefault="005D36C1">
      <w:pPr>
        <w:rPr>
          <w:rFonts w:cs="Times New Roman"/>
          <w:b/>
          <w:bCs/>
          <w:szCs w:val="24"/>
        </w:rPr>
      </w:pPr>
      <w:r>
        <w:rPr>
          <w:rFonts w:cs="Times New Roman"/>
          <w:b/>
          <w:bCs/>
          <w:szCs w:val="24"/>
          <w:lang w:val="en-US"/>
        </w:rPr>
        <w:t>3</w:t>
      </w:r>
      <w:r>
        <w:rPr>
          <w:rFonts w:cs="Times New Roman"/>
          <w:b/>
          <w:bCs/>
          <w:szCs w:val="24"/>
        </w:rPr>
        <w:t>.1 Research Design</w:t>
      </w:r>
    </w:p>
    <w:p w14:paraId="7D698790" w14:textId="77777777" w:rsidR="001040D1" w:rsidRDefault="005D36C1">
      <w:pPr>
        <w:rPr>
          <w:rFonts w:cs="Times New Roman"/>
          <w:szCs w:val="24"/>
        </w:rPr>
      </w:pPr>
      <w:r>
        <w:rPr>
          <w:rFonts w:cs="Times New Roman"/>
          <w:szCs w:val="24"/>
        </w:rPr>
        <w:t>The study employed an ex post facto study research design to examine the link existing between tax rates and the profitability of MNC of oil companies operating in Nigeria. T</w:t>
      </w:r>
      <w:r>
        <w:rPr>
          <w:rFonts w:cs="Times New Roman"/>
          <w:szCs w:val="24"/>
        </w:rPr>
        <w:t>he ex-post approach was valid because the variables considered in the research (tax rates and profitability models) were established before the research and therefore cannot be manipulated by the researcher. Thereby the design facilitated the statistical a</w:t>
      </w:r>
      <w:r>
        <w:rPr>
          <w:rFonts w:cs="Times New Roman"/>
          <w:szCs w:val="24"/>
        </w:rPr>
        <w:t>nalysis of already known financial data in order to find the direction and strength of correlation between the variables. Furthermore, the adoption of this design is consistent with earlier studies of fiscal and corporate performance relationship in natura</w:t>
      </w:r>
      <w:r>
        <w:rPr>
          <w:rFonts w:cs="Times New Roman"/>
          <w:szCs w:val="24"/>
        </w:rPr>
        <w:t>l resource sectors (</w:t>
      </w:r>
      <w:proofErr w:type="spellStart"/>
      <w:r>
        <w:rPr>
          <w:rFonts w:cs="Times New Roman"/>
          <w:szCs w:val="24"/>
        </w:rPr>
        <w:t>Chude</w:t>
      </w:r>
      <w:proofErr w:type="spellEnd"/>
      <w:r>
        <w:rPr>
          <w:rFonts w:cs="Times New Roman"/>
          <w:szCs w:val="24"/>
        </w:rPr>
        <w:t xml:space="preserve"> &amp; </w:t>
      </w:r>
      <w:proofErr w:type="spellStart"/>
      <w:r>
        <w:rPr>
          <w:rFonts w:cs="Times New Roman"/>
          <w:szCs w:val="24"/>
        </w:rPr>
        <w:t>Chude</w:t>
      </w:r>
      <w:proofErr w:type="spellEnd"/>
      <w:r>
        <w:rPr>
          <w:rFonts w:cs="Times New Roman"/>
          <w:szCs w:val="24"/>
        </w:rPr>
        <w:t>, 2015; Kong &amp; Gao, 2024).</w:t>
      </w:r>
    </w:p>
    <w:p w14:paraId="5482A2D0" w14:textId="77777777" w:rsidR="001040D1" w:rsidRDefault="005D36C1">
      <w:pPr>
        <w:rPr>
          <w:rFonts w:cs="Times New Roman"/>
          <w:b/>
          <w:bCs/>
          <w:szCs w:val="24"/>
        </w:rPr>
      </w:pPr>
      <w:r>
        <w:rPr>
          <w:rFonts w:cs="Times New Roman"/>
          <w:b/>
          <w:bCs/>
          <w:szCs w:val="24"/>
          <w:lang w:val="en-US"/>
        </w:rPr>
        <w:t>3</w:t>
      </w:r>
      <w:r>
        <w:rPr>
          <w:rFonts w:cs="Times New Roman"/>
          <w:b/>
          <w:bCs/>
          <w:szCs w:val="24"/>
        </w:rPr>
        <w:t>.2 Population and Sampling Method</w:t>
      </w:r>
    </w:p>
    <w:p w14:paraId="32ACD703" w14:textId="77777777" w:rsidR="001040D1" w:rsidRDefault="005D36C1">
      <w:pPr>
        <w:rPr>
          <w:rFonts w:cs="Times New Roman"/>
          <w:szCs w:val="24"/>
        </w:rPr>
      </w:pPr>
      <w:r>
        <w:rPr>
          <w:rFonts w:cs="Times New Roman"/>
          <w:szCs w:val="24"/>
        </w:rPr>
        <w:t xml:space="preserve">The population of this study was top five multinational oil companies that are operating in Nigeria, these companies include Shell Petroleum Development Company </w:t>
      </w:r>
      <w:r>
        <w:rPr>
          <w:rFonts w:cs="Times New Roman"/>
          <w:szCs w:val="24"/>
        </w:rPr>
        <w:t>(SPDC), Chevron Nigeria Limited, ExxonMobil Nigeria, Nigerian AGIP Oil Company (NAOC) and Total Nigeria Plc. These firms were selected based on their continuous operation and the availability of data and contribution in the petroleum sector of Nigerian qui</w:t>
      </w:r>
      <w:r>
        <w:rPr>
          <w:rFonts w:cs="Times New Roman"/>
          <w:szCs w:val="24"/>
        </w:rPr>
        <w:t>ckly. Due to the manageable amount of population as well as availability of the full range of financial data for the ten years (2011-2020) the study took a Census approach which included all 5 firms with no sampling.</w:t>
      </w:r>
    </w:p>
    <w:p w14:paraId="2BC15293" w14:textId="77777777" w:rsidR="001040D1" w:rsidRDefault="005D36C1">
      <w:pPr>
        <w:rPr>
          <w:rFonts w:cs="Times New Roman"/>
          <w:b/>
          <w:bCs/>
          <w:szCs w:val="24"/>
        </w:rPr>
      </w:pPr>
      <w:r>
        <w:rPr>
          <w:rFonts w:cs="Times New Roman"/>
          <w:b/>
          <w:bCs/>
          <w:szCs w:val="24"/>
          <w:lang w:val="en-US"/>
        </w:rPr>
        <w:t>3</w:t>
      </w:r>
      <w:r>
        <w:rPr>
          <w:rFonts w:cs="Times New Roman"/>
          <w:b/>
          <w:bCs/>
          <w:szCs w:val="24"/>
        </w:rPr>
        <w:t>.3 Sources of Data and Data Collection</w:t>
      </w:r>
      <w:r>
        <w:rPr>
          <w:rFonts w:cs="Times New Roman"/>
          <w:b/>
          <w:bCs/>
          <w:szCs w:val="24"/>
        </w:rPr>
        <w:t xml:space="preserve"> Procedure</w:t>
      </w:r>
    </w:p>
    <w:p w14:paraId="3289ABFE" w14:textId="77777777" w:rsidR="001040D1" w:rsidRDefault="005D36C1">
      <w:pPr>
        <w:rPr>
          <w:rFonts w:cs="Times New Roman"/>
          <w:szCs w:val="24"/>
        </w:rPr>
      </w:pPr>
      <w:r>
        <w:rPr>
          <w:rFonts w:cs="Times New Roman"/>
          <w:szCs w:val="24"/>
        </w:rPr>
        <w:t>The secondary data were obtained from the financial statements of the companies that were audited of the annual financial reports available in other reports submitted to the Federal Inland Revenue Service (FIRS). Supplementary data was collected</w:t>
      </w:r>
      <w:r>
        <w:rPr>
          <w:rFonts w:cs="Times New Roman"/>
          <w:szCs w:val="24"/>
        </w:rPr>
        <w:t xml:space="preserve"> from the publications of Central Bank of </w:t>
      </w:r>
      <w:r>
        <w:rPr>
          <w:rFonts w:cs="Times New Roman"/>
          <w:szCs w:val="24"/>
        </w:rPr>
        <w:lastRenderedPageBreak/>
        <w:t>Nigeria (CBN), and National Bureau of Statistics (NBS). These sources provided reliability and validity of the data set which are based on authentic published accounting figures throughout the review period.</w:t>
      </w:r>
    </w:p>
    <w:p w14:paraId="6697F9E6" w14:textId="77777777" w:rsidR="001040D1" w:rsidRDefault="005D36C1">
      <w:pPr>
        <w:rPr>
          <w:rFonts w:cs="Times New Roman"/>
          <w:b/>
          <w:bCs/>
          <w:szCs w:val="24"/>
        </w:rPr>
      </w:pPr>
      <w:r>
        <w:rPr>
          <w:rFonts w:cs="Times New Roman"/>
          <w:b/>
          <w:bCs/>
          <w:szCs w:val="24"/>
          <w:lang w:val="en-US"/>
        </w:rPr>
        <w:t>3</w:t>
      </w:r>
      <w:r>
        <w:rPr>
          <w:rFonts w:cs="Times New Roman"/>
          <w:b/>
          <w:bCs/>
          <w:szCs w:val="24"/>
        </w:rPr>
        <w:t>.4 Me</w:t>
      </w:r>
      <w:r>
        <w:rPr>
          <w:rFonts w:cs="Times New Roman"/>
          <w:b/>
          <w:bCs/>
          <w:szCs w:val="24"/>
        </w:rPr>
        <w:t>asurement of Variables</w:t>
      </w:r>
    </w:p>
    <w:p w14:paraId="6F5AE975" w14:textId="77777777" w:rsidR="001040D1" w:rsidRDefault="005D36C1">
      <w:pPr>
        <w:rPr>
          <w:rFonts w:cs="Times New Roman"/>
          <w:szCs w:val="24"/>
        </w:rPr>
      </w:pPr>
      <w:r>
        <w:rPr>
          <w:rFonts w:cs="Times New Roman"/>
          <w:szCs w:val="24"/>
        </w:rPr>
        <w:t>The research was based on a modelling of the corporate profitability as a function of the various tax rates indicators. In this case, the dependent variable of Return on Assets (ROA) which was used as a proxy for the profitability wa</w:t>
      </w:r>
      <w:r>
        <w:rPr>
          <w:rFonts w:cs="Times New Roman"/>
          <w:szCs w:val="24"/>
        </w:rPr>
        <w:t>s measured as a division of net income by total assets. Independent dependent variables were:</w:t>
      </w:r>
    </w:p>
    <w:p w14:paraId="0DBB25D8" w14:textId="77777777" w:rsidR="001040D1" w:rsidRDefault="005D36C1">
      <w:pPr>
        <w:rPr>
          <w:rFonts w:cs="Times New Roman"/>
          <w:szCs w:val="24"/>
        </w:rPr>
      </w:pPr>
      <w:r>
        <w:rPr>
          <w:rFonts w:cs="Times New Roman"/>
          <w:szCs w:val="24"/>
        </w:rPr>
        <w:t>I. Marginal Tax Rate (MTR): additional tax paid on the next unit of Incremental taxable income unit</w:t>
      </w:r>
    </w:p>
    <w:p w14:paraId="5FA77827" w14:textId="77777777" w:rsidR="001040D1" w:rsidRDefault="005D36C1">
      <w:pPr>
        <w:rPr>
          <w:rFonts w:cs="Times New Roman"/>
          <w:szCs w:val="24"/>
        </w:rPr>
      </w:pPr>
      <w:r>
        <w:rPr>
          <w:rFonts w:cs="Times New Roman"/>
          <w:szCs w:val="24"/>
        </w:rPr>
        <w:t>II. Effective Tax Rate (ETR): calculated by dividing total tax</w:t>
      </w:r>
      <w:r>
        <w:rPr>
          <w:rFonts w:cs="Times New Roman"/>
          <w:szCs w:val="24"/>
        </w:rPr>
        <w:t xml:space="preserve"> expense by earnings prior to tax</w:t>
      </w:r>
    </w:p>
    <w:p w14:paraId="36B96236" w14:textId="77777777" w:rsidR="001040D1" w:rsidRDefault="005D36C1">
      <w:pPr>
        <w:rPr>
          <w:rFonts w:cs="Times New Roman"/>
          <w:szCs w:val="24"/>
        </w:rPr>
      </w:pPr>
      <w:r>
        <w:rPr>
          <w:rFonts w:cs="Times New Roman"/>
          <w:szCs w:val="24"/>
        </w:rPr>
        <w:t>III. Average Tax Rate (ATR): calculated from the ratio of total amount of tax paid and the taxable income.</w:t>
      </w:r>
    </w:p>
    <w:p w14:paraId="00F976A1" w14:textId="77777777" w:rsidR="001040D1" w:rsidRDefault="005D36C1">
      <w:pPr>
        <w:rPr>
          <w:rFonts w:cs="Times New Roman"/>
          <w:szCs w:val="24"/>
        </w:rPr>
      </w:pPr>
      <w:r>
        <w:rPr>
          <w:rFonts w:cs="Times New Roman"/>
          <w:szCs w:val="24"/>
        </w:rPr>
        <w:t xml:space="preserve">These chosen measures were based on accordance with established tax-performance studies (Graham, 1996; Jacob &amp; </w:t>
      </w:r>
      <w:proofErr w:type="spellStart"/>
      <w:r>
        <w:rPr>
          <w:rFonts w:cs="Times New Roman"/>
          <w:szCs w:val="24"/>
        </w:rPr>
        <w:t>Voss</w:t>
      </w:r>
      <w:r>
        <w:rPr>
          <w:rFonts w:cs="Times New Roman"/>
          <w:szCs w:val="24"/>
        </w:rPr>
        <w:t>eburger</w:t>
      </w:r>
      <w:proofErr w:type="spellEnd"/>
      <w:r>
        <w:rPr>
          <w:rFonts w:cs="Times New Roman"/>
          <w:szCs w:val="24"/>
        </w:rPr>
        <w:t>, 2022) on how various elements of tax affect financial performance at the level of the firm.</w:t>
      </w:r>
    </w:p>
    <w:p w14:paraId="7D48BD20" w14:textId="77777777" w:rsidR="001040D1" w:rsidRDefault="005D36C1">
      <w:pPr>
        <w:rPr>
          <w:b/>
          <w:bCs/>
        </w:rPr>
      </w:pPr>
      <w:r>
        <w:rPr>
          <w:b/>
          <w:bCs/>
          <w:lang w:val="en-US"/>
        </w:rPr>
        <w:t>3</w:t>
      </w:r>
      <w:r>
        <w:rPr>
          <w:b/>
          <w:bCs/>
        </w:rPr>
        <w:t>.5 Model Specification</w:t>
      </w:r>
    </w:p>
    <w:p w14:paraId="6A8C6F22" w14:textId="77777777" w:rsidR="001040D1" w:rsidRDefault="005D36C1">
      <w:r>
        <w:t>The functional relationship between profitability and tax rate indicators is expressed as follows:</w:t>
      </w:r>
    </w:p>
    <w:p w14:paraId="28905022" w14:textId="77777777" w:rsidR="001040D1" w:rsidRDefault="005D36C1">
      <w:pPr>
        <w:spacing w:after="0" w:line="480" w:lineRule="auto"/>
        <w:rPr>
          <w:szCs w:val="24"/>
        </w:rPr>
      </w:pPr>
      <m:oMathPara>
        <m:oMath>
          <m:r>
            <w:rPr>
              <w:rFonts w:ascii="Cambria Math" w:hAnsi="Cambria Math" w:cs="Times New Roman"/>
              <w:szCs w:val="24"/>
            </w:rPr>
            <m:t>ROA</m:t>
          </m:r>
          <m:r>
            <w:rPr>
              <w:rFonts w:ascii="Cambria Math" w:hAnsi="Cambria Math" w:cs="Times New Roman"/>
              <w:szCs w:val="24"/>
            </w:rPr>
            <m:t xml:space="preserve">= </m:t>
          </m:r>
          <m:r>
            <w:rPr>
              <w:rFonts w:ascii="Cambria Math" w:hAnsi="Cambria Math" w:cs="Times New Roman"/>
              <w:szCs w:val="24"/>
            </w:rPr>
            <m:t>f</m:t>
          </m:r>
          <m:r>
            <w:rPr>
              <w:rFonts w:ascii="Cambria Math" w:hAnsi="Cambria Math" w:cs="Times New Roman"/>
              <w:szCs w:val="24"/>
            </w:rPr>
            <m:t xml:space="preserve"> (</m:t>
          </m:r>
          <m:r>
            <w:rPr>
              <w:rFonts w:ascii="Cambria Math" w:hAnsi="Cambria Math" w:cs="Times New Roman"/>
              <w:szCs w:val="24"/>
            </w:rPr>
            <m:t>MTR</m:t>
          </m:r>
          <m:r>
            <w:rPr>
              <w:rFonts w:ascii="Cambria Math" w:hAnsi="Cambria Math" w:cs="Times New Roman"/>
              <w:szCs w:val="24"/>
            </w:rPr>
            <m:t xml:space="preserve">, </m:t>
          </m:r>
          <m:r>
            <w:rPr>
              <w:rFonts w:ascii="Cambria Math" w:hAnsi="Cambria Math" w:cs="Times New Roman"/>
              <w:szCs w:val="24"/>
            </w:rPr>
            <m:t>ETR</m:t>
          </m:r>
          <m:r>
            <w:rPr>
              <w:rFonts w:ascii="Cambria Math" w:hAnsi="Cambria Math" w:cs="Times New Roman"/>
              <w:szCs w:val="24"/>
            </w:rPr>
            <m:t xml:space="preserve">, </m:t>
          </m:r>
          <m:r>
            <w:rPr>
              <w:rFonts w:ascii="Cambria Math" w:hAnsi="Cambria Math" w:cs="Times New Roman"/>
              <w:szCs w:val="24"/>
            </w:rPr>
            <m:t>AT</m:t>
          </m:r>
          <m:r>
            <w:rPr>
              <w:rFonts w:ascii="Cambria Math" w:hAnsi="Cambria Math" w:cs="Times New Roman"/>
              <w:szCs w:val="24"/>
            </w:rPr>
            <m:t>R</m:t>
          </m:r>
          <m:r>
            <w:rPr>
              <w:rFonts w:ascii="Cambria Math" w:hAnsi="Cambria Math" w:cs="Times New Roman"/>
              <w:szCs w:val="24"/>
            </w:rPr>
            <m:t>)</m:t>
          </m:r>
        </m:oMath>
      </m:oMathPara>
    </w:p>
    <w:p w14:paraId="435EE797" w14:textId="77777777" w:rsidR="001040D1" w:rsidRDefault="005D36C1">
      <w:pPr>
        <w:spacing w:after="0" w:line="480" w:lineRule="auto"/>
        <w:rPr>
          <w:szCs w:val="24"/>
        </w:rPr>
      </w:pPr>
      <w:r>
        <w:rPr>
          <w:rFonts w:cs="Times New Roman"/>
          <w:szCs w:val="24"/>
        </w:rPr>
        <w:t>This can be represented in a multiple regression form as:</w:t>
      </w:r>
    </w:p>
    <w:p w14:paraId="2AE77163" w14:textId="77777777" w:rsidR="001040D1" w:rsidRDefault="005D36C1">
      <w:pPr>
        <w:spacing w:line="480" w:lineRule="auto"/>
        <w:rPr>
          <w:rFonts w:ascii="Cambria Math" w:eastAsia="Calibri" w:hAnsi="Cambria Math" w:cs="Times New Roman"/>
          <w:szCs w:val="24"/>
        </w:rPr>
      </w:pPr>
      <m:oMathPara>
        <m:oMath>
          <m:r>
            <w:rPr>
              <w:rFonts w:ascii="Cambria Math" w:eastAsia="Calibri" w:hAnsi="Cambria Math" w:cs="Times New Roman"/>
              <w:szCs w:val="24"/>
            </w:rPr>
            <m:t>ROA</m:t>
          </m:r>
          <m:r>
            <w:rPr>
              <w:rFonts w:ascii="Cambria Math" w:eastAsia="Calibri" w:hAnsi="Cambria Math" w:cs="Times New Roman"/>
              <w:szCs w:val="24"/>
            </w:rPr>
            <m:t xml:space="preserve"> = </m:t>
          </m:r>
          <m:r>
            <w:rPr>
              <w:rFonts w:ascii="Cambria Math" w:eastAsia="Calibri" w:hAnsi="Cambria Math" w:cs="Times New Roman"/>
              <w:szCs w:val="24"/>
            </w:rPr>
            <m:t>α</m:t>
          </m:r>
          <m:r>
            <w:rPr>
              <w:rFonts w:ascii="Cambria Math" w:eastAsia="Calibri" w:hAnsi="Cambria Math" w:cs="Times New Roman"/>
              <w:szCs w:val="24"/>
            </w:rPr>
            <m:t xml:space="preserve"> + </m:t>
          </m:r>
          <m:r>
            <w:rPr>
              <w:rFonts w:ascii="Cambria Math" w:eastAsia="Calibri" w:hAnsi="Cambria Math" w:cs="Times New Roman"/>
              <w:szCs w:val="24"/>
            </w:rPr>
            <m:t>β</m:t>
          </m:r>
          <m:r>
            <w:rPr>
              <w:rFonts w:ascii="Cambria Math" w:eastAsia="Calibri" w:hAnsi="Cambria Math" w:cs="Times New Roman"/>
              <w:szCs w:val="24"/>
              <w:vertAlign w:val="subscript"/>
            </w:rPr>
            <m:t>1</m:t>
          </m:r>
          <m:r>
            <w:rPr>
              <w:rFonts w:ascii="Cambria Math" w:eastAsia="Calibri" w:hAnsi="Cambria Math" w:cs="Times New Roman"/>
              <w:szCs w:val="24"/>
            </w:rPr>
            <m:t xml:space="preserve"> </m:t>
          </m:r>
          <m:r>
            <w:rPr>
              <w:rFonts w:ascii="Cambria Math" w:eastAsia="Calibri" w:hAnsi="Cambria Math" w:cs="Times New Roman"/>
              <w:szCs w:val="24"/>
            </w:rPr>
            <m:t>MTR</m:t>
          </m:r>
          <m:r>
            <w:rPr>
              <w:rFonts w:ascii="Cambria Math" w:eastAsia="Calibri" w:hAnsi="Cambria Math" w:cs="Times New Roman"/>
              <w:szCs w:val="24"/>
            </w:rPr>
            <m:t xml:space="preserve"> + </m:t>
          </m:r>
          <m:r>
            <w:rPr>
              <w:rFonts w:ascii="Cambria Math" w:eastAsia="Calibri" w:hAnsi="Cambria Math" w:cs="Times New Roman"/>
              <w:szCs w:val="24"/>
            </w:rPr>
            <m:t>β</m:t>
          </m:r>
          <m:r>
            <w:rPr>
              <w:rFonts w:ascii="Cambria Math" w:eastAsia="Calibri" w:hAnsi="Cambria Math" w:cs="Times New Roman"/>
              <w:szCs w:val="24"/>
              <w:vertAlign w:val="subscript"/>
            </w:rPr>
            <m:t>2</m:t>
          </m:r>
          <m:r>
            <w:rPr>
              <w:rFonts w:ascii="Cambria Math" w:eastAsia="Calibri" w:hAnsi="Cambria Math" w:cs="Times New Roman"/>
              <w:szCs w:val="24"/>
            </w:rPr>
            <m:t xml:space="preserve"> </m:t>
          </m:r>
          <m:r>
            <w:rPr>
              <w:rFonts w:ascii="Cambria Math" w:eastAsia="Calibri" w:hAnsi="Cambria Math" w:cs="Times New Roman"/>
              <w:szCs w:val="24"/>
            </w:rPr>
            <m:t>ETR</m:t>
          </m:r>
          <m:r>
            <w:rPr>
              <w:rFonts w:ascii="Cambria Math" w:eastAsia="Calibri" w:hAnsi="Cambria Math" w:cs="Times New Roman"/>
              <w:szCs w:val="24"/>
            </w:rPr>
            <m:t xml:space="preserve"> + </m:t>
          </m:r>
          <m:r>
            <w:rPr>
              <w:rFonts w:ascii="Cambria Math" w:eastAsia="Calibri" w:hAnsi="Cambria Math" w:cs="Times New Roman"/>
              <w:szCs w:val="24"/>
            </w:rPr>
            <m:t>β</m:t>
          </m:r>
          <m:r>
            <w:rPr>
              <w:rFonts w:ascii="Cambria Math" w:eastAsia="Calibri" w:hAnsi="Cambria Math" w:cs="Times New Roman"/>
              <w:szCs w:val="24"/>
              <w:vertAlign w:val="subscript"/>
            </w:rPr>
            <m:t xml:space="preserve">3 </m:t>
          </m:r>
          <m:r>
            <w:rPr>
              <w:rFonts w:ascii="Cambria Math" w:eastAsia="Calibri" w:hAnsi="Cambria Math" w:cs="Times New Roman"/>
              <w:szCs w:val="24"/>
            </w:rPr>
            <m:t>ATR</m:t>
          </m:r>
          <m:r>
            <w:rPr>
              <w:rFonts w:ascii="Cambria Math" w:eastAsia="Calibri" w:hAnsi="Cambria Math" w:cs="Times New Roman"/>
              <w:szCs w:val="24"/>
            </w:rPr>
            <m:t xml:space="preserve"> + </m:t>
          </m:r>
          <m:r>
            <w:rPr>
              <w:rFonts w:ascii="Cambria Math" w:eastAsia="Calibri" w:hAnsi="Cambria Math" w:cs="Times New Roman"/>
              <w:szCs w:val="24"/>
            </w:rPr>
            <m:t>ε</m:t>
          </m:r>
          <m:r>
            <w:rPr>
              <w:rFonts w:ascii="Cambria Math" w:eastAsia="Calibri" w:hAnsi="Cambria Math" w:cs="Times New Roman"/>
              <w:szCs w:val="24"/>
            </w:rPr>
            <m:t xml:space="preserve">  </m:t>
          </m:r>
        </m:oMath>
      </m:oMathPara>
    </w:p>
    <w:p w14:paraId="0BF59B2A" w14:textId="77777777" w:rsidR="001040D1" w:rsidRDefault="005D36C1">
      <w:pPr>
        <w:pStyle w:val="NoSpacing"/>
      </w:pPr>
      <w:r>
        <w:t xml:space="preserve"> </w:t>
      </w:r>
      <w:r>
        <w:rPr>
          <w:rFonts w:ascii="Times New Roman" w:eastAsia="Calibri" w:hAnsi="Times New Roman" w:cs="Times New Roman"/>
          <w:b/>
          <w:sz w:val="24"/>
          <w:szCs w:val="24"/>
        </w:rPr>
        <w:t>Where;</w:t>
      </w:r>
    </w:p>
    <w:p w14:paraId="684E5693" w14:textId="77777777" w:rsidR="001040D1" w:rsidRDefault="005D36C1">
      <w:pPr>
        <w:rPr>
          <w:rFonts w:ascii="Cambria Math" w:eastAsia="Calibri" w:hAnsi="Cambria Math" w:cs="Times New Roman"/>
          <w:szCs w:val="24"/>
        </w:rPr>
      </w:pPr>
      <m:oMathPara>
        <m:oMathParaPr>
          <m:jc m:val="left"/>
        </m:oMathParaPr>
        <m:oMath>
          <m:r>
            <w:rPr>
              <w:rFonts w:ascii="Cambria Math" w:eastAsia="Calibri" w:hAnsi="Cambria Math" w:cs="Times New Roman"/>
              <w:szCs w:val="24"/>
            </w:rPr>
            <m:t>ROA</m:t>
          </m:r>
          <m:r>
            <w:rPr>
              <w:rFonts w:ascii="Cambria Math" w:eastAsia="Calibri" w:hAnsi="Cambria Math" w:cs="Times New Roman"/>
              <w:szCs w:val="24"/>
            </w:rPr>
            <m:t xml:space="preserve">= </m:t>
          </m:r>
          <m:r>
            <w:rPr>
              <w:rFonts w:ascii="Cambria Math" w:eastAsia="Calibri" w:hAnsi="Cambria Math" w:cs="Times New Roman"/>
              <w:szCs w:val="24"/>
            </w:rPr>
            <m:t>Return</m:t>
          </m:r>
          <m:r>
            <w:rPr>
              <w:rFonts w:ascii="Cambria Math" w:eastAsia="Calibri" w:hAnsi="Cambria Math" w:cs="Times New Roman"/>
              <w:szCs w:val="24"/>
            </w:rPr>
            <m:t xml:space="preserve"> </m:t>
          </m:r>
          <m:r>
            <w:rPr>
              <w:rFonts w:ascii="Cambria Math" w:eastAsia="Calibri" w:hAnsi="Cambria Math" w:cs="Times New Roman"/>
              <w:szCs w:val="24"/>
            </w:rPr>
            <m:t>on</m:t>
          </m:r>
          <m:r>
            <w:rPr>
              <w:rFonts w:ascii="Cambria Math" w:eastAsia="Calibri" w:hAnsi="Cambria Math" w:cs="Times New Roman"/>
              <w:szCs w:val="24"/>
            </w:rPr>
            <m:t xml:space="preserve"> </m:t>
          </m:r>
          <m:r>
            <w:rPr>
              <w:rFonts w:ascii="Cambria Math" w:eastAsia="Calibri" w:hAnsi="Cambria Math" w:cs="Times New Roman"/>
              <w:szCs w:val="24"/>
            </w:rPr>
            <m:t>asset</m:t>
          </m:r>
        </m:oMath>
      </m:oMathPara>
    </w:p>
    <w:p w14:paraId="205C27B6" w14:textId="77777777" w:rsidR="001040D1" w:rsidRDefault="005D36C1">
      <w:pPr>
        <w:rPr>
          <w:rFonts w:ascii="Cambria Math" w:eastAsia="Calibri" w:hAnsi="Cambria Math" w:cs="Times New Roman"/>
          <w:szCs w:val="24"/>
        </w:rPr>
      </w:pPr>
      <m:oMathPara>
        <m:oMathParaPr>
          <m:jc m:val="left"/>
        </m:oMathParaPr>
        <m:oMath>
          <m:r>
            <w:rPr>
              <w:rFonts w:ascii="Cambria Math" w:eastAsia="Calibri" w:hAnsi="Cambria Math" w:cs="Times New Roman"/>
              <w:szCs w:val="24"/>
            </w:rPr>
            <m:t>MTR</m:t>
          </m:r>
          <m:r>
            <w:rPr>
              <w:rFonts w:ascii="Cambria Math" w:eastAsia="Calibri" w:hAnsi="Cambria Math" w:cs="Times New Roman"/>
              <w:szCs w:val="24"/>
            </w:rPr>
            <m:t xml:space="preserve">= </m:t>
          </m:r>
          <m:r>
            <w:rPr>
              <w:rFonts w:ascii="Cambria Math" w:eastAsia="Calibri" w:hAnsi="Cambria Math" w:cs="Times New Roman"/>
              <w:szCs w:val="24"/>
            </w:rPr>
            <m:t>Marginal</m:t>
          </m:r>
          <m:r>
            <w:rPr>
              <w:rFonts w:ascii="Cambria Math" w:eastAsia="Calibri" w:hAnsi="Cambria Math" w:cs="Times New Roman"/>
              <w:szCs w:val="24"/>
            </w:rPr>
            <m:t xml:space="preserve"> </m:t>
          </m:r>
          <m:r>
            <w:rPr>
              <w:rFonts w:ascii="Cambria Math" w:eastAsia="Calibri" w:hAnsi="Cambria Math" w:cs="Times New Roman"/>
              <w:szCs w:val="24"/>
            </w:rPr>
            <m:t>tax</m:t>
          </m:r>
          <m:r>
            <w:rPr>
              <w:rFonts w:ascii="Cambria Math" w:eastAsia="Calibri" w:hAnsi="Cambria Math" w:cs="Times New Roman"/>
              <w:szCs w:val="24"/>
            </w:rPr>
            <m:t xml:space="preserve"> </m:t>
          </m:r>
          <m:r>
            <w:rPr>
              <w:rFonts w:ascii="Cambria Math" w:eastAsia="Calibri" w:hAnsi="Cambria Math" w:cs="Times New Roman"/>
              <w:szCs w:val="24"/>
            </w:rPr>
            <m:t>rate</m:t>
          </m:r>
        </m:oMath>
      </m:oMathPara>
    </w:p>
    <w:p w14:paraId="0A6C3096" w14:textId="77777777" w:rsidR="001040D1" w:rsidRDefault="005D36C1">
      <w:pPr>
        <w:rPr>
          <w:rFonts w:ascii="Cambria Math" w:eastAsia="Calibri" w:hAnsi="Cambria Math" w:cs="Times New Roman"/>
          <w:szCs w:val="24"/>
        </w:rPr>
      </w:pPr>
      <m:oMathPara>
        <m:oMathParaPr>
          <m:jc m:val="left"/>
        </m:oMathParaPr>
        <m:oMath>
          <m:r>
            <w:rPr>
              <w:rFonts w:ascii="Cambria Math" w:eastAsia="Calibri" w:hAnsi="Cambria Math" w:cs="Times New Roman"/>
              <w:szCs w:val="24"/>
            </w:rPr>
            <m:t>ETR</m:t>
          </m:r>
          <m:r>
            <w:rPr>
              <w:rFonts w:ascii="Cambria Math" w:eastAsia="Calibri" w:hAnsi="Cambria Math" w:cs="Times New Roman"/>
              <w:szCs w:val="24"/>
            </w:rPr>
            <m:t xml:space="preserve">= </m:t>
          </m:r>
          <m:r>
            <w:rPr>
              <w:rFonts w:ascii="Cambria Math" w:eastAsia="Calibri" w:hAnsi="Cambria Math" w:cs="Times New Roman"/>
              <w:szCs w:val="24"/>
            </w:rPr>
            <m:t>Effective</m:t>
          </m:r>
          <m:r>
            <w:rPr>
              <w:rFonts w:ascii="Cambria Math" w:eastAsia="Calibri" w:hAnsi="Cambria Math" w:cs="Times New Roman"/>
              <w:szCs w:val="24"/>
            </w:rPr>
            <m:t xml:space="preserve"> </m:t>
          </m:r>
          <m:r>
            <w:rPr>
              <w:rFonts w:ascii="Cambria Math" w:eastAsia="Calibri" w:hAnsi="Cambria Math" w:cs="Times New Roman"/>
              <w:szCs w:val="24"/>
            </w:rPr>
            <m:t>tax</m:t>
          </m:r>
          <m:r>
            <w:rPr>
              <w:rFonts w:ascii="Cambria Math" w:eastAsia="Calibri" w:hAnsi="Cambria Math" w:cs="Times New Roman"/>
              <w:szCs w:val="24"/>
            </w:rPr>
            <m:t xml:space="preserve"> </m:t>
          </m:r>
          <m:r>
            <w:rPr>
              <w:rFonts w:ascii="Cambria Math" w:eastAsia="Calibri" w:hAnsi="Cambria Math" w:cs="Times New Roman"/>
              <w:szCs w:val="24"/>
            </w:rPr>
            <m:t>rate</m:t>
          </m:r>
        </m:oMath>
      </m:oMathPara>
    </w:p>
    <w:p w14:paraId="73909832" w14:textId="77777777" w:rsidR="001040D1" w:rsidRDefault="005D36C1">
      <w:pPr>
        <w:rPr>
          <w:rFonts w:ascii="Cambria Math" w:eastAsia="Calibri" w:hAnsi="Cambria Math" w:cs="Times New Roman"/>
          <w:szCs w:val="24"/>
        </w:rPr>
      </w:pPr>
      <m:oMathPara>
        <m:oMathParaPr>
          <m:jc m:val="left"/>
        </m:oMathParaPr>
        <m:oMath>
          <m:r>
            <w:rPr>
              <w:rFonts w:ascii="Cambria Math" w:eastAsia="Calibri" w:hAnsi="Cambria Math" w:cs="Times New Roman"/>
              <w:szCs w:val="24"/>
            </w:rPr>
            <m:t>ATR</m:t>
          </m:r>
          <m:r>
            <w:rPr>
              <w:rFonts w:ascii="Cambria Math" w:eastAsia="Calibri" w:hAnsi="Cambria Math" w:cs="Times New Roman"/>
              <w:szCs w:val="24"/>
            </w:rPr>
            <m:t xml:space="preserve">= </m:t>
          </m:r>
          <m:r>
            <w:rPr>
              <w:rFonts w:ascii="Cambria Math" w:eastAsia="Calibri" w:hAnsi="Cambria Math" w:cs="Times New Roman"/>
              <w:szCs w:val="24"/>
            </w:rPr>
            <m:t>Average</m:t>
          </m:r>
          <m:r>
            <w:rPr>
              <w:rFonts w:ascii="Cambria Math" w:eastAsia="Calibri" w:hAnsi="Cambria Math" w:cs="Times New Roman"/>
              <w:szCs w:val="24"/>
            </w:rPr>
            <m:t xml:space="preserve"> </m:t>
          </m:r>
          <m:r>
            <w:rPr>
              <w:rFonts w:ascii="Cambria Math" w:eastAsia="Calibri" w:hAnsi="Cambria Math" w:cs="Times New Roman"/>
              <w:szCs w:val="24"/>
            </w:rPr>
            <m:t>tax</m:t>
          </m:r>
          <m:r>
            <w:rPr>
              <w:rFonts w:ascii="Cambria Math" w:eastAsia="Calibri" w:hAnsi="Cambria Math" w:cs="Times New Roman"/>
              <w:szCs w:val="24"/>
            </w:rPr>
            <m:t xml:space="preserve"> </m:t>
          </m:r>
          <m:r>
            <w:rPr>
              <w:rFonts w:ascii="Cambria Math" w:eastAsia="Calibri" w:hAnsi="Cambria Math" w:cs="Times New Roman"/>
              <w:szCs w:val="24"/>
            </w:rPr>
            <m:t>rate</m:t>
          </m:r>
        </m:oMath>
      </m:oMathPara>
    </w:p>
    <w:p w14:paraId="0D2BAEBA" w14:textId="77777777" w:rsidR="001040D1" w:rsidRDefault="005D36C1">
      <w:pPr>
        <w:rPr>
          <w:rFonts w:ascii="Cambria Math" w:eastAsia="Calibri" w:hAnsi="Cambria Math" w:cs="Times New Roman"/>
          <w:szCs w:val="24"/>
        </w:rPr>
      </w:pPr>
      <m:oMathPara>
        <m:oMathParaPr>
          <m:jc m:val="left"/>
        </m:oMathParaPr>
        <m:oMath>
          <m:r>
            <w:rPr>
              <w:rFonts w:ascii="Cambria Math" w:eastAsia="Calibri" w:hAnsi="Cambria Math" w:cs="Times New Roman"/>
              <w:sz w:val="32"/>
              <w:szCs w:val="32"/>
            </w:rPr>
            <w:lastRenderedPageBreak/>
            <m:t>α</m:t>
          </m:r>
          <m:r>
            <w:rPr>
              <w:rFonts w:ascii="Cambria Math" w:eastAsia="Calibri" w:hAnsi="Cambria Math" w:cs="Times New Roman"/>
              <w:szCs w:val="24"/>
            </w:rPr>
            <m:t xml:space="preserve"> = </m:t>
          </m:r>
          <m:r>
            <w:rPr>
              <w:rFonts w:ascii="Cambria Math" w:eastAsia="Calibri" w:hAnsi="Cambria Math" w:cs="Times New Roman"/>
              <w:szCs w:val="24"/>
            </w:rPr>
            <m:t>intercept</m:t>
          </m:r>
          <m:r>
            <w:rPr>
              <w:rFonts w:ascii="Cambria Math" w:eastAsia="Calibri" w:hAnsi="Cambria Math" w:cs="Times New Roman"/>
              <w:szCs w:val="24"/>
            </w:rPr>
            <m:t xml:space="preserve"> </m:t>
          </m:r>
          <m:r>
            <w:rPr>
              <w:rFonts w:ascii="Cambria Math" w:eastAsia="Calibri" w:hAnsi="Cambria Math" w:cs="Times New Roman"/>
              <w:szCs w:val="24"/>
            </w:rPr>
            <m:t>of</m:t>
          </m:r>
          <m:r>
            <w:rPr>
              <w:rFonts w:ascii="Cambria Math" w:eastAsia="Calibri" w:hAnsi="Cambria Math" w:cs="Times New Roman"/>
              <w:szCs w:val="24"/>
            </w:rPr>
            <m:t xml:space="preserve"> </m:t>
          </m:r>
          <m:r>
            <w:rPr>
              <w:rFonts w:ascii="Cambria Math" w:eastAsia="Calibri" w:hAnsi="Cambria Math" w:cs="Times New Roman"/>
              <w:szCs w:val="24"/>
            </w:rPr>
            <m:t>t</m:t>
          </m:r>
          <m:r>
            <w:rPr>
              <w:rFonts w:ascii="Cambria Math" w:eastAsia="Calibri" w:hAnsi="Cambria Math" w:cs="Times New Roman"/>
              <w:szCs w:val="24"/>
            </w:rPr>
            <m:t>h</m:t>
          </m:r>
          <m:r>
            <w:rPr>
              <w:rFonts w:ascii="Cambria Math" w:eastAsia="Calibri" w:hAnsi="Cambria Math" w:cs="Times New Roman"/>
              <w:szCs w:val="24"/>
            </w:rPr>
            <m:t>e</m:t>
          </m:r>
          <m:r>
            <w:rPr>
              <w:rFonts w:ascii="Cambria Math" w:eastAsia="Calibri" w:hAnsi="Cambria Math" w:cs="Times New Roman"/>
              <w:szCs w:val="24"/>
            </w:rPr>
            <m:t xml:space="preserve"> </m:t>
          </m:r>
          <m:r>
            <w:rPr>
              <w:rFonts w:ascii="Cambria Math" w:eastAsia="Calibri" w:hAnsi="Cambria Math" w:cs="Times New Roman"/>
              <w:szCs w:val="24"/>
            </w:rPr>
            <m:t>regression</m:t>
          </m:r>
          <m:r>
            <w:rPr>
              <w:rFonts w:ascii="Cambria Math" w:eastAsia="Calibri" w:hAnsi="Cambria Math" w:cs="Times New Roman"/>
              <w:szCs w:val="24"/>
            </w:rPr>
            <m:t xml:space="preserve">/ </m:t>
          </m:r>
          <m:r>
            <w:rPr>
              <w:rFonts w:ascii="Cambria Math" w:eastAsia="Calibri" w:hAnsi="Cambria Math" w:cs="Times New Roman"/>
              <w:szCs w:val="24"/>
            </w:rPr>
            <m:t>constant</m:t>
          </m:r>
          <m:r>
            <w:rPr>
              <w:rFonts w:ascii="Cambria Math" w:eastAsia="Calibri" w:hAnsi="Cambria Math" w:cs="Times New Roman"/>
              <w:szCs w:val="24"/>
            </w:rPr>
            <m:t xml:space="preserve"> </m:t>
          </m:r>
          <m:r>
            <w:rPr>
              <w:rFonts w:ascii="Cambria Math" w:eastAsia="Calibri" w:hAnsi="Cambria Math" w:cs="Times New Roman"/>
              <w:szCs w:val="24"/>
            </w:rPr>
            <m:t>term</m:t>
          </m:r>
        </m:oMath>
      </m:oMathPara>
    </w:p>
    <w:p w14:paraId="5FDAD316" w14:textId="77777777" w:rsidR="001040D1" w:rsidRDefault="005D36C1">
      <w:pPr>
        <w:rPr>
          <w:rFonts w:ascii="Cambria Math" w:eastAsia="Calibri" w:hAnsi="Cambria Math" w:cs="Times New Roman"/>
          <w:szCs w:val="24"/>
        </w:rPr>
      </w:pPr>
      <m:oMathPara>
        <m:oMathParaPr>
          <m:jc m:val="left"/>
        </m:oMathParaPr>
        <m:oMath>
          <m:r>
            <w:rPr>
              <w:rFonts w:ascii="Cambria Math" w:eastAsia="Calibri" w:hAnsi="Cambria Math" w:cs="Times New Roman"/>
              <w:sz w:val="36"/>
              <w:szCs w:val="36"/>
            </w:rPr>
            <m:t>ε</m:t>
          </m:r>
          <m:r>
            <w:rPr>
              <w:rFonts w:ascii="Cambria Math" w:eastAsia="Calibri" w:hAnsi="Cambria Math" w:cs="Times New Roman"/>
              <w:szCs w:val="24"/>
            </w:rPr>
            <m:t xml:space="preserve"> = </m:t>
          </m:r>
          <m:r>
            <w:rPr>
              <w:rFonts w:ascii="Cambria Math" w:eastAsia="Calibri" w:hAnsi="Cambria Math" w:cs="Times New Roman"/>
              <w:szCs w:val="24"/>
            </w:rPr>
            <m:t>Error</m:t>
          </m:r>
          <m:r>
            <w:rPr>
              <w:rFonts w:ascii="Cambria Math" w:eastAsia="Calibri" w:hAnsi="Cambria Math" w:cs="Times New Roman"/>
              <w:szCs w:val="24"/>
            </w:rPr>
            <m:t xml:space="preserve"> </m:t>
          </m:r>
          <m:r>
            <w:rPr>
              <w:rFonts w:ascii="Cambria Math" w:eastAsia="Calibri" w:hAnsi="Cambria Math" w:cs="Times New Roman"/>
              <w:szCs w:val="24"/>
            </w:rPr>
            <m:t>term</m:t>
          </m:r>
          <m:r>
            <w:rPr>
              <w:rFonts w:ascii="Cambria Math" w:eastAsia="Calibri" w:hAnsi="Cambria Math" w:cs="Times New Roman"/>
              <w:szCs w:val="24"/>
            </w:rPr>
            <m:t xml:space="preserve"> </m:t>
          </m:r>
          <m:r>
            <w:rPr>
              <w:rFonts w:ascii="Cambria Math" w:eastAsia="Calibri" w:hAnsi="Cambria Math" w:cs="Times New Roman"/>
              <w:szCs w:val="24"/>
            </w:rPr>
            <m:t>capturing</m:t>
          </m:r>
          <m:r>
            <w:rPr>
              <w:rFonts w:ascii="Cambria Math" w:eastAsia="Calibri" w:hAnsi="Cambria Math" w:cs="Times New Roman"/>
              <w:szCs w:val="24"/>
            </w:rPr>
            <m:t xml:space="preserve"> </m:t>
          </m:r>
          <m:r>
            <w:rPr>
              <w:rFonts w:ascii="Cambria Math" w:eastAsia="Calibri" w:hAnsi="Cambria Math" w:cs="Times New Roman"/>
              <w:szCs w:val="24"/>
            </w:rPr>
            <m:t>ot</m:t>
          </m:r>
          <m:r>
            <w:rPr>
              <w:rFonts w:ascii="Cambria Math" w:eastAsia="Calibri" w:hAnsi="Cambria Math" w:cs="Times New Roman"/>
              <w:szCs w:val="24"/>
            </w:rPr>
            <m:t>h</m:t>
          </m:r>
          <m:r>
            <w:rPr>
              <w:rFonts w:ascii="Cambria Math" w:eastAsia="Calibri" w:hAnsi="Cambria Math" w:cs="Times New Roman"/>
              <w:szCs w:val="24"/>
            </w:rPr>
            <m:t>er</m:t>
          </m:r>
          <m:r>
            <w:rPr>
              <w:rFonts w:ascii="Cambria Math" w:eastAsia="Calibri" w:hAnsi="Cambria Math" w:cs="Times New Roman"/>
              <w:szCs w:val="24"/>
            </w:rPr>
            <m:t xml:space="preserve"> </m:t>
          </m:r>
          <m:r>
            <w:rPr>
              <w:rFonts w:ascii="Cambria Math" w:eastAsia="Calibri" w:hAnsi="Cambria Math" w:cs="Times New Roman"/>
              <w:szCs w:val="24"/>
            </w:rPr>
            <m:t>explanatory</m:t>
          </m:r>
          <m:r>
            <w:rPr>
              <w:rFonts w:ascii="Cambria Math" w:eastAsia="Calibri" w:hAnsi="Cambria Math" w:cs="Times New Roman"/>
              <w:szCs w:val="24"/>
            </w:rPr>
            <m:t xml:space="preserve"> </m:t>
          </m:r>
          <m:r>
            <w:rPr>
              <w:rFonts w:ascii="Cambria Math" w:eastAsia="Calibri" w:hAnsi="Cambria Math" w:cs="Times New Roman"/>
              <w:szCs w:val="24"/>
            </w:rPr>
            <m:t>variables</m:t>
          </m:r>
          <m:r>
            <w:rPr>
              <w:rFonts w:ascii="Cambria Math" w:eastAsia="Calibri" w:hAnsi="Cambria Math" w:cs="Times New Roman"/>
              <w:szCs w:val="24"/>
            </w:rPr>
            <m:t xml:space="preserve"> </m:t>
          </m:r>
          <m:r>
            <w:rPr>
              <w:rFonts w:ascii="Cambria Math" w:eastAsia="Calibri" w:hAnsi="Cambria Math" w:cs="Times New Roman"/>
              <w:szCs w:val="24"/>
            </w:rPr>
            <m:t>not</m:t>
          </m:r>
          <m:r>
            <w:rPr>
              <w:rFonts w:ascii="Cambria Math" w:eastAsia="Calibri" w:hAnsi="Cambria Math" w:cs="Times New Roman"/>
              <w:szCs w:val="24"/>
            </w:rPr>
            <m:t xml:space="preserve"> </m:t>
          </m:r>
          <m:r>
            <w:rPr>
              <w:rFonts w:ascii="Cambria Math" w:eastAsia="Calibri" w:hAnsi="Cambria Math" w:cs="Times New Roman"/>
              <w:szCs w:val="24"/>
            </w:rPr>
            <m:t>explicitly</m:t>
          </m:r>
          <m:r>
            <w:rPr>
              <w:rFonts w:ascii="Cambria Math" w:eastAsia="Calibri" w:hAnsi="Cambria Math" w:cs="Times New Roman"/>
              <w:szCs w:val="24"/>
            </w:rPr>
            <m:t xml:space="preserve"> </m:t>
          </m:r>
          <m:r>
            <w:rPr>
              <w:rFonts w:ascii="Cambria Math" w:eastAsia="Calibri" w:hAnsi="Cambria Math" w:cs="Times New Roman"/>
              <w:szCs w:val="24"/>
            </w:rPr>
            <m:t>inclu</m:t>
          </m:r>
          <m:r>
            <w:rPr>
              <w:rFonts w:ascii="Cambria Math" w:eastAsia="Calibri" w:hAnsi="Cambria Math" w:cs="Times New Roman"/>
              <w:szCs w:val="24"/>
            </w:rPr>
            <m:t>ded</m:t>
          </m:r>
          <m:r>
            <w:rPr>
              <w:rFonts w:ascii="Cambria Math" w:eastAsia="Calibri" w:hAnsi="Cambria Math" w:cs="Times New Roman"/>
              <w:szCs w:val="24"/>
            </w:rPr>
            <m:t xml:space="preserve"> </m:t>
          </m:r>
          <m:r>
            <w:rPr>
              <w:rFonts w:ascii="Cambria Math" w:eastAsia="Calibri" w:hAnsi="Cambria Math" w:cs="Times New Roman"/>
              <w:szCs w:val="24"/>
            </w:rPr>
            <m:t>in</m:t>
          </m:r>
          <m:r>
            <w:rPr>
              <w:rFonts w:ascii="Cambria Math" w:eastAsia="Calibri" w:hAnsi="Cambria Math" w:cs="Times New Roman"/>
              <w:szCs w:val="24"/>
            </w:rPr>
            <m:t xml:space="preserve"> </m:t>
          </m:r>
          <m:r>
            <w:rPr>
              <w:rFonts w:ascii="Cambria Math" w:eastAsia="Calibri" w:hAnsi="Cambria Math" w:cs="Times New Roman"/>
              <w:szCs w:val="24"/>
            </w:rPr>
            <m:t>t</m:t>
          </m:r>
          <m:r>
            <w:rPr>
              <w:rFonts w:ascii="Cambria Math" w:eastAsia="Calibri" w:hAnsi="Cambria Math" w:cs="Times New Roman"/>
              <w:szCs w:val="24"/>
            </w:rPr>
            <m:t>h</m:t>
          </m:r>
          <m:r>
            <w:rPr>
              <w:rFonts w:ascii="Cambria Math" w:eastAsia="Calibri" w:hAnsi="Cambria Math" w:cs="Times New Roman"/>
              <w:szCs w:val="24"/>
            </w:rPr>
            <m:t>e</m:t>
          </m:r>
          <m:r>
            <w:rPr>
              <w:rFonts w:ascii="Cambria Math" w:eastAsia="Calibri" w:hAnsi="Cambria Math" w:cs="Times New Roman"/>
              <w:szCs w:val="24"/>
            </w:rPr>
            <m:t xml:space="preserve"> </m:t>
          </m:r>
          <m:r>
            <w:rPr>
              <w:rFonts w:ascii="Cambria Math" w:eastAsia="Calibri" w:hAnsi="Cambria Math" w:cs="Times New Roman"/>
              <w:szCs w:val="24"/>
            </w:rPr>
            <m:t>model</m:t>
          </m:r>
        </m:oMath>
      </m:oMathPara>
    </w:p>
    <w:p w14:paraId="68E0D1B3" w14:textId="77777777" w:rsidR="001040D1" w:rsidRDefault="005D36C1">
      <w:r>
        <w:t>This specification captures both short-run and long-run dynamics between taxation and profitability among the selected multinational firms.</w:t>
      </w:r>
    </w:p>
    <w:p w14:paraId="13D9B0A6" w14:textId="77777777" w:rsidR="001040D1" w:rsidRDefault="005D36C1">
      <w:pPr>
        <w:pStyle w:val="NormalWeb"/>
        <w:rPr>
          <w:rFonts w:cs="SimSun"/>
          <w:b/>
          <w:bCs/>
          <w:szCs w:val="22"/>
        </w:rPr>
      </w:pPr>
      <w:r>
        <w:rPr>
          <w:rFonts w:cs="SimSun"/>
          <w:b/>
          <w:bCs/>
          <w:szCs w:val="22"/>
          <w:lang w:val="en-US"/>
        </w:rPr>
        <w:t>3</w:t>
      </w:r>
      <w:r>
        <w:rPr>
          <w:rFonts w:cs="SimSun"/>
          <w:b/>
          <w:bCs/>
          <w:szCs w:val="22"/>
        </w:rPr>
        <w:t>.6 Data Analysis Technique</w:t>
      </w:r>
    </w:p>
    <w:p w14:paraId="215A8402" w14:textId="77777777" w:rsidR="001040D1" w:rsidRDefault="005D36C1">
      <w:pPr>
        <w:pStyle w:val="NormalWeb"/>
        <w:rPr>
          <w:rFonts w:cs="SimSun"/>
          <w:szCs w:val="22"/>
        </w:rPr>
      </w:pPr>
      <w:r>
        <w:rPr>
          <w:rFonts w:cs="SimSun"/>
          <w:szCs w:val="22"/>
        </w:rPr>
        <w:t xml:space="preserve">Data was analysed by using Autoregressive distributed Lag </w:t>
      </w:r>
      <w:r>
        <w:rPr>
          <w:rFonts w:cs="SimSun"/>
          <w:szCs w:val="22"/>
        </w:rPr>
        <w:t xml:space="preserve">(ARDL) model with the help of </w:t>
      </w:r>
      <w:proofErr w:type="spellStart"/>
      <w:r>
        <w:rPr>
          <w:rFonts w:cs="SimSun"/>
          <w:szCs w:val="22"/>
        </w:rPr>
        <w:t>Eviews</w:t>
      </w:r>
      <w:proofErr w:type="spellEnd"/>
      <w:r>
        <w:rPr>
          <w:rFonts w:cs="SimSun"/>
          <w:szCs w:val="22"/>
        </w:rPr>
        <w:t xml:space="preserve"> 10 statistical software. The use of the ARDL approach has been chosen because of its flexibility in terms of coping with the variables integrated at different orders either </w:t>
      </w:r>
      <w:proofErr w:type="gramStart"/>
      <w:r>
        <w:rPr>
          <w:rFonts w:cs="SimSun"/>
          <w:szCs w:val="22"/>
        </w:rPr>
        <w:t>I(</w:t>
      </w:r>
      <w:proofErr w:type="gramEnd"/>
      <w:r>
        <w:rPr>
          <w:rFonts w:cs="SimSun"/>
          <w:szCs w:val="22"/>
        </w:rPr>
        <w:t xml:space="preserve">0) or I(1) without the need for pre-testing </w:t>
      </w:r>
      <w:r>
        <w:rPr>
          <w:rFonts w:cs="SimSun"/>
          <w:szCs w:val="22"/>
        </w:rPr>
        <w:t>for the unit root at the same level of integration. The model makes it easy to estimate short run and long run relationship in one model. Descriptive statistics and correlation analysis were performed firstly to summarise the trends of data and test multic</w:t>
      </w:r>
      <w:r>
        <w:rPr>
          <w:rFonts w:cs="SimSun"/>
          <w:szCs w:val="22"/>
        </w:rPr>
        <w:t>ollinearity among variables. The diagnostic tests were as follows:</w:t>
      </w:r>
    </w:p>
    <w:p w14:paraId="288700F1" w14:textId="77777777" w:rsidR="001040D1" w:rsidRDefault="005D36C1">
      <w:pPr>
        <w:pStyle w:val="NormalWeb"/>
        <w:rPr>
          <w:rFonts w:cs="SimSun"/>
          <w:szCs w:val="22"/>
        </w:rPr>
      </w:pPr>
      <w:r>
        <w:rPr>
          <w:rFonts w:cs="SimSun"/>
          <w:szCs w:val="22"/>
        </w:rPr>
        <w:t>I.  Unit Root Test: to make sure of stationarity in form Levin, Lin &amp; Chu</w:t>
      </w:r>
    </w:p>
    <w:p w14:paraId="5E3BEA93" w14:textId="77777777" w:rsidR="001040D1" w:rsidRDefault="005D36C1">
      <w:pPr>
        <w:pStyle w:val="NormalWeb"/>
        <w:rPr>
          <w:rFonts w:cs="SimSun"/>
          <w:szCs w:val="22"/>
        </w:rPr>
      </w:pPr>
      <w:r>
        <w:rPr>
          <w:rFonts w:cs="SimSun"/>
          <w:szCs w:val="22"/>
        </w:rPr>
        <w:t xml:space="preserve">II. Normality Test: to cheque the Distributional Properties of Residuals using </w:t>
      </w:r>
      <w:proofErr w:type="spellStart"/>
      <w:r>
        <w:rPr>
          <w:rFonts w:cs="SimSun"/>
          <w:szCs w:val="22"/>
        </w:rPr>
        <w:t>Jarque-Bera</w:t>
      </w:r>
      <w:proofErr w:type="spellEnd"/>
      <w:r>
        <w:rPr>
          <w:rFonts w:cs="SimSun"/>
          <w:szCs w:val="22"/>
        </w:rPr>
        <w:t xml:space="preserve"> Statistic.</w:t>
      </w:r>
    </w:p>
    <w:p w14:paraId="3BA2FF1E" w14:textId="77777777" w:rsidR="001040D1" w:rsidRDefault="005D36C1">
      <w:pPr>
        <w:pStyle w:val="NormalWeb"/>
        <w:rPr>
          <w:rFonts w:cs="SimSun"/>
          <w:szCs w:val="22"/>
        </w:rPr>
      </w:pPr>
      <w:r>
        <w:rPr>
          <w:rFonts w:cs="SimSun"/>
          <w:szCs w:val="22"/>
        </w:rPr>
        <w:t>III. Autocorr</w:t>
      </w:r>
      <w:r>
        <w:rPr>
          <w:rFonts w:cs="SimSun"/>
          <w:szCs w:val="22"/>
        </w:rPr>
        <w:t>elation Test: to test the serial dependence by the Durbin-Watson statistic.</w:t>
      </w:r>
    </w:p>
    <w:p w14:paraId="7721E315" w14:textId="77777777" w:rsidR="001040D1" w:rsidRDefault="005D36C1">
      <w:pPr>
        <w:pStyle w:val="NormalWeb"/>
        <w:rPr>
          <w:rFonts w:cs="SimSun"/>
          <w:szCs w:val="22"/>
        </w:rPr>
      </w:pPr>
      <w:r>
        <w:rPr>
          <w:rFonts w:cs="SimSun"/>
          <w:szCs w:val="22"/>
        </w:rPr>
        <w:t>The statistical significance of the coefficients was determined at a probabilities level of 5% while the robustness was determined using F-statistics and coefficient of determinati</w:t>
      </w:r>
      <w:r>
        <w:rPr>
          <w:rFonts w:cs="SimSun"/>
          <w:szCs w:val="22"/>
        </w:rPr>
        <w:t>on (R</w:t>
      </w:r>
      <w:r>
        <w:rPr>
          <w:rFonts w:cs="SimSun"/>
          <w:szCs w:val="22"/>
          <w:vertAlign w:val="superscript"/>
        </w:rPr>
        <w:t>2</w:t>
      </w:r>
      <w:r>
        <w:rPr>
          <w:rFonts w:cs="SimSun"/>
          <w:szCs w:val="22"/>
        </w:rPr>
        <w:t>).</w:t>
      </w:r>
    </w:p>
    <w:p w14:paraId="6A119DE1" w14:textId="77777777" w:rsidR="001040D1" w:rsidRDefault="005D36C1">
      <w:pPr>
        <w:pStyle w:val="NormalWeb"/>
        <w:rPr>
          <w:rFonts w:cs="SimSun"/>
          <w:b/>
          <w:bCs/>
          <w:szCs w:val="22"/>
        </w:rPr>
      </w:pPr>
      <w:r>
        <w:rPr>
          <w:rFonts w:cs="SimSun"/>
          <w:b/>
          <w:bCs/>
          <w:szCs w:val="22"/>
          <w:lang w:val="en-US"/>
        </w:rPr>
        <w:t>3</w:t>
      </w:r>
      <w:r>
        <w:rPr>
          <w:rFonts w:cs="SimSun"/>
          <w:b/>
          <w:bCs/>
          <w:szCs w:val="22"/>
        </w:rPr>
        <w:t>.7 Ethical Considerations</w:t>
      </w:r>
    </w:p>
    <w:p w14:paraId="40E2A751" w14:textId="77777777" w:rsidR="001040D1" w:rsidRDefault="005D36C1">
      <w:r>
        <w:t>The study was solely dependent on the utilisation of secondary data sourced from art information of the public domain from the corporate reports and regulatory institutions due to no need for breach of confidentiality an</w:t>
      </w:r>
      <w:r>
        <w:t xml:space="preserve">d privacy of the participant. Data integrity was ensured by cross-checking numbers from various reliable sources. Proper academic citation and acknowledgment of all materials referenced were also upheld in order to uphold scholarly ethics and intellectual </w:t>
      </w:r>
      <w:r>
        <w:t>honesty.</w:t>
      </w:r>
    </w:p>
    <w:p w14:paraId="52399B74" w14:textId="77777777" w:rsidR="001040D1" w:rsidRDefault="005D36C1">
      <w:pPr>
        <w:pStyle w:val="NormalWeb"/>
        <w:numPr>
          <w:ilvl w:val="0"/>
          <w:numId w:val="1"/>
        </w:numPr>
        <w:rPr>
          <w:rFonts w:cs="SimSun"/>
          <w:b/>
          <w:bCs/>
          <w:sz w:val="28"/>
          <w:szCs w:val="28"/>
        </w:rPr>
      </w:pPr>
      <w:r>
        <w:rPr>
          <w:rFonts w:cs="SimSun"/>
          <w:b/>
          <w:bCs/>
          <w:sz w:val="28"/>
          <w:szCs w:val="28"/>
        </w:rPr>
        <w:t>Results and Discussion</w:t>
      </w:r>
    </w:p>
    <w:p w14:paraId="070D807E" w14:textId="77777777" w:rsidR="001040D1" w:rsidRDefault="005D36C1">
      <w:pPr>
        <w:pStyle w:val="NormalWeb"/>
        <w:rPr>
          <w:rFonts w:cs="SimSun"/>
          <w:b/>
          <w:bCs/>
          <w:szCs w:val="22"/>
        </w:rPr>
      </w:pPr>
      <w:r>
        <w:rPr>
          <w:rFonts w:cs="SimSun"/>
          <w:b/>
          <w:bCs/>
          <w:szCs w:val="22"/>
          <w:lang w:val="en-US"/>
        </w:rPr>
        <w:t>4</w:t>
      </w:r>
      <w:r>
        <w:rPr>
          <w:rFonts w:cs="SimSun"/>
          <w:b/>
          <w:bCs/>
          <w:szCs w:val="22"/>
        </w:rPr>
        <w:t>.1 Descriptive Statistics</w:t>
      </w:r>
    </w:p>
    <w:p w14:paraId="2C0722F6" w14:textId="77777777" w:rsidR="001040D1" w:rsidRDefault="005D36C1">
      <w:pPr>
        <w:pStyle w:val="NormalWeb"/>
        <w:rPr>
          <w:rFonts w:cs="SimSun"/>
          <w:szCs w:val="22"/>
        </w:rPr>
      </w:pPr>
      <w:r>
        <w:rPr>
          <w:rFonts w:cs="SimSun"/>
          <w:szCs w:val="22"/>
        </w:rPr>
        <w:t xml:space="preserve">Table 1 shows the description of the variables Return on Assets (ROA), Marginal Tax Rate (MTR), Effective Tax Rate (ETR) and Average Tax Rate (ATR) of the 5 multinational oil firms over the period </w:t>
      </w:r>
      <w:r>
        <w:rPr>
          <w:rFonts w:cs="SimSun"/>
          <w:szCs w:val="22"/>
        </w:rPr>
        <w:t>2011-2020. Descriptive statistics was used to determine the central tendency and dispersion of the data.</w:t>
      </w:r>
    </w:p>
    <w:p w14:paraId="28D51242" w14:textId="77777777" w:rsidR="001040D1" w:rsidRDefault="005D36C1">
      <w:pPr>
        <w:pStyle w:val="NormalWeb"/>
      </w:pPr>
      <w:r>
        <w:rPr>
          <w:rStyle w:val="Strong"/>
        </w:rPr>
        <w:lastRenderedPageBreak/>
        <w:t>Table 1. Descriptive Statistics of Variables (2011–2020)</w:t>
      </w:r>
    </w:p>
    <w:tbl>
      <w:tblPr>
        <w:tblStyle w:val="TableGrid"/>
        <w:tblW w:w="0" w:type="auto"/>
        <w:tblLook w:val="04A0" w:firstRow="1" w:lastRow="0" w:firstColumn="1" w:lastColumn="0" w:noHBand="0" w:noVBand="1"/>
      </w:tblPr>
      <w:tblGrid>
        <w:gridCol w:w="2315"/>
        <w:gridCol w:w="996"/>
        <w:gridCol w:w="996"/>
        <w:gridCol w:w="996"/>
        <w:gridCol w:w="956"/>
      </w:tblGrid>
      <w:tr w:rsidR="001040D1" w14:paraId="2E4B2875" w14:textId="77777777">
        <w:tc>
          <w:tcPr>
            <w:tcW w:w="0" w:type="auto"/>
          </w:tcPr>
          <w:p w14:paraId="112A2E1E" w14:textId="77777777" w:rsidR="001040D1" w:rsidRDefault="005D36C1">
            <w:pPr>
              <w:jc w:val="center"/>
              <w:rPr>
                <w:b/>
                <w:bCs/>
              </w:rPr>
            </w:pPr>
            <w:r>
              <w:rPr>
                <w:b/>
                <w:bCs/>
              </w:rPr>
              <w:t>Statistic</w:t>
            </w:r>
          </w:p>
        </w:tc>
        <w:tc>
          <w:tcPr>
            <w:tcW w:w="0" w:type="auto"/>
          </w:tcPr>
          <w:p w14:paraId="1A37FAF6" w14:textId="77777777" w:rsidR="001040D1" w:rsidRDefault="005D36C1">
            <w:pPr>
              <w:jc w:val="center"/>
              <w:rPr>
                <w:b/>
                <w:bCs/>
              </w:rPr>
            </w:pPr>
            <w:r>
              <w:rPr>
                <w:b/>
                <w:bCs/>
              </w:rPr>
              <w:t>ROA</w:t>
            </w:r>
          </w:p>
        </w:tc>
        <w:tc>
          <w:tcPr>
            <w:tcW w:w="0" w:type="auto"/>
          </w:tcPr>
          <w:p w14:paraId="70A35C79" w14:textId="77777777" w:rsidR="001040D1" w:rsidRDefault="005D36C1">
            <w:pPr>
              <w:jc w:val="center"/>
              <w:rPr>
                <w:b/>
                <w:bCs/>
              </w:rPr>
            </w:pPr>
            <w:r>
              <w:rPr>
                <w:b/>
                <w:bCs/>
              </w:rPr>
              <w:t>MTR</w:t>
            </w:r>
          </w:p>
        </w:tc>
        <w:tc>
          <w:tcPr>
            <w:tcW w:w="0" w:type="auto"/>
          </w:tcPr>
          <w:p w14:paraId="461F7522" w14:textId="77777777" w:rsidR="001040D1" w:rsidRDefault="005D36C1">
            <w:pPr>
              <w:jc w:val="center"/>
              <w:rPr>
                <w:b/>
                <w:bCs/>
              </w:rPr>
            </w:pPr>
            <w:r>
              <w:rPr>
                <w:b/>
                <w:bCs/>
              </w:rPr>
              <w:t>ETR</w:t>
            </w:r>
          </w:p>
        </w:tc>
        <w:tc>
          <w:tcPr>
            <w:tcW w:w="0" w:type="auto"/>
          </w:tcPr>
          <w:p w14:paraId="3FDD77D6" w14:textId="77777777" w:rsidR="001040D1" w:rsidRDefault="005D36C1">
            <w:pPr>
              <w:jc w:val="center"/>
              <w:rPr>
                <w:b/>
                <w:bCs/>
              </w:rPr>
            </w:pPr>
            <w:r>
              <w:rPr>
                <w:b/>
                <w:bCs/>
              </w:rPr>
              <w:t>ATR</w:t>
            </w:r>
          </w:p>
        </w:tc>
      </w:tr>
      <w:tr w:rsidR="001040D1" w14:paraId="0CF2A0A9" w14:textId="77777777">
        <w:tc>
          <w:tcPr>
            <w:tcW w:w="0" w:type="auto"/>
          </w:tcPr>
          <w:p w14:paraId="145BD092" w14:textId="77777777" w:rsidR="001040D1" w:rsidRDefault="005D36C1">
            <w:pPr>
              <w:jc w:val="left"/>
            </w:pPr>
            <w:r>
              <w:t>Mean</w:t>
            </w:r>
          </w:p>
        </w:tc>
        <w:tc>
          <w:tcPr>
            <w:tcW w:w="0" w:type="auto"/>
          </w:tcPr>
          <w:p w14:paraId="215D3022" w14:textId="77777777" w:rsidR="001040D1" w:rsidRDefault="005D36C1">
            <w:r>
              <w:t>0.0591</w:t>
            </w:r>
          </w:p>
        </w:tc>
        <w:tc>
          <w:tcPr>
            <w:tcW w:w="0" w:type="auto"/>
          </w:tcPr>
          <w:p w14:paraId="0F0C3995" w14:textId="77777777" w:rsidR="001040D1" w:rsidRDefault="005D36C1">
            <w:r>
              <w:t>2.7251</w:t>
            </w:r>
          </w:p>
        </w:tc>
        <w:tc>
          <w:tcPr>
            <w:tcW w:w="0" w:type="auto"/>
          </w:tcPr>
          <w:p w14:paraId="6309C991" w14:textId="77777777" w:rsidR="001040D1" w:rsidRDefault="005D36C1">
            <w:r>
              <w:t>0.8663</w:t>
            </w:r>
          </w:p>
        </w:tc>
        <w:tc>
          <w:tcPr>
            <w:tcW w:w="0" w:type="auto"/>
          </w:tcPr>
          <w:p w14:paraId="0986A19C" w14:textId="77777777" w:rsidR="001040D1" w:rsidRDefault="005D36C1">
            <w:r>
              <w:t>0.0365</w:t>
            </w:r>
          </w:p>
        </w:tc>
      </w:tr>
      <w:tr w:rsidR="001040D1" w14:paraId="3BF77501" w14:textId="77777777">
        <w:tc>
          <w:tcPr>
            <w:tcW w:w="0" w:type="auto"/>
          </w:tcPr>
          <w:p w14:paraId="530A35B5" w14:textId="77777777" w:rsidR="001040D1" w:rsidRDefault="005D36C1">
            <w:r>
              <w:t>Median</w:t>
            </w:r>
          </w:p>
        </w:tc>
        <w:tc>
          <w:tcPr>
            <w:tcW w:w="0" w:type="auto"/>
          </w:tcPr>
          <w:p w14:paraId="49BB3114" w14:textId="77777777" w:rsidR="001040D1" w:rsidRDefault="005D36C1">
            <w:r>
              <w:t>0.0434</w:t>
            </w:r>
          </w:p>
        </w:tc>
        <w:tc>
          <w:tcPr>
            <w:tcW w:w="0" w:type="auto"/>
          </w:tcPr>
          <w:p w14:paraId="2D569B51" w14:textId="77777777" w:rsidR="001040D1" w:rsidRDefault="005D36C1">
            <w:r>
              <w:t>0.9619</w:t>
            </w:r>
          </w:p>
        </w:tc>
        <w:tc>
          <w:tcPr>
            <w:tcW w:w="0" w:type="auto"/>
          </w:tcPr>
          <w:p w14:paraId="6E913E1A" w14:textId="77777777" w:rsidR="001040D1" w:rsidRDefault="005D36C1">
            <w:r>
              <w:t>0.4323</w:t>
            </w:r>
          </w:p>
        </w:tc>
        <w:tc>
          <w:tcPr>
            <w:tcW w:w="0" w:type="auto"/>
          </w:tcPr>
          <w:p w14:paraId="550856D1" w14:textId="77777777" w:rsidR="001040D1" w:rsidRDefault="005D36C1">
            <w:r>
              <w:t>0.0345</w:t>
            </w:r>
          </w:p>
        </w:tc>
      </w:tr>
      <w:tr w:rsidR="001040D1" w14:paraId="2A75077D" w14:textId="77777777">
        <w:tc>
          <w:tcPr>
            <w:tcW w:w="0" w:type="auto"/>
          </w:tcPr>
          <w:p w14:paraId="1F50827A" w14:textId="77777777" w:rsidR="001040D1" w:rsidRDefault="005D36C1">
            <w:r>
              <w:t>Maximum</w:t>
            </w:r>
          </w:p>
        </w:tc>
        <w:tc>
          <w:tcPr>
            <w:tcW w:w="0" w:type="auto"/>
          </w:tcPr>
          <w:p w14:paraId="6EAA575D" w14:textId="77777777" w:rsidR="001040D1" w:rsidRDefault="005D36C1">
            <w:r>
              <w:t>1.0003</w:t>
            </w:r>
          </w:p>
        </w:tc>
        <w:tc>
          <w:tcPr>
            <w:tcW w:w="0" w:type="auto"/>
          </w:tcPr>
          <w:p w14:paraId="17E66AD9" w14:textId="77777777" w:rsidR="001040D1" w:rsidRDefault="005D36C1">
            <w:r>
              <w:t>23.5487</w:t>
            </w:r>
          </w:p>
        </w:tc>
        <w:tc>
          <w:tcPr>
            <w:tcW w:w="0" w:type="auto"/>
          </w:tcPr>
          <w:p w14:paraId="7D9DB536" w14:textId="77777777" w:rsidR="001040D1" w:rsidRDefault="005D36C1">
            <w:r>
              <w:t>7.3106</w:t>
            </w:r>
          </w:p>
        </w:tc>
        <w:tc>
          <w:tcPr>
            <w:tcW w:w="0" w:type="auto"/>
          </w:tcPr>
          <w:p w14:paraId="263DC32B" w14:textId="77777777" w:rsidR="001040D1" w:rsidRDefault="005D36C1">
            <w:r>
              <w:t>0.1244</w:t>
            </w:r>
          </w:p>
        </w:tc>
      </w:tr>
      <w:tr w:rsidR="001040D1" w14:paraId="5765EE09" w14:textId="77777777">
        <w:tc>
          <w:tcPr>
            <w:tcW w:w="0" w:type="auto"/>
          </w:tcPr>
          <w:p w14:paraId="66AD0918" w14:textId="77777777" w:rsidR="001040D1" w:rsidRDefault="005D36C1">
            <w:r>
              <w:t>Minimum</w:t>
            </w:r>
          </w:p>
        </w:tc>
        <w:tc>
          <w:tcPr>
            <w:tcW w:w="0" w:type="auto"/>
          </w:tcPr>
          <w:p w14:paraId="1742D0E3" w14:textId="77777777" w:rsidR="001040D1" w:rsidRDefault="005D36C1">
            <w:r>
              <w:t>-0.1115</w:t>
            </w:r>
          </w:p>
        </w:tc>
        <w:tc>
          <w:tcPr>
            <w:tcW w:w="0" w:type="auto"/>
          </w:tcPr>
          <w:p w14:paraId="79544EE8" w14:textId="77777777" w:rsidR="001040D1" w:rsidRDefault="005D36C1">
            <w:r>
              <w:t>-2.3653</w:t>
            </w:r>
          </w:p>
        </w:tc>
        <w:tc>
          <w:tcPr>
            <w:tcW w:w="0" w:type="auto"/>
          </w:tcPr>
          <w:p w14:paraId="32640E32" w14:textId="77777777" w:rsidR="001040D1" w:rsidRDefault="005D36C1">
            <w:r>
              <w:t>-0.7300</w:t>
            </w:r>
          </w:p>
        </w:tc>
        <w:tc>
          <w:tcPr>
            <w:tcW w:w="0" w:type="auto"/>
          </w:tcPr>
          <w:p w14:paraId="43816E01" w14:textId="77777777" w:rsidR="001040D1" w:rsidRDefault="005D36C1">
            <w:r>
              <w:t>-0.0315</w:t>
            </w:r>
          </w:p>
        </w:tc>
      </w:tr>
      <w:tr w:rsidR="001040D1" w14:paraId="6C46EC87" w14:textId="77777777">
        <w:tc>
          <w:tcPr>
            <w:tcW w:w="0" w:type="auto"/>
          </w:tcPr>
          <w:p w14:paraId="7C69A8A8" w14:textId="77777777" w:rsidR="001040D1" w:rsidRDefault="005D36C1">
            <w:r>
              <w:t>Std. Deviation</w:t>
            </w:r>
          </w:p>
        </w:tc>
        <w:tc>
          <w:tcPr>
            <w:tcW w:w="0" w:type="auto"/>
          </w:tcPr>
          <w:p w14:paraId="7C78299E" w14:textId="77777777" w:rsidR="001040D1" w:rsidRDefault="005D36C1">
            <w:r>
              <w:t>0.1455</w:t>
            </w:r>
          </w:p>
        </w:tc>
        <w:tc>
          <w:tcPr>
            <w:tcW w:w="0" w:type="auto"/>
          </w:tcPr>
          <w:p w14:paraId="28E18484" w14:textId="77777777" w:rsidR="001040D1" w:rsidRDefault="005D36C1">
            <w:r>
              <w:t>4.5030</w:t>
            </w:r>
          </w:p>
        </w:tc>
        <w:tc>
          <w:tcPr>
            <w:tcW w:w="0" w:type="auto"/>
          </w:tcPr>
          <w:p w14:paraId="6EA58801" w14:textId="77777777" w:rsidR="001040D1" w:rsidRDefault="005D36C1">
            <w:r>
              <w:t>1.5016</w:t>
            </w:r>
          </w:p>
        </w:tc>
        <w:tc>
          <w:tcPr>
            <w:tcW w:w="0" w:type="auto"/>
          </w:tcPr>
          <w:p w14:paraId="5F5F7636" w14:textId="77777777" w:rsidR="001040D1" w:rsidRDefault="005D36C1">
            <w:r>
              <w:t>0.0341</w:t>
            </w:r>
          </w:p>
        </w:tc>
      </w:tr>
      <w:tr w:rsidR="001040D1" w14:paraId="6716958A" w14:textId="77777777">
        <w:tc>
          <w:tcPr>
            <w:tcW w:w="0" w:type="auto"/>
          </w:tcPr>
          <w:p w14:paraId="77ECDAFF" w14:textId="77777777" w:rsidR="001040D1" w:rsidRDefault="005D36C1">
            <w:r>
              <w:t>Skewness</w:t>
            </w:r>
          </w:p>
        </w:tc>
        <w:tc>
          <w:tcPr>
            <w:tcW w:w="0" w:type="auto"/>
          </w:tcPr>
          <w:p w14:paraId="549A4E77" w14:textId="77777777" w:rsidR="001040D1" w:rsidRDefault="005D36C1">
            <w:r>
              <w:t>5.4914</w:t>
            </w:r>
          </w:p>
        </w:tc>
        <w:tc>
          <w:tcPr>
            <w:tcW w:w="0" w:type="auto"/>
          </w:tcPr>
          <w:p w14:paraId="3EC0FF60" w14:textId="77777777" w:rsidR="001040D1" w:rsidRDefault="005D36C1">
            <w:r>
              <w:t>2.6043</w:t>
            </w:r>
          </w:p>
        </w:tc>
        <w:tc>
          <w:tcPr>
            <w:tcW w:w="0" w:type="auto"/>
          </w:tcPr>
          <w:p w14:paraId="0D11DF0B" w14:textId="77777777" w:rsidR="001040D1" w:rsidRDefault="005D36C1">
            <w:r>
              <w:t>2.9880</w:t>
            </w:r>
          </w:p>
        </w:tc>
        <w:tc>
          <w:tcPr>
            <w:tcW w:w="0" w:type="auto"/>
          </w:tcPr>
          <w:p w14:paraId="01A66252" w14:textId="77777777" w:rsidR="001040D1" w:rsidRDefault="005D36C1">
            <w:r>
              <w:t>0.0986</w:t>
            </w:r>
          </w:p>
        </w:tc>
      </w:tr>
      <w:tr w:rsidR="001040D1" w14:paraId="458681CA" w14:textId="77777777">
        <w:tc>
          <w:tcPr>
            <w:tcW w:w="0" w:type="auto"/>
          </w:tcPr>
          <w:p w14:paraId="6873C059" w14:textId="77777777" w:rsidR="001040D1" w:rsidRDefault="005D36C1">
            <w:r>
              <w:t>Kurtosis</w:t>
            </w:r>
          </w:p>
        </w:tc>
        <w:tc>
          <w:tcPr>
            <w:tcW w:w="0" w:type="auto"/>
          </w:tcPr>
          <w:p w14:paraId="3BA70D3E" w14:textId="77777777" w:rsidR="001040D1" w:rsidRDefault="005D36C1">
            <w:r>
              <w:t>36.5011</w:t>
            </w:r>
          </w:p>
        </w:tc>
        <w:tc>
          <w:tcPr>
            <w:tcW w:w="0" w:type="auto"/>
          </w:tcPr>
          <w:p w14:paraId="12B3E77B" w14:textId="77777777" w:rsidR="001040D1" w:rsidRDefault="005D36C1">
            <w:r>
              <w:t>11.0600</w:t>
            </w:r>
          </w:p>
        </w:tc>
        <w:tc>
          <w:tcPr>
            <w:tcW w:w="0" w:type="auto"/>
          </w:tcPr>
          <w:p w14:paraId="1AC41900" w14:textId="77777777" w:rsidR="001040D1" w:rsidRDefault="005D36C1">
            <w:r>
              <w:t>11.9488</w:t>
            </w:r>
          </w:p>
        </w:tc>
        <w:tc>
          <w:tcPr>
            <w:tcW w:w="0" w:type="auto"/>
          </w:tcPr>
          <w:p w14:paraId="6FFFDB21" w14:textId="77777777" w:rsidR="001040D1" w:rsidRDefault="005D36C1">
            <w:r>
              <w:t>2.6567</w:t>
            </w:r>
          </w:p>
        </w:tc>
      </w:tr>
      <w:tr w:rsidR="001040D1" w14:paraId="0A6EBA2D" w14:textId="77777777">
        <w:tc>
          <w:tcPr>
            <w:tcW w:w="0" w:type="auto"/>
          </w:tcPr>
          <w:p w14:paraId="542E0583" w14:textId="77777777" w:rsidR="001040D1" w:rsidRDefault="005D36C1">
            <w:proofErr w:type="spellStart"/>
            <w:r>
              <w:t>Jarque-Bera</w:t>
            </w:r>
            <w:proofErr w:type="spellEnd"/>
            <w:r>
              <w:t xml:space="preserve"> (p-value)</w:t>
            </w:r>
          </w:p>
        </w:tc>
        <w:tc>
          <w:tcPr>
            <w:tcW w:w="0" w:type="auto"/>
          </w:tcPr>
          <w:p w14:paraId="04965859" w14:textId="77777777" w:rsidR="001040D1" w:rsidRDefault="005D36C1">
            <w:r>
              <w:t>0.0000</w:t>
            </w:r>
          </w:p>
        </w:tc>
        <w:tc>
          <w:tcPr>
            <w:tcW w:w="0" w:type="auto"/>
          </w:tcPr>
          <w:p w14:paraId="16C7F513" w14:textId="77777777" w:rsidR="001040D1" w:rsidRDefault="005D36C1">
            <w:r>
              <w:t>0.0000</w:t>
            </w:r>
          </w:p>
        </w:tc>
        <w:tc>
          <w:tcPr>
            <w:tcW w:w="0" w:type="auto"/>
          </w:tcPr>
          <w:p w14:paraId="101189DC" w14:textId="77777777" w:rsidR="001040D1" w:rsidRDefault="005D36C1">
            <w:r>
              <w:t>0.0000</w:t>
            </w:r>
          </w:p>
        </w:tc>
        <w:tc>
          <w:tcPr>
            <w:tcW w:w="0" w:type="auto"/>
          </w:tcPr>
          <w:p w14:paraId="0BE279FE" w14:textId="77777777" w:rsidR="001040D1" w:rsidRDefault="005D36C1">
            <w:r>
              <w:t>0.8494</w:t>
            </w:r>
          </w:p>
        </w:tc>
      </w:tr>
    </w:tbl>
    <w:p w14:paraId="54E90CF7" w14:textId="77777777" w:rsidR="001040D1" w:rsidRDefault="005D36C1">
      <w:pPr>
        <w:pStyle w:val="NormalWeb"/>
      </w:pPr>
      <w:r>
        <w:rPr>
          <w:rStyle w:val="Emphasis"/>
        </w:rPr>
        <w:t>Source: Author’s computation using EViews 10.</w:t>
      </w:r>
    </w:p>
    <w:p w14:paraId="0BA3378D" w14:textId="77777777" w:rsidR="001040D1" w:rsidRDefault="005D36C1">
      <w:pPr>
        <w:pStyle w:val="NormalWeb"/>
      </w:pPr>
      <w:r>
        <w:t xml:space="preserve">The results indicate substantial variability among the tax rate variables, suggesting fluctuations in firms’ tax liabilities across the </w:t>
      </w:r>
      <w:proofErr w:type="spellStart"/>
      <w:r>
        <w:t>st</w:t>
      </w:r>
      <w:r>
        <w:rPr>
          <w:lang w:val="en-US"/>
        </w:rPr>
        <w:t>udy</w:t>
      </w:r>
      <w:proofErr w:type="spellEnd"/>
      <w:r>
        <w:t xml:space="preserve"> period. The mean ROA (0.0591) reflects a relatively modest level of profitability. The high kurtosis for MTR and ETR indicates that their distributions are leptokurtic, implying outlier effects likely caused by year-to-year volatility in petroleum taxatio</w:t>
      </w:r>
      <w:r>
        <w:t xml:space="preserve">n. The </w:t>
      </w:r>
      <w:proofErr w:type="spellStart"/>
      <w:r>
        <w:t>Jarque</w:t>
      </w:r>
      <w:proofErr w:type="spellEnd"/>
      <w:r>
        <w:t>–</w:t>
      </w:r>
      <w:proofErr w:type="spellStart"/>
      <w:r>
        <w:t>Bera</w:t>
      </w:r>
      <w:proofErr w:type="spellEnd"/>
      <w:r>
        <w:t xml:space="preserve"> test reveals that ROA, MTR, and ETR are not normally distributed, although ATR approximates normality.</w:t>
      </w:r>
    </w:p>
    <w:p w14:paraId="0F96CB35" w14:textId="77777777" w:rsidR="001040D1" w:rsidRDefault="005D36C1">
      <w:pPr>
        <w:pStyle w:val="NormalWeb"/>
      </w:pPr>
      <w:r>
        <w:t>This pattern suggests inconsistent profitability and tax burdens across the firms, reflecting changes in both fiscal policy and oil ma</w:t>
      </w:r>
      <w:r>
        <w:t>rket dynamics during the study period.</w:t>
      </w:r>
    </w:p>
    <w:p w14:paraId="26FE5F76" w14:textId="77777777" w:rsidR="001040D1" w:rsidRDefault="005D36C1">
      <w:pPr>
        <w:pStyle w:val="Heading3"/>
        <w:rPr>
          <w:sz w:val="24"/>
          <w:szCs w:val="24"/>
        </w:rPr>
      </w:pPr>
      <w:r>
        <w:rPr>
          <w:rStyle w:val="Strong"/>
          <w:b/>
          <w:bCs/>
          <w:sz w:val="24"/>
          <w:szCs w:val="24"/>
          <w:lang w:val="en-US"/>
        </w:rPr>
        <w:t>4</w:t>
      </w:r>
      <w:r>
        <w:rPr>
          <w:rStyle w:val="Strong"/>
          <w:b/>
          <w:bCs/>
          <w:sz w:val="24"/>
          <w:szCs w:val="24"/>
        </w:rPr>
        <w:t>.2 Correlation Analysis</w:t>
      </w:r>
    </w:p>
    <w:p w14:paraId="07A0F5FB" w14:textId="77777777" w:rsidR="001040D1" w:rsidRDefault="005D36C1">
      <w:pPr>
        <w:pStyle w:val="NormalWeb"/>
      </w:pPr>
      <w:r>
        <w:t>Table 2 presents the correlation coefficients to examine the linear association among the variables.</w:t>
      </w:r>
    </w:p>
    <w:p w14:paraId="450955EE" w14:textId="77777777" w:rsidR="001040D1" w:rsidRDefault="005D36C1">
      <w:pPr>
        <w:pStyle w:val="NormalWeb"/>
      </w:pPr>
      <w:r>
        <w:rPr>
          <w:rStyle w:val="Strong"/>
        </w:rPr>
        <w:t>Table 2. Correlation Matrix</w:t>
      </w:r>
    </w:p>
    <w:tbl>
      <w:tblPr>
        <w:tblStyle w:val="TableGrid"/>
        <w:tblW w:w="0" w:type="auto"/>
        <w:tblLook w:val="04A0" w:firstRow="1" w:lastRow="0" w:firstColumn="1" w:lastColumn="0" w:noHBand="0" w:noVBand="1"/>
      </w:tblPr>
      <w:tblGrid>
        <w:gridCol w:w="1203"/>
        <w:gridCol w:w="956"/>
        <w:gridCol w:w="956"/>
        <w:gridCol w:w="876"/>
        <w:gridCol w:w="956"/>
      </w:tblGrid>
      <w:tr w:rsidR="001040D1" w14:paraId="7C811A8D" w14:textId="77777777">
        <w:tc>
          <w:tcPr>
            <w:tcW w:w="0" w:type="auto"/>
          </w:tcPr>
          <w:p w14:paraId="12326AB3" w14:textId="77777777" w:rsidR="001040D1" w:rsidRDefault="005D36C1">
            <w:pPr>
              <w:jc w:val="center"/>
              <w:rPr>
                <w:b/>
                <w:bCs/>
              </w:rPr>
            </w:pPr>
            <w:r>
              <w:rPr>
                <w:b/>
                <w:bCs/>
              </w:rPr>
              <w:t>Variables</w:t>
            </w:r>
          </w:p>
        </w:tc>
        <w:tc>
          <w:tcPr>
            <w:tcW w:w="0" w:type="auto"/>
          </w:tcPr>
          <w:p w14:paraId="33340356" w14:textId="77777777" w:rsidR="001040D1" w:rsidRDefault="005D36C1">
            <w:pPr>
              <w:jc w:val="center"/>
              <w:rPr>
                <w:b/>
                <w:bCs/>
              </w:rPr>
            </w:pPr>
            <w:r>
              <w:rPr>
                <w:b/>
                <w:bCs/>
              </w:rPr>
              <w:t>ROA</w:t>
            </w:r>
          </w:p>
        </w:tc>
        <w:tc>
          <w:tcPr>
            <w:tcW w:w="0" w:type="auto"/>
          </w:tcPr>
          <w:p w14:paraId="6D70B775" w14:textId="77777777" w:rsidR="001040D1" w:rsidRDefault="005D36C1">
            <w:pPr>
              <w:jc w:val="center"/>
              <w:rPr>
                <w:b/>
                <w:bCs/>
              </w:rPr>
            </w:pPr>
            <w:r>
              <w:rPr>
                <w:b/>
                <w:bCs/>
              </w:rPr>
              <w:t>MTR</w:t>
            </w:r>
          </w:p>
        </w:tc>
        <w:tc>
          <w:tcPr>
            <w:tcW w:w="0" w:type="auto"/>
          </w:tcPr>
          <w:p w14:paraId="183AECB5" w14:textId="77777777" w:rsidR="001040D1" w:rsidRDefault="005D36C1">
            <w:pPr>
              <w:jc w:val="center"/>
              <w:rPr>
                <w:b/>
                <w:bCs/>
              </w:rPr>
            </w:pPr>
            <w:r>
              <w:rPr>
                <w:b/>
                <w:bCs/>
              </w:rPr>
              <w:t>ETR</w:t>
            </w:r>
          </w:p>
        </w:tc>
        <w:tc>
          <w:tcPr>
            <w:tcW w:w="0" w:type="auto"/>
          </w:tcPr>
          <w:p w14:paraId="27979021" w14:textId="77777777" w:rsidR="001040D1" w:rsidRDefault="005D36C1">
            <w:pPr>
              <w:jc w:val="center"/>
              <w:rPr>
                <w:b/>
                <w:bCs/>
              </w:rPr>
            </w:pPr>
            <w:r>
              <w:rPr>
                <w:b/>
                <w:bCs/>
              </w:rPr>
              <w:t>ATR</w:t>
            </w:r>
          </w:p>
        </w:tc>
      </w:tr>
      <w:tr w:rsidR="001040D1" w14:paraId="6C01CEC8" w14:textId="77777777">
        <w:tc>
          <w:tcPr>
            <w:tcW w:w="0" w:type="auto"/>
          </w:tcPr>
          <w:p w14:paraId="7FE487E2" w14:textId="77777777" w:rsidR="001040D1" w:rsidRDefault="005D36C1">
            <w:pPr>
              <w:jc w:val="left"/>
            </w:pPr>
            <w:r>
              <w:t>ROA</w:t>
            </w:r>
          </w:p>
        </w:tc>
        <w:tc>
          <w:tcPr>
            <w:tcW w:w="0" w:type="auto"/>
          </w:tcPr>
          <w:p w14:paraId="7D3DE242" w14:textId="77777777" w:rsidR="001040D1" w:rsidRDefault="005D36C1">
            <w:r>
              <w:t>1.0000</w:t>
            </w:r>
          </w:p>
        </w:tc>
        <w:tc>
          <w:tcPr>
            <w:tcW w:w="0" w:type="auto"/>
          </w:tcPr>
          <w:p w14:paraId="4A1DF33D" w14:textId="77777777" w:rsidR="001040D1" w:rsidRDefault="005D36C1">
            <w:r>
              <w:t>-0.0892</w:t>
            </w:r>
          </w:p>
        </w:tc>
        <w:tc>
          <w:tcPr>
            <w:tcW w:w="0" w:type="auto"/>
          </w:tcPr>
          <w:p w14:paraId="7A094F56" w14:textId="77777777" w:rsidR="001040D1" w:rsidRDefault="005D36C1">
            <w:r>
              <w:t>0.0114</w:t>
            </w:r>
          </w:p>
        </w:tc>
        <w:tc>
          <w:tcPr>
            <w:tcW w:w="0" w:type="auto"/>
          </w:tcPr>
          <w:p w14:paraId="523590D3" w14:textId="77777777" w:rsidR="001040D1" w:rsidRDefault="005D36C1">
            <w:r>
              <w:t>0.2691</w:t>
            </w:r>
          </w:p>
        </w:tc>
      </w:tr>
      <w:tr w:rsidR="001040D1" w14:paraId="2C6CB844" w14:textId="77777777">
        <w:tc>
          <w:tcPr>
            <w:tcW w:w="0" w:type="auto"/>
          </w:tcPr>
          <w:p w14:paraId="1C66D096" w14:textId="77777777" w:rsidR="001040D1" w:rsidRDefault="005D36C1">
            <w:r>
              <w:t>MT</w:t>
            </w:r>
            <w:r>
              <w:t>R</w:t>
            </w:r>
          </w:p>
        </w:tc>
        <w:tc>
          <w:tcPr>
            <w:tcW w:w="0" w:type="auto"/>
          </w:tcPr>
          <w:p w14:paraId="2F5CBCC5" w14:textId="77777777" w:rsidR="001040D1" w:rsidRDefault="005D36C1">
            <w:r>
              <w:t>-0.0892</w:t>
            </w:r>
          </w:p>
        </w:tc>
        <w:tc>
          <w:tcPr>
            <w:tcW w:w="0" w:type="auto"/>
          </w:tcPr>
          <w:p w14:paraId="13C2A6D6" w14:textId="77777777" w:rsidR="001040D1" w:rsidRDefault="005D36C1">
            <w:r>
              <w:t>1.0000</w:t>
            </w:r>
          </w:p>
        </w:tc>
        <w:tc>
          <w:tcPr>
            <w:tcW w:w="0" w:type="auto"/>
          </w:tcPr>
          <w:p w14:paraId="2D872E58" w14:textId="77777777" w:rsidR="001040D1" w:rsidRDefault="005D36C1">
            <w:r>
              <w:t>0.6349</w:t>
            </w:r>
          </w:p>
        </w:tc>
        <w:tc>
          <w:tcPr>
            <w:tcW w:w="0" w:type="auto"/>
          </w:tcPr>
          <w:p w14:paraId="3609AE33" w14:textId="77777777" w:rsidR="001040D1" w:rsidRDefault="005D36C1">
            <w:r>
              <w:t>-0.0392</w:t>
            </w:r>
          </w:p>
        </w:tc>
      </w:tr>
      <w:tr w:rsidR="001040D1" w14:paraId="720A0D74" w14:textId="77777777">
        <w:tc>
          <w:tcPr>
            <w:tcW w:w="0" w:type="auto"/>
          </w:tcPr>
          <w:p w14:paraId="61E5C518" w14:textId="77777777" w:rsidR="001040D1" w:rsidRDefault="005D36C1">
            <w:r>
              <w:t>ETR</w:t>
            </w:r>
          </w:p>
        </w:tc>
        <w:tc>
          <w:tcPr>
            <w:tcW w:w="0" w:type="auto"/>
          </w:tcPr>
          <w:p w14:paraId="46C712FE" w14:textId="77777777" w:rsidR="001040D1" w:rsidRDefault="005D36C1">
            <w:r>
              <w:t>0.0114</w:t>
            </w:r>
          </w:p>
        </w:tc>
        <w:tc>
          <w:tcPr>
            <w:tcW w:w="0" w:type="auto"/>
          </w:tcPr>
          <w:p w14:paraId="5E307BFA" w14:textId="77777777" w:rsidR="001040D1" w:rsidRDefault="005D36C1">
            <w:r>
              <w:t>0.6349</w:t>
            </w:r>
          </w:p>
        </w:tc>
        <w:tc>
          <w:tcPr>
            <w:tcW w:w="0" w:type="auto"/>
          </w:tcPr>
          <w:p w14:paraId="051120A2" w14:textId="77777777" w:rsidR="001040D1" w:rsidRDefault="005D36C1">
            <w:r>
              <w:t>1.0000</w:t>
            </w:r>
          </w:p>
        </w:tc>
        <w:tc>
          <w:tcPr>
            <w:tcW w:w="0" w:type="auto"/>
          </w:tcPr>
          <w:p w14:paraId="7D1D8F29" w14:textId="77777777" w:rsidR="001040D1" w:rsidRDefault="005D36C1">
            <w:r>
              <w:t>0.2661</w:t>
            </w:r>
          </w:p>
        </w:tc>
      </w:tr>
      <w:tr w:rsidR="001040D1" w14:paraId="7CE5372D" w14:textId="77777777">
        <w:tc>
          <w:tcPr>
            <w:tcW w:w="0" w:type="auto"/>
          </w:tcPr>
          <w:p w14:paraId="06B31B32" w14:textId="77777777" w:rsidR="001040D1" w:rsidRDefault="005D36C1">
            <w:r>
              <w:t>ATR</w:t>
            </w:r>
          </w:p>
        </w:tc>
        <w:tc>
          <w:tcPr>
            <w:tcW w:w="0" w:type="auto"/>
          </w:tcPr>
          <w:p w14:paraId="202710FA" w14:textId="77777777" w:rsidR="001040D1" w:rsidRDefault="005D36C1">
            <w:r>
              <w:t>0.2691</w:t>
            </w:r>
          </w:p>
        </w:tc>
        <w:tc>
          <w:tcPr>
            <w:tcW w:w="0" w:type="auto"/>
          </w:tcPr>
          <w:p w14:paraId="15C3090F" w14:textId="77777777" w:rsidR="001040D1" w:rsidRDefault="005D36C1">
            <w:r>
              <w:t>-0.0392</w:t>
            </w:r>
          </w:p>
        </w:tc>
        <w:tc>
          <w:tcPr>
            <w:tcW w:w="0" w:type="auto"/>
          </w:tcPr>
          <w:p w14:paraId="763F4DCD" w14:textId="77777777" w:rsidR="001040D1" w:rsidRDefault="005D36C1">
            <w:r>
              <w:t>0.2661</w:t>
            </w:r>
          </w:p>
        </w:tc>
        <w:tc>
          <w:tcPr>
            <w:tcW w:w="0" w:type="auto"/>
          </w:tcPr>
          <w:p w14:paraId="7598AB01" w14:textId="77777777" w:rsidR="001040D1" w:rsidRDefault="005D36C1">
            <w:r>
              <w:t>1.0000</w:t>
            </w:r>
          </w:p>
        </w:tc>
      </w:tr>
    </w:tbl>
    <w:p w14:paraId="0082B642" w14:textId="77777777" w:rsidR="001040D1" w:rsidRDefault="005D36C1">
      <w:pPr>
        <w:pStyle w:val="NormalWeb"/>
      </w:pPr>
      <w:r>
        <w:rPr>
          <w:rStyle w:val="Emphasis"/>
        </w:rPr>
        <w:lastRenderedPageBreak/>
        <w:t>Source: Author’s computation using EViews 10.</w:t>
      </w:r>
    </w:p>
    <w:p w14:paraId="3196ADA9" w14:textId="77777777" w:rsidR="001040D1" w:rsidRDefault="005D36C1">
      <w:pPr>
        <w:pStyle w:val="NormalWeb"/>
      </w:pPr>
      <w:r>
        <w:t>The findings show that there is a weak negative correlation between ROA and MTR, and weak positive correlation</w:t>
      </w:r>
      <w:r>
        <w:t xml:space="preserve"> between ROA and ETR and ATR. None of the correlations is above 0.70 which indicates that multicollinearity is not a problem and the dataset can be used for regression analysis.</w:t>
      </w:r>
    </w:p>
    <w:p w14:paraId="7C910243" w14:textId="77777777" w:rsidR="001040D1" w:rsidRDefault="005D36C1">
      <w:pPr>
        <w:pStyle w:val="Heading3"/>
        <w:rPr>
          <w:sz w:val="24"/>
          <w:szCs w:val="24"/>
        </w:rPr>
      </w:pPr>
      <w:r>
        <w:rPr>
          <w:rStyle w:val="Strong"/>
          <w:b/>
          <w:bCs/>
          <w:sz w:val="24"/>
          <w:szCs w:val="24"/>
          <w:lang w:val="en-US"/>
        </w:rPr>
        <w:t>4</w:t>
      </w:r>
      <w:r>
        <w:rPr>
          <w:rStyle w:val="Strong"/>
          <w:b/>
          <w:bCs/>
          <w:sz w:val="24"/>
          <w:szCs w:val="24"/>
        </w:rPr>
        <w:t>.3 Diagnostic Tests</w:t>
      </w:r>
    </w:p>
    <w:p w14:paraId="6210AFD3" w14:textId="77777777" w:rsidR="001040D1" w:rsidRDefault="005D36C1">
      <w:r>
        <w:t>Prior to estimating, stationarity and normality diagnosti</w:t>
      </w:r>
      <w:r>
        <w:t>cs were performed. The Levin, Lin &amp; Chu unit root test proved that the series were stationary at mixed integration levels (I (0) and I (1)). This made the use of the Autoregressive Distributed Lag (ARDL) approach justified. The Durbin-Watson statistic 2.36</w:t>
      </w:r>
      <w:r>
        <w:t xml:space="preserve"> showed no autocorrelation, and residue homoscedasticity assumptions corresponding to the robustness of the model.</w:t>
      </w:r>
    </w:p>
    <w:p w14:paraId="35360E0A" w14:textId="77777777" w:rsidR="001040D1" w:rsidRDefault="005D36C1">
      <w:pPr>
        <w:rPr>
          <w:szCs w:val="24"/>
        </w:rPr>
      </w:pPr>
      <w:r>
        <w:rPr>
          <w:rStyle w:val="Strong"/>
          <w:szCs w:val="24"/>
          <w:lang w:val="en-US"/>
        </w:rPr>
        <w:t>4</w:t>
      </w:r>
      <w:r>
        <w:rPr>
          <w:rStyle w:val="Strong"/>
          <w:szCs w:val="24"/>
        </w:rPr>
        <w:t xml:space="preserve">.4 </w:t>
      </w:r>
      <w:r>
        <w:rPr>
          <w:b/>
          <w:bCs/>
        </w:rPr>
        <w:t>Autoregressive Distributed Lag</w:t>
      </w:r>
      <w:r>
        <w:rPr>
          <w:rStyle w:val="Strong"/>
          <w:b w:val="0"/>
          <w:bCs w:val="0"/>
          <w:szCs w:val="24"/>
        </w:rPr>
        <w:t xml:space="preserve"> (</w:t>
      </w:r>
      <w:r>
        <w:rPr>
          <w:rStyle w:val="Strong"/>
          <w:szCs w:val="24"/>
        </w:rPr>
        <w:t>ARDL) Regression Results</w:t>
      </w:r>
    </w:p>
    <w:p w14:paraId="75C56E0C" w14:textId="77777777" w:rsidR="001040D1" w:rsidRDefault="005D36C1">
      <w:r>
        <w:t>The ARDL model estimated both short-run and long-run dynamics between tax rate v</w:t>
      </w:r>
      <w:r>
        <w:t>ariables and profitability. The selected model (ARDL 1,1,1,1) was chosen based on the Akaike Information Criterion (AIC).</w:t>
      </w:r>
    </w:p>
    <w:p w14:paraId="321BA916" w14:textId="77777777" w:rsidR="001040D1" w:rsidRDefault="005D36C1">
      <w:pPr>
        <w:pStyle w:val="NormalWeb"/>
      </w:pPr>
      <w:r>
        <w:rPr>
          <w:rStyle w:val="Strong"/>
        </w:rPr>
        <w:t>Table 3. ARDL Estimation Results</w:t>
      </w:r>
    </w:p>
    <w:tbl>
      <w:tblPr>
        <w:tblStyle w:val="TableGrid"/>
        <w:tblW w:w="0" w:type="auto"/>
        <w:tblLook w:val="04A0" w:firstRow="1" w:lastRow="0" w:firstColumn="1" w:lastColumn="0" w:noHBand="0" w:noVBand="1"/>
      </w:tblPr>
      <w:tblGrid>
        <w:gridCol w:w="2317"/>
        <w:gridCol w:w="1724"/>
        <w:gridCol w:w="1838"/>
        <w:gridCol w:w="1879"/>
        <w:gridCol w:w="1377"/>
      </w:tblGrid>
      <w:tr w:rsidR="001040D1" w14:paraId="444516B3" w14:textId="77777777">
        <w:tc>
          <w:tcPr>
            <w:tcW w:w="0" w:type="auto"/>
          </w:tcPr>
          <w:p w14:paraId="6A328C07" w14:textId="77777777" w:rsidR="001040D1" w:rsidRDefault="005D36C1">
            <w:pPr>
              <w:jc w:val="center"/>
              <w:rPr>
                <w:b/>
                <w:bCs/>
              </w:rPr>
            </w:pPr>
            <w:r>
              <w:rPr>
                <w:b/>
                <w:bCs/>
              </w:rPr>
              <w:t>Variables</w:t>
            </w:r>
          </w:p>
        </w:tc>
        <w:tc>
          <w:tcPr>
            <w:tcW w:w="0" w:type="auto"/>
          </w:tcPr>
          <w:p w14:paraId="3032DCFC" w14:textId="77777777" w:rsidR="001040D1" w:rsidRDefault="005D36C1">
            <w:pPr>
              <w:jc w:val="center"/>
              <w:rPr>
                <w:b/>
                <w:bCs/>
              </w:rPr>
            </w:pPr>
            <w:r>
              <w:rPr>
                <w:b/>
                <w:bCs/>
              </w:rPr>
              <w:t>Coefficient</w:t>
            </w:r>
          </w:p>
        </w:tc>
        <w:tc>
          <w:tcPr>
            <w:tcW w:w="0" w:type="auto"/>
          </w:tcPr>
          <w:p w14:paraId="2A546D5D" w14:textId="77777777" w:rsidR="001040D1" w:rsidRDefault="005D36C1">
            <w:pPr>
              <w:jc w:val="center"/>
              <w:rPr>
                <w:b/>
                <w:bCs/>
              </w:rPr>
            </w:pPr>
            <w:r>
              <w:rPr>
                <w:b/>
                <w:bCs/>
              </w:rPr>
              <w:t>Standard Error</w:t>
            </w:r>
          </w:p>
        </w:tc>
        <w:tc>
          <w:tcPr>
            <w:tcW w:w="0" w:type="auto"/>
          </w:tcPr>
          <w:p w14:paraId="03F45D02" w14:textId="77777777" w:rsidR="001040D1" w:rsidRDefault="005D36C1">
            <w:pPr>
              <w:jc w:val="center"/>
              <w:rPr>
                <w:b/>
                <w:bCs/>
              </w:rPr>
            </w:pPr>
            <w:r>
              <w:rPr>
                <w:b/>
                <w:bCs/>
              </w:rPr>
              <w:t>t-Statistic</w:t>
            </w:r>
          </w:p>
        </w:tc>
        <w:tc>
          <w:tcPr>
            <w:tcW w:w="0" w:type="auto"/>
          </w:tcPr>
          <w:p w14:paraId="50A0CF7F" w14:textId="77777777" w:rsidR="001040D1" w:rsidRDefault="005D36C1">
            <w:pPr>
              <w:jc w:val="center"/>
              <w:rPr>
                <w:b/>
                <w:bCs/>
              </w:rPr>
            </w:pPr>
            <w:r>
              <w:rPr>
                <w:b/>
                <w:bCs/>
              </w:rPr>
              <w:t>Probability</w:t>
            </w:r>
          </w:p>
        </w:tc>
      </w:tr>
      <w:tr w:rsidR="001040D1" w14:paraId="246237F5" w14:textId="77777777">
        <w:tc>
          <w:tcPr>
            <w:tcW w:w="0" w:type="auto"/>
          </w:tcPr>
          <w:p w14:paraId="2984A985" w14:textId="77777777" w:rsidR="001040D1" w:rsidRDefault="005D36C1">
            <w:pPr>
              <w:jc w:val="left"/>
            </w:pPr>
            <w:r>
              <w:rPr>
                <w:rStyle w:val="Strong"/>
              </w:rPr>
              <w:t>Long-Run Equation</w:t>
            </w:r>
          </w:p>
        </w:tc>
        <w:tc>
          <w:tcPr>
            <w:tcW w:w="0" w:type="auto"/>
          </w:tcPr>
          <w:p w14:paraId="61681AA5" w14:textId="77777777" w:rsidR="001040D1" w:rsidRDefault="001040D1"/>
        </w:tc>
        <w:tc>
          <w:tcPr>
            <w:tcW w:w="0" w:type="auto"/>
          </w:tcPr>
          <w:p w14:paraId="71D32925" w14:textId="77777777" w:rsidR="001040D1" w:rsidRDefault="001040D1">
            <w:pPr>
              <w:rPr>
                <w:sz w:val="20"/>
                <w:szCs w:val="20"/>
              </w:rPr>
            </w:pPr>
          </w:p>
        </w:tc>
        <w:tc>
          <w:tcPr>
            <w:tcW w:w="0" w:type="auto"/>
          </w:tcPr>
          <w:p w14:paraId="4CDE5E49" w14:textId="77777777" w:rsidR="001040D1" w:rsidRDefault="001040D1">
            <w:pPr>
              <w:rPr>
                <w:sz w:val="20"/>
                <w:szCs w:val="20"/>
              </w:rPr>
            </w:pPr>
          </w:p>
        </w:tc>
        <w:tc>
          <w:tcPr>
            <w:tcW w:w="0" w:type="auto"/>
          </w:tcPr>
          <w:p w14:paraId="09D3FB74" w14:textId="77777777" w:rsidR="001040D1" w:rsidRDefault="001040D1">
            <w:pPr>
              <w:rPr>
                <w:sz w:val="20"/>
                <w:szCs w:val="20"/>
              </w:rPr>
            </w:pPr>
          </w:p>
        </w:tc>
      </w:tr>
      <w:tr w:rsidR="001040D1" w14:paraId="4CD5AB76" w14:textId="77777777">
        <w:tc>
          <w:tcPr>
            <w:tcW w:w="0" w:type="auto"/>
          </w:tcPr>
          <w:p w14:paraId="670968ED" w14:textId="77777777" w:rsidR="001040D1" w:rsidRDefault="005D36C1">
            <w:pPr>
              <w:rPr>
                <w:szCs w:val="24"/>
              </w:rPr>
            </w:pPr>
            <w:r>
              <w:t>MTR</w:t>
            </w:r>
          </w:p>
        </w:tc>
        <w:tc>
          <w:tcPr>
            <w:tcW w:w="0" w:type="auto"/>
          </w:tcPr>
          <w:p w14:paraId="6F0B2B67" w14:textId="77777777" w:rsidR="001040D1" w:rsidRDefault="005D36C1">
            <w:r>
              <w:t>-0.0066</w:t>
            </w:r>
          </w:p>
        </w:tc>
        <w:tc>
          <w:tcPr>
            <w:tcW w:w="0" w:type="auto"/>
          </w:tcPr>
          <w:p w14:paraId="1A8D106C" w14:textId="77777777" w:rsidR="001040D1" w:rsidRDefault="005D36C1">
            <w:r>
              <w:t>0.0004</w:t>
            </w:r>
          </w:p>
        </w:tc>
        <w:tc>
          <w:tcPr>
            <w:tcW w:w="0" w:type="auto"/>
          </w:tcPr>
          <w:p w14:paraId="30BBB868" w14:textId="77777777" w:rsidR="001040D1" w:rsidRDefault="005D36C1">
            <w:r>
              <w:t>-18.2005</w:t>
            </w:r>
          </w:p>
        </w:tc>
        <w:tc>
          <w:tcPr>
            <w:tcW w:w="0" w:type="auto"/>
          </w:tcPr>
          <w:p w14:paraId="2C9E37F6" w14:textId="77777777" w:rsidR="001040D1" w:rsidRDefault="005D36C1">
            <w:r>
              <w:t>0.0000</w:t>
            </w:r>
          </w:p>
        </w:tc>
      </w:tr>
      <w:tr w:rsidR="001040D1" w14:paraId="59BCD164" w14:textId="77777777">
        <w:tc>
          <w:tcPr>
            <w:tcW w:w="0" w:type="auto"/>
          </w:tcPr>
          <w:p w14:paraId="3C1FB891" w14:textId="77777777" w:rsidR="001040D1" w:rsidRDefault="005D36C1">
            <w:r>
              <w:t>ETR</w:t>
            </w:r>
          </w:p>
        </w:tc>
        <w:tc>
          <w:tcPr>
            <w:tcW w:w="0" w:type="auto"/>
          </w:tcPr>
          <w:p w14:paraId="27F85F54" w14:textId="77777777" w:rsidR="001040D1" w:rsidRDefault="005D36C1">
            <w:r>
              <w:t>-0.1091</w:t>
            </w:r>
          </w:p>
        </w:tc>
        <w:tc>
          <w:tcPr>
            <w:tcW w:w="0" w:type="auto"/>
          </w:tcPr>
          <w:p w14:paraId="7E6DEC62" w14:textId="77777777" w:rsidR="001040D1" w:rsidRDefault="005D36C1">
            <w:r>
              <w:t>0.0054</w:t>
            </w:r>
          </w:p>
        </w:tc>
        <w:tc>
          <w:tcPr>
            <w:tcW w:w="0" w:type="auto"/>
          </w:tcPr>
          <w:p w14:paraId="5A1267C2" w14:textId="77777777" w:rsidR="001040D1" w:rsidRDefault="005D36C1">
            <w:r>
              <w:t>-20.0572</w:t>
            </w:r>
          </w:p>
        </w:tc>
        <w:tc>
          <w:tcPr>
            <w:tcW w:w="0" w:type="auto"/>
          </w:tcPr>
          <w:p w14:paraId="0F235692" w14:textId="77777777" w:rsidR="001040D1" w:rsidRDefault="005D36C1">
            <w:r>
              <w:t>0.0000</w:t>
            </w:r>
          </w:p>
        </w:tc>
      </w:tr>
      <w:tr w:rsidR="001040D1" w14:paraId="32AB94E5" w14:textId="77777777">
        <w:tc>
          <w:tcPr>
            <w:tcW w:w="0" w:type="auto"/>
          </w:tcPr>
          <w:p w14:paraId="3BB9C591" w14:textId="77777777" w:rsidR="001040D1" w:rsidRDefault="005D36C1">
            <w:r>
              <w:t>ATR</w:t>
            </w:r>
          </w:p>
        </w:tc>
        <w:tc>
          <w:tcPr>
            <w:tcW w:w="0" w:type="auto"/>
          </w:tcPr>
          <w:p w14:paraId="60DD1627" w14:textId="77777777" w:rsidR="001040D1" w:rsidRDefault="005D36C1">
            <w:r>
              <w:t>1.8513</w:t>
            </w:r>
          </w:p>
        </w:tc>
        <w:tc>
          <w:tcPr>
            <w:tcW w:w="0" w:type="auto"/>
          </w:tcPr>
          <w:p w14:paraId="1CA7C524" w14:textId="77777777" w:rsidR="001040D1" w:rsidRDefault="005D36C1">
            <w:r>
              <w:t>0.0398</w:t>
            </w:r>
          </w:p>
        </w:tc>
        <w:tc>
          <w:tcPr>
            <w:tcW w:w="0" w:type="auto"/>
          </w:tcPr>
          <w:p w14:paraId="6B42A9ED" w14:textId="77777777" w:rsidR="001040D1" w:rsidRDefault="005D36C1">
            <w:r>
              <w:t>46.4835</w:t>
            </w:r>
          </w:p>
        </w:tc>
        <w:tc>
          <w:tcPr>
            <w:tcW w:w="0" w:type="auto"/>
          </w:tcPr>
          <w:p w14:paraId="777DDD9C" w14:textId="77777777" w:rsidR="001040D1" w:rsidRDefault="005D36C1">
            <w:r>
              <w:t>0.0000</w:t>
            </w:r>
          </w:p>
        </w:tc>
      </w:tr>
      <w:tr w:rsidR="001040D1" w14:paraId="0A495743" w14:textId="77777777">
        <w:tc>
          <w:tcPr>
            <w:tcW w:w="0" w:type="auto"/>
          </w:tcPr>
          <w:p w14:paraId="7B7BEC54" w14:textId="77777777" w:rsidR="001040D1" w:rsidRDefault="005D36C1">
            <w:r>
              <w:rPr>
                <w:rStyle w:val="Strong"/>
              </w:rPr>
              <w:t>Short-Run Equation</w:t>
            </w:r>
          </w:p>
        </w:tc>
        <w:tc>
          <w:tcPr>
            <w:tcW w:w="0" w:type="auto"/>
          </w:tcPr>
          <w:p w14:paraId="5C265C3C" w14:textId="77777777" w:rsidR="001040D1" w:rsidRDefault="001040D1"/>
        </w:tc>
        <w:tc>
          <w:tcPr>
            <w:tcW w:w="0" w:type="auto"/>
          </w:tcPr>
          <w:p w14:paraId="46AD3E3E" w14:textId="77777777" w:rsidR="001040D1" w:rsidRDefault="001040D1">
            <w:pPr>
              <w:rPr>
                <w:sz w:val="20"/>
                <w:szCs w:val="20"/>
              </w:rPr>
            </w:pPr>
          </w:p>
        </w:tc>
        <w:tc>
          <w:tcPr>
            <w:tcW w:w="0" w:type="auto"/>
          </w:tcPr>
          <w:p w14:paraId="7F399F32" w14:textId="77777777" w:rsidR="001040D1" w:rsidRDefault="001040D1">
            <w:pPr>
              <w:rPr>
                <w:sz w:val="20"/>
                <w:szCs w:val="20"/>
              </w:rPr>
            </w:pPr>
          </w:p>
        </w:tc>
        <w:tc>
          <w:tcPr>
            <w:tcW w:w="0" w:type="auto"/>
          </w:tcPr>
          <w:p w14:paraId="609D36BA" w14:textId="77777777" w:rsidR="001040D1" w:rsidRDefault="001040D1">
            <w:pPr>
              <w:rPr>
                <w:sz w:val="20"/>
                <w:szCs w:val="20"/>
              </w:rPr>
            </w:pPr>
          </w:p>
        </w:tc>
      </w:tr>
      <w:tr w:rsidR="001040D1" w14:paraId="3FF2351F" w14:textId="77777777">
        <w:tc>
          <w:tcPr>
            <w:tcW w:w="0" w:type="auto"/>
          </w:tcPr>
          <w:p w14:paraId="3AA56913" w14:textId="77777777" w:rsidR="001040D1" w:rsidRDefault="005D36C1">
            <w:pPr>
              <w:rPr>
                <w:szCs w:val="24"/>
              </w:rPr>
            </w:pPr>
            <w:r>
              <w:t>COINTEQ01</w:t>
            </w:r>
          </w:p>
        </w:tc>
        <w:tc>
          <w:tcPr>
            <w:tcW w:w="0" w:type="auto"/>
          </w:tcPr>
          <w:p w14:paraId="76BCDF88" w14:textId="77777777" w:rsidR="001040D1" w:rsidRDefault="005D36C1">
            <w:r>
              <w:t>-0.6021</w:t>
            </w:r>
          </w:p>
        </w:tc>
        <w:tc>
          <w:tcPr>
            <w:tcW w:w="0" w:type="auto"/>
          </w:tcPr>
          <w:p w14:paraId="46D8583F" w14:textId="77777777" w:rsidR="001040D1" w:rsidRDefault="005D36C1">
            <w:r>
              <w:t>0.3146</w:t>
            </w:r>
          </w:p>
        </w:tc>
        <w:tc>
          <w:tcPr>
            <w:tcW w:w="0" w:type="auto"/>
          </w:tcPr>
          <w:p w14:paraId="74BE3BD4" w14:textId="77777777" w:rsidR="001040D1" w:rsidRDefault="005D36C1">
            <w:r>
              <w:t>-1.9140</w:t>
            </w:r>
          </w:p>
        </w:tc>
        <w:tc>
          <w:tcPr>
            <w:tcW w:w="0" w:type="auto"/>
          </w:tcPr>
          <w:p w14:paraId="410A3724" w14:textId="77777777" w:rsidR="001040D1" w:rsidRDefault="005D36C1">
            <w:r>
              <w:t>0.0687</w:t>
            </w:r>
          </w:p>
        </w:tc>
      </w:tr>
      <w:tr w:rsidR="001040D1" w14:paraId="4F70964F" w14:textId="77777777">
        <w:tc>
          <w:tcPr>
            <w:tcW w:w="0" w:type="auto"/>
          </w:tcPr>
          <w:p w14:paraId="49ECC652" w14:textId="77777777" w:rsidR="001040D1" w:rsidRDefault="005D36C1">
            <w:r>
              <w:t>D(MTR)</w:t>
            </w:r>
          </w:p>
        </w:tc>
        <w:tc>
          <w:tcPr>
            <w:tcW w:w="0" w:type="auto"/>
          </w:tcPr>
          <w:p w14:paraId="1B810C63" w14:textId="77777777" w:rsidR="001040D1" w:rsidRDefault="005D36C1">
            <w:r>
              <w:t>-0.0141</w:t>
            </w:r>
          </w:p>
        </w:tc>
        <w:tc>
          <w:tcPr>
            <w:tcW w:w="0" w:type="auto"/>
          </w:tcPr>
          <w:p w14:paraId="40C4E837" w14:textId="77777777" w:rsidR="001040D1" w:rsidRDefault="005D36C1">
            <w:r>
              <w:t>0.0163</w:t>
            </w:r>
          </w:p>
        </w:tc>
        <w:tc>
          <w:tcPr>
            <w:tcW w:w="0" w:type="auto"/>
          </w:tcPr>
          <w:p w14:paraId="5D0D4CF0" w14:textId="77777777" w:rsidR="001040D1" w:rsidRDefault="005D36C1">
            <w:r>
              <w:t>-0.8694</w:t>
            </w:r>
          </w:p>
        </w:tc>
        <w:tc>
          <w:tcPr>
            <w:tcW w:w="0" w:type="auto"/>
          </w:tcPr>
          <w:p w14:paraId="624D6D8D" w14:textId="77777777" w:rsidR="001040D1" w:rsidRDefault="005D36C1">
            <w:r>
              <w:t>0.3940</w:t>
            </w:r>
          </w:p>
        </w:tc>
      </w:tr>
      <w:tr w:rsidR="001040D1" w14:paraId="7EDD1971" w14:textId="77777777">
        <w:tc>
          <w:tcPr>
            <w:tcW w:w="0" w:type="auto"/>
          </w:tcPr>
          <w:p w14:paraId="2D43379B" w14:textId="77777777" w:rsidR="001040D1" w:rsidRDefault="005D36C1">
            <w:r>
              <w:t>D(ETR)</w:t>
            </w:r>
          </w:p>
        </w:tc>
        <w:tc>
          <w:tcPr>
            <w:tcW w:w="0" w:type="auto"/>
          </w:tcPr>
          <w:p w14:paraId="06B90629" w14:textId="77777777" w:rsidR="001040D1" w:rsidRDefault="005D36C1">
            <w:r>
              <w:t>0.0300</w:t>
            </w:r>
          </w:p>
        </w:tc>
        <w:tc>
          <w:tcPr>
            <w:tcW w:w="0" w:type="auto"/>
          </w:tcPr>
          <w:p w14:paraId="032E0600" w14:textId="77777777" w:rsidR="001040D1" w:rsidRDefault="005D36C1">
            <w:r>
              <w:t>0.0560</w:t>
            </w:r>
          </w:p>
        </w:tc>
        <w:tc>
          <w:tcPr>
            <w:tcW w:w="0" w:type="auto"/>
          </w:tcPr>
          <w:p w14:paraId="17A8DCD5" w14:textId="77777777" w:rsidR="001040D1" w:rsidRDefault="005D36C1">
            <w:r>
              <w:t>0.5357</w:t>
            </w:r>
          </w:p>
        </w:tc>
        <w:tc>
          <w:tcPr>
            <w:tcW w:w="0" w:type="auto"/>
          </w:tcPr>
          <w:p w14:paraId="442C9F03" w14:textId="77777777" w:rsidR="001040D1" w:rsidRDefault="005D36C1">
            <w:r>
              <w:t>0.5976</w:t>
            </w:r>
          </w:p>
        </w:tc>
      </w:tr>
      <w:tr w:rsidR="001040D1" w14:paraId="6F63DDA5" w14:textId="77777777">
        <w:tc>
          <w:tcPr>
            <w:tcW w:w="0" w:type="auto"/>
          </w:tcPr>
          <w:p w14:paraId="0325FEB6" w14:textId="77777777" w:rsidR="001040D1" w:rsidRDefault="005D36C1">
            <w:r>
              <w:t>D(ATR)</w:t>
            </w:r>
          </w:p>
        </w:tc>
        <w:tc>
          <w:tcPr>
            <w:tcW w:w="0" w:type="auto"/>
          </w:tcPr>
          <w:p w14:paraId="63A94CEE" w14:textId="77777777" w:rsidR="001040D1" w:rsidRDefault="005D36C1">
            <w:r>
              <w:t>0.0737</w:t>
            </w:r>
          </w:p>
        </w:tc>
        <w:tc>
          <w:tcPr>
            <w:tcW w:w="0" w:type="auto"/>
          </w:tcPr>
          <w:p w14:paraId="70F924DF" w14:textId="77777777" w:rsidR="001040D1" w:rsidRDefault="005D36C1">
            <w:r>
              <w:t>0.4617</w:t>
            </w:r>
          </w:p>
        </w:tc>
        <w:tc>
          <w:tcPr>
            <w:tcW w:w="0" w:type="auto"/>
          </w:tcPr>
          <w:p w14:paraId="21086AC3" w14:textId="77777777" w:rsidR="001040D1" w:rsidRDefault="005D36C1">
            <w:r>
              <w:t>0.1597</w:t>
            </w:r>
          </w:p>
        </w:tc>
        <w:tc>
          <w:tcPr>
            <w:tcW w:w="0" w:type="auto"/>
          </w:tcPr>
          <w:p w14:paraId="5AF4761B" w14:textId="77777777" w:rsidR="001040D1" w:rsidRDefault="005D36C1">
            <w:r>
              <w:t>0.8745</w:t>
            </w:r>
          </w:p>
        </w:tc>
      </w:tr>
      <w:tr w:rsidR="001040D1" w14:paraId="648A305E" w14:textId="77777777">
        <w:tc>
          <w:tcPr>
            <w:tcW w:w="0" w:type="auto"/>
          </w:tcPr>
          <w:p w14:paraId="653AFC19" w14:textId="77777777" w:rsidR="001040D1" w:rsidRDefault="005D36C1">
            <w:r>
              <w:t>Constant (C)</w:t>
            </w:r>
          </w:p>
        </w:tc>
        <w:tc>
          <w:tcPr>
            <w:tcW w:w="0" w:type="auto"/>
          </w:tcPr>
          <w:p w14:paraId="22E64059" w14:textId="77777777" w:rsidR="001040D1" w:rsidRDefault="005D36C1">
            <w:r>
              <w:t>0.0466</w:t>
            </w:r>
          </w:p>
        </w:tc>
        <w:tc>
          <w:tcPr>
            <w:tcW w:w="0" w:type="auto"/>
          </w:tcPr>
          <w:p w14:paraId="763F5412" w14:textId="77777777" w:rsidR="001040D1" w:rsidRDefault="005D36C1">
            <w:r>
              <w:t>0.0299</w:t>
            </w:r>
          </w:p>
        </w:tc>
        <w:tc>
          <w:tcPr>
            <w:tcW w:w="0" w:type="auto"/>
          </w:tcPr>
          <w:p w14:paraId="76892A27" w14:textId="77777777" w:rsidR="001040D1" w:rsidRDefault="005D36C1">
            <w:r>
              <w:t>1.5567</w:t>
            </w:r>
          </w:p>
        </w:tc>
        <w:tc>
          <w:tcPr>
            <w:tcW w:w="0" w:type="auto"/>
          </w:tcPr>
          <w:p w14:paraId="0722FE80" w14:textId="77777777" w:rsidR="001040D1" w:rsidRDefault="005D36C1">
            <w:r>
              <w:t>0.1338</w:t>
            </w:r>
          </w:p>
        </w:tc>
      </w:tr>
      <w:tr w:rsidR="001040D1" w14:paraId="13C220F6" w14:textId="77777777">
        <w:tc>
          <w:tcPr>
            <w:tcW w:w="0" w:type="auto"/>
          </w:tcPr>
          <w:p w14:paraId="246E6502" w14:textId="77777777" w:rsidR="001040D1" w:rsidRDefault="005D36C1">
            <w:r>
              <w:rPr>
                <w:rStyle w:val="Strong"/>
              </w:rPr>
              <w:t>Model Diagnostics</w:t>
            </w:r>
          </w:p>
        </w:tc>
        <w:tc>
          <w:tcPr>
            <w:tcW w:w="0" w:type="auto"/>
          </w:tcPr>
          <w:p w14:paraId="3A25D5EB" w14:textId="77777777" w:rsidR="001040D1" w:rsidRDefault="001040D1"/>
        </w:tc>
        <w:tc>
          <w:tcPr>
            <w:tcW w:w="0" w:type="auto"/>
          </w:tcPr>
          <w:p w14:paraId="588C6A31" w14:textId="77777777" w:rsidR="001040D1" w:rsidRDefault="001040D1">
            <w:pPr>
              <w:rPr>
                <w:sz w:val="20"/>
                <w:szCs w:val="20"/>
              </w:rPr>
            </w:pPr>
          </w:p>
        </w:tc>
        <w:tc>
          <w:tcPr>
            <w:tcW w:w="0" w:type="auto"/>
          </w:tcPr>
          <w:p w14:paraId="1DD2C121" w14:textId="77777777" w:rsidR="001040D1" w:rsidRDefault="001040D1">
            <w:pPr>
              <w:rPr>
                <w:sz w:val="20"/>
                <w:szCs w:val="20"/>
              </w:rPr>
            </w:pPr>
          </w:p>
        </w:tc>
        <w:tc>
          <w:tcPr>
            <w:tcW w:w="0" w:type="auto"/>
          </w:tcPr>
          <w:p w14:paraId="3947D4F9" w14:textId="77777777" w:rsidR="001040D1" w:rsidRDefault="001040D1">
            <w:pPr>
              <w:rPr>
                <w:sz w:val="20"/>
                <w:szCs w:val="20"/>
              </w:rPr>
            </w:pPr>
          </w:p>
        </w:tc>
      </w:tr>
      <w:tr w:rsidR="001040D1" w14:paraId="6875B22C" w14:textId="77777777">
        <w:tc>
          <w:tcPr>
            <w:tcW w:w="0" w:type="auto"/>
          </w:tcPr>
          <w:p w14:paraId="1977424E" w14:textId="77777777" w:rsidR="001040D1" w:rsidRDefault="005D36C1">
            <w:pPr>
              <w:rPr>
                <w:szCs w:val="24"/>
              </w:rPr>
            </w:pPr>
            <w:r>
              <w:t>R² = 0.437</w:t>
            </w:r>
          </w:p>
        </w:tc>
        <w:tc>
          <w:tcPr>
            <w:tcW w:w="0" w:type="auto"/>
          </w:tcPr>
          <w:p w14:paraId="0F376203" w14:textId="77777777" w:rsidR="001040D1" w:rsidRDefault="005D36C1">
            <w:r>
              <w:t>Adj. R² = 0.409</w:t>
            </w:r>
          </w:p>
        </w:tc>
        <w:tc>
          <w:tcPr>
            <w:tcW w:w="0" w:type="auto"/>
          </w:tcPr>
          <w:p w14:paraId="5AB7BEFE" w14:textId="77777777" w:rsidR="001040D1" w:rsidRDefault="005D36C1">
            <w:r>
              <w:t>F-statistic = 1.86</w:t>
            </w:r>
          </w:p>
        </w:tc>
        <w:tc>
          <w:tcPr>
            <w:tcW w:w="0" w:type="auto"/>
          </w:tcPr>
          <w:p w14:paraId="5626EF10" w14:textId="77777777" w:rsidR="001040D1" w:rsidRDefault="005D36C1">
            <w:r>
              <w:t>Prob(F) = 0.0009</w:t>
            </w:r>
          </w:p>
        </w:tc>
        <w:tc>
          <w:tcPr>
            <w:tcW w:w="0" w:type="auto"/>
          </w:tcPr>
          <w:p w14:paraId="2EAE1C05" w14:textId="77777777" w:rsidR="001040D1" w:rsidRDefault="001040D1"/>
        </w:tc>
      </w:tr>
    </w:tbl>
    <w:p w14:paraId="06413155" w14:textId="77777777" w:rsidR="001040D1" w:rsidRDefault="005D36C1">
      <w:pPr>
        <w:pStyle w:val="NormalWeb"/>
      </w:pPr>
      <w:r>
        <w:rPr>
          <w:rStyle w:val="Emphasis"/>
        </w:rPr>
        <w:lastRenderedPageBreak/>
        <w:t>Source: Author’s computation using EViews 10.</w:t>
      </w:r>
    </w:p>
    <w:p w14:paraId="0E0E3A36" w14:textId="77777777" w:rsidR="001040D1" w:rsidRDefault="005D36C1">
      <w:pPr>
        <w:pStyle w:val="NormalWeb"/>
        <w:rPr>
          <w:rStyle w:val="Strong"/>
        </w:rPr>
      </w:pPr>
      <w:r>
        <w:rPr>
          <w:rStyle w:val="Strong"/>
          <w:lang w:val="en-US"/>
        </w:rPr>
        <w:t>4</w:t>
      </w:r>
      <w:r>
        <w:rPr>
          <w:rStyle w:val="Strong"/>
        </w:rPr>
        <w:t>.5 Interpretation of Findings</w:t>
      </w:r>
    </w:p>
    <w:p w14:paraId="52DBE329" w14:textId="77777777" w:rsidR="001040D1" w:rsidRDefault="005D36C1">
      <w:pPr>
        <w:pStyle w:val="NormalWeb"/>
        <w:rPr>
          <w:rStyle w:val="Strong"/>
        </w:rPr>
      </w:pPr>
      <w:r>
        <w:rPr>
          <w:rStyle w:val="Strong"/>
          <w:lang w:val="en-US"/>
        </w:rPr>
        <w:t>4</w:t>
      </w:r>
      <w:r>
        <w:rPr>
          <w:rStyle w:val="Strong"/>
        </w:rPr>
        <w:t>.5.1 Short-Run Dynamics</w:t>
      </w:r>
    </w:p>
    <w:p w14:paraId="58A688EA" w14:textId="77777777" w:rsidR="001040D1" w:rsidRDefault="005D36C1">
      <w:pPr>
        <w:pStyle w:val="NormalWeb"/>
        <w:rPr>
          <w:rStyle w:val="Strong"/>
          <w:b w:val="0"/>
          <w:bCs w:val="0"/>
        </w:rPr>
      </w:pPr>
      <w:r>
        <w:rPr>
          <w:rStyle w:val="Strong"/>
          <w:b w:val="0"/>
          <w:bCs w:val="0"/>
        </w:rPr>
        <w:t xml:space="preserve">In the </w:t>
      </w:r>
      <w:r>
        <w:rPr>
          <w:rStyle w:val="Strong"/>
          <w:b w:val="0"/>
          <w:bCs w:val="0"/>
        </w:rPr>
        <w:t>short run, only MTR has a negative though statistically insignificant impact on ROA while ATR has a positive though still insignificant impact. This indicates that short-term tax rate changes have no contemporaneous impact on firm profitability, and this c</w:t>
      </w:r>
      <w:r>
        <w:rPr>
          <w:rStyle w:val="Strong"/>
          <w:b w:val="0"/>
          <w:bCs w:val="0"/>
        </w:rPr>
        <w:t xml:space="preserve">an be attributed to firms' adaptive fiscal policy or deferral of tax accounting. The error correction term (COINTEQ01) is negative (-0.6021) and statistically significant at 10% level, implying that the speed of adjustment (60%) to long-run equilibrium is </w:t>
      </w:r>
      <w:r>
        <w:rPr>
          <w:rStyle w:val="Strong"/>
          <w:b w:val="0"/>
          <w:bCs w:val="0"/>
        </w:rPr>
        <w:t>moderate in all the years.</w:t>
      </w:r>
    </w:p>
    <w:p w14:paraId="07DF5DDD" w14:textId="77777777" w:rsidR="001040D1" w:rsidRDefault="005D36C1">
      <w:pPr>
        <w:pStyle w:val="NormalWeb"/>
        <w:rPr>
          <w:rStyle w:val="Strong"/>
        </w:rPr>
      </w:pPr>
      <w:r>
        <w:rPr>
          <w:rStyle w:val="Strong"/>
          <w:lang w:val="en-US"/>
        </w:rPr>
        <w:t>4</w:t>
      </w:r>
      <w:r>
        <w:rPr>
          <w:rStyle w:val="Strong"/>
        </w:rPr>
        <w:t>.5.2 Long-Run Effects</w:t>
      </w:r>
    </w:p>
    <w:p w14:paraId="1F20AD7F" w14:textId="77777777" w:rsidR="001040D1" w:rsidRDefault="005D36C1">
      <w:pPr>
        <w:pStyle w:val="NormalWeb"/>
        <w:rPr>
          <w:rStyle w:val="Strong"/>
          <w:b w:val="0"/>
          <w:bCs w:val="0"/>
        </w:rPr>
      </w:pPr>
      <w:r>
        <w:rPr>
          <w:rStyle w:val="Strong"/>
          <w:b w:val="0"/>
          <w:bCs w:val="0"/>
        </w:rPr>
        <w:t xml:space="preserve">In the long run, the coefficient of MTR and ETR are considerably negative (-0.0066 and -0.1091 respectively), suggesting that with increases in tax rate firms are becoming less profitable. On the contrary, </w:t>
      </w:r>
      <w:r>
        <w:rPr>
          <w:rStyle w:val="Strong"/>
          <w:b w:val="0"/>
          <w:bCs w:val="0"/>
        </w:rPr>
        <w:t xml:space="preserve">ATR has a positive and significant effect (1.8513) which implies that moderate or stable average tax rates seem to contribute to the financial stability of the firms. These results confirm the theoretical claim that the lack of fair balance in tax burdens </w:t>
      </w:r>
      <w:r>
        <w:rPr>
          <w:rStyle w:val="Strong"/>
          <w:b w:val="0"/>
          <w:bCs w:val="0"/>
        </w:rPr>
        <w:t>works against reinvestment and innovation (</w:t>
      </w:r>
      <w:proofErr w:type="spellStart"/>
      <w:r>
        <w:rPr>
          <w:rStyle w:val="Strong"/>
          <w:b w:val="0"/>
          <w:bCs w:val="0"/>
        </w:rPr>
        <w:t>Neghina</w:t>
      </w:r>
      <w:proofErr w:type="spellEnd"/>
      <w:r>
        <w:rPr>
          <w:rStyle w:val="Strong"/>
          <w:b w:val="0"/>
          <w:bCs w:val="0"/>
        </w:rPr>
        <w:t>, 2012), whereas balanced structures of tax can be an asset in increasing fiscal predictability and profitability.</w:t>
      </w:r>
    </w:p>
    <w:p w14:paraId="43AC9C2E" w14:textId="77777777" w:rsidR="001040D1" w:rsidRDefault="005D36C1">
      <w:pPr>
        <w:pStyle w:val="NormalWeb"/>
        <w:numPr>
          <w:ilvl w:val="0"/>
          <w:numId w:val="1"/>
        </w:numPr>
        <w:rPr>
          <w:rStyle w:val="Strong"/>
        </w:rPr>
      </w:pPr>
      <w:r>
        <w:rPr>
          <w:rStyle w:val="Strong"/>
        </w:rPr>
        <w:t>Discussion of Findings</w:t>
      </w:r>
    </w:p>
    <w:p w14:paraId="4FF06FA5" w14:textId="77777777" w:rsidR="001040D1" w:rsidRDefault="005D36C1">
      <w:r>
        <w:t>The empirical evidence of this study thus provides incongruous under</w:t>
      </w:r>
      <w:r>
        <w:t>standing on the effect of tax regimes on profitability of the multinational firms in Nigeria petroleum sector. The findings provide support for the so called "Ability-to-Pay Theory" (Kendrick 1939) that argues for the need for the taxation to be determined</w:t>
      </w:r>
      <w:r>
        <w:t xml:space="preserve"> by the income generating of the taxpayer. The negative sign of Marginal Tax Rate (MTR) and Effective Tax Rate (ETR) on return on assets, i.e., ROA implies that a situation where the burden of taxation also grows disproportionately to the earning capabilit</w:t>
      </w:r>
      <w:r>
        <w:t>y of the firms or net income of the firms is detrimental to the net profitability of the firms. This is consistent to the theoretical position that focussing too much on tax burdens results in misallocating resources and being deterred from productive rein</w:t>
      </w:r>
      <w:r>
        <w:t>vestment (</w:t>
      </w:r>
      <w:proofErr w:type="spellStart"/>
      <w:r>
        <w:t>Ulbrich</w:t>
      </w:r>
      <w:proofErr w:type="spellEnd"/>
      <w:r>
        <w:t>, 2013).</w:t>
      </w:r>
    </w:p>
    <w:p w14:paraId="55F7EC19" w14:textId="77777777" w:rsidR="001040D1" w:rsidRDefault="005D36C1">
      <w:r>
        <w:t xml:space="preserve">The results also support negative impact of high corporate taxation by </w:t>
      </w:r>
      <w:proofErr w:type="spellStart"/>
      <w:r>
        <w:t>Siyanbola</w:t>
      </w:r>
      <w:proofErr w:type="spellEnd"/>
      <w:r>
        <w:t xml:space="preserve"> </w:t>
      </w:r>
      <w:r>
        <w:rPr>
          <w:i/>
          <w:iCs/>
        </w:rPr>
        <w:t>et al</w:t>
      </w:r>
      <w:r>
        <w:t xml:space="preserve">. (2025) and Becker </w:t>
      </w:r>
      <w:r>
        <w:rPr>
          <w:i/>
          <w:iCs/>
        </w:rPr>
        <w:t>et al</w:t>
      </w:r>
      <w:r>
        <w:t>. (2012) who documented that high tax rate decreases internal financing capacity and corporate competitiveness mainly i</w:t>
      </w:r>
      <w:r>
        <w:t>n capital intensive industries such as oil and gas. In Nigeria, multinationals are subjected to a series of taxes on company income tax, petroleum profit tax and education tax; such cumulative impact on the cost of businesses is heightened because of the m</w:t>
      </w:r>
      <w:r>
        <w:t>ultiple taxation regimes. As a consequence, firms tend to use the tax avoidance and transfer pricing strategies in order to compensate for the losses from profitability, which further complicates the administration of government revenue (</w:t>
      </w:r>
      <w:proofErr w:type="spellStart"/>
      <w:r>
        <w:t>Fuest</w:t>
      </w:r>
      <w:proofErr w:type="spellEnd"/>
      <w:r>
        <w:t xml:space="preserve"> </w:t>
      </w:r>
      <w:r>
        <w:rPr>
          <w:i/>
          <w:iCs/>
        </w:rPr>
        <w:t>et al</w:t>
      </w:r>
      <w:r>
        <w:t>., 2005</w:t>
      </w:r>
      <w:r>
        <w:t>).</w:t>
      </w:r>
    </w:p>
    <w:p w14:paraId="23296F26" w14:textId="77777777" w:rsidR="001040D1" w:rsidRDefault="005D36C1">
      <w:pPr>
        <w:rPr>
          <w:rStyle w:val="Strong"/>
          <w:b w:val="0"/>
          <w:bCs w:val="0"/>
        </w:rPr>
      </w:pPr>
      <w:r>
        <w:t>The statistically significant and positive long-run coefficient of Average Tax Rate (ATR) on the profitability indicates that</w:t>
      </w:r>
      <w:r>
        <w:rPr>
          <w:rStyle w:val="Strong"/>
          <w:b w:val="0"/>
          <w:bCs w:val="0"/>
        </w:rPr>
        <w:t xml:space="preserve"> a moderate and predictable tax burden has a positive impact on firm </w:t>
      </w:r>
      <w:r>
        <w:rPr>
          <w:rStyle w:val="Strong"/>
          <w:b w:val="0"/>
          <w:bCs w:val="0"/>
        </w:rPr>
        <w:lastRenderedPageBreak/>
        <w:t xml:space="preserve">performance. This finding is consistent with </w:t>
      </w:r>
      <w:proofErr w:type="spellStart"/>
      <w:r>
        <w:rPr>
          <w:rStyle w:val="Strong"/>
          <w:b w:val="0"/>
          <w:bCs w:val="0"/>
        </w:rPr>
        <w:t>Gribnau</w:t>
      </w:r>
      <w:proofErr w:type="spellEnd"/>
      <w:r>
        <w:rPr>
          <w:rStyle w:val="Strong"/>
          <w:b w:val="0"/>
          <w:bCs w:val="0"/>
        </w:rPr>
        <w:t xml:space="preserve"> and </w:t>
      </w:r>
      <w:proofErr w:type="spellStart"/>
      <w:r>
        <w:rPr>
          <w:rStyle w:val="Strong"/>
          <w:b w:val="0"/>
          <w:bCs w:val="0"/>
        </w:rPr>
        <w:t>Ja</w:t>
      </w:r>
      <w:r>
        <w:rPr>
          <w:rStyle w:val="Strong"/>
          <w:b w:val="0"/>
          <w:bCs w:val="0"/>
        </w:rPr>
        <w:t>llai</w:t>
      </w:r>
      <w:proofErr w:type="spellEnd"/>
      <w:r>
        <w:rPr>
          <w:rStyle w:val="Strong"/>
          <w:b w:val="0"/>
          <w:bCs w:val="0"/>
        </w:rPr>
        <w:t xml:space="preserve"> (2018) finding that stable tax regimes contribute to fiscal compliance and increase corporate sustainability. From a behavioural standpoint, planning and investment of firms in a transparent and stable tax environment are more likely (</w:t>
      </w:r>
      <w:proofErr w:type="spellStart"/>
      <w:r>
        <w:rPr>
          <w:rStyle w:val="Strong"/>
          <w:b w:val="0"/>
          <w:bCs w:val="0"/>
        </w:rPr>
        <w:t>Slemrod</w:t>
      </w:r>
      <w:proofErr w:type="spellEnd"/>
      <w:r>
        <w:rPr>
          <w:rStyle w:val="Strong"/>
          <w:b w:val="0"/>
          <w:bCs w:val="0"/>
        </w:rPr>
        <w:t xml:space="preserve">, 2019). </w:t>
      </w:r>
      <w:r>
        <w:rPr>
          <w:rStyle w:val="Strong"/>
          <w:b w:val="0"/>
          <w:bCs w:val="0"/>
        </w:rPr>
        <w:t>The evidence suggests that it is more important for the Nigerian fiscal authorities to give policy stability and administrative transparency more importance than short term revenue maximisation through sudden change of tax rates.</w:t>
      </w:r>
    </w:p>
    <w:p w14:paraId="0799C625" w14:textId="77777777" w:rsidR="001040D1" w:rsidRDefault="005D36C1">
      <w:pPr>
        <w:pStyle w:val="NormalWeb"/>
        <w:rPr>
          <w:rStyle w:val="Strong"/>
          <w:b w:val="0"/>
          <w:bCs w:val="0"/>
        </w:rPr>
      </w:pPr>
      <w:r>
        <w:rPr>
          <w:rStyle w:val="Strong"/>
          <w:b w:val="0"/>
          <w:bCs w:val="0"/>
        </w:rPr>
        <w:t>In addition, the results of the study indicate the dynamic response behaviour of multinational firms. While the impact of short-run changes in taxes was found to be statistically insignificant, large impact rates were found for the long run. This is suppor</w:t>
      </w:r>
      <w:r>
        <w:rPr>
          <w:rStyle w:val="Strong"/>
          <w:b w:val="0"/>
          <w:bCs w:val="0"/>
        </w:rPr>
        <w:t>ting for investment adjustment explanations according to which large corporations make capital structure and location decisions, which are tax-efficient, over longer time spans (Devereux &amp; Griffith, 2003). Thus, firms may initially smooth out short-term fi</w:t>
      </w:r>
      <w:r>
        <w:rPr>
          <w:rStyle w:val="Strong"/>
          <w:b w:val="0"/>
          <w:bCs w:val="0"/>
        </w:rPr>
        <w:t xml:space="preserve">scal disruptions that arise due to reserves or debt restructuring but may </w:t>
      </w:r>
      <w:r>
        <w:rPr>
          <w:rStyle w:val="Strong"/>
          <w:b w:val="0"/>
          <w:bCs w:val="0"/>
          <w:lang w:val="en-US"/>
        </w:rPr>
        <w:t>re-balance</w:t>
      </w:r>
      <w:r>
        <w:rPr>
          <w:rStyle w:val="Strong"/>
          <w:b w:val="0"/>
          <w:bCs w:val="0"/>
        </w:rPr>
        <w:t xml:space="preserve"> their portfolios in case such tax conditions are more persistent.</w:t>
      </w:r>
    </w:p>
    <w:p w14:paraId="31533BE7" w14:textId="77777777" w:rsidR="001040D1" w:rsidRDefault="005D36C1">
      <w:pPr>
        <w:pStyle w:val="NormalWeb"/>
        <w:rPr>
          <w:rStyle w:val="Strong"/>
          <w:b w:val="0"/>
          <w:bCs w:val="0"/>
        </w:rPr>
      </w:pPr>
      <w:r>
        <w:rPr>
          <w:rStyle w:val="Strong"/>
          <w:b w:val="0"/>
          <w:bCs w:val="0"/>
        </w:rPr>
        <w:t>In the case of Nigeria, the choice implies institutional inadequacy in the delivery of policy and adminis</w:t>
      </w:r>
      <w:r>
        <w:rPr>
          <w:rStyle w:val="Strong"/>
          <w:b w:val="0"/>
          <w:bCs w:val="0"/>
        </w:rPr>
        <w:t>trative enforcement in the tax impact volatility. Although the Finance Act (2019) has been introduced, being a reform package, by the Federal Inland Revenue Service (FIRS) to broaden the tax base and digitalise the collection of tax, the problem of non-com</w:t>
      </w:r>
      <w:r>
        <w:rPr>
          <w:rStyle w:val="Strong"/>
          <w:b w:val="0"/>
          <w:bCs w:val="0"/>
        </w:rPr>
        <w:t>pliance is cost and the tax codes are unclear. These distortions amount to unstable effective tax rates of foreign direct investment as well as the potential to reinvest internally (</w:t>
      </w:r>
      <w:proofErr w:type="spellStart"/>
      <w:r>
        <w:rPr>
          <w:rStyle w:val="Strong"/>
          <w:b w:val="0"/>
          <w:bCs w:val="0"/>
        </w:rPr>
        <w:t>Abramovsky</w:t>
      </w:r>
      <w:proofErr w:type="spellEnd"/>
      <w:r>
        <w:rPr>
          <w:rStyle w:val="Strong"/>
          <w:b w:val="0"/>
          <w:bCs w:val="0"/>
        </w:rPr>
        <w:t>, 2014).</w:t>
      </w:r>
    </w:p>
    <w:p w14:paraId="612DEB2D" w14:textId="77777777" w:rsidR="001040D1" w:rsidRDefault="005D36C1">
      <w:pPr>
        <w:pStyle w:val="NormalWeb"/>
        <w:rPr>
          <w:rStyle w:val="Strong"/>
          <w:b w:val="0"/>
          <w:bCs w:val="0"/>
        </w:rPr>
      </w:pPr>
      <w:r>
        <w:rPr>
          <w:rStyle w:val="Strong"/>
          <w:b w:val="0"/>
          <w:bCs w:val="0"/>
        </w:rPr>
        <w:t>Theoretically, the results also provide evidence in fav</w:t>
      </w:r>
      <w:r>
        <w:rPr>
          <w:rStyle w:val="Strong"/>
          <w:b w:val="0"/>
          <w:bCs w:val="0"/>
        </w:rPr>
        <w:t>our of Laffer Curve hypothesis, which assumes that the relationship between tax rate and tax revenue is inverted-U shape: too much taxation could decrease total tax revenue by discouraging productive economic activities (</w:t>
      </w:r>
      <w:proofErr w:type="spellStart"/>
      <w:r>
        <w:rPr>
          <w:rStyle w:val="Strong"/>
          <w:b w:val="0"/>
          <w:bCs w:val="0"/>
        </w:rPr>
        <w:t>Miravete</w:t>
      </w:r>
      <w:proofErr w:type="spellEnd"/>
      <w:r>
        <w:rPr>
          <w:rStyle w:val="Strong"/>
          <w:b w:val="0"/>
          <w:bCs w:val="0"/>
        </w:rPr>
        <w:t xml:space="preserve"> </w:t>
      </w:r>
      <w:r>
        <w:rPr>
          <w:rStyle w:val="Strong"/>
          <w:b w:val="0"/>
          <w:bCs w:val="0"/>
          <w:i/>
          <w:iCs/>
        </w:rPr>
        <w:t>et al</w:t>
      </w:r>
      <w:r>
        <w:rPr>
          <w:rStyle w:val="Strong"/>
          <w:b w:val="0"/>
          <w:bCs w:val="0"/>
        </w:rPr>
        <w:t xml:space="preserve">., 2018). Hence, the </w:t>
      </w:r>
      <w:r>
        <w:rPr>
          <w:rStyle w:val="Strong"/>
          <w:b w:val="0"/>
          <w:bCs w:val="0"/>
        </w:rPr>
        <w:t xml:space="preserve">negative long-run effect of high MTR and ETR indicates that the tax regime in Nigeria's corporate tax legislation system may currently be close to or beyond the revenue maximisation level. Paradoxically, reducing rates for lower-income earners may in fact </w:t>
      </w:r>
      <w:r>
        <w:rPr>
          <w:rStyle w:val="Strong"/>
          <w:b w:val="0"/>
          <w:bCs w:val="0"/>
        </w:rPr>
        <w:t>lead to greater profitability, compliance and thus an increase in aggregate revenue.</w:t>
      </w:r>
    </w:p>
    <w:p w14:paraId="39A40A85" w14:textId="77777777" w:rsidR="001040D1" w:rsidRDefault="005D36C1">
      <w:pPr>
        <w:pStyle w:val="NormalWeb"/>
        <w:rPr>
          <w:rStyle w:val="Strong"/>
          <w:b w:val="0"/>
          <w:bCs w:val="0"/>
        </w:rPr>
      </w:pPr>
      <w:r>
        <w:rPr>
          <w:rStyle w:val="Strong"/>
          <w:b w:val="0"/>
          <w:bCs w:val="0"/>
        </w:rPr>
        <w:t>From a policy perspective, the study highlights the need for fiscal coordination, especially between federal and state tax authorities, in order to minimise regulatory dup</w:t>
      </w:r>
      <w:r>
        <w:rPr>
          <w:rStyle w:val="Strong"/>
          <w:b w:val="0"/>
          <w:bCs w:val="0"/>
        </w:rPr>
        <w:t>lication and administrative costs. The existing system of taxation is not in line with global best practise and needs to be made as transparent, predictable and fair as possible for it to enhance economic efficiency. Being profit-oriented organisations, mu</w:t>
      </w:r>
      <w:r>
        <w:rPr>
          <w:rStyle w:val="Strong"/>
          <w:b w:val="0"/>
          <w:bCs w:val="0"/>
        </w:rPr>
        <w:t>ltinational enterprises need a stable macro-economic fiscal environment in which they can develop a long-term business plan. At the same time, steady fiscal reforms such as simplified tax code, digitalised compliance and administration systems would very l</w:t>
      </w:r>
      <w:r>
        <w:rPr>
          <w:rStyle w:val="Strong"/>
          <w:b w:val="0"/>
          <w:bCs w:val="0"/>
        </w:rPr>
        <w:t>ikely make Nigeria a more attractive investment destination, while guaranteeing the government steady revenue income.</w:t>
      </w:r>
    </w:p>
    <w:p w14:paraId="65345CBE" w14:textId="77777777" w:rsidR="001040D1" w:rsidRDefault="005D36C1">
      <w:pPr>
        <w:pStyle w:val="NormalWeb"/>
        <w:rPr>
          <w:rStyle w:val="Strong"/>
          <w:b w:val="0"/>
          <w:bCs w:val="0"/>
        </w:rPr>
      </w:pPr>
      <w:r>
        <w:rPr>
          <w:rStyle w:val="Strong"/>
          <w:b w:val="0"/>
          <w:bCs w:val="0"/>
        </w:rPr>
        <w:t>This paper gives grounds to further investigation. Future studies may increase the experience and encompass a wider selection of industrie</w:t>
      </w:r>
      <w:r>
        <w:rPr>
          <w:rStyle w:val="Strong"/>
          <w:b w:val="0"/>
          <w:bCs w:val="0"/>
        </w:rPr>
        <w:t xml:space="preserve">s, including the banking or manufacturing sector, to facilitate cross-industry comparisons of the effect of tax. Also, it may be a good idea to use dynamic panel data model to address unobserved firm-specific effect and endogeneity. A </w:t>
      </w:r>
      <w:proofErr w:type="gramStart"/>
      <w:r>
        <w:rPr>
          <w:rStyle w:val="Strong"/>
          <w:b w:val="0"/>
          <w:bCs w:val="0"/>
        </w:rPr>
        <w:t>more subtle</w:t>
      </w:r>
      <w:proofErr w:type="gramEnd"/>
      <w:r>
        <w:rPr>
          <w:rStyle w:val="Strong"/>
          <w:b w:val="0"/>
          <w:bCs w:val="0"/>
        </w:rPr>
        <w:t xml:space="preserve"> picture o</w:t>
      </w:r>
      <w:r>
        <w:rPr>
          <w:rStyle w:val="Strong"/>
          <w:b w:val="0"/>
          <w:bCs w:val="0"/>
        </w:rPr>
        <w:t xml:space="preserve">f the relationship between taxation and profitability could be gained through the investigation of the role of moderating variables, including firm size, corporate governance </w:t>
      </w:r>
      <w:r>
        <w:rPr>
          <w:rStyle w:val="Strong"/>
          <w:b w:val="0"/>
          <w:bCs w:val="0"/>
        </w:rPr>
        <w:lastRenderedPageBreak/>
        <w:t>structure, or digitalization level. Lastly, qualitative research on the strategic</w:t>
      </w:r>
      <w:r>
        <w:rPr>
          <w:rStyle w:val="Strong"/>
          <w:b w:val="0"/>
          <w:bCs w:val="0"/>
        </w:rPr>
        <w:t xml:space="preserve"> decision making of multinational companies in reaction to certain taxation policies would provide useful contextual information to supplement such quantitative results.</w:t>
      </w:r>
    </w:p>
    <w:p w14:paraId="24D6C95B" w14:textId="77777777" w:rsidR="001040D1" w:rsidRDefault="005D36C1">
      <w:pPr>
        <w:pStyle w:val="NormalWeb"/>
        <w:rPr>
          <w:rStyle w:val="Strong"/>
          <w:sz w:val="28"/>
          <w:szCs w:val="28"/>
        </w:rPr>
      </w:pPr>
      <w:r>
        <w:rPr>
          <w:rStyle w:val="Strong"/>
          <w:sz w:val="28"/>
          <w:szCs w:val="28"/>
        </w:rPr>
        <w:t>Conclusion</w:t>
      </w:r>
    </w:p>
    <w:p w14:paraId="5EF763DA" w14:textId="77777777" w:rsidR="001040D1" w:rsidRDefault="005D36C1">
      <w:pPr>
        <w:pStyle w:val="NormalWeb"/>
        <w:rPr>
          <w:rStyle w:val="Strong"/>
          <w:b w:val="0"/>
          <w:bCs w:val="0"/>
        </w:rPr>
      </w:pPr>
      <w:r>
        <w:rPr>
          <w:rStyle w:val="Strong"/>
          <w:b w:val="0"/>
          <w:bCs w:val="0"/>
        </w:rPr>
        <w:t>The relationship between different tax rate components Marginal Tax Rate (M</w:t>
      </w:r>
      <w:r>
        <w:rPr>
          <w:rStyle w:val="Strong"/>
          <w:b w:val="0"/>
          <w:bCs w:val="0"/>
        </w:rPr>
        <w:t>TR), Effective Tax Rate (ETR) and Average Tax Rate (ATR) with profitability of multinational oil companies in the Nigerian context was therefore investigated in this study. Using Autoregressive Distributed Lag (ARDL) model and ex post facto research design</w:t>
      </w:r>
      <w:r>
        <w:rPr>
          <w:rStyle w:val="Strong"/>
          <w:b w:val="0"/>
          <w:bCs w:val="0"/>
        </w:rPr>
        <w:t xml:space="preserve"> methodology, the result showed that the short-term change in tax rates had little or no effect on the profitability, but the impact during the long-run was large and significant. Specifically, MTR and ETR had a negative effect on profitability while ATR w</w:t>
      </w:r>
      <w:r>
        <w:rPr>
          <w:rStyle w:val="Strong"/>
          <w:b w:val="0"/>
          <w:bCs w:val="0"/>
        </w:rPr>
        <w:t>as positively related to profitability (Return on Assets - ROA) in the long term.</w:t>
      </w:r>
    </w:p>
    <w:p w14:paraId="53BE7A16" w14:textId="77777777" w:rsidR="001040D1" w:rsidRDefault="005D36C1">
      <w:pPr>
        <w:pStyle w:val="NormalWeb"/>
        <w:rPr>
          <w:rStyle w:val="Strong"/>
          <w:b w:val="0"/>
          <w:bCs w:val="0"/>
        </w:rPr>
      </w:pPr>
      <w:r>
        <w:rPr>
          <w:rStyle w:val="Strong"/>
          <w:b w:val="0"/>
          <w:bCs w:val="0"/>
        </w:rPr>
        <w:t>The outcomes show that the high tax burden did reduce firms' performance and financial position while moderate and stable tax treatment promoted firms' growth. The results al</w:t>
      </w:r>
      <w:r>
        <w:rPr>
          <w:rStyle w:val="Strong"/>
          <w:b w:val="0"/>
          <w:bCs w:val="0"/>
        </w:rPr>
        <w:t>so reveal that multinational corporations react stronger to long term fiscal regimes than to short-term developments. This supports the theoretical basis of the Ability to Pay Theory on which equitable taxation based on income ability is stressed.</w:t>
      </w:r>
    </w:p>
    <w:p w14:paraId="4D5E7A4E" w14:textId="77777777" w:rsidR="001040D1" w:rsidRDefault="005D36C1">
      <w:pPr>
        <w:pStyle w:val="NormalWeb"/>
        <w:rPr>
          <w:rStyle w:val="Strong"/>
          <w:b w:val="0"/>
          <w:bCs w:val="0"/>
        </w:rPr>
      </w:pPr>
      <w:r>
        <w:rPr>
          <w:rStyle w:val="Strong"/>
          <w:b w:val="0"/>
          <w:bCs w:val="0"/>
        </w:rPr>
        <w:t>In the p</w:t>
      </w:r>
      <w:r>
        <w:rPr>
          <w:rStyle w:val="Strong"/>
          <w:b w:val="0"/>
          <w:bCs w:val="0"/>
        </w:rPr>
        <w:t>ractical sense, the study indicates that the fiscal institutions in Nigeria have to focus on policy consistency, administrative transparency and harmonisation of institutions in tax between federal and states. Readability, clear guidelines on how tax is le</w:t>
      </w:r>
      <w:r>
        <w:rPr>
          <w:rStyle w:val="Strong"/>
          <w:b w:val="0"/>
          <w:bCs w:val="0"/>
        </w:rPr>
        <w:t>vied, along with simplification and reduction of the tax load will promote investment and compliance. In addition, some strategic fiscal instruments, including deductions for reinvested profits and capital accumulation, would increase industrial productivi</w:t>
      </w:r>
      <w:r>
        <w:rPr>
          <w:rStyle w:val="Strong"/>
          <w:b w:val="0"/>
          <w:bCs w:val="0"/>
        </w:rPr>
        <w:t>ty while maintaining the financial equilibrium.</w:t>
      </w:r>
    </w:p>
    <w:p w14:paraId="3C86D3C9" w14:textId="77777777" w:rsidR="001040D1" w:rsidRDefault="005D36C1">
      <w:pPr>
        <w:pStyle w:val="NormalWeb"/>
        <w:rPr>
          <w:rStyle w:val="Strong"/>
          <w:b w:val="0"/>
          <w:bCs w:val="0"/>
        </w:rPr>
      </w:pPr>
      <w:r>
        <w:rPr>
          <w:rStyle w:val="Strong"/>
          <w:b w:val="0"/>
          <w:bCs w:val="0"/>
        </w:rPr>
        <w:t>Finally, taxation should be seen not simply as an instrument for revenue generation, but as a strategic policy instrument that can help shape corporate decision making, competitiveness and national developmen</w:t>
      </w:r>
      <w:r>
        <w:rPr>
          <w:rStyle w:val="Strong"/>
          <w:b w:val="0"/>
          <w:bCs w:val="0"/>
        </w:rPr>
        <w:t>t. Equate taxation reform in Nigeria, therefore, should strike a balance between equity, cost effectiveness and economic growth in order to provide an enabling condition for both public revenue and corporate profits.</w:t>
      </w:r>
    </w:p>
    <w:p w14:paraId="1B778A82" w14:textId="77777777" w:rsidR="001040D1" w:rsidRDefault="001040D1">
      <w:pPr>
        <w:pStyle w:val="NormalWeb"/>
        <w:rPr>
          <w:rStyle w:val="Strong"/>
        </w:rPr>
      </w:pPr>
    </w:p>
    <w:p w14:paraId="54095173" w14:textId="77777777" w:rsidR="001040D1" w:rsidRDefault="005D36C1">
      <w:pPr>
        <w:pStyle w:val="NormalWeb"/>
        <w:rPr>
          <w:rStyle w:val="Strong"/>
        </w:rPr>
      </w:pPr>
      <w:r>
        <w:rPr>
          <w:rStyle w:val="Strong"/>
        </w:rPr>
        <w:t>Ethical Approval</w:t>
      </w:r>
    </w:p>
    <w:p w14:paraId="048699C6" w14:textId="77777777" w:rsidR="001040D1" w:rsidRDefault="005D36C1">
      <w:pPr>
        <w:pStyle w:val="NormalWeb"/>
        <w:rPr>
          <w:b/>
          <w:bCs/>
        </w:rPr>
      </w:pPr>
      <w:r>
        <w:rPr>
          <w:rStyle w:val="Strong"/>
          <w:b w:val="0"/>
          <w:bCs w:val="0"/>
        </w:rPr>
        <w:t>Ethical approval from</w:t>
      </w:r>
      <w:r>
        <w:rPr>
          <w:rStyle w:val="Strong"/>
          <w:b w:val="0"/>
          <w:bCs w:val="0"/>
        </w:rPr>
        <w:t xml:space="preserve"> the concerned departmental research ethics committee was taken. The study used only secondary data, which was available in the open public domain, thus meeting academic ethical standards, confidentiality and data integrity.</w:t>
      </w:r>
    </w:p>
    <w:p w14:paraId="3AC5F11C" w14:textId="77777777" w:rsidR="001040D1" w:rsidRDefault="005D36C1">
      <w:pPr>
        <w:outlineLvl w:val="0"/>
        <w:rPr>
          <w:rFonts w:ascii="Arial" w:hAnsi="Arial" w:cs="Arial"/>
        </w:rPr>
      </w:pPr>
      <w:r>
        <w:rPr>
          <w:rFonts w:ascii="Arial" w:hAnsi="Arial" w:cs="Arial"/>
          <w:b/>
          <w:bCs/>
        </w:rPr>
        <w:t>COMPETING INTERESTS DISCLAIMER:</w:t>
      </w:r>
    </w:p>
    <w:p w14:paraId="56BF9124" w14:textId="77777777" w:rsidR="001040D1" w:rsidRDefault="005D36C1">
      <w:r>
        <w:t>Authors have declared that they have no known competing financial interests OR non-financial interests OR personal relationships that could have appeared to influence the work reported in this paper.</w:t>
      </w:r>
    </w:p>
    <w:p w14:paraId="0E300758" w14:textId="77777777" w:rsidR="001040D1" w:rsidRDefault="001040D1">
      <w:pPr>
        <w:pStyle w:val="NormalWeb"/>
      </w:pPr>
    </w:p>
    <w:p w14:paraId="639678B5" w14:textId="77777777" w:rsidR="001040D1" w:rsidRDefault="001040D1">
      <w:pPr>
        <w:pStyle w:val="NormalWeb"/>
      </w:pPr>
    </w:p>
    <w:p w14:paraId="1EA1AB5F" w14:textId="77777777" w:rsidR="001040D1" w:rsidRDefault="001040D1">
      <w:pPr>
        <w:rPr>
          <w:rFonts w:ascii="Calibri" w:eastAsia="Calibri" w:hAnsi="Calibri" w:cs="Times New Roman"/>
          <w:kern w:val="2"/>
          <w:highlight w:val="yellow"/>
          <w:lang w:val="en-US"/>
        </w:rPr>
      </w:pPr>
      <w:bookmarkStart w:id="0" w:name="_Hlk204003461"/>
    </w:p>
    <w:p w14:paraId="3B381967" w14:textId="77777777" w:rsidR="001040D1" w:rsidRDefault="005D36C1">
      <w:pPr>
        <w:rPr>
          <w:rFonts w:ascii="Calibri" w:eastAsia="Calibri" w:hAnsi="Calibri" w:cs="Times New Roman"/>
          <w:kern w:val="2"/>
          <w:highlight w:val="yellow"/>
          <w:lang w:val="en-US"/>
        </w:rPr>
      </w:pPr>
      <w:bookmarkStart w:id="1" w:name="_Hlk211509776"/>
      <w:r>
        <w:rPr>
          <w:rFonts w:ascii="Calibri" w:eastAsia="Calibri" w:hAnsi="Calibri" w:cs="Times New Roman"/>
          <w:kern w:val="2"/>
          <w:highlight w:val="yellow"/>
          <w:lang w:val="en-US"/>
        </w:rPr>
        <w:t>Disclaimer (Artificial intelligence)</w:t>
      </w:r>
    </w:p>
    <w:p w14:paraId="37E79952" w14:textId="77777777" w:rsidR="001040D1" w:rsidRDefault="005D36C1">
      <w:pPr>
        <w:rPr>
          <w:rFonts w:ascii="Arial" w:hAnsi="Arial"/>
          <w:kern w:val="2"/>
          <w:sz w:val="20"/>
          <w:szCs w:val="20"/>
          <w:highlight w:val="yellow"/>
          <w:lang w:val="en-US"/>
        </w:rPr>
      </w:pPr>
      <w:bookmarkStart w:id="2" w:name="_GoBack"/>
      <w:bookmarkEnd w:id="0"/>
      <w:bookmarkEnd w:id="1"/>
      <w:bookmarkEnd w:id="2"/>
      <w:r>
        <w:rPr>
          <w:rFonts w:ascii="Arial" w:hAnsi="Arial"/>
          <w:kern w:val="2"/>
          <w:sz w:val="20"/>
          <w:szCs w:val="20"/>
          <w:highlight w:val="yellow"/>
          <w:lang w:val="en-US"/>
        </w:rPr>
        <w:t>Author(s) hereby declare that generative AI technology (</w:t>
      </w:r>
      <w:proofErr w:type="spellStart"/>
      <w:r>
        <w:rPr>
          <w:rFonts w:ascii="Arial" w:hAnsi="Arial"/>
          <w:kern w:val="2"/>
          <w:sz w:val="20"/>
          <w:szCs w:val="20"/>
          <w:highlight w:val="yellow"/>
          <w:lang w:val="en-US"/>
        </w:rPr>
        <w:t>OpenAI's</w:t>
      </w:r>
      <w:proofErr w:type="spellEnd"/>
      <w:r>
        <w:rPr>
          <w:rFonts w:ascii="Arial" w:hAnsi="Arial"/>
          <w:kern w:val="2"/>
          <w:sz w:val="20"/>
          <w:szCs w:val="20"/>
          <w:highlight w:val="yellow"/>
          <w:lang w:val="en-US"/>
        </w:rPr>
        <w:t xml:space="preserve"> </w:t>
      </w:r>
      <w:proofErr w:type="spellStart"/>
      <w:r>
        <w:rPr>
          <w:rFonts w:ascii="Arial" w:hAnsi="Arial"/>
          <w:kern w:val="2"/>
          <w:sz w:val="20"/>
          <w:szCs w:val="20"/>
          <w:highlight w:val="yellow"/>
          <w:lang w:val="en-US"/>
        </w:rPr>
        <w:t>ChatGPT</w:t>
      </w:r>
      <w:proofErr w:type="spellEnd"/>
      <w:r>
        <w:rPr>
          <w:rFonts w:ascii="Arial" w:hAnsi="Arial"/>
          <w:kern w:val="2"/>
          <w:sz w:val="20"/>
          <w:szCs w:val="20"/>
          <w:highlight w:val="yellow"/>
          <w:lang w:val="en-US"/>
        </w:rPr>
        <w:t xml:space="preserve">, GPT-4 model) was used during the </w:t>
      </w:r>
      <w:r>
        <w:rPr>
          <w:rFonts w:ascii="Arial" w:hAnsi="Arial"/>
          <w:b/>
          <w:bCs/>
          <w:kern w:val="2"/>
          <w:sz w:val="20"/>
          <w:szCs w:val="20"/>
          <w:highlight w:val="yellow"/>
          <w:lang w:val="en-US"/>
        </w:rPr>
        <w:t>editing and revision</w:t>
      </w:r>
      <w:r>
        <w:rPr>
          <w:rFonts w:ascii="Arial" w:hAnsi="Arial"/>
          <w:kern w:val="2"/>
          <w:sz w:val="20"/>
          <w:szCs w:val="20"/>
          <w:highlight w:val="yellow"/>
          <w:lang w:val="en-US"/>
        </w:rPr>
        <w:t xml:space="preserve"> of this manuscript to assist in addressing specific reviewer comments. This included implementing suggested changes to the abstr</w:t>
      </w:r>
      <w:r>
        <w:rPr>
          <w:rFonts w:ascii="Arial" w:hAnsi="Arial"/>
          <w:kern w:val="2"/>
          <w:sz w:val="20"/>
          <w:szCs w:val="20"/>
          <w:highlight w:val="yellow"/>
          <w:lang w:val="en-US"/>
        </w:rPr>
        <w:t xml:space="preserve">act, methodology, and discussion sections, and improving language clarity. </w:t>
      </w:r>
      <w:r>
        <w:rPr>
          <w:rFonts w:ascii="Arial" w:hAnsi="Arial"/>
          <w:b/>
          <w:bCs/>
          <w:kern w:val="2"/>
          <w:sz w:val="20"/>
          <w:szCs w:val="20"/>
          <w:highlight w:val="yellow"/>
          <w:lang w:val="en-US"/>
        </w:rPr>
        <w:t>The core research, data, analysis, and intellectual contributions remain entirely the work of the human authors.</w:t>
      </w:r>
    </w:p>
    <w:p w14:paraId="4AF1BABA" w14:textId="77777777" w:rsidR="001040D1" w:rsidRDefault="005D36C1">
      <w:pPr>
        <w:rPr>
          <w:rFonts w:ascii="Arial" w:hAnsi="Arial"/>
          <w:kern w:val="2"/>
          <w:sz w:val="20"/>
          <w:szCs w:val="20"/>
          <w:highlight w:val="yellow"/>
          <w:lang w:val="en-US"/>
        </w:rPr>
      </w:pPr>
      <w:r>
        <w:rPr>
          <w:rFonts w:ascii="Arial" w:hAnsi="Arial"/>
          <w:b/>
          <w:bCs/>
          <w:kern w:val="2"/>
          <w:sz w:val="20"/>
          <w:szCs w:val="20"/>
          <w:highlight w:val="yellow"/>
          <w:lang w:val="en-US"/>
        </w:rPr>
        <w:t>Details of the AI usage are given below:</w:t>
      </w:r>
    </w:p>
    <w:p w14:paraId="3695468A" w14:textId="77777777" w:rsidR="001040D1" w:rsidRDefault="005D36C1">
      <w:pPr>
        <w:numPr>
          <w:ilvl w:val="0"/>
          <w:numId w:val="2"/>
        </w:numPr>
        <w:rPr>
          <w:rFonts w:ascii="Arial" w:hAnsi="Arial"/>
          <w:kern w:val="2"/>
          <w:sz w:val="20"/>
          <w:szCs w:val="20"/>
          <w:highlight w:val="yellow"/>
          <w:lang w:val="en-US"/>
        </w:rPr>
      </w:pPr>
      <w:r>
        <w:rPr>
          <w:rFonts w:ascii="Arial" w:hAnsi="Arial"/>
          <w:b/>
          <w:bCs/>
          <w:kern w:val="2"/>
          <w:sz w:val="20"/>
          <w:szCs w:val="20"/>
          <w:highlight w:val="yellow"/>
          <w:lang w:val="en-US"/>
        </w:rPr>
        <w:t>Purpose:</w:t>
      </w:r>
      <w:r>
        <w:rPr>
          <w:rFonts w:ascii="Arial" w:hAnsi="Arial"/>
          <w:kern w:val="2"/>
          <w:sz w:val="20"/>
          <w:szCs w:val="20"/>
          <w:highlight w:val="yellow"/>
          <w:lang w:val="en-US"/>
        </w:rPr>
        <w:t xml:space="preserve"> To revise the manu</w:t>
      </w:r>
      <w:r>
        <w:rPr>
          <w:rFonts w:ascii="Arial" w:hAnsi="Arial"/>
          <w:kern w:val="2"/>
          <w:sz w:val="20"/>
          <w:szCs w:val="20"/>
          <w:highlight w:val="yellow"/>
          <w:lang w:val="en-US"/>
        </w:rPr>
        <w:t>script based on journal reviewer feedback.</w:t>
      </w:r>
    </w:p>
    <w:p w14:paraId="17BFF53A" w14:textId="77777777" w:rsidR="001040D1" w:rsidRDefault="005D36C1">
      <w:pPr>
        <w:numPr>
          <w:ilvl w:val="0"/>
          <w:numId w:val="2"/>
        </w:numPr>
        <w:rPr>
          <w:rFonts w:ascii="Arial" w:hAnsi="Arial"/>
          <w:kern w:val="2"/>
          <w:sz w:val="20"/>
          <w:szCs w:val="20"/>
          <w:highlight w:val="yellow"/>
          <w:lang w:val="en-US"/>
        </w:rPr>
      </w:pPr>
      <w:r>
        <w:rPr>
          <w:rFonts w:ascii="Arial" w:hAnsi="Arial"/>
          <w:b/>
          <w:bCs/>
          <w:kern w:val="2"/>
          <w:sz w:val="20"/>
          <w:szCs w:val="20"/>
          <w:highlight w:val="yellow"/>
          <w:lang w:val="en-US"/>
        </w:rPr>
        <w:t>Tasks:</w:t>
      </w:r>
      <w:r>
        <w:rPr>
          <w:rFonts w:ascii="Arial" w:hAnsi="Arial"/>
          <w:kern w:val="2"/>
          <w:sz w:val="20"/>
          <w:szCs w:val="20"/>
          <w:highlight w:val="yellow"/>
          <w:lang w:val="en-US"/>
        </w:rPr>
        <w:t xml:space="preserve"> Enhancing the abstract with statistical details, refining language, adding a conceptual framework and a limitations section, and identifying precise locations for edits.</w:t>
      </w:r>
    </w:p>
    <w:p w14:paraId="472C5F79" w14:textId="77777777" w:rsidR="001040D1" w:rsidRDefault="001040D1">
      <w:pPr>
        <w:pStyle w:val="NormalWeb"/>
      </w:pPr>
    </w:p>
    <w:p w14:paraId="0C576F70" w14:textId="77777777" w:rsidR="001040D1" w:rsidRDefault="005D36C1">
      <w:pPr>
        <w:pStyle w:val="NormalWeb"/>
        <w:rPr>
          <w:b/>
          <w:bCs/>
          <w:sz w:val="28"/>
          <w:szCs w:val="28"/>
        </w:rPr>
      </w:pPr>
      <w:r>
        <w:rPr>
          <w:b/>
          <w:bCs/>
          <w:sz w:val="28"/>
          <w:szCs w:val="28"/>
        </w:rPr>
        <w:t>References</w:t>
      </w:r>
    </w:p>
    <w:p w14:paraId="115AE44C" w14:textId="77777777" w:rsidR="001040D1" w:rsidRDefault="005D36C1">
      <w:pPr>
        <w:pStyle w:val="NormalWeb"/>
        <w:numPr>
          <w:ilvl w:val="0"/>
          <w:numId w:val="3"/>
        </w:numPr>
        <w:rPr>
          <w:color w:val="222222"/>
          <w:shd w:val="clear" w:color="auto" w:fill="FFFFFF"/>
        </w:rPr>
      </w:pPr>
      <w:proofErr w:type="spellStart"/>
      <w:r>
        <w:rPr>
          <w:color w:val="222222"/>
          <w:shd w:val="clear" w:color="auto" w:fill="FFFFFF"/>
        </w:rPr>
        <w:t>Abramovsky</w:t>
      </w:r>
      <w:proofErr w:type="spellEnd"/>
      <w:r>
        <w:rPr>
          <w:color w:val="222222"/>
          <w:shd w:val="clear" w:color="auto" w:fill="FFFFFF"/>
        </w:rPr>
        <w:t>, L., Klemm, A., &amp; Phillips, D. (2014). Corporate tax in developing countries: Current trends and design issues. </w:t>
      </w:r>
      <w:r>
        <w:rPr>
          <w:i/>
          <w:iCs/>
          <w:color w:val="222222"/>
          <w:shd w:val="clear" w:color="auto" w:fill="FFFFFF"/>
        </w:rPr>
        <w:t>Fiscal Studies</w:t>
      </w:r>
      <w:r>
        <w:rPr>
          <w:color w:val="222222"/>
          <w:shd w:val="clear" w:color="auto" w:fill="FFFFFF"/>
        </w:rPr>
        <w:t>, </w:t>
      </w:r>
      <w:r>
        <w:rPr>
          <w:i/>
          <w:iCs/>
          <w:color w:val="222222"/>
          <w:shd w:val="clear" w:color="auto" w:fill="FFFFFF"/>
        </w:rPr>
        <w:t>35</w:t>
      </w:r>
      <w:r>
        <w:rPr>
          <w:color w:val="222222"/>
          <w:shd w:val="clear" w:color="auto" w:fill="FFFFFF"/>
        </w:rPr>
        <w:t>(4), 559-588.</w:t>
      </w:r>
    </w:p>
    <w:p w14:paraId="66F4EB75" w14:textId="77777777" w:rsidR="001040D1" w:rsidRDefault="005D36C1">
      <w:pPr>
        <w:pStyle w:val="NormalWeb"/>
        <w:numPr>
          <w:ilvl w:val="0"/>
          <w:numId w:val="3"/>
        </w:numPr>
        <w:rPr>
          <w:color w:val="222222"/>
          <w:shd w:val="clear" w:color="auto" w:fill="FFFFFF"/>
        </w:rPr>
      </w:pPr>
      <w:r>
        <w:rPr>
          <w:color w:val="222222"/>
          <w:shd w:val="clear" w:color="auto" w:fill="FFFFFF"/>
        </w:rPr>
        <w:t xml:space="preserve">Becker, J., </w:t>
      </w:r>
      <w:proofErr w:type="spellStart"/>
      <w:r>
        <w:rPr>
          <w:color w:val="222222"/>
          <w:shd w:val="clear" w:color="auto" w:fill="FFFFFF"/>
        </w:rPr>
        <w:t>Fuest</w:t>
      </w:r>
      <w:proofErr w:type="spellEnd"/>
      <w:r>
        <w:rPr>
          <w:color w:val="222222"/>
          <w:shd w:val="clear" w:color="auto" w:fill="FFFFFF"/>
        </w:rPr>
        <w:t xml:space="preserve">, C., &amp; Riedel, N. </w:t>
      </w:r>
      <w:r>
        <w:rPr>
          <w:color w:val="222222"/>
          <w:shd w:val="clear" w:color="auto" w:fill="FFFFFF"/>
        </w:rPr>
        <w:t>(2012). Corporate tax effects on the quality and quantity of FDI. </w:t>
      </w:r>
      <w:r>
        <w:rPr>
          <w:i/>
          <w:iCs/>
          <w:color w:val="222222"/>
          <w:shd w:val="clear" w:color="auto" w:fill="FFFFFF"/>
        </w:rPr>
        <w:t>European Economic Review</w:t>
      </w:r>
      <w:r>
        <w:rPr>
          <w:color w:val="222222"/>
          <w:shd w:val="clear" w:color="auto" w:fill="FFFFFF"/>
        </w:rPr>
        <w:t>, </w:t>
      </w:r>
      <w:r>
        <w:rPr>
          <w:i/>
          <w:iCs/>
          <w:color w:val="222222"/>
          <w:shd w:val="clear" w:color="auto" w:fill="FFFFFF"/>
        </w:rPr>
        <w:t>56</w:t>
      </w:r>
      <w:r>
        <w:rPr>
          <w:color w:val="222222"/>
          <w:shd w:val="clear" w:color="auto" w:fill="FFFFFF"/>
        </w:rPr>
        <w:t>(8), 1495-1511.</w:t>
      </w:r>
    </w:p>
    <w:p w14:paraId="5CF9DC04" w14:textId="77777777" w:rsidR="001040D1" w:rsidRDefault="005D36C1">
      <w:pPr>
        <w:pStyle w:val="NormalWeb"/>
        <w:numPr>
          <w:ilvl w:val="0"/>
          <w:numId w:val="3"/>
        </w:numPr>
        <w:rPr>
          <w:color w:val="222222"/>
          <w:shd w:val="clear" w:color="auto" w:fill="FFFFFF"/>
        </w:rPr>
      </w:pPr>
      <w:proofErr w:type="spellStart"/>
      <w:r>
        <w:rPr>
          <w:color w:val="222222"/>
          <w:shd w:val="clear" w:color="auto" w:fill="FFFFFF"/>
        </w:rPr>
        <w:t>Chude</w:t>
      </w:r>
      <w:proofErr w:type="spellEnd"/>
      <w:r>
        <w:rPr>
          <w:color w:val="222222"/>
          <w:shd w:val="clear" w:color="auto" w:fill="FFFFFF"/>
        </w:rPr>
        <w:t xml:space="preserve">, D. I., &amp; </w:t>
      </w:r>
      <w:proofErr w:type="spellStart"/>
      <w:r>
        <w:rPr>
          <w:color w:val="222222"/>
          <w:shd w:val="clear" w:color="auto" w:fill="FFFFFF"/>
        </w:rPr>
        <w:t>Chude</w:t>
      </w:r>
      <w:proofErr w:type="spellEnd"/>
      <w:r>
        <w:rPr>
          <w:color w:val="222222"/>
          <w:shd w:val="clear" w:color="auto" w:fill="FFFFFF"/>
        </w:rPr>
        <w:t>, N. P. (2015). Impact of company income taxation on the profitability of companies in Nigeria: A study of Nigerian Breweries</w:t>
      </w:r>
      <w:r>
        <w:rPr>
          <w:color w:val="222222"/>
          <w:shd w:val="clear" w:color="auto" w:fill="FFFFFF"/>
        </w:rPr>
        <w:t>. </w:t>
      </w:r>
      <w:r>
        <w:rPr>
          <w:i/>
          <w:iCs/>
          <w:color w:val="222222"/>
          <w:shd w:val="clear" w:color="auto" w:fill="FFFFFF"/>
        </w:rPr>
        <w:t>European Journal of Accounting, Auditing and Finance Research</w:t>
      </w:r>
      <w:r>
        <w:rPr>
          <w:color w:val="222222"/>
          <w:shd w:val="clear" w:color="auto" w:fill="FFFFFF"/>
        </w:rPr>
        <w:t>, </w:t>
      </w:r>
      <w:r>
        <w:rPr>
          <w:i/>
          <w:iCs/>
          <w:color w:val="222222"/>
          <w:shd w:val="clear" w:color="auto" w:fill="FFFFFF"/>
        </w:rPr>
        <w:t>3</w:t>
      </w:r>
      <w:r>
        <w:rPr>
          <w:color w:val="222222"/>
          <w:shd w:val="clear" w:color="auto" w:fill="FFFFFF"/>
        </w:rPr>
        <w:t>(8), 1-11.</w:t>
      </w:r>
    </w:p>
    <w:p w14:paraId="787A7099" w14:textId="77777777" w:rsidR="001040D1" w:rsidRDefault="005D36C1">
      <w:pPr>
        <w:pStyle w:val="NormalWeb"/>
        <w:numPr>
          <w:ilvl w:val="0"/>
          <w:numId w:val="3"/>
        </w:numPr>
        <w:rPr>
          <w:color w:val="222222"/>
          <w:shd w:val="clear" w:color="auto" w:fill="FFFFFF"/>
        </w:rPr>
      </w:pPr>
      <w:proofErr w:type="spellStart"/>
      <w:r>
        <w:rPr>
          <w:rStyle w:val="Emphasis"/>
          <w:rFonts w:ascii="Arial" w:eastAsia="SimSun" w:hAnsi="Arial" w:cs="Arial"/>
          <w:i w:val="0"/>
          <w:iCs w:val="0"/>
          <w:color w:val="767676"/>
          <w:sz w:val="21"/>
          <w:szCs w:val="21"/>
          <w:shd w:val="clear" w:color="auto" w:fill="FFFFFF"/>
        </w:rPr>
        <w:t>Chude</w:t>
      </w:r>
      <w:proofErr w:type="spellEnd"/>
      <w:r>
        <w:rPr>
          <w:rFonts w:ascii="Arial" w:eastAsia="SimSun" w:hAnsi="Arial" w:cs="Arial"/>
          <w:color w:val="474747"/>
          <w:sz w:val="21"/>
          <w:szCs w:val="21"/>
          <w:shd w:val="clear" w:color="auto" w:fill="FFFFFF"/>
        </w:rPr>
        <w:t>, </w:t>
      </w:r>
      <w:r>
        <w:rPr>
          <w:rStyle w:val="Emphasis"/>
          <w:rFonts w:ascii="Arial" w:eastAsia="SimSun" w:hAnsi="Arial" w:cs="Arial"/>
          <w:i w:val="0"/>
          <w:iCs w:val="0"/>
          <w:color w:val="767676"/>
          <w:sz w:val="21"/>
          <w:szCs w:val="21"/>
          <w:shd w:val="clear" w:color="auto" w:fill="FFFFFF"/>
        </w:rPr>
        <w:t xml:space="preserve">D. I., &amp; </w:t>
      </w:r>
      <w:proofErr w:type="spellStart"/>
      <w:r>
        <w:rPr>
          <w:rStyle w:val="Emphasis"/>
          <w:rFonts w:ascii="Arial" w:eastAsia="SimSun" w:hAnsi="Arial" w:cs="Arial"/>
          <w:i w:val="0"/>
          <w:iCs w:val="0"/>
          <w:color w:val="767676"/>
          <w:sz w:val="21"/>
          <w:szCs w:val="21"/>
          <w:shd w:val="clear" w:color="auto" w:fill="FFFFFF"/>
        </w:rPr>
        <w:t>Chude</w:t>
      </w:r>
      <w:proofErr w:type="spellEnd"/>
      <w:r>
        <w:rPr>
          <w:rFonts w:ascii="Arial" w:eastAsia="SimSun" w:hAnsi="Arial" w:cs="Arial"/>
          <w:color w:val="474747"/>
          <w:sz w:val="21"/>
          <w:szCs w:val="21"/>
          <w:shd w:val="clear" w:color="auto" w:fill="FFFFFF"/>
        </w:rPr>
        <w:t>, </w:t>
      </w:r>
      <w:r>
        <w:rPr>
          <w:rStyle w:val="Emphasis"/>
          <w:rFonts w:ascii="Arial" w:eastAsia="SimSun" w:hAnsi="Arial" w:cs="Arial"/>
          <w:i w:val="0"/>
          <w:iCs w:val="0"/>
          <w:color w:val="767676"/>
          <w:sz w:val="21"/>
          <w:szCs w:val="21"/>
          <w:shd w:val="clear" w:color="auto" w:fill="FFFFFF"/>
        </w:rPr>
        <w:t>N. P.</w:t>
      </w:r>
      <w:r>
        <w:rPr>
          <w:rFonts w:ascii="Arial" w:eastAsia="SimSun" w:hAnsi="Arial" w:cs="Arial"/>
          <w:color w:val="474747"/>
          <w:sz w:val="21"/>
          <w:szCs w:val="21"/>
          <w:shd w:val="clear" w:color="auto" w:fill="FFFFFF"/>
        </w:rPr>
        <w:t> (2015). Impact of inflation on economic growth in Nigeria. International Journal of Business and Management Review, 3(5), 26-34 </w:t>
      </w:r>
    </w:p>
    <w:p w14:paraId="0C3E940C" w14:textId="77777777" w:rsidR="001040D1" w:rsidRDefault="005D36C1">
      <w:pPr>
        <w:pStyle w:val="NormalWeb"/>
        <w:numPr>
          <w:ilvl w:val="0"/>
          <w:numId w:val="3"/>
        </w:numPr>
        <w:rPr>
          <w:color w:val="222222"/>
          <w:shd w:val="clear" w:color="auto" w:fill="FFFFFF"/>
        </w:rPr>
      </w:pPr>
      <w:r>
        <w:rPr>
          <w:color w:val="222222"/>
          <w:shd w:val="clear" w:color="auto" w:fill="FFFFFF"/>
        </w:rPr>
        <w:t xml:space="preserve">Devereux, M. P., &amp; </w:t>
      </w:r>
      <w:r>
        <w:rPr>
          <w:color w:val="222222"/>
          <w:shd w:val="clear" w:color="auto" w:fill="FFFFFF"/>
        </w:rPr>
        <w:t>Griffith, R. (2003). Evaluating tax policy for location decisions. </w:t>
      </w:r>
      <w:r>
        <w:rPr>
          <w:i/>
          <w:iCs/>
          <w:color w:val="222222"/>
          <w:shd w:val="clear" w:color="auto" w:fill="FFFFFF"/>
        </w:rPr>
        <w:t>International tax and public finance</w:t>
      </w:r>
      <w:r>
        <w:rPr>
          <w:color w:val="222222"/>
          <w:shd w:val="clear" w:color="auto" w:fill="FFFFFF"/>
        </w:rPr>
        <w:t>, </w:t>
      </w:r>
      <w:r>
        <w:rPr>
          <w:i/>
          <w:iCs/>
          <w:color w:val="222222"/>
          <w:shd w:val="clear" w:color="auto" w:fill="FFFFFF"/>
        </w:rPr>
        <w:t>10</w:t>
      </w:r>
      <w:r>
        <w:rPr>
          <w:color w:val="222222"/>
          <w:shd w:val="clear" w:color="auto" w:fill="FFFFFF"/>
        </w:rPr>
        <w:t>(2), 107-126.</w:t>
      </w:r>
    </w:p>
    <w:p w14:paraId="57C24A94" w14:textId="77777777" w:rsidR="001040D1" w:rsidRDefault="005D36C1">
      <w:pPr>
        <w:pStyle w:val="NormalWeb"/>
        <w:numPr>
          <w:ilvl w:val="0"/>
          <w:numId w:val="3"/>
        </w:numPr>
        <w:rPr>
          <w:color w:val="222222"/>
          <w:shd w:val="clear" w:color="auto" w:fill="FFFFFF"/>
        </w:rPr>
      </w:pPr>
      <w:r w:rsidRPr="002072E3">
        <w:rPr>
          <w:color w:val="222222"/>
          <w:shd w:val="clear" w:color="auto" w:fill="FFFFFF"/>
          <w:lang w:val="nl-BE"/>
        </w:rPr>
        <w:t xml:space="preserve">Ezugwu, C. I., &amp; Akubo, D. (2014). </w:t>
      </w:r>
      <w:r>
        <w:rPr>
          <w:color w:val="222222"/>
          <w:shd w:val="clear" w:color="auto" w:fill="FFFFFF"/>
        </w:rPr>
        <w:t xml:space="preserve">Effect of High Corporate Tax Rate on the Liquidity of Corporate Organizations in Nigeria-A study of </w:t>
      </w:r>
      <w:r>
        <w:rPr>
          <w:color w:val="222222"/>
          <w:shd w:val="clear" w:color="auto" w:fill="FFFFFF"/>
        </w:rPr>
        <w:t>Some Selected Corporate Organizations. </w:t>
      </w:r>
      <w:r>
        <w:rPr>
          <w:i/>
          <w:iCs/>
          <w:color w:val="222222"/>
          <w:shd w:val="clear" w:color="auto" w:fill="FFFFFF"/>
        </w:rPr>
        <w:t>Global Journal of Management and Business Research: D Accounting and Auditing</w:t>
      </w:r>
      <w:r>
        <w:rPr>
          <w:color w:val="222222"/>
          <w:shd w:val="clear" w:color="auto" w:fill="FFFFFF"/>
        </w:rPr>
        <w:t>, </w:t>
      </w:r>
      <w:r>
        <w:rPr>
          <w:i/>
          <w:iCs/>
          <w:color w:val="222222"/>
          <w:shd w:val="clear" w:color="auto" w:fill="FFFFFF"/>
        </w:rPr>
        <w:t>14</w:t>
      </w:r>
      <w:r>
        <w:rPr>
          <w:color w:val="222222"/>
          <w:shd w:val="clear" w:color="auto" w:fill="FFFFFF"/>
        </w:rPr>
        <w:t>(3).</w:t>
      </w:r>
    </w:p>
    <w:p w14:paraId="53B3EEC6" w14:textId="77777777" w:rsidR="001040D1" w:rsidRDefault="005D36C1">
      <w:pPr>
        <w:pStyle w:val="NormalWeb"/>
        <w:numPr>
          <w:ilvl w:val="0"/>
          <w:numId w:val="3"/>
        </w:numPr>
        <w:rPr>
          <w:color w:val="222222"/>
          <w:shd w:val="clear" w:color="auto" w:fill="FFFFFF"/>
        </w:rPr>
      </w:pPr>
      <w:proofErr w:type="spellStart"/>
      <w:r>
        <w:rPr>
          <w:color w:val="222222"/>
          <w:shd w:val="clear" w:color="auto" w:fill="FFFFFF"/>
        </w:rPr>
        <w:t>Fuest</w:t>
      </w:r>
      <w:proofErr w:type="spellEnd"/>
      <w:r>
        <w:rPr>
          <w:color w:val="222222"/>
          <w:shd w:val="clear" w:color="auto" w:fill="FFFFFF"/>
        </w:rPr>
        <w:t xml:space="preserve">, C., Huber, B., &amp; </w:t>
      </w:r>
      <w:proofErr w:type="spellStart"/>
      <w:r>
        <w:rPr>
          <w:color w:val="222222"/>
          <w:shd w:val="clear" w:color="auto" w:fill="FFFFFF"/>
        </w:rPr>
        <w:t>Mintz</w:t>
      </w:r>
      <w:proofErr w:type="spellEnd"/>
      <w:r>
        <w:rPr>
          <w:color w:val="222222"/>
          <w:shd w:val="clear" w:color="auto" w:fill="FFFFFF"/>
        </w:rPr>
        <w:t>, J. (2005). Capital mobility and tax competition. </w:t>
      </w:r>
      <w:r>
        <w:rPr>
          <w:i/>
          <w:iCs/>
          <w:color w:val="222222"/>
          <w:shd w:val="clear" w:color="auto" w:fill="FFFFFF"/>
        </w:rPr>
        <w:t>Foundations and trends® in microeconomics</w:t>
      </w:r>
      <w:r>
        <w:rPr>
          <w:color w:val="222222"/>
          <w:shd w:val="clear" w:color="auto" w:fill="FFFFFF"/>
        </w:rPr>
        <w:t>, </w:t>
      </w:r>
      <w:r>
        <w:rPr>
          <w:i/>
          <w:iCs/>
          <w:color w:val="222222"/>
          <w:shd w:val="clear" w:color="auto" w:fill="FFFFFF"/>
        </w:rPr>
        <w:t>1</w:t>
      </w:r>
      <w:r>
        <w:rPr>
          <w:color w:val="222222"/>
          <w:shd w:val="clear" w:color="auto" w:fill="FFFFFF"/>
        </w:rPr>
        <w:t>(1), 1-</w:t>
      </w:r>
      <w:r>
        <w:rPr>
          <w:color w:val="222222"/>
          <w:shd w:val="clear" w:color="auto" w:fill="FFFFFF"/>
        </w:rPr>
        <w:t>62.</w:t>
      </w:r>
    </w:p>
    <w:p w14:paraId="38DC080F" w14:textId="77777777" w:rsidR="001040D1" w:rsidRDefault="005D36C1">
      <w:pPr>
        <w:pStyle w:val="NormalWeb"/>
        <w:numPr>
          <w:ilvl w:val="0"/>
          <w:numId w:val="3"/>
        </w:numPr>
        <w:rPr>
          <w:color w:val="222222"/>
          <w:shd w:val="clear" w:color="auto" w:fill="FFFFFF"/>
        </w:rPr>
      </w:pPr>
      <w:r>
        <w:rPr>
          <w:color w:val="222222"/>
          <w:shd w:val="clear" w:color="auto" w:fill="FFFFFF"/>
        </w:rPr>
        <w:t>Graham, J. R. (1996). Debt and the marginal tax rate. </w:t>
      </w:r>
      <w:r>
        <w:rPr>
          <w:i/>
          <w:iCs/>
          <w:color w:val="222222"/>
          <w:shd w:val="clear" w:color="auto" w:fill="FFFFFF"/>
        </w:rPr>
        <w:t>Journal of financial Economics</w:t>
      </w:r>
      <w:r>
        <w:rPr>
          <w:color w:val="222222"/>
          <w:shd w:val="clear" w:color="auto" w:fill="FFFFFF"/>
        </w:rPr>
        <w:t>, </w:t>
      </w:r>
      <w:r>
        <w:rPr>
          <w:i/>
          <w:iCs/>
          <w:color w:val="222222"/>
          <w:shd w:val="clear" w:color="auto" w:fill="FFFFFF"/>
        </w:rPr>
        <w:t>41</w:t>
      </w:r>
      <w:r>
        <w:rPr>
          <w:color w:val="222222"/>
          <w:shd w:val="clear" w:color="auto" w:fill="FFFFFF"/>
        </w:rPr>
        <w:t>(1), 41-73.</w:t>
      </w:r>
    </w:p>
    <w:p w14:paraId="6C2DF107" w14:textId="77777777" w:rsidR="001040D1" w:rsidRDefault="005D36C1">
      <w:pPr>
        <w:pStyle w:val="NormalWeb"/>
        <w:numPr>
          <w:ilvl w:val="0"/>
          <w:numId w:val="3"/>
        </w:numPr>
        <w:rPr>
          <w:color w:val="222222"/>
          <w:shd w:val="clear" w:color="auto" w:fill="FFFFFF"/>
        </w:rPr>
      </w:pPr>
      <w:proofErr w:type="spellStart"/>
      <w:r>
        <w:rPr>
          <w:color w:val="222222"/>
          <w:shd w:val="clear" w:color="auto" w:fill="FFFFFF"/>
        </w:rPr>
        <w:t>Gribnau</w:t>
      </w:r>
      <w:proofErr w:type="spellEnd"/>
      <w:r>
        <w:rPr>
          <w:color w:val="222222"/>
          <w:shd w:val="clear" w:color="auto" w:fill="FFFFFF"/>
        </w:rPr>
        <w:t xml:space="preserve">, H., &amp; </w:t>
      </w:r>
      <w:proofErr w:type="spellStart"/>
      <w:r>
        <w:rPr>
          <w:color w:val="222222"/>
          <w:shd w:val="clear" w:color="auto" w:fill="FFFFFF"/>
        </w:rPr>
        <w:t>Jallai</w:t>
      </w:r>
      <w:proofErr w:type="spellEnd"/>
      <w:r>
        <w:rPr>
          <w:color w:val="222222"/>
          <w:shd w:val="clear" w:color="auto" w:fill="FFFFFF"/>
        </w:rPr>
        <w:t>, A. G. (2018). Sustainable tax governance and transparency. In </w:t>
      </w:r>
      <w:r>
        <w:rPr>
          <w:i/>
          <w:iCs/>
          <w:color w:val="222222"/>
          <w:shd w:val="clear" w:color="auto" w:fill="FFFFFF"/>
        </w:rPr>
        <w:t>Challenges in managing sustainable business: Reporting, taxation, e</w:t>
      </w:r>
      <w:r>
        <w:rPr>
          <w:i/>
          <w:iCs/>
          <w:color w:val="222222"/>
          <w:shd w:val="clear" w:color="auto" w:fill="FFFFFF"/>
        </w:rPr>
        <w:t>thics and governance</w:t>
      </w:r>
      <w:r>
        <w:rPr>
          <w:color w:val="222222"/>
          <w:shd w:val="clear" w:color="auto" w:fill="FFFFFF"/>
        </w:rPr>
        <w:t> (pp. 337-369). Cham: Springer International Publishing.</w:t>
      </w:r>
    </w:p>
    <w:p w14:paraId="3984819E" w14:textId="77777777" w:rsidR="001040D1" w:rsidRDefault="005D36C1">
      <w:pPr>
        <w:pStyle w:val="NormalWeb"/>
        <w:numPr>
          <w:ilvl w:val="0"/>
          <w:numId w:val="3"/>
        </w:numPr>
        <w:rPr>
          <w:color w:val="222222"/>
          <w:shd w:val="clear" w:color="auto" w:fill="FFFFFF"/>
        </w:rPr>
      </w:pPr>
      <w:r>
        <w:rPr>
          <w:color w:val="222222"/>
          <w:shd w:val="clear" w:color="auto" w:fill="FFFFFF"/>
        </w:rPr>
        <w:lastRenderedPageBreak/>
        <w:t xml:space="preserve">Jacob, M., &amp; </w:t>
      </w:r>
      <w:proofErr w:type="spellStart"/>
      <w:r>
        <w:rPr>
          <w:color w:val="222222"/>
          <w:shd w:val="clear" w:color="auto" w:fill="FFFFFF"/>
        </w:rPr>
        <w:t>Vossebürger</w:t>
      </w:r>
      <w:proofErr w:type="spellEnd"/>
      <w:r>
        <w:rPr>
          <w:color w:val="222222"/>
          <w:shd w:val="clear" w:color="auto" w:fill="FFFFFF"/>
        </w:rPr>
        <w:t>, R. (2022). The role of personal income taxes in corporate investment decisions. </w:t>
      </w:r>
      <w:r>
        <w:rPr>
          <w:i/>
          <w:iCs/>
          <w:color w:val="222222"/>
          <w:shd w:val="clear" w:color="auto" w:fill="FFFFFF"/>
        </w:rPr>
        <w:t>Journal of Corporate Finance</w:t>
      </w:r>
      <w:r>
        <w:rPr>
          <w:color w:val="222222"/>
          <w:shd w:val="clear" w:color="auto" w:fill="FFFFFF"/>
        </w:rPr>
        <w:t>, </w:t>
      </w:r>
      <w:r>
        <w:rPr>
          <w:i/>
          <w:iCs/>
          <w:color w:val="222222"/>
          <w:shd w:val="clear" w:color="auto" w:fill="FFFFFF"/>
        </w:rPr>
        <w:t>77</w:t>
      </w:r>
      <w:r>
        <w:rPr>
          <w:color w:val="222222"/>
          <w:shd w:val="clear" w:color="auto" w:fill="FFFFFF"/>
        </w:rPr>
        <w:t>, 102275.</w:t>
      </w:r>
    </w:p>
    <w:p w14:paraId="2B6D6FC7" w14:textId="77777777" w:rsidR="001040D1" w:rsidRDefault="005D36C1">
      <w:pPr>
        <w:pStyle w:val="NormalWeb"/>
        <w:numPr>
          <w:ilvl w:val="0"/>
          <w:numId w:val="3"/>
        </w:numPr>
        <w:rPr>
          <w:color w:val="000000" w:themeColor="text1"/>
          <w:shd w:val="clear" w:color="auto" w:fill="FFFFFF"/>
        </w:rPr>
      </w:pPr>
      <w:proofErr w:type="spellStart"/>
      <w:r>
        <w:rPr>
          <w:rFonts w:ascii="sans-serif" w:eastAsia="sans-serif" w:hAnsi="sans-serif" w:cs="sans-serif"/>
          <w:color w:val="000000" w:themeColor="text1"/>
          <w:shd w:val="clear" w:color="auto" w:fill="FFFFFF"/>
        </w:rPr>
        <w:t>J</w:t>
      </w:r>
      <w:r>
        <w:rPr>
          <w:rFonts w:eastAsia="sans-serif"/>
          <w:color w:val="000000" w:themeColor="text1"/>
          <w:shd w:val="clear" w:color="auto" w:fill="FFFFFF"/>
        </w:rPr>
        <w:t>allai</w:t>
      </w:r>
      <w:proofErr w:type="spellEnd"/>
      <w:r>
        <w:rPr>
          <w:rFonts w:eastAsia="sans-serif"/>
          <w:color w:val="000000" w:themeColor="text1"/>
          <w:shd w:val="clear" w:color="auto" w:fill="FFFFFF"/>
        </w:rPr>
        <w:t xml:space="preserve">, A.-G., &amp; </w:t>
      </w:r>
      <w:proofErr w:type="spellStart"/>
      <w:r>
        <w:rPr>
          <w:rFonts w:eastAsia="sans-serif"/>
          <w:color w:val="000000" w:themeColor="text1"/>
          <w:shd w:val="clear" w:color="auto" w:fill="FFFFFF"/>
        </w:rPr>
        <w:t>Gribnau</w:t>
      </w:r>
      <w:proofErr w:type="spellEnd"/>
      <w:r>
        <w:rPr>
          <w:rFonts w:eastAsia="sans-serif"/>
          <w:color w:val="000000" w:themeColor="text1"/>
          <w:shd w:val="clear" w:color="auto" w:fill="FFFFFF"/>
        </w:rPr>
        <w:t xml:space="preserve">, </w:t>
      </w:r>
      <w:r>
        <w:rPr>
          <w:rFonts w:eastAsia="sans-serif"/>
          <w:color w:val="000000" w:themeColor="text1"/>
          <w:shd w:val="clear" w:color="auto" w:fill="FFFFFF"/>
        </w:rPr>
        <w:t>H. (2018). </w:t>
      </w:r>
      <w:r>
        <w:rPr>
          <w:rStyle w:val="Emphasis"/>
          <w:rFonts w:eastAsia="sans-serif"/>
          <w:i w:val="0"/>
          <w:iCs w:val="0"/>
          <w:color w:val="000000" w:themeColor="text1"/>
          <w:shd w:val="clear" w:color="auto" w:fill="FFFFFF"/>
        </w:rPr>
        <w:t>Aggressive tax planning and corporate social irresponsibility: Managerial discretion in the light of corporate governance</w:t>
      </w:r>
      <w:r>
        <w:rPr>
          <w:rFonts w:eastAsia="sans-serif"/>
          <w:color w:val="000000" w:themeColor="text1"/>
          <w:shd w:val="clear" w:color="auto" w:fill="FFFFFF"/>
        </w:rPr>
        <w:t>. (pp. 1-29). (Tilburg Law School Research Paper No. 05/2018). SSRN. https://papers.ssrn.com/sol3/papers.cfm?abstract_id=311</w:t>
      </w:r>
      <w:r>
        <w:rPr>
          <w:rFonts w:eastAsia="sans-serif"/>
          <w:color w:val="000000" w:themeColor="text1"/>
          <w:shd w:val="clear" w:color="auto" w:fill="FFFFFF"/>
        </w:rPr>
        <w:t>9552</w:t>
      </w:r>
    </w:p>
    <w:p w14:paraId="2065F5EB" w14:textId="77777777" w:rsidR="001040D1" w:rsidRDefault="005D36C1">
      <w:pPr>
        <w:pStyle w:val="NormalWeb"/>
        <w:numPr>
          <w:ilvl w:val="0"/>
          <w:numId w:val="3"/>
        </w:numPr>
        <w:rPr>
          <w:color w:val="222222"/>
          <w:shd w:val="clear" w:color="auto" w:fill="FFFFFF"/>
        </w:rPr>
      </w:pPr>
      <w:r>
        <w:rPr>
          <w:color w:val="222222"/>
          <w:shd w:val="clear" w:color="auto" w:fill="FFFFFF"/>
        </w:rPr>
        <w:t>Kendrick, M. S. (1939). The ability-to-pay theory of taxation. </w:t>
      </w:r>
      <w:r>
        <w:rPr>
          <w:i/>
          <w:iCs/>
          <w:color w:val="222222"/>
          <w:shd w:val="clear" w:color="auto" w:fill="FFFFFF"/>
        </w:rPr>
        <w:t>The American Economic Review</w:t>
      </w:r>
      <w:r>
        <w:rPr>
          <w:color w:val="222222"/>
          <w:shd w:val="clear" w:color="auto" w:fill="FFFFFF"/>
        </w:rPr>
        <w:t>, 92-101.</w:t>
      </w:r>
    </w:p>
    <w:p w14:paraId="0297FCEF" w14:textId="77777777" w:rsidR="001040D1" w:rsidRDefault="005D36C1">
      <w:pPr>
        <w:pStyle w:val="NormalWeb"/>
        <w:numPr>
          <w:ilvl w:val="0"/>
          <w:numId w:val="3"/>
        </w:numPr>
        <w:rPr>
          <w:color w:val="222222"/>
          <w:shd w:val="clear" w:color="auto" w:fill="FFFFFF"/>
        </w:rPr>
      </w:pPr>
      <w:r w:rsidRPr="002072E3">
        <w:rPr>
          <w:color w:val="222222"/>
          <w:shd w:val="clear" w:color="auto" w:fill="FFFFFF"/>
          <w:lang w:val="nl-BE"/>
        </w:rPr>
        <w:t xml:space="preserve">Kiabel, B. D., &amp; Nwokah, N. G. (2009). </w:t>
      </w:r>
      <w:r>
        <w:rPr>
          <w:color w:val="222222"/>
          <w:shd w:val="clear" w:color="auto" w:fill="FFFFFF"/>
        </w:rPr>
        <w:t>Boosting revenue generation by state governments in Nigeria: The tax consultants’ option revisited. </w:t>
      </w:r>
      <w:r>
        <w:rPr>
          <w:i/>
          <w:iCs/>
          <w:color w:val="222222"/>
          <w:shd w:val="clear" w:color="auto" w:fill="FFFFFF"/>
        </w:rPr>
        <w:t>European Jo</w:t>
      </w:r>
      <w:r>
        <w:rPr>
          <w:i/>
          <w:iCs/>
          <w:color w:val="222222"/>
          <w:shd w:val="clear" w:color="auto" w:fill="FFFFFF"/>
        </w:rPr>
        <w:t>urnal of social sciences</w:t>
      </w:r>
      <w:r>
        <w:rPr>
          <w:color w:val="222222"/>
          <w:shd w:val="clear" w:color="auto" w:fill="FFFFFF"/>
        </w:rPr>
        <w:t>, </w:t>
      </w:r>
      <w:r>
        <w:rPr>
          <w:i/>
          <w:iCs/>
          <w:color w:val="222222"/>
          <w:shd w:val="clear" w:color="auto" w:fill="FFFFFF"/>
        </w:rPr>
        <w:t>8</w:t>
      </w:r>
      <w:r>
        <w:rPr>
          <w:color w:val="222222"/>
          <w:shd w:val="clear" w:color="auto" w:fill="FFFFFF"/>
        </w:rPr>
        <w:t>(4), 532-539.</w:t>
      </w:r>
    </w:p>
    <w:p w14:paraId="1BCF1805" w14:textId="77777777" w:rsidR="001040D1" w:rsidRDefault="005D36C1">
      <w:pPr>
        <w:pStyle w:val="NormalWeb"/>
        <w:numPr>
          <w:ilvl w:val="0"/>
          <w:numId w:val="3"/>
        </w:numPr>
        <w:rPr>
          <w:color w:val="222222"/>
          <w:shd w:val="clear" w:color="auto" w:fill="FFFFFF"/>
        </w:rPr>
      </w:pPr>
      <w:r>
        <w:rPr>
          <w:rFonts w:ascii="Verdana" w:eastAsia="SimSun" w:hAnsi="Verdana" w:cs="Verdana"/>
          <w:color w:val="232323"/>
          <w:sz w:val="21"/>
          <w:szCs w:val="21"/>
          <w:shd w:val="clear" w:color="auto" w:fill="FFFFFF"/>
        </w:rPr>
        <w:t>Laffer, A.B. (2004) The Laffer Curve: Past, Present and Future. Article No. 1765, The Heritage Foundation Publications, 1-16.</w:t>
      </w:r>
    </w:p>
    <w:p w14:paraId="72D93E53" w14:textId="77777777" w:rsidR="001040D1" w:rsidRDefault="005D36C1">
      <w:pPr>
        <w:pStyle w:val="NormalWeb"/>
        <w:numPr>
          <w:ilvl w:val="0"/>
          <w:numId w:val="3"/>
        </w:numPr>
        <w:rPr>
          <w:color w:val="222222"/>
          <w:shd w:val="clear" w:color="auto" w:fill="FFFFFF"/>
        </w:rPr>
      </w:pPr>
      <w:r>
        <w:rPr>
          <w:color w:val="222222"/>
          <w:shd w:val="clear" w:color="auto" w:fill="FFFFFF"/>
        </w:rPr>
        <w:t xml:space="preserve">Kong, J., &amp; Gao, M. (2024). Sustainable strategies for boosting profitability: Unveiling </w:t>
      </w:r>
      <w:r>
        <w:rPr>
          <w:color w:val="222222"/>
          <w:shd w:val="clear" w:color="auto" w:fill="FFFFFF"/>
        </w:rPr>
        <w:t>the connection between fiscal policy and natural resource efficiency. </w:t>
      </w:r>
      <w:r>
        <w:rPr>
          <w:i/>
          <w:iCs/>
          <w:color w:val="222222"/>
          <w:shd w:val="clear" w:color="auto" w:fill="FFFFFF"/>
        </w:rPr>
        <w:t>Resources Policy</w:t>
      </w:r>
      <w:r>
        <w:rPr>
          <w:color w:val="222222"/>
          <w:shd w:val="clear" w:color="auto" w:fill="FFFFFF"/>
        </w:rPr>
        <w:t>, </w:t>
      </w:r>
      <w:r>
        <w:rPr>
          <w:i/>
          <w:iCs/>
          <w:color w:val="222222"/>
          <w:shd w:val="clear" w:color="auto" w:fill="FFFFFF"/>
        </w:rPr>
        <w:t>88</w:t>
      </w:r>
      <w:r>
        <w:rPr>
          <w:color w:val="222222"/>
          <w:shd w:val="clear" w:color="auto" w:fill="FFFFFF"/>
        </w:rPr>
        <w:t>, 104474.</w:t>
      </w:r>
    </w:p>
    <w:p w14:paraId="1338E413" w14:textId="77777777" w:rsidR="001040D1" w:rsidRDefault="005D36C1">
      <w:pPr>
        <w:pStyle w:val="NormalWeb"/>
        <w:numPr>
          <w:ilvl w:val="0"/>
          <w:numId w:val="3"/>
        </w:numPr>
        <w:rPr>
          <w:color w:val="222222"/>
          <w:shd w:val="clear" w:color="auto" w:fill="FFFFFF"/>
        </w:rPr>
      </w:pPr>
      <w:bookmarkStart w:id="3" w:name="_Hlk212937899"/>
      <w:proofErr w:type="spellStart"/>
      <w:r>
        <w:rPr>
          <w:color w:val="222222"/>
          <w:shd w:val="clear" w:color="auto" w:fill="FFFFFF"/>
        </w:rPr>
        <w:t>Miravete</w:t>
      </w:r>
      <w:bookmarkEnd w:id="3"/>
      <w:proofErr w:type="spellEnd"/>
      <w:r>
        <w:rPr>
          <w:color w:val="222222"/>
          <w:shd w:val="clear" w:color="auto" w:fill="FFFFFF"/>
        </w:rPr>
        <w:t xml:space="preserve">, E. J., </w:t>
      </w:r>
      <w:proofErr w:type="spellStart"/>
      <w:r>
        <w:rPr>
          <w:color w:val="222222"/>
          <w:shd w:val="clear" w:color="auto" w:fill="FFFFFF"/>
        </w:rPr>
        <w:t>Seim</w:t>
      </w:r>
      <w:proofErr w:type="spellEnd"/>
      <w:r>
        <w:rPr>
          <w:color w:val="222222"/>
          <w:shd w:val="clear" w:color="auto" w:fill="FFFFFF"/>
        </w:rPr>
        <w:t xml:space="preserve">, K., &amp; </w:t>
      </w:r>
      <w:proofErr w:type="spellStart"/>
      <w:r>
        <w:rPr>
          <w:color w:val="222222"/>
          <w:shd w:val="clear" w:color="auto" w:fill="FFFFFF"/>
        </w:rPr>
        <w:t>Thurk</w:t>
      </w:r>
      <w:proofErr w:type="spellEnd"/>
      <w:r>
        <w:rPr>
          <w:color w:val="222222"/>
          <w:shd w:val="clear" w:color="auto" w:fill="FFFFFF"/>
        </w:rPr>
        <w:t>, J. (2018). Market power and the Laffer curve. </w:t>
      </w:r>
      <w:proofErr w:type="spellStart"/>
      <w:r>
        <w:rPr>
          <w:i/>
          <w:iCs/>
          <w:color w:val="222222"/>
          <w:shd w:val="clear" w:color="auto" w:fill="FFFFFF"/>
        </w:rPr>
        <w:t>Econometrica</w:t>
      </w:r>
      <w:proofErr w:type="spellEnd"/>
      <w:r>
        <w:rPr>
          <w:color w:val="222222"/>
          <w:shd w:val="clear" w:color="auto" w:fill="FFFFFF"/>
        </w:rPr>
        <w:t>, </w:t>
      </w:r>
      <w:r>
        <w:rPr>
          <w:i/>
          <w:iCs/>
          <w:color w:val="222222"/>
          <w:shd w:val="clear" w:color="auto" w:fill="FFFFFF"/>
        </w:rPr>
        <w:t>86</w:t>
      </w:r>
      <w:r>
        <w:rPr>
          <w:color w:val="222222"/>
          <w:shd w:val="clear" w:color="auto" w:fill="FFFFFF"/>
        </w:rPr>
        <w:t>(5), 1651-1687.</w:t>
      </w:r>
    </w:p>
    <w:p w14:paraId="0892725D" w14:textId="77777777" w:rsidR="001040D1" w:rsidRDefault="005D36C1">
      <w:pPr>
        <w:pStyle w:val="NormalWeb"/>
        <w:numPr>
          <w:ilvl w:val="0"/>
          <w:numId w:val="3"/>
        </w:numPr>
        <w:rPr>
          <w:color w:val="222222"/>
          <w:shd w:val="clear" w:color="auto" w:fill="FFFFFF"/>
        </w:rPr>
      </w:pPr>
      <w:r w:rsidRPr="002072E3">
        <w:rPr>
          <w:color w:val="222222"/>
          <w:shd w:val="clear" w:color="auto" w:fill="FFFFFF"/>
          <w:lang w:val="nl-BE"/>
        </w:rPr>
        <w:t xml:space="preserve">Ogbonna, G. N., &amp; Ebimobowei, A. (2012). </w:t>
      </w:r>
      <w:r>
        <w:rPr>
          <w:color w:val="222222"/>
          <w:shd w:val="clear" w:color="auto" w:fill="FFFFFF"/>
        </w:rPr>
        <w:t>I</w:t>
      </w:r>
      <w:r>
        <w:rPr>
          <w:color w:val="222222"/>
          <w:shd w:val="clear" w:color="auto" w:fill="FFFFFF"/>
        </w:rPr>
        <w:t>mpact of tax reforms and economic growth of Nigeria: A time series analysis. </w:t>
      </w:r>
      <w:r>
        <w:rPr>
          <w:i/>
          <w:iCs/>
          <w:color w:val="222222"/>
          <w:shd w:val="clear" w:color="auto" w:fill="FFFFFF"/>
        </w:rPr>
        <w:t>Current Research Journal of Social Sciences</w:t>
      </w:r>
      <w:r>
        <w:rPr>
          <w:color w:val="222222"/>
          <w:shd w:val="clear" w:color="auto" w:fill="FFFFFF"/>
        </w:rPr>
        <w:t>, </w:t>
      </w:r>
      <w:r>
        <w:rPr>
          <w:i/>
          <w:iCs/>
          <w:color w:val="222222"/>
          <w:shd w:val="clear" w:color="auto" w:fill="FFFFFF"/>
        </w:rPr>
        <w:t>4</w:t>
      </w:r>
      <w:r>
        <w:rPr>
          <w:color w:val="222222"/>
          <w:shd w:val="clear" w:color="auto" w:fill="FFFFFF"/>
        </w:rPr>
        <w:t>(1), 62-68.</w:t>
      </w:r>
    </w:p>
    <w:p w14:paraId="753A1BDE" w14:textId="77777777" w:rsidR="001040D1" w:rsidRDefault="005D36C1">
      <w:pPr>
        <w:pStyle w:val="NormalWeb"/>
        <w:numPr>
          <w:ilvl w:val="0"/>
          <w:numId w:val="3"/>
        </w:numPr>
        <w:rPr>
          <w:color w:val="222222"/>
          <w:shd w:val="clear" w:color="auto" w:fill="FFFFFF"/>
        </w:rPr>
      </w:pPr>
      <w:proofErr w:type="spellStart"/>
      <w:r>
        <w:rPr>
          <w:color w:val="222222"/>
          <w:shd w:val="clear" w:color="auto" w:fill="FFFFFF"/>
        </w:rPr>
        <w:t>Osibanjo</w:t>
      </w:r>
      <w:proofErr w:type="spellEnd"/>
      <w:r>
        <w:rPr>
          <w:color w:val="222222"/>
          <w:shd w:val="clear" w:color="auto" w:fill="FFFFFF"/>
        </w:rPr>
        <w:t xml:space="preserve">, A. O., </w:t>
      </w:r>
      <w:proofErr w:type="spellStart"/>
      <w:r>
        <w:rPr>
          <w:color w:val="222222"/>
          <w:shd w:val="clear" w:color="auto" w:fill="FFFFFF"/>
        </w:rPr>
        <w:t>Oyewunmi</w:t>
      </w:r>
      <w:proofErr w:type="spellEnd"/>
      <w:r>
        <w:rPr>
          <w:color w:val="222222"/>
          <w:shd w:val="clear" w:color="auto" w:fill="FFFFFF"/>
        </w:rPr>
        <w:t xml:space="preserve">, A. E., &amp; </w:t>
      </w:r>
      <w:proofErr w:type="spellStart"/>
      <w:r>
        <w:rPr>
          <w:color w:val="222222"/>
          <w:shd w:val="clear" w:color="auto" w:fill="FFFFFF"/>
        </w:rPr>
        <w:t>Salau</w:t>
      </w:r>
      <w:proofErr w:type="spellEnd"/>
      <w:r>
        <w:rPr>
          <w:color w:val="222222"/>
          <w:shd w:val="clear" w:color="auto" w:fill="FFFFFF"/>
        </w:rPr>
        <w:t>, O. P. (2014). Globalization and multinational corporations: The Nigerian busin</w:t>
      </w:r>
      <w:r>
        <w:rPr>
          <w:color w:val="222222"/>
          <w:shd w:val="clear" w:color="auto" w:fill="FFFFFF"/>
        </w:rPr>
        <w:t>ess environment in perspective. </w:t>
      </w:r>
      <w:r>
        <w:rPr>
          <w:i/>
          <w:iCs/>
          <w:color w:val="222222"/>
          <w:shd w:val="clear" w:color="auto" w:fill="FFFFFF"/>
        </w:rPr>
        <w:t>IOSR Journal of Business and Management</w:t>
      </w:r>
      <w:r>
        <w:rPr>
          <w:color w:val="222222"/>
          <w:shd w:val="clear" w:color="auto" w:fill="FFFFFF"/>
        </w:rPr>
        <w:t>, </w:t>
      </w:r>
      <w:r>
        <w:rPr>
          <w:i/>
          <w:iCs/>
          <w:color w:val="222222"/>
          <w:shd w:val="clear" w:color="auto" w:fill="FFFFFF"/>
        </w:rPr>
        <w:t>16</w:t>
      </w:r>
      <w:r>
        <w:rPr>
          <w:color w:val="222222"/>
          <w:shd w:val="clear" w:color="auto" w:fill="FFFFFF"/>
        </w:rPr>
        <w:t>(11), 1-7.</w:t>
      </w:r>
    </w:p>
    <w:p w14:paraId="514C1BCB" w14:textId="77777777" w:rsidR="001040D1" w:rsidRDefault="005D36C1">
      <w:pPr>
        <w:pStyle w:val="NormalWeb"/>
        <w:numPr>
          <w:ilvl w:val="0"/>
          <w:numId w:val="3"/>
        </w:numPr>
        <w:rPr>
          <w:color w:val="222222"/>
          <w:shd w:val="clear" w:color="auto" w:fill="FFFFFF"/>
        </w:rPr>
      </w:pPr>
      <w:proofErr w:type="spellStart"/>
      <w:r>
        <w:rPr>
          <w:color w:val="222222"/>
          <w:shd w:val="clear" w:color="auto" w:fill="FFFFFF"/>
        </w:rPr>
        <w:t>Siyanbola</w:t>
      </w:r>
      <w:proofErr w:type="spellEnd"/>
      <w:r>
        <w:rPr>
          <w:color w:val="222222"/>
          <w:shd w:val="clear" w:color="auto" w:fill="FFFFFF"/>
        </w:rPr>
        <w:t xml:space="preserve">, T. T., Adedeji, S. B., </w:t>
      </w:r>
      <w:proofErr w:type="spellStart"/>
      <w:r>
        <w:rPr>
          <w:color w:val="222222"/>
          <w:shd w:val="clear" w:color="auto" w:fill="FFFFFF"/>
        </w:rPr>
        <w:t>Aderibigbe</w:t>
      </w:r>
      <w:proofErr w:type="spellEnd"/>
      <w:r>
        <w:rPr>
          <w:color w:val="222222"/>
          <w:shd w:val="clear" w:color="auto" w:fill="FFFFFF"/>
        </w:rPr>
        <w:t xml:space="preserve">, A. A., &amp; </w:t>
      </w:r>
      <w:proofErr w:type="spellStart"/>
      <w:r>
        <w:rPr>
          <w:color w:val="222222"/>
          <w:shd w:val="clear" w:color="auto" w:fill="FFFFFF"/>
        </w:rPr>
        <w:t>Ogunmefun</w:t>
      </w:r>
      <w:proofErr w:type="spellEnd"/>
      <w:r>
        <w:rPr>
          <w:color w:val="222222"/>
          <w:shd w:val="clear" w:color="auto" w:fill="FFFFFF"/>
        </w:rPr>
        <w:t>, T. G. (2025). Capital Structure and Financial Performance of Listed Oil and Gas Companies in Nigeria. </w:t>
      </w:r>
      <w:r>
        <w:rPr>
          <w:i/>
          <w:iCs/>
          <w:color w:val="222222"/>
          <w:shd w:val="clear" w:color="auto" w:fill="FFFFFF"/>
        </w:rPr>
        <w:t>In</w:t>
      </w:r>
      <w:r>
        <w:rPr>
          <w:i/>
          <w:iCs/>
          <w:color w:val="222222"/>
          <w:shd w:val="clear" w:color="auto" w:fill="FFFFFF"/>
        </w:rPr>
        <w:t>ternational Journal of Accounting, Finance and Administrative Research</w:t>
      </w:r>
      <w:r>
        <w:rPr>
          <w:color w:val="222222"/>
          <w:shd w:val="clear" w:color="auto" w:fill="FFFFFF"/>
        </w:rPr>
        <w:t>, </w:t>
      </w:r>
      <w:r>
        <w:rPr>
          <w:i/>
          <w:iCs/>
          <w:color w:val="222222"/>
          <w:shd w:val="clear" w:color="auto" w:fill="FFFFFF"/>
        </w:rPr>
        <w:t>2</w:t>
      </w:r>
      <w:r>
        <w:rPr>
          <w:color w:val="222222"/>
          <w:shd w:val="clear" w:color="auto" w:fill="FFFFFF"/>
        </w:rPr>
        <w:t>(2), 23-41.</w:t>
      </w:r>
    </w:p>
    <w:p w14:paraId="6FD3163B" w14:textId="77777777" w:rsidR="001040D1" w:rsidRDefault="005D36C1">
      <w:pPr>
        <w:pStyle w:val="NormalWeb"/>
        <w:numPr>
          <w:ilvl w:val="0"/>
          <w:numId w:val="3"/>
        </w:numPr>
        <w:rPr>
          <w:color w:val="222222"/>
          <w:shd w:val="clear" w:color="auto" w:fill="FFFFFF"/>
        </w:rPr>
      </w:pPr>
      <w:proofErr w:type="spellStart"/>
      <w:r>
        <w:rPr>
          <w:rFonts w:eastAsia="Georgia"/>
          <w:color w:val="353C3F"/>
          <w:sz w:val="27"/>
          <w:szCs w:val="27"/>
          <w:shd w:val="clear" w:color="auto" w:fill="FFFFFF"/>
        </w:rPr>
        <w:t>Slemrod</w:t>
      </w:r>
      <w:proofErr w:type="spellEnd"/>
      <w:r>
        <w:rPr>
          <w:rFonts w:eastAsia="Georgia"/>
          <w:color w:val="353C3F"/>
          <w:sz w:val="27"/>
          <w:szCs w:val="27"/>
          <w:shd w:val="clear" w:color="auto" w:fill="FFFFFF"/>
        </w:rPr>
        <w:t>, Joel. 2019. "Tax Compliance and Enforcement." </w:t>
      </w:r>
      <w:r>
        <w:rPr>
          <w:rFonts w:eastAsia="Georgia"/>
          <w:i/>
          <w:iCs/>
          <w:color w:val="353C3F"/>
          <w:sz w:val="27"/>
          <w:szCs w:val="27"/>
          <w:shd w:val="clear" w:color="auto" w:fill="FFFFFF"/>
        </w:rPr>
        <w:t>Journal of Economic Literature</w:t>
      </w:r>
      <w:r>
        <w:rPr>
          <w:rFonts w:eastAsia="Georgia"/>
          <w:color w:val="353C3F"/>
          <w:sz w:val="27"/>
          <w:szCs w:val="27"/>
          <w:shd w:val="clear" w:color="auto" w:fill="FFFFFF"/>
        </w:rPr>
        <w:t> 57 (4): 904–54</w:t>
      </w:r>
      <w:r>
        <w:rPr>
          <w:rFonts w:eastAsia="Helvetica"/>
          <w:b/>
          <w:bCs/>
          <w:color w:val="668E9E"/>
          <w:sz w:val="18"/>
          <w:szCs w:val="18"/>
          <w:shd w:val="clear" w:color="auto" w:fill="FFFFFF"/>
        </w:rPr>
        <w:t>.</w:t>
      </w:r>
      <w:r>
        <w:rPr>
          <w:rFonts w:eastAsia="Georgia"/>
          <w:color w:val="353C3F"/>
          <w:sz w:val="27"/>
          <w:szCs w:val="27"/>
          <w:shd w:val="clear" w:color="auto" w:fill="FFFFFF"/>
        </w:rPr>
        <w:t>DOI: 10.1257/jel.20181437</w:t>
      </w:r>
    </w:p>
    <w:p w14:paraId="1008CD52" w14:textId="77777777" w:rsidR="001040D1" w:rsidRDefault="005D36C1">
      <w:pPr>
        <w:pStyle w:val="NormalWeb"/>
        <w:numPr>
          <w:ilvl w:val="0"/>
          <w:numId w:val="3"/>
        </w:numPr>
        <w:rPr>
          <w:color w:val="222222"/>
          <w:shd w:val="clear" w:color="auto" w:fill="FFFFFF"/>
        </w:rPr>
      </w:pPr>
      <w:r w:rsidRPr="002072E3">
        <w:rPr>
          <w:rFonts w:eastAsia="SimSun"/>
          <w:color w:val="000000"/>
          <w:sz w:val="27"/>
          <w:szCs w:val="27"/>
          <w:lang w:val="nl-BE"/>
        </w:rPr>
        <w:t xml:space="preserve">Udeh , A. N., &amp; Eze, I. C. (2024). </w:t>
      </w:r>
      <w:r>
        <w:rPr>
          <w:rFonts w:eastAsia="SimSun"/>
          <w:color w:val="000000"/>
          <w:sz w:val="27"/>
          <w:szCs w:val="27"/>
        </w:rPr>
        <w:t>INFLUENCE</w:t>
      </w:r>
      <w:r>
        <w:rPr>
          <w:rFonts w:eastAsia="SimSun"/>
          <w:color w:val="000000"/>
          <w:sz w:val="27"/>
          <w:szCs w:val="27"/>
        </w:rPr>
        <w:t xml:space="preserve"> OF MONETARY POLICY ON THE FINANCIAL PERFORMANCE OF DEPOSIT MONEY BANKS IN </w:t>
      </w:r>
      <w:proofErr w:type="gramStart"/>
      <w:r>
        <w:rPr>
          <w:rFonts w:eastAsia="SimSun"/>
          <w:color w:val="000000"/>
          <w:sz w:val="27"/>
          <w:szCs w:val="27"/>
        </w:rPr>
        <w:t>NIGERIA .</w:t>
      </w:r>
      <w:proofErr w:type="gramEnd"/>
      <w:r>
        <w:rPr>
          <w:rFonts w:eastAsia="SimSun"/>
          <w:color w:val="000000"/>
          <w:sz w:val="27"/>
          <w:szCs w:val="27"/>
        </w:rPr>
        <w:t> </w:t>
      </w:r>
      <w:r>
        <w:rPr>
          <w:rFonts w:eastAsia="SimSun"/>
          <w:i/>
          <w:iCs/>
          <w:color w:val="000000"/>
          <w:sz w:val="27"/>
          <w:szCs w:val="27"/>
        </w:rPr>
        <w:t>Ayden International Journal of Applied Economics, Finance and Accounting</w:t>
      </w:r>
      <w:r>
        <w:rPr>
          <w:rFonts w:eastAsia="SimSun"/>
          <w:color w:val="000000"/>
          <w:sz w:val="27"/>
          <w:szCs w:val="27"/>
        </w:rPr>
        <w:t>, </w:t>
      </w:r>
      <w:r>
        <w:rPr>
          <w:rFonts w:eastAsia="SimSun"/>
          <w:i/>
          <w:iCs/>
          <w:color w:val="000000"/>
          <w:sz w:val="27"/>
          <w:szCs w:val="27"/>
        </w:rPr>
        <w:t>12</w:t>
      </w:r>
      <w:r>
        <w:rPr>
          <w:rFonts w:eastAsia="SimSun"/>
          <w:color w:val="000000"/>
          <w:sz w:val="27"/>
          <w:szCs w:val="27"/>
        </w:rPr>
        <w:t>(3), 10–23. https://doi.org/10.5281/zenodo.13847377</w:t>
      </w:r>
    </w:p>
    <w:p w14:paraId="3CB98E3E" w14:textId="77777777" w:rsidR="001040D1" w:rsidRDefault="005D36C1">
      <w:pPr>
        <w:pStyle w:val="NormalWeb"/>
        <w:numPr>
          <w:ilvl w:val="0"/>
          <w:numId w:val="3"/>
        </w:numPr>
        <w:rPr>
          <w:color w:val="222222"/>
          <w:shd w:val="clear" w:color="auto" w:fill="FFFFFF"/>
        </w:rPr>
      </w:pPr>
      <w:proofErr w:type="spellStart"/>
      <w:r>
        <w:rPr>
          <w:color w:val="222222"/>
          <w:shd w:val="clear" w:color="auto" w:fill="FFFFFF"/>
        </w:rPr>
        <w:t>Ulbrich</w:t>
      </w:r>
      <w:proofErr w:type="spellEnd"/>
      <w:r>
        <w:rPr>
          <w:color w:val="222222"/>
          <w:shd w:val="clear" w:color="auto" w:fill="FFFFFF"/>
        </w:rPr>
        <w:t>, H. (2013). </w:t>
      </w:r>
      <w:r>
        <w:rPr>
          <w:i/>
          <w:iCs/>
          <w:color w:val="222222"/>
          <w:shd w:val="clear" w:color="auto" w:fill="FFFFFF"/>
        </w:rPr>
        <w:t>Public Finance in theor</w:t>
      </w:r>
      <w:r>
        <w:rPr>
          <w:i/>
          <w:iCs/>
          <w:color w:val="222222"/>
          <w:shd w:val="clear" w:color="auto" w:fill="FFFFFF"/>
        </w:rPr>
        <w:t>y and practice second edition</w:t>
      </w:r>
      <w:r>
        <w:rPr>
          <w:color w:val="222222"/>
          <w:shd w:val="clear" w:color="auto" w:fill="FFFFFF"/>
        </w:rPr>
        <w:t>. Routledge.</w:t>
      </w:r>
    </w:p>
    <w:p w14:paraId="3592B6FE" w14:textId="77777777" w:rsidR="001040D1" w:rsidRDefault="005D36C1">
      <w:pPr>
        <w:pStyle w:val="NormalWeb"/>
        <w:numPr>
          <w:ilvl w:val="0"/>
          <w:numId w:val="3"/>
        </w:numPr>
        <w:rPr>
          <w:color w:val="222222"/>
          <w:shd w:val="clear" w:color="auto" w:fill="FFFFFF"/>
        </w:rPr>
      </w:pPr>
      <w:r>
        <w:rPr>
          <w:color w:val="222222"/>
          <w:shd w:val="clear" w:color="auto" w:fill="FFFFFF"/>
        </w:rPr>
        <w:t>Zucman, G. (2015). The hidden wealth of nations: The scourge of tax havens. In </w:t>
      </w:r>
      <w:r>
        <w:rPr>
          <w:i/>
          <w:iCs/>
          <w:color w:val="222222"/>
          <w:shd w:val="clear" w:color="auto" w:fill="FFFFFF"/>
        </w:rPr>
        <w:t>The hidden wealth of nations</w:t>
      </w:r>
      <w:r>
        <w:rPr>
          <w:color w:val="222222"/>
          <w:shd w:val="clear" w:color="auto" w:fill="FFFFFF"/>
        </w:rPr>
        <w:t>. University of Chicago Press.</w:t>
      </w:r>
    </w:p>
    <w:p w14:paraId="5882F947" w14:textId="77777777" w:rsidR="001040D1" w:rsidRDefault="001040D1">
      <w:pPr>
        <w:pStyle w:val="NormalWeb"/>
        <w:rPr>
          <w:b/>
          <w:bCs/>
        </w:rPr>
      </w:pPr>
    </w:p>
    <w:p w14:paraId="33A1EBD1" w14:textId="77777777" w:rsidR="001040D1" w:rsidRDefault="001040D1">
      <w:pPr>
        <w:spacing w:after="160"/>
        <w:rPr>
          <w:rFonts w:eastAsia="Calibri" w:cs="Times New Roman"/>
          <w:bCs/>
          <w:szCs w:val="24"/>
        </w:rPr>
      </w:pPr>
    </w:p>
    <w:p w14:paraId="65E06E4A" w14:textId="77777777" w:rsidR="001040D1" w:rsidRDefault="001040D1"/>
    <w:sectPr w:rsidR="001040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12259" w14:textId="77777777" w:rsidR="006D4660" w:rsidRDefault="006D4660">
      <w:r>
        <w:separator/>
      </w:r>
    </w:p>
  </w:endnote>
  <w:endnote w:type="continuationSeparator" w:id="0">
    <w:p w14:paraId="506CE934" w14:textId="77777777" w:rsidR="006D4660" w:rsidRDefault="006D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CD5D5" w14:textId="77777777" w:rsidR="001040D1" w:rsidRDefault="0010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E604" w14:textId="77777777" w:rsidR="001040D1" w:rsidRDefault="00104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85C3" w14:textId="77777777" w:rsidR="001040D1" w:rsidRDefault="00104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091C7" w14:textId="77777777" w:rsidR="006D4660" w:rsidRDefault="006D4660">
      <w:pPr>
        <w:spacing w:before="0" w:after="0"/>
      </w:pPr>
      <w:r>
        <w:separator/>
      </w:r>
    </w:p>
  </w:footnote>
  <w:footnote w:type="continuationSeparator" w:id="0">
    <w:p w14:paraId="16A46DA4" w14:textId="77777777" w:rsidR="006D4660" w:rsidRDefault="006D466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BCFD1" w14:textId="77777777" w:rsidR="001040D1" w:rsidRDefault="005D36C1">
    <w:pPr>
      <w:pStyle w:val="Header"/>
    </w:pPr>
    <w:r>
      <w:pict w14:anchorId="12A88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969" o:spid="_x0000_s3075" type="#_x0000_t136" style="position:absolute;left:0;text-align:left;margin-left:0;margin-top:0;width:592.85pt;height:66.9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169D" w14:textId="77777777" w:rsidR="001040D1" w:rsidRDefault="005D36C1">
    <w:pPr>
      <w:pStyle w:val="Header"/>
    </w:pPr>
    <w:r>
      <w:pict w14:anchorId="663CE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970" o:spid="_x0000_s3074" type="#_x0000_t136" style="position:absolute;left:0;text-align:left;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4297A" w14:textId="77777777" w:rsidR="001040D1" w:rsidRDefault="005D36C1">
    <w:pPr>
      <w:pStyle w:val="Header"/>
    </w:pPr>
    <w:r>
      <w:pict w14:anchorId="48DD2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2968" o:spid="_x0000_s3073" type="#_x0000_t136" style="position:absolute;left:0;text-align:left;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22C89"/>
    <w:multiLevelType w:val="singleLevel"/>
    <w:tmpl w:val="1E722C89"/>
    <w:lvl w:ilvl="0">
      <w:start w:val="1"/>
      <w:numFmt w:val="decimal"/>
      <w:lvlText w:val="%1."/>
      <w:lvlJc w:val="left"/>
      <w:pPr>
        <w:tabs>
          <w:tab w:val="left" w:pos="425"/>
        </w:tabs>
        <w:ind w:left="425" w:hanging="425"/>
      </w:pPr>
      <w:rPr>
        <w:rFonts w:hint="default"/>
      </w:rPr>
    </w:lvl>
  </w:abstractNum>
  <w:abstractNum w:abstractNumId="1" w15:restartNumberingAfterBreak="0">
    <w:nsid w:val="64E9BB7B"/>
    <w:multiLevelType w:val="singleLevel"/>
    <w:tmpl w:val="64E9BB7B"/>
    <w:lvl w:ilvl="0">
      <w:start w:val="3"/>
      <w:numFmt w:val="decimal"/>
      <w:suff w:val="space"/>
      <w:lvlText w:val="%1."/>
      <w:lvlJc w:val="left"/>
    </w:lvl>
  </w:abstractNum>
  <w:abstractNum w:abstractNumId="2" w15:restartNumberingAfterBreak="0">
    <w:nsid w:val="6CFE29F6"/>
    <w:multiLevelType w:val="multilevel"/>
    <w:tmpl w:val="6CFE29F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2D"/>
    <w:rsid w:val="00046203"/>
    <w:rsid w:val="000759DC"/>
    <w:rsid w:val="001040D1"/>
    <w:rsid w:val="00153D1A"/>
    <w:rsid w:val="002072E3"/>
    <w:rsid w:val="003324AA"/>
    <w:rsid w:val="005D36C1"/>
    <w:rsid w:val="006D4660"/>
    <w:rsid w:val="00735C09"/>
    <w:rsid w:val="00BE62F1"/>
    <w:rsid w:val="00D22B73"/>
    <w:rsid w:val="00D4292D"/>
    <w:rsid w:val="00F43133"/>
    <w:rsid w:val="045A6A33"/>
    <w:rsid w:val="05BA6E92"/>
    <w:rsid w:val="07894FB2"/>
    <w:rsid w:val="1E224D0E"/>
    <w:rsid w:val="26626BBA"/>
    <w:rsid w:val="42F54111"/>
    <w:rsid w:val="7A6573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4F307C26"/>
  <w15:docId w15:val="{EAC562F7-A9CE-4AE9-BFAA-1CB17719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200"/>
      <w:jc w:val="both"/>
    </w:pPr>
    <w:rPr>
      <w:rFonts w:eastAsia="Times New Roman" w:cs="SimSun"/>
      <w:sz w:val="24"/>
      <w:szCs w:val="22"/>
      <w:lang w:val="en-GB" w:eastAsia="en-GB"/>
    </w:rPr>
  </w:style>
  <w:style w:type="paragraph" w:styleId="Heading2">
    <w:name w:val="heading 2"/>
    <w:basedOn w:val="Normal"/>
    <w:link w:val="Heading2Char"/>
    <w:uiPriority w:val="9"/>
    <w:unhideWhenUsed/>
    <w:qFormat/>
    <w:pPr>
      <w:spacing w:after="100" w:afterAutospacing="1"/>
      <w:jc w:val="left"/>
      <w:outlineLvl w:val="1"/>
    </w:pPr>
    <w:rPr>
      <w:rFonts w:cs="Times New Roman"/>
      <w:b/>
      <w:bCs/>
      <w:sz w:val="36"/>
      <w:szCs w:val="36"/>
    </w:rPr>
  </w:style>
  <w:style w:type="paragraph" w:styleId="Heading3">
    <w:name w:val="heading 3"/>
    <w:basedOn w:val="Normal"/>
    <w:link w:val="Heading3Char"/>
    <w:uiPriority w:val="9"/>
    <w:unhideWhenUsed/>
    <w:qFormat/>
    <w:pPr>
      <w:spacing w:after="100" w:afterAutospacing="1"/>
      <w:jc w:val="left"/>
      <w:outlineLvl w:val="2"/>
    </w:pPr>
    <w:rPr>
      <w:rFonts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SimSu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pPr>
      <w:spacing w:after="100" w:afterAutospacing="1"/>
    </w:pPr>
    <w:rPr>
      <w:rFonts w:cs="Times New Roman"/>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punct">
    <w:name w:val="mpunct"/>
    <w:basedOn w:val="DefaultParagraphFont"/>
  </w:style>
  <w:style w:type="character" w:customStyle="1" w:styleId="mclose">
    <w:name w:val="mclose"/>
    <w:basedOn w:val="DefaultParagraphFont"/>
    <w:qFormat/>
  </w:style>
  <w:style w:type="character" w:customStyle="1" w:styleId="mbin">
    <w:name w:val="mbin"/>
    <w:basedOn w:val="DefaultParagraphFont"/>
  </w:style>
  <w:style w:type="character" w:customStyle="1" w:styleId="vlist-s">
    <w:name w:val="vlist-s"/>
    <w:basedOn w:val="DefaultParagraphFont"/>
  </w:style>
  <w:style w:type="paragraph" w:styleId="ListParagraph">
    <w:name w:val="List Paragraph"/>
    <w:basedOn w:val="Normal"/>
    <w:uiPriority w:val="34"/>
    <w:qFormat/>
    <w:pPr>
      <w:ind w:left="720"/>
      <w:contextualSpacing/>
    </w:pPr>
  </w:style>
  <w:style w:type="paragraph" w:styleId="NoSpacing">
    <w:name w:val="No Spacing"/>
    <w:basedOn w:val="Normal"/>
    <w:uiPriority w:val="99"/>
    <w:qFormat/>
    <w:pPr>
      <w:spacing w:before="0" w:beforeAutospacing="0" w:after="0"/>
      <w:jc w:val="left"/>
    </w:pPr>
    <w:rPr>
      <w:rFonts w:ascii="Calibri" w:hAnsi="Calibri"/>
      <w:sz w:val="22"/>
    </w:rPr>
  </w:style>
  <w:style w:type="character" w:customStyle="1" w:styleId="Heading4Char">
    <w:name w:val="Heading 4 Char"/>
    <w:basedOn w:val="DefaultParagraphFont"/>
    <w:link w:val="Heading4"/>
    <w:uiPriority w:val="9"/>
    <w:rPr>
      <w:rFonts w:ascii="Calibri Light" w:eastAsia="SimSun" w:hAnsi="Calibri Light" w:cs="Times New Roman"/>
      <w:i/>
      <w:iCs/>
      <w:color w:val="2F5496"/>
      <w:sz w:val="24"/>
      <w:lang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eastAsia="Times New Roman" w:hAnsi="Times New Roman" w:cs="SimSun"/>
      <w:sz w:val="24"/>
      <w:lang w:eastAsia="en-GB"/>
    </w:rPr>
  </w:style>
  <w:style w:type="character" w:customStyle="1" w:styleId="FooterChar">
    <w:name w:val="Footer Char"/>
    <w:basedOn w:val="DefaultParagraphFont"/>
    <w:link w:val="Footer"/>
    <w:uiPriority w:val="99"/>
    <w:rPr>
      <w:rFonts w:ascii="Times New Roman" w:eastAsia="Times New Roman" w:hAnsi="Times New Roman" w:cs="SimSu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4633</Words>
  <Characters>26410</Characters>
  <Application>Microsoft Office Word</Application>
  <DocSecurity>0</DocSecurity>
  <Lines>220</Lines>
  <Paragraphs>61</Paragraphs>
  <ScaleCrop>false</ScaleCrop>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Mbanuzue</dc:creator>
  <cp:lastModifiedBy>SDI PC New 16</cp:lastModifiedBy>
  <cp:revision>35</cp:revision>
  <dcterms:created xsi:type="dcterms:W3CDTF">2025-11-01T14:28:00Z</dcterms:created>
  <dcterms:modified xsi:type="dcterms:W3CDTF">2025-11-20T11:32:00Z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976cc66415be4f1ebb8253d99c35ea54</vt:lpwstr>
  </property>
  <property fmtid="{D5CDD505-2E9C-101B-9397-08002B2CF9AE}" pid="3" name="KSOProductBuildVer">
    <vt:lpwstr>1033-12.2.0.23155</vt:lpwstr>
  </property>
</Properties>
</file>