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3300E" w14:textId="77777777" w:rsidR="00754C9A" w:rsidRDefault="00754C9A" w:rsidP="00441B6F">
      <w:pPr>
        <w:pStyle w:val="Title"/>
        <w:spacing w:after="0"/>
        <w:jc w:val="both"/>
        <w:rPr>
          <w:rFonts w:ascii="Arial" w:hAnsi="Arial" w:cs="Arial"/>
        </w:rPr>
      </w:pPr>
    </w:p>
    <w:p w14:paraId="73E763F9" w14:textId="77777777" w:rsidR="00163BC4" w:rsidRPr="00163BC4" w:rsidRDefault="00570C33" w:rsidP="00441B6F">
      <w:pPr>
        <w:pStyle w:val="Author"/>
        <w:spacing w:line="240" w:lineRule="auto"/>
        <w:rPr>
          <w:rFonts w:ascii="Arial" w:hAnsi="Arial" w:cs="Arial"/>
          <w:bCs/>
          <w:iCs/>
          <w:kern w:val="28"/>
          <w:sz w:val="36"/>
        </w:rPr>
      </w:pPr>
      <w:r w:rsidRPr="00570C33">
        <w:rPr>
          <w:rFonts w:ascii="Arial" w:hAnsi="Arial" w:cs="Arial"/>
          <w:bCs/>
          <w:iCs/>
          <w:kern w:val="28"/>
          <w:sz w:val="36"/>
        </w:rPr>
        <w:t>Sheep Marketing Chain Transformation: Efficiency Analysis and Partnership Model for Sustainable Economic Value Creation</w:t>
      </w:r>
      <w:r w:rsidR="00231920">
        <w:rPr>
          <w:rFonts w:ascii="Arial" w:hAnsi="Arial" w:cs="Arial"/>
          <w:bCs/>
          <w:iCs/>
          <w:kern w:val="28"/>
          <w:sz w:val="36"/>
        </w:rPr>
        <w:t xml:space="preserve"> </w:t>
      </w:r>
    </w:p>
    <w:p w14:paraId="0EF32DF6" w14:textId="77777777" w:rsidR="00A258C3" w:rsidRPr="00790ADA" w:rsidRDefault="00A258C3" w:rsidP="00441B6F">
      <w:pPr>
        <w:pStyle w:val="Author"/>
        <w:spacing w:line="240" w:lineRule="auto"/>
        <w:jc w:val="both"/>
        <w:rPr>
          <w:rFonts w:ascii="Arial" w:hAnsi="Arial" w:cs="Arial"/>
          <w:sz w:val="36"/>
        </w:rPr>
      </w:pPr>
    </w:p>
    <w:p w14:paraId="49CDE2D8" w14:textId="77777777" w:rsidR="002C57D2" w:rsidRPr="00FB3A86" w:rsidRDefault="002C57D2" w:rsidP="00441B6F">
      <w:pPr>
        <w:pStyle w:val="Affiliation"/>
        <w:spacing w:after="0" w:line="240" w:lineRule="auto"/>
        <w:jc w:val="both"/>
        <w:rPr>
          <w:rFonts w:ascii="Arial" w:hAnsi="Arial" w:cs="Arial"/>
        </w:rPr>
      </w:pPr>
    </w:p>
    <w:p w14:paraId="7A846496" w14:textId="77777777" w:rsidR="00B01FCD" w:rsidRPr="00FB3A86" w:rsidRDefault="00ED2086" w:rsidP="00441B6F">
      <w:pPr>
        <w:pStyle w:val="Copyright"/>
        <w:spacing w:after="0" w:line="240" w:lineRule="auto"/>
        <w:jc w:val="both"/>
        <w:rPr>
          <w:rFonts w:ascii="Arial" w:hAnsi="Arial" w:cs="Arial"/>
        </w:rPr>
        <w:sectPr w:rsidR="00B01FCD" w:rsidRPr="00FB3A86" w:rsidSect="00412475">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lang w:val="en-IN" w:eastAsia="en-IN"/>
        </w:rPr>
        <mc:AlternateContent>
          <mc:Choice Requires="wps">
            <w:drawing>
              <wp:inline distT="0" distB="0" distL="0" distR="0" wp14:anchorId="135E74B7" wp14:editId="29B05890">
                <wp:extent cx="5303520" cy="635"/>
                <wp:effectExtent l="13335" t="10795" r="17145" b="17780"/>
                <wp:docPr id="7377774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74D3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13D2D1"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478B6D5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2314FD" w14:textId="77777777" w:rsidTr="001E44FE">
        <w:tc>
          <w:tcPr>
            <w:tcW w:w="9576" w:type="dxa"/>
            <w:shd w:val="clear" w:color="auto" w:fill="F2F2F2"/>
          </w:tcPr>
          <w:p w14:paraId="4AEFC05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060DA" w:rsidRPr="007060DA">
              <w:rPr>
                <w:rFonts w:ascii="Arial" w:eastAsia="Calibri" w:hAnsi="Arial" w:cs="Arial"/>
                <w:szCs w:val="22"/>
              </w:rPr>
              <w:t>This study aims to analyze the efficiency of the sheep marketing chain in Binjai, map the existing marketing chain structure, and design an optimal partnership model to increase the bargaining power of livestock breeders.</w:t>
            </w:r>
          </w:p>
          <w:p w14:paraId="6AB36402" w14:textId="77777777" w:rsidR="00680498"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060DA" w:rsidRPr="007060DA">
              <w:rPr>
                <w:rFonts w:ascii="Arial" w:eastAsia="Calibri" w:hAnsi="Arial" w:cs="Arial"/>
                <w:szCs w:val="22"/>
              </w:rPr>
              <w:t xml:space="preserve">The study used a mixed-methods survey of 126 respondents: 60 livestock farmers, 23 village collectors, 14 inter-regional traders, 10 regional market traders, and 19 retailers/butchers. </w:t>
            </w:r>
          </w:p>
          <w:p w14:paraId="7F1091B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060DA">
              <w:rPr>
                <w:rFonts w:ascii="Arial" w:eastAsia="Calibri" w:hAnsi="Arial" w:cs="Arial"/>
                <w:szCs w:val="22"/>
              </w:rPr>
              <w:t>Th</w:t>
            </w:r>
            <w:r w:rsidR="007060DA" w:rsidRPr="007060DA">
              <w:rPr>
                <w:rFonts w:ascii="Arial" w:eastAsia="Calibri" w:hAnsi="Arial" w:cs="Arial"/>
                <w:szCs w:val="22"/>
              </w:rPr>
              <w:t>e study was conducted in Binjai City, Indonesia. The research period was carried out for 3 months, from May to July 2025.</w:t>
            </w:r>
          </w:p>
          <w:p w14:paraId="39B31663" w14:textId="77777777" w:rsidR="00604B6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80498" w:rsidRPr="00680498">
              <w:rPr>
                <w:rFonts w:ascii="Arial" w:eastAsia="Calibri" w:hAnsi="Arial" w:cs="Arial"/>
                <w:szCs w:val="22"/>
              </w:rPr>
              <w:t>Data were analyzed using the Marketing Efficiency Index (</w:t>
            </w:r>
            <w:r w:rsidR="003E648A">
              <w:rPr>
                <w:rFonts w:ascii="Arial" w:eastAsia="Calibri" w:hAnsi="Arial" w:cs="Arial"/>
                <w:szCs w:val="22"/>
              </w:rPr>
              <w:t>MEI</w:t>
            </w:r>
            <w:r w:rsidR="00680498" w:rsidRPr="00680498">
              <w:rPr>
                <w:rFonts w:ascii="Arial" w:eastAsia="Calibri" w:hAnsi="Arial" w:cs="Arial"/>
                <w:szCs w:val="22"/>
              </w:rPr>
              <w:t>), Concentration Ratio (CR4), Herfindahl-Hirschman Index (HHI), and Willingness to Participate Index. Primary data were collected through structured questionnaires, in-depth interviews, direct observation, and focus group discussions (FGDs).</w:t>
            </w:r>
          </w:p>
          <w:p w14:paraId="266EA603"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072E2" w:rsidRPr="001072E2">
              <w:rPr>
                <w:rFonts w:ascii="Arial" w:eastAsia="Calibri" w:hAnsi="Arial" w:cs="Arial"/>
                <w:szCs w:val="22"/>
              </w:rPr>
              <w:t>The sheep marketing chain has an IEP of only 42.3%, with farmers receiving 68.5% of the consumer price. The market structure is oligopsony, with CR4 reaching 76.3%. The main inefficiencies are information asymmetry, limited infrastructure, and weak bargaining power of farmers. The Multi-Party Partnership Model with digital integration achieved 73.4% acceptance and is projected to increase the IEP to 61.7% and the farmer's share to 76.2%, providing an additional income of IDR 1.77 million per year.</w:t>
            </w:r>
          </w:p>
          <w:p w14:paraId="7DE396F4"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1072E2">
              <w:rPr>
                <w:rFonts w:ascii="Arial" w:eastAsia="Calibri" w:hAnsi="Arial" w:cs="Arial"/>
                <w:b/>
                <w:bCs/>
                <w:szCs w:val="22"/>
              </w:rPr>
              <w:t xml:space="preserve"> </w:t>
            </w:r>
            <w:r w:rsidR="001072E2" w:rsidRPr="001072E2">
              <w:rPr>
                <w:rFonts w:ascii="Arial" w:eastAsia="Calibri" w:hAnsi="Arial" w:cs="Arial"/>
                <w:szCs w:val="22"/>
              </w:rPr>
              <w:t>This study recommends strengthening digital integration and participatory governance to increase livestock farmers' bargaining power. The findings provide a framework for policymakers to improve livestock market efficiency and equitable value distribution.</w:t>
            </w:r>
          </w:p>
        </w:tc>
      </w:tr>
    </w:tbl>
    <w:p w14:paraId="1FE8FB9D" w14:textId="77777777" w:rsidR="00636EB2" w:rsidRDefault="00636EB2" w:rsidP="00441B6F">
      <w:pPr>
        <w:pStyle w:val="Body"/>
        <w:spacing w:after="0"/>
        <w:rPr>
          <w:rFonts w:ascii="Arial" w:hAnsi="Arial" w:cs="Arial"/>
          <w:i/>
        </w:rPr>
      </w:pPr>
    </w:p>
    <w:p w14:paraId="4809775F" w14:textId="77777777" w:rsidR="00A24E7E" w:rsidRPr="00C00049" w:rsidRDefault="00A24E7E" w:rsidP="00C00049">
      <w:pPr>
        <w:pStyle w:val="Body"/>
        <w:spacing w:after="0"/>
        <w:ind w:left="993" w:hanging="993"/>
      </w:pPr>
      <w:r>
        <w:rPr>
          <w:rFonts w:ascii="Arial" w:hAnsi="Arial" w:cs="Arial"/>
          <w:i/>
        </w:rPr>
        <w:t>Keywords:</w:t>
      </w:r>
      <w:r w:rsidR="00C00049">
        <w:rPr>
          <w:rFonts w:ascii="Arial" w:hAnsi="Arial" w:cs="Arial"/>
          <w:i/>
        </w:rPr>
        <w:t xml:space="preserve"> </w:t>
      </w:r>
      <w:r w:rsidR="003E648A" w:rsidRPr="003E648A">
        <w:rPr>
          <w:rFonts w:ascii="Arial" w:hAnsi="Arial" w:cs="Arial"/>
          <w:i/>
        </w:rPr>
        <w:t xml:space="preserve">marketing efficiency, partnership model, </w:t>
      </w:r>
      <w:r w:rsidR="00C00049" w:rsidRPr="003E648A">
        <w:rPr>
          <w:rFonts w:ascii="Arial" w:hAnsi="Arial" w:cs="Arial"/>
          <w:i/>
        </w:rPr>
        <w:t xml:space="preserve">sheep marketing chain, </w:t>
      </w:r>
      <w:r w:rsidR="003E648A" w:rsidRPr="003E648A">
        <w:rPr>
          <w:rFonts w:ascii="Arial" w:hAnsi="Arial" w:cs="Arial"/>
          <w:i/>
        </w:rPr>
        <w:t>smallholder farmers, sustainable transformation</w:t>
      </w:r>
      <w:r w:rsidR="003E648A">
        <w:rPr>
          <w:rFonts w:ascii="Arial" w:hAnsi="Arial" w:cs="Arial"/>
          <w:i/>
        </w:rPr>
        <w:t xml:space="preserve"> </w:t>
      </w:r>
    </w:p>
    <w:p w14:paraId="2E356056" w14:textId="77777777" w:rsidR="00790ADA" w:rsidRDefault="00790ADA" w:rsidP="00441B6F">
      <w:pPr>
        <w:pStyle w:val="Body"/>
        <w:spacing w:after="0"/>
        <w:rPr>
          <w:rFonts w:ascii="Arial" w:hAnsi="Arial" w:cs="Arial"/>
          <w:i/>
        </w:rPr>
      </w:pPr>
    </w:p>
    <w:p w14:paraId="50BDA180" w14:textId="77777777" w:rsidR="0024282C" w:rsidRDefault="0024282C" w:rsidP="00441B6F">
      <w:pPr>
        <w:pStyle w:val="Body"/>
        <w:spacing w:after="0"/>
        <w:rPr>
          <w:rFonts w:ascii="Arial" w:hAnsi="Arial" w:cs="Arial"/>
          <w:i/>
          <w:sz w:val="18"/>
        </w:rPr>
      </w:pPr>
    </w:p>
    <w:p w14:paraId="15E998AC" w14:textId="77777777" w:rsidR="00505F06" w:rsidRPr="00A24E7E" w:rsidRDefault="00505F06" w:rsidP="00441B6F">
      <w:pPr>
        <w:pStyle w:val="Body"/>
        <w:spacing w:after="0"/>
        <w:rPr>
          <w:rFonts w:ascii="Arial" w:hAnsi="Arial" w:cs="Arial"/>
          <w:i/>
        </w:rPr>
      </w:pPr>
    </w:p>
    <w:p w14:paraId="3D92CAE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37F30F9" w14:textId="77777777" w:rsidR="00790ADA" w:rsidRPr="00FB3A86" w:rsidRDefault="00790ADA" w:rsidP="00441B6F">
      <w:pPr>
        <w:pStyle w:val="AbstHead"/>
        <w:spacing w:after="0"/>
        <w:jc w:val="both"/>
        <w:rPr>
          <w:rFonts w:ascii="Arial" w:hAnsi="Arial" w:cs="Arial"/>
        </w:rPr>
      </w:pPr>
    </w:p>
    <w:p w14:paraId="0186A29E" w14:textId="77777777" w:rsidR="00C00049" w:rsidRPr="00C00049" w:rsidRDefault="00C00049" w:rsidP="00C00049">
      <w:pPr>
        <w:pStyle w:val="Body"/>
        <w:rPr>
          <w:rFonts w:ascii="Arial" w:hAnsi="Arial" w:cs="Arial"/>
        </w:rPr>
      </w:pPr>
      <w:r w:rsidRPr="00C00049">
        <w:rPr>
          <w:rFonts w:ascii="Arial" w:hAnsi="Arial" w:cs="Arial"/>
        </w:rPr>
        <w:t>Indonesia's livestock sector plays a crucial role in national food security and rural livelihoods, with sheep farming a significant component of smallholder farming systems. The country's sheep population has shown steady growth, supported by traditional livestock practices integrated into mixed farming systems. However, the sheep marketing chain faces substantial structural challenges that limit value creation for producers and compromise overall system efficiency.</w:t>
      </w:r>
    </w:p>
    <w:p w14:paraId="251938EE" w14:textId="77777777" w:rsidR="00C00049" w:rsidRPr="00C00049" w:rsidRDefault="00C00049" w:rsidP="00C00049">
      <w:pPr>
        <w:pStyle w:val="Body"/>
        <w:rPr>
          <w:rFonts w:ascii="Arial" w:hAnsi="Arial" w:cs="Arial"/>
        </w:rPr>
      </w:pPr>
      <w:r w:rsidRPr="00C00049">
        <w:rPr>
          <w:rFonts w:ascii="Arial" w:hAnsi="Arial" w:cs="Arial"/>
        </w:rPr>
        <w:t xml:space="preserve">The dominance of small-scale producers presents both opportunities and challenges for the sheep value chain. Approximately 99% of sheep farmers in Indonesia are smallholders with limited economies of scale, averaging 4-6 sheep per household. This fragmentation creates </w:t>
      </w:r>
      <w:r w:rsidRPr="00C00049">
        <w:rPr>
          <w:rFonts w:ascii="Arial" w:hAnsi="Arial" w:cs="Arial"/>
        </w:rPr>
        <w:lastRenderedPageBreak/>
        <w:t>significant barriers to market access and reduces collective bargaining power. Existing marketing structures typically involve multiple intermediaries, from village collectors to inter-regional traders, regional market traders, and retail slaughterers, each extracting margins that reduce the income of primary producers.</w:t>
      </w:r>
    </w:p>
    <w:p w14:paraId="53A9B869" w14:textId="77777777" w:rsidR="00C00049" w:rsidRPr="00C00049" w:rsidRDefault="00C00049" w:rsidP="00C00049">
      <w:pPr>
        <w:pStyle w:val="Body"/>
        <w:rPr>
          <w:rFonts w:ascii="Arial" w:hAnsi="Arial" w:cs="Arial"/>
        </w:rPr>
      </w:pPr>
      <w:r w:rsidRPr="00C00049">
        <w:rPr>
          <w:rFonts w:ascii="Arial" w:hAnsi="Arial" w:cs="Arial"/>
        </w:rPr>
        <w:t>Recent studies have documented various dimensions of marketing inefficiency within livestock systems. Marisa et al. (2023) reported that marketing efficiency across various sheep supply chain schemes in Langkat Regency remains below 50%, indicating substantial room for improvement. Similar patterns have been observed in other agricultural value chains, where information asymmetries, infrastructure constraints, and power imbalances contribute to suboptimal outcomes for smallholder producers.</w:t>
      </w:r>
    </w:p>
    <w:p w14:paraId="31147118" w14:textId="77777777" w:rsidR="00C00049" w:rsidRPr="00C00049" w:rsidRDefault="00C00049" w:rsidP="00C00049">
      <w:pPr>
        <w:pStyle w:val="Body"/>
        <w:rPr>
          <w:rFonts w:ascii="Arial" w:hAnsi="Arial" w:cs="Arial"/>
        </w:rPr>
      </w:pPr>
      <w:r w:rsidRPr="00C00049">
        <w:rPr>
          <w:rFonts w:ascii="Arial" w:hAnsi="Arial" w:cs="Arial"/>
        </w:rPr>
        <w:t>The city of Binjai in North Sumatra provides an interesting case study to examine the potential for transforming sheep marketing. Strategically located between Deli Serdang and Langkat Regencies, with proximity to Medan, the provincial capital, Binjai exhibits characteristics representative of a peri-urban livestock production system. The concentration of sheep farms in the western part of the city, combined with reasonable access to regional markets, creates favorable conditions for developing innovative marketing arrangements.</w:t>
      </w:r>
    </w:p>
    <w:p w14:paraId="784378E3" w14:textId="77777777" w:rsidR="00C00049" w:rsidRPr="00C00049" w:rsidRDefault="00C00049" w:rsidP="00C00049">
      <w:pPr>
        <w:pStyle w:val="Body"/>
        <w:rPr>
          <w:rFonts w:ascii="Arial" w:hAnsi="Arial" w:cs="Arial"/>
        </w:rPr>
      </w:pPr>
      <w:r w:rsidRPr="00C00049">
        <w:rPr>
          <w:rFonts w:ascii="Arial" w:hAnsi="Arial" w:cs="Arial"/>
        </w:rPr>
        <w:t>Partnership models have emerged as a promising mechanism to address coordination failures in agricultural value chains. This concept has evolved from simple contractual arrangements to multi-stakeholder platforms emphasizing shared value creation and inclusive governance. In the livestock sector in particular, niche value chains have demonstrated the potential to transform traditional buyer-supplier relationships into strategic partnerships focused on creating mutual benefits.</w:t>
      </w:r>
    </w:p>
    <w:p w14:paraId="4F818E21" w14:textId="77777777" w:rsidR="00C00049" w:rsidRPr="00C00049" w:rsidRDefault="00C00049" w:rsidP="00C00049">
      <w:pPr>
        <w:pStyle w:val="Body"/>
        <w:rPr>
          <w:rFonts w:ascii="Arial" w:hAnsi="Arial" w:cs="Arial"/>
        </w:rPr>
      </w:pPr>
      <w:r w:rsidRPr="00C00049">
        <w:rPr>
          <w:rFonts w:ascii="Arial" w:hAnsi="Arial" w:cs="Arial"/>
        </w:rPr>
        <w:t>Digital transformation presents new opportunities to improve marketing efficiency and partnership effectiveness. The Asia-Pacific digital supply chain market is projected to grow at a compound annual growth rate of 14.6% through 2027, with digital technologies enabling real-time data collection and analysis, increased efficiency, cost reduction, and improved decision-making through predictive and preventive systems. However, key challenges include a lack of coordination among value chain actors (43%) and limited capacity development (29%).</w:t>
      </w:r>
    </w:p>
    <w:p w14:paraId="383676F5" w14:textId="77777777" w:rsidR="00B01FCD" w:rsidRDefault="00C00049" w:rsidP="007237AD">
      <w:pPr>
        <w:pStyle w:val="Body"/>
        <w:rPr>
          <w:rFonts w:ascii="Arial" w:hAnsi="Arial" w:cs="Arial"/>
        </w:rPr>
      </w:pPr>
      <w:r w:rsidRPr="00C00049">
        <w:rPr>
          <w:rFonts w:ascii="Arial" w:hAnsi="Arial" w:cs="Arial"/>
        </w:rPr>
        <w:t xml:space="preserve">Despite substantial research on livestock value chains, several gaps remain. Most studies focus on production and reproduction aspects rather than comprehensive marketing chain transformation using a systems approach. Research on partnership models in the context of Indonesian smallholder farmers remains limited, despite 99% of sheep farms being managed by smallholder farmers. Studies analyzing sheep marketing chain transformation using a spatially specific approach in developing regions like North Sumatra are scarce. This research addresses these gaps by developing an integrated framework that combines efficiency analysis, partnership model development, and sustainable value creation contextualized specifically for smallholder sheep farmers in </w:t>
      </w:r>
      <w:proofErr w:type="spellStart"/>
      <w:r w:rsidRPr="00C00049">
        <w:rPr>
          <w:rFonts w:ascii="Arial" w:hAnsi="Arial" w:cs="Arial"/>
        </w:rPr>
        <w:t>Binjai</w:t>
      </w:r>
      <w:proofErr w:type="spellEnd"/>
      <w:r w:rsidRPr="00C00049">
        <w:rPr>
          <w:rFonts w:ascii="Arial" w:hAnsi="Arial" w:cs="Arial"/>
        </w:rPr>
        <w:t>.</w:t>
      </w:r>
    </w:p>
    <w:p w14:paraId="1C7E6F38" w14:textId="77777777" w:rsidR="007237AD" w:rsidRDefault="007237AD" w:rsidP="007237AD">
      <w:pPr>
        <w:pStyle w:val="Body"/>
        <w:rPr>
          <w:rFonts w:ascii="Arial" w:hAnsi="Arial" w:cs="Arial"/>
        </w:rPr>
      </w:pPr>
      <w:r w:rsidRPr="007237AD">
        <w:rPr>
          <w:rFonts w:ascii="Arial" w:hAnsi="Arial" w:cs="Arial"/>
        </w:rPr>
        <w:t xml:space="preserve">Various studies indicate that livestock marketing efficiency in Indonesia remains low and requires systemic transformation. </w:t>
      </w:r>
      <w:proofErr w:type="spellStart"/>
      <w:r w:rsidRPr="007237AD">
        <w:rPr>
          <w:rFonts w:ascii="Arial" w:hAnsi="Arial" w:cs="Arial"/>
        </w:rPr>
        <w:t>Budisatria</w:t>
      </w:r>
      <w:proofErr w:type="spellEnd"/>
      <w:r w:rsidRPr="007237AD">
        <w:rPr>
          <w:rFonts w:ascii="Arial" w:hAnsi="Arial" w:cs="Arial"/>
        </w:rPr>
        <w:t xml:space="preserve"> et al. (2010) identified that Indonesian sheep farming is dominated by small-scale farmers with limited ownership, creating challenges in achieving economies of scale. </w:t>
      </w:r>
      <w:proofErr w:type="spellStart"/>
      <w:r w:rsidRPr="007237AD">
        <w:rPr>
          <w:rFonts w:ascii="Arial" w:hAnsi="Arial" w:cs="Arial"/>
        </w:rPr>
        <w:t>Soedjana</w:t>
      </w:r>
      <w:proofErr w:type="spellEnd"/>
      <w:r w:rsidRPr="007237AD">
        <w:rPr>
          <w:rFonts w:ascii="Arial" w:hAnsi="Arial" w:cs="Arial"/>
        </w:rPr>
        <w:t xml:space="preserve"> (1993) found that fragmented production and limited market access hamper the productivity of smallholder farming systems in Java. Marisa et al. (2023) reported that sheep marketing efficiency in </w:t>
      </w:r>
      <w:proofErr w:type="spellStart"/>
      <w:r w:rsidRPr="007237AD">
        <w:rPr>
          <w:rFonts w:ascii="Arial" w:hAnsi="Arial" w:cs="Arial"/>
        </w:rPr>
        <w:t>Langkat</w:t>
      </w:r>
      <w:proofErr w:type="spellEnd"/>
      <w:r w:rsidRPr="007237AD">
        <w:rPr>
          <w:rFonts w:ascii="Arial" w:hAnsi="Arial" w:cs="Arial"/>
        </w:rPr>
        <w:t xml:space="preserve"> Regency remains below 50% across various supply chain schemes, indicating significant structural inefficiencies. In this context, partnership models are crucial to address coordination failures. </w:t>
      </w:r>
      <w:proofErr w:type="spellStart"/>
      <w:r w:rsidRPr="007237AD">
        <w:rPr>
          <w:rFonts w:ascii="Arial" w:hAnsi="Arial" w:cs="Arial"/>
        </w:rPr>
        <w:t>Kilelu</w:t>
      </w:r>
      <w:proofErr w:type="spellEnd"/>
      <w:r w:rsidRPr="007237AD">
        <w:rPr>
          <w:rFonts w:ascii="Arial" w:hAnsi="Arial" w:cs="Arial"/>
        </w:rPr>
        <w:t xml:space="preserve"> et al. (2013) demonstrated that multi-stakeholder innovation platforms can facilitate the </w:t>
      </w:r>
      <w:r w:rsidRPr="007237AD">
        <w:rPr>
          <w:rFonts w:ascii="Arial" w:hAnsi="Arial" w:cs="Arial"/>
        </w:rPr>
        <w:lastRenderedPageBreak/>
        <w:t xml:space="preserve">co-evolution of innovation and collaborative learning within livestock systems. The crop-livestock system integration described by Devendra (2002) offers diversification benefits but requires better coordination. </w:t>
      </w:r>
      <w:proofErr w:type="spellStart"/>
      <w:r w:rsidRPr="007237AD">
        <w:rPr>
          <w:rFonts w:ascii="Arial" w:hAnsi="Arial" w:cs="Arial"/>
        </w:rPr>
        <w:t>Sitepu</w:t>
      </w:r>
      <w:proofErr w:type="spellEnd"/>
      <w:r w:rsidRPr="007237AD">
        <w:rPr>
          <w:rFonts w:ascii="Arial" w:hAnsi="Arial" w:cs="Arial"/>
        </w:rPr>
        <w:t xml:space="preserve"> and Marisa (2019, 2020) demonstrated that increased farmer incomes can be achieved through improved management and more efficient marketing systems. While these studies provide important insights, gaps remain in terms of integrating marketing efficiency analysis with the design of digital partnership models specific to the context of small-scale sheep farmers in peri-urban areas such as </w:t>
      </w:r>
      <w:proofErr w:type="spellStart"/>
      <w:r w:rsidRPr="007237AD">
        <w:rPr>
          <w:rFonts w:ascii="Arial" w:hAnsi="Arial" w:cs="Arial"/>
        </w:rPr>
        <w:t>Binjai</w:t>
      </w:r>
      <w:proofErr w:type="spellEnd"/>
      <w:r w:rsidRPr="007237AD">
        <w:rPr>
          <w:rFonts w:ascii="Arial" w:hAnsi="Arial" w:cs="Arial"/>
        </w:rPr>
        <w:t>.</w:t>
      </w:r>
    </w:p>
    <w:p w14:paraId="397D857F" w14:textId="77777777" w:rsidR="00790ADA" w:rsidRPr="00FB3A86" w:rsidRDefault="00790ADA" w:rsidP="00441B6F">
      <w:pPr>
        <w:pStyle w:val="Body"/>
        <w:spacing w:after="0"/>
        <w:rPr>
          <w:rFonts w:ascii="Arial" w:hAnsi="Arial" w:cs="Arial"/>
        </w:rPr>
      </w:pPr>
    </w:p>
    <w:p w14:paraId="1F771DE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7C3B6D5" w14:textId="77777777" w:rsidR="00790ADA" w:rsidRPr="00FB3A86" w:rsidRDefault="00790ADA" w:rsidP="00441B6F">
      <w:pPr>
        <w:pStyle w:val="AbstHead"/>
        <w:spacing w:after="0"/>
        <w:jc w:val="both"/>
        <w:rPr>
          <w:rFonts w:ascii="Arial" w:hAnsi="Arial" w:cs="Arial"/>
        </w:rPr>
      </w:pPr>
    </w:p>
    <w:p w14:paraId="6A49E9E2"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2.1 Research Design and Location</w:t>
      </w:r>
    </w:p>
    <w:p w14:paraId="309E8182" w14:textId="77777777" w:rsidR="00F70E05" w:rsidRDefault="00F70E05" w:rsidP="00F70E05">
      <w:pPr>
        <w:pStyle w:val="Body"/>
        <w:rPr>
          <w:rFonts w:ascii="Arial" w:eastAsia="Calibri" w:hAnsi="Arial" w:cs="Arial"/>
          <w:szCs w:val="22"/>
        </w:rPr>
      </w:pPr>
      <w:r w:rsidRPr="00F70E05">
        <w:rPr>
          <w:rFonts w:ascii="Arial" w:eastAsia="Calibri" w:hAnsi="Arial" w:cs="Arial"/>
          <w:szCs w:val="22"/>
        </w:rPr>
        <w:t>This study employed a mixed-methods approach, combining quantitative and qualitative methods, to gain a comprehensive understanding of the phenomenon under study. The research was descriptive-analytical, aiming to describe the existing condition of the sheep marketing chain and analyze the potential for transformation through a partnership model. The study was conducted in Binjai City, North Sumatra Province, Indonesia, selected based on several strategic considerations, including representative farm characteristics for the North Sumatra region, a significant sheep population dominated by small-scale farmers, and good access to regional markets due to its proximity to Medan, the provincial capital.</w:t>
      </w:r>
    </w:p>
    <w:p w14:paraId="4BDB1C1C"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The study was conducted over three months, from May to July 2025, encompassing both normal and peak demand periods (approaching Eid al-Adha) to gain a comprehensive understanding of the seasonal dynamics in the sheep marketing chain. This period was selected to capture significant seasonal variability in the Indonesian sheep marketing system.</w:t>
      </w:r>
    </w:p>
    <w:p w14:paraId="2FD24DBE"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2.2 Population and Sample</w:t>
      </w:r>
    </w:p>
    <w:p w14:paraId="31FD3742" w14:textId="77777777" w:rsidR="00F70E05" w:rsidRDefault="00F70E05" w:rsidP="00F70E05">
      <w:pPr>
        <w:pStyle w:val="Body"/>
        <w:rPr>
          <w:rFonts w:ascii="Arial" w:eastAsia="Calibri" w:hAnsi="Arial" w:cs="Arial"/>
          <w:szCs w:val="22"/>
        </w:rPr>
      </w:pPr>
      <w:r w:rsidRPr="00F70E05">
        <w:rPr>
          <w:rFonts w:ascii="Arial" w:eastAsia="Calibri" w:hAnsi="Arial" w:cs="Arial"/>
          <w:szCs w:val="22"/>
        </w:rPr>
        <w:t>The study population consisted of all actors involved in the sheep marketing chain in Binjai City and its marketing area. The population was divided into several strata based on their level in the marketing chain: sheep farmers, village collectors, inter-regional traders, regional market traders, and retailers/slaughterers. The sampling technique used was multistage stratified random sampling with three stages: purposive selection of sampling areas based on sheep farm concentration, stratification based on marketing chain levels, and random selection of samples from each stratum.</w:t>
      </w:r>
    </w:p>
    <w:p w14:paraId="5A3DB285"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The sample size was determined using the Slovin formula with a 95% confidence level and a 5% margin of error. The total sample consisted of 126 respondents: 60 livestock farmers, 23 village collectors, 14 inter-regional traders, 10 regional market traders, and 19 retailers/slaughterers. For focus group discussions (FGDs), 8-12 participants were selected per session, with a total of three FGD sessions representing various stakeholders.</w:t>
      </w:r>
    </w:p>
    <w:p w14:paraId="0BF68677"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2.3 Data Collection</w:t>
      </w:r>
    </w:p>
    <w:p w14:paraId="0B913729"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Data collection was conducted using various techniques to ensure validity and reliability. Primary data were collected through a structured questionnaire survey administered to all actors in the marketing chain, in-depth interviews with key informants from each marketing level, direct observation at key locations including livestock pens, collection points, livestock markets, and slaughterhouses, and focus group discussions involving representatives from various actors. Secondary data was obtained from the Central Statistics Agency, the North Sumatra Provincial Livestock and Animal Health Service, previous research reports, scientific journals, and related publications on sheep farming in Indonesia.</w:t>
      </w:r>
    </w:p>
    <w:p w14:paraId="5CFDCEA6"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lastRenderedPageBreak/>
        <w:t>The questionnaire was designed using a Likert scale to measure respondents' perceptions and attitudes towards various aspects of marketing and partnerships. Interviews used a semi-structured guide to allow for in-depth exploration of specific issues. All data collection instruments were piloted and validated before field implementation.</w:t>
      </w:r>
    </w:p>
    <w:p w14:paraId="0FED9D56"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2.4 Data Analysis</w:t>
      </w:r>
    </w:p>
    <w:p w14:paraId="29B9965B"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Marketing efficiency was analyzed using several indicators. The Marketing Efficiency Index (</w:t>
      </w:r>
      <w:r>
        <w:rPr>
          <w:rFonts w:ascii="Arial" w:eastAsia="Calibri" w:hAnsi="Arial" w:cs="Arial"/>
          <w:szCs w:val="22"/>
        </w:rPr>
        <w:t>MEI</w:t>
      </w:r>
      <w:r w:rsidRPr="00F70E05">
        <w:rPr>
          <w:rFonts w:ascii="Arial" w:eastAsia="Calibri" w:hAnsi="Arial" w:cs="Arial"/>
          <w:szCs w:val="22"/>
        </w:rPr>
        <w:t xml:space="preserve">) was calculated as: </w:t>
      </w:r>
      <w:r>
        <w:rPr>
          <w:rFonts w:ascii="Arial" w:eastAsia="Calibri" w:hAnsi="Arial" w:cs="Arial"/>
          <w:szCs w:val="22"/>
        </w:rPr>
        <w:t>MEI</w:t>
      </w:r>
      <w:r w:rsidRPr="00F70E05">
        <w:rPr>
          <w:rFonts w:ascii="Arial" w:eastAsia="Calibri" w:hAnsi="Arial" w:cs="Arial"/>
          <w:szCs w:val="22"/>
        </w:rPr>
        <w:t xml:space="preserve"> = (Output Value / Total Marketing Cost) × 100%. </w:t>
      </w:r>
      <w:r w:rsidR="00E130AB" w:rsidRPr="00E130AB">
        <w:rPr>
          <w:rFonts w:ascii="Arial" w:eastAsia="Calibri" w:hAnsi="Arial" w:cs="Arial"/>
          <w:szCs w:val="22"/>
        </w:rPr>
        <w:t xml:space="preserve">A minimum efficiency standard of 50% is set as an acceptable threshold, with values ​​below this threshold indicating that marketing costs are too high relative to output value. This threshold is based on the principle that marketing costs should not exceed the added value created through the marketing process. </w:t>
      </w:r>
      <w:r w:rsidRPr="00F70E05">
        <w:rPr>
          <w:rFonts w:ascii="Arial" w:eastAsia="Calibri" w:hAnsi="Arial" w:cs="Arial"/>
          <w:szCs w:val="22"/>
        </w:rPr>
        <w:t>The marketing margin was calculated as the difference between consumer and producer prices, with the farmer's share representing the proportion of consumer prices received by farmers. Price dispersion analysis examined distribution across various marketing levels.</w:t>
      </w:r>
    </w:p>
    <w:p w14:paraId="4FC9D7AE" w14:textId="77777777" w:rsidR="00F70E05" w:rsidRDefault="00F70E05" w:rsidP="00F70E05">
      <w:pPr>
        <w:pStyle w:val="Body"/>
        <w:rPr>
          <w:rFonts w:ascii="Arial" w:eastAsia="Calibri" w:hAnsi="Arial" w:cs="Arial"/>
          <w:szCs w:val="22"/>
        </w:rPr>
      </w:pPr>
      <w:r w:rsidRPr="00F70E05">
        <w:rPr>
          <w:rFonts w:ascii="Arial" w:eastAsia="Calibri" w:hAnsi="Arial" w:cs="Arial"/>
          <w:szCs w:val="22"/>
        </w:rPr>
        <w:t>The market structure analysis used a descriptive approach, calculating the Concentration Ratio (CR4) as the market share of the four largest players relative to the total market share, and the Herfindahl-Hirschman Index (HHI) as the sum of the squares of market shares. The partnership model analysis used a Likert scale (1-5) to measure perceptions and preferences, with the Willingness to Participate Index calculated as: (Sum of Respondents' Scores / Maximum Score) × 100%.</w:t>
      </w:r>
    </w:p>
    <w:p w14:paraId="0D641803" w14:textId="77777777" w:rsidR="00E130AB" w:rsidRPr="00E130AB" w:rsidRDefault="00E130AB" w:rsidP="00E130AB">
      <w:pPr>
        <w:pStyle w:val="Body"/>
        <w:rPr>
          <w:rFonts w:ascii="Arial" w:eastAsia="Calibri" w:hAnsi="Arial" w:cs="Arial"/>
          <w:szCs w:val="22"/>
        </w:rPr>
      </w:pPr>
      <w:r w:rsidRPr="00E130AB">
        <w:rPr>
          <w:rFonts w:ascii="Arial" w:eastAsia="Calibri" w:hAnsi="Arial" w:cs="Arial"/>
          <w:szCs w:val="22"/>
        </w:rPr>
        <w:t>Market structure analysis uses a descriptive approach. The Concentration Ratio (CR4) is calculated using the formula:</w:t>
      </w:r>
    </w:p>
    <w:p w14:paraId="53F9F0D9" w14:textId="77777777" w:rsidR="00E130AB" w:rsidRPr="00E130AB" w:rsidRDefault="00E130AB" w:rsidP="00E130AB">
      <w:pPr>
        <w:pStyle w:val="Body"/>
        <w:rPr>
          <w:rFonts w:ascii="Arial" w:eastAsia="Calibri" w:hAnsi="Arial" w:cs="Arial"/>
          <w:szCs w:val="22"/>
        </w:rPr>
      </w:pPr>
      <w:r w:rsidRPr="00E130AB">
        <w:rPr>
          <w:rFonts w:ascii="Arial" w:eastAsia="Calibri" w:hAnsi="Arial" w:cs="Arial"/>
          <w:szCs w:val="22"/>
        </w:rPr>
        <w:t>CR4 = (S</w:t>
      </w:r>
      <w:r w:rsidRPr="00E130AB">
        <w:rPr>
          <w:rFonts w:ascii="Cambria Math" w:eastAsia="Calibri" w:hAnsi="Cambria Math" w:cs="Cambria Math"/>
          <w:szCs w:val="22"/>
        </w:rPr>
        <w:t>₁</w:t>
      </w:r>
      <w:r w:rsidRPr="00E130AB">
        <w:rPr>
          <w:rFonts w:ascii="Arial" w:eastAsia="Calibri" w:hAnsi="Arial" w:cs="Arial"/>
          <w:szCs w:val="22"/>
        </w:rPr>
        <w:t xml:space="preserve"> + S</w:t>
      </w:r>
      <w:r w:rsidRPr="00E130AB">
        <w:rPr>
          <w:rFonts w:ascii="Cambria Math" w:eastAsia="Calibri" w:hAnsi="Cambria Math" w:cs="Cambria Math"/>
          <w:szCs w:val="22"/>
        </w:rPr>
        <w:t>₂</w:t>
      </w:r>
      <w:r w:rsidRPr="00E130AB">
        <w:rPr>
          <w:rFonts w:ascii="Arial" w:eastAsia="Calibri" w:hAnsi="Arial" w:cs="Arial"/>
          <w:szCs w:val="22"/>
        </w:rPr>
        <w:t xml:space="preserve"> + S</w:t>
      </w:r>
      <w:r w:rsidRPr="00E130AB">
        <w:rPr>
          <w:rFonts w:ascii="Cambria Math" w:eastAsia="Calibri" w:hAnsi="Cambria Math" w:cs="Cambria Math"/>
          <w:szCs w:val="22"/>
        </w:rPr>
        <w:t>₃</w:t>
      </w:r>
      <w:r w:rsidRPr="00E130AB">
        <w:rPr>
          <w:rFonts w:ascii="Arial" w:eastAsia="Calibri" w:hAnsi="Arial" w:cs="Arial"/>
          <w:szCs w:val="22"/>
        </w:rPr>
        <w:t xml:space="preserve"> + S</w:t>
      </w:r>
      <w:r w:rsidRPr="00E130AB">
        <w:rPr>
          <w:rFonts w:ascii="Cambria Math" w:eastAsia="Calibri" w:hAnsi="Cambria Math" w:cs="Cambria Math"/>
          <w:szCs w:val="22"/>
        </w:rPr>
        <w:t>₄</w:t>
      </w:r>
      <w:r w:rsidRPr="00E130AB">
        <w:rPr>
          <w:rFonts w:ascii="Arial" w:eastAsia="Calibri" w:hAnsi="Arial" w:cs="Arial"/>
          <w:szCs w:val="22"/>
        </w:rPr>
        <w:t>) × 100%</w:t>
      </w:r>
    </w:p>
    <w:p w14:paraId="369992CB" w14:textId="77777777" w:rsidR="00E130AB" w:rsidRPr="00E130AB" w:rsidRDefault="00E130AB" w:rsidP="00E130AB">
      <w:pPr>
        <w:pStyle w:val="Body"/>
        <w:rPr>
          <w:rFonts w:ascii="Arial" w:eastAsia="Calibri" w:hAnsi="Arial" w:cs="Arial"/>
          <w:szCs w:val="22"/>
        </w:rPr>
      </w:pPr>
      <w:r w:rsidRPr="00E130AB">
        <w:rPr>
          <w:rFonts w:ascii="Arial" w:eastAsia="Calibri" w:hAnsi="Arial" w:cs="Arial"/>
          <w:szCs w:val="22"/>
        </w:rPr>
        <w:t>S</w:t>
      </w:r>
      <w:r w:rsidRPr="00E130AB">
        <w:rPr>
          <w:rFonts w:ascii="Cambria Math" w:eastAsia="Calibri" w:hAnsi="Cambria Math" w:cs="Cambria Math"/>
          <w:szCs w:val="22"/>
        </w:rPr>
        <w:t>₁</w:t>
      </w:r>
      <w:r w:rsidRPr="00E130AB">
        <w:rPr>
          <w:rFonts w:ascii="Arial" w:eastAsia="Calibri" w:hAnsi="Arial" w:cs="Arial"/>
          <w:szCs w:val="22"/>
        </w:rPr>
        <w:t>, S</w:t>
      </w:r>
      <w:r w:rsidRPr="00E130AB">
        <w:rPr>
          <w:rFonts w:ascii="Cambria Math" w:eastAsia="Calibri" w:hAnsi="Cambria Math" w:cs="Cambria Math"/>
          <w:szCs w:val="22"/>
        </w:rPr>
        <w:t>₂</w:t>
      </w:r>
      <w:r w:rsidRPr="00E130AB">
        <w:rPr>
          <w:rFonts w:ascii="Arial" w:eastAsia="Calibri" w:hAnsi="Arial" w:cs="Arial"/>
          <w:szCs w:val="22"/>
        </w:rPr>
        <w:t>, S</w:t>
      </w:r>
      <w:r w:rsidRPr="00E130AB">
        <w:rPr>
          <w:rFonts w:ascii="Cambria Math" w:eastAsia="Calibri" w:hAnsi="Cambria Math" w:cs="Cambria Math"/>
          <w:szCs w:val="22"/>
        </w:rPr>
        <w:t>₃</w:t>
      </w:r>
      <w:r w:rsidRPr="00E130AB">
        <w:rPr>
          <w:rFonts w:ascii="Arial" w:eastAsia="Calibri" w:hAnsi="Arial" w:cs="Arial"/>
          <w:szCs w:val="22"/>
        </w:rPr>
        <w:t>, and S</w:t>
      </w:r>
      <w:r w:rsidRPr="00E130AB">
        <w:rPr>
          <w:rFonts w:ascii="Cambria Math" w:eastAsia="Calibri" w:hAnsi="Cambria Math" w:cs="Cambria Math"/>
          <w:szCs w:val="22"/>
        </w:rPr>
        <w:t>₄</w:t>
      </w:r>
      <w:r w:rsidRPr="00E130AB">
        <w:rPr>
          <w:rFonts w:ascii="Arial" w:eastAsia="Calibri" w:hAnsi="Arial" w:cs="Arial"/>
          <w:szCs w:val="22"/>
        </w:rPr>
        <w:t xml:space="preserve"> represent the market shares of the four largest traders. The Herfindahl-Hirschman Index (HHI) is calculated as:</w:t>
      </w:r>
    </w:p>
    <w:p w14:paraId="3CA1470B" w14:textId="77777777" w:rsidR="00E130AB" w:rsidRPr="00E130AB" w:rsidRDefault="00E130AB" w:rsidP="00E130AB">
      <w:pPr>
        <w:pStyle w:val="Body"/>
        <w:rPr>
          <w:rFonts w:ascii="Arial" w:eastAsia="Calibri" w:hAnsi="Arial" w:cs="Arial"/>
          <w:szCs w:val="22"/>
        </w:rPr>
      </w:pPr>
      <w:r w:rsidRPr="00E130AB">
        <w:rPr>
          <w:rFonts w:ascii="Arial" w:eastAsia="Calibri" w:hAnsi="Arial" w:cs="Arial"/>
          <w:szCs w:val="22"/>
        </w:rPr>
        <w:t>HHI = Σᵢ</w:t>
      </w:r>
      <w:r w:rsidRPr="00E130AB">
        <w:rPr>
          <w:rFonts w:ascii="Cambria Math" w:eastAsia="Calibri" w:hAnsi="Cambria Math" w:cs="Cambria Math"/>
          <w:szCs w:val="22"/>
        </w:rPr>
        <w:t>₌₁</w:t>
      </w:r>
      <w:r w:rsidRPr="00E130AB">
        <w:rPr>
          <w:rFonts w:ascii="Arial" w:eastAsia="Calibri" w:hAnsi="Arial" w:cs="Arial"/>
          <w:szCs w:val="22"/>
        </w:rPr>
        <w:t>ⁿ (Sᵢ)²</w:t>
      </w:r>
    </w:p>
    <w:p w14:paraId="122F4DE9" w14:textId="77777777" w:rsidR="00E130AB" w:rsidRPr="00F70E05" w:rsidRDefault="00E130AB" w:rsidP="00E130AB">
      <w:pPr>
        <w:pStyle w:val="Body"/>
        <w:rPr>
          <w:rFonts w:ascii="Arial" w:eastAsia="Calibri" w:hAnsi="Arial" w:cs="Arial"/>
          <w:szCs w:val="22"/>
        </w:rPr>
      </w:pPr>
      <w:r w:rsidRPr="00E130AB">
        <w:rPr>
          <w:rFonts w:ascii="Arial" w:eastAsia="Calibri" w:hAnsi="Arial" w:cs="Arial"/>
          <w:szCs w:val="22"/>
        </w:rPr>
        <w:t xml:space="preserve">Sᵢ is the market share of the </w:t>
      </w:r>
      <w:proofErr w:type="spellStart"/>
      <w:r w:rsidRPr="00E130AB">
        <w:rPr>
          <w:rFonts w:ascii="Arial" w:eastAsia="Calibri" w:hAnsi="Arial" w:cs="Arial"/>
          <w:szCs w:val="22"/>
        </w:rPr>
        <w:t>i-th</w:t>
      </w:r>
      <w:proofErr w:type="spellEnd"/>
      <w:r w:rsidRPr="00E130AB">
        <w:rPr>
          <w:rFonts w:ascii="Arial" w:eastAsia="Calibri" w:hAnsi="Arial" w:cs="Arial"/>
          <w:szCs w:val="22"/>
        </w:rPr>
        <w:t xml:space="preserve"> trader (in percentage), and n is the total number of traders. HHI values ​​range from 0 (perfect competition) to 10,000 (pure monopoly), with values ​​&lt;1,500 indicating a competitive market, 1,500-2,500 indicating moderate concentration, and &gt;2,500 indicating high concentration.</w:t>
      </w:r>
    </w:p>
    <w:p w14:paraId="3BCCA01D" w14:textId="77777777" w:rsidR="00AA74E0" w:rsidRDefault="00F70E05" w:rsidP="00F70E05">
      <w:pPr>
        <w:pStyle w:val="Body"/>
        <w:spacing w:after="0"/>
        <w:rPr>
          <w:rFonts w:ascii="Arial" w:hAnsi="Arial" w:cs="Arial"/>
        </w:rPr>
      </w:pPr>
      <w:r w:rsidRPr="00F70E05">
        <w:rPr>
          <w:rFonts w:ascii="Arial" w:eastAsia="Calibri" w:hAnsi="Arial" w:cs="Arial"/>
          <w:szCs w:val="22"/>
        </w:rPr>
        <w:t>Qualitative data from interviews and focus group discussions (FGDs) were analyzed thematically to understand the dynamics and relationships between actors. Triangulation was used to validate findings across multiple data sources and methods.</w:t>
      </w:r>
      <w:r w:rsidR="00AA74E0" w:rsidRPr="00FB3A86">
        <w:rPr>
          <w:rFonts w:ascii="Arial" w:hAnsi="Arial" w:cs="Arial"/>
        </w:rPr>
        <w:t xml:space="preserve"> </w:t>
      </w:r>
    </w:p>
    <w:p w14:paraId="3427426A" w14:textId="77777777" w:rsidR="00790ADA" w:rsidRDefault="00790ADA" w:rsidP="00441B6F">
      <w:pPr>
        <w:pStyle w:val="Body"/>
        <w:spacing w:after="0"/>
        <w:rPr>
          <w:rFonts w:ascii="Arial" w:hAnsi="Arial" w:cs="Arial"/>
        </w:rPr>
      </w:pPr>
    </w:p>
    <w:p w14:paraId="612BBA17" w14:textId="77777777" w:rsidR="00CD54E9" w:rsidRPr="00FB3A86" w:rsidRDefault="00CD54E9" w:rsidP="00441B6F">
      <w:pPr>
        <w:pStyle w:val="Body"/>
        <w:spacing w:after="0"/>
        <w:rPr>
          <w:rFonts w:ascii="Arial" w:hAnsi="Arial" w:cs="Arial"/>
        </w:rPr>
      </w:pPr>
    </w:p>
    <w:p w14:paraId="658EFF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EE1C49" w14:textId="77777777" w:rsidR="00790ADA" w:rsidRPr="00FB3A86" w:rsidRDefault="00790ADA" w:rsidP="00441B6F">
      <w:pPr>
        <w:pStyle w:val="Head1"/>
        <w:spacing w:after="0"/>
        <w:jc w:val="both"/>
        <w:rPr>
          <w:rFonts w:ascii="Arial" w:hAnsi="Arial" w:cs="Arial"/>
        </w:rPr>
      </w:pPr>
    </w:p>
    <w:p w14:paraId="7EBFFD79" w14:textId="77777777" w:rsidR="00D5031D" w:rsidRPr="009640DC" w:rsidRDefault="00D5031D" w:rsidP="00D5031D">
      <w:pPr>
        <w:pStyle w:val="Body"/>
        <w:rPr>
          <w:rFonts w:ascii="Arial" w:hAnsi="Arial" w:cs="Arial"/>
          <w:b/>
          <w:bCs/>
          <w:sz w:val="22"/>
          <w:szCs w:val="22"/>
        </w:rPr>
      </w:pPr>
      <w:r w:rsidRPr="009640DC">
        <w:rPr>
          <w:rFonts w:ascii="Arial" w:hAnsi="Arial" w:cs="Arial"/>
          <w:b/>
          <w:bCs/>
          <w:sz w:val="22"/>
          <w:szCs w:val="22"/>
        </w:rPr>
        <w:t>3.1 Characteristics of Marketing Chain Actors</w:t>
      </w:r>
    </w:p>
    <w:p w14:paraId="266C0CCF" w14:textId="77777777" w:rsidR="009640DC" w:rsidRPr="009640DC" w:rsidRDefault="00D5031D" w:rsidP="009640DC">
      <w:pPr>
        <w:pStyle w:val="Body"/>
        <w:rPr>
          <w:rFonts w:ascii="Arial" w:hAnsi="Arial" w:cs="Arial"/>
        </w:rPr>
      </w:pPr>
      <w:r w:rsidRPr="00D5031D">
        <w:rPr>
          <w:rFonts w:ascii="Arial" w:hAnsi="Arial" w:cs="Arial"/>
        </w:rPr>
        <w:t xml:space="preserve">The sheep marketing chain in Binjai involves five levels of key actors with diverse characteristics. Of the 126 respondents interviewed, 60 (47.6%) were sheep farmers, 23 (18.3%) were village collectors, 14 (11.1%) were inter-regional traders, 10 (7.9%) were regional market traders, and 19 (15.1%) were retailers/slaughterers. The characteristics of the farmers indicate that 85% were small-scale, with an average of 4.2 sheep per household, </w:t>
      </w:r>
      <w:r w:rsidRPr="00D5031D">
        <w:rPr>
          <w:rFonts w:ascii="Arial" w:hAnsi="Arial" w:cs="Arial"/>
        </w:rPr>
        <w:lastRenderedPageBreak/>
        <w:t>consistent with the findings of Budisatria et al. (2010), who reported a predominance of small-scale farmers with 4-6 sheep. The average age of farmers was 48.3 years, with 12.6 years of livestock farming experience. Approximately 78% of farmers integrated sheep farming with other agricultural enterprises in a mixed farming system, confirming traditional Indonesian livestock farming patterns.</w:t>
      </w:r>
    </w:p>
    <w:p w14:paraId="1A3432CC" w14:textId="77777777" w:rsidR="009640DC" w:rsidRDefault="009640DC" w:rsidP="009640DC">
      <w:pPr>
        <w:spacing w:before="120" w:after="60"/>
        <w:jc w:val="center"/>
      </w:pPr>
      <w:r>
        <w:rPr>
          <w:b/>
          <w:bCs/>
        </w:rPr>
        <w:t>Table 1. Characteristics of Sheep Marketing Chain Actors in Binjai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1866"/>
        <w:gridCol w:w="1374"/>
        <w:gridCol w:w="1181"/>
        <w:gridCol w:w="1293"/>
        <w:gridCol w:w="1253"/>
        <w:gridCol w:w="1441"/>
      </w:tblGrid>
      <w:tr w:rsidR="00ED2086" w14:paraId="7CB4CDAE" w14:textId="77777777">
        <w:trPr>
          <w:tblHeader/>
        </w:trPr>
        <w:tc>
          <w:tcPr>
            <w:tcW w:w="2100" w:type="dxa"/>
            <w:shd w:val="clear" w:color="auto" w:fill="D5E8F0"/>
          </w:tcPr>
          <w:p w14:paraId="5F8D8E87" w14:textId="77777777" w:rsidR="009640DC" w:rsidRDefault="009640DC">
            <w:pPr>
              <w:jc w:val="center"/>
            </w:pPr>
            <w:r>
              <w:rPr>
                <w:b/>
                <w:bCs/>
                <w:sz w:val="18"/>
                <w:szCs w:val="18"/>
              </w:rPr>
              <w:t>Actor Level</w:t>
            </w:r>
          </w:p>
        </w:tc>
        <w:tc>
          <w:tcPr>
            <w:tcW w:w="1400" w:type="dxa"/>
            <w:shd w:val="clear" w:color="auto" w:fill="D5E8F0"/>
          </w:tcPr>
          <w:p w14:paraId="54A1C9C0" w14:textId="77777777" w:rsidR="009640DC" w:rsidRDefault="009640DC">
            <w:pPr>
              <w:jc w:val="center"/>
            </w:pPr>
            <w:r>
              <w:rPr>
                <w:b/>
                <w:bCs/>
                <w:sz w:val="18"/>
                <w:szCs w:val="18"/>
              </w:rPr>
              <w:t>Number of Respondents</w:t>
            </w:r>
          </w:p>
        </w:tc>
        <w:tc>
          <w:tcPr>
            <w:tcW w:w="1400" w:type="dxa"/>
            <w:shd w:val="clear" w:color="auto" w:fill="D5E8F0"/>
          </w:tcPr>
          <w:p w14:paraId="5DC5BC7D" w14:textId="77777777" w:rsidR="009640DC" w:rsidRDefault="009640DC">
            <w:pPr>
              <w:jc w:val="center"/>
            </w:pPr>
            <w:r>
              <w:rPr>
                <w:b/>
                <w:bCs/>
                <w:sz w:val="18"/>
                <w:szCs w:val="18"/>
              </w:rPr>
              <w:t>Average Age (years)</w:t>
            </w:r>
          </w:p>
        </w:tc>
        <w:tc>
          <w:tcPr>
            <w:tcW w:w="1400" w:type="dxa"/>
            <w:shd w:val="clear" w:color="auto" w:fill="D5E8F0"/>
          </w:tcPr>
          <w:p w14:paraId="05DCFD47" w14:textId="77777777" w:rsidR="009640DC" w:rsidRDefault="009640DC">
            <w:pPr>
              <w:jc w:val="center"/>
            </w:pPr>
            <w:r>
              <w:rPr>
                <w:b/>
                <w:bCs/>
                <w:sz w:val="18"/>
                <w:szCs w:val="18"/>
              </w:rPr>
              <w:t>Experience (years)</w:t>
            </w:r>
          </w:p>
        </w:tc>
        <w:tc>
          <w:tcPr>
            <w:tcW w:w="1400" w:type="dxa"/>
            <w:shd w:val="clear" w:color="auto" w:fill="D5E8F0"/>
          </w:tcPr>
          <w:p w14:paraId="09ED358F" w14:textId="77777777" w:rsidR="009640DC" w:rsidRDefault="009640DC">
            <w:pPr>
              <w:jc w:val="center"/>
            </w:pPr>
            <w:r>
              <w:rPr>
                <w:b/>
                <w:bCs/>
                <w:sz w:val="18"/>
                <w:szCs w:val="18"/>
              </w:rPr>
              <w:t>Business Scale</w:t>
            </w:r>
          </w:p>
        </w:tc>
        <w:tc>
          <w:tcPr>
            <w:tcW w:w="1660" w:type="dxa"/>
            <w:shd w:val="clear" w:color="auto" w:fill="D5E8F0"/>
          </w:tcPr>
          <w:p w14:paraId="6C2C5B3B" w14:textId="77777777" w:rsidR="009640DC" w:rsidRDefault="009640DC">
            <w:pPr>
              <w:jc w:val="center"/>
            </w:pPr>
            <w:r>
              <w:rPr>
                <w:b/>
                <w:bCs/>
                <w:sz w:val="18"/>
                <w:szCs w:val="18"/>
              </w:rPr>
              <w:t>Dominant Education</w:t>
            </w:r>
          </w:p>
        </w:tc>
      </w:tr>
      <w:tr w:rsidR="00ED2086" w14:paraId="6F9F3999" w14:textId="77777777">
        <w:tc>
          <w:tcPr>
            <w:tcW w:w="2100" w:type="dxa"/>
          </w:tcPr>
          <w:p w14:paraId="3F43981A" w14:textId="77777777" w:rsidR="009640DC" w:rsidRDefault="009640DC">
            <w:r>
              <w:rPr>
                <w:sz w:val="18"/>
                <w:szCs w:val="18"/>
              </w:rPr>
              <w:t>Farmers</w:t>
            </w:r>
          </w:p>
        </w:tc>
        <w:tc>
          <w:tcPr>
            <w:tcW w:w="1400" w:type="dxa"/>
          </w:tcPr>
          <w:p w14:paraId="1F2EFC15" w14:textId="77777777" w:rsidR="009640DC" w:rsidRDefault="009640DC">
            <w:pPr>
              <w:jc w:val="center"/>
            </w:pPr>
            <w:r>
              <w:rPr>
                <w:sz w:val="18"/>
                <w:szCs w:val="18"/>
              </w:rPr>
              <w:t>60 (47.6%)</w:t>
            </w:r>
          </w:p>
        </w:tc>
        <w:tc>
          <w:tcPr>
            <w:tcW w:w="1400" w:type="dxa"/>
          </w:tcPr>
          <w:p w14:paraId="688974EA" w14:textId="77777777" w:rsidR="009640DC" w:rsidRDefault="009640DC">
            <w:pPr>
              <w:jc w:val="center"/>
            </w:pPr>
            <w:r>
              <w:rPr>
                <w:sz w:val="18"/>
                <w:szCs w:val="18"/>
              </w:rPr>
              <w:t>48.3 ± 8.7</w:t>
            </w:r>
          </w:p>
        </w:tc>
        <w:tc>
          <w:tcPr>
            <w:tcW w:w="1400" w:type="dxa"/>
          </w:tcPr>
          <w:p w14:paraId="7C571330" w14:textId="77777777" w:rsidR="009640DC" w:rsidRDefault="009640DC">
            <w:pPr>
              <w:jc w:val="center"/>
            </w:pPr>
            <w:r>
              <w:rPr>
                <w:sz w:val="18"/>
                <w:szCs w:val="18"/>
              </w:rPr>
              <w:t>12.6 ± 5.2</w:t>
            </w:r>
          </w:p>
        </w:tc>
        <w:tc>
          <w:tcPr>
            <w:tcW w:w="1400" w:type="dxa"/>
          </w:tcPr>
          <w:p w14:paraId="33882501" w14:textId="77777777" w:rsidR="009640DC" w:rsidRDefault="009640DC">
            <w:pPr>
              <w:jc w:val="center"/>
            </w:pPr>
            <w:r>
              <w:rPr>
                <w:sz w:val="18"/>
                <w:szCs w:val="18"/>
              </w:rPr>
              <w:t>4.2 head/HH</w:t>
            </w:r>
          </w:p>
        </w:tc>
        <w:tc>
          <w:tcPr>
            <w:tcW w:w="1660" w:type="dxa"/>
          </w:tcPr>
          <w:p w14:paraId="090067EA" w14:textId="77777777" w:rsidR="009640DC" w:rsidRDefault="009640DC">
            <w:pPr>
              <w:jc w:val="center"/>
            </w:pPr>
            <w:r>
              <w:rPr>
                <w:sz w:val="18"/>
                <w:szCs w:val="18"/>
              </w:rPr>
              <w:t>Elementary-JHS (68%)</w:t>
            </w:r>
          </w:p>
        </w:tc>
      </w:tr>
      <w:tr w:rsidR="00ED2086" w14:paraId="38894852" w14:textId="77777777">
        <w:tc>
          <w:tcPr>
            <w:tcW w:w="2100" w:type="dxa"/>
          </w:tcPr>
          <w:p w14:paraId="4A718842" w14:textId="77777777" w:rsidR="009640DC" w:rsidRDefault="009640DC">
            <w:r>
              <w:rPr>
                <w:sz w:val="18"/>
                <w:szCs w:val="18"/>
              </w:rPr>
              <w:t>Village Collectors</w:t>
            </w:r>
          </w:p>
        </w:tc>
        <w:tc>
          <w:tcPr>
            <w:tcW w:w="1400" w:type="dxa"/>
          </w:tcPr>
          <w:p w14:paraId="0085388D" w14:textId="77777777" w:rsidR="009640DC" w:rsidRDefault="009640DC">
            <w:pPr>
              <w:jc w:val="center"/>
            </w:pPr>
            <w:r>
              <w:rPr>
                <w:sz w:val="18"/>
                <w:szCs w:val="18"/>
              </w:rPr>
              <w:t>23 (18.3%)</w:t>
            </w:r>
          </w:p>
        </w:tc>
        <w:tc>
          <w:tcPr>
            <w:tcW w:w="1400" w:type="dxa"/>
          </w:tcPr>
          <w:p w14:paraId="11D73445" w14:textId="77777777" w:rsidR="009640DC" w:rsidRDefault="009640DC">
            <w:pPr>
              <w:jc w:val="center"/>
            </w:pPr>
            <w:r>
              <w:rPr>
                <w:sz w:val="18"/>
                <w:szCs w:val="18"/>
              </w:rPr>
              <w:t>45.2 ± 7.3</w:t>
            </w:r>
          </w:p>
        </w:tc>
        <w:tc>
          <w:tcPr>
            <w:tcW w:w="1400" w:type="dxa"/>
          </w:tcPr>
          <w:p w14:paraId="07FCF3A4" w14:textId="77777777" w:rsidR="009640DC" w:rsidRDefault="009640DC">
            <w:pPr>
              <w:jc w:val="center"/>
            </w:pPr>
            <w:r>
              <w:rPr>
                <w:sz w:val="18"/>
                <w:szCs w:val="18"/>
              </w:rPr>
              <w:t>8.4 ± 3.1</w:t>
            </w:r>
          </w:p>
        </w:tc>
        <w:tc>
          <w:tcPr>
            <w:tcW w:w="1400" w:type="dxa"/>
          </w:tcPr>
          <w:p w14:paraId="0E1B9EE1" w14:textId="77777777" w:rsidR="009640DC" w:rsidRDefault="009640DC">
            <w:pPr>
              <w:jc w:val="center"/>
            </w:pPr>
            <w:r>
              <w:rPr>
                <w:sz w:val="18"/>
                <w:szCs w:val="18"/>
              </w:rPr>
              <w:t>15-25 head/day</w:t>
            </w:r>
          </w:p>
        </w:tc>
        <w:tc>
          <w:tcPr>
            <w:tcW w:w="1660" w:type="dxa"/>
          </w:tcPr>
          <w:p w14:paraId="54AAD3B9" w14:textId="77777777" w:rsidR="009640DC" w:rsidRDefault="009640DC">
            <w:pPr>
              <w:jc w:val="center"/>
            </w:pPr>
            <w:r>
              <w:rPr>
                <w:sz w:val="18"/>
                <w:szCs w:val="18"/>
              </w:rPr>
              <w:t>JHS-SHS (74%)</w:t>
            </w:r>
          </w:p>
        </w:tc>
      </w:tr>
      <w:tr w:rsidR="00ED2086" w14:paraId="25BB722B" w14:textId="77777777">
        <w:tc>
          <w:tcPr>
            <w:tcW w:w="2100" w:type="dxa"/>
          </w:tcPr>
          <w:p w14:paraId="05A8475C" w14:textId="77777777" w:rsidR="009640DC" w:rsidRDefault="009640DC">
            <w:r>
              <w:rPr>
                <w:sz w:val="18"/>
                <w:szCs w:val="18"/>
              </w:rPr>
              <w:t>Inter-regional Traders</w:t>
            </w:r>
          </w:p>
        </w:tc>
        <w:tc>
          <w:tcPr>
            <w:tcW w:w="1400" w:type="dxa"/>
          </w:tcPr>
          <w:p w14:paraId="23C65889" w14:textId="77777777" w:rsidR="009640DC" w:rsidRDefault="009640DC">
            <w:pPr>
              <w:jc w:val="center"/>
            </w:pPr>
            <w:r>
              <w:rPr>
                <w:sz w:val="18"/>
                <w:szCs w:val="18"/>
              </w:rPr>
              <w:t>14 (11.1%)</w:t>
            </w:r>
          </w:p>
        </w:tc>
        <w:tc>
          <w:tcPr>
            <w:tcW w:w="1400" w:type="dxa"/>
          </w:tcPr>
          <w:p w14:paraId="0B3F3785" w14:textId="77777777" w:rsidR="009640DC" w:rsidRDefault="009640DC">
            <w:pPr>
              <w:jc w:val="center"/>
            </w:pPr>
            <w:r>
              <w:rPr>
                <w:sz w:val="18"/>
                <w:szCs w:val="18"/>
              </w:rPr>
              <w:t>42.1 ± 6.8</w:t>
            </w:r>
          </w:p>
        </w:tc>
        <w:tc>
          <w:tcPr>
            <w:tcW w:w="1400" w:type="dxa"/>
          </w:tcPr>
          <w:p w14:paraId="1341A231" w14:textId="77777777" w:rsidR="009640DC" w:rsidRDefault="009640DC">
            <w:pPr>
              <w:jc w:val="center"/>
            </w:pPr>
            <w:r>
              <w:rPr>
                <w:sz w:val="18"/>
                <w:szCs w:val="18"/>
              </w:rPr>
              <w:t>11.3 ± 4.7</w:t>
            </w:r>
          </w:p>
        </w:tc>
        <w:tc>
          <w:tcPr>
            <w:tcW w:w="1400" w:type="dxa"/>
          </w:tcPr>
          <w:p w14:paraId="57F7E01B" w14:textId="77777777" w:rsidR="009640DC" w:rsidRDefault="009640DC">
            <w:pPr>
              <w:jc w:val="center"/>
            </w:pPr>
            <w:r>
              <w:rPr>
                <w:sz w:val="18"/>
                <w:szCs w:val="18"/>
              </w:rPr>
              <w:t>50-80 head/week</w:t>
            </w:r>
          </w:p>
        </w:tc>
        <w:tc>
          <w:tcPr>
            <w:tcW w:w="1660" w:type="dxa"/>
          </w:tcPr>
          <w:p w14:paraId="5B5D4F63" w14:textId="77777777" w:rsidR="009640DC" w:rsidRDefault="009640DC">
            <w:pPr>
              <w:jc w:val="center"/>
            </w:pPr>
            <w:r>
              <w:rPr>
                <w:sz w:val="18"/>
                <w:szCs w:val="18"/>
              </w:rPr>
              <w:t>SHS (86%)</w:t>
            </w:r>
          </w:p>
        </w:tc>
      </w:tr>
      <w:tr w:rsidR="00ED2086" w14:paraId="465A538A" w14:textId="77777777">
        <w:tc>
          <w:tcPr>
            <w:tcW w:w="2100" w:type="dxa"/>
          </w:tcPr>
          <w:p w14:paraId="23179000" w14:textId="77777777" w:rsidR="009640DC" w:rsidRDefault="009640DC">
            <w:r>
              <w:rPr>
                <w:sz w:val="18"/>
                <w:szCs w:val="18"/>
              </w:rPr>
              <w:t>Regional Market Traders</w:t>
            </w:r>
          </w:p>
        </w:tc>
        <w:tc>
          <w:tcPr>
            <w:tcW w:w="1400" w:type="dxa"/>
          </w:tcPr>
          <w:p w14:paraId="59FC0233" w14:textId="77777777" w:rsidR="009640DC" w:rsidRDefault="009640DC">
            <w:pPr>
              <w:jc w:val="center"/>
            </w:pPr>
            <w:r>
              <w:rPr>
                <w:sz w:val="18"/>
                <w:szCs w:val="18"/>
              </w:rPr>
              <w:t>10 (7.9%)</w:t>
            </w:r>
          </w:p>
        </w:tc>
        <w:tc>
          <w:tcPr>
            <w:tcW w:w="1400" w:type="dxa"/>
          </w:tcPr>
          <w:p w14:paraId="33ED5331" w14:textId="77777777" w:rsidR="009640DC" w:rsidRDefault="009640DC">
            <w:pPr>
              <w:jc w:val="center"/>
            </w:pPr>
            <w:r>
              <w:rPr>
                <w:sz w:val="18"/>
                <w:szCs w:val="18"/>
              </w:rPr>
              <w:t>46.8 ± 9.2</w:t>
            </w:r>
          </w:p>
        </w:tc>
        <w:tc>
          <w:tcPr>
            <w:tcW w:w="1400" w:type="dxa"/>
          </w:tcPr>
          <w:p w14:paraId="329D5186" w14:textId="77777777" w:rsidR="009640DC" w:rsidRDefault="009640DC">
            <w:pPr>
              <w:jc w:val="center"/>
            </w:pPr>
            <w:r>
              <w:rPr>
                <w:sz w:val="18"/>
                <w:szCs w:val="18"/>
              </w:rPr>
              <w:t>15.2 ± 6.3</w:t>
            </w:r>
          </w:p>
        </w:tc>
        <w:tc>
          <w:tcPr>
            <w:tcW w:w="1400" w:type="dxa"/>
          </w:tcPr>
          <w:p w14:paraId="584D4989" w14:textId="77777777" w:rsidR="009640DC" w:rsidRDefault="009640DC">
            <w:pPr>
              <w:jc w:val="center"/>
            </w:pPr>
            <w:r>
              <w:rPr>
                <w:sz w:val="18"/>
                <w:szCs w:val="18"/>
              </w:rPr>
              <w:t>100-150 head/week</w:t>
            </w:r>
          </w:p>
        </w:tc>
        <w:tc>
          <w:tcPr>
            <w:tcW w:w="1660" w:type="dxa"/>
          </w:tcPr>
          <w:p w14:paraId="280AEE07" w14:textId="77777777" w:rsidR="009640DC" w:rsidRDefault="009640DC">
            <w:pPr>
              <w:jc w:val="center"/>
            </w:pPr>
            <w:r>
              <w:rPr>
                <w:sz w:val="18"/>
                <w:szCs w:val="18"/>
              </w:rPr>
              <w:t>SHS-Diploma (80%)</w:t>
            </w:r>
          </w:p>
        </w:tc>
      </w:tr>
      <w:tr w:rsidR="00ED2086" w14:paraId="4BA24A85" w14:textId="77777777">
        <w:tc>
          <w:tcPr>
            <w:tcW w:w="2100" w:type="dxa"/>
          </w:tcPr>
          <w:p w14:paraId="1243BC89" w14:textId="77777777" w:rsidR="009640DC" w:rsidRDefault="009640DC">
            <w:r>
              <w:rPr>
                <w:sz w:val="18"/>
                <w:szCs w:val="18"/>
              </w:rPr>
              <w:t>Retail Traders/Butchers</w:t>
            </w:r>
          </w:p>
        </w:tc>
        <w:tc>
          <w:tcPr>
            <w:tcW w:w="1400" w:type="dxa"/>
          </w:tcPr>
          <w:p w14:paraId="4BA4A0B8" w14:textId="77777777" w:rsidR="009640DC" w:rsidRDefault="009640DC">
            <w:pPr>
              <w:jc w:val="center"/>
            </w:pPr>
            <w:r>
              <w:rPr>
                <w:sz w:val="18"/>
                <w:szCs w:val="18"/>
              </w:rPr>
              <w:t>19 (15.1%)</w:t>
            </w:r>
          </w:p>
        </w:tc>
        <w:tc>
          <w:tcPr>
            <w:tcW w:w="1400" w:type="dxa"/>
          </w:tcPr>
          <w:p w14:paraId="05B6A197" w14:textId="77777777" w:rsidR="009640DC" w:rsidRDefault="009640DC">
            <w:pPr>
              <w:jc w:val="center"/>
            </w:pPr>
            <w:r>
              <w:rPr>
                <w:sz w:val="18"/>
                <w:szCs w:val="18"/>
              </w:rPr>
              <w:t>44.6 ± 7.1</w:t>
            </w:r>
          </w:p>
        </w:tc>
        <w:tc>
          <w:tcPr>
            <w:tcW w:w="1400" w:type="dxa"/>
          </w:tcPr>
          <w:p w14:paraId="4A61E32A" w14:textId="77777777" w:rsidR="009640DC" w:rsidRDefault="009640DC">
            <w:pPr>
              <w:jc w:val="center"/>
            </w:pPr>
            <w:r>
              <w:rPr>
                <w:sz w:val="18"/>
                <w:szCs w:val="18"/>
              </w:rPr>
              <w:t>9.8 ± 4.2</w:t>
            </w:r>
          </w:p>
        </w:tc>
        <w:tc>
          <w:tcPr>
            <w:tcW w:w="1400" w:type="dxa"/>
          </w:tcPr>
          <w:p w14:paraId="28549CC6" w14:textId="77777777" w:rsidR="009640DC" w:rsidRDefault="009640DC">
            <w:pPr>
              <w:jc w:val="center"/>
            </w:pPr>
            <w:r>
              <w:rPr>
                <w:sz w:val="18"/>
                <w:szCs w:val="18"/>
              </w:rPr>
              <w:t>8-12 head/day</w:t>
            </w:r>
          </w:p>
        </w:tc>
        <w:tc>
          <w:tcPr>
            <w:tcW w:w="1660" w:type="dxa"/>
          </w:tcPr>
          <w:p w14:paraId="510F1B97" w14:textId="77777777" w:rsidR="009640DC" w:rsidRDefault="009640DC">
            <w:pPr>
              <w:jc w:val="center"/>
            </w:pPr>
            <w:r>
              <w:rPr>
                <w:sz w:val="18"/>
                <w:szCs w:val="18"/>
              </w:rPr>
              <w:t>JHS-SHS (84%)</w:t>
            </w:r>
          </w:p>
        </w:tc>
      </w:tr>
    </w:tbl>
    <w:p w14:paraId="2C11A1EA" w14:textId="77777777" w:rsidR="009640DC" w:rsidRDefault="009640DC" w:rsidP="009640DC">
      <w:pPr>
        <w:spacing w:after="180"/>
      </w:pPr>
      <w:r>
        <w:rPr>
          <w:i/>
          <w:iCs/>
          <w:sz w:val="18"/>
          <w:szCs w:val="18"/>
        </w:rPr>
        <w:t>Source: Primary data, 2025</w:t>
      </w:r>
    </w:p>
    <w:p w14:paraId="3B7D606E" w14:textId="77777777" w:rsidR="009640DC" w:rsidRPr="00D5031D" w:rsidRDefault="009640DC" w:rsidP="00D5031D">
      <w:pPr>
        <w:pStyle w:val="Body"/>
        <w:rPr>
          <w:rFonts w:ascii="Arial" w:hAnsi="Arial" w:cs="Arial"/>
        </w:rPr>
      </w:pPr>
    </w:p>
    <w:p w14:paraId="53E92E4E" w14:textId="77777777" w:rsidR="00D5031D" w:rsidRPr="00D5031D" w:rsidRDefault="00D5031D" w:rsidP="00D5031D">
      <w:pPr>
        <w:pStyle w:val="Body"/>
        <w:rPr>
          <w:rFonts w:ascii="Arial" w:hAnsi="Arial" w:cs="Arial"/>
        </w:rPr>
      </w:pPr>
      <w:r w:rsidRPr="00D5031D">
        <w:rPr>
          <w:rFonts w:ascii="Arial" w:hAnsi="Arial" w:cs="Arial"/>
        </w:rPr>
        <w:t>The characteristics of the marketing chain actors reveal significant structural heterogeneity that fundamentally shapes the system's performance. The dominance of smallholder farmers (85% with an average of 4.2 head per household) is consistent with broader patterns in Indonesian livestock systems documented by Knipscheer et al. (1984) and Soedjana (1993), where small-scale production remains the dominant mode despite decades of modernization efforts. This limited scale creates fundamental challenges to achieving economies of scale in both production and marketing, forcing farmers into dependent relationships with intermediaries who wield superior market power.</w:t>
      </w:r>
    </w:p>
    <w:p w14:paraId="33A25814" w14:textId="77777777" w:rsidR="00D5031D" w:rsidRPr="00D5031D" w:rsidRDefault="00D5031D" w:rsidP="00D5031D">
      <w:pPr>
        <w:pStyle w:val="Body"/>
        <w:rPr>
          <w:rFonts w:ascii="Arial" w:hAnsi="Arial" w:cs="Arial"/>
        </w:rPr>
      </w:pPr>
      <w:r w:rsidRPr="00D5031D">
        <w:rPr>
          <w:rFonts w:ascii="Arial" w:hAnsi="Arial" w:cs="Arial"/>
        </w:rPr>
        <w:t>The educational gap between farmers and traders deserves particular attention. With 68% of farmers having only an elementary to junior high school education compared to 86% of inter-regional traders having a high school education or higher, information asymmetry is structurally embedded in the system. This educational disparity directly impacts farmers' capacity to process market information, negotiate effectively, and adopt new marketing technologies. The relatively older average age of farmers (48.3 years) combined with limited formal education indicates potential resistance to innovation and technology adoption, which has important implications for the implementation of digital partnership platforms.</w:t>
      </w:r>
    </w:p>
    <w:p w14:paraId="7619C6C3" w14:textId="77777777" w:rsidR="00C30A0F" w:rsidRDefault="00D5031D" w:rsidP="00D5031D">
      <w:pPr>
        <w:pStyle w:val="Body"/>
        <w:spacing w:after="0"/>
        <w:rPr>
          <w:rFonts w:ascii="Arial" w:hAnsi="Arial" w:cs="Arial"/>
        </w:rPr>
      </w:pPr>
      <w:r w:rsidRPr="00D5031D">
        <w:rPr>
          <w:rFonts w:ascii="Arial" w:hAnsi="Arial" w:cs="Arial"/>
        </w:rPr>
        <w:t xml:space="preserve">The integration of sheep farming into mixed farming systems (78% of farmers) reflects a traditional risk management strategy in which livestock serves as both a savings mechanism and a production system. This pattern aligns with Devendra's (2002) observations on crop-animal integration in Asian smallholder agriculture. However, this diversification strategy, while reducing risk, also limits specialization and limits farmers' ability to achieve technical efficiency gains specific to sheep production. The relatively modest experience levels among village collectors (8.4 years) compared with regional market traders (15.2 years) suggest </w:t>
      </w:r>
      <w:r w:rsidRPr="00D5031D">
        <w:rPr>
          <w:rFonts w:ascii="Arial" w:hAnsi="Arial" w:cs="Arial"/>
        </w:rPr>
        <w:lastRenderedPageBreak/>
        <w:t>that barriers to entry increase at higher levels of the marketing chain, contributing to patterns of market concentration.</w:t>
      </w:r>
    </w:p>
    <w:p w14:paraId="55EB1C54" w14:textId="77777777" w:rsidR="009640DC" w:rsidRDefault="009640DC" w:rsidP="00D5031D">
      <w:pPr>
        <w:pStyle w:val="Body"/>
        <w:spacing w:after="0"/>
        <w:rPr>
          <w:rFonts w:ascii="Arial" w:hAnsi="Arial" w:cs="Arial"/>
        </w:rPr>
      </w:pPr>
    </w:p>
    <w:p w14:paraId="37AA952A" w14:textId="77777777" w:rsidR="009640DC" w:rsidRPr="009640DC" w:rsidRDefault="009640DC" w:rsidP="009640DC">
      <w:pPr>
        <w:pStyle w:val="Body"/>
        <w:rPr>
          <w:rFonts w:ascii="Arial" w:hAnsi="Arial" w:cs="Arial"/>
          <w:b/>
          <w:bCs/>
          <w:sz w:val="22"/>
          <w:szCs w:val="22"/>
        </w:rPr>
      </w:pPr>
      <w:r w:rsidRPr="009640DC">
        <w:rPr>
          <w:rFonts w:ascii="Arial" w:hAnsi="Arial" w:cs="Arial"/>
          <w:b/>
          <w:bCs/>
          <w:sz w:val="22"/>
          <w:szCs w:val="22"/>
        </w:rPr>
        <w:t>3.2 Marketing Efficiency Analysis</w:t>
      </w:r>
    </w:p>
    <w:p w14:paraId="26292D26" w14:textId="77777777" w:rsidR="009640DC" w:rsidRPr="009640DC" w:rsidRDefault="009640DC" w:rsidP="009640DC">
      <w:pPr>
        <w:pStyle w:val="Body"/>
        <w:rPr>
          <w:rFonts w:ascii="Arial" w:hAnsi="Arial" w:cs="Arial"/>
        </w:rPr>
      </w:pPr>
      <w:r w:rsidRPr="009640DC">
        <w:rPr>
          <w:rFonts w:ascii="Arial" w:hAnsi="Arial" w:cs="Arial"/>
        </w:rPr>
        <w:t>The marketing efficiency analysis confirmed the research hypothesis that the efficiency of the sheep marketing chain in Binjai remains low. Based on the Marketing Efficiency Index (</w:t>
      </w:r>
      <w:r w:rsidR="002E00A2">
        <w:rPr>
          <w:rFonts w:ascii="Arial" w:hAnsi="Arial" w:cs="Arial"/>
        </w:rPr>
        <w:t>MEI</w:t>
      </w:r>
      <w:r w:rsidRPr="009640DC">
        <w:rPr>
          <w:rFonts w:ascii="Arial" w:hAnsi="Arial" w:cs="Arial"/>
        </w:rPr>
        <w:t>) calculation, the sheep marketing system was only 42.3% efficient, below the minimum efficiency standard of 50%. This result is consistent with the findings of Marisa et al. (2023) in Langkat Regency, which reported sheep marketing efficiency below 50% across various supply chain schemes.</w:t>
      </w:r>
    </w:p>
    <w:p w14:paraId="14B5C9D3" w14:textId="5F1F2C25" w:rsidR="009640DC" w:rsidRPr="009640DC" w:rsidRDefault="009640DC" w:rsidP="009640DC">
      <w:pPr>
        <w:pStyle w:val="Body"/>
        <w:rPr>
          <w:rFonts w:ascii="Arial" w:hAnsi="Arial" w:cs="Arial"/>
        </w:rPr>
      </w:pPr>
      <w:r w:rsidRPr="009640DC">
        <w:rPr>
          <w:rFonts w:ascii="Arial" w:hAnsi="Arial" w:cs="Arial"/>
        </w:rPr>
        <w:t xml:space="preserve">The average farmer share of 68.5% indicates that farmers receive only about two-thirds of the price paid by end consumers. This situation </w:t>
      </w:r>
      <w:proofErr w:type="spellStart"/>
      <w:r w:rsidRPr="009640DC">
        <w:rPr>
          <w:rFonts w:ascii="Arial" w:hAnsi="Arial" w:cs="Arial"/>
        </w:rPr>
        <w:t>indicat</w:t>
      </w:r>
      <w:r w:rsidR="00302CFB" w:rsidRPr="009640DC">
        <w:rPr>
          <w:rFonts w:ascii="Arial" w:hAnsi="Arial" w:cs="Arial"/>
        </w:rPr>
        <w:t>anne</w:t>
      </w:r>
      <w:r w:rsidRPr="009640DC">
        <w:rPr>
          <w:rFonts w:ascii="Arial" w:hAnsi="Arial" w:cs="Arial"/>
        </w:rPr>
        <w:t>es</w:t>
      </w:r>
      <w:proofErr w:type="spellEnd"/>
      <w:r w:rsidRPr="009640DC">
        <w:rPr>
          <w:rFonts w:ascii="Arial" w:hAnsi="Arial" w:cs="Arial"/>
        </w:rPr>
        <w:t xml:space="preserve"> a substantial marketing margin (31.5%) distributed among intermediaries. Marketing </w:t>
      </w:r>
      <w:proofErr w:type="spellStart"/>
      <w:r w:rsidRPr="009640DC">
        <w:rPr>
          <w:rFonts w:ascii="Arial" w:hAnsi="Arial" w:cs="Arial"/>
        </w:rPr>
        <w:t>chl</w:t>
      </w:r>
      <w:proofErr w:type="spellEnd"/>
      <w:r w:rsidRPr="009640DC">
        <w:rPr>
          <w:rFonts w:ascii="Arial" w:hAnsi="Arial" w:cs="Arial"/>
        </w:rPr>
        <w:t xml:space="preserve"> 2 demonstrated the highest efficiency (52.3%) with the largest farmer share (72.2%), while channel 3, which involves the most intermediaries, demonstrated the lowest efficiency (37.1%). The analysis identified the main inefficiency factors as market information asymmetry (score 4.23), limited infrastructure (score 4.11), and weak bargaining power of farmers (score 4.08).</w:t>
      </w:r>
    </w:p>
    <w:p w14:paraId="1D0C4DEA" w14:textId="77777777" w:rsidR="009640DC" w:rsidRPr="009640DC" w:rsidRDefault="009640DC" w:rsidP="009640DC">
      <w:pPr>
        <w:pStyle w:val="Body"/>
        <w:rPr>
          <w:rFonts w:ascii="Arial" w:hAnsi="Arial" w:cs="Arial"/>
        </w:rPr>
      </w:pPr>
      <w:r w:rsidRPr="009640DC">
        <w:rPr>
          <w:rFonts w:ascii="Arial" w:hAnsi="Arial" w:cs="Arial"/>
        </w:rPr>
        <w:t xml:space="preserve">The Marketing Efficiency Index of 42.3% represents a significant market failure that requires both theoretical explanation and practical intervention. From a transaction cost economics perspective, this inefficiency reflects high coordination costs arising from information asymmetry, uncertain quality standards, and fragmented production structures. The finding that the </w:t>
      </w:r>
      <w:r w:rsidR="002E00A2">
        <w:rPr>
          <w:rFonts w:ascii="Arial" w:hAnsi="Arial" w:cs="Arial"/>
        </w:rPr>
        <w:t>MEI</w:t>
      </w:r>
      <w:r w:rsidRPr="009640DC">
        <w:rPr>
          <w:rFonts w:ascii="Arial" w:hAnsi="Arial" w:cs="Arial"/>
        </w:rPr>
        <w:t xml:space="preserve"> in Binjai (42.3%) exceeds that reported by Marisa et al. (2023) for Langkat (13.2%) likely reflects Binjai's superior geographic advantages—proximity to Medan reduces transportation costs and time, while better infrastructure facilitates market access. However, even this relatively better performance falls short of international benchmarks for livestock marketing efficiency.</w:t>
      </w:r>
    </w:p>
    <w:p w14:paraId="7C15CE90" w14:textId="77777777" w:rsidR="009640DC" w:rsidRPr="009640DC" w:rsidRDefault="009640DC" w:rsidP="009640DC">
      <w:pPr>
        <w:pStyle w:val="Body"/>
        <w:rPr>
          <w:rFonts w:ascii="Arial" w:hAnsi="Arial" w:cs="Arial"/>
        </w:rPr>
      </w:pPr>
      <w:r w:rsidRPr="009640DC">
        <w:rPr>
          <w:rFonts w:ascii="Arial" w:hAnsi="Arial" w:cs="Arial"/>
        </w:rPr>
        <w:t>The identification of information asymmetry as a key inefficiency factor (a score of 4.23) aligns with Barrett and Mutambatsere's (2008) theoretical framework on agricultural market failures in developing countries. Specifically, 83% of livestock farmers rely on village collectors for price information, creating a principal-agent problem where collectors can exploit their information advantage. This dependency relationship is reinforced by farmers' limited access to alternative marketing channels and weak organizational capacity. Infrastructure constraints (score 4.11) manifest primarily in inadequate rural roads and limited cold chain facilities, forcing quick sales and limiting farmers' ability to strategically enter markets.</w:t>
      </w:r>
    </w:p>
    <w:p w14:paraId="6BA2723B" w14:textId="77777777" w:rsidR="009640DC" w:rsidRPr="009640DC" w:rsidRDefault="009640DC" w:rsidP="009640DC">
      <w:pPr>
        <w:pStyle w:val="Body"/>
        <w:rPr>
          <w:rFonts w:ascii="Arial" w:hAnsi="Arial" w:cs="Arial"/>
        </w:rPr>
      </w:pPr>
      <w:r w:rsidRPr="009640DC">
        <w:rPr>
          <w:rFonts w:ascii="Arial" w:hAnsi="Arial" w:cs="Arial"/>
        </w:rPr>
        <w:t>Efficiency variations across marketing channels provide important insights. The superior performance of channel 2 (IEP 52.3%, farmer share 72.2%) suggests that shorter chains with fewer intermediaries can improve efficiency, consistent with the literature on value chain shortening. However, the persistence of longer channels suggests they provide services valued by some actors—inter-regional traders offer convenience and immediate payment, which cash-constrained farmers may prefer over the potentially higher returns of direct marketing. This suggests that efficiency gains must address both technical inefficiencies and the underlying economic constraints that keep inefficient channels persistent.</w:t>
      </w:r>
    </w:p>
    <w:p w14:paraId="52052E74" w14:textId="77777777" w:rsidR="009640DC" w:rsidRDefault="009640DC" w:rsidP="009640DC">
      <w:pPr>
        <w:pStyle w:val="Body"/>
        <w:spacing w:after="0"/>
        <w:rPr>
          <w:rFonts w:ascii="Arial" w:hAnsi="Arial" w:cs="Arial"/>
        </w:rPr>
      </w:pPr>
      <w:r w:rsidRPr="009640DC">
        <w:rPr>
          <w:rFonts w:ascii="Arial" w:hAnsi="Arial" w:cs="Arial"/>
        </w:rPr>
        <w:t xml:space="preserve">Total marketing costs of IDR 731,667 per head (17.5% of the final consumer price) exceed international benchmarks by 10-15%, indicating substantial room for cost reduction. However, a cost-benefit analysis reveals that simply eliminating intermediaries may not automatically improve efficiency if their function truly adds value. Instead, the focus should </w:t>
      </w:r>
      <w:r w:rsidRPr="009640DC">
        <w:rPr>
          <w:rFonts w:ascii="Arial" w:hAnsi="Arial" w:cs="Arial"/>
        </w:rPr>
        <w:lastRenderedPageBreak/>
        <w:t>be on eliminating duplicative functions (especially in transportation and storage) and improving coordination to reduce transaction costs. This requires institutional innovation rather than simply structural disintermediation.</w:t>
      </w:r>
    </w:p>
    <w:p w14:paraId="2BD3FD12" w14:textId="77777777" w:rsidR="002E00A2" w:rsidRDefault="002E00A2" w:rsidP="009640DC">
      <w:pPr>
        <w:pStyle w:val="Body"/>
        <w:spacing w:after="0"/>
        <w:rPr>
          <w:rFonts w:ascii="Arial" w:hAnsi="Arial" w:cs="Arial"/>
        </w:rPr>
      </w:pPr>
    </w:p>
    <w:p w14:paraId="7EA068B6" w14:textId="77777777" w:rsidR="002E00A2" w:rsidRPr="002E00A2" w:rsidRDefault="002E00A2" w:rsidP="002E00A2">
      <w:pPr>
        <w:pStyle w:val="Body"/>
        <w:rPr>
          <w:rFonts w:ascii="Arial" w:hAnsi="Arial" w:cs="Arial"/>
          <w:b/>
          <w:bCs/>
          <w:sz w:val="22"/>
          <w:szCs w:val="22"/>
        </w:rPr>
      </w:pPr>
      <w:r w:rsidRPr="002E00A2">
        <w:rPr>
          <w:rFonts w:ascii="Arial" w:hAnsi="Arial" w:cs="Arial"/>
          <w:b/>
          <w:bCs/>
          <w:sz w:val="22"/>
          <w:szCs w:val="22"/>
        </w:rPr>
        <w:t>3.3 Market Structure and Characteristics</w:t>
      </w:r>
    </w:p>
    <w:p w14:paraId="6ADE11C4" w14:textId="77777777" w:rsidR="002E00A2" w:rsidRPr="002E00A2" w:rsidRDefault="002E00A2" w:rsidP="002E00A2">
      <w:pPr>
        <w:pStyle w:val="Body"/>
        <w:rPr>
          <w:rFonts w:ascii="Arial" w:hAnsi="Arial" w:cs="Arial"/>
        </w:rPr>
      </w:pPr>
      <w:r w:rsidRPr="002E00A2">
        <w:rPr>
          <w:rFonts w:ascii="Arial" w:hAnsi="Arial" w:cs="Arial"/>
        </w:rPr>
        <w:t>Market structure analysis reveals that the sheep marketing chain in Binjai is oligopsonistic, with a few large traders controlling the majority of transactions. The Concentration Ratio (CR4) for inter-regional traders reached 76.3%, indicating a high level of concentration. The Herfindahl-Hirschman Index (HHI) of 1.847 confirms a concentrated market structure that has the potential to reduce competitiveness. The marketing functions performed by each actor show duplication and inefficiency, particularly in transportation and storage functions, which add costs without adding significant value.</w:t>
      </w:r>
    </w:p>
    <w:p w14:paraId="645C6B96" w14:textId="77777777" w:rsidR="002E00A2" w:rsidRPr="002E00A2" w:rsidRDefault="002E00A2" w:rsidP="002E00A2">
      <w:pPr>
        <w:pStyle w:val="Body"/>
        <w:rPr>
          <w:rFonts w:ascii="Arial" w:hAnsi="Arial" w:cs="Arial"/>
        </w:rPr>
      </w:pPr>
      <w:r w:rsidRPr="002E00A2">
        <w:rPr>
          <w:rFonts w:ascii="Arial" w:hAnsi="Arial" w:cs="Arial"/>
        </w:rPr>
        <w:t>The distribution of margins indicates that retailers/slaughterers capture the largest share (29.0%) through processing and retail services, while village collectors receive the smallest share (18.2%) despite performing critical aggregation functions. Inter-regional traders receive a 28.7% margin, primarily for transportation and storage functions. This distribution pattern reflects an imbalance of power and inefficient allocation of functions throughout the marketing chain.</w:t>
      </w:r>
    </w:p>
    <w:p w14:paraId="48983C2C" w14:textId="77777777" w:rsidR="002E00A2" w:rsidRPr="002E00A2" w:rsidRDefault="002E00A2" w:rsidP="002E00A2">
      <w:pPr>
        <w:pStyle w:val="Body"/>
        <w:rPr>
          <w:rFonts w:ascii="Arial" w:hAnsi="Arial" w:cs="Arial"/>
        </w:rPr>
      </w:pPr>
      <w:r w:rsidRPr="002E00A2">
        <w:rPr>
          <w:rFonts w:ascii="Arial" w:hAnsi="Arial" w:cs="Arial"/>
        </w:rPr>
        <w:t>The oligopsonistic market structure, with a CR4 of 76.3% and an HHI of 1.847, represents a deviation from the assumption of perfect competition underlying neoclassical market analysis. This level of concentration indicates moderate to high market power that inter-regional traders could potentially use to suppress farm-gate prices below competitive levels. According to Sexton (2013), such concentration can arise from economies of scale in transportation and market access, strategic behavior creating barriers to entry, or historical relationships providing incumbency advantages. In the case of Binjai, all three factors appear to be operating—successful inter-regional traders already possess truck ownership, market relationships, and working capital that are difficult for new entrants to replicate.</w:t>
      </w:r>
    </w:p>
    <w:p w14:paraId="1349464B" w14:textId="77777777" w:rsidR="002E00A2" w:rsidRPr="002E00A2" w:rsidRDefault="002E00A2" w:rsidP="002E00A2">
      <w:pPr>
        <w:pStyle w:val="Body"/>
        <w:rPr>
          <w:rFonts w:ascii="Arial" w:hAnsi="Arial" w:cs="Arial"/>
        </w:rPr>
      </w:pPr>
      <w:r w:rsidRPr="002E00A2">
        <w:rPr>
          <w:rFonts w:ascii="Arial" w:hAnsi="Arial" w:cs="Arial"/>
        </w:rPr>
        <w:t>Functional analysis reveals inefficient allocation of marketing activities across various levels of the chain. The low margin share of village collectors (18.2%) relative to their critical aggregation function suggests they operate under intense competition and limited differentiation. Conversely, the high margin share of inter-regional traders (28.7%) for transportation and storage likely reflects both genuine costs and oligopsonistic rent extraction. The highest retail-level margin (29.0%) partly reflects genuine value addition through meat processing and slaughtering services, but may also incorporate rents from monopolistic competition in the local retail market.</w:t>
      </w:r>
    </w:p>
    <w:p w14:paraId="7D1A6AB5" w14:textId="77777777" w:rsidR="002E00A2" w:rsidRPr="002E00A2" w:rsidRDefault="002E00A2" w:rsidP="002E00A2">
      <w:pPr>
        <w:pStyle w:val="Body"/>
        <w:rPr>
          <w:rFonts w:ascii="Arial" w:hAnsi="Arial" w:cs="Arial"/>
        </w:rPr>
      </w:pPr>
      <w:r w:rsidRPr="002E00A2">
        <w:rPr>
          <w:rFonts w:ascii="Arial" w:hAnsi="Arial" w:cs="Arial"/>
        </w:rPr>
        <w:t>Functional duplication, particularly in transportation and storage, arises from a lack of coordination mechanisms. Multiple actors independently providing similar services increases total system costs without proportional value addition. This pattern is typical of fragmented supply chains where coordination failures prevent joint optimization. Economic theory suggests that vertical coordination through contracts or integration can eliminate these duplicative costs, but implementation faces challenges from asymmetric information, enforcement issues, and heterogeneous actor interests.</w:t>
      </w:r>
    </w:p>
    <w:p w14:paraId="797C9C2F" w14:textId="77777777" w:rsidR="002E00A2" w:rsidRDefault="002E00A2" w:rsidP="002E00A2">
      <w:pPr>
        <w:pStyle w:val="Body"/>
        <w:spacing w:after="0"/>
        <w:rPr>
          <w:rFonts w:ascii="Arial" w:hAnsi="Arial" w:cs="Arial"/>
        </w:rPr>
      </w:pPr>
      <w:r w:rsidRPr="002E00A2">
        <w:rPr>
          <w:rFonts w:ascii="Arial" w:hAnsi="Arial" w:cs="Arial"/>
        </w:rPr>
        <w:t xml:space="preserve">The educational gap between farmers (68% elementary-junior high school) and traders (86% high school+) creates a systematic information asymmetry that reinforces the imbalance of market power. This educational stratification, combined with limited farmer organizational capacity, prevents collective action that could counteract trader concentration. Previous efforts at farmer cooperatives in the Indonesian livestock sector have often failed due to </w:t>
      </w:r>
      <w:r w:rsidRPr="002E00A2">
        <w:rPr>
          <w:rFonts w:ascii="Arial" w:hAnsi="Arial" w:cs="Arial"/>
        </w:rPr>
        <w:lastRenderedPageBreak/>
        <w:t>governance issues, capital constraints, and an inability to maintain quality standards. These historical failures suggest that new partnership models must incorporate explicit governance mechanisms and capacity-building components to succeed where previous efforts have failed.</w:t>
      </w:r>
    </w:p>
    <w:p w14:paraId="3C80AFC9" w14:textId="77777777" w:rsidR="009640DC" w:rsidRDefault="009640DC" w:rsidP="00D5031D">
      <w:pPr>
        <w:pStyle w:val="Body"/>
        <w:spacing w:after="0"/>
        <w:rPr>
          <w:rFonts w:ascii="Arial" w:hAnsi="Arial" w:cs="Arial"/>
        </w:rPr>
      </w:pPr>
    </w:p>
    <w:p w14:paraId="2FE47D79" w14:textId="77777777" w:rsidR="002E00A2" w:rsidRPr="002E00A2" w:rsidRDefault="002E00A2" w:rsidP="002E00A2">
      <w:pPr>
        <w:pStyle w:val="Body"/>
        <w:rPr>
          <w:rFonts w:ascii="Arial" w:hAnsi="Arial" w:cs="Arial"/>
          <w:b/>
          <w:bCs/>
          <w:sz w:val="22"/>
          <w:szCs w:val="22"/>
        </w:rPr>
      </w:pPr>
      <w:r w:rsidRPr="002E00A2">
        <w:rPr>
          <w:rFonts w:ascii="Arial" w:hAnsi="Arial" w:cs="Arial"/>
          <w:b/>
          <w:bCs/>
          <w:sz w:val="22"/>
          <w:szCs w:val="22"/>
        </w:rPr>
        <w:t>3.4 Optimal Partnership Model and Transformation Potential</w:t>
      </w:r>
    </w:p>
    <w:p w14:paraId="6BAE616C" w14:textId="77777777" w:rsidR="002E00A2" w:rsidRPr="002E00A2" w:rsidRDefault="002E00A2" w:rsidP="002E00A2">
      <w:pPr>
        <w:pStyle w:val="Body"/>
        <w:rPr>
          <w:rFonts w:ascii="Arial" w:hAnsi="Arial" w:cs="Arial"/>
        </w:rPr>
      </w:pPr>
      <w:r w:rsidRPr="002E00A2">
        <w:rPr>
          <w:rFonts w:ascii="Arial" w:hAnsi="Arial" w:cs="Arial"/>
        </w:rPr>
        <w:t>Preference analysis confirmed the research hypothesis that a multi-stakeholder partnership model with digital integration can significantly improve livestock farmers' bargaining power. The Willingness to Participate Index of 73.4% indicates a high level of acceptance, with livestock farmers demonstrating the highest enthusiasm (78.3%). The recommended optimal partnership model is the Multi-Stakeholder Partnership with a Partnership 4.0 approach that integrates digital technology.</w:t>
      </w:r>
    </w:p>
    <w:p w14:paraId="1BDC5D9A" w14:textId="77777777" w:rsidR="002E00A2" w:rsidRPr="002E00A2" w:rsidRDefault="002E00A2" w:rsidP="002E00A2">
      <w:pPr>
        <w:pStyle w:val="Body"/>
        <w:rPr>
          <w:rFonts w:ascii="Arial" w:hAnsi="Arial" w:cs="Arial"/>
        </w:rPr>
      </w:pPr>
      <w:r w:rsidRPr="002E00A2">
        <w:rPr>
          <w:rFonts w:ascii="Arial" w:hAnsi="Arial" w:cs="Arial"/>
        </w:rPr>
        <w:t>The partnership model consists of four layers: digital infrastructure for information transparency and transaction efficiency; participatory governance ensuring democratic decision-making with a representation formula (40% livestock farmers, 30% traders, 30% support organizations); core partnership activities including collective marketing and capacity building; and transformation outcomes targeting increased efficiency and equitable distribution of benefits.</w:t>
      </w:r>
    </w:p>
    <w:p w14:paraId="6FFFB00A" w14:textId="77777777" w:rsidR="002E00A2" w:rsidRPr="002E00A2" w:rsidRDefault="002E00A2" w:rsidP="002E00A2">
      <w:pPr>
        <w:pStyle w:val="Body"/>
        <w:rPr>
          <w:rFonts w:ascii="Arial" w:hAnsi="Arial" w:cs="Arial"/>
        </w:rPr>
      </w:pPr>
      <w:r w:rsidRPr="002E00A2">
        <w:rPr>
          <w:rFonts w:ascii="Arial" w:hAnsi="Arial" w:cs="Arial"/>
        </w:rPr>
        <w:t xml:space="preserve">Implementation of the partnership model is projected to increase the </w:t>
      </w:r>
      <w:r>
        <w:rPr>
          <w:rFonts w:ascii="Arial" w:hAnsi="Arial" w:cs="Arial"/>
        </w:rPr>
        <w:t>MEI</w:t>
      </w:r>
      <w:r w:rsidRPr="002E00A2">
        <w:rPr>
          <w:rFonts w:ascii="Arial" w:hAnsi="Arial" w:cs="Arial"/>
        </w:rPr>
        <w:t xml:space="preserve"> from 42.3% to 61.7% (+45.9%) and the share of farmers from 68.5% to 76.2% (+11.2%), providing an additional IDR 1.77 million per year in income per farmer household. The model is designed with a collective bargaining mechanism that allows over 150 farmers to negotiate together, reducing reliance on individual intermediaries and increasing price transparency through digital platform integration.</w:t>
      </w:r>
    </w:p>
    <w:p w14:paraId="3F115A55" w14:textId="77777777" w:rsidR="002E00A2" w:rsidRPr="002E00A2" w:rsidRDefault="002E00A2" w:rsidP="002E00A2">
      <w:pPr>
        <w:pStyle w:val="Body"/>
        <w:rPr>
          <w:rFonts w:ascii="Arial" w:hAnsi="Arial" w:cs="Arial"/>
        </w:rPr>
      </w:pPr>
      <w:r w:rsidRPr="002E00A2">
        <w:rPr>
          <w:rFonts w:ascii="Arial" w:hAnsi="Arial" w:cs="Arial"/>
        </w:rPr>
        <w:t>The high Willingness to Participate Index (73.4%), with farmers expressing the greatest enthusiasm (78.3%), indicates that the proposed partnership model addresses perceived pain points in the existing system. However, translating expressed preferences into actual participation requires careful attention to implementation barriers. Farmers' strong interest likely reflects a recognition of their weak bargaining position rather than a detailed understanding of the partnership's mechanics. This creates both opportunities and risks—opportunities because farmers recognize the problem, and risks because unrealistic expectations can lead to disappointment if implementation difficulties arise.</w:t>
      </w:r>
      <w:r w:rsidR="00EE1C06" w:rsidRPr="00EE1C06">
        <w:t xml:space="preserve"> </w:t>
      </w:r>
      <w:r w:rsidR="00EE1C06" w:rsidRPr="00EE1C06">
        <w:rPr>
          <w:rFonts w:ascii="Arial" w:hAnsi="Arial" w:cs="Arial"/>
        </w:rPr>
        <w:t>It should be noted that the Willingness to Participate Index is based on respondents' perceptions, which may be influenced by social desirability bias. However, data triangulation through focus group discussions and in-depth interviews helps validate the findings and mitigate potential bias.</w:t>
      </w:r>
    </w:p>
    <w:p w14:paraId="17C33B89" w14:textId="77777777" w:rsidR="002E00A2" w:rsidRPr="002E00A2" w:rsidRDefault="002E00A2" w:rsidP="002E00A2">
      <w:pPr>
        <w:pStyle w:val="Body"/>
        <w:rPr>
          <w:rFonts w:ascii="Arial" w:hAnsi="Arial" w:cs="Arial"/>
        </w:rPr>
      </w:pPr>
      <w:r w:rsidRPr="002E00A2">
        <w:rPr>
          <w:rFonts w:ascii="Arial" w:hAnsi="Arial" w:cs="Arial"/>
        </w:rPr>
        <w:t>The Multi-Stakeholder Partnership design, which incorporates democratic governance (40% farmers, 30% traders, 30% support organizations), addresses a critical gap in previous cooperative efforts. The historical failure of livestock cooperatives in Indonesia often stems from elite control, where better-resourced members or external actors dominate governance to their advantage. Explicit representation formulas prevent a single group from controlling decisions while ensuring farmers have a plurality of voices. However, democratic governance alone is insufficient without capacity building to enable effective farmer participation in technical and commercial decisions.</w:t>
      </w:r>
    </w:p>
    <w:p w14:paraId="37CFA347" w14:textId="77777777" w:rsidR="002E00A2" w:rsidRPr="002E00A2" w:rsidRDefault="002E00A2" w:rsidP="002E00A2">
      <w:pPr>
        <w:pStyle w:val="Body"/>
        <w:rPr>
          <w:rFonts w:ascii="Arial" w:hAnsi="Arial" w:cs="Arial"/>
        </w:rPr>
      </w:pPr>
      <w:r w:rsidRPr="002E00A2">
        <w:rPr>
          <w:rFonts w:ascii="Arial" w:hAnsi="Arial" w:cs="Arial"/>
        </w:rPr>
        <w:t xml:space="preserve">The Partnership 4.0 concept, which integrates digital platforms, represents a significant innovation adapting traditional cooperative principles to contemporary technological possibilities. A digital pricing information system can reduce the information asymmetry that </w:t>
      </w:r>
      <w:r w:rsidRPr="002E00A2">
        <w:rPr>
          <w:rFonts w:ascii="Arial" w:hAnsi="Arial" w:cs="Arial"/>
        </w:rPr>
        <w:lastRenderedPageBreak/>
        <w:t>Barrett and Mutambatsere (2008) identified as a fundamental market failure. A mobile-based transaction system can increase transparency and reduce transaction costs compared to traditional cash-based informal arrangements. However, successful implementation requires addressing digital literacy barriers among livestock farmers, ensuring reliable connectivity in rural areas, and developing trust in digital transactions among actors accustomed to face-to-face transactions.</w:t>
      </w:r>
    </w:p>
    <w:p w14:paraId="33B7B096" w14:textId="77777777" w:rsidR="002E00A2" w:rsidRDefault="002E00A2" w:rsidP="002E00A2">
      <w:pPr>
        <w:pStyle w:val="Body"/>
        <w:rPr>
          <w:rFonts w:ascii="Arial" w:hAnsi="Arial" w:cs="Arial"/>
        </w:rPr>
      </w:pPr>
      <w:r w:rsidRPr="002E00A2">
        <w:rPr>
          <w:rFonts w:ascii="Arial" w:hAnsi="Arial" w:cs="Arial"/>
        </w:rPr>
        <w:t>The projected efficiency gains (</w:t>
      </w:r>
      <w:r>
        <w:rPr>
          <w:rFonts w:ascii="Arial" w:hAnsi="Arial" w:cs="Arial"/>
        </w:rPr>
        <w:t>MEI</w:t>
      </w:r>
      <w:r w:rsidRPr="002E00A2">
        <w:rPr>
          <w:rFonts w:ascii="Arial" w:hAnsi="Arial" w:cs="Arial"/>
        </w:rPr>
        <w:t xml:space="preserve"> increase from 42.3% to 61.7%, farmer share increase from 68.5% to 76.2%) are critically dependent on achieving several intermediate outcomes. First, collective bargaining must generate sufficient volume (150+ farmers) to attract serious buyers and justify investment in partnership infrastructure. Second, quality standardization through partnerships should reduce transaction costs and enable premium pricing. Third, information transparency must translate into better farm-gate prices rather than simply shifting rents between intermediaries. Fourth, capacity building must enable farmers to perform certain marketing functions currently handled by intermediaries, significantly reducing duplicative costs.</w:t>
      </w:r>
    </w:p>
    <w:p w14:paraId="28FE4382" w14:textId="77777777" w:rsidR="002E00A2" w:rsidRPr="002E00A2" w:rsidRDefault="002E00A2" w:rsidP="002E00A2">
      <w:pPr>
        <w:pStyle w:val="Body"/>
        <w:rPr>
          <w:rFonts w:ascii="Arial" w:hAnsi="Arial" w:cs="Arial"/>
        </w:rPr>
      </w:pPr>
      <w:r w:rsidRPr="002E00A2">
        <w:rPr>
          <w:rFonts w:ascii="Arial" w:hAnsi="Arial" w:cs="Arial"/>
        </w:rPr>
        <w:t>The projected additional income of IDR 1.77 million per farmer household per year represents an increase of approximately 11.2% in sheep-related income. While substantial, this benefit must be weighed against the costs of participation, including meeting time, potential costs for partnership services, and the risks of changing established marketing relationships. Revenue projections assume consistent participation and effective partnership operations, but experience with agricultural cooperatives suggests that maintaining active participation over time is challenging, particularly during off-peak seasons when sheep marketing volumes are lower.</w:t>
      </w:r>
    </w:p>
    <w:p w14:paraId="3D70A3F9" w14:textId="77777777" w:rsidR="002E00A2" w:rsidRDefault="002E00A2" w:rsidP="002E00A2">
      <w:pPr>
        <w:pStyle w:val="Body"/>
        <w:rPr>
          <w:rFonts w:ascii="Arial" w:hAnsi="Arial" w:cs="Arial"/>
        </w:rPr>
      </w:pPr>
      <w:r w:rsidRPr="002E00A2">
        <w:rPr>
          <w:rFonts w:ascii="Arial" w:hAnsi="Arial" w:cs="Arial"/>
        </w:rPr>
        <w:t>A critical success factor is managing the tension between efficiency goals and equity concerns. While increased efficiency may support the elimination of some intermediary functions, this may disadvantage village collectors who depend on these activities for their livelihoods. The partnership design attempts to address this through inclusive governance that allows intermediaries to participate in the new arrangement. However, managing the transition from exploitative to collaborative partnerships requires careful sequencing and support for actors whose traditional roles may be disrupted. Without such transition management, resistance from displaced intermediaries can undermine implementation.</w:t>
      </w:r>
    </w:p>
    <w:p w14:paraId="254F67D1" w14:textId="77777777" w:rsidR="00DA4531" w:rsidRPr="002E00A2" w:rsidRDefault="00DA4531" w:rsidP="002E00A2">
      <w:pPr>
        <w:pStyle w:val="Body"/>
        <w:rPr>
          <w:rFonts w:ascii="Arial" w:hAnsi="Arial" w:cs="Arial"/>
        </w:rPr>
      </w:pPr>
      <w:r w:rsidRPr="00DA4531">
        <w:rPr>
          <w:rFonts w:ascii="Arial" w:hAnsi="Arial" w:cs="Arial"/>
        </w:rPr>
        <w:t>The findings of this study contribute to the achievement of the Sustainable Development Goals (SDGs), particularly SDG 8 (Decent Work and Economic Growth) and SDG 12 (Responsible Consumption and Production). Improving marketing efficiency and livestock farmers' incomes supports inclusive economic growth (SDG 8.2), while more efficient partnership models encourage sustainable production and consumption patterns (SDG 12.3). Digital transformation in the marketing chain also aligns with SDG target 8.3 on promoting policies that support productive activities and decent work creation.</w:t>
      </w:r>
    </w:p>
    <w:p w14:paraId="724E8707" w14:textId="77777777" w:rsidR="00790ADA" w:rsidRDefault="00790ADA" w:rsidP="00441B6F">
      <w:pPr>
        <w:pStyle w:val="Body"/>
        <w:spacing w:after="0"/>
        <w:rPr>
          <w:rFonts w:ascii="Arial" w:hAnsi="Arial" w:cs="Arial"/>
        </w:rPr>
      </w:pPr>
    </w:p>
    <w:p w14:paraId="499F0A08" w14:textId="77777777" w:rsidR="002E00A2" w:rsidRPr="00FB3A86" w:rsidRDefault="002E00A2" w:rsidP="00441B6F">
      <w:pPr>
        <w:pStyle w:val="Body"/>
        <w:spacing w:after="0"/>
        <w:rPr>
          <w:rFonts w:ascii="Arial" w:hAnsi="Arial" w:cs="Arial"/>
        </w:rPr>
      </w:pPr>
    </w:p>
    <w:p w14:paraId="7550C3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7182D9" w14:textId="77777777" w:rsidR="00790ADA" w:rsidRPr="00FB3A86" w:rsidRDefault="00790ADA" w:rsidP="00441B6F">
      <w:pPr>
        <w:pStyle w:val="ConcHead"/>
        <w:spacing w:after="0"/>
        <w:jc w:val="both"/>
        <w:rPr>
          <w:rFonts w:ascii="Arial" w:hAnsi="Arial" w:cs="Arial"/>
        </w:rPr>
      </w:pPr>
    </w:p>
    <w:p w14:paraId="3BB59560" w14:textId="77777777" w:rsidR="00374DEE" w:rsidRDefault="002E00A2" w:rsidP="00374DEE">
      <w:pPr>
        <w:pStyle w:val="Body"/>
        <w:rPr>
          <w:rFonts w:ascii="Arial" w:hAnsi="Arial" w:cs="Arial"/>
        </w:rPr>
      </w:pPr>
      <w:r w:rsidRPr="002E00A2">
        <w:rPr>
          <w:rFonts w:ascii="Arial" w:hAnsi="Arial" w:cs="Arial"/>
        </w:rPr>
        <w:t>This study concluded that the sheep marketing chain in Binjai exhibits significant structural inefficiencies that require transformation through a partnership approach. The Marketing Efficiency Index (</w:t>
      </w:r>
      <w:r>
        <w:rPr>
          <w:rFonts w:ascii="Arial" w:hAnsi="Arial" w:cs="Arial"/>
        </w:rPr>
        <w:t>MEI</w:t>
      </w:r>
      <w:r w:rsidRPr="002E00A2">
        <w:rPr>
          <w:rFonts w:ascii="Arial" w:hAnsi="Arial" w:cs="Arial"/>
        </w:rPr>
        <w:t xml:space="preserve">) of 42.3% confirms suboptimal performance, with farmers receiving only 68.5% of the final consumer price. Key inefficiencies include market information asymmetry, limited infrastructure, and farmers' weak bargaining position. The market structure is oligopsonistic with high concentration (CR4 = 76.3%), involving five levels of </w:t>
      </w:r>
      <w:r w:rsidRPr="002E00A2">
        <w:rPr>
          <w:rFonts w:ascii="Arial" w:hAnsi="Arial" w:cs="Arial"/>
        </w:rPr>
        <w:lastRenderedPageBreak/>
        <w:t>intermediaries where duplication of functions increases costs without adding proportional value.</w:t>
      </w:r>
    </w:p>
    <w:p w14:paraId="403055D9" w14:textId="77777777" w:rsidR="002E00A2" w:rsidRPr="002E00A2" w:rsidRDefault="002E00A2" w:rsidP="00374DEE">
      <w:pPr>
        <w:pStyle w:val="Body"/>
        <w:rPr>
          <w:rFonts w:ascii="Arial" w:hAnsi="Arial" w:cs="Arial"/>
        </w:rPr>
      </w:pPr>
      <w:r w:rsidRPr="002E00A2">
        <w:rPr>
          <w:rFonts w:ascii="Arial" w:hAnsi="Arial" w:cs="Arial"/>
        </w:rPr>
        <w:t xml:space="preserve">The optimal partnership model identified is a Multi-Stakeholder Partnership with a Partnership 4.0 approach that integrates digital technology. This model achieved high stakeholder acceptance (73.4%) and is projected to substantially improve efficiency outcomes. Implementation is expected to increase the </w:t>
      </w:r>
      <w:r>
        <w:rPr>
          <w:rFonts w:ascii="Arial" w:hAnsi="Arial" w:cs="Arial"/>
        </w:rPr>
        <w:t>MEI</w:t>
      </w:r>
      <w:r w:rsidRPr="002E00A2">
        <w:rPr>
          <w:rFonts w:ascii="Arial" w:hAnsi="Arial" w:cs="Arial"/>
        </w:rPr>
        <w:t xml:space="preserve"> by 45.9% and the farmer share by 11.2%, translating to an additional annual income of IDR 1.77 million per farmer household. The model's democratic governance structure and collective bargaining mechanisms address power imbalances while leveraging digital platforms for information transparency.</w:t>
      </w:r>
    </w:p>
    <w:p w14:paraId="195A34BC" w14:textId="77777777" w:rsidR="00315186" w:rsidRDefault="002E00A2" w:rsidP="00374DEE">
      <w:pPr>
        <w:pStyle w:val="Body"/>
        <w:spacing w:after="0"/>
        <w:rPr>
          <w:rFonts w:ascii="Arial" w:hAnsi="Arial" w:cs="Arial"/>
        </w:rPr>
      </w:pPr>
      <w:r w:rsidRPr="002E00A2">
        <w:rPr>
          <w:rFonts w:ascii="Arial" w:hAnsi="Arial" w:cs="Arial"/>
        </w:rPr>
        <w:t>The findings have important implications for livestock sector development policy in Indonesia. Government interventions should focus on addressing market failures through investments in market information systems and rural infrastructure, while facilitating multi-stakeholder partnerships through a supportive regulatory framework and capacity-building programs. The developed partnership model provides a replicable framework for transforming traditional marketing chains into collaborative systems that balance increased efficiency with equitable benefit distribution, particularly relevant for the livestock sector, which is dominated by smallholder farmers.</w:t>
      </w:r>
      <w:r w:rsidR="00E556D2">
        <w:rPr>
          <w:rFonts w:ascii="Arial" w:hAnsi="Arial" w:cs="Arial"/>
        </w:rPr>
        <w:t xml:space="preserve"> </w:t>
      </w:r>
      <w:r w:rsidR="00E556D2" w:rsidRPr="00E556D2">
        <w:rPr>
          <w:rFonts w:ascii="Arial" w:hAnsi="Arial" w:cs="Arial"/>
        </w:rPr>
        <w:t>This transformation contributes to the Sustainable Development Goals, particularly SDG 8 (inclusive economic growth) by increasing livestock farmers' incomes, and SDG 12 (sustainable production) by reducing inefficiencies in the supply chain.</w:t>
      </w:r>
    </w:p>
    <w:p w14:paraId="34A5CE0A" w14:textId="77777777" w:rsidR="00374DEE" w:rsidRDefault="00374DEE" w:rsidP="00374DEE">
      <w:pPr>
        <w:pStyle w:val="Body"/>
        <w:spacing w:after="0"/>
        <w:rPr>
          <w:rFonts w:ascii="Arial" w:hAnsi="Arial" w:cs="Arial"/>
        </w:rPr>
      </w:pPr>
    </w:p>
    <w:p w14:paraId="57DE22E2" w14:textId="77777777" w:rsidR="00374DEE" w:rsidRPr="00374DEE" w:rsidRDefault="00374DEE" w:rsidP="00374DEE">
      <w:pPr>
        <w:pStyle w:val="Body"/>
        <w:spacing w:after="0"/>
        <w:rPr>
          <w:rFonts w:ascii="Arial" w:hAnsi="Arial" w:cs="Arial"/>
        </w:rPr>
      </w:pPr>
    </w:p>
    <w:p w14:paraId="7FED1C5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665AA3F" w14:textId="77777777" w:rsidR="00860000" w:rsidRPr="00786D36" w:rsidRDefault="00860000" w:rsidP="00441B6F">
      <w:pPr>
        <w:pStyle w:val="ReferHead"/>
        <w:spacing w:after="0"/>
        <w:jc w:val="both"/>
        <w:rPr>
          <w:rFonts w:ascii="Arial" w:hAnsi="Arial" w:cs="Arial"/>
        </w:rPr>
      </w:pPr>
    </w:p>
    <w:p w14:paraId="45410EF9" w14:textId="77777777" w:rsidR="00860000" w:rsidRDefault="00E66E10" w:rsidP="00441B6F">
      <w:pPr>
        <w:pStyle w:val="ReferHead"/>
        <w:spacing w:after="0"/>
        <w:jc w:val="both"/>
        <w:rPr>
          <w:rFonts w:ascii="Arial" w:hAnsi="Arial" w:cs="Arial"/>
          <w:b w:val="0"/>
          <w:caps w:val="0"/>
          <w:sz w:val="20"/>
        </w:rPr>
      </w:pPr>
      <w:r w:rsidRPr="002E00A2">
        <w:rPr>
          <w:rFonts w:ascii="Arial" w:hAnsi="Arial" w:cs="Arial"/>
          <w:b w:val="0"/>
          <w:caps w:val="0"/>
          <w:sz w:val="20"/>
        </w:rPr>
        <w:t>Authors have declared that no competing interests exist</w:t>
      </w:r>
    </w:p>
    <w:p w14:paraId="6BE8495C" w14:textId="77777777" w:rsidR="00E842D7" w:rsidRDefault="00E842D7" w:rsidP="00441B6F">
      <w:pPr>
        <w:pStyle w:val="ReferHead"/>
        <w:spacing w:after="0"/>
        <w:jc w:val="both"/>
        <w:rPr>
          <w:rFonts w:ascii="Arial" w:hAnsi="Arial" w:cs="Arial"/>
          <w:b w:val="0"/>
          <w:caps w:val="0"/>
          <w:sz w:val="20"/>
        </w:rPr>
      </w:pPr>
    </w:p>
    <w:p w14:paraId="495345A2" w14:textId="77777777" w:rsidR="002E00A2" w:rsidRDefault="002E00A2" w:rsidP="00441B6F">
      <w:pPr>
        <w:pStyle w:val="ReferHead"/>
        <w:spacing w:after="0"/>
        <w:jc w:val="both"/>
        <w:rPr>
          <w:rFonts w:ascii="Arial" w:hAnsi="Arial" w:cs="Arial"/>
          <w:b w:val="0"/>
          <w:caps w:val="0"/>
          <w:sz w:val="20"/>
        </w:rPr>
      </w:pPr>
    </w:p>
    <w:p w14:paraId="1AA33165"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01AAA57E" w14:textId="77777777" w:rsidR="00371FB6" w:rsidRPr="00371FB6" w:rsidRDefault="00371FB6" w:rsidP="00441B6F">
      <w:pPr>
        <w:pStyle w:val="ReferHead"/>
        <w:spacing w:after="0"/>
        <w:jc w:val="both"/>
        <w:rPr>
          <w:rFonts w:ascii="Arial" w:hAnsi="Arial" w:cs="Arial"/>
          <w:bCs/>
        </w:rPr>
      </w:pPr>
    </w:p>
    <w:p w14:paraId="0A9B964A" w14:textId="77777777" w:rsidR="00371FB6" w:rsidRPr="007F458D" w:rsidRDefault="007F458D" w:rsidP="00441B6F">
      <w:pPr>
        <w:pStyle w:val="ReferHead"/>
        <w:spacing w:after="0"/>
        <w:jc w:val="both"/>
        <w:rPr>
          <w:rFonts w:ascii="Arial" w:hAnsi="Arial" w:cs="Arial"/>
          <w:b w:val="0"/>
          <w:caps w:val="0"/>
          <w:sz w:val="20"/>
        </w:rPr>
      </w:pPr>
      <w:r w:rsidRPr="007F458D">
        <w:rPr>
          <w:rFonts w:ascii="Arial" w:hAnsi="Arial" w:cs="Arial"/>
          <w:b w:val="0"/>
          <w:caps w:val="0"/>
          <w:sz w:val="20"/>
        </w:rPr>
        <w:t>Julia Marisa</w:t>
      </w:r>
      <w:r w:rsidR="00371FB6" w:rsidRPr="007F458D">
        <w:rPr>
          <w:rFonts w:ascii="Arial" w:hAnsi="Arial" w:cs="Arial"/>
          <w:b w:val="0"/>
          <w:caps w:val="0"/>
          <w:sz w:val="20"/>
        </w:rPr>
        <w:t xml:space="preserve"> designed the study, performed the statistical analysis, wrote the protocol, and</w:t>
      </w:r>
      <w:r w:rsidR="001A29D8" w:rsidRPr="007F458D">
        <w:rPr>
          <w:rFonts w:ascii="Arial" w:hAnsi="Arial" w:cs="Arial"/>
          <w:b w:val="0"/>
          <w:caps w:val="0"/>
          <w:sz w:val="20"/>
        </w:rPr>
        <w:t xml:space="preserve"> </w:t>
      </w:r>
      <w:r w:rsidR="00371FB6" w:rsidRPr="007F458D">
        <w:rPr>
          <w:rFonts w:ascii="Arial" w:hAnsi="Arial" w:cs="Arial"/>
          <w:b w:val="0"/>
          <w:caps w:val="0"/>
          <w:sz w:val="20"/>
        </w:rPr>
        <w:t xml:space="preserve">wrote the first draft of the manuscript. </w:t>
      </w:r>
      <w:r w:rsidRPr="007F458D">
        <w:rPr>
          <w:rFonts w:ascii="Arial" w:hAnsi="Arial" w:cs="Arial"/>
          <w:b w:val="0"/>
          <w:caps w:val="0"/>
          <w:sz w:val="20"/>
        </w:rPr>
        <w:t>Sukma Aditya Sitepu</w:t>
      </w:r>
      <w:r w:rsidR="00371FB6" w:rsidRPr="007F458D">
        <w:rPr>
          <w:rFonts w:ascii="Arial" w:hAnsi="Arial" w:cs="Arial"/>
          <w:b w:val="0"/>
          <w:caps w:val="0"/>
          <w:sz w:val="20"/>
        </w:rPr>
        <w:t xml:space="preserve"> managed the analyses of</w:t>
      </w:r>
      <w:r w:rsidR="001A29D8" w:rsidRPr="007F458D">
        <w:rPr>
          <w:rFonts w:ascii="Arial" w:hAnsi="Arial" w:cs="Arial"/>
          <w:b w:val="0"/>
          <w:caps w:val="0"/>
          <w:sz w:val="20"/>
        </w:rPr>
        <w:t xml:space="preserve"> </w:t>
      </w:r>
      <w:r w:rsidR="00371FB6" w:rsidRPr="007F458D">
        <w:rPr>
          <w:rFonts w:ascii="Arial" w:hAnsi="Arial" w:cs="Arial"/>
          <w:b w:val="0"/>
          <w:caps w:val="0"/>
          <w:sz w:val="20"/>
        </w:rPr>
        <w:t>the study</w:t>
      </w:r>
      <w:r w:rsidRPr="007F458D">
        <w:rPr>
          <w:rFonts w:ascii="Arial" w:hAnsi="Arial" w:cs="Arial"/>
          <w:b w:val="0"/>
          <w:caps w:val="0"/>
          <w:sz w:val="20"/>
        </w:rPr>
        <w:t xml:space="preserve"> and</w:t>
      </w:r>
      <w:r w:rsidR="00371FB6" w:rsidRPr="007F458D">
        <w:rPr>
          <w:rFonts w:ascii="Arial" w:hAnsi="Arial" w:cs="Arial"/>
          <w:b w:val="0"/>
          <w:caps w:val="0"/>
          <w:sz w:val="20"/>
        </w:rPr>
        <w:t xml:space="preserve"> literature searches</w:t>
      </w:r>
      <w:r w:rsidRPr="007F458D">
        <w:rPr>
          <w:rFonts w:ascii="Arial" w:hAnsi="Arial" w:cs="Arial"/>
          <w:b w:val="0"/>
          <w:caps w:val="0"/>
          <w:sz w:val="20"/>
        </w:rPr>
        <w:t xml:space="preserve">. </w:t>
      </w:r>
      <w:r w:rsidR="00371FB6" w:rsidRPr="007F458D">
        <w:rPr>
          <w:rFonts w:ascii="Arial" w:hAnsi="Arial" w:cs="Arial"/>
          <w:b w:val="0"/>
          <w:caps w:val="0"/>
          <w:sz w:val="20"/>
        </w:rPr>
        <w:t>All authors read and approved the final manuscript.</w:t>
      </w:r>
    </w:p>
    <w:p w14:paraId="0DE13B40" w14:textId="77777777" w:rsidR="002B685A" w:rsidRDefault="002B685A" w:rsidP="00441B6F">
      <w:pPr>
        <w:pStyle w:val="ReferHead"/>
        <w:spacing w:after="0"/>
        <w:jc w:val="both"/>
        <w:rPr>
          <w:rFonts w:ascii="Arial" w:hAnsi="Arial" w:cs="Arial"/>
          <w:b w:val="0"/>
          <w:caps w:val="0"/>
          <w:sz w:val="20"/>
        </w:rPr>
      </w:pPr>
    </w:p>
    <w:p w14:paraId="14AAD0B9" w14:textId="77777777" w:rsidR="00E842D7" w:rsidRDefault="00E842D7" w:rsidP="00441B6F">
      <w:pPr>
        <w:pStyle w:val="ReferHead"/>
        <w:spacing w:after="0"/>
        <w:jc w:val="both"/>
        <w:rPr>
          <w:rFonts w:ascii="Arial" w:hAnsi="Arial" w:cs="Arial"/>
          <w:b w:val="0"/>
          <w:caps w:val="0"/>
          <w:sz w:val="20"/>
        </w:rPr>
      </w:pPr>
    </w:p>
    <w:p w14:paraId="78160290" w14:textId="77777777" w:rsidR="00E842D7" w:rsidRPr="00E842D7" w:rsidRDefault="00E842D7" w:rsidP="00E842D7">
      <w:pPr>
        <w:rPr>
          <w:b/>
          <w:bCs/>
        </w:rPr>
      </w:pPr>
      <w:r w:rsidRPr="00E842D7">
        <w:rPr>
          <w:b/>
          <w:bCs/>
        </w:rPr>
        <w:t xml:space="preserve">DISCLAIMER (ARTIFICIAL </w:t>
      </w:r>
      <w:r>
        <w:rPr>
          <w:b/>
          <w:bCs/>
        </w:rPr>
        <w:t>I</w:t>
      </w:r>
      <w:r w:rsidRPr="00E842D7">
        <w:rPr>
          <w:b/>
          <w:bCs/>
        </w:rPr>
        <w:t>NTELLIGENCE)</w:t>
      </w:r>
    </w:p>
    <w:p w14:paraId="7F6D3D17" w14:textId="77777777" w:rsidR="00E842D7" w:rsidRPr="00E842D7" w:rsidRDefault="00E842D7" w:rsidP="00E842D7"/>
    <w:p w14:paraId="1CCD9DCF" w14:textId="77777777" w:rsidR="00E842D7" w:rsidRPr="00E842D7" w:rsidRDefault="00E842D7" w:rsidP="00E842D7">
      <w:pPr>
        <w:jc w:val="both"/>
      </w:pPr>
      <w:r w:rsidRPr="00E842D7">
        <w:t xml:space="preserve">Author(s) hereby declare that NO generative AI technologies such as Large Language Models (ChatGPT, COPILOT, etc.) and text-to-image generators have been used during the writing or editing of this manuscript. </w:t>
      </w:r>
    </w:p>
    <w:p w14:paraId="172BCAD2" w14:textId="77777777" w:rsidR="00E842D7" w:rsidRDefault="00E842D7" w:rsidP="00441B6F">
      <w:pPr>
        <w:pStyle w:val="ReferHead"/>
        <w:spacing w:after="0"/>
        <w:jc w:val="both"/>
        <w:rPr>
          <w:rFonts w:ascii="Arial" w:hAnsi="Arial" w:cs="Arial"/>
          <w:b w:val="0"/>
          <w:caps w:val="0"/>
          <w:sz w:val="20"/>
        </w:rPr>
      </w:pPr>
    </w:p>
    <w:p w14:paraId="06108BBF" w14:textId="77777777" w:rsidR="00860000" w:rsidRDefault="00860000" w:rsidP="00441B6F">
      <w:pPr>
        <w:pStyle w:val="ReferHead"/>
        <w:spacing w:after="0"/>
        <w:jc w:val="both"/>
        <w:rPr>
          <w:rFonts w:ascii="Arial" w:hAnsi="Arial" w:cs="Arial"/>
        </w:rPr>
      </w:pPr>
      <w:bookmarkStart w:id="0" w:name="_GoBack"/>
      <w:bookmarkEnd w:id="0"/>
    </w:p>
    <w:p w14:paraId="43CDCD5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4C64B7" w14:textId="77777777" w:rsidR="00656A4D" w:rsidRDefault="00656A4D" w:rsidP="00441B6F">
      <w:pPr>
        <w:pStyle w:val="ReferHead"/>
        <w:spacing w:after="0"/>
        <w:jc w:val="both"/>
        <w:rPr>
          <w:rFonts w:ascii="Arial" w:hAnsi="Arial" w:cs="Arial"/>
        </w:rPr>
      </w:pPr>
    </w:p>
    <w:p w14:paraId="12C0AAF5" w14:textId="77777777" w:rsidR="00656A4D" w:rsidRDefault="00656A4D" w:rsidP="00656A4D">
      <w:pPr>
        <w:spacing w:after="240"/>
        <w:jc w:val="both"/>
      </w:pPr>
      <w:r w:rsidRPr="00656A4D">
        <w:t xml:space="preserve">Barrett CB, </w:t>
      </w:r>
      <w:proofErr w:type="spellStart"/>
      <w:r w:rsidRPr="00656A4D">
        <w:t>Mutambatsere</w:t>
      </w:r>
      <w:proofErr w:type="spellEnd"/>
      <w:r w:rsidRPr="00656A4D">
        <w:t xml:space="preserve"> E. </w:t>
      </w:r>
      <w:r>
        <w:t>(</w:t>
      </w:r>
      <w:r w:rsidRPr="00656A4D">
        <w:t>2008</w:t>
      </w:r>
      <w:r>
        <w:t xml:space="preserve">). </w:t>
      </w:r>
      <w:r w:rsidRPr="00656A4D">
        <w:t>Agricultural markets in developing countries. The New Palgrave</w:t>
      </w:r>
      <w:r>
        <w:t xml:space="preserve"> </w:t>
      </w:r>
      <w:r w:rsidRPr="00656A4D">
        <w:t>Dictionary of Economics, 2nd edition. Palgrave Macmillan</w:t>
      </w:r>
      <w:r>
        <w:t>.</w:t>
      </w:r>
    </w:p>
    <w:p w14:paraId="046B30C1" w14:textId="77777777" w:rsidR="00656A4D" w:rsidRDefault="00656A4D" w:rsidP="00656A4D">
      <w:pPr>
        <w:spacing w:after="240"/>
        <w:jc w:val="both"/>
      </w:pPr>
      <w:r w:rsidRPr="003F2443">
        <w:rPr>
          <w:lang w:val="nl-BE"/>
        </w:rPr>
        <w:t xml:space="preserve">Budisatria IGS, Udo HMJ, Eilers CHAM, Baliarti E, Van der Zijpp AJ. </w:t>
      </w:r>
      <w:r>
        <w:t>(</w:t>
      </w:r>
      <w:r w:rsidRPr="00656A4D">
        <w:t>2010</w:t>
      </w:r>
      <w:r>
        <w:t xml:space="preserve">). </w:t>
      </w:r>
      <w:r w:rsidRPr="00656A4D">
        <w:t>Preferences for sheep breeds and breeding management practices by smallholder farmers in Indonesia. Small Ruminant Research</w:t>
      </w:r>
      <w:r>
        <w:t xml:space="preserve"> </w:t>
      </w:r>
      <w:r w:rsidRPr="00656A4D">
        <w:t>;88(1):25-33.</w:t>
      </w:r>
    </w:p>
    <w:p w14:paraId="1F3A14FC" w14:textId="77777777" w:rsidR="00656A4D" w:rsidRDefault="00656A4D" w:rsidP="00656A4D">
      <w:pPr>
        <w:spacing w:after="240"/>
        <w:jc w:val="both"/>
      </w:pPr>
      <w:r w:rsidRPr="00656A4D">
        <w:lastRenderedPageBreak/>
        <w:t>Devendra C.</w:t>
      </w:r>
      <w:r>
        <w:t xml:space="preserve"> (2002).</w:t>
      </w:r>
      <w:r w:rsidRPr="00656A4D">
        <w:t xml:space="preserve"> Crop-animal systems in Asia: future perspectives. Agricultural Systems.</w:t>
      </w:r>
      <w:r>
        <w:t xml:space="preserve"> </w:t>
      </w:r>
      <w:r w:rsidRPr="00656A4D">
        <w:t>71(1-2):179-186.</w:t>
      </w:r>
    </w:p>
    <w:p w14:paraId="1243DC38" w14:textId="77777777" w:rsidR="00656A4D" w:rsidRDefault="00656A4D" w:rsidP="00656A4D">
      <w:pPr>
        <w:spacing w:after="240"/>
        <w:jc w:val="both"/>
      </w:pPr>
      <w:proofErr w:type="spellStart"/>
      <w:r w:rsidRPr="00656A4D">
        <w:t>Kilelu</w:t>
      </w:r>
      <w:proofErr w:type="spellEnd"/>
      <w:r w:rsidRPr="00656A4D">
        <w:t xml:space="preserve"> CW, </w:t>
      </w:r>
      <w:proofErr w:type="spellStart"/>
      <w:r w:rsidRPr="00656A4D">
        <w:t>Klerkx</w:t>
      </w:r>
      <w:proofErr w:type="spellEnd"/>
      <w:r w:rsidRPr="00656A4D">
        <w:t xml:space="preserve"> L, </w:t>
      </w:r>
      <w:proofErr w:type="spellStart"/>
      <w:r w:rsidRPr="00656A4D">
        <w:t>Leeuwis</w:t>
      </w:r>
      <w:proofErr w:type="spellEnd"/>
      <w:r w:rsidRPr="00656A4D">
        <w:t xml:space="preserve"> C. </w:t>
      </w:r>
      <w:r>
        <w:t xml:space="preserve">(2013). </w:t>
      </w:r>
      <w:r w:rsidRPr="00656A4D">
        <w:t>Unravelling the role of innovation platforms in supporting co-evolution of innovation: Contributions and tensions in a smallholder dairy development programme. Agricultural Systems. 118:65-77.</w:t>
      </w:r>
    </w:p>
    <w:p w14:paraId="50640D8F" w14:textId="77777777" w:rsidR="00656A4D" w:rsidRDefault="00656A4D" w:rsidP="00656A4D">
      <w:pPr>
        <w:spacing w:after="240"/>
        <w:jc w:val="both"/>
      </w:pPr>
      <w:proofErr w:type="spellStart"/>
      <w:r w:rsidRPr="00656A4D">
        <w:t>Knipscheer</w:t>
      </w:r>
      <w:proofErr w:type="spellEnd"/>
      <w:r w:rsidRPr="00656A4D">
        <w:t xml:space="preserve"> HC, de Boer AJ, </w:t>
      </w:r>
      <w:proofErr w:type="spellStart"/>
      <w:r w:rsidRPr="00656A4D">
        <w:t>Sabrani</w:t>
      </w:r>
      <w:proofErr w:type="spellEnd"/>
      <w:r w:rsidRPr="00656A4D">
        <w:t xml:space="preserve"> M, </w:t>
      </w:r>
      <w:proofErr w:type="spellStart"/>
      <w:r w:rsidRPr="00656A4D">
        <w:t>Soedjana</w:t>
      </w:r>
      <w:proofErr w:type="spellEnd"/>
      <w:r w:rsidRPr="00656A4D">
        <w:t xml:space="preserve"> TD.</w:t>
      </w:r>
      <w:r>
        <w:t xml:space="preserve"> (1984).</w:t>
      </w:r>
      <w:r w:rsidRPr="00656A4D">
        <w:t xml:space="preserve"> The economic role of sheep and goats in Indonesia. Centro Internacional de Agricultura Tropical.</w:t>
      </w:r>
    </w:p>
    <w:p w14:paraId="29691026" w14:textId="77777777" w:rsidR="00130BDE" w:rsidRDefault="00130BDE" w:rsidP="00656A4D">
      <w:pPr>
        <w:spacing w:after="240"/>
        <w:jc w:val="both"/>
      </w:pPr>
      <w:r w:rsidRPr="00130BDE">
        <w:t xml:space="preserve">Marisa, J., </w:t>
      </w:r>
      <w:proofErr w:type="spellStart"/>
      <w:r w:rsidRPr="00130BDE">
        <w:t>Sitepu</w:t>
      </w:r>
      <w:proofErr w:type="spellEnd"/>
      <w:r w:rsidRPr="00130BDE">
        <w:t xml:space="preserve">, S. A., &amp; Kurniawan, R. (2022). Analysis of sheep farmer supply chain integration </w:t>
      </w:r>
      <w:proofErr w:type="spellStart"/>
      <w:r w:rsidRPr="00130BDE">
        <w:t>Langkat</w:t>
      </w:r>
      <w:proofErr w:type="spellEnd"/>
      <w:r w:rsidRPr="00130BDE">
        <w:t xml:space="preserve"> regency. In </w:t>
      </w:r>
      <w:r w:rsidRPr="00130BDE">
        <w:rPr>
          <w:i/>
          <w:iCs/>
        </w:rPr>
        <w:t xml:space="preserve">Proceeding International Conference </w:t>
      </w:r>
      <w:proofErr w:type="spellStart"/>
      <w:r w:rsidRPr="00130BDE">
        <w:rPr>
          <w:i/>
          <w:iCs/>
        </w:rPr>
        <w:t>Keputeraan</w:t>
      </w:r>
      <w:proofErr w:type="spellEnd"/>
      <w:r w:rsidRPr="00130BDE">
        <w:rPr>
          <w:i/>
          <w:iCs/>
        </w:rPr>
        <w:t xml:space="preserve"> Prof. H. </w:t>
      </w:r>
      <w:proofErr w:type="spellStart"/>
      <w:r w:rsidRPr="00130BDE">
        <w:rPr>
          <w:i/>
          <w:iCs/>
        </w:rPr>
        <w:t>Kadirun</w:t>
      </w:r>
      <w:proofErr w:type="spellEnd"/>
      <w:r w:rsidRPr="00130BDE">
        <w:rPr>
          <w:i/>
          <w:iCs/>
        </w:rPr>
        <w:t xml:space="preserve"> </w:t>
      </w:r>
      <w:proofErr w:type="spellStart"/>
      <w:r w:rsidRPr="00130BDE">
        <w:rPr>
          <w:i/>
          <w:iCs/>
        </w:rPr>
        <w:t>Yahya</w:t>
      </w:r>
      <w:proofErr w:type="spellEnd"/>
      <w:r w:rsidRPr="00130BDE">
        <w:t> (Vol. 1, No. 1, pp. 104-112).</w:t>
      </w:r>
    </w:p>
    <w:p w14:paraId="3E9D5C8B" w14:textId="77777777" w:rsidR="00656A4D" w:rsidRDefault="00656A4D" w:rsidP="00656A4D">
      <w:pPr>
        <w:spacing w:after="240"/>
        <w:jc w:val="both"/>
      </w:pPr>
      <w:r w:rsidRPr="00656A4D">
        <w:t xml:space="preserve">Marisa J, </w:t>
      </w:r>
      <w:proofErr w:type="spellStart"/>
      <w:r w:rsidRPr="00656A4D">
        <w:t>Sitepu</w:t>
      </w:r>
      <w:proofErr w:type="spellEnd"/>
      <w:r w:rsidRPr="00656A4D">
        <w:t xml:space="preserve"> SA, </w:t>
      </w:r>
      <w:proofErr w:type="spellStart"/>
      <w:r w:rsidRPr="00656A4D">
        <w:t>Rianto</w:t>
      </w:r>
      <w:proofErr w:type="spellEnd"/>
      <w:r w:rsidRPr="00656A4D">
        <w:t xml:space="preserve"> AA. </w:t>
      </w:r>
      <w:r>
        <w:t xml:space="preserve">(2023). </w:t>
      </w:r>
      <w:r w:rsidRPr="00656A4D">
        <w:t xml:space="preserve">Value Chain Management Usaha </w:t>
      </w:r>
      <w:proofErr w:type="spellStart"/>
      <w:r w:rsidRPr="00656A4D">
        <w:t>Ternak</w:t>
      </w:r>
      <w:proofErr w:type="spellEnd"/>
      <w:r w:rsidRPr="00656A4D">
        <w:t xml:space="preserve"> </w:t>
      </w:r>
      <w:proofErr w:type="spellStart"/>
      <w:r w:rsidRPr="00656A4D">
        <w:t>Domba</w:t>
      </w:r>
      <w:proofErr w:type="spellEnd"/>
      <w:r>
        <w:t xml:space="preserve">. </w:t>
      </w:r>
      <w:proofErr w:type="spellStart"/>
      <w:r w:rsidRPr="00656A4D">
        <w:t>Penerbit</w:t>
      </w:r>
      <w:proofErr w:type="spellEnd"/>
      <w:r w:rsidRPr="00656A4D">
        <w:t xml:space="preserve"> </w:t>
      </w:r>
      <w:proofErr w:type="spellStart"/>
      <w:r w:rsidRPr="00656A4D">
        <w:t>Tahta</w:t>
      </w:r>
      <w:proofErr w:type="spellEnd"/>
      <w:r w:rsidRPr="00656A4D">
        <w:t xml:space="preserve"> Media</w:t>
      </w:r>
      <w:r>
        <w:t>.</w:t>
      </w:r>
    </w:p>
    <w:p w14:paraId="35F41910" w14:textId="77777777" w:rsidR="00130BDE" w:rsidRDefault="00130BDE" w:rsidP="00656A4D">
      <w:pPr>
        <w:spacing w:after="240"/>
        <w:jc w:val="both"/>
      </w:pPr>
      <w:r w:rsidRPr="00130BDE">
        <w:t xml:space="preserve">Marisa, J., </w:t>
      </w:r>
      <w:proofErr w:type="spellStart"/>
      <w:r w:rsidRPr="00130BDE">
        <w:t>Sitepu</w:t>
      </w:r>
      <w:proofErr w:type="spellEnd"/>
      <w:r w:rsidRPr="00130BDE">
        <w:t xml:space="preserve">, S. A., &amp; Rianto, A. A. (2023). Analysis of Value Chain Model of Sheep-Fattening Business in </w:t>
      </w:r>
      <w:proofErr w:type="spellStart"/>
      <w:r w:rsidRPr="00130BDE">
        <w:t>Langkat</w:t>
      </w:r>
      <w:proofErr w:type="spellEnd"/>
      <w:r w:rsidRPr="00130BDE">
        <w:t xml:space="preserve"> District. </w:t>
      </w:r>
      <w:r w:rsidRPr="00130BDE">
        <w:rPr>
          <w:i/>
          <w:iCs/>
        </w:rPr>
        <w:t>Asian Journal of Advanced Research and Reports</w:t>
      </w:r>
      <w:r w:rsidRPr="00130BDE">
        <w:t>, </w:t>
      </w:r>
      <w:r w:rsidRPr="00130BDE">
        <w:rPr>
          <w:i/>
          <w:iCs/>
        </w:rPr>
        <w:t>17</w:t>
      </w:r>
      <w:r w:rsidRPr="00130BDE">
        <w:t>(7), 40-45.</w:t>
      </w:r>
    </w:p>
    <w:p w14:paraId="7072491C" w14:textId="77777777" w:rsidR="00656A4D" w:rsidRDefault="00656A4D" w:rsidP="00656A4D">
      <w:pPr>
        <w:spacing w:after="240"/>
        <w:jc w:val="both"/>
      </w:pPr>
      <w:r w:rsidRPr="00656A4D">
        <w:t>Sexton RJ.</w:t>
      </w:r>
      <w:r>
        <w:t xml:space="preserve"> (2013).</w:t>
      </w:r>
      <w:r w:rsidRPr="00656A4D">
        <w:t xml:space="preserve"> Market power, misconceptions, and modern agricultural markets. American Journal of Agricultural Economics. 95(2):209-219.</w:t>
      </w:r>
    </w:p>
    <w:p w14:paraId="6B6BB041" w14:textId="77777777" w:rsidR="00130BDE" w:rsidRDefault="00130BDE" w:rsidP="00656A4D">
      <w:pPr>
        <w:spacing w:after="240"/>
        <w:jc w:val="both"/>
      </w:pPr>
      <w:proofErr w:type="spellStart"/>
      <w:r w:rsidRPr="00130BDE">
        <w:t>Sitepu</w:t>
      </w:r>
      <w:proofErr w:type="spellEnd"/>
      <w:r w:rsidRPr="00130BDE">
        <w:t xml:space="preserve">, S. A., &amp; Marisa, J. (2019). Increasing Business Income of Dairy Goat Crossbreed </w:t>
      </w:r>
      <w:proofErr w:type="spellStart"/>
      <w:r w:rsidRPr="00130BDE">
        <w:t>Etawah</w:t>
      </w:r>
      <w:proofErr w:type="spellEnd"/>
      <w:r w:rsidRPr="00130BDE">
        <w:t xml:space="preserve"> Farming in </w:t>
      </w:r>
      <w:proofErr w:type="spellStart"/>
      <w:r w:rsidRPr="00130BDE">
        <w:t>Payageli</w:t>
      </w:r>
      <w:proofErr w:type="spellEnd"/>
      <w:r w:rsidRPr="00130BDE">
        <w:t xml:space="preserve"> Village Deli </w:t>
      </w:r>
      <w:proofErr w:type="spellStart"/>
      <w:r w:rsidRPr="00130BDE">
        <w:t>Serdang</w:t>
      </w:r>
      <w:proofErr w:type="spellEnd"/>
      <w:r w:rsidRPr="00130BDE">
        <w:t xml:space="preserve"> District. </w:t>
      </w:r>
      <w:r w:rsidRPr="00130BDE">
        <w:rPr>
          <w:i/>
          <w:iCs/>
        </w:rPr>
        <w:t xml:space="preserve">Journal of </w:t>
      </w:r>
      <w:proofErr w:type="spellStart"/>
      <w:r w:rsidRPr="00130BDE">
        <w:rPr>
          <w:i/>
          <w:iCs/>
        </w:rPr>
        <w:t>Saintech</w:t>
      </w:r>
      <w:proofErr w:type="spellEnd"/>
      <w:r w:rsidRPr="00130BDE">
        <w:rPr>
          <w:i/>
          <w:iCs/>
        </w:rPr>
        <w:t xml:space="preserve"> Transfer</w:t>
      </w:r>
      <w:r w:rsidRPr="00130BDE">
        <w:t>, </w:t>
      </w:r>
      <w:r w:rsidRPr="00130BDE">
        <w:rPr>
          <w:i/>
          <w:iCs/>
        </w:rPr>
        <w:t>2</w:t>
      </w:r>
      <w:r w:rsidRPr="00130BDE">
        <w:t>(1), 102-106.</w:t>
      </w:r>
    </w:p>
    <w:p w14:paraId="1D559BD6" w14:textId="77777777" w:rsidR="00F4655A" w:rsidRDefault="00F4655A" w:rsidP="00656A4D">
      <w:pPr>
        <w:spacing w:after="240"/>
        <w:jc w:val="both"/>
      </w:pPr>
      <w:proofErr w:type="spellStart"/>
      <w:r w:rsidRPr="00F4655A">
        <w:t>Sitepu</w:t>
      </w:r>
      <w:proofErr w:type="spellEnd"/>
      <w:r w:rsidRPr="00F4655A">
        <w:t>, S. A., &amp; Julia Marisa, S. P. (2020). </w:t>
      </w:r>
      <w:proofErr w:type="spellStart"/>
      <w:r w:rsidRPr="00F4655A">
        <w:rPr>
          <w:i/>
          <w:iCs/>
        </w:rPr>
        <w:t>Manajemen</w:t>
      </w:r>
      <w:proofErr w:type="spellEnd"/>
      <w:r w:rsidRPr="00F4655A">
        <w:rPr>
          <w:i/>
          <w:iCs/>
        </w:rPr>
        <w:t xml:space="preserve"> Usaha </w:t>
      </w:r>
      <w:proofErr w:type="spellStart"/>
      <w:r w:rsidRPr="00F4655A">
        <w:rPr>
          <w:i/>
          <w:iCs/>
        </w:rPr>
        <w:t>Ternak</w:t>
      </w:r>
      <w:proofErr w:type="spellEnd"/>
      <w:r w:rsidRPr="00F4655A">
        <w:rPr>
          <w:i/>
          <w:iCs/>
        </w:rPr>
        <w:t xml:space="preserve"> </w:t>
      </w:r>
      <w:proofErr w:type="spellStart"/>
      <w:r w:rsidRPr="00F4655A">
        <w:rPr>
          <w:i/>
          <w:iCs/>
        </w:rPr>
        <w:t>Perah</w:t>
      </w:r>
      <w:proofErr w:type="spellEnd"/>
      <w:r w:rsidRPr="00F4655A">
        <w:rPr>
          <w:i/>
          <w:iCs/>
        </w:rPr>
        <w:t xml:space="preserve"> </w:t>
      </w:r>
      <w:proofErr w:type="spellStart"/>
      <w:r w:rsidRPr="00F4655A">
        <w:rPr>
          <w:i/>
          <w:iCs/>
        </w:rPr>
        <w:t>Kambing</w:t>
      </w:r>
      <w:proofErr w:type="spellEnd"/>
      <w:r w:rsidRPr="00F4655A">
        <w:rPr>
          <w:i/>
          <w:iCs/>
        </w:rPr>
        <w:t xml:space="preserve"> </w:t>
      </w:r>
      <w:proofErr w:type="spellStart"/>
      <w:r w:rsidRPr="00F4655A">
        <w:rPr>
          <w:i/>
          <w:iCs/>
        </w:rPr>
        <w:t>Peranakan</w:t>
      </w:r>
      <w:proofErr w:type="spellEnd"/>
      <w:r w:rsidRPr="00F4655A">
        <w:rPr>
          <w:i/>
          <w:iCs/>
        </w:rPr>
        <w:t xml:space="preserve"> </w:t>
      </w:r>
      <w:proofErr w:type="spellStart"/>
      <w:r w:rsidRPr="00F4655A">
        <w:rPr>
          <w:i/>
          <w:iCs/>
        </w:rPr>
        <w:t>Etawa</w:t>
      </w:r>
      <w:proofErr w:type="spellEnd"/>
      <w:r w:rsidRPr="00F4655A">
        <w:t xml:space="preserve">. </w:t>
      </w:r>
      <w:proofErr w:type="spellStart"/>
      <w:r w:rsidRPr="00F4655A">
        <w:t>Mitra</w:t>
      </w:r>
      <w:proofErr w:type="spellEnd"/>
      <w:r w:rsidRPr="00F4655A">
        <w:t xml:space="preserve"> </w:t>
      </w:r>
      <w:proofErr w:type="spellStart"/>
      <w:r w:rsidRPr="00F4655A">
        <w:t>Cendekia</w:t>
      </w:r>
      <w:proofErr w:type="spellEnd"/>
      <w:r w:rsidRPr="00F4655A">
        <w:t xml:space="preserve"> Media.</w:t>
      </w:r>
    </w:p>
    <w:p w14:paraId="78481BB5" w14:textId="77777777" w:rsidR="00F4655A" w:rsidRDefault="00F4655A" w:rsidP="00656A4D">
      <w:pPr>
        <w:spacing w:after="240"/>
        <w:jc w:val="both"/>
      </w:pPr>
      <w:proofErr w:type="spellStart"/>
      <w:r w:rsidRPr="00F4655A">
        <w:t>Sitepu</w:t>
      </w:r>
      <w:proofErr w:type="spellEnd"/>
      <w:r w:rsidRPr="00F4655A">
        <w:t xml:space="preserve">, S. A., Marisa, J., Rianto, A. A., &amp; </w:t>
      </w:r>
      <w:proofErr w:type="spellStart"/>
      <w:r w:rsidRPr="00F4655A">
        <w:t>Suhut</w:t>
      </w:r>
      <w:proofErr w:type="spellEnd"/>
      <w:r w:rsidRPr="00F4655A">
        <w:t>, A. (2023). Socialization of Goat and Sheep Reproduction Management in Bulu Cina Village, Indonesia. </w:t>
      </w:r>
      <w:r w:rsidRPr="00F4655A">
        <w:rPr>
          <w:i/>
          <w:iCs/>
        </w:rPr>
        <w:t>Asian Journal of Community Services (AJCS)</w:t>
      </w:r>
      <w:r w:rsidRPr="00F4655A">
        <w:t>, </w:t>
      </w:r>
      <w:r w:rsidRPr="00F4655A">
        <w:rPr>
          <w:i/>
          <w:iCs/>
        </w:rPr>
        <w:t>2</w:t>
      </w:r>
      <w:r w:rsidRPr="00F4655A">
        <w:t>(11).</w:t>
      </w:r>
    </w:p>
    <w:p w14:paraId="015BED16" w14:textId="77777777" w:rsidR="00656A4D" w:rsidRDefault="00656A4D" w:rsidP="00656A4D">
      <w:pPr>
        <w:spacing w:after="240"/>
        <w:jc w:val="both"/>
      </w:pPr>
      <w:proofErr w:type="spellStart"/>
      <w:r w:rsidRPr="00656A4D">
        <w:t>Soedjana</w:t>
      </w:r>
      <w:proofErr w:type="spellEnd"/>
      <w:r w:rsidRPr="00656A4D">
        <w:t xml:space="preserve"> TD. </w:t>
      </w:r>
      <w:r>
        <w:t xml:space="preserve">(1993). </w:t>
      </w:r>
      <w:r w:rsidRPr="00656A4D">
        <w:t>Systems productivity of small ruminant production in Java. PhD Thesis, University of Queensland, Australia.</w:t>
      </w:r>
    </w:p>
    <w:p w14:paraId="3EA3220F" w14:textId="77777777" w:rsidR="00656A4D" w:rsidRPr="00656A4D" w:rsidRDefault="00656A4D" w:rsidP="00656A4D">
      <w:pPr>
        <w:spacing w:after="240"/>
        <w:jc w:val="both"/>
      </w:pPr>
      <w:proofErr w:type="spellStart"/>
      <w:r w:rsidRPr="00656A4D">
        <w:t>TransTRACK</w:t>
      </w:r>
      <w:proofErr w:type="spellEnd"/>
      <w:r w:rsidRPr="00656A4D">
        <w:t xml:space="preserve">. </w:t>
      </w:r>
      <w:r>
        <w:t xml:space="preserve">(2014). </w:t>
      </w:r>
      <w:r w:rsidRPr="00656A4D">
        <w:t>Digital Supply Chain Challenges in ASEAN and its Implementation in Indonesia. Available from: https://blog.transtrack.co/en/industry-trends/logistic/digital-supply-chain/</w:t>
      </w:r>
    </w:p>
    <w:sectPr w:rsidR="00656A4D" w:rsidRPr="00656A4D" w:rsidSect="00374DEE">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F343D" w14:textId="77777777" w:rsidR="00483C42" w:rsidRDefault="00483C42" w:rsidP="00C37E61">
      <w:r>
        <w:separator/>
      </w:r>
    </w:p>
  </w:endnote>
  <w:endnote w:type="continuationSeparator" w:id="0">
    <w:p w14:paraId="66A93D67" w14:textId="77777777" w:rsidR="00483C42" w:rsidRDefault="00483C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25E1A" w14:textId="77777777" w:rsidR="009E048A" w:rsidRDefault="009E048A">
    <w:pPr>
      <w:pStyle w:val="Footer"/>
      <w:rPr>
        <w:rFonts w:ascii="Arial" w:hAnsi="Arial" w:cs="Arial"/>
        <w:sz w:val="16"/>
      </w:rPr>
    </w:pPr>
  </w:p>
  <w:p w14:paraId="74D0D2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A32F323" w14:textId="77777777" w:rsidR="009E048A" w:rsidRDefault="009E048A">
    <w:pPr>
      <w:pStyle w:val="Footer"/>
      <w:rPr>
        <w:rFonts w:ascii="Arial" w:hAnsi="Arial" w:cs="Arial"/>
        <w:sz w:val="16"/>
      </w:rPr>
    </w:pPr>
  </w:p>
  <w:p w14:paraId="5FA64D4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F0D95" w14:textId="77777777" w:rsidR="00483C42" w:rsidRDefault="00483C42" w:rsidP="00C37E61">
      <w:r>
        <w:separator/>
      </w:r>
    </w:p>
  </w:footnote>
  <w:footnote w:type="continuationSeparator" w:id="0">
    <w:p w14:paraId="6042B42F" w14:textId="77777777" w:rsidR="00483C42" w:rsidRDefault="00483C4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13271" w14:textId="77777777" w:rsidR="00296529" w:rsidRPr="00296529" w:rsidRDefault="00296529" w:rsidP="00296529">
    <w:pPr>
      <w:ind w:left="2160"/>
      <w:jc w:val="center"/>
      <w:rPr>
        <w:rFonts w:ascii="Times New Roman" w:eastAsia="Calibri" w:hAnsi="Times New Roman"/>
        <w:i/>
        <w:sz w:val="18"/>
        <w:szCs w:val="22"/>
      </w:rPr>
    </w:pPr>
  </w:p>
  <w:p w14:paraId="1C58D8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79F3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8E66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F622E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A50C5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D685ED"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2126BD5"/>
    <w:multiLevelType w:val="hybridMultilevel"/>
    <w:tmpl w:val="0CBCF5BC"/>
    <w:lvl w:ilvl="0" w:tplc="C54452D2">
      <w:start w:val="1"/>
      <w:numFmt w:val="bullet"/>
      <w:lvlText w:val="•"/>
      <w:lvlJc w:val="left"/>
      <w:pPr>
        <w:ind w:left="720" w:hanging="360"/>
      </w:pPr>
    </w:lvl>
    <w:lvl w:ilvl="1" w:tplc="AA1202DA">
      <w:numFmt w:val="decimal"/>
      <w:lvlText w:val=""/>
      <w:lvlJc w:val="left"/>
    </w:lvl>
    <w:lvl w:ilvl="2" w:tplc="A6BE67EE">
      <w:numFmt w:val="decimal"/>
      <w:lvlText w:val=""/>
      <w:lvlJc w:val="left"/>
    </w:lvl>
    <w:lvl w:ilvl="3" w:tplc="7214D5C4">
      <w:numFmt w:val="decimal"/>
      <w:lvlText w:val=""/>
      <w:lvlJc w:val="left"/>
    </w:lvl>
    <w:lvl w:ilvl="4" w:tplc="7B3047E2">
      <w:numFmt w:val="decimal"/>
      <w:lvlText w:val=""/>
      <w:lvlJc w:val="left"/>
    </w:lvl>
    <w:lvl w:ilvl="5" w:tplc="F61E8312">
      <w:numFmt w:val="decimal"/>
      <w:lvlText w:val=""/>
      <w:lvlJc w:val="left"/>
    </w:lvl>
    <w:lvl w:ilvl="6" w:tplc="D5BE982A">
      <w:numFmt w:val="decimal"/>
      <w:lvlText w:val=""/>
      <w:lvlJc w:val="left"/>
    </w:lvl>
    <w:lvl w:ilvl="7" w:tplc="218E8546">
      <w:numFmt w:val="decimal"/>
      <w:lvlText w:val=""/>
      <w:lvlJc w:val="left"/>
    </w:lvl>
    <w:lvl w:ilvl="8" w:tplc="665AFF36">
      <w:numFmt w:val="decimal"/>
      <w:lvlText w:val=""/>
      <w:lvlJc w:val="left"/>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72E2"/>
    <w:rsid w:val="00123C9F"/>
    <w:rsid w:val="00126190"/>
    <w:rsid w:val="00130BDE"/>
    <w:rsid w:val="00130F17"/>
    <w:rsid w:val="001320BF"/>
    <w:rsid w:val="001542C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72BD"/>
    <w:rsid w:val="00283105"/>
    <w:rsid w:val="00284C4C"/>
    <w:rsid w:val="00287E68"/>
    <w:rsid w:val="00296529"/>
    <w:rsid w:val="002B27FB"/>
    <w:rsid w:val="002B685A"/>
    <w:rsid w:val="002C57D2"/>
    <w:rsid w:val="002D0D3A"/>
    <w:rsid w:val="002D778D"/>
    <w:rsid w:val="002E00A2"/>
    <w:rsid w:val="002E0D56"/>
    <w:rsid w:val="002F61A9"/>
    <w:rsid w:val="00302CFB"/>
    <w:rsid w:val="00315186"/>
    <w:rsid w:val="0033343E"/>
    <w:rsid w:val="003512C2"/>
    <w:rsid w:val="00371FB6"/>
    <w:rsid w:val="00374DEE"/>
    <w:rsid w:val="003763C1"/>
    <w:rsid w:val="00376BBE"/>
    <w:rsid w:val="0039224F"/>
    <w:rsid w:val="003A43A4"/>
    <w:rsid w:val="003A7E18"/>
    <w:rsid w:val="003C4C86"/>
    <w:rsid w:val="003C6258"/>
    <w:rsid w:val="003E2904"/>
    <w:rsid w:val="003E648A"/>
    <w:rsid w:val="003E728F"/>
    <w:rsid w:val="003F2443"/>
    <w:rsid w:val="00401927"/>
    <w:rsid w:val="0041027F"/>
    <w:rsid w:val="00412475"/>
    <w:rsid w:val="00423789"/>
    <w:rsid w:val="00440F43"/>
    <w:rsid w:val="00441B6F"/>
    <w:rsid w:val="00446221"/>
    <w:rsid w:val="00450E62"/>
    <w:rsid w:val="004539DB"/>
    <w:rsid w:val="00471A80"/>
    <w:rsid w:val="00483C42"/>
    <w:rsid w:val="004D305E"/>
    <w:rsid w:val="004D4277"/>
    <w:rsid w:val="00502516"/>
    <w:rsid w:val="00505F06"/>
    <w:rsid w:val="00506828"/>
    <w:rsid w:val="0053056E"/>
    <w:rsid w:val="00554FDA"/>
    <w:rsid w:val="00570C33"/>
    <w:rsid w:val="005C784C"/>
    <w:rsid w:val="005D17F6"/>
    <w:rsid w:val="005E5539"/>
    <w:rsid w:val="00602BF5"/>
    <w:rsid w:val="00604B6B"/>
    <w:rsid w:val="00617FDD"/>
    <w:rsid w:val="00633614"/>
    <w:rsid w:val="00633F68"/>
    <w:rsid w:val="00636EB2"/>
    <w:rsid w:val="006375B8"/>
    <w:rsid w:val="00656A4D"/>
    <w:rsid w:val="0066510A"/>
    <w:rsid w:val="00673F9F"/>
    <w:rsid w:val="00680498"/>
    <w:rsid w:val="00686953"/>
    <w:rsid w:val="00687DEA"/>
    <w:rsid w:val="00687E67"/>
    <w:rsid w:val="006967F7"/>
    <w:rsid w:val="006A250C"/>
    <w:rsid w:val="006B21D3"/>
    <w:rsid w:val="006B57D0"/>
    <w:rsid w:val="006D30FF"/>
    <w:rsid w:val="006D6940"/>
    <w:rsid w:val="006F11EC"/>
    <w:rsid w:val="0070082C"/>
    <w:rsid w:val="007060DA"/>
    <w:rsid w:val="007237AD"/>
    <w:rsid w:val="007369E6"/>
    <w:rsid w:val="00746E59"/>
    <w:rsid w:val="00754C9A"/>
    <w:rsid w:val="0075599A"/>
    <w:rsid w:val="00761D52"/>
    <w:rsid w:val="0077749E"/>
    <w:rsid w:val="00790ADA"/>
    <w:rsid w:val="007D2288"/>
    <w:rsid w:val="007E088F"/>
    <w:rsid w:val="007F458D"/>
    <w:rsid w:val="007F7B32"/>
    <w:rsid w:val="00804BC2"/>
    <w:rsid w:val="0081431A"/>
    <w:rsid w:val="0083216F"/>
    <w:rsid w:val="00860000"/>
    <w:rsid w:val="00863BD3"/>
    <w:rsid w:val="008641ED"/>
    <w:rsid w:val="00866D66"/>
    <w:rsid w:val="008671C6"/>
    <w:rsid w:val="00867A17"/>
    <w:rsid w:val="00875803"/>
    <w:rsid w:val="008B459E"/>
    <w:rsid w:val="008E13AE"/>
    <w:rsid w:val="008E1506"/>
    <w:rsid w:val="008E710C"/>
    <w:rsid w:val="008F69D6"/>
    <w:rsid w:val="00902823"/>
    <w:rsid w:val="00915CA6"/>
    <w:rsid w:val="00927834"/>
    <w:rsid w:val="009500A6"/>
    <w:rsid w:val="00950EFA"/>
    <w:rsid w:val="00957C18"/>
    <w:rsid w:val="009640DC"/>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0049"/>
    <w:rsid w:val="00C166EF"/>
    <w:rsid w:val="00C17EB0"/>
    <w:rsid w:val="00C27F5F"/>
    <w:rsid w:val="00C30A0F"/>
    <w:rsid w:val="00C37E61"/>
    <w:rsid w:val="00C604C2"/>
    <w:rsid w:val="00C70F1B"/>
    <w:rsid w:val="00C71A47"/>
    <w:rsid w:val="00C7464C"/>
    <w:rsid w:val="00C85588"/>
    <w:rsid w:val="00CD54E9"/>
    <w:rsid w:val="00CD6755"/>
    <w:rsid w:val="00CD6856"/>
    <w:rsid w:val="00CE0089"/>
    <w:rsid w:val="00CE793C"/>
    <w:rsid w:val="00CF193C"/>
    <w:rsid w:val="00D173F1"/>
    <w:rsid w:val="00D5031D"/>
    <w:rsid w:val="00D71C52"/>
    <w:rsid w:val="00D74CB0"/>
    <w:rsid w:val="00D8295D"/>
    <w:rsid w:val="00DA4531"/>
    <w:rsid w:val="00DC2A65"/>
    <w:rsid w:val="00DE15F0"/>
    <w:rsid w:val="00DE5663"/>
    <w:rsid w:val="00DE78AA"/>
    <w:rsid w:val="00E053D0"/>
    <w:rsid w:val="00E130AB"/>
    <w:rsid w:val="00E15994"/>
    <w:rsid w:val="00E3114E"/>
    <w:rsid w:val="00E31A70"/>
    <w:rsid w:val="00E35B02"/>
    <w:rsid w:val="00E556D2"/>
    <w:rsid w:val="00E66496"/>
    <w:rsid w:val="00E66B35"/>
    <w:rsid w:val="00E66E10"/>
    <w:rsid w:val="00E769F6"/>
    <w:rsid w:val="00E8407C"/>
    <w:rsid w:val="00E842D7"/>
    <w:rsid w:val="00E84F3C"/>
    <w:rsid w:val="00EA012C"/>
    <w:rsid w:val="00EC6A55"/>
    <w:rsid w:val="00ED0288"/>
    <w:rsid w:val="00ED2086"/>
    <w:rsid w:val="00EE1C06"/>
    <w:rsid w:val="00EE52CB"/>
    <w:rsid w:val="00EE7DFA"/>
    <w:rsid w:val="00EF581D"/>
    <w:rsid w:val="00EF7FD8"/>
    <w:rsid w:val="00F06F59"/>
    <w:rsid w:val="00F17988"/>
    <w:rsid w:val="00F4655A"/>
    <w:rsid w:val="00F469F0"/>
    <w:rsid w:val="00F53273"/>
    <w:rsid w:val="00F70E05"/>
    <w:rsid w:val="00F755E4"/>
    <w:rsid w:val="00F77D02"/>
    <w:rsid w:val="00FB3A86"/>
    <w:rsid w:val="00FB7C8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D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qFormat/>
    <w:rsid w:val="00656A4D"/>
    <w:rPr>
      <w:rFonts w:ascii="Arial" w:eastAsia="Arial" w:hAnsi="Arial" w:cs="Arial"/>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qFormat/>
    <w:rsid w:val="00656A4D"/>
    <w:rPr>
      <w:rFonts w:ascii="Arial" w:eastAsia="Arial" w:hAnsi="Arial" w:cs="Arial"/>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FE24-F79D-4964-A909-4D5D74A4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335</TotalTime>
  <Pages>11</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1055</cp:lastModifiedBy>
  <cp:revision>6</cp:revision>
  <cp:lastPrinted>1999-07-06T11:00:00Z</cp:lastPrinted>
  <dcterms:created xsi:type="dcterms:W3CDTF">2014-10-25T14:34:00Z</dcterms:created>
  <dcterms:modified xsi:type="dcterms:W3CDTF">2025-11-17T10:18:00Z</dcterms:modified>
</cp:coreProperties>
</file>