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6B9ED" w14:textId="49D3A616" w:rsidR="00F32634" w:rsidRPr="005A3C4C" w:rsidRDefault="0038184A" w:rsidP="00B44362">
      <w:pPr>
        <w:spacing w:line="240" w:lineRule="auto"/>
        <w:jc w:val="both"/>
        <w:rPr>
          <w:rFonts w:ascii="Times New Roman" w:hAnsi="Times New Roman" w:cs="Times New Roman"/>
          <w:b/>
          <w:bCs/>
          <w:sz w:val="24"/>
          <w:szCs w:val="24"/>
        </w:rPr>
      </w:pPr>
      <w:r w:rsidRPr="005A3C4C">
        <w:rPr>
          <w:rFonts w:ascii="Times New Roman" w:hAnsi="Times New Roman" w:cs="Times New Roman"/>
          <w:b/>
          <w:bCs/>
          <w:sz w:val="24"/>
          <w:szCs w:val="24"/>
        </w:rPr>
        <w:t xml:space="preserve">Quality Assessment and Sensory Evaluation of Complementary Food from </w:t>
      </w:r>
      <w:r w:rsidR="008E4E45" w:rsidRPr="005A3C4C">
        <w:rPr>
          <w:rFonts w:ascii="Times New Roman" w:hAnsi="Times New Roman" w:cs="Times New Roman"/>
          <w:b/>
          <w:bCs/>
          <w:sz w:val="24"/>
          <w:szCs w:val="24"/>
        </w:rPr>
        <w:t>Orange Flesh Sweet Potato (</w:t>
      </w:r>
      <w:r w:rsidRPr="005A3C4C">
        <w:rPr>
          <w:rFonts w:ascii="Times New Roman" w:hAnsi="Times New Roman" w:cs="Times New Roman"/>
          <w:b/>
          <w:bCs/>
          <w:sz w:val="24"/>
          <w:szCs w:val="24"/>
        </w:rPr>
        <w:t>OFSP</w:t>
      </w:r>
      <w:r w:rsidR="008E4E45" w:rsidRPr="005A3C4C">
        <w:rPr>
          <w:rFonts w:ascii="Times New Roman" w:hAnsi="Times New Roman" w:cs="Times New Roman"/>
          <w:b/>
          <w:bCs/>
          <w:sz w:val="24"/>
          <w:szCs w:val="24"/>
        </w:rPr>
        <w:t>)</w:t>
      </w:r>
      <w:r w:rsidRPr="005A3C4C">
        <w:rPr>
          <w:rFonts w:ascii="Times New Roman" w:hAnsi="Times New Roman" w:cs="Times New Roman"/>
          <w:b/>
          <w:bCs/>
          <w:sz w:val="24"/>
          <w:szCs w:val="24"/>
        </w:rPr>
        <w:t>, Soybean</w:t>
      </w:r>
      <w:r w:rsidR="00760F3D">
        <w:rPr>
          <w:rFonts w:ascii="Times New Roman" w:hAnsi="Times New Roman" w:cs="Times New Roman"/>
          <w:b/>
          <w:bCs/>
          <w:sz w:val="24"/>
          <w:szCs w:val="24"/>
        </w:rPr>
        <w:t>,</w:t>
      </w:r>
      <w:r w:rsidRPr="005A3C4C">
        <w:rPr>
          <w:rFonts w:ascii="Times New Roman" w:hAnsi="Times New Roman" w:cs="Times New Roman"/>
          <w:b/>
          <w:bCs/>
          <w:sz w:val="24"/>
          <w:szCs w:val="24"/>
        </w:rPr>
        <w:t xml:space="preserve"> and Tropical Almond Seed Composite Flour.</w:t>
      </w:r>
    </w:p>
    <w:p w14:paraId="45BDEB95" w14:textId="4BC00819" w:rsidR="00A13C75" w:rsidRPr="005A3C4C" w:rsidRDefault="00A13C75" w:rsidP="00B44362">
      <w:pPr>
        <w:spacing w:line="240" w:lineRule="auto"/>
        <w:jc w:val="both"/>
        <w:rPr>
          <w:rFonts w:ascii="Times New Roman" w:hAnsi="Times New Roman" w:cs="Times New Roman"/>
          <w:b/>
          <w:bCs/>
          <w:sz w:val="24"/>
          <w:szCs w:val="24"/>
          <w:vertAlign w:val="superscript"/>
        </w:rPr>
      </w:pPr>
      <w:r w:rsidRPr="005A3C4C">
        <w:rPr>
          <w:rFonts w:ascii="Times New Roman" w:hAnsi="Times New Roman" w:cs="Times New Roman"/>
          <w:b/>
          <w:bCs/>
          <w:sz w:val="24"/>
          <w:szCs w:val="24"/>
        </w:rPr>
        <w:t xml:space="preserve">       </w:t>
      </w:r>
    </w:p>
    <w:p w14:paraId="22039570" w14:textId="77777777" w:rsidR="00C32EF7" w:rsidRPr="005A3C4C" w:rsidRDefault="00C32EF7" w:rsidP="00B44362">
      <w:pPr>
        <w:keepNext/>
        <w:spacing w:after="360" w:line="240" w:lineRule="auto"/>
        <w:jc w:val="both"/>
        <w:rPr>
          <w:rFonts w:ascii="Times New Roman" w:eastAsia="Arial" w:hAnsi="Times New Roman" w:cs="Times New Roman"/>
          <w:b/>
          <w:smallCaps/>
          <w:sz w:val="24"/>
          <w:szCs w:val="24"/>
        </w:rPr>
      </w:pPr>
      <w:r w:rsidRPr="005A3C4C">
        <w:rPr>
          <w:rFonts w:ascii="Times New Roman" w:eastAsia="Arial" w:hAnsi="Times New Roman" w:cs="Times New Roman"/>
          <w:b/>
          <w:smallCaps/>
          <w:sz w:val="24"/>
          <w:szCs w:val="24"/>
        </w:rPr>
        <w:t>ABSTRACT</w:t>
      </w:r>
    </w:p>
    <w:p w14:paraId="617BFBC8" w14:textId="2F6B6051" w:rsidR="00864134" w:rsidRPr="005A3C4C" w:rsidRDefault="003D4D15" w:rsidP="00B44362">
      <w:pPr>
        <w:pBdr>
          <w:top w:val="nil"/>
          <w:left w:val="nil"/>
          <w:bottom w:val="nil"/>
          <w:right w:val="nil"/>
          <w:between w:val="nil"/>
        </w:pBdr>
        <w:spacing w:after="360" w:line="240" w:lineRule="auto"/>
        <w:jc w:val="both"/>
        <w:rPr>
          <w:rFonts w:ascii="Times New Roman" w:eastAsia="Arial" w:hAnsi="Times New Roman" w:cs="Times New Roman"/>
          <w:i/>
          <w:sz w:val="24"/>
          <w:szCs w:val="24"/>
        </w:rPr>
      </w:pPr>
      <w:r w:rsidRPr="005A3C4C">
        <w:rPr>
          <w:rFonts w:ascii="Times New Roman" w:hAnsi="Times New Roman" w:cs="Times New Roman"/>
          <w:sz w:val="24"/>
          <w:szCs w:val="24"/>
        </w:rPr>
        <w:t>Childhood malnutrition especiall</w:t>
      </w:r>
      <w:r w:rsidR="00B05733" w:rsidRPr="005A3C4C">
        <w:rPr>
          <w:rFonts w:ascii="Times New Roman" w:hAnsi="Times New Roman" w:cs="Times New Roman"/>
          <w:sz w:val="24"/>
          <w:szCs w:val="24"/>
        </w:rPr>
        <w:t>y</w:t>
      </w:r>
      <w:r w:rsidRPr="005A3C4C">
        <w:rPr>
          <w:rFonts w:ascii="Times New Roman" w:hAnsi="Times New Roman" w:cs="Times New Roman"/>
          <w:sz w:val="24"/>
          <w:szCs w:val="24"/>
        </w:rPr>
        <w:t xml:space="preserve"> vitamin A deficiency and protein-energy malnutrition </w:t>
      </w:r>
      <w:r w:rsidR="003C0B9E">
        <w:rPr>
          <w:rFonts w:ascii="Times New Roman" w:hAnsi="Times New Roman" w:cs="Times New Roman"/>
          <w:sz w:val="24"/>
          <w:szCs w:val="24"/>
        </w:rPr>
        <w:t>are</w:t>
      </w:r>
      <w:r w:rsidRPr="005A3C4C">
        <w:rPr>
          <w:rFonts w:ascii="Times New Roman" w:hAnsi="Times New Roman" w:cs="Times New Roman"/>
          <w:sz w:val="24"/>
          <w:szCs w:val="24"/>
        </w:rPr>
        <w:t xml:space="preserve"> widely prevalent in many parts of the world, particularly in developing countries</w:t>
      </w:r>
      <w:r w:rsidR="00232089" w:rsidRPr="005A3C4C">
        <w:rPr>
          <w:rFonts w:ascii="Times New Roman" w:hAnsi="Times New Roman" w:cs="Times New Roman"/>
          <w:sz w:val="24"/>
          <w:szCs w:val="24"/>
        </w:rPr>
        <w:t xml:space="preserve"> due to </w:t>
      </w:r>
      <w:r w:rsidR="003C0B9E">
        <w:rPr>
          <w:rFonts w:ascii="Times New Roman" w:hAnsi="Times New Roman" w:cs="Times New Roman"/>
          <w:sz w:val="24"/>
          <w:szCs w:val="24"/>
        </w:rPr>
        <w:t xml:space="preserve">the </w:t>
      </w:r>
      <w:r w:rsidR="00232089" w:rsidRPr="005A3C4C">
        <w:rPr>
          <w:rFonts w:ascii="Times New Roman" w:hAnsi="Times New Roman" w:cs="Times New Roman"/>
          <w:sz w:val="24"/>
          <w:szCs w:val="24"/>
        </w:rPr>
        <w:t>high cost of commercial infant food</w:t>
      </w:r>
      <w:r w:rsidRPr="005A3C4C">
        <w:rPr>
          <w:rFonts w:ascii="Times New Roman" w:hAnsi="Times New Roman" w:cs="Times New Roman"/>
          <w:sz w:val="24"/>
          <w:szCs w:val="24"/>
        </w:rPr>
        <w:t>.</w:t>
      </w:r>
      <w:r w:rsidR="00232089" w:rsidRPr="005A3C4C">
        <w:rPr>
          <w:rFonts w:ascii="Times New Roman" w:hAnsi="Times New Roman" w:cs="Times New Roman"/>
          <w:sz w:val="24"/>
          <w:szCs w:val="24"/>
        </w:rPr>
        <w:t xml:space="preserve"> Complementary food from OFSP, Soybean and Tropical Almond Seed Flour was produced to improve the nutritional content of locally made infant food. </w:t>
      </w:r>
      <w:r w:rsidR="00C32EF7" w:rsidRPr="005A3C4C">
        <w:rPr>
          <w:rFonts w:ascii="Times New Roman" w:eastAsia="Arial" w:hAnsi="Times New Roman" w:cs="Times New Roman"/>
          <w:sz w:val="24"/>
          <w:szCs w:val="24"/>
        </w:rPr>
        <w:t xml:space="preserve">The study evaluated the quality and </w:t>
      </w:r>
      <w:r w:rsidR="000276BC" w:rsidRPr="005A3C4C">
        <w:rPr>
          <w:rFonts w:ascii="Times New Roman" w:eastAsia="Arial" w:hAnsi="Times New Roman" w:cs="Times New Roman"/>
          <w:sz w:val="24"/>
          <w:szCs w:val="24"/>
        </w:rPr>
        <w:t>sensory</w:t>
      </w:r>
      <w:r w:rsidR="00C32EF7" w:rsidRPr="005A3C4C">
        <w:rPr>
          <w:rFonts w:ascii="Times New Roman" w:eastAsia="Arial" w:hAnsi="Times New Roman" w:cs="Times New Roman"/>
          <w:sz w:val="24"/>
          <w:szCs w:val="24"/>
        </w:rPr>
        <w:t xml:space="preserve"> </w:t>
      </w:r>
      <w:r w:rsidR="00A00651" w:rsidRPr="005A3C4C">
        <w:rPr>
          <w:rFonts w:ascii="Times New Roman" w:eastAsia="Arial" w:hAnsi="Times New Roman" w:cs="Times New Roman"/>
          <w:sz w:val="24"/>
          <w:szCs w:val="24"/>
        </w:rPr>
        <w:t>attributes</w:t>
      </w:r>
      <w:r w:rsidR="00C32EF7" w:rsidRPr="005A3C4C">
        <w:rPr>
          <w:rFonts w:ascii="Times New Roman" w:eastAsia="Arial" w:hAnsi="Times New Roman" w:cs="Times New Roman"/>
          <w:sz w:val="24"/>
          <w:szCs w:val="24"/>
        </w:rPr>
        <w:t xml:space="preserve"> of complementary</w:t>
      </w:r>
      <w:r w:rsidR="008E4E45" w:rsidRPr="005A3C4C">
        <w:rPr>
          <w:rFonts w:ascii="Times New Roman" w:eastAsia="Arial" w:hAnsi="Times New Roman" w:cs="Times New Roman"/>
          <w:sz w:val="24"/>
          <w:szCs w:val="24"/>
        </w:rPr>
        <w:t xml:space="preserve"> food</w:t>
      </w:r>
      <w:r w:rsidR="00A00651" w:rsidRPr="005A3C4C">
        <w:rPr>
          <w:rFonts w:ascii="Times New Roman" w:eastAsia="Arial" w:hAnsi="Times New Roman" w:cs="Times New Roman"/>
          <w:sz w:val="24"/>
          <w:szCs w:val="24"/>
        </w:rPr>
        <w:t>. A commercial sample was used as a reference s</w:t>
      </w:r>
      <w:r w:rsidR="008E4E45" w:rsidRPr="005A3C4C">
        <w:rPr>
          <w:rFonts w:ascii="Times New Roman" w:eastAsia="Arial" w:hAnsi="Times New Roman" w:cs="Times New Roman"/>
          <w:sz w:val="24"/>
          <w:szCs w:val="24"/>
        </w:rPr>
        <w:t>tandard</w:t>
      </w:r>
      <w:r w:rsidR="00A00651" w:rsidRPr="005A3C4C">
        <w:rPr>
          <w:rFonts w:ascii="Times New Roman" w:eastAsia="Arial" w:hAnsi="Times New Roman" w:cs="Times New Roman"/>
          <w:sz w:val="24"/>
          <w:szCs w:val="24"/>
        </w:rPr>
        <w:t>.</w:t>
      </w:r>
      <w:r w:rsidR="00C32EF7" w:rsidRPr="005A3C4C">
        <w:rPr>
          <w:rFonts w:ascii="Times New Roman" w:eastAsia="Arial" w:hAnsi="Times New Roman" w:cs="Times New Roman"/>
          <w:sz w:val="24"/>
          <w:szCs w:val="24"/>
        </w:rPr>
        <w:t xml:space="preserve"> </w:t>
      </w:r>
      <w:r w:rsidR="00FB1E23" w:rsidRPr="005A3C4C">
        <w:rPr>
          <w:rFonts w:ascii="Times New Roman" w:eastAsia="Arial" w:hAnsi="Times New Roman" w:cs="Times New Roman"/>
          <w:sz w:val="24"/>
          <w:szCs w:val="24"/>
        </w:rPr>
        <w:t xml:space="preserve">The sample formulations were in the ratios; </w:t>
      </w:r>
      <w:r w:rsidR="00C32EF7" w:rsidRPr="005A3C4C">
        <w:rPr>
          <w:rFonts w:ascii="Times New Roman" w:eastAsia="Arial" w:hAnsi="Times New Roman" w:cs="Times New Roman"/>
          <w:sz w:val="24"/>
          <w:szCs w:val="24"/>
        </w:rPr>
        <w:t>100:0:0, 90:5:5, 80:15:5, 70:25:5.</w:t>
      </w:r>
      <w:r w:rsidR="000276BC" w:rsidRPr="005A3C4C">
        <w:rPr>
          <w:rFonts w:ascii="Times New Roman" w:eastAsia="Times New Roman" w:hAnsi="Times New Roman" w:cs="Times New Roman"/>
          <w:sz w:val="24"/>
          <w:szCs w:val="24"/>
        </w:rPr>
        <w:t xml:space="preserve"> The anti-nutrient composition ranged thus: alkaloid (0.122-0.961%), trypsin inhibitor (0.003-0.455%), tannin (0.036-0.321%), oxalate (0.017-0.049%). The total essential and total non-essential amino acid composition respectively ranged thus in the samples; 14.12-59.55 g/100g of protein and 30.21-41.65 g/100g of protein. Sensory evaluation results </w:t>
      </w:r>
      <w:r w:rsidR="000276BC" w:rsidRPr="005A3C4C">
        <w:rPr>
          <w:rFonts w:ascii="Times New Roman" w:hAnsi="Times New Roman" w:cs="Times New Roman"/>
          <w:sz w:val="24"/>
          <w:szCs w:val="24"/>
        </w:rPr>
        <w:t>showed that</w:t>
      </w:r>
      <w:r w:rsidR="000276BC" w:rsidRPr="005A3C4C">
        <w:rPr>
          <w:rFonts w:ascii="Times New Roman" w:eastAsia="Times New Roman" w:hAnsi="Times New Roman" w:cs="Times New Roman"/>
          <w:sz w:val="24"/>
          <w:szCs w:val="24"/>
        </w:rPr>
        <w:t xml:space="preserve"> all the complementary food samples were generally accepted by</w:t>
      </w:r>
      <w:r w:rsidR="002E6878" w:rsidRPr="005A3C4C">
        <w:rPr>
          <w:rFonts w:ascii="Times New Roman" w:eastAsia="Times New Roman" w:hAnsi="Times New Roman" w:cs="Times New Roman"/>
          <w:sz w:val="24"/>
          <w:szCs w:val="24"/>
        </w:rPr>
        <w:t xml:space="preserve"> the</w:t>
      </w:r>
      <w:r w:rsidR="000276BC" w:rsidRPr="005A3C4C">
        <w:rPr>
          <w:rFonts w:ascii="Times New Roman" w:eastAsia="Times New Roman" w:hAnsi="Times New Roman" w:cs="Times New Roman"/>
          <w:sz w:val="24"/>
          <w:szCs w:val="24"/>
        </w:rPr>
        <w:t xml:space="preserve"> </w:t>
      </w:r>
      <w:r w:rsidR="0087761F">
        <w:rPr>
          <w:rFonts w:ascii="Times New Roman" w:eastAsia="Times New Roman" w:hAnsi="Times New Roman" w:cs="Times New Roman"/>
          <w:sz w:val="24"/>
          <w:szCs w:val="24"/>
        </w:rPr>
        <w:t>panellists</w:t>
      </w:r>
      <w:r w:rsidR="000276BC" w:rsidRPr="005A3C4C">
        <w:rPr>
          <w:rFonts w:ascii="Times New Roman" w:eastAsia="Times New Roman" w:hAnsi="Times New Roman" w:cs="Times New Roman"/>
          <w:sz w:val="24"/>
          <w:szCs w:val="24"/>
        </w:rPr>
        <w:t xml:space="preserve">. </w:t>
      </w:r>
      <w:r w:rsidR="002D4C65" w:rsidRPr="005A3C4C">
        <w:rPr>
          <w:rFonts w:ascii="Times New Roman" w:eastAsia="Arial" w:hAnsi="Times New Roman" w:cs="Times New Roman"/>
          <w:sz w:val="24"/>
          <w:szCs w:val="24"/>
        </w:rPr>
        <w:t xml:space="preserve">The composite flour herein produced </w:t>
      </w:r>
      <w:r w:rsidR="002E6878" w:rsidRPr="005A3C4C">
        <w:rPr>
          <w:rFonts w:ascii="Times New Roman" w:eastAsia="Arial" w:hAnsi="Times New Roman" w:cs="Times New Roman"/>
          <w:sz w:val="24"/>
          <w:szCs w:val="24"/>
        </w:rPr>
        <w:t>significantly</w:t>
      </w:r>
      <w:r w:rsidR="002D4C65" w:rsidRPr="005A3C4C">
        <w:rPr>
          <w:rFonts w:ascii="Times New Roman" w:eastAsia="Arial" w:hAnsi="Times New Roman" w:cs="Times New Roman"/>
          <w:sz w:val="24"/>
          <w:szCs w:val="24"/>
        </w:rPr>
        <w:t xml:space="preserve"> (p&lt;0.05) increased the nutritional, amino acid</w:t>
      </w:r>
      <w:r w:rsidR="007E4C84">
        <w:rPr>
          <w:rFonts w:ascii="Times New Roman" w:eastAsia="Arial" w:hAnsi="Times New Roman" w:cs="Times New Roman"/>
          <w:sz w:val="24"/>
          <w:szCs w:val="24"/>
        </w:rPr>
        <w:t>,</w:t>
      </w:r>
      <w:r w:rsidR="002D4C65" w:rsidRPr="005A3C4C">
        <w:rPr>
          <w:rFonts w:ascii="Times New Roman" w:eastAsia="Arial" w:hAnsi="Times New Roman" w:cs="Times New Roman"/>
          <w:sz w:val="24"/>
          <w:szCs w:val="24"/>
        </w:rPr>
        <w:t xml:space="preserve"> and sensory attributes of the complementary food </w:t>
      </w:r>
      <w:r w:rsidR="007E4C84">
        <w:rPr>
          <w:rFonts w:ascii="Times New Roman" w:eastAsia="Arial" w:hAnsi="Times New Roman" w:cs="Times New Roman"/>
          <w:sz w:val="24"/>
          <w:szCs w:val="24"/>
        </w:rPr>
        <w:t xml:space="preserve">in </w:t>
      </w:r>
      <w:r w:rsidR="002D4C65" w:rsidRPr="005A3C4C">
        <w:rPr>
          <w:rFonts w:ascii="Times New Roman" w:eastAsia="Arial" w:hAnsi="Times New Roman" w:cs="Times New Roman"/>
          <w:sz w:val="24"/>
          <w:szCs w:val="24"/>
        </w:rPr>
        <w:t>contrast to the control sample</w:t>
      </w:r>
      <w:r w:rsidR="00864134" w:rsidRPr="005A3C4C">
        <w:rPr>
          <w:rFonts w:ascii="Times New Roman" w:eastAsia="Arial" w:hAnsi="Times New Roman" w:cs="Times New Roman"/>
          <w:sz w:val="24"/>
          <w:szCs w:val="24"/>
        </w:rPr>
        <w:t>.</w:t>
      </w:r>
    </w:p>
    <w:p w14:paraId="0B782383" w14:textId="3EF45EFA" w:rsidR="00A13C75" w:rsidRPr="005A3C4C" w:rsidRDefault="00705CE1" w:rsidP="00B44362">
      <w:pPr>
        <w:pBdr>
          <w:top w:val="nil"/>
          <w:left w:val="nil"/>
          <w:bottom w:val="nil"/>
          <w:right w:val="nil"/>
          <w:between w:val="nil"/>
        </w:pBdr>
        <w:spacing w:after="360" w:line="240" w:lineRule="auto"/>
        <w:jc w:val="both"/>
        <w:rPr>
          <w:rFonts w:ascii="Times New Roman" w:eastAsia="Arial" w:hAnsi="Times New Roman" w:cs="Times New Roman"/>
          <w:i/>
          <w:sz w:val="24"/>
          <w:szCs w:val="24"/>
        </w:rPr>
      </w:pPr>
      <w:r w:rsidRPr="005A3C4C">
        <w:rPr>
          <w:rFonts w:ascii="Times New Roman" w:hAnsi="Times New Roman" w:cs="Times New Roman"/>
          <w:bCs/>
          <w:sz w:val="24"/>
          <w:szCs w:val="24"/>
        </w:rPr>
        <w:t xml:space="preserve">Keywords: </w:t>
      </w:r>
      <w:r w:rsidR="007D713E" w:rsidRPr="005A3C4C">
        <w:rPr>
          <w:rFonts w:ascii="Times New Roman" w:hAnsi="Times New Roman" w:cs="Times New Roman"/>
          <w:bCs/>
          <w:sz w:val="24"/>
          <w:szCs w:val="24"/>
        </w:rPr>
        <w:t>Antinutrients</w:t>
      </w:r>
      <w:r w:rsidR="008B797D" w:rsidRPr="005A3C4C">
        <w:rPr>
          <w:rFonts w:ascii="Times New Roman" w:hAnsi="Times New Roman" w:cs="Times New Roman"/>
          <w:bCs/>
          <w:sz w:val="24"/>
          <w:szCs w:val="24"/>
        </w:rPr>
        <w:t>.</w:t>
      </w:r>
      <w:r w:rsidRPr="005A3C4C">
        <w:rPr>
          <w:rFonts w:ascii="Times New Roman" w:hAnsi="Times New Roman" w:cs="Times New Roman"/>
          <w:bCs/>
          <w:sz w:val="24"/>
          <w:szCs w:val="24"/>
        </w:rPr>
        <w:t xml:space="preserve"> Composite Flour</w:t>
      </w:r>
      <w:r w:rsidR="008B797D" w:rsidRPr="005A3C4C">
        <w:rPr>
          <w:rFonts w:ascii="Times New Roman" w:hAnsi="Times New Roman" w:cs="Times New Roman"/>
          <w:bCs/>
          <w:sz w:val="24"/>
          <w:szCs w:val="24"/>
        </w:rPr>
        <w:t>.</w:t>
      </w:r>
      <w:r w:rsidRPr="005A3C4C">
        <w:rPr>
          <w:rFonts w:ascii="Times New Roman" w:hAnsi="Times New Roman" w:cs="Times New Roman"/>
          <w:bCs/>
          <w:sz w:val="24"/>
          <w:szCs w:val="24"/>
        </w:rPr>
        <w:t xml:space="preserve"> </w:t>
      </w:r>
      <w:r w:rsidR="008B797D" w:rsidRPr="005A3C4C">
        <w:rPr>
          <w:rFonts w:ascii="Times New Roman" w:hAnsi="Times New Roman" w:cs="Times New Roman"/>
          <w:bCs/>
          <w:sz w:val="24"/>
          <w:szCs w:val="24"/>
        </w:rPr>
        <w:t xml:space="preserve">Sensory Evaluation. Malnutrition. </w:t>
      </w:r>
      <w:r w:rsidR="007E4C84">
        <w:rPr>
          <w:rFonts w:ascii="Times New Roman" w:hAnsi="Times New Roman" w:cs="Times New Roman"/>
          <w:bCs/>
          <w:sz w:val="24"/>
          <w:szCs w:val="24"/>
        </w:rPr>
        <w:t>Amino</w:t>
      </w:r>
      <w:r w:rsidR="008B797D" w:rsidRPr="005A3C4C">
        <w:rPr>
          <w:rFonts w:ascii="Times New Roman" w:hAnsi="Times New Roman" w:cs="Times New Roman"/>
          <w:bCs/>
          <w:sz w:val="24"/>
          <w:szCs w:val="24"/>
        </w:rPr>
        <w:t xml:space="preserve"> Acid Profile.</w:t>
      </w:r>
    </w:p>
    <w:p w14:paraId="7E45DC99" w14:textId="77777777" w:rsidR="00BE1586" w:rsidRDefault="00A332E0" w:rsidP="00B44362">
      <w:pPr>
        <w:spacing w:after="360" w:line="240" w:lineRule="auto"/>
        <w:jc w:val="both"/>
        <w:rPr>
          <w:rFonts w:ascii="Times New Roman" w:hAnsi="Times New Roman" w:cs="Times New Roman"/>
          <w:b/>
          <w:bCs/>
          <w:sz w:val="40"/>
          <w:szCs w:val="40"/>
          <w:vertAlign w:val="superscript"/>
        </w:rPr>
      </w:pPr>
      <w:r w:rsidRPr="00BE1586">
        <w:rPr>
          <w:rFonts w:ascii="Times New Roman" w:hAnsi="Times New Roman" w:cs="Times New Roman"/>
          <w:b/>
          <w:bCs/>
          <w:sz w:val="40"/>
          <w:szCs w:val="40"/>
          <w:vertAlign w:val="superscript"/>
        </w:rPr>
        <w:t>Introductio</w:t>
      </w:r>
      <w:r w:rsidR="00CE040B" w:rsidRPr="00BE1586">
        <w:rPr>
          <w:rFonts w:ascii="Times New Roman" w:hAnsi="Times New Roman" w:cs="Times New Roman"/>
          <w:b/>
          <w:bCs/>
          <w:sz w:val="40"/>
          <w:szCs w:val="40"/>
          <w:vertAlign w:val="superscript"/>
        </w:rPr>
        <w:t>n</w:t>
      </w:r>
    </w:p>
    <w:p w14:paraId="5A93ECA0" w14:textId="13990D17" w:rsidR="00EC1CC7" w:rsidRDefault="00580EE7" w:rsidP="00B44362">
      <w:pPr>
        <w:spacing w:after="360" w:line="240" w:lineRule="auto"/>
        <w:jc w:val="both"/>
        <w:rPr>
          <w:rFonts w:ascii="Times New Roman" w:hAnsi="Times New Roman" w:cs="Times New Roman"/>
          <w:b/>
          <w:bCs/>
          <w:sz w:val="40"/>
          <w:szCs w:val="40"/>
          <w:vertAlign w:val="superscript"/>
        </w:rPr>
      </w:pPr>
      <w:r w:rsidRPr="005A3C4C">
        <w:rPr>
          <w:rFonts w:ascii="Times New Roman" w:eastAsia="Times New Roman" w:hAnsi="Times New Roman" w:cs="Times New Roman"/>
          <w:sz w:val="24"/>
          <w:szCs w:val="24"/>
        </w:rPr>
        <w:t xml:space="preserve"> </w:t>
      </w:r>
      <w:r w:rsidR="00DB72D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Eating a diet with insufficient or excessive nutrients can result in malnutrition and other health problems. Malnutrition in all its manifestations, including undernutrition (stunting and underweight), micronutrient deficiencies, as well as overweight and obesity, constitutes a triple burden of disease, particularly for low- and middle-income countries. It is one of the main factors contributing to ill health and a significant barrier to the glo</w:t>
      </w:r>
      <w:r w:rsidRPr="005A3C4C">
        <w:rPr>
          <w:rFonts w:ascii="Times New Roman" w:eastAsia="Open Sans" w:hAnsi="Times New Roman" w:cs="Times New Roman"/>
          <w:sz w:val="24"/>
          <w:szCs w:val="24"/>
        </w:rPr>
        <w:t>bal realization of human potential and personal growth</w:t>
      </w:r>
      <w:r w:rsidR="00DB72DC">
        <w:rPr>
          <w:rFonts w:ascii="Times New Roman" w:eastAsia="Open Sans" w:hAnsi="Times New Roman" w:cs="Times New Roman"/>
          <w:sz w:val="24"/>
          <w:szCs w:val="24"/>
        </w:rPr>
        <w:t>”</w:t>
      </w:r>
      <w:r w:rsidRPr="005A3C4C">
        <w:rPr>
          <w:rFonts w:ascii="Times New Roman" w:eastAsia="Open Sans" w:hAnsi="Times New Roman" w:cs="Times New Roman"/>
          <w:sz w:val="24"/>
          <w:szCs w:val="24"/>
        </w:rPr>
        <w:t> </w:t>
      </w:r>
      <w:r w:rsidR="00DA3A82" w:rsidRPr="005A3C4C">
        <w:rPr>
          <w:rFonts w:ascii="Times New Roman" w:eastAsia="Open Sans" w:hAnsi="Times New Roman" w:cs="Times New Roman"/>
          <w:sz w:val="24"/>
          <w:szCs w:val="24"/>
        </w:rPr>
        <w:t xml:space="preserve"> </w:t>
      </w:r>
      <w:r w:rsidR="006219B7" w:rsidRPr="005A3C4C">
        <w:rPr>
          <w:rFonts w:ascii="Times New Roman" w:eastAsia="Open Sans" w:hAnsi="Times New Roman" w:cs="Times New Roman"/>
          <w:sz w:val="24"/>
          <w:szCs w:val="24"/>
        </w:rPr>
        <w:t xml:space="preserve"> </w:t>
      </w:r>
      <w:r w:rsidR="00DE4A1D" w:rsidRPr="005A3C4C">
        <w:rPr>
          <w:rFonts w:ascii="Times New Roman" w:eastAsia="Open Sans" w:hAnsi="Times New Roman" w:cs="Times New Roman"/>
          <w:sz w:val="24"/>
          <w:szCs w:val="24"/>
        </w:rPr>
        <w:fldChar w:fldCharType="begin" w:fldLock="1"/>
      </w:r>
      <w:r w:rsidR="007E3423" w:rsidRPr="005A3C4C">
        <w:rPr>
          <w:rFonts w:ascii="Times New Roman" w:eastAsia="Open Sans"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Open Sans" w:hAnsi="Times New Roman" w:cs="Times New Roman"/>
          <w:sz w:val="24"/>
          <w:szCs w:val="24"/>
        </w:rPr>
        <w:fldChar w:fldCharType="separate"/>
      </w:r>
      <w:r w:rsidR="00DE4A1D" w:rsidRPr="005A3C4C">
        <w:rPr>
          <w:rFonts w:ascii="Times New Roman" w:eastAsia="Open Sans" w:hAnsi="Times New Roman" w:cs="Times New Roman"/>
          <w:noProof/>
          <w:sz w:val="24"/>
          <w:szCs w:val="24"/>
        </w:rPr>
        <w:t xml:space="preserve">(Okoronkwo </w:t>
      </w:r>
      <w:r w:rsidR="00DE4A1D" w:rsidRPr="00A01844">
        <w:rPr>
          <w:rFonts w:ascii="Times New Roman" w:eastAsia="Open Sans" w:hAnsi="Times New Roman" w:cs="Times New Roman"/>
          <w:i/>
          <w:iCs/>
          <w:noProof/>
          <w:sz w:val="24"/>
          <w:szCs w:val="24"/>
        </w:rPr>
        <w:t>et al</w:t>
      </w:r>
      <w:r w:rsidR="00DE4A1D" w:rsidRPr="005A3C4C">
        <w:rPr>
          <w:rFonts w:ascii="Times New Roman" w:eastAsia="Open Sans" w:hAnsi="Times New Roman" w:cs="Times New Roman"/>
          <w:noProof/>
          <w:sz w:val="24"/>
          <w:szCs w:val="24"/>
        </w:rPr>
        <w:t>., 2023</w:t>
      </w:r>
      <w:r w:rsidR="00DE4A1D" w:rsidRPr="005A3C4C">
        <w:rPr>
          <w:rFonts w:ascii="Times New Roman" w:eastAsia="Open Sans" w:hAnsi="Times New Roman" w:cs="Times New Roman"/>
          <w:sz w:val="24"/>
          <w:szCs w:val="24"/>
        </w:rPr>
        <w:fldChar w:fldCharType="end"/>
      </w:r>
      <w:r w:rsidR="007D713E" w:rsidRPr="005A3C4C">
        <w:rPr>
          <w:rFonts w:ascii="Times New Roman" w:eastAsia="Open Sans" w:hAnsi="Times New Roman" w:cs="Times New Roman"/>
          <w:sz w:val="24"/>
          <w:szCs w:val="24"/>
        </w:rPr>
        <w:t>;</w:t>
      </w:r>
      <w:r w:rsidR="007E4C84">
        <w:rPr>
          <w:rFonts w:ascii="Times New Roman" w:eastAsia="Open Sans" w:hAnsi="Times New Roman" w:cs="Times New Roman"/>
          <w:sz w:val="24"/>
          <w:szCs w:val="24"/>
        </w:rPr>
        <w:t xml:space="preserve"> </w:t>
      </w:r>
      <w:r w:rsidR="004C1CFD" w:rsidRPr="005A3C4C">
        <w:rPr>
          <w:rFonts w:ascii="Times New Roman" w:eastAsia="Open Sans" w:hAnsi="Times New Roman" w:cs="Times New Roman"/>
          <w:sz w:val="24"/>
          <w:szCs w:val="24"/>
        </w:rPr>
        <w:fldChar w:fldCharType="begin" w:fldLock="1"/>
      </w:r>
      <w:r w:rsidR="007E3423" w:rsidRPr="005A3C4C">
        <w:rPr>
          <w:rFonts w:ascii="Times New Roman" w:eastAsia="Open Sans" w:hAnsi="Times New Roman" w:cs="Times New Roman"/>
          <w:sz w:val="24"/>
          <w:szCs w:val="24"/>
        </w:rPr>
        <w:instrText>ADDIN CSL_CITATION {"citationItems":[{"id":"ITEM-1","itemData":{"author":[{"dropping-particle":"","family":"Amoroso","given":"L.","non-dropping-particle":"","parse-names":false,"suffix":""}],"container-title":"Implications for Hidden Hunger.","id":"ITEM-1","issued":{"date-parts":[["2016"]]},"page":"142-152","title":"The Second International Conference on Nutrition:","type":"paper-conference"},"uris":["http://www.mendeley.com/documents/?uuid=de6db15a-7a3f-4231-9cb4-d862b07ae192"]}],"mendeley":{"formattedCitation":"(Amoroso, 2016)","manualFormatting":"Amoroso, 2016)","plainTextFormattedCitation":"(Amoroso, 2016)","previouslyFormattedCitation":"(Amoroso, 2016)"},"properties":{"noteIndex":0},"schema":"https://github.com/citation-style-language/schema/raw/master/csl-citation.json"}</w:instrText>
      </w:r>
      <w:r w:rsidR="004C1CFD" w:rsidRPr="005A3C4C">
        <w:rPr>
          <w:rFonts w:ascii="Times New Roman" w:eastAsia="Open Sans" w:hAnsi="Times New Roman" w:cs="Times New Roman"/>
          <w:sz w:val="24"/>
          <w:szCs w:val="24"/>
        </w:rPr>
        <w:fldChar w:fldCharType="separate"/>
      </w:r>
      <w:r w:rsidR="004C1CFD" w:rsidRPr="005A3C4C">
        <w:rPr>
          <w:rFonts w:ascii="Times New Roman" w:eastAsia="Open Sans" w:hAnsi="Times New Roman" w:cs="Times New Roman"/>
          <w:noProof/>
          <w:sz w:val="24"/>
          <w:szCs w:val="24"/>
        </w:rPr>
        <w:t>Amoroso, 2016)</w:t>
      </w:r>
      <w:r w:rsidR="004C1CFD" w:rsidRPr="005A3C4C">
        <w:rPr>
          <w:rFonts w:ascii="Times New Roman" w:eastAsia="Open Sans" w:hAnsi="Times New Roman" w:cs="Times New Roman"/>
          <w:sz w:val="24"/>
          <w:szCs w:val="24"/>
        </w:rPr>
        <w:fldChar w:fldCharType="end"/>
      </w:r>
      <w:r w:rsidR="004C1CFD" w:rsidRPr="005A3C4C">
        <w:rPr>
          <w:rFonts w:ascii="Times New Roman" w:eastAsia="Open Sans" w:hAnsi="Times New Roman" w:cs="Times New Roman"/>
          <w:sz w:val="24"/>
          <w:szCs w:val="24"/>
        </w:rPr>
        <w:t>.</w:t>
      </w:r>
      <w:r w:rsidR="00EE2B9E" w:rsidRPr="005A3C4C">
        <w:rPr>
          <w:rFonts w:ascii="Times New Roman" w:eastAsia="Open Sans" w:hAnsi="Times New Roman" w:cs="Times New Roman"/>
          <w:sz w:val="24"/>
          <w:szCs w:val="24"/>
          <w:shd w:val="clear" w:color="auto" w:fill="EDFAFF"/>
        </w:rPr>
        <w:t xml:space="preserve"> </w:t>
      </w:r>
    </w:p>
    <w:p w14:paraId="34A78F3E" w14:textId="0D7EE907" w:rsidR="00541274" w:rsidRPr="00EC1CC7" w:rsidRDefault="00541274" w:rsidP="00B44362">
      <w:pPr>
        <w:spacing w:after="360" w:line="240" w:lineRule="auto"/>
        <w:jc w:val="both"/>
        <w:rPr>
          <w:rFonts w:ascii="Times New Roman" w:hAnsi="Times New Roman" w:cs="Times New Roman"/>
          <w:b/>
          <w:bCs/>
          <w:sz w:val="40"/>
          <w:szCs w:val="40"/>
          <w:vertAlign w:val="superscript"/>
        </w:rPr>
      </w:pPr>
      <w:r w:rsidRPr="005A3C4C">
        <w:rPr>
          <w:rFonts w:ascii="Times New Roman" w:eastAsia="Calibri" w:hAnsi="Times New Roman" w:cs="Times New Roman"/>
          <w:sz w:val="24"/>
          <w:szCs w:val="24"/>
        </w:rPr>
        <w:t>Complementary feeding (CF) begins</w:t>
      </w:r>
      <w:r w:rsidRPr="005A3C4C">
        <w:rPr>
          <w:rFonts w:ascii="Times New Roman" w:eastAsia="Helvetica Neue" w:hAnsi="Times New Roman" w:cs="Times New Roman"/>
          <w:sz w:val="24"/>
          <w:szCs w:val="24"/>
        </w:rPr>
        <w:t xml:space="preserve"> </w:t>
      </w:r>
      <w:r w:rsidRPr="005A3C4C">
        <w:rPr>
          <w:rFonts w:ascii="Times New Roman" w:eastAsia="Calibri" w:hAnsi="Times New Roman" w:cs="Times New Roman"/>
          <w:sz w:val="24"/>
          <w:szCs w:val="24"/>
        </w:rPr>
        <w:t xml:space="preserve">when an infant's nutritional requirements surpass the adequacy of breast milk alone, necessitating the introduction of complementary meals and liquids alongside breastfeeding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{"citationItems":[{"id":"ITEM-1","itemData":{"DOI":"10.11648/j.ijfsb.20190403.13","author":[{"dropping-particle":"","family":"Abolaji","given":"Bello Florence","non-dropping-particle":"","parse-names":false,"suffix":""},{"dropping-particle":"","family":"Edeke","given":"Edeke Joy","non-dropping-particle":"","parse-names":false,"suffix":""},{"dropping-particle":"","family":"Ajoke","given":"Sodipo Mopelola","non-dropping-particle":"","parse-names":false,"suffix":""}],"id":"ITEM-1","issue":"3","issued":{"date-parts":[["2019"]]},"page":"74-81","title":"Evaluation of Chemical , Functional and Sensory Properties of Flour Blends from Sorghum , African Yam Bean and Soybean for Use as Complementary Feeding","type":"article-journal","volume":"4"},"uris":["http://www.mendeley.com/documents/?uuid=76f68ab1-7b73-4b8f-b39d-8fc8e65d7cf3"]}],"mendeley":{"formattedCitation":"(Abolaji et al., 2019)","plainTextFormattedCitation":"(Abolaji et al., 2019)","previouslyFormattedCitation":"(Abolaji et al., 2019)"},"properties":{"noteIndex":0},"schema":"https://github.com/citation-style-language/schema/raw/master/csl-citation.json"}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(Abolaji</w:t>
      </w:r>
      <w:r w:rsidRPr="009B1B0C">
        <w:rPr>
          <w:rFonts w:ascii="Times New Roman" w:eastAsia="Calibri" w:hAnsi="Times New Roman" w:cs="Times New Roman"/>
          <w:i/>
          <w:iCs/>
          <w:noProof/>
          <w:sz w:val="24"/>
          <w:szCs w:val="24"/>
        </w:rPr>
        <w:t xml:space="preserve"> et al.</w:t>
      </w:r>
      <w:r w:rsidRPr="005A3C4C">
        <w:rPr>
          <w:rFonts w:ascii="Times New Roman" w:eastAsia="Calibri" w:hAnsi="Times New Roman" w:cs="Times New Roman"/>
          <w:noProof/>
          <w:sz w:val="24"/>
          <w:szCs w:val="24"/>
        </w:rPr>
        <w:t>, 2019)</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w:t>
      </w:r>
      <w:r w:rsidR="00A01844">
        <w:rPr>
          <w:rFonts w:ascii="Times New Roman" w:eastAsia="Calibri" w:hAnsi="Times New Roman" w:cs="Times New Roman"/>
          <w:sz w:val="24"/>
          <w:szCs w:val="24"/>
        </w:rPr>
        <w:t>Complementary foods (CF) facilitate</w:t>
      </w:r>
      <w:r w:rsidRPr="005A3C4C">
        <w:rPr>
          <w:rFonts w:ascii="Times New Roman" w:eastAsia="Calibri" w:hAnsi="Times New Roman" w:cs="Times New Roman"/>
          <w:sz w:val="24"/>
          <w:szCs w:val="24"/>
        </w:rPr>
        <w:t xml:space="preserve"> the transition from milk feeding to family foods, addressing nutritional and developmental needs. Newborns endure rapid growth and development throughout the C</w:t>
      </w:r>
      <w:r w:rsidR="009B1B0C">
        <w:rPr>
          <w:rFonts w:ascii="Times New Roman" w:eastAsia="Calibri" w:hAnsi="Times New Roman" w:cs="Times New Roman"/>
          <w:sz w:val="24"/>
          <w:szCs w:val="24"/>
        </w:rPr>
        <w:t>omplementary feeding</w:t>
      </w:r>
      <w:r w:rsidRPr="005A3C4C">
        <w:rPr>
          <w:rFonts w:ascii="Times New Roman" w:eastAsia="Calibri" w:hAnsi="Times New Roman" w:cs="Times New Roman"/>
          <w:sz w:val="24"/>
          <w:szCs w:val="24"/>
        </w:rPr>
        <w:t xml:space="preserve"> period, which s</w:t>
      </w:r>
      <w:r w:rsidR="000E3CFE">
        <w:rPr>
          <w:rFonts w:ascii="Times New Roman" w:eastAsia="Calibri" w:hAnsi="Times New Roman" w:cs="Times New Roman"/>
          <w:sz w:val="24"/>
          <w:szCs w:val="24"/>
        </w:rPr>
        <w:t xml:space="preserve">ignifies </w:t>
      </w:r>
      <w:r w:rsidRPr="005A3C4C">
        <w:rPr>
          <w:rFonts w:ascii="Times New Roman" w:eastAsia="Calibri" w:hAnsi="Times New Roman" w:cs="Times New Roman"/>
          <w:sz w:val="24"/>
          <w:szCs w:val="24"/>
        </w:rPr>
        <w:t xml:space="preserve">noticeable dietary changes </w:t>
      </w:r>
      <w:r w:rsidR="00A01844">
        <w:rPr>
          <w:rFonts w:ascii="Times New Roman" w:eastAsia="Calibri" w:hAnsi="Times New Roman" w:cs="Times New Roman"/>
          <w:sz w:val="24"/>
          <w:szCs w:val="24"/>
        </w:rPr>
        <w:t>due to</w:t>
      </w:r>
      <w:r w:rsidRPr="005A3C4C">
        <w:rPr>
          <w:rFonts w:ascii="Times New Roman" w:eastAsia="Calibri" w:hAnsi="Times New Roman" w:cs="Times New Roman"/>
          <w:sz w:val="24"/>
          <w:szCs w:val="24"/>
        </w:rPr>
        <w:t xml:space="preserve"> exposure to novel foods, tastes, and eating experiences. During this time, infants are particularly vulnerable to nutritional deficiency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10.1097/MPG.0000000000001454","ISBN":"0000000000","author":[{"dropping-particle":"","family":"Fewtrell","given":"Mary","non-dropping-particle":"","parse-names":false,"suffix":""},{"dropping-particle":"","family":"Bronsky","given":"Jiri","non-dropping-particle":"","parse-names":false,"suffix":""},{"dropping-particle":"","family":"Campoy","given":"Cristina","non-dropping-particle":"","parse-names":false,"suffix":""},{"dropping-particle":"","family":"Domello","given":"Magnus","non-dropping-particle":"","parse-names":false,"suffix":""},{"dropping-particle":"","family":"Embleton","given":"Nicholas","non-dropping-particle":"","parse-names":false,"suffix":""}],"container-title":"Journal of Pediatric Gastroenterology and Gutrition","id":"ITEM-1","issue":"1","issued":{"date-parts":[["2017"]]},"page":"119-132","title":"Complementary Feeding: A Position Paper by the European Society for Paediatric Gastroenterology, Hepatology, and Nutrition (ESPGHAN) Committee on Nutrition","type":"article-journal","volume":"64"},"uris":["http://www.mendeley.com/documents/?uuid=cbb87c55-ecf9-407c-897d-967ae3ae66ad"]}],"mendeley":{"formattedCitation":"(Fewtrell et al., 2017)","plainTextFormattedCitation":"(Fewtrell et al., 2017)","previouslyFormattedCitation":"(Fewtrell et al., 2017)"},"properties":{"noteIndex":0},"schema":"https://github.com/citation-style-language/schema/raw/master/csl-citation.json"}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 xml:space="preserve">(Fewtrell </w:t>
      </w:r>
      <w:r w:rsidRPr="006A241D">
        <w:rPr>
          <w:rFonts w:ascii="Times New Roman" w:eastAsia="Calibri" w:hAnsi="Times New Roman" w:cs="Times New Roman"/>
          <w:i/>
          <w:iCs/>
          <w:noProof/>
          <w:sz w:val="24"/>
          <w:szCs w:val="24"/>
        </w:rPr>
        <w:t>et al.</w:t>
      </w:r>
      <w:r w:rsidRPr="005A3C4C">
        <w:rPr>
          <w:rFonts w:ascii="Times New Roman" w:eastAsia="Calibri" w:hAnsi="Times New Roman" w:cs="Times New Roman"/>
          <w:noProof/>
          <w:sz w:val="24"/>
          <w:szCs w:val="24"/>
        </w:rPr>
        <w:t>, 2017)</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w:t>
      </w:r>
    </w:p>
    <w:p w14:paraId="6C9CC6E5" w14:textId="7ECA771A" w:rsidR="001B0E81" w:rsidRPr="0035675C" w:rsidRDefault="00541274" w:rsidP="00B44362">
      <w:pPr>
        <w:spacing w:line="240" w:lineRule="auto"/>
        <w:jc w:val="both"/>
        <w:rPr>
          <w:rFonts w:ascii="Times New Roman" w:eastAsia="Calibri" w:hAnsi="Times New Roman" w:cs="Times New Roman"/>
          <w:sz w:val="24"/>
          <w:szCs w:val="24"/>
        </w:rPr>
      </w:pPr>
      <w:r w:rsidRPr="005A3C4C">
        <w:rPr>
          <w:rFonts w:ascii="Times New Roman" w:eastAsia="Calibri" w:hAnsi="Times New Roman" w:cs="Times New Roman"/>
          <w:sz w:val="24"/>
          <w:szCs w:val="24"/>
        </w:rPr>
        <w:t xml:space="preserve">Initiating the gradual introduction of soft, semisolid, and solid foods is implemented as a complementary feeding strategy for infants starting at the age of six months. Additionally, </w:t>
      </w:r>
      <w:r w:rsidR="006A241D">
        <w:rPr>
          <w:rFonts w:ascii="Times New Roman" w:eastAsia="Calibri" w:hAnsi="Times New Roman" w:cs="Times New Roman"/>
          <w:sz w:val="24"/>
          <w:szCs w:val="24"/>
        </w:rPr>
        <w:t>starting supplemental feeding practices on schedule and breastfeeding infants is importan</w:t>
      </w:r>
      <w:r w:rsidR="00251F12">
        <w:rPr>
          <w:rFonts w:ascii="Times New Roman" w:eastAsia="Calibri" w:hAnsi="Times New Roman" w:cs="Times New Roman"/>
          <w:sz w:val="24"/>
          <w:szCs w:val="24"/>
        </w:rPr>
        <w:t xml:space="preserve"> </w:t>
      </w:r>
      <w:r w:rsidR="006A241D">
        <w:rPr>
          <w:rFonts w:ascii="Times New Roman" w:eastAsia="Calibri" w:hAnsi="Times New Roman" w:cs="Times New Roman"/>
          <w:sz w:val="24"/>
          <w:szCs w:val="24"/>
        </w:rPr>
        <w:t>t</w:t>
      </w:r>
      <w:r w:rsidRPr="005A3C4C">
        <w:rPr>
          <w:rFonts w:ascii="Times New Roman" w:eastAsia="Calibri" w:hAnsi="Times New Roman" w:cs="Times New Roman"/>
          <w:sz w:val="24"/>
          <w:szCs w:val="24"/>
        </w:rPr>
        <w:t xml:space="preserve"> </w:t>
      </w:r>
      <w:r w:rsidRPr="005A3C4C">
        <w:rPr>
          <w:rFonts w:ascii="Times New Roman" w:eastAsia="Calibri" w:hAnsi="Times New Roman" w:cs="Times New Roman"/>
          <w:sz w:val="24"/>
          <w:szCs w:val="24"/>
        </w:rPr>
        <w:fldChar w:fldCharType="begin" w:fldLock="1"/>
      </w:r>
      <w:r w:rsidR="00DA3A82" w:rsidRPr="005A3C4C">
        <w:rPr>
          <w:rFonts w:ascii="Times New Roman" w:eastAsia="Calibri" w:hAnsi="Times New Roman" w:cs="Times New Roman"/>
          <w:sz w:val="24"/>
          <w:szCs w:val="24"/>
        </w:rPr>
        <w:instrText>ADDIN CSL_CITATION {"citationItems":[{"id":"ITEM-1","itemData":{"DOI":"10.1186/s13104-019-4259-3","ISBN":"1310401942","ISSN":"17560500","PMID":"30961638","abstract":"Objective: This study was aimed to assess appropriate complementary feeding practice and associated factors among mothers having children aged 6-24 months in Debre Tabor Hospital, North West Ethiopia, 2016. Results: In this study, 37.2% of mothers had appropriate complementary feeding practice. Mothers' level of education above grade 12 (AOR = 2.96, CI 1.2-7.62), husbands' occupation (AOR = 4.01, CI 1.3-12.44), mothers 'having exclusive breast feeding practice (AOR = 6.12, CI 3.04-12.3), health education about exclusive breast feeding during antenatal care visit (AOR = 5.59, CI 1.24-25.17) and advice on appropriate complementary feeding practice during antenatal care visit (AOR = 6.34, CI 1.5-26.91), and mothers who have got under 5 unit service due to infant and young children illness (AOR = 0.44, CI 0.22-0.89) were statistically significant variables for appropriate complementary feeding practice.","author":[{"dropping-particle":"","family":"Dagne","given":"","non-dropping-particle":"","parse-names":false,"suffix":""},{"dropping-particle":"","family":"Hailu","given":"Asrat","non-dropping-particle":"","parse-names":false,"suffix":""},{"dropping-particle":"","family":"Anteneh","given":"","non-dropping-particle":"","parse-names":false,"suffix":""},{"dropping-particle":"","family":"Temegen","given":"Kiber","non-dropping-particle":"","parse-names":false,"suffix":""},{"dropping-particle":"","family":"Badi","given":"Marta Berta","non-dropping-particle":"","parse-names":false,"suffix":""},{"dropping-particle":"","family":"Adhanu","given":"Hadgay Hagos","non-dropping-particle":"","parse-names":false,"suffix":""},{"dropping-particle":"","family":"Ahunie","given":"Mekonnen Assefa","non-dropping-particle":"","parse-names":false,"suffix":""},{"dropping-particle":"","family":"Tebeje","given":"Hmariam Demewozu","non-dropping-particle":"","parse-names":false,"suffix":""},{"dropping-particle":"","family":"Aynalem","given":"Getie Lake","non-dropping-particle":"","parse-names":false,"suffix":""}],"container-title":"BMC Research Notes","id":"ITEM-1","issue":"1","issued":{"date-parts":[["2019"]]},"page":"1-6","publisher":"BioMed Central","title":"Appropriate complementary feeding practice and associated factors among mothers having children aged 6-24 months in Debre Tabor Hospital, North West Ethiopia, 2016","type":"article-journal","volume":"12"},"uris":["http://www.mendeley.com/documents/?uuid=6fbe59a5-ac68-44b7-b380-fb6ee855fcbe"]}],"mendeley":{"formattedCitation":"(Dagne et al., 2019)","plainTextFormattedCitation":"(Dagne et al., 2019)","previouslyFormattedCitation":"(Dagne et al., 2019)"},"properties":{"noteIndex":0},"schema":"https://github.com/citation-style-language/schema/raw/master/csl-citation.json"}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Pr="005A3C4C">
        <w:rPr>
          <w:rFonts w:ascii="Times New Roman" w:eastAsia="Calibri" w:hAnsi="Times New Roman" w:cs="Times New Roman"/>
          <w:noProof/>
          <w:sz w:val="24"/>
          <w:szCs w:val="24"/>
        </w:rPr>
        <w:t xml:space="preserve">(Dagne </w:t>
      </w:r>
      <w:r w:rsidRPr="006A241D">
        <w:rPr>
          <w:rFonts w:ascii="Times New Roman" w:eastAsia="Calibri" w:hAnsi="Times New Roman" w:cs="Times New Roman"/>
          <w:i/>
          <w:iCs/>
          <w:noProof/>
          <w:sz w:val="24"/>
          <w:szCs w:val="24"/>
        </w:rPr>
        <w:t>et al</w:t>
      </w:r>
      <w:r w:rsidRPr="005A3C4C">
        <w:rPr>
          <w:rFonts w:ascii="Times New Roman" w:eastAsia="Calibri" w:hAnsi="Times New Roman" w:cs="Times New Roman"/>
          <w:noProof/>
          <w:sz w:val="24"/>
          <w:szCs w:val="24"/>
        </w:rPr>
        <w:t xml:space="preserve">., </w:t>
      </w:r>
      <w:r w:rsidRPr="005A3C4C">
        <w:rPr>
          <w:rFonts w:ascii="Times New Roman" w:eastAsia="Calibri" w:hAnsi="Times New Roman" w:cs="Times New Roman"/>
          <w:noProof/>
          <w:sz w:val="24"/>
          <w:szCs w:val="24"/>
        </w:rPr>
        <w:lastRenderedPageBreak/>
        <w:t>2019)</w:t>
      </w:r>
      <w:r w:rsidRPr="005A3C4C">
        <w:rPr>
          <w:rFonts w:ascii="Times New Roman" w:eastAsia="Calibri" w:hAnsi="Times New Roman" w:cs="Times New Roman"/>
          <w:sz w:val="24"/>
          <w:szCs w:val="24"/>
        </w:rPr>
        <w:fldChar w:fldCharType="end"/>
      </w:r>
      <w:r w:rsidRPr="005A3C4C">
        <w:rPr>
          <w:rFonts w:ascii="Times New Roman" w:eastAsia="Calibri" w:hAnsi="Times New Roman" w:cs="Times New Roman"/>
          <w:sz w:val="24"/>
          <w:szCs w:val="24"/>
        </w:rPr>
        <w:t xml:space="preserve">. According to </w:t>
      </w:r>
      <w:r w:rsidRPr="005A3C4C">
        <w:rPr>
          <w:rFonts w:ascii="Times New Roman" w:eastAsia="Calibri" w:hAnsi="Times New Roman" w:cs="Times New Roman"/>
          <w:sz w:val="24"/>
          <w:szCs w:val="24"/>
        </w:rPr>
        <w:fldChar w:fldCharType="begin" w:fldLock="1"/>
      </w:r>
      <w:r w:rsidR="007E3423" w:rsidRPr="005A3C4C">
        <w:rPr>
          <w:rFonts w:ascii="Times New Roman" w:eastAsia="Calibri" w:hAnsi="Times New Roman" w:cs="Times New Roman"/>
          <w:sz w:val="24"/>
          <w:szCs w:val="24"/>
        </w:rPr>
        <w:instrText>ADDIN CSL_CITATION {"citationItems":[{"id":"ITEM-1","itemData":{"author":[{"dropping-particle":"","family":"N. E. Obasi1*","given":"","non-dropping-particle":"","parse-names":false,"suffix":""},{"dropping-particle":"","family":"Okakpu","given":"","non-dropping-particle":"","parse-names":false,"suffix":""},{"dropping-particle":"","family":"Ukah1","given":"O. G.","non-dropping-particle":"","parse-names":false,"suffix":""},{"dropping-particle":"","family":"J.","given":"C.","non-dropping-particle":"","parse-names":false,"suffix":""}],"container-title":"Jounal of Food Science","id":"ITEM-1","issue":"5","issued":{"date-parts":[["2018"]]},"page":"2348-0394","title":"Formulation and Evaluation of Complementary Foods from Flour Blends of Sprouted Paddy Rice (Oryza sativa), Sprouted African Yam Bean (Sphenostylis sternocarpa) and Pawpaw Fruit (Carica papaya) Advances in Research","type":"article-journal","volume":"15"},"uris":["http://www.mendeley.com/documents/?uuid=813fc776-1020-4e2a-81b7-2de4449b11de"]}],"mendeley":{"formattedCitation":"(N. E. Obasi1* et al., 2018)","manualFormatting":"Obasi1 et al. (2018)","plainTextFormattedCitation":"(N. E. Obasi1* et al., 2018)","previouslyFormattedCitation":"(N. E. Obasi1* et al., 2018)"},"properties":{"noteIndex":0},"schema":"https://github.com/citation-style-language/schema/raw/master/csl-citation.json"}</w:instrText>
      </w:r>
      <w:r w:rsidRPr="005A3C4C">
        <w:rPr>
          <w:rFonts w:ascii="Times New Roman" w:eastAsia="Calibri" w:hAnsi="Times New Roman" w:cs="Times New Roman"/>
          <w:sz w:val="24"/>
          <w:szCs w:val="24"/>
        </w:rPr>
        <w:fldChar w:fldCharType="separate"/>
      </w:r>
      <w:r w:rsidR="00AA6182" w:rsidRPr="005A3C4C">
        <w:rPr>
          <w:rFonts w:ascii="Times New Roman" w:eastAsia="Calibri" w:hAnsi="Times New Roman" w:cs="Times New Roman"/>
          <w:noProof/>
          <w:sz w:val="24"/>
          <w:szCs w:val="24"/>
        </w:rPr>
        <w:t xml:space="preserve">Obasi1 </w:t>
      </w:r>
      <w:r w:rsidR="00AA6182" w:rsidRPr="006A241D">
        <w:rPr>
          <w:rFonts w:ascii="Times New Roman" w:eastAsia="Calibri" w:hAnsi="Times New Roman" w:cs="Times New Roman"/>
          <w:i/>
          <w:iCs/>
          <w:noProof/>
          <w:sz w:val="24"/>
          <w:szCs w:val="24"/>
        </w:rPr>
        <w:t>et al</w:t>
      </w:r>
      <w:r w:rsidR="00AA6182" w:rsidRPr="005A3C4C">
        <w:rPr>
          <w:rFonts w:ascii="Times New Roman" w:eastAsia="Calibri" w:hAnsi="Times New Roman" w:cs="Times New Roman"/>
          <w:noProof/>
          <w:sz w:val="24"/>
          <w:szCs w:val="24"/>
        </w:rPr>
        <w:t>.</w:t>
      </w:r>
      <w:r w:rsidRPr="005A3C4C">
        <w:rPr>
          <w:rFonts w:ascii="Times New Roman" w:eastAsia="Calibri" w:hAnsi="Times New Roman" w:cs="Times New Roman"/>
          <w:noProof/>
          <w:sz w:val="24"/>
          <w:szCs w:val="24"/>
        </w:rPr>
        <w:t xml:space="preserve"> </w:t>
      </w:r>
      <w:r w:rsidR="00AA6182" w:rsidRPr="005A3C4C">
        <w:rPr>
          <w:rFonts w:ascii="Times New Roman" w:eastAsia="Calibri" w:hAnsi="Times New Roman" w:cs="Times New Roman"/>
          <w:noProof/>
          <w:sz w:val="24"/>
          <w:szCs w:val="24"/>
        </w:rPr>
        <w:t>(</w:t>
      </w:r>
      <w:r w:rsidRPr="005A3C4C">
        <w:rPr>
          <w:rFonts w:ascii="Times New Roman" w:eastAsia="Calibri" w:hAnsi="Times New Roman" w:cs="Times New Roman"/>
          <w:noProof/>
          <w:sz w:val="24"/>
          <w:szCs w:val="24"/>
        </w:rPr>
        <w:t>2018)</w:t>
      </w:r>
      <w:r w:rsidRPr="005A3C4C">
        <w:rPr>
          <w:rFonts w:ascii="Times New Roman" w:eastAsia="Calibri" w:hAnsi="Times New Roman" w:cs="Times New Roman"/>
          <w:sz w:val="24"/>
          <w:szCs w:val="24"/>
        </w:rPr>
        <w:fldChar w:fldCharType="end"/>
      </w:r>
      <w:r w:rsidR="00AA6182" w:rsidRPr="005A3C4C">
        <w:rPr>
          <w:rFonts w:ascii="Times New Roman" w:eastAsia="Calibri" w:hAnsi="Times New Roman" w:cs="Times New Roman"/>
          <w:sz w:val="24"/>
          <w:szCs w:val="24"/>
        </w:rPr>
        <w:t>,</w:t>
      </w:r>
      <w:r w:rsidRPr="005A3C4C">
        <w:rPr>
          <w:rFonts w:ascii="Times New Roman" w:eastAsia="Calibri" w:hAnsi="Times New Roman" w:cs="Times New Roman"/>
          <w:sz w:val="24"/>
          <w:szCs w:val="24"/>
        </w:rPr>
        <w:t xml:space="preserve"> complementary foods are combinations of various nutrient qualities high in protein, fats, carbohydrates, vitamins and minerals derived from grains, fruits, milk, and different food origins. </w:t>
      </w:r>
      <w:r w:rsidR="001B0E81">
        <w:rPr>
          <w:rFonts w:ascii="Times New Roman" w:eastAsia="Calibri" w:hAnsi="Times New Roman" w:cs="Times New Roman"/>
          <w:sz w:val="24"/>
          <w:szCs w:val="24"/>
        </w:rPr>
        <w:t>Food rich in amino acids facilitates the growth and development of infants</w:t>
      </w:r>
    </w:p>
    <w:p w14:paraId="6E25C84A" w14:textId="4605323E" w:rsidR="00756D08" w:rsidRPr="005A3C4C" w:rsidRDefault="00DB72DC" w:rsidP="00B4436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B0E81" w:rsidRPr="0035675C">
        <w:rPr>
          <w:rFonts w:ascii="Times New Roman" w:eastAsia="Times New Roman" w:hAnsi="Times New Roman" w:cs="Times New Roman"/>
          <w:sz w:val="24"/>
          <w:szCs w:val="24"/>
        </w:rPr>
        <w:t>The basic building blocks of life are amino acids. They play a well-known role in protein synthesis, but they also participate in a variety of other intracellular metabolic pathways that promote cellular</w:t>
      </w:r>
      <w:r w:rsidR="001B0E81">
        <w:rPr>
          <w:rFonts w:ascii="Times New Roman" w:eastAsia="Times New Roman" w:hAnsi="Times New Roman" w:cs="Times New Roman"/>
          <w:sz w:val="24"/>
          <w:szCs w:val="24"/>
        </w:rPr>
        <w:t xml:space="preserve"> </w:t>
      </w:r>
      <w:r w:rsidR="00580EE7" w:rsidRPr="005A3C4C">
        <w:rPr>
          <w:rFonts w:ascii="Times New Roman" w:eastAsia="Times New Roman" w:hAnsi="Times New Roman" w:cs="Times New Roman"/>
          <w:sz w:val="24"/>
          <w:szCs w:val="24"/>
        </w:rPr>
        <w:t xml:space="preserve">and organismal function, such as ATP synthesis, nucleotide synthesis, and redox balancing. </w:t>
      </w:r>
      <w:r w:rsidR="00DE08DD">
        <w:rPr>
          <w:rFonts w:ascii="Times New Roman" w:eastAsia="Times New Roman" w:hAnsi="Times New Roman" w:cs="Times New Roman"/>
          <w:sz w:val="24"/>
          <w:szCs w:val="24"/>
        </w:rPr>
        <w:t>Immune cells are crucially dependent on such pathways to acquire energy and biomass and to rewire their metabolism after activation to sustain growth, proliferation, and effector functions</w:t>
      </w:r>
      <w:r w:rsidR="00580EE7" w:rsidRPr="005A3C4C">
        <w:rPr>
          <w:rFonts w:ascii="Times New Roman" w:eastAsia="Times New Roman" w:hAnsi="Times New Roman" w:cs="Times New Roman"/>
          <w:sz w:val="24"/>
          <w:szCs w:val="24"/>
        </w:rPr>
        <w:t>. In addition to supporting enhanced protein synthesis in immune cells, amino acid metabolism is important for this metabolic rewiring</w:t>
      </w:r>
      <w:r>
        <w:rPr>
          <w:rFonts w:ascii="Times New Roman" w:eastAsia="Times New Roman" w:hAnsi="Times New Roman" w:cs="Times New Roman"/>
          <w:sz w:val="24"/>
          <w:szCs w:val="24"/>
        </w:rPr>
        <w:t>”</w:t>
      </w:r>
      <w:r w:rsidR="00580EE7" w:rsidRPr="005A3C4C">
        <w:rPr>
          <w:rFonts w:ascii="Times New Roman" w:eastAsia="Times New Roman" w:hAnsi="Times New Roman" w:cs="Times New Roman"/>
          <w:sz w:val="24"/>
          <w:szCs w:val="24"/>
        </w:rPr>
        <w:t xml:space="preserve"> </w:t>
      </w:r>
      <w:r w:rsidR="00891AE0" w:rsidRPr="005A3C4C">
        <w:rPr>
          <w:rFonts w:ascii="Times New Roman" w:eastAsia="Times New Roman" w:hAnsi="Times New Roman" w:cs="Times New Roman"/>
          <w:sz w:val="24"/>
          <w:szCs w:val="24"/>
        </w:rPr>
        <w:fldChar w:fldCharType="begin" w:fldLock="1"/>
      </w:r>
      <w:r w:rsidR="00891AE0" w:rsidRPr="005A3C4C">
        <w:rPr>
          <w:rFonts w:ascii="Times New Roman" w:eastAsia="Times New Roman" w:hAnsi="Times New Roman" w:cs="Times New Roman"/>
          <w:sz w:val="24"/>
          <w:szCs w:val="24"/>
        </w:rPr>
        <w:instrText>ADDIN CSL_CITATION {"citationItems":[{"id":"ITEM-1","itemData":{"DOI":"10.1016/j.cmet.2020.06.010","ISSN":"19327420","PMID":"32649859","abstract":"Amino acids are fundamental building blocks supporting life. Their role in protein synthesis is well defined, but they contribute to a host of other intracellular metabolic pathways, including ATP generation, nucleotide synthesis, and redox balance, to support cellular and organismal function. Immune cells critically depend on such pathways to acquire energy and biomass and to reprogram their metabolism upon activation to support growth, proliferation, and effector functions. Amino acid metabolism plays a key role in this metabolic rewiring, and it supports various immune cell functions beyond increased protein synthesis. Here, we review the mechanisms by which amino acid metabolism promotes immune cell function, and how these processes could be targeted to improve immunity in pathological conditions.","author":[{"dropping-particle":"","family":"Kelly","given":"Beth","non-dropping-particle":"","parse-names":false,"suffix":""},{"dropping-particle":"","family":"Pearce","given":"Erika L.","non-dropping-particle":"","parse-names":false,"suffix":""}],"container-title":"Cell Metabolism","id":"ITEM-1","issue":"2","issued":{"date-parts":[["2020"]]},"page":"154-175","publisher":"Elsevier","title":"Amino Assets: How Amino Acids Support Immunity","type":"article-journal","volume":"32"},"uris":["http://www.mendeley.com/documents/?uuid=060010fa-9cce-46c6-8bff-732e73f17e73"]}],"mendeley":{"formattedCitation":"(Kelly &amp; Pearce, 2020)","plainTextFormattedCitation":"(Kelly &amp; Pearce, 2020)","previouslyFormattedCitation":"(Kelly &amp; Pearce, 2020)"},"properties":{"noteIndex":0},"schema":"https://github.com/citation-style-language/schema/raw/master/csl-citation.json"}</w:instrText>
      </w:r>
      <w:r w:rsidR="00891AE0" w:rsidRPr="005A3C4C">
        <w:rPr>
          <w:rFonts w:ascii="Times New Roman" w:eastAsia="Times New Roman" w:hAnsi="Times New Roman" w:cs="Times New Roman"/>
          <w:sz w:val="24"/>
          <w:szCs w:val="24"/>
        </w:rPr>
        <w:fldChar w:fldCharType="separate"/>
      </w:r>
      <w:r w:rsidR="00891AE0" w:rsidRPr="005A3C4C">
        <w:rPr>
          <w:rFonts w:ascii="Times New Roman" w:eastAsia="Times New Roman" w:hAnsi="Times New Roman" w:cs="Times New Roman"/>
          <w:noProof/>
          <w:sz w:val="24"/>
          <w:szCs w:val="24"/>
        </w:rPr>
        <w:t xml:space="preserve">(Kelly </w:t>
      </w:r>
      <w:r w:rsidR="00DE08DD">
        <w:rPr>
          <w:rFonts w:ascii="Times New Roman" w:eastAsia="Times New Roman" w:hAnsi="Times New Roman" w:cs="Times New Roman"/>
          <w:noProof/>
          <w:sz w:val="24"/>
          <w:szCs w:val="24"/>
        </w:rPr>
        <w:t>and</w:t>
      </w:r>
      <w:r w:rsidR="00891AE0" w:rsidRPr="005A3C4C">
        <w:rPr>
          <w:rFonts w:ascii="Times New Roman" w:eastAsia="Times New Roman" w:hAnsi="Times New Roman" w:cs="Times New Roman"/>
          <w:noProof/>
          <w:sz w:val="24"/>
          <w:szCs w:val="24"/>
        </w:rPr>
        <w:t xml:space="preserve"> Pearce, 2020)</w:t>
      </w:r>
      <w:r w:rsidR="00891AE0" w:rsidRPr="005A3C4C">
        <w:rPr>
          <w:rFonts w:ascii="Times New Roman" w:eastAsia="Times New Roman" w:hAnsi="Times New Roman" w:cs="Times New Roman"/>
          <w:sz w:val="24"/>
          <w:szCs w:val="24"/>
        </w:rPr>
        <w:fldChar w:fldCharType="end"/>
      </w:r>
      <w:r w:rsidR="00EC1CC7">
        <w:rPr>
          <w:rFonts w:ascii="Times New Roman" w:eastAsia="Times New Roman" w:hAnsi="Times New Roman" w:cs="Times New Roman"/>
          <w:sz w:val="24"/>
          <w:szCs w:val="24"/>
        </w:rPr>
        <w:t>.</w:t>
      </w:r>
    </w:p>
    <w:p w14:paraId="0BA1690E" w14:textId="5641B72A" w:rsidR="00E822F5" w:rsidRPr="005A3C4C" w:rsidRDefault="00E822F5"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Anti-nutritional factors are those substances or chemical compounds that are harmful to humans and </w:t>
      </w:r>
      <w:r w:rsidR="000A7E1F" w:rsidRPr="005A3C4C">
        <w:rPr>
          <w:rFonts w:ascii="Times New Roman" w:eastAsia="Times New Roman" w:hAnsi="Times New Roman" w:cs="Times New Roman"/>
          <w:sz w:val="24"/>
          <w:szCs w:val="24"/>
        </w:rPr>
        <w:t>reduce</w:t>
      </w:r>
      <w:r w:rsidRPr="005A3C4C">
        <w:rPr>
          <w:rFonts w:ascii="Times New Roman" w:eastAsia="Times New Roman" w:hAnsi="Times New Roman" w:cs="Times New Roman"/>
          <w:sz w:val="24"/>
          <w:szCs w:val="24"/>
        </w:rPr>
        <w:t xml:space="preserve"> the body's ability to absorb nutrients. They can be found in fruits and other foods in general. Depending on the type of food, how it is produced, the chemicals used in crop growth as well as those employed in food storage and preservation, anti-nutritional agents are present in various food items in diverse degrees. </w:t>
      </w:r>
    </w:p>
    <w:p w14:paraId="2D3DA15D" w14:textId="4DB5B5DA" w:rsidR="00580EE7" w:rsidRPr="005A3C4C" w:rsidRDefault="00580EE7"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Sensory evaluation </w:t>
      </w:r>
      <w:r w:rsidR="00660CB1" w:rsidRPr="005A3C4C">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a science that measures, analyses and interprets the reaction of the senses of sight, smell, sound, taste</w:t>
      </w:r>
      <w:r w:rsidR="000A7E1F"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texture to </w:t>
      </w:r>
      <w:r w:rsidR="000A7E1F" w:rsidRPr="005A3C4C">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 xml:space="preserve">product </w:t>
      </w:r>
      <w:r w:rsidR="00E66DE5" w:rsidRPr="005A3C4C">
        <w:rPr>
          <w:rFonts w:ascii="Times New Roman" w:eastAsia="Times New Roman" w:hAnsi="Times New Roman" w:cs="Times New Roman"/>
          <w:sz w:val="24"/>
          <w:szCs w:val="24"/>
        </w:rPr>
        <w:fldChar w:fldCharType="begin" w:fldLock="1"/>
      </w:r>
      <w:r w:rsidR="00E66DE5" w:rsidRPr="005A3C4C">
        <w:rPr>
          <w:rFonts w:ascii="Times New Roman" w:eastAsia="Times New Roman" w:hAnsi="Times New Roman" w:cs="Times New Roman"/>
          <w:sz w:val="24"/>
          <w:szCs w:val="24"/>
        </w:rPr>
        <w:instrText>ADDIN CSL_CITATION {"citationItems":[{"id":"ITEM-1","itemData":{"author":[{"dropping-particle":"","family":"Darko","given":"S. .","non-dropping-particle":"","parse-names":false,"suffix":""}],"container-title":"Journal of Applied Science10","id":"ITEM-1","issue":"1","issued":{"date-parts":[["2010"]]},"page":"1732-1739.","title":"Compliance and Consumer Acceptability of Multiple Fortified Stock Powder,","type":"article-journal","volume":"16"},"uris":["http://www.mendeley.com/documents/?uuid=d5d0ec6c-5ff8-4717-8e7a-209cf04dde3c"]}],"mendeley":{"formattedCitation":"(Darko, 2010)","plainTextFormattedCitation":"(Darko, 2010)","previouslyFormattedCitation":"(Darko, 2010)"},"properties":{"noteIndex":0},"schema":"https://github.com/citation-style-language/schema/raw/master/csl-citation.json"}</w:instrText>
      </w:r>
      <w:r w:rsidR="00E66DE5" w:rsidRPr="005A3C4C">
        <w:rPr>
          <w:rFonts w:ascii="Times New Roman" w:eastAsia="Times New Roman" w:hAnsi="Times New Roman" w:cs="Times New Roman"/>
          <w:sz w:val="24"/>
          <w:szCs w:val="24"/>
        </w:rPr>
        <w:fldChar w:fldCharType="separate"/>
      </w:r>
      <w:r w:rsidR="00E66DE5" w:rsidRPr="005A3C4C">
        <w:rPr>
          <w:rFonts w:ascii="Times New Roman" w:eastAsia="Times New Roman" w:hAnsi="Times New Roman" w:cs="Times New Roman"/>
          <w:noProof/>
          <w:sz w:val="24"/>
          <w:szCs w:val="24"/>
        </w:rPr>
        <w:t>(Darko, 2010)</w:t>
      </w:r>
      <w:r w:rsidR="00E66DE5" w:rsidRPr="005A3C4C">
        <w:rPr>
          <w:rFonts w:ascii="Times New Roman" w:eastAsia="Times New Roman" w:hAnsi="Times New Roman" w:cs="Times New Roman"/>
          <w:sz w:val="24"/>
          <w:szCs w:val="24"/>
        </w:rPr>
        <w:fldChar w:fldCharType="end"/>
      </w:r>
      <w:r w:rsidR="00E66DE5"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 </w:t>
      </w:r>
      <w:r w:rsidR="00DB72DC">
        <w:rPr>
          <w:rFonts w:ascii="Times New Roman" w:eastAsia="Times New Roman" w:hAnsi="Times New Roman" w:cs="Times New Roman"/>
          <w:sz w:val="24"/>
          <w:szCs w:val="24"/>
        </w:rPr>
        <w:t>“</w:t>
      </w:r>
      <w:r w:rsidR="00AA6182" w:rsidRPr="005A3C4C">
        <w:rPr>
          <w:rFonts w:ascii="Times New Roman" w:eastAsia="Times New Roman" w:hAnsi="Times New Roman" w:cs="Times New Roman"/>
          <w:sz w:val="24"/>
          <w:szCs w:val="24"/>
        </w:rPr>
        <w:t>Food</w:t>
      </w:r>
      <w:r w:rsidRPr="005A3C4C">
        <w:rPr>
          <w:rFonts w:ascii="Times New Roman" w:eastAsia="Times New Roman" w:hAnsi="Times New Roman" w:cs="Times New Roman"/>
          <w:sz w:val="24"/>
          <w:szCs w:val="24"/>
        </w:rPr>
        <w:t xml:space="preserve"> fortification is effective when it is acceptable to the consumer and </w:t>
      </w:r>
      <w:r w:rsidR="000A7E1F" w:rsidRPr="005A3C4C">
        <w:rPr>
          <w:rFonts w:ascii="Times New Roman" w:eastAsia="Times New Roman" w:hAnsi="Times New Roman" w:cs="Times New Roman"/>
          <w:sz w:val="24"/>
          <w:szCs w:val="24"/>
        </w:rPr>
        <w:t>complies</w:t>
      </w:r>
      <w:r w:rsidRPr="005A3C4C">
        <w:rPr>
          <w:rFonts w:ascii="Times New Roman" w:eastAsia="Times New Roman" w:hAnsi="Times New Roman" w:cs="Times New Roman"/>
          <w:sz w:val="24"/>
          <w:szCs w:val="24"/>
        </w:rPr>
        <w:t xml:space="preserve"> with the use thereof</w:t>
      </w:r>
      <w:r w:rsidR="00DE08DD">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consumer compliance and acceptability should precede micronutrient fortification projects. Sensory evaluation is one of the methods used for consumer compliance and acceptability for evaluating product quality, describing the sensory properties of the product (i.e., descriptive evaluation)</w:t>
      </w:r>
      <w:r w:rsidR="0077122A"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determining its acceptability by consumers</w:t>
      </w:r>
      <w:r w:rsidR="00DB72D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w:t>
      </w:r>
      <w:r w:rsidR="00E66DE5" w:rsidRPr="005A3C4C">
        <w:rPr>
          <w:rFonts w:ascii="Times New Roman" w:eastAsia="Times New Roman" w:hAnsi="Times New Roman" w:cs="Times New Roman"/>
          <w:sz w:val="24"/>
          <w:szCs w:val="24"/>
        </w:rPr>
        <w:fldChar w:fldCharType="begin" w:fldLock="1"/>
      </w:r>
      <w:r w:rsidR="00E66DE5" w:rsidRPr="005A3C4C">
        <w:rPr>
          <w:rFonts w:ascii="Times New Roman" w:eastAsia="Times New Roman" w:hAnsi="Times New Roman" w:cs="Times New Roman"/>
          <w:sz w:val="24"/>
          <w:szCs w:val="24"/>
        </w:rPr>
        <w:instrText>ADDIN CSL_CITATION {"citationItems":[{"id":"ITEM-1","itemData":{"author":[{"dropping-particle":"","family":"Aburime","given":"L. C. .","non-dropping-particle":"","parse-names":false,"suffix":""}],"container-title":"Nutrition and Dietetics","id":"ITEM-1","issue":"1","issued":{"date-parts":[["2012"]]},"page":"1-45","title":"Effect of Different Processing Methods on the Chemical Composition of African Yam Bean (Sphenostylis Stenocarpa) Flours and Organoleptic Characteristics of Their Gruels, in Home Science","type":"article-journal","volume":"1"},"uris":["http://www.mendeley.com/documents/?uuid=8d1f9991-81dc-4d6f-8c35-64d36e9b42d0"]}],"mendeley":{"formattedCitation":"(Aburime, 2012)","plainTextFormattedCitation":"(Aburime, 2012)","previouslyFormattedCitation":"(Aburime, 2012)"},"properties":{"noteIndex":0},"schema":"https://github.com/citation-style-language/schema/raw/master/csl-citation.json"}</w:instrText>
      </w:r>
      <w:r w:rsidR="00E66DE5" w:rsidRPr="005A3C4C">
        <w:rPr>
          <w:rFonts w:ascii="Times New Roman" w:eastAsia="Times New Roman" w:hAnsi="Times New Roman" w:cs="Times New Roman"/>
          <w:sz w:val="24"/>
          <w:szCs w:val="24"/>
        </w:rPr>
        <w:fldChar w:fldCharType="separate"/>
      </w:r>
      <w:r w:rsidR="00E66DE5" w:rsidRPr="005A3C4C">
        <w:rPr>
          <w:rFonts w:ascii="Times New Roman" w:eastAsia="Times New Roman" w:hAnsi="Times New Roman" w:cs="Times New Roman"/>
          <w:noProof/>
          <w:sz w:val="24"/>
          <w:szCs w:val="24"/>
        </w:rPr>
        <w:t>(Aburime</w:t>
      </w:r>
      <w:r w:rsidR="0072407D">
        <w:rPr>
          <w:rFonts w:ascii="Times New Roman" w:eastAsia="Times New Roman" w:hAnsi="Times New Roman" w:cs="Times New Roman"/>
          <w:noProof/>
          <w:sz w:val="24"/>
          <w:szCs w:val="24"/>
        </w:rPr>
        <w:t>.</w:t>
      </w:r>
      <w:r w:rsidR="00E66DE5" w:rsidRPr="005A3C4C">
        <w:rPr>
          <w:rFonts w:ascii="Times New Roman" w:eastAsia="Times New Roman" w:hAnsi="Times New Roman" w:cs="Times New Roman"/>
          <w:noProof/>
          <w:sz w:val="24"/>
          <w:szCs w:val="24"/>
        </w:rPr>
        <w:t>, 2012)</w:t>
      </w:r>
      <w:r w:rsidR="00E66DE5"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w:t>
      </w:r>
    </w:p>
    <w:p w14:paraId="4A0777A9" w14:textId="15176AF2" w:rsidR="00EA2F27" w:rsidRPr="005A3C4C" w:rsidRDefault="00864576"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To formulate a cheap and affordable complementary food and also make this food functional, OFSP, soybean, and almond seed flour will be used. Hence, this research seeks </w:t>
      </w:r>
      <w:r w:rsidRPr="005A3C4C">
        <w:rPr>
          <w:rFonts w:ascii="Times New Roman" w:eastAsia="Calibri" w:hAnsi="Times New Roman" w:cs="Times New Roman"/>
          <w:sz w:val="24"/>
          <w:szCs w:val="24"/>
        </w:rPr>
        <w:t>to use OFSP, Soybean</w:t>
      </w:r>
      <w:r w:rsidR="00966C73" w:rsidRPr="005A3C4C">
        <w:rPr>
          <w:rFonts w:ascii="Times New Roman" w:eastAsia="Calibri" w:hAnsi="Times New Roman" w:cs="Times New Roman"/>
          <w:sz w:val="24"/>
          <w:szCs w:val="24"/>
        </w:rPr>
        <w:t>,</w:t>
      </w:r>
      <w:r w:rsidRPr="005A3C4C">
        <w:rPr>
          <w:rFonts w:ascii="Times New Roman" w:eastAsia="Calibri" w:hAnsi="Times New Roman" w:cs="Times New Roman"/>
          <w:sz w:val="24"/>
          <w:szCs w:val="24"/>
        </w:rPr>
        <w:t xml:space="preserve"> and Tropical Almond Seed Flour Composite to produce and evaluate </w:t>
      </w:r>
      <w:r w:rsidR="00DE08DD">
        <w:rPr>
          <w:rFonts w:ascii="Times New Roman" w:eastAsia="Calibri" w:hAnsi="Times New Roman" w:cs="Times New Roman"/>
          <w:sz w:val="24"/>
          <w:szCs w:val="24"/>
        </w:rPr>
        <w:t>nutrient-dense complementary foods' nutritional and sensory attributes</w:t>
      </w:r>
      <w:r w:rsidR="00EC21C1" w:rsidRPr="005A3C4C">
        <w:rPr>
          <w:rFonts w:ascii="Times New Roman" w:eastAsia="Calibri" w:hAnsi="Times New Roman" w:cs="Times New Roman"/>
          <w:sz w:val="24"/>
          <w:szCs w:val="24"/>
        </w:rPr>
        <w:t>. This complementary food will remedy</w:t>
      </w:r>
      <w:r w:rsidR="0072407D">
        <w:rPr>
          <w:rFonts w:ascii="Times New Roman" w:eastAsia="Calibri" w:hAnsi="Times New Roman" w:cs="Times New Roman"/>
          <w:sz w:val="24"/>
          <w:szCs w:val="24"/>
        </w:rPr>
        <w:t xml:space="preserve"> for</w:t>
      </w:r>
      <w:r w:rsidR="00EC21C1" w:rsidRPr="005A3C4C">
        <w:rPr>
          <w:rFonts w:ascii="Times New Roman" w:eastAsia="Calibri" w:hAnsi="Times New Roman" w:cs="Times New Roman"/>
          <w:sz w:val="24"/>
          <w:szCs w:val="24"/>
        </w:rPr>
        <w:t xml:space="preserve"> malnutrition and hunger.</w:t>
      </w:r>
      <w:r w:rsidRPr="005A3C4C">
        <w:rPr>
          <w:rFonts w:ascii="Times New Roman" w:hAnsi="Times New Roman" w:cs="Times New Roman"/>
          <w:sz w:val="24"/>
          <w:szCs w:val="24"/>
        </w:rPr>
        <w:t xml:space="preserve"> </w:t>
      </w:r>
    </w:p>
    <w:p w14:paraId="0DF12819" w14:textId="56FE0DA9" w:rsidR="00FD729D" w:rsidRPr="005A3C4C" w:rsidRDefault="00FD729D" w:rsidP="00B44362">
      <w:pP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 xml:space="preserve">Materials </w:t>
      </w:r>
      <w:r w:rsidR="0077122A" w:rsidRPr="005A3C4C">
        <w:rPr>
          <w:rFonts w:ascii="Times New Roman" w:eastAsia="Times New Roman" w:hAnsi="Times New Roman" w:cs="Times New Roman"/>
          <w:b/>
          <w:bCs/>
          <w:sz w:val="24"/>
          <w:szCs w:val="24"/>
        </w:rPr>
        <w:t>and</w:t>
      </w:r>
      <w:r w:rsidR="00656FB0" w:rsidRPr="005A3C4C">
        <w:rPr>
          <w:rFonts w:ascii="Times New Roman" w:eastAsia="Times New Roman" w:hAnsi="Times New Roman" w:cs="Times New Roman"/>
          <w:b/>
          <w:bCs/>
          <w:sz w:val="24"/>
          <w:szCs w:val="24"/>
        </w:rPr>
        <w:t xml:space="preserve"> </w:t>
      </w:r>
      <w:r w:rsidRPr="005A3C4C">
        <w:rPr>
          <w:rFonts w:ascii="Times New Roman" w:eastAsia="Times New Roman" w:hAnsi="Times New Roman" w:cs="Times New Roman"/>
          <w:b/>
          <w:bCs/>
          <w:sz w:val="24"/>
          <w:szCs w:val="24"/>
        </w:rPr>
        <w:t>methods</w:t>
      </w:r>
    </w:p>
    <w:p w14:paraId="4ADAD2A4" w14:textId="77777777" w:rsidR="00F52BE0" w:rsidRPr="005A3C4C" w:rsidRDefault="00123B98" w:rsidP="00B44362">
      <w:pPr>
        <w:spacing w:line="240" w:lineRule="auto"/>
        <w:jc w:val="both"/>
        <w:rPr>
          <w:rFonts w:ascii="Times New Roman" w:hAnsi="Times New Roman" w:cs="Times New Roman"/>
          <w:b/>
          <w:sz w:val="24"/>
          <w:szCs w:val="24"/>
        </w:rPr>
      </w:pPr>
      <w:r w:rsidRPr="005A3C4C">
        <w:rPr>
          <w:rFonts w:ascii="Times New Roman" w:hAnsi="Times New Roman" w:cs="Times New Roman"/>
          <w:b/>
          <w:sz w:val="24"/>
          <w:szCs w:val="24"/>
        </w:rPr>
        <w:t>Preparation of OFSP flour</w:t>
      </w:r>
      <w:bookmarkStart w:id="0" w:name="_heading=h.1664s55" w:colFirst="0" w:colLast="0"/>
      <w:bookmarkEnd w:id="0"/>
    </w:p>
    <w:p w14:paraId="51E47EA8" w14:textId="7972D539" w:rsidR="00BF28BE" w:rsidRPr="005A3C4C" w:rsidRDefault="00B77CC0" w:rsidP="00B44362">
      <w:pPr>
        <w:spacing w:line="240" w:lineRule="auto"/>
        <w:jc w:val="both"/>
        <w:rPr>
          <w:rFonts w:ascii="Times New Roman" w:eastAsia="Helvetica Neue" w:hAnsi="Times New Roman" w:cs="Times New Roman"/>
          <w:sz w:val="24"/>
          <w:szCs w:val="24"/>
        </w:rPr>
      </w:pPr>
      <w:r w:rsidRPr="005A3C4C">
        <w:rPr>
          <w:rFonts w:ascii="Times New Roman" w:eastAsia="Helvetica Neue" w:hAnsi="Times New Roman" w:cs="Times New Roman"/>
          <w:sz w:val="24"/>
          <w:szCs w:val="24"/>
        </w:rPr>
        <w:t>Orange-fleshed sweet potato flour was produced</w:t>
      </w:r>
      <w:r w:rsidR="0072407D">
        <w:rPr>
          <w:rFonts w:ascii="Times New Roman" w:eastAsia="Helvetica Neue" w:hAnsi="Times New Roman" w:cs="Times New Roman"/>
          <w:sz w:val="24"/>
          <w:szCs w:val="24"/>
        </w:rPr>
        <w:t xml:space="preserve"> by</w:t>
      </w:r>
      <w:r w:rsidRPr="005A3C4C">
        <w:rPr>
          <w:rFonts w:ascii="Times New Roman" w:eastAsia="Helvetica Neue" w:hAnsi="Times New Roman" w:cs="Times New Roman"/>
          <w:sz w:val="24"/>
          <w:szCs w:val="24"/>
        </w:rPr>
        <w:t xml:space="preserve"> following the steps outlined by Kudadam </w:t>
      </w:r>
      <w:r w:rsidRPr="005E044F">
        <w:rPr>
          <w:rFonts w:ascii="Times New Roman" w:eastAsia="Helvetica Neue" w:hAnsi="Times New Roman" w:cs="Times New Roman"/>
          <w:i/>
          <w:iCs/>
          <w:sz w:val="24"/>
          <w:szCs w:val="24"/>
        </w:rPr>
        <w:t xml:space="preserve">et al. </w:t>
      </w:r>
      <w:r w:rsidRPr="005A3C4C">
        <w:rPr>
          <w:rFonts w:ascii="Times New Roman" w:eastAsia="Helvetica Neue" w:hAnsi="Times New Roman" w:cs="Times New Roman"/>
          <w:sz w:val="24"/>
          <w:szCs w:val="24"/>
        </w:rPr>
        <w:t xml:space="preserve">(2021). The OFSP roots were manually sorted </w:t>
      </w:r>
      <w:r w:rsidR="0077122A" w:rsidRPr="005A3C4C">
        <w:rPr>
          <w:rFonts w:ascii="Times New Roman" w:eastAsia="Helvetica Neue" w:hAnsi="Times New Roman" w:cs="Times New Roman"/>
          <w:sz w:val="24"/>
          <w:szCs w:val="24"/>
        </w:rPr>
        <w:t xml:space="preserve">and </w:t>
      </w:r>
      <w:r w:rsidRPr="005A3C4C">
        <w:rPr>
          <w:rFonts w:ascii="Times New Roman" w:eastAsia="Helvetica Neue" w:hAnsi="Times New Roman" w:cs="Times New Roman"/>
          <w:sz w:val="24"/>
          <w:szCs w:val="24"/>
        </w:rPr>
        <w:t xml:space="preserve">peeled with a stainless-steel knife into uniform slices 3 mm thick. Slices were blanched in hot water at 80 </w:t>
      </w:r>
      <w:r w:rsidR="005E044F">
        <w:rPr>
          <w:rFonts w:ascii="Times New Roman" w:eastAsia="Helvetica Neue" w:hAnsi="Times New Roman" w:cs="Times New Roman"/>
          <w:sz w:val="24"/>
          <w:szCs w:val="24"/>
          <w:vertAlign w:val="superscript"/>
        </w:rPr>
        <w:t>0</w:t>
      </w:r>
      <w:r w:rsidRPr="005A3C4C">
        <w:rPr>
          <w:rFonts w:ascii="Times New Roman" w:eastAsia="Helvetica Neue" w:hAnsi="Times New Roman" w:cs="Times New Roman"/>
          <w:sz w:val="24"/>
          <w:szCs w:val="24"/>
        </w:rPr>
        <w:t>C for 3 min</w:t>
      </w:r>
      <w:r w:rsidR="00DE298C">
        <w:rPr>
          <w:rFonts w:ascii="Times New Roman" w:eastAsia="Helvetica Neue" w:hAnsi="Times New Roman" w:cs="Times New Roman"/>
          <w:sz w:val="24"/>
          <w:szCs w:val="24"/>
        </w:rPr>
        <w:t>utes</w:t>
      </w:r>
      <w:r w:rsidRPr="005A3C4C">
        <w:rPr>
          <w:rFonts w:ascii="Times New Roman" w:eastAsia="Helvetica Neue" w:hAnsi="Times New Roman" w:cs="Times New Roman"/>
          <w:sz w:val="24"/>
          <w:szCs w:val="24"/>
        </w:rPr>
        <w:t xml:space="preserve"> to inactivate the action of the </w:t>
      </w:r>
      <w:r w:rsidR="00D41A97">
        <w:rPr>
          <w:rFonts w:ascii="Times New Roman" w:eastAsia="Helvetica Neue" w:hAnsi="Times New Roman" w:cs="Times New Roman"/>
          <w:sz w:val="24"/>
          <w:szCs w:val="24"/>
        </w:rPr>
        <w:t>microorganisms</w:t>
      </w:r>
      <w:r w:rsidRPr="005A3C4C">
        <w:rPr>
          <w:rFonts w:ascii="Times New Roman" w:eastAsia="Helvetica Neue" w:hAnsi="Times New Roman" w:cs="Times New Roman"/>
          <w:sz w:val="24"/>
          <w:szCs w:val="24"/>
        </w:rPr>
        <w:t>. The chips were removed from the water, drained, and dehydrated in a dehydrator (</w:t>
      </w:r>
      <w:r w:rsidR="007E5E1D" w:rsidRPr="005A3C4C">
        <w:rPr>
          <w:rFonts w:ascii="Times New Roman" w:eastAsia="Helvetica Neue" w:hAnsi="Times New Roman" w:cs="Times New Roman"/>
          <w:sz w:val="24"/>
          <w:szCs w:val="24"/>
        </w:rPr>
        <w:t>model: ST-02</w:t>
      </w:r>
      <w:r w:rsidRPr="005A3C4C">
        <w:rPr>
          <w:rFonts w:ascii="Times New Roman" w:eastAsia="Helvetica Neue" w:hAnsi="Times New Roman" w:cs="Times New Roman"/>
          <w:sz w:val="24"/>
          <w:szCs w:val="24"/>
        </w:rPr>
        <w:t xml:space="preserve">) at 70 </w:t>
      </w:r>
      <w:r w:rsidR="005E044F">
        <w:rPr>
          <w:rFonts w:ascii="Times New Roman" w:eastAsia="Helvetica Neue" w:hAnsi="Times New Roman" w:cs="Times New Roman"/>
          <w:sz w:val="24"/>
          <w:szCs w:val="24"/>
          <w:vertAlign w:val="superscript"/>
        </w:rPr>
        <w:t>0</w:t>
      </w:r>
      <w:r w:rsidRPr="005A3C4C">
        <w:rPr>
          <w:rFonts w:ascii="Times New Roman" w:eastAsia="Helvetica Neue" w:hAnsi="Times New Roman" w:cs="Times New Roman"/>
          <w:sz w:val="24"/>
          <w:szCs w:val="24"/>
        </w:rPr>
        <w:t>C for 48 h</w:t>
      </w:r>
      <w:r w:rsidR="0006726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The chips were ground in a roller mill (model</w:t>
      </w:r>
      <w:r w:rsidR="007E5E1D" w:rsidRPr="005A3C4C">
        <w:rPr>
          <w:rFonts w:ascii="Times New Roman" w:eastAsia="Helvetica Neue" w:hAnsi="Times New Roman" w:cs="Times New Roman"/>
          <w:sz w:val="24"/>
          <w:szCs w:val="24"/>
        </w:rPr>
        <w:t xml:space="preserve">: </w:t>
      </w:r>
      <w:r w:rsidR="00AD5C6B" w:rsidRPr="005A3C4C">
        <w:rPr>
          <w:rFonts w:ascii="Times New Roman" w:eastAsia="Helvetica Neue" w:hAnsi="Times New Roman" w:cs="Times New Roman"/>
          <w:sz w:val="24"/>
          <w:szCs w:val="24"/>
        </w:rPr>
        <w:t>DE-200g</w:t>
      </w:r>
      <w:r w:rsidRPr="005A3C4C">
        <w:rPr>
          <w:rFonts w:ascii="Times New Roman" w:eastAsia="Helvetica Neue" w:hAnsi="Times New Roman" w:cs="Times New Roman"/>
          <w:sz w:val="24"/>
          <w:szCs w:val="24"/>
        </w:rPr>
        <w:t xml:space="preserve">) and sieved to pass through a 0.5 </w:t>
      </w:r>
      <w:r w:rsidR="0006726D" w:rsidRPr="005A3C4C">
        <w:rPr>
          <w:rFonts w:ascii="Times New Roman" w:eastAsia="Helvetica Neue" w:hAnsi="Times New Roman" w:cs="Times New Roman"/>
          <w:sz w:val="24"/>
          <w:szCs w:val="24"/>
        </w:rPr>
        <w:t>m</w:t>
      </w:r>
      <w:r w:rsidR="0006726D">
        <w:rPr>
          <w:rFonts w:ascii="Times New Roman" w:eastAsia="Helvetica Neue" w:hAnsi="Times New Roman" w:cs="Times New Roman"/>
          <w:sz w:val="24"/>
          <w:szCs w:val="24"/>
        </w:rPr>
        <w:t>ill</w:t>
      </w:r>
      <w:r w:rsidR="0006726D" w:rsidRPr="005A3C4C">
        <w:rPr>
          <w:rFonts w:ascii="Times New Roman" w:eastAsia="Helvetica Neue" w:hAnsi="Times New Roman" w:cs="Times New Roman"/>
          <w:sz w:val="24"/>
          <w:szCs w:val="24"/>
        </w:rPr>
        <w:t>i</w:t>
      </w:r>
      <w:r w:rsidR="0006726D">
        <w:rPr>
          <w:rFonts w:ascii="Times New Roman" w:eastAsia="Helvetica Neue" w:hAnsi="Times New Roman" w:cs="Times New Roman"/>
          <w:sz w:val="24"/>
          <w:szCs w:val="24"/>
        </w:rPr>
        <w:t>meters</w:t>
      </w:r>
      <w:r w:rsidRPr="005A3C4C">
        <w:rPr>
          <w:rFonts w:ascii="Times New Roman" w:eastAsia="Helvetica Neue" w:hAnsi="Times New Roman" w:cs="Times New Roman"/>
          <w:sz w:val="24"/>
          <w:szCs w:val="24"/>
        </w:rPr>
        <w:t xml:space="preserve"> mesh size. The flour was packaged in plastic cont</w:t>
      </w:r>
      <w:r w:rsidR="00EA2F27">
        <w:rPr>
          <w:rFonts w:ascii="Times New Roman" w:eastAsia="Helvetica Neue" w:hAnsi="Times New Roman" w:cs="Times New Roman"/>
          <w:sz w:val="24"/>
          <w:szCs w:val="24"/>
        </w:rPr>
        <w:t>ainers.</w:t>
      </w:r>
    </w:p>
    <w:p w14:paraId="7B8A9005" w14:textId="5251B622" w:rsidR="00BF28BE" w:rsidRDefault="00BF28BE" w:rsidP="00B44362">
      <w:pPr>
        <w:pBdr>
          <w:top w:val="nil"/>
          <w:left w:val="nil"/>
          <w:bottom w:val="nil"/>
          <w:right w:val="nil"/>
          <w:between w:val="nil"/>
        </w:pBdr>
        <w:spacing w:after="0" w:line="240" w:lineRule="auto"/>
        <w:jc w:val="both"/>
        <w:rPr>
          <w:rFonts w:ascii="Times New Roman" w:eastAsia="Helvetica Neue" w:hAnsi="Times New Roman" w:cs="Times New Roman"/>
          <w:b/>
          <w:sz w:val="24"/>
          <w:szCs w:val="24"/>
        </w:rPr>
      </w:pPr>
    </w:p>
    <w:p w14:paraId="6A3E0F4E" w14:textId="29FD7552" w:rsidR="001F5879" w:rsidRPr="00BF28BE" w:rsidRDefault="00B77CC0" w:rsidP="00B44362">
      <w:pPr>
        <w:pBdr>
          <w:top w:val="nil"/>
          <w:left w:val="nil"/>
          <w:bottom w:val="nil"/>
          <w:right w:val="nil"/>
          <w:between w:val="nil"/>
        </w:pBdr>
        <w:spacing w:after="0" w:line="240" w:lineRule="auto"/>
        <w:jc w:val="both"/>
        <w:rPr>
          <w:rFonts w:ascii="Times New Roman" w:eastAsia="Helvetica Neue" w:hAnsi="Times New Roman" w:cs="Times New Roman"/>
          <w:b/>
          <w:sz w:val="24"/>
          <w:szCs w:val="24"/>
        </w:rPr>
      </w:pPr>
      <w:r w:rsidRPr="005A3C4C">
        <w:rPr>
          <w:rFonts w:ascii="Times New Roman" w:eastAsia="Helvetica Neue" w:hAnsi="Times New Roman" w:cs="Times New Roman"/>
          <w:b/>
          <w:sz w:val="24"/>
          <w:szCs w:val="24"/>
        </w:rPr>
        <w:t>S</w:t>
      </w:r>
      <w:r w:rsidR="001F5879" w:rsidRPr="005A3C4C">
        <w:rPr>
          <w:rFonts w:ascii="Times New Roman" w:eastAsia="Helvetica Neue" w:hAnsi="Times New Roman" w:cs="Times New Roman"/>
          <w:b/>
          <w:sz w:val="24"/>
          <w:szCs w:val="24"/>
        </w:rPr>
        <w:t>o</w:t>
      </w:r>
      <w:r w:rsidRPr="005A3C4C">
        <w:rPr>
          <w:rFonts w:ascii="Times New Roman" w:eastAsia="Helvetica Neue" w:hAnsi="Times New Roman" w:cs="Times New Roman"/>
          <w:b/>
          <w:sz w:val="24"/>
          <w:szCs w:val="24"/>
        </w:rPr>
        <w:t>ybean flour production</w:t>
      </w:r>
    </w:p>
    <w:p w14:paraId="59B43A3B" w14:textId="1EF51265" w:rsidR="00886D22" w:rsidRPr="005A3C4C" w:rsidRDefault="00B77CC0" w:rsidP="00B44362">
      <w:pPr>
        <w:spacing w:after="0" w:line="240" w:lineRule="auto"/>
        <w:jc w:val="both"/>
        <w:rPr>
          <w:rFonts w:ascii="Times New Roman" w:eastAsia="Helvetica Neue" w:hAnsi="Times New Roman" w:cs="Times New Roman"/>
          <w:sz w:val="24"/>
          <w:szCs w:val="24"/>
        </w:rPr>
      </w:pPr>
      <w:r w:rsidRPr="005A3C4C">
        <w:rPr>
          <w:rFonts w:ascii="Times New Roman" w:eastAsia="Helvetica Neue" w:hAnsi="Times New Roman" w:cs="Times New Roman"/>
          <w:sz w:val="24"/>
          <w:szCs w:val="24"/>
        </w:rPr>
        <w:t xml:space="preserve">The soybean flour was prepared using the modified method of Shiriki </w:t>
      </w:r>
      <w:r w:rsidRPr="005A3C4C">
        <w:rPr>
          <w:rFonts w:ascii="Times New Roman" w:eastAsia="Helvetica Neue" w:hAnsi="Times New Roman" w:cs="Times New Roman"/>
          <w:i/>
          <w:sz w:val="24"/>
          <w:szCs w:val="24"/>
        </w:rPr>
        <w:t>et al</w:t>
      </w:r>
      <w:r w:rsidRPr="005A3C4C">
        <w:rPr>
          <w:rFonts w:ascii="Times New Roman" w:eastAsia="Helvetica Neue" w:hAnsi="Times New Roman" w:cs="Times New Roman"/>
          <w:sz w:val="24"/>
          <w:szCs w:val="24"/>
        </w:rPr>
        <w:t>. (2015)</w:t>
      </w:r>
      <w:r w:rsidRPr="005A3C4C">
        <w:rPr>
          <w:rFonts w:ascii="Times New Roman" w:eastAsia="Helvetica Neue" w:hAnsi="Times New Roman" w:cs="Times New Roman"/>
          <w:b/>
          <w:sz w:val="24"/>
          <w:szCs w:val="24"/>
        </w:rPr>
        <w:t xml:space="preserve">. </w:t>
      </w:r>
      <w:r w:rsidRPr="005A3C4C">
        <w:rPr>
          <w:rFonts w:ascii="Times New Roman" w:eastAsia="Helvetica Neue" w:hAnsi="Times New Roman" w:cs="Times New Roman"/>
          <w:bCs/>
          <w:sz w:val="24"/>
          <w:szCs w:val="24"/>
        </w:rPr>
        <w:t xml:space="preserve">The soybean </w:t>
      </w:r>
      <w:r w:rsidRPr="005A3C4C">
        <w:rPr>
          <w:rFonts w:ascii="Times New Roman" w:eastAsia="Helvetica Neue" w:hAnsi="Times New Roman" w:cs="Times New Roman"/>
          <w:sz w:val="24"/>
          <w:szCs w:val="24"/>
        </w:rPr>
        <w:t>was destoned and winnowed, soaked in clean tap water for 12 h</w:t>
      </w:r>
      <w:r w:rsidR="0006726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xml:space="preserve"> and washed by rubbing between the palms to remove the testa and endosperm. The soybean was washed again several </w:t>
      </w:r>
      <w:r w:rsidRPr="005A3C4C">
        <w:rPr>
          <w:rFonts w:ascii="Times New Roman" w:eastAsia="Helvetica Neue" w:hAnsi="Times New Roman" w:cs="Times New Roman"/>
          <w:sz w:val="24"/>
          <w:szCs w:val="24"/>
        </w:rPr>
        <w:lastRenderedPageBreak/>
        <w:t>times with more water until most of the testa was washed out. It was then boiled for 15 min</w:t>
      </w:r>
      <w:r w:rsidR="0006726D">
        <w:rPr>
          <w:rFonts w:ascii="Times New Roman" w:eastAsia="Helvetica Neue" w:hAnsi="Times New Roman" w:cs="Times New Roman"/>
          <w:sz w:val="24"/>
          <w:szCs w:val="24"/>
        </w:rPr>
        <w:t>utes</w:t>
      </w:r>
      <w:r w:rsidRPr="005A3C4C">
        <w:rPr>
          <w:rFonts w:ascii="Times New Roman" w:eastAsia="Helvetica Neue" w:hAnsi="Times New Roman" w:cs="Times New Roman"/>
          <w:sz w:val="24"/>
          <w:szCs w:val="24"/>
        </w:rPr>
        <w:t xml:space="preserve"> in water, sun-dried for 48 h</w:t>
      </w:r>
      <w:r w:rsidR="0006726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xml:space="preserve"> and then dried in a hot air oven at 70 </w:t>
      </w:r>
      <w:r w:rsidR="0006726D">
        <w:rPr>
          <w:rFonts w:ascii="Times New Roman" w:eastAsia="Helvetica Neue" w:hAnsi="Times New Roman" w:cs="Times New Roman"/>
          <w:sz w:val="24"/>
          <w:szCs w:val="24"/>
          <w:vertAlign w:val="superscript"/>
        </w:rPr>
        <w:t>0</w:t>
      </w:r>
      <w:r w:rsidRPr="005A3C4C">
        <w:rPr>
          <w:rFonts w:ascii="Times New Roman" w:eastAsia="Helvetica Neue" w:hAnsi="Times New Roman" w:cs="Times New Roman"/>
          <w:sz w:val="24"/>
          <w:szCs w:val="24"/>
        </w:rPr>
        <w:t>C for 30 min</w:t>
      </w:r>
      <w:r w:rsidR="0006726D">
        <w:rPr>
          <w:rFonts w:ascii="Times New Roman" w:eastAsia="Helvetica Neue" w:hAnsi="Times New Roman" w:cs="Times New Roman"/>
          <w:sz w:val="24"/>
          <w:szCs w:val="24"/>
        </w:rPr>
        <w:t>utes</w:t>
      </w:r>
      <w:r w:rsidRPr="005A3C4C">
        <w:rPr>
          <w:rFonts w:ascii="Times New Roman" w:eastAsia="Helvetica Neue" w:hAnsi="Times New Roman" w:cs="Times New Roman"/>
          <w:sz w:val="24"/>
          <w:szCs w:val="24"/>
        </w:rPr>
        <w:t>. The dried grains were ground in a roller mill (</w:t>
      </w:r>
      <w:r w:rsidR="00AD5C6B" w:rsidRPr="005A3C4C">
        <w:rPr>
          <w:rFonts w:ascii="Times New Roman" w:eastAsia="Helvetica Neue" w:hAnsi="Times New Roman" w:cs="Times New Roman"/>
          <w:sz w:val="24"/>
          <w:szCs w:val="24"/>
        </w:rPr>
        <w:t>model: DE-200g</w:t>
      </w:r>
      <w:r w:rsidRPr="005A3C4C">
        <w:rPr>
          <w:rFonts w:ascii="Times New Roman" w:eastAsia="Helvetica Neue" w:hAnsi="Times New Roman" w:cs="Times New Roman"/>
          <w:sz w:val="24"/>
          <w:szCs w:val="24"/>
        </w:rPr>
        <w:t>) and sieved to pass through a 0.5m</w:t>
      </w:r>
      <w:r w:rsidR="0006726D">
        <w:rPr>
          <w:rFonts w:ascii="Times New Roman" w:eastAsia="Helvetica Neue" w:hAnsi="Times New Roman" w:cs="Times New Roman"/>
          <w:sz w:val="24"/>
          <w:szCs w:val="24"/>
        </w:rPr>
        <w:t>ili</w:t>
      </w:r>
      <w:r w:rsidRPr="005A3C4C">
        <w:rPr>
          <w:rFonts w:ascii="Times New Roman" w:eastAsia="Helvetica Neue" w:hAnsi="Times New Roman" w:cs="Times New Roman"/>
          <w:sz w:val="24"/>
          <w:szCs w:val="24"/>
        </w:rPr>
        <w:t>m</w:t>
      </w:r>
      <w:r w:rsidR="0006726D">
        <w:rPr>
          <w:rFonts w:ascii="Times New Roman" w:eastAsia="Helvetica Neue" w:hAnsi="Times New Roman" w:cs="Times New Roman"/>
          <w:sz w:val="24"/>
          <w:szCs w:val="24"/>
        </w:rPr>
        <w:t>eters</w:t>
      </w:r>
      <w:r w:rsidRPr="005A3C4C">
        <w:rPr>
          <w:rFonts w:ascii="Times New Roman" w:eastAsia="Helvetica Neue" w:hAnsi="Times New Roman" w:cs="Times New Roman"/>
          <w:sz w:val="24"/>
          <w:szCs w:val="24"/>
        </w:rPr>
        <w:t xml:space="preserve"> mesh size. The flour was packaged in polypropylene plastic cont</w:t>
      </w:r>
      <w:r w:rsidR="007A0811">
        <w:rPr>
          <w:rFonts w:ascii="Times New Roman" w:eastAsia="Helvetica Neue" w:hAnsi="Times New Roman" w:cs="Times New Roman"/>
          <w:sz w:val="24"/>
          <w:szCs w:val="24"/>
        </w:rPr>
        <w:t>ainers for future use.</w:t>
      </w:r>
    </w:p>
    <w:p w14:paraId="2A2BCC68" w14:textId="47282DD8" w:rsidR="00B77CC0" w:rsidRPr="005A3C4C" w:rsidRDefault="00B77CC0"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w:t>
      </w:r>
      <w:bookmarkStart w:id="1" w:name="_gjdgxs" w:colFirst="0" w:colLast="0"/>
      <w:bookmarkEnd w:id="1"/>
    </w:p>
    <w:p w14:paraId="14EA7530" w14:textId="432F9C5B" w:rsidR="001C0EA6" w:rsidRPr="005A3C4C" w:rsidRDefault="001B37C4" w:rsidP="00B44362">
      <w:pPr>
        <w:spacing w:after="0" w:line="240" w:lineRule="auto"/>
        <w:jc w:val="both"/>
        <w:rPr>
          <w:rFonts w:ascii="Times New Roman" w:eastAsia="Helvetica Neue" w:hAnsi="Times New Roman" w:cs="Times New Roman"/>
          <w:b/>
          <w:sz w:val="24"/>
          <w:szCs w:val="24"/>
        </w:rPr>
      </w:pPr>
      <w:r>
        <w:rPr>
          <w:rFonts w:ascii="Times New Roman" w:eastAsia="Helvetica Neue" w:hAnsi="Times New Roman" w:cs="Times New Roman"/>
          <w:b/>
          <w:sz w:val="24"/>
          <w:szCs w:val="24"/>
        </w:rPr>
        <w:t xml:space="preserve">Tropical </w:t>
      </w:r>
      <w:r w:rsidR="00B77CC0" w:rsidRPr="005A3C4C">
        <w:rPr>
          <w:rFonts w:ascii="Times New Roman" w:eastAsia="Helvetica Neue" w:hAnsi="Times New Roman" w:cs="Times New Roman"/>
          <w:b/>
          <w:sz w:val="24"/>
          <w:szCs w:val="24"/>
        </w:rPr>
        <w:t>Almond flour production</w:t>
      </w:r>
    </w:p>
    <w:p w14:paraId="06360BC0" w14:textId="7E40855E" w:rsidR="008F1E62" w:rsidRPr="005A3C4C" w:rsidRDefault="00B77CC0" w:rsidP="00B44362">
      <w:pPr>
        <w:spacing w:after="0" w:line="240" w:lineRule="auto"/>
        <w:jc w:val="both"/>
        <w:rPr>
          <w:rFonts w:ascii="Times New Roman" w:eastAsia="Helvetica Neue" w:hAnsi="Times New Roman" w:cs="Times New Roman"/>
          <w:b/>
          <w:sz w:val="24"/>
          <w:szCs w:val="24"/>
        </w:rPr>
      </w:pPr>
      <w:r w:rsidRPr="005A3C4C">
        <w:rPr>
          <w:rFonts w:ascii="Times New Roman" w:eastAsia="Helvetica Neue" w:hAnsi="Times New Roman" w:cs="Times New Roman"/>
          <w:sz w:val="24"/>
          <w:szCs w:val="24"/>
        </w:rPr>
        <w:t xml:space="preserve">The method described by </w:t>
      </w:r>
      <w:r w:rsidR="00890841" w:rsidRPr="005A3C4C">
        <w:rPr>
          <w:rFonts w:ascii="Times New Roman" w:eastAsia="Helvetica Neue" w:hAnsi="Times New Roman" w:cs="Times New Roman"/>
          <w:sz w:val="24"/>
          <w:szCs w:val="24"/>
        </w:rPr>
        <w:fldChar w:fldCharType="begin" w:fldLock="1"/>
      </w:r>
      <w:r w:rsidR="00D52F3E" w:rsidRPr="005A3C4C">
        <w:rPr>
          <w:rFonts w:ascii="Times New Roman" w:eastAsia="Helvetica Neue" w:hAnsi="Times New Roman" w:cs="Times New Roman"/>
          <w:sz w:val="24"/>
          <w:szCs w:val="24"/>
        </w:rPr>
        <w:instrText>ADDIN CSL_CITATION {"citationItems":[{"id":"ITEM-1","itemData":{"DOI":"10.3923/rjasci.2012.489.493","author":[{"dropping-particle":"","family":"Akpakpan","given":"Aniekan","non-dropping-particle":"","parse-names":false,"suffix":""},{"dropping-particle":"","family":"Akpabio","given":"Ukana","non-dropping-particle":"","parse-names":false,"suffix":""}],"container-title":"Journal of applied SCience","id":"ITEM-1","issue":"7","issued":{"date-parts":[["2012"]]},"page":"489-493","title":"Evaluation of proximate composition , mineral element and anti-nutrient in almond ( Terminalia catappa ) seeds","type":"article-journal","volume":"9-12"},"uris":["http://www.mendeley.com/documents/?uuid=c2662484-e14f-447f-857d-e61abaa53d0b"]}],"mendeley":{"formattedCitation":"(Akpakpan &amp; Akpabio, 2012a)","manualFormatting":"Akpakpan &amp; Akpabio., (2012)","plainTextFormattedCitation":"(Akpakpan &amp; Akpabio, 2012a)","previouslyFormattedCitation":"(Akpakpan &amp; Akpabio, 2012a)"},"properties":{"noteIndex":0},"schema":"https://github.com/citation-style-language/schema/raw/master/csl-citation.json"}</w:instrText>
      </w:r>
      <w:r w:rsidR="00890841" w:rsidRPr="005A3C4C">
        <w:rPr>
          <w:rFonts w:ascii="Times New Roman" w:eastAsia="Helvetica Neue" w:hAnsi="Times New Roman" w:cs="Times New Roman"/>
          <w:sz w:val="24"/>
          <w:szCs w:val="24"/>
        </w:rPr>
        <w:fldChar w:fldCharType="separate"/>
      </w:r>
      <w:r w:rsidR="00890841" w:rsidRPr="005A3C4C">
        <w:rPr>
          <w:rFonts w:ascii="Times New Roman" w:eastAsia="Helvetica Neue" w:hAnsi="Times New Roman" w:cs="Times New Roman"/>
          <w:noProof/>
          <w:sz w:val="24"/>
          <w:szCs w:val="24"/>
        </w:rPr>
        <w:t xml:space="preserve">Akpakpan </w:t>
      </w:r>
      <w:r w:rsidR="001B37C4">
        <w:rPr>
          <w:rFonts w:ascii="Times New Roman" w:eastAsia="Helvetica Neue" w:hAnsi="Times New Roman" w:cs="Times New Roman"/>
          <w:noProof/>
          <w:sz w:val="24"/>
          <w:szCs w:val="24"/>
        </w:rPr>
        <w:t>and</w:t>
      </w:r>
      <w:r w:rsidR="00890841" w:rsidRPr="005A3C4C">
        <w:rPr>
          <w:rFonts w:ascii="Times New Roman" w:eastAsia="Helvetica Neue" w:hAnsi="Times New Roman" w:cs="Times New Roman"/>
          <w:noProof/>
          <w:sz w:val="24"/>
          <w:szCs w:val="24"/>
        </w:rPr>
        <w:t xml:space="preserve"> Akpabio., (2012)</w:t>
      </w:r>
      <w:r w:rsidR="00890841" w:rsidRPr="005A3C4C">
        <w:rPr>
          <w:rFonts w:ascii="Times New Roman" w:eastAsia="Helvetica Neue" w:hAnsi="Times New Roman" w:cs="Times New Roman"/>
          <w:sz w:val="24"/>
          <w:szCs w:val="24"/>
        </w:rPr>
        <w:fldChar w:fldCharType="end"/>
      </w:r>
      <w:r w:rsidRPr="005A3C4C">
        <w:rPr>
          <w:rFonts w:ascii="Times New Roman" w:eastAsia="Helvetica Neue" w:hAnsi="Times New Roman" w:cs="Times New Roman"/>
          <w:sz w:val="24"/>
          <w:szCs w:val="24"/>
        </w:rPr>
        <w:t xml:space="preserve"> was used to produce Almond flour. Almond fruits were sun-dried for 7 days and cracked open to remove the seeds. The seeds were oven-dried at 60 </w:t>
      </w:r>
      <w:r w:rsidRPr="005A3C4C">
        <w:rPr>
          <w:rFonts w:ascii="Times New Roman" w:eastAsia="Helvetica Neue" w:hAnsi="Times New Roman" w:cs="Times New Roman"/>
          <w:sz w:val="24"/>
          <w:szCs w:val="24"/>
          <w:vertAlign w:val="superscript"/>
        </w:rPr>
        <w:t>o</w:t>
      </w:r>
      <w:r w:rsidRPr="005A3C4C">
        <w:rPr>
          <w:rFonts w:ascii="Times New Roman" w:eastAsia="Helvetica Neue" w:hAnsi="Times New Roman" w:cs="Times New Roman"/>
          <w:sz w:val="24"/>
          <w:szCs w:val="24"/>
        </w:rPr>
        <w:t>C for 24 h</w:t>
      </w:r>
      <w:r w:rsidR="00EF00ED">
        <w:rPr>
          <w:rFonts w:ascii="Times New Roman" w:eastAsia="Helvetica Neue" w:hAnsi="Times New Roman" w:cs="Times New Roman"/>
          <w:sz w:val="24"/>
          <w:szCs w:val="24"/>
        </w:rPr>
        <w:t>ours</w:t>
      </w:r>
      <w:r w:rsidRPr="005A3C4C">
        <w:rPr>
          <w:rFonts w:ascii="Times New Roman" w:eastAsia="Helvetica Neue" w:hAnsi="Times New Roman" w:cs="Times New Roman"/>
          <w:sz w:val="24"/>
          <w:szCs w:val="24"/>
        </w:rPr>
        <w:t xml:space="preserve"> and ground into powder using a roller mill (</w:t>
      </w:r>
      <w:r w:rsidR="00AD5C6B" w:rsidRPr="005A3C4C">
        <w:rPr>
          <w:rFonts w:ascii="Times New Roman" w:eastAsia="Helvetica Neue" w:hAnsi="Times New Roman" w:cs="Times New Roman"/>
          <w:sz w:val="24"/>
          <w:szCs w:val="24"/>
        </w:rPr>
        <w:t>model: DE-200g</w:t>
      </w:r>
      <w:r w:rsidRPr="005A3C4C">
        <w:rPr>
          <w:rFonts w:ascii="Times New Roman" w:eastAsia="Helvetica Neue" w:hAnsi="Times New Roman" w:cs="Times New Roman"/>
          <w:sz w:val="24"/>
          <w:szCs w:val="24"/>
        </w:rPr>
        <w:t>). The flour was sieved using a 0.5 m</w:t>
      </w:r>
      <w:r w:rsidR="00EF00ED">
        <w:rPr>
          <w:rFonts w:ascii="Times New Roman" w:eastAsia="Helvetica Neue" w:hAnsi="Times New Roman" w:cs="Times New Roman"/>
          <w:sz w:val="24"/>
          <w:szCs w:val="24"/>
        </w:rPr>
        <w:t>ili</w:t>
      </w:r>
      <w:r w:rsidRPr="005A3C4C">
        <w:rPr>
          <w:rFonts w:ascii="Times New Roman" w:eastAsia="Helvetica Neue" w:hAnsi="Times New Roman" w:cs="Times New Roman"/>
          <w:sz w:val="24"/>
          <w:szCs w:val="24"/>
        </w:rPr>
        <w:t>m</w:t>
      </w:r>
      <w:r w:rsidR="00EF00ED">
        <w:rPr>
          <w:rFonts w:ascii="Times New Roman" w:eastAsia="Helvetica Neue" w:hAnsi="Times New Roman" w:cs="Times New Roman"/>
          <w:sz w:val="24"/>
          <w:szCs w:val="24"/>
        </w:rPr>
        <w:t>eters</w:t>
      </w:r>
      <w:r w:rsidRPr="005A3C4C">
        <w:rPr>
          <w:rFonts w:ascii="Times New Roman" w:eastAsia="Helvetica Neue" w:hAnsi="Times New Roman" w:cs="Times New Roman"/>
          <w:sz w:val="24"/>
          <w:szCs w:val="24"/>
        </w:rPr>
        <w:t xml:space="preserve"> mesh sieve. The flour was packed in polypropylene plastic c</w:t>
      </w:r>
      <w:r w:rsidR="007A0811">
        <w:rPr>
          <w:rFonts w:ascii="Times New Roman" w:eastAsia="Helvetica Neue" w:hAnsi="Times New Roman" w:cs="Times New Roman"/>
          <w:sz w:val="24"/>
          <w:szCs w:val="24"/>
        </w:rPr>
        <w:t>ontainers.</w:t>
      </w:r>
    </w:p>
    <w:p w14:paraId="61B6DC37" w14:textId="69529D1A" w:rsidR="00B77CC0" w:rsidRPr="005A3C4C" w:rsidRDefault="0013440F" w:rsidP="00B44362">
      <w:pPr>
        <w:spacing w:after="0" w:line="240" w:lineRule="auto"/>
        <w:jc w:val="both"/>
        <w:rPr>
          <w:rFonts w:ascii="Times New Roman" w:eastAsia="Times New Roman" w:hAnsi="Times New Roman" w:cs="Times New Roman"/>
          <w:b/>
          <w:sz w:val="24"/>
          <w:szCs w:val="24"/>
        </w:rPr>
      </w:pPr>
      <w:bookmarkStart w:id="2" w:name="_30j0zll" w:colFirst="0" w:colLast="0"/>
      <w:bookmarkEnd w:id="2"/>
      <w:r w:rsidRPr="005A3C4C">
        <w:rPr>
          <w:rFonts w:ascii="Times New Roman" w:eastAsia="Times New Roman" w:hAnsi="Times New Roman" w:cs="Times New Roman"/>
          <w:b/>
          <w:sz w:val="24"/>
          <w:szCs w:val="24"/>
        </w:rPr>
        <w:t xml:space="preserve"> </w:t>
      </w:r>
    </w:p>
    <w:p w14:paraId="61AA822A" w14:textId="77777777" w:rsidR="003543D5" w:rsidRPr="005A3C4C" w:rsidRDefault="003543D5" w:rsidP="00B44362">
      <w:pPr>
        <w:spacing w:after="360" w:line="240" w:lineRule="auto"/>
        <w:jc w:val="both"/>
        <w:rPr>
          <w:rFonts w:ascii="Times New Roman" w:eastAsia="Arial" w:hAnsi="Times New Roman" w:cs="Times New Roman"/>
          <w:b/>
          <w:sz w:val="24"/>
          <w:szCs w:val="24"/>
        </w:rPr>
      </w:pPr>
      <w:r w:rsidRPr="005A3C4C">
        <w:rPr>
          <w:rFonts w:ascii="Times New Roman" w:eastAsia="Arial" w:hAnsi="Times New Roman" w:cs="Times New Roman"/>
          <w:b/>
          <w:sz w:val="24"/>
          <w:szCs w:val="24"/>
        </w:rPr>
        <w:t>Table 1: Formulation of the complementary food samples</w:t>
      </w:r>
    </w:p>
    <w:tbl>
      <w:tblPr>
        <w:tblW w:w="9060"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2259"/>
        <w:gridCol w:w="2274"/>
        <w:gridCol w:w="2266"/>
        <w:gridCol w:w="2261"/>
      </w:tblGrid>
      <w:tr w:rsidR="003543D5" w:rsidRPr="005A3C4C" w14:paraId="4B70BC4E" w14:textId="77777777" w:rsidTr="003543D5">
        <w:trPr>
          <w:trHeight w:val="287"/>
        </w:trPr>
        <w:tc>
          <w:tcPr>
            <w:tcW w:w="2258" w:type="dxa"/>
            <w:tcBorders>
              <w:top w:val="single" w:sz="4" w:space="0" w:color="000000"/>
              <w:left w:val="nil"/>
              <w:bottom w:val="single" w:sz="4" w:space="0" w:color="000000"/>
              <w:right w:val="nil"/>
            </w:tcBorders>
            <w:hideMark/>
          </w:tcPr>
          <w:p w14:paraId="6550646A"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 xml:space="preserve">Sample </w:t>
            </w:r>
          </w:p>
        </w:tc>
        <w:tc>
          <w:tcPr>
            <w:tcW w:w="2272" w:type="dxa"/>
            <w:tcBorders>
              <w:top w:val="single" w:sz="4" w:space="0" w:color="000000"/>
              <w:left w:val="nil"/>
              <w:bottom w:val="single" w:sz="4" w:space="0" w:color="000000"/>
              <w:right w:val="nil"/>
            </w:tcBorders>
            <w:hideMark/>
          </w:tcPr>
          <w:p w14:paraId="58292A92"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OFSP (%)</w:t>
            </w:r>
          </w:p>
        </w:tc>
        <w:tc>
          <w:tcPr>
            <w:tcW w:w="2264" w:type="dxa"/>
            <w:tcBorders>
              <w:top w:val="single" w:sz="4" w:space="0" w:color="000000"/>
              <w:left w:val="nil"/>
              <w:bottom w:val="single" w:sz="4" w:space="0" w:color="000000"/>
              <w:right w:val="nil"/>
            </w:tcBorders>
            <w:hideMark/>
          </w:tcPr>
          <w:p w14:paraId="3E530ABE"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Soybean (%)</w:t>
            </w:r>
          </w:p>
        </w:tc>
        <w:tc>
          <w:tcPr>
            <w:tcW w:w="2259" w:type="dxa"/>
            <w:tcBorders>
              <w:top w:val="single" w:sz="4" w:space="0" w:color="000000"/>
              <w:left w:val="nil"/>
              <w:bottom w:val="single" w:sz="4" w:space="0" w:color="000000"/>
              <w:right w:val="nil"/>
            </w:tcBorders>
            <w:hideMark/>
          </w:tcPr>
          <w:p w14:paraId="12CFDD7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 xml:space="preserve">Almond (%) </w:t>
            </w:r>
          </w:p>
        </w:tc>
      </w:tr>
      <w:tr w:rsidR="003543D5" w:rsidRPr="005A3C4C" w14:paraId="4A9C51A3" w14:textId="77777777" w:rsidTr="003543D5">
        <w:trPr>
          <w:trHeight w:val="350"/>
        </w:trPr>
        <w:tc>
          <w:tcPr>
            <w:tcW w:w="2258" w:type="dxa"/>
            <w:tcBorders>
              <w:top w:val="single" w:sz="4" w:space="0" w:color="000000"/>
              <w:left w:val="nil"/>
              <w:bottom w:val="nil"/>
              <w:right w:val="nil"/>
            </w:tcBorders>
            <w:hideMark/>
          </w:tcPr>
          <w:p w14:paraId="3EF4E982"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ComF1</w:t>
            </w:r>
          </w:p>
        </w:tc>
        <w:tc>
          <w:tcPr>
            <w:tcW w:w="2272" w:type="dxa"/>
            <w:tcBorders>
              <w:top w:val="single" w:sz="4" w:space="0" w:color="000000"/>
              <w:left w:val="nil"/>
              <w:bottom w:val="nil"/>
              <w:right w:val="nil"/>
            </w:tcBorders>
            <w:hideMark/>
          </w:tcPr>
          <w:p w14:paraId="54AEECA7"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100</w:t>
            </w:r>
          </w:p>
        </w:tc>
        <w:tc>
          <w:tcPr>
            <w:tcW w:w="2264" w:type="dxa"/>
            <w:tcBorders>
              <w:top w:val="single" w:sz="4" w:space="0" w:color="000000"/>
              <w:left w:val="nil"/>
              <w:bottom w:val="nil"/>
              <w:right w:val="nil"/>
            </w:tcBorders>
            <w:hideMark/>
          </w:tcPr>
          <w:p w14:paraId="55B9A6FF"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0</w:t>
            </w:r>
          </w:p>
        </w:tc>
        <w:tc>
          <w:tcPr>
            <w:tcW w:w="2259" w:type="dxa"/>
            <w:tcBorders>
              <w:top w:val="single" w:sz="4" w:space="0" w:color="000000"/>
              <w:left w:val="nil"/>
              <w:bottom w:val="nil"/>
              <w:right w:val="nil"/>
            </w:tcBorders>
            <w:hideMark/>
          </w:tcPr>
          <w:p w14:paraId="4E4866CB"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0</w:t>
            </w:r>
          </w:p>
        </w:tc>
      </w:tr>
      <w:tr w:rsidR="003543D5" w:rsidRPr="005A3C4C" w14:paraId="490E730C" w14:textId="77777777" w:rsidTr="003543D5">
        <w:trPr>
          <w:trHeight w:val="270"/>
        </w:trPr>
        <w:tc>
          <w:tcPr>
            <w:tcW w:w="2258" w:type="dxa"/>
            <w:tcBorders>
              <w:top w:val="nil"/>
              <w:left w:val="nil"/>
              <w:bottom w:val="nil"/>
              <w:right w:val="nil"/>
            </w:tcBorders>
            <w:hideMark/>
          </w:tcPr>
          <w:p w14:paraId="69F4B686"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ComF2</w:t>
            </w:r>
          </w:p>
        </w:tc>
        <w:tc>
          <w:tcPr>
            <w:tcW w:w="2272" w:type="dxa"/>
            <w:tcBorders>
              <w:top w:val="nil"/>
              <w:left w:val="nil"/>
              <w:bottom w:val="nil"/>
              <w:right w:val="nil"/>
            </w:tcBorders>
            <w:hideMark/>
          </w:tcPr>
          <w:p w14:paraId="6C0B2A7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90</w:t>
            </w:r>
          </w:p>
        </w:tc>
        <w:tc>
          <w:tcPr>
            <w:tcW w:w="2264" w:type="dxa"/>
            <w:tcBorders>
              <w:top w:val="nil"/>
              <w:left w:val="nil"/>
              <w:bottom w:val="nil"/>
              <w:right w:val="nil"/>
            </w:tcBorders>
            <w:hideMark/>
          </w:tcPr>
          <w:p w14:paraId="0369E843"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c>
          <w:tcPr>
            <w:tcW w:w="2259" w:type="dxa"/>
            <w:tcBorders>
              <w:top w:val="nil"/>
              <w:left w:val="nil"/>
              <w:bottom w:val="nil"/>
              <w:right w:val="nil"/>
            </w:tcBorders>
            <w:hideMark/>
          </w:tcPr>
          <w:p w14:paraId="110006B8"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301E4B62" w14:textId="77777777" w:rsidTr="003543D5">
        <w:trPr>
          <w:trHeight w:val="180"/>
        </w:trPr>
        <w:tc>
          <w:tcPr>
            <w:tcW w:w="2258" w:type="dxa"/>
            <w:tcBorders>
              <w:top w:val="nil"/>
              <w:left w:val="nil"/>
              <w:bottom w:val="nil"/>
              <w:right w:val="nil"/>
            </w:tcBorders>
            <w:hideMark/>
          </w:tcPr>
          <w:p w14:paraId="4A6061A9"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ComF3</w:t>
            </w:r>
          </w:p>
        </w:tc>
        <w:tc>
          <w:tcPr>
            <w:tcW w:w="2272" w:type="dxa"/>
            <w:tcBorders>
              <w:top w:val="nil"/>
              <w:left w:val="nil"/>
              <w:bottom w:val="nil"/>
              <w:right w:val="nil"/>
            </w:tcBorders>
            <w:hideMark/>
          </w:tcPr>
          <w:p w14:paraId="6E8F631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80</w:t>
            </w:r>
          </w:p>
        </w:tc>
        <w:tc>
          <w:tcPr>
            <w:tcW w:w="2264" w:type="dxa"/>
            <w:tcBorders>
              <w:top w:val="nil"/>
              <w:left w:val="nil"/>
              <w:bottom w:val="nil"/>
              <w:right w:val="nil"/>
            </w:tcBorders>
            <w:hideMark/>
          </w:tcPr>
          <w:p w14:paraId="0DDA3DC2"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15</w:t>
            </w:r>
          </w:p>
        </w:tc>
        <w:tc>
          <w:tcPr>
            <w:tcW w:w="2259" w:type="dxa"/>
            <w:tcBorders>
              <w:top w:val="nil"/>
              <w:left w:val="nil"/>
              <w:bottom w:val="nil"/>
              <w:right w:val="nil"/>
            </w:tcBorders>
            <w:hideMark/>
          </w:tcPr>
          <w:p w14:paraId="087FF673"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1B56AD86" w14:textId="77777777" w:rsidTr="003543D5">
        <w:trPr>
          <w:trHeight w:val="216"/>
        </w:trPr>
        <w:tc>
          <w:tcPr>
            <w:tcW w:w="2258" w:type="dxa"/>
            <w:tcBorders>
              <w:top w:val="nil"/>
              <w:left w:val="nil"/>
              <w:bottom w:val="nil"/>
              <w:right w:val="nil"/>
            </w:tcBorders>
            <w:hideMark/>
          </w:tcPr>
          <w:p w14:paraId="153EAB85"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ComF4</w:t>
            </w:r>
          </w:p>
        </w:tc>
        <w:tc>
          <w:tcPr>
            <w:tcW w:w="2272" w:type="dxa"/>
            <w:tcBorders>
              <w:top w:val="nil"/>
              <w:left w:val="nil"/>
              <w:bottom w:val="nil"/>
              <w:right w:val="nil"/>
            </w:tcBorders>
            <w:hideMark/>
          </w:tcPr>
          <w:p w14:paraId="2046DAA5"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70</w:t>
            </w:r>
          </w:p>
        </w:tc>
        <w:tc>
          <w:tcPr>
            <w:tcW w:w="2264" w:type="dxa"/>
            <w:tcBorders>
              <w:top w:val="nil"/>
              <w:left w:val="nil"/>
              <w:bottom w:val="nil"/>
              <w:right w:val="nil"/>
            </w:tcBorders>
            <w:hideMark/>
          </w:tcPr>
          <w:p w14:paraId="593EB0CD"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25</w:t>
            </w:r>
          </w:p>
        </w:tc>
        <w:tc>
          <w:tcPr>
            <w:tcW w:w="2259" w:type="dxa"/>
            <w:tcBorders>
              <w:top w:val="nil"/>
              <w:left w:val="nil"/>
              <w:bottom w:val="nil"/>
              <w:right w:val="nil"/>
            </w:tcBorders>
            <w:hideMark/>
          </w:tcPr>
          <w:p w14:paraId="55117F8A"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5</w:t>
            </w:r>
          </w:p>
        </w:tc>
      </w:tr>
      <w:tr w:rsidR="003543D5" w:rsidRPr="005A3C4C" w14:paraId="5DF9FC57" w14:textId="77777777" w:rsidTr="003543D5">
        <w:trPr>
          <w:trHeight w:val="261"/>
        </w:trPr>
        <w:tc>
          <w:tcPr>
            <w:tcW w:w="2258" w:type="dxa"/>
            <w:tcBorders>
              <w:top w:val="nil"/>
              <w:left w:val="nil"/>
              <w:bottom w:val="single" w:sz="4" w:space="0" w:color="000000"/>
              <w:right w:val="nil"/>
            </w:tcBorders>
            <w:hideMark/>
          </w:tcPr>
          <w:p w14:paraId="674B9FBB"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ComF5</w:t>
            </w:r>
          </w:p>
        </w:tc>
        <w:tc>
          <w:tcPr>
            <w:tcW w:w="2272" w:type="dxa"/>
            <w:tcBorders>
              <w:top w:val="nil"/>
              <w:left w:val="nil"/>
              <w:bottom w:val="single" w:sz="4" w:space="0" w:color="000000"/>
              <w:right w:val="nil"/>
            </w:tcBorders>
            <w:hideMark/>
          </w:tcPr>
          <w:p w14:paraId="5B3BAFA9" w14:textId="77777777" w:rsidR="003543D5" w:rsidRPr="005A3C4C" w:rsidRDefault="003543D5" w:rsidP="00B44362">
            <w:pPr>
              <w:spacing w:after="0" w:line="240" w:lineRule="auto"/>
              <w:jc w:val="both"/>
              <w:rPr>
                <w:rFonts w:ascii="Times New Roman" w:eastAsia="Arial" w:hAnsi="Times New Roman" w:cs="Times New Roman"/>
                <w:sz w:val="24"/>
                <w:szCs w:val="24"/>
              </w:rPr>
            </w:pPr>
            <w:r w:rsidRPr="005A3C4C">
              <w:rPr>
                <w:rFonts w:ascii="Times New Roman" w:eastAsia="Arial" w:hAnsi="Times New Roman" w:cs="Times New Roman"/>
                <w:sz w:val="24"/>
                <w:szCs w:val="24"/>
              </w:rPr>
              <w:t>Reference sample</w:t>
            </w:r>
          </w:p>
        </w:tc>
        <w:tc>
          <w:tcPr>
            <w:tcW w:w="2264" w:type="dxa"/>
            <w:tcBorders>
              <w:top w:val="nil"/>
              <w:left w:val="nil"/>
              <w:bottom w:val="single" w:sz="4" w:space="0" w:color="000000"/>
              <w:right w:val="nil"/>
            </w:tcBorders>
          </w:tcPr>
          <w:p w14:paraId="1BCEC15C" w14:textId="77777777" w:rsidR="003543D5" w:rsidRPr="005A3C4C" w:rsidRDefault="003543D5" w:rsidP="00B44362">
            <w:pPr>
              <w:spacing w:after="0" w:line="240" w:lineRule="auto"/>
              <w:jc w:val="both"/>
              <w:rPr>
                <w:rFonts w:ascii="Times New Roman" w:eastAsia="Arial" w:hAnsi="Times New Roman" w:cs="Times New Roman"/>
                <w:sz w:val="24"/>
                <w:szCs w:val="24"/>
              </w:rPr>
            </w:pPr>
          </w:p>
        </w:tc>
        <w:tc>
          <w:tcPr>
            <w:tcW w:w="2259" w:type="dxa"/>
            <w:tcBorders>
              <w:top w:val="nil"/>
              <w:left w:val="nil"/>
              <w:bottom w:val="single" w:sz="4" w:space="0" w:color="000000"/>
              <w:right w:val="nil"/>
            </w:tcBorders>
          </w:tcPr>
          <w:p w14:paraId="65DCAD87" w14:textId="77777777" w:rsidR="003543D5" w:rsidRPr="005A3C4C" w:rsidRDefault="003543D5" w:rsidP="00B44362">
            <w:pPr>
              <w:spacing w:after="0" w:line="240" w:lineRule="auto"/>
              <w:jc w:val="both"/>
              <w:rPr>
                <w:rFonts w:ascii="Times New Roman" w:eastAsia="Arial" w:hAnsi="Times New Roman" w:cs="Times New Roman"/>
                <w:sz w:val="24"/>
                <w:szCs w:val="24"/>
              </w:rPr>
            </w:pPr>
          </w:p>
        </w:tc>
      </w:tr>
    </w:tbl>
    <w:p w14:paraId="5A528FD0" w14:textId="77777777" w:rsidR="003543D5" w:rsidRPr="005A3C4C" w:rsidRDefault="003543D5" w:rsidP="00B44362">
      <w:pPr>
        <w:spacing w:after="360" w:line="240" w:lineRule="auto"/>
        <w:jc w:val="both"/>
        <w:rPr>
          <w:rFonts w:ascii="Times New Roman" w:eastAsia="Arial" w:hAnsi="Times New Roman" w:cs="Times New Roman"/>
          <w:b/>
          <w:sz w:val="24"/>
          <w:szCs w:val="24"/>
        </w:rPr>
      </w:pPr>
    </w:p>
    <w:p w14:paraId="2C640238" w14:textId="4D1602F6" w:rsidR="003543D5" w:rsidRPr="005A3C4C" w:rsidRDefault="003543D5"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Amino acid analysis of the complementary food</w:t>
      </w:r>
    </w:p>
    <w:p w14:paraId="13B5E827" w14:textId="78CF2544" w:rsidR="003543D5" w:rsidRPr="005A3C4C" w:rsidRDefault="003543D5"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Amino acids composition was quantified after hydrolysis using model 120A PTH amino acid analyzer (HPLC) in </w:t>
      </w:r>
      <w:r w:rsidR="007D0737">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 xml:space="preserve">reversed-phase column, after derivatization with 9-fluorentylmethyl chloroformate and a fluorescence detector (AOAC, 2015). The sample was dried at 70 </w:t>
      </w:r>
      <w:r w:rsidR="00EF00ED">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C to constant weight, defatted, hydrolyzed, evaporated in a rotary evaporator</w:t>
      </w:r>
      <w:r w:rsidR="007D073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loaded into the biosystem PTH Amino Acid Analyzer. The concentration of the individual amino acids was calculated </w:t>
      </w:r>
      <w:r w:rsidR="00AF1CF1">
        <w:rPr>
          <w:rFonts w:ascii="Times New Roman" w:eastAsia="Times New Roman" w:hAnsi="Times New Roman" w:cs="Times New Roman"/>
          <w:sz w:val="24"/>
          <w:szCs w:val="24"/>
        </w:rPr>
        <w:t>about</w:t>
      </w:r>
      <w:r w:rsidRPr="005A3C4C">
        <w:rPr>
          <w:rFonts w:ascii="Times New Roman" w:eastAsia="Times New Roman" w:hAnsi="Times New Roman" w:cs="Times New Roman"/>
          <w:sz w:val="24"/>
          <w:szCs w:val="24"/>
        </w:rPr>
        <w:t xml:space="preserve"> the protein content. </w:t>
      </w:r>
    </w:p>
    <w:p w14:paraId="4497D06C" w14:textId="77777777" w:rsidR="00D83134" w:rsidRPr="005A3C4C" w:rsidRDefault="00D83134"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Determination of selected antinutrients/phytochemical composition of the complementary food</w:t>
      </w:r>
    </w:p>
    <w:p w14:paraId="0F23982D"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phytate content.</w:t>
      </w:r>
    </w:p>
    <w:p w14:paraId="677F71D4" w14:textId="41F8A63C" w:rsidR="001362B5"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Phytate content was determined using the spectrophotometric method described by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(Ijarotimi, 2022)</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Two grams (2 g) of the sample </w:t>
      </w:r>
      <w:r w:rsidR="00EF00ED">
        <w:rPr>
          <w:rFonts w:ascii="Times New Roman" w:eastAsia="Times New Roman" w:hAnsi="Times New Roman" w:cs="Times New Roman"/>
          <w:sz w:val="24"/>
          <w:szCs w:val="24"/>
        </w:rPr>
        <w:t>were weighed into a five-hundred-millilitre</w:t>
      </w:r>
      <w:r w:rsidRPr="005A3C4C">
        <w:rPr>
          <w:rFonts w:ascii="Times New Roman" w:eastAsia="Times New Roman" w:hAnsi="Times New Roman" w:cs="Times New Roman"/>
          <w:sz w:val="24"/>
          <w:szCs w:val="24"/>
        </w:rPr>
        <w:t xml:space="preserve"> (500 mL) flat-bottom flask. The flask with the sample was laced in a shaker and extracted with one hundred </w:t>
      </w:r>
      <w:r w:rsidR="00EF00ED">
        <w:rPr>
          <w:rFonts w:ascii="Times New Roman" w:eastAsia="Times New Roman" w:hAnsi="Times New Roman" w:cs="Times New Roman"/>
          <w:sz w:val="24"/>
          <w:szCs w:val="24"/>
        </w:rPr>
        <w:t>millilitres (100 mL) of 24 per cent</w:t>
      </w:r>
      <w:r w:rsidRPr="005A3C4C">
        <w:rPr>
          <w:rFonts w:ascii="Times New Roman" w:eastAsia="Times New Roman" w:hAnsi="Times New Roman" w:cs="Times New Roman"/>
          <w:sz w:val="24"/>
          <w:szCs w:val="24"/>
        </w:rPr>
        <w:t xml:space="preserve"> HCL for one hour at 25 </w:t>
      </w:r>
      <w:r w:rsidR="00EF00ED">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 xml:space="preserve">C. The aliquot was decanted and filtered. Five </w:t>
      </w:r>
      <w:r w:rsidR="00EF00ED">
        <w:rPr>
          <w:rFonts w:ascii="Times New Roman" w:eastAsia="Times New Roman" w:hAnsi="Times New Roman" w:cs="Times New Roman"/>
          <w:sz w:val="24"/>
          <w:szCs w:val="24"/>
        </w:rPr>
        <w:t>millilitres</w:t>
      </w:r>
      <w:r w:rsidRPr="005A3C4C">
        <w:rPr>
          <w:rFonts w:ascii="Times New Roman" w:eastAsia="Times New Roman" w:hAnsi="Times New Roman" w:cs="Times New Roman"/>
          <w:sz w:val="24"/>
          <w:szCs w:val="24"/>
        </w:rPr>
        <w:t xml:space="preserve"> (5 mL) of 0.1 M sodium chloride were added to ten </w:t>
      </w:r>
      <w:r w:rsidR="00EF00ED">
        <w:rPr>
          <w:rFonts w:ascii="Times New Roman" w:eastAsia="Times New Roman" w:hAnsi="Times New Roman" w:cs="Times New Roman"/>
          <w:sz w:val="24"/>
          <w:szCs w:val="24"/>
        </w:rPr>
        <w:t>millilitres</w:t>
      </w:r>
      <w:r w:rsidRPr="005A3C4C">
        <w:rPr>
          <w:rFonts w:ascii="Times New Roman" w:eastAsia="Times New Roman" w:hAnsi="Times New Roman" w:cs="Times New Roman"/>
          <w:sz w:val="24"/>
          <w:szCs w:val="24"/>
        </w:rPr>
        <w:t xml:space="preserve"> (10 mL) of the diluted sample and passed through a </w:t>
      </w:r>
      <w:r w:rsidR="00AF1CF1" w:rsidRPr="005A3C4C">
        <w:rPr>
          <w:rFonts w:ascii="Times New Roman" w:eastAsia="Times New Roman" w:hAnsi="Times New Roman" w:cs="Times New Roman"/>
          <w:sz w:val="24"/>
          <w:szCs w:val="24"/>
        </w:rPr>
        <w:t>What man</w:t>
      </w:r>
      <w:r w:rsidRPr="005A3C4C">
        <w:rPr>
          <w:rFonts w:ascii="Times New Roman" w:eastAsia="Times New Roman" w:hAnsi="Times New Roman" w:cs="Times New Roman"/>
          <w:sz w:val="24"/>
          <w:szCs w:val="24"/>
        </w:rPr>
        <w:t xml:space="preserve"> no. 1 filter paper to elute in organic phosphorus, and fifteen </w:t>
      </w:r>
      <w:r w:rsidR="00EF00ED">
        <w:rPr>
          <w:rFonts w:ascii="Times New Roman" w:eastAsia="Times New Roman" w:hAnsi="Times New Roman" w:cs="Times New Roman"/>
          <w:sz w:val="24"/>
          <w:szCs w:val="24"/>
        </w:rPr>
        <w:t>millilitres</w:t>
      </w:r>
      <w:r w:rsidRPr="005A3C4C">
        <w:rPr>
          <w:rFonts w:ascii="Times New Roman" w:eastAsia="Times New Roman" w:hAnsi="Times New Roman" w:cs="Times New Roman"/>
          <w:sz w:val="24"/>
          <w:szCs w:val="24"/>
        </w:rPr>
        <w:t xml:space="preserve"> (15 mL) of 0.7 sodium chloride was also added to elute the phytate, which was mixed on a vortex mixer for 5 s. The mixture was centrifuged for 10 min, and the supernatant was read at a 520 nm wavelength in a UV spectrophotometer. The phytate concentration was read off from the standard curve prepared with standard inositol phytate, and the value was expressed in mg/100g using the following formula:</w:t>
      </w:r>
    </w:p>
    <w:p w14:paraId="4D186CE6" w14:textId="00514A5E" w:rsidR="009C43A7" w:rsidRPr="005A3C4C" w:rsidRDefault="009C43A7" w:rsidP="00B44362">
      <w:pPr>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w:lastRenderedPageBreak/>
          <m:t>Phytate</m:t>
        </m:r>
      </m:oMath>
      <w:r w:rsidRPr="005A3C4C">
        <w:rPr>
          <w:rFonts w:ascii="Times New Roman" w:eastAsia="Times New Roman" w:hAnsi="Times New Roman" w:cs="Times New Roman"/>
          <w:sz w:val="24"/>
          <w:szCs w:val="24"/>
        </w:rPr>
        <w:t xml:space="preserve"> (mg/100g) = </w:t>
      </w:r>
      <m:oMath>
        <m:f>
          <m:fPr>
            <m:ctrlPr>
              <w:rPr>
                <w:rFonts w:ascii="Cambria Math" w:eastAsia="Times New Roman" w:hAnsi="Cambria Math" w:cs="Times New Roman"/>
                <w:i/>
                <w:sz w:val="24"/>
                <w:szCs w:val="24"/>
              </w:rPr>
            </m:ctrlPr>
          </m:fPr>
          <m:num>
            <m:r>
              <m:rPr>
                <m:sty m:val="p"/>
              </m:rPr>
              <w:rPr>
                <w:rFonts w:ascii="Cambria Math" w:eastAsia="Times New Roman" w:hAnsi="Cambria Math" w:cs="Times New Roman"/>
                <w:sz w:val="24"/>
                <w:szCs w:val="24"/>
              </w:rPr>
              <m:t xml:space="preserve">conc. Of phytate from standard curve × dilution factor </m:t>
            </m:r>
          </m:num>
          <m:den>
            <m:r>
              <w:rPr>
                <w:rFonts w:ascii="Cambria Math" w:eastAsia="Times New Roman" w:hAnsi="Cambria Math" w:cs="Times New Roman"/>
                <w:sz w:val="24"/>
                <w:szCs w:val="24"/>
              </w:rPr>
              <m:t>Weight of samples</m:t>
            </m:r>
          </m:den>
        </m:f>
      </m:oMath>
      <w:r w:rsidR="00F52BE0" w:rsidRPr="005A3C4C">
        <w:rPr>
          <w:rFonts w:ascii="Times New Roman" w:eastAsia="Times New Roman" w:hAnsi="Times New Roman" w:cs="Times New Roman"/>
          <w:sz w:val="24"/>
          <w:szCs w:val="24"/>
        </w:rPr>
        <w:t xml:space="preserve">                                      </w:t>
      </w:r>
      <w:r w:rsidR="00453964" w:rsidRPr="005A3C4C">
        <w:rPr>
          <w:rFonts w:ascii="Times New Roman" w:eastAsia="Times New Roman" w:hAnsi="Times New Roman" w:cs="Times New Roman"/>
          <w:sz w:val="24"/>
          <w:szCs w:val="24"/>
        </w:rPr>
        <w:t xml:space="preserve">  (</w:t>
      </w:r>
      <w:r w:rsidR="00F52BE0" w:rsidRPr="005A3C4C">
        <w:rPr>
          <w:rFonts w:ascii="Times New Roman" w:eastAsia="Times New Roman" w:hAnsi="Times New Roman" w:cs="Times New Roman"/>
          <w:sz w:val="24"/>
          <w:szCs w:val="24"/>
        </w:rPr>
        <w:t>1)</w:t>
      </w:r>
    </w:p>
    <w:p w14:paraId="588B4E89"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oxalate content</w:t>
      </w:r>
    </w:p>
    <w:p w14:paraId="78926965" w14:textId="38DB609F"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Oxalate was determined by AOAC method</w:t>
      </w:r>
      <w:r w:rsidR="001B3BA1" w:rsidRPr="005A3C4C">
        <w:rPr>
          <w:rFonts w:ascii="Times New Roman" w:eastAsia="Times New Roman" w:hAnsi="Times New Roman" w:cs="Times New Roman"/>
          <w:sz w:val="24"/>
          <w:szCs w:val="24"/>
        </w:rPr>
        <w:t xml:space="preserve"> </w:t>
      </w:r>
      <w:r w:rsidR="0038469A" w:rsidRPr="005A3C4C">
        <w:rPr>
          <w:rFonts w:ascii="Times New Roman" w:eastAsia="Times New Roman" w:hAnsi="Times New Roman" w:cs="Times New Roman"/>
          <w:sz w:val="24"/>
          <w:szCs w:val="24"/>
        </w:rPr>
        <w:fldChar w:fldCharType="begin" w:fldLock="1"/>
      </w:r>
      <w:r w:rsidR="0038469A" w:rsidRPr="005A3C4C">
        <w:rPr>
          <w:rFonts w:ascii="Times New Roman" w:eastAsia="Times New Roman" w:hAnsi="Times New Roman" w:cs="Times New Roman"/>
          <w:sz w:val="24"/>
          <w:szCs w:val="24"/>
        </w:rPr>
        <w:instrText>ADDIN CSL_CITATION {"citationItems":[{"id":"ITEM-1","itemData":{"author":[{"dropping-particle":"","family":"AOAC","given":"","non-dropping-particle":"","parse-names":false,"suffix":""}],"container-title":"AOAC","edition":"18","id":"ITEM-1","issued":{"date-parts":[["2015"]]},"number-of-pages":"806-814","publisher-place":"Arlington","title":"Official Methods of Analysis. Association of Official Analytical Chemists","type":"book"},"uris":["http://www.mendeley.com/documents/?uuid=3d775945-bdad-40ea-8132-321a78161e0b"]}],"mendeley":{"formattedCitation":"(AOAC, 2015)","plainTextFormattedCitation":"(AOAC, 2015)","previouslyFormattedCitation":"(AOAC, 2015)"},"properties":{"noteIndex":0},"schema":"https://github.com/citation-style-language/schema/raw/master/csl-citation.json"}</w:instrText>
      </w:r>
      <w:r w:rsidR="0038469A" w:rsidRPr="005A3C4C">
        <w:rPr>
          <w:rFonts w:ascii="Times New Roman" w:eastAsia="Times New Roman" w:hAnsi="Times New Roman" w:cs="Times New Roman"/>
          <w:sz w:val="24"/>
          <w:szCs w:val="24"/>
        </w:rPr>
        <w:fldChar w:fldCharType="separate"/>
      </w:r>
      <w:r w:rsidR="0038469A" w:rsidRPr="005A3C4C">
        <w:rPr>
          <w:rFonts w:ascii="Times New Roman" w:eastAsia="Times New Roman" w:hAnsi="Times New Roman" w:cs="Times New Roman"/>
          <w:noProof/>
          <w:sz w:val="24"/>
          <w:szCs w:val="24"/>
        </w:rPr>
        <w:t>(AOAC, 2015)</w:t>
      </w:r>
      <w:r w:rsidR="0038469A"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1 g of the sample was weighed into </w:t>
      </w:r>
      <w:r w:rsidR="006A3F87">
        <w:rPr>
          <w:rFonts w:ascii="Times New Roman" w:eastAsia="Times New Roman" w:hAnsi="Times New Roman" w:cs="Times New Roman"/>
          <w:sz w:val="24"/>
          <w:szCs w:val="24"/>
        </w:rPr>
        <w:t>a 100 millilitres</w:t>
      </w:r>
      <w:r w:rsidRPr="005A3C4C">
        <w:rPr>
          <w:rFonts w:ascii="Times New Roman" w:eastAsia="Times New Roman" w:hAnsi="Times New Roman" w:cs="Times New Roman"/>
          <w:sz w:val="24"/>
          <w:szCs w:val="24"/>
        </w:rPr>
        <w:t xml:space="preserve"> conical flask. 75 ml of 3 M H2SO4 was added and the solution was carefully stirred intermittently with a magnetic stirrer for about 1 h</w:t>
      </w:r>
      <w:r w:rsidR="006A3F87">
        <w:rPr>
          <w:rFonts w:ascii="Times New Roman" w:eastAsia="Times New Roman" w:hAnsi="Times New Roman" w:cs="Times New Roman"/>
          <w:sz w:val="24"/>
          <w:szCs w:val="24"/>
        </w:rPr>
        <w:t>our</w:t>
      </w:r>
      <w:r w:rsidRPr="005A3C4C">
        <w:rPr>
          <w:rFonts w:ascii="Times New Roman" w:eastAsia="Times New Roman" w:hAnsi="Times New Roman" w:cs="Times New Roman"/>
          <w:sz w:val="24"/>
          <w:szCs w:val="24"/>
        </w:rPr>
        <w:t xml:space="preserve"> and then filtered using what man No.1 filter paper. The sample filtrate (25 mL) was collected and titrated against hot [80 - 90 </w:t>
      </w:r>
      <w:r w:rsidR="006A3F87">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 xml:space="preserve">C] 0.1 N KMnO4 solution to the point when a faint pink </w:t>
      </w:r>
      <w:r w:rsidR="006A3F87">
        <w:rPr>
          <w:rFonts w:ascii="Times New Roman" w:eastAsia="Times New Roman" w:hAnsi="Times New Roman" w:cs="Times New Roman"/>
          <w:sz w:val="24"/>
          <w:szCs w:val="24"/>
        </w:rPr>
        <w:t>colour</w:t>
      </w:r>
      <w:r w:rsidRPr="005A3C4C">
        <w:rPr>
          <w:rFonts w:ascii="Times New Roman" w:eastAsia="Times New Roman" w:hAnsi="Times New Roman" w:cs="Times New Roman"/>
          <w:sz w:val="24"/>
          <w:szCs w:val="24"/>
        </w:rPr>
        <w:t xml:space="preserve"> appeared that persisted for at least 30</w:t>
      </w:r>
      <w:r w:rsidR="009F1641">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s</w:t>
      </w:r>
      <w:r w:rsidR="009F1641">
        <w:rPr>
          <w:rFonts w:ascii="Times New Roman" w:eastAsia="Times New Roman" w:hAnsi="Times New Roman" w:cs="Times New Roman"/>
          <w:sz w:val="24"/>
          <w:szCs w:val="24"/>
        </w:rPr>
        <w:t>ec</w:t>
      </w:r>
      <w:r w:rsidRPr="005A3C4C">
        <w:rPr>
          <w:rFonts w:ascii="Times New Roman" w:eastAsia="Times New Roman" w:hAnsi="Times New Roman" w:cs="Times New Roman"/>
          <w:sz w:val="24"/>
          <w:szCs w:val="24"/>
        </w:rPr>
        <w:t xml:space="preserve">. The </w:t>
      </w:r>
      <w:r w:rsidR="006A3F87">
        <w:rPr>
          <w:rFonts w:ascii="Times New Roman" w:eastAsia="Times New Roman" w:hAnsi="Times New Roman" w:cs="Times New Roman"/>
          <w:sz w:val="24"/>
          <w:szCs w:val="24"/>
        </w:rPr>
        <w:t>oxalate concentration</w:t>
      </w:r>
      <w:r w:rsidRPr="005A3C4C">
        <w:rPr>
          <w:rFonts w:ascii="Times New Roman" w:eastAsia="Times New Roman" w:hAnsi="Times New Roman" w:cs="Times New Roman"/>
          <w:sz w:val="24"/>
          <w:szCs w:val="24"/>
        </w:rPr>
        <w:t xml:space="preserve"> in each sample was obtained from the calculation: 1 ml 0.1 permanganate = 0.006303 g oxalate.</w:t>
      </w:r>
    </w:p>
    <w:p w14:paraId="23E23DB5"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 xml:space="preserve">Determination of trypsin inhibition activity (TIA) </w:t>
      </w:r>
    </w:p>
    <w:p w14:paraId="3965FF87" w14:textId="748E08DA"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The trypsin inhibition activity was assayed in terms of the extent to which an extract of the sample inhibited the action of bovine trypsin on the substrate benzoyl-DL-arginine-p-nitrianilide (BAPNA) hydrochloric. The sample (1 g) was extracted with 50 mL of 10 mM NaOH, and continuously </w:t>
      </w:r>
      <w:r w:rsidR="009F1641">
        <w:rPr>
          <w:rFonts w:ascii="Times New Roman" w:eastAsia="Times New Roman" w:hAnsi="Times New Roman" w:cs="Times New Roman"/>
          <w:sz w:val="24"/>
          <w:szCs w:val="24"/>
        </w:rPr>
        <w:t>shaken</w:t>
      </w:r>
      <w:r w:rsidRPr="005A3C4C">
        <w:rPr>
          <w:rFonts w:ascii="Times New Roman" w:eastAsia="Times New Roman" w:hAnsi="Times New Roman" w:cs="Times New Roman"/>
          <w:sz w:val="24"/>
          <w:szCs w:val="24"/>
        </w:rPr>
        <w:t xml:space="preserve"> using a mechanical shaker at pH 9.4 (1 M NaOH) and ambient temperature for 3 h. After extraction, the suspension was shaken and diluted with distilled water such that 1 cm3 of the extract produced trypsin inhibition of 40 </w:t>
      </w:r>
      <w:r w:rsidR="006A3F8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60</w:t>
      </w:r>
      <w:r w:rsidR="006A3F87">
        <w:rPr>
          <w:rFonts w:ascii="Times New Roman" w:eastAsia="Times New Roman" w:hAnsi="Times New Roman" w:cs="Times New Roman"/>
          <w:sz w:val="24"/>
          <w:szCs w:val="24"/>
        </w:rPr>
        <w:t xml:space="preserve"> percent</w:t>
      </w:r>
      <w:r w:rsidRPr="005A3C4C">
        <w:rPr>
          <w:rFonts w:ascii="Times New Roman" w:eastAsia="Times New Roman" w:hAnsi="Times New Roman" w:cs="Times New Roman"/>
          <w:sz w:val="24"/>
          <w:szCs w:val="24"/>
        </w:rPr>
        <w:t xml:space="preserve"> at 37 °C. The respective dilutions were noted. Consequently, TIA was calculated in terms of mg pure trypsin TIA = 2.632DA mg pure trypsin inhibited g </w:t>
      </w:r>
      <w:sdt>
        <w:sdtPr>
          <w:rPr>
            <w:rFonts w:ascii="Times New Roman" w:eastAsia="Times New Roman" w:hAnsi="Times New Roman" w:cs="Times New Roman"/>
            <w:sz w:val="24"/>
            <w:szCs w:val="24"/>
          </w:rPr>
          <w:tag w:val="goog_rdk_3"/>
          <w:id w:val="2030679125"/>
        </w:sdtPr>
        <w:sdtContent>
          <w:r w:rsidRPr="005A3C4C">
            <w:rPr>
              <w:rFonts w:ascii="Times New Roman" w:eastAsia="Gungsuh" w:hAnsi="Times New Roman" w:cs="Times New Roman"/>
              <w:sz w:val="24"/>
              <w:szCs w:val="24"/>
              <w:vertAlign w:val="superscript"/>
            </w:rPr>
            <w:t>− 1</w:t>
          </w:r>
        </w:sdtContent>
      </w:sdt>
      <w:r w:rsidRPr="005A3C4C">
        <w:rPr>
          <w:rFonts w:ascii="Times New Roman" w:eastAsia="Times New Roman" w:hAnsi="Times New Roman" w:cs="Times New Roman"/>
          <w:sz w:val="24"/>
          <w:szCs w:val="24"/>
        </w:rPr>
        <w:t xml:space="preserve"> sample S, Where D is the dilution factor, A is the change in absorbance at 410 mm due to trypsin inhibition per cm</w:t>
      </w:r>
      <w:r w:rsidRPr="005A3C4C">
        <w:rPr>
          <w:rFonts w:ascii="Times New Roman" w:eastAsia="Times New Roman" w:hAnsi="Times New Roman" w:cs="Times New Roman"/>
          <w:sz w:val="24"/>
          <w:szCs w:val="24"/>
          <w:vertAlign w:val="superscript"/>
        </w:rPr>
        <w:t>3</w:t>
      </w:r>
      <w:r w:rsidRPr="005A3C4C">
        <w:rPr>
          <w:rFonts w:ascii="Times New Roman" w:eastAsia="Times New Roman" w:hAnsi="Times New Roman" w:cs="Times New Roman"/>
          <w:sz w:val="24"/>
          <w:szCs w:val="24"/>
        </w:rPr>
        <w:t xml:space="preserve"> diluted sample extract</w:t>
      </w:r>
      <w:r w:rsidR="006A3F8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S is the weight of the sample </w:t>
      </w:r>
      <w:r w:rsidR="0038469A" w:rsidRPr="005A3C4C">
        <w:rPr>
          <w:rFonts w:ascii="Times New Roman" w:eastAsia="Times New Roman" w:hAnsi="Times New Roman" w:cs="Times New Roman"/>
          <w:sz w:val="24"/>
          <w:szCs w:val="24"/>
        </w:rPr>
        <w:fldChar w:fldCharType="begin" w:fldLock="1"/>
      </w:r>
      <w:r w:rsidR="004C1CFD"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38469A" w:rsidRPr="005A3C4C">
        <w:rPr>
          <w:rFonts w:ascii="Times New Roman" w:eastAsia="Times New Roman" w:hAnsi="Times New Roman" w:cs="Times New Roman"/>
          <w:sz w:val="24"/>
          <w:szCs w:val="24"/>
        </w:rPr>
        <w:fldChar w:fldCharType="separate"/>
      </w:r>
      <w:r w:rsidR="0038469A" w:rsidRPr="005A3C4C">
        <w:rPr>
          <w:rFonts w:ascii="Times New Roman" w:eastAsia="Times New Roman" w:hAnsi="Times New Roman" w:cs="Times New Roman"/>
          <w:noProof/>
          <w:sz w:val="24"/>
          <w:szCs w:val="24"/>
        </w:rPr>
        <w:t>(Ijarotimi, 2022)</w:t>
      </w:r>
      <w:r w:rsidR="0038469A" w:rsidRPr="005A3C4C">
        <w:rPr>
          <w:rFonts w:ascii="Times New Roman" w:eastAsia="Times New Roman" w:hAnsi="Times New Roman" w:cs="Times New Roman"/>
          <w:sz w:val="24"/>
          <w:szCs w:val="24"/>
        </w:rPr>
        <w:fldChar w:fldCharType="end"/>
      </w:r>
      <w:r w:rsidR="0038469A" w:rsidRPr="005A3C4C">
        <w:rPr>
          <w:rFonts w:ascii="Times New Roman" w:eastAsia="Times New Roman" w:hAnsi="Times New Roman" w:cs="Times New Roman"/>
          <w:sz w:val="24"/>
          <w:szCs w:val="24"/>
        </w:rPr>
        <w:t xml:space="preserve">. </w:t>
      </w:r>
    </w:p>
    <w:p w14:paraId="6B273AA8" w14:textId="77777777" w:rsidR="00D464A0" w:rsidRPr="005A3C4C" w:rsidRDefault="00D464A0" w:rsidP="00B44362">
      <w:pPr>
        <w:spacing w:after="0" w:line="240" w:lineRule="auto"/>
        <w:jc w:val="both"/>
        <w:rPr>
          <w:rFonts w:ascii="Times New Roman" w:eastAsia="Times New Roman" w:hAnsi="Times New Roman" w:cs="Times New Roman"/>
          <w:sz w:val="24"/>
          <w:szCs w:val="24"/>
        </w:rPr>
      </w:pPr>
    </w:p>
    <w:p w14:paraId="1908AF6B"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 xml:space="preserve">Determination of tannin content </w:t>
      </w:r>
    </w:p>
    <w:p w14:paraId="7D3E5962" w14:textId="42381198"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Tannin content was determined by the modified </w:t>
      </w:r>
      <w:r w:rsidR="00AF1CF1">
        <w:rPr>
          <w:rFonts w:ascii="Times New Roman" w:eastAsia="Times New Roman" w:hAnsi="Times New Roman" w:cs="Times New Roman"/>
          <w:sz w:val="24"/>
          <w:szCs w:val="24"/>
        </w:rPr>
        <w:t>vanillin-</w:t>
      </w:r>
      <w:r w:rsidRPr="005A3C4C">
        <w:rPr>
          <w:rFonts w:ascii="Times New Roman" w:eastAsia="Times New Roman" w:hAnsi="Times New Roman" w:cs="Times New Roman"/>
          <w:sz w:val="24"/>
          <w:szCs w:val="24"/>
        </w:rPr>
        <w:t>HCl methods. The sample (5 g) was extracted with 50 mL 99.9</w:t>
      </w:r>
      <w:r w:rsidR="006A3F87">
        <w:rPr>
          <w:rFonts w:ascii="Times New Roman" w:eastAsia="Times New Roman" w:hAnsi="Times New Roman" w:cs="Times New Roman"/>
          <w:sz w:val="24"/>
          <w:szCs w:val="24"/>
        </w:rPr>
        <w:t>percent</w:t>
      </w:r>
      <w:r w:rsidRPr="005A3C4C">
        <w:rPr>
          <w:rFonts w:ascii="Times New Roman" w:eastAsia="Times New Roman" w:hAnsi="Times New Roman" w:cs="Times New Roman"/>
          <w:sz w:val="24"/>
          <w:szCs w:val="24"/>
        </w:rPr>
        <w:t xml:space="preserve"> methanol for 20 min at room temperature with constant agitation. After centrifugation for 10 min at 653 x g, 5 mL of vanillin-HCl [2</w:t>
      </w:r>
      <w:r w:rsidR="006A3F87">
        <w:rPr>
          <w:rFonts w:ascii="Times New Roman" w:eastAsia="Times New Roman" w:hAnsi="Times New Roman" w:cs="Times New Roman"/>
          <w:sz w:val="24"/>
          <w:szCs w:val="24"/>
        </w:rPr>
        <w:t>percent</w:t>
      </w:r>
      <w:r w:rsidRPr="005A3C4C">
        <w:rPr>
          <w:rFonts w:ascii="Times New Roman" w:eastAsia="Times New Roman" w:hAnsi="Times New Roman" w:cs="Times New Roman"/>
          <w:sz w:val="24"/>
          <w:szCs w:val="24"/>
        </w:rPr>
        <w:t xml:space="preserve"> vanilli and 1</w:t>
      </w:r>
      <w:r w:rsidR="006A3F87">
        <w:rPr>
          <w:rFonts w:ascii="Times New Roman" w:eastAsia="Times New Roman" w:hAnsi="Times New Roman" w:cs="Times New Roman"/>
          <w:sz w:val="24"/>
          <w:szCs w:val="24"/>
        </w:rPr>
        <w:t xml:space="preserve">percent </w:t>
      </w:r>
      <w:r w:rsidRPr="005A3C4C">
        <w:rPr>
          <w:rFonts w:ascii="Times New Roman" w:eastAsia="Times New Roman" w:hAnsi="Times New Roman" w:cs="Times New Roman"/>
          <w:sz w:val="24"/>
          <w:szCs w:val="24"/>
        </w:rPr>
        <w:t>HCl] reagent was added to 1 mL aliquots</w:t>
      </w:r>
      <w:r w:rsidR="00AF1CF1">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the </w:t>
      </w:r>
      <w:r w:rsidR="00AF1CF1">
        <w:rPr>
          <w:rFonts w:ascii="Times New Roman" w:eastAsia="Times New Roman" w:hAnsi="Times New Roman" w:cs="Times New Roman"/>
          <w:sz w:val="24"/>
          <w:szCs w:val="24"/>
        </w:rPr>
        <w:t>color</w:t>
      </w:r>
      <w:r w:rsidRPr="005A3C4C">
        <w:rPr>
          <w:rFonts w:ascii="Times New Roman" w:eastAsia="Times New Roman" w:hAnsi="Times New Roman" w:cs="Times New Roman"/>
          <w:sz w:val="24"/>
          <w:szCs w:val="24"/>
        </w:rPr>
        <w:t xml:space="preserve"> developed after 20 min at room temperature was read at 500 nm. Correction for interference light natural pigments in the sample was achieved by subjecting the extract to the conditions of the reaction but without vanillin reagent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{"citationItems":[{"id":"ITEM-1","itemData":{"DOI":"10.1186/s43014-022-00091-3","ISSN":"2661-8974","author":[{"dropping-particle":"","family":"Ijarotimi","given":"Oluwole Steve","non-dropping-particle":"","parse-names":false,"suffix":""}],"container-title":"Food Production, Processing and Nutrition","id":"ITEM-1","issue":"4","issued":{"date-parts":[["2022"]]},"page":"1-18","publisher":"BioMed Central","title":"Nutritional quality , functional property and acceptability of maize ( Zea mays ) based complementary foods enriched with defatted groundnut ( Arachis hypogea L .) and ginger ( Zinger officinale Roscoe ) powder in Wistar rats","type":"article-journal","volume":"13"},"uris":["http://www.mendeley.com/documents/?uuid=e86195f5-d295-43dc-8032-54393aa7b6ed"]}],"mendeley":{"formattedCitation":"(Ijarotimi, 2022)","plainTextFormattedCitation":"(Ijarotimi, 2022)","previouslyFormattedCitation":"(Ijarotimi, 2022)"},"properties":{"noteIndex":0},"schema":"https://github.com/citation-style-language/schema/raw/master/csl-citation.json"}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(Ijarotimi, 2022)</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A standard</w:t>
      </w:r>
      <w:r w:rsidR="00AF1CF1">
        <w:rPr>
          <w:rFonts w:ascii="Times New Roman" w:eastAsia="Times New Roman" w:hAnsi="Times New Roman" w:cs="Times New Roman"/>
          <w:sz w:val="24"/>
          <w:szCs w:val="24"/>
        </w:rPr>
        <w:t xml:space="preserve"> curve was prepared using cate-</w:t>
      </w:r>
      <w:r w:rsidRPr="005A3C4C">
        <w:rPr>
          <w:rFonts w:ascii="Times New Roman" w:eastAsia="Times New Roman" w:hAnsi="Times New Roman" w:cs="Times New Roman"/>
          <w:sz w:val="24"/>
          <w:szCs w:val="24"/>
        </w:rPr>
        <w:t>chin [Sigma Chemical, St. Louis, MO] after correcting for blank</w:t>
      </w:r>
      <w:r w:rsidR="00AF1CF1">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tannin concentration was expressed in g/100 g. Tannin content was calcula</w:t>
      </w:r>
      <w:r w:rsidR="000675F2" w:rsidRPr="005A3C4C">
        <w:rPr>
          <w:rFonts w:ascii="Times New Roman" w:eastAsia="Times New Roman" w:hAnsi="Times New Roman" w:cs="Times New Roman"/>
          <w:sz w:val="24"/>
          <w:szCs w:val="24"/>
        </w:rPr>
        <w:t>ted as Tannin (g/100 g) = con</w:t>
      </w:r>
      <w:r w:rsidRPr="005A3C4C">
        <w:rPr>
          <w:rFonts w:ascii="Times New Roman" w:eastAsia="Times New Roman" w:hAnsi="Times New Roman" w:cs="Times New Roman"/>
          <w:sz w:val="24"/>
          <w:szCs w:val="24"/>
        </w:rPr>
        <w:t xml:space="preserve">centration of standard ×Absorbance of </w:t>
      </w:r>
      <w:r w:rsidR="00AF1CF1">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 xml:space="preserve">sample. </w:t>
      </w:r>
    </w:p>
    <w:p w14:paraId="5BF809AC" w14:textId="77777777" w:rsidR="00D83134" w:rsidRPr="005A3C4C" w:rsidRDefault="00D83134" w:rsidP="00B44362">
      <w:pPr>
        <w:numPr>
          <w:ilvl w:val="0"/>
          <w:numId w:val="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sz w:val="24"/>
          <w:szCs w:val="24"/>
        </w:rPr>
        <w:t>Determination of alkaloids</w:t>
      </w:r>
    </w:p>
    <w:p w14:paraId="5597FC1A" w14:textId="454BD713"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5g of the sample was weighed into a 250ml beaker and 200ml of 20% acetic acid in ethanol was covered and allowed to stand for </w:t>
      </w:r>
      <w:r w:rsidR="00AF1CF1">
        <w:rPr>
          <w:rFonts w:ascii="Times New Roman" w:eastAsia="Times New Roman" w:hAnsi="Times New Roman" w:cs="Times New Roman"/>
          <w:sz w:val="24"/>
          <w:szCs w:val="24"/>
        </w:rPr>
        <w:t>4 hours</w:t>
      </w:r>
      <w:r w:rsidRPr="005A3C4C">
        <w:rPr>
          <w:rFonts w:ascii="Times New Roman" w:eastAsia="Times New Roman" w:hAnsi="Times New Roman" w:cs="Times New Roman"/>
          <w:sz w:val="24"/>
          <w:szCs w:val="24"/>
        </w:rPr>
        <w:t xml:space="preserve"> at 250</w:t>
      </w:r>
      <w:r w:rsidR="00F00A93">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C. It was then filtered</w:t>
      </w:r>
      <w:r w:rsidR="006A3F8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the filtrate was concentrated using </w:t>
      </w:r>
      <w:r w:rsidR="00AF1CF1">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wa</w:t>
      </w:r>
      <w:r w:rsidR="00AF1CF1">
        <w:rPr>
          <w:rFonts w:ascii="Times New Roman" w:eastAsia="Times New Roman" w:hAnsi="Times New Roman" w:cs="Times New Roman"/>
          <w:sz w:val="24"/>
          <w:szCs w:val="24"/>
        </w:rPr>
        <w:t xml:space="preserve">ter </w:t>
      </w:r>
      <w:r w:rsidRPr="005A3C4C">
        <w:rPr>
          <w:rFonts w:ascii="Times New Roman" w:eastAsia="Times New Roman" w:hAnsi="Times New Roman" w:cs="Times New Roman"/>
          <w:sz w:val="24"/>
          <w:szCs w:val="24"/>
        </w:rPr>
        <w:t>bath (</w:t>
      </w:r>
      <w:r w:rsidR="00AF1CF1">
        <w:rPr>
          <w:rFonts w:ascii="Times New Roman" w:eastAsia="Times New Roman" w:hAnsi="Times New Roman" w:cs="Times New Roman"/>
          <w:sz w:val="24"/>
          <w:szCs w:val="24"/>
        </w:rPr>
        <w:t>members</w:t>
      </w:r>
      <w:r w:rsidRPr="005A3C4C">
        <w:rPr>
          <w:rFonts w:ascii="Times New Roman" w:eastAsia="Times New Roman" w:hAnsi="Times New Roman" w:cs="Times New Roman"/>
          <w:sz w:val="24"/>
          <w:szCs w:val="24"/>
        </w:rPr>
        <w:t xml:space="preserve">) to </w:t>
      </w:r>
      <w:r w:rsidR="00AF1CF1">
        <w:rPr>
          <w:rFonts w:ascii="Times New Roman" w:eastAsia="Times New Roman" w:hAnsi="Times New Roman" w:cs="Times New Roman"/>
          <w:sz w:val="24"/>
          <w:szCs w:val="24"/>
        </w:rPr>
        <w:t>one-quarter</w:t>
      </w:r>
      <w:r w:rsidRPr="005A3C4C">
        <w:rPr>
          <w:rFonts w:ascii="Times New Roman" w:eastAsia="Times New Roman" w:hAnsi="Times New Roman" w:cs="Times New Roman"/>
          <w:sz w:val="24"/>
          <w:szCs w:val="24"/>
        </w:rPr>
        <w:t xml:space="preserve"> of the original volume. Concentrated ammonium hydroxide was added </w:t>
      </w:r>
      <w:r w:rsidR="00AF1CF1">
        <w:rPr>
          <w:rFonts w:ascii="Times New Roman" w:eastAsia="Times New Roman" w:hAnsi="Times New Roman" w:cs="Times New Roman"/>
          <w:sz w:val="24"/>
          <w:szCs w:val="24"/>
        </w:rPr>
        <w:t>dropwise</w:t>
      </w:r>
      <w:r w:rsidRPr="005A3C4C">
        <w:rPr>
          <w:rFonts w:ascii="Times New Roman" w:eastAsia="Times New Roman" w:hAnsi="Times New Roman" w:cs="Times New Roman"/>
          <w:sz w:val="24"/>
          <w:szCs w:val="24"/>
        </w:rPr>
        <w:t xml:space="preserve"> to the extract until the precipitation was complete. The whole solution was allowed to settle and the precipitate was collected and washed with dilute NH4oH solution. It was then filtered using a pre-weighed filter paper</w:t>
      </w:r>
      <w:r w:rsidR="00225360" w:rsidRPr="005A3C4C">
        <w:rPr>
          <w:rFonts w:ascii="Times New Roman" w:eastAsia="Times New Roman" w:hAnsi="Times New Roman" w:cs="Times New Roman"/>
          <w:sz w:val="24"/>
          <w:szCs w:val="24"/>
        </w:rPr>
        <w:t xml:space="preserve"> </w:t>
      </w:r>
      <w:r w:rsidR="00225360" w:rsidRPr="005A3C4C">
        <w:rPr>
          <w:rFonts w:ascii="Times New Roman" w:eastAsia="Times New Roman" w:hAnsi="Times New Roman" w:cs="Times New Roman"/>
          <w:sz w:val="24"/>
          <w:szCs w:val="24"/>
        </w:rPr>
        <w:fldChar w:fldCharType="begin" w:fldLock="1"/>
      </w:r>
      <w:r w:rsidR="00225360" w:rsidRPr="005A3C4C">
        <w:rPr>
          <w:rFonts w:ascii="Times New Roman" w:eastAsia="Times New Roman" w:hAnsi="Times New Roman" w:cs="Times New Roman"/>
          <w:sz w:val="24"/>
          <w:szCs w:val="24"/>
        </w:rPr>
        <w:instrText>ADDIN CSL_CITATION {"citationItems":[{"id":"ITEM-1","itemData":{"author":[{"dropping-particle":"","family":"Rocedure","given":"I I P","non-dropping-particle":"","parse-names":false,"suffix":""},{"dropping-particle":"","family":"Nalysis","given":"F O R A","non-dropping-particle":"","parse-names":false,"suffix":""}],"container-title":"International Journal of Applied Science and Mathgematics","id":"ITEM-1","issue":"5","issued":{"date-parts":[["2015"]]},"page":"142-145","title":"Quantitative Evaluation of Anti-nutritional Factors in Mango ( Magniferaindica ) Fruit","type":"article-journal","volume":"2"},"uris":["http://www.mendeley.com/documents/?uuid=3897789b-cf70-4bc9-a6c7-c87b41bfae5a"]}],"mendeley":{"formattedCitation":"(Rocedure &amp; Nalysis, 2015)","plainTextFormattedCitation":"(Rocedure &amp; Nalysis, 2015)","previouslyFormattedCitation":"(Rocedure &amp; Nalysis, 2015)"},"properties":{"noteIndex":0},"schema":"https://github.com/citation-style-language/schema/raw/master/csl-citation.json"}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 xml:space="preserve">(Rocedure </w:t>
      </w:r>
      <w:r w:rsidR="001B37C4">
        <w:rPr>
          <w:rFonts w:ascii="Times New Roman" w:eastAsia="Times New Roman" w:hAnsi="Times New Roman" w:cs="Times New Roman"/>
          <w:noProof/>
          <w:sz w:val="24"/>
          <w:szCs w:val="24"/>
        </w:rPr>
        <w:t>and</w:t>
      </w:r>
      <w:r w:rsidR="00225360" w:rsidRPr="005A3C4C">
        <w:rPr>
          <w:rFonts w:ascii="Times New Roman" w:eastAsia="Times New Roman" w:hAnsi="Times New Roman" w:cs="Times New Roman"/>
          <w:noProof/>
          <w:sz w:val="24"/>
          <w:szCs w:val="24"/>
        </w:rPr>
        <w:t xml:space="preserve"> Nalysis, 2015)</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The residue on the filter paper is the alkaloid and was dried in the precision oven at 800</w:t>
      </w:r>
      <w:r w:rsidR="006A3F87">
        <w:rPr>
          <w:rFonts w:ascii="Times New Roman" w:eastAsia="Times New Roman" w:hAnsi="Times New Roman" w:cs="Times New Roman"/>
          <w:sz w:val="24"/>
          <w:szCs w:val="24"/>
          <w:vertAlign w:val="superscript"/>
        </w:rPr>
        <w:t>0</w:t>
      </w:r>
      <w:r w:rsidRPr="005A3C4C">
        <w:rPr>
          <w:rFonts w:ascii="Times New Roman" w:eastAsia="Times New Roman" w:hAnsi="Times New Roman" w:cs="Times New Roman"/>
          <w:sz w:val="24"/>
          <w:szCs w:val="24"/>
        </w:rPr>
        <w:t xml:space="preserve">C. The alkaloid content was calculated and expressed as a percentage of the weight of the sample analyzed, thus: </w:t>
      </w:r>
    </w:p>
    <w:p w14:paraId="42AF4B82" w14:textId="64289BD4" w:rsidR="00D83134" w:rsidRPr="005A3C4C" w:rsidRDefault="00D83134"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Weight of alkaloid = </w:t>
      </w:r>
      <m:oMath>
        <m:f>
          <m:fPr>
            <m:ctrlPr>
              <w:rPr>
                <w:rFonts w:ascii="Cambria Math" w:eastAsia="Cambria Math" w:hAnsi="Cambria Math" w:cs="Times New Roman"/>
                <w:sz w:val="24"/>
                <w:szCs w:val="24"/>
              </w:rPr>
            </m:ctrlPr>
          </m:fPr>
          <m:num>
            <m:r>
              <w:rPr>
                <w:rFonts w:ascii="Cambria Math" w:eastAsia="Cambria Math" w:hAnsi="Cambria Math" w:cs="Times New Roman"/>
                <w:sz w:val="24"/>
                <w:szCs w:val="24"/>
              </w:rPr>
              <m:t>Weight of filer paper with residue wt of filter paper</m:t>
            </m:r>
          </m:num>
          <m:den>
            <m:r>
              <w:rPr>
                <w:rFonts w:ascii="Cambria Math" w:eastAsia="Cambria Math" w:hAnsi="Cambria Math" w:cs="Times New Roman"/>
                <w:sz w:val="24"/>
                <w:szCs w:val="24"/>
              </w:rPr>
              <m:t xml:space="preserve"> Weight of sample analyzed </m:t>
            </m:r>
          </m:den>
        </m:f>
      </m:oMath>
      <w:r w:rsidRPr="005A3C4C">
        <w:rPr>
          <w:rFonts w:ascii="Times New Roman" w:eastAsia="Times New Roman" w:hAnsi="Times New Roman" w:cs="Times New Roman"/>
          <w:sz w:val="24"/>
          <w:szCs w:val="24"/>
        </w:rPr>
        <w:t xml:space="preserve"> X 100                                 (</w:t>
      </w:r>
      <w:r w:rsidR="00453964" w:rsidRPr="005A3C4C">
        <w:rPr>
          <w:rFonts w:ascii="Times New Roman" w:eastAsia="Times New Roman" w:hAnsi="Times New Roman" w:cs="Times New Roman"/>
          <w:sz w:val="24"/>
          <w:szCs w:val="24"/>
        </w:rPr>
        <w:t>2</w:t>
      </w:r>
      <w:r w:rsidRPr="005A3C4C">
        <w:rPr>
          <w:rFonts w:ascii="Times New Roman" w:eastAsia="Times New Roman" w:hAnsi="Times New Roman" w:cs="Times New Roman"/>
          <w:sz w:val="24"/>
          <w:szCs w:val="24"/>
        </w:rPr>
        <w:t>)</w:t>
      </w:r>
    </w:p>
    <w:p w14:paraId="59F0A0CD" w14:textId="77777777" w:rsidR="003543D5" w:rsidRPr="005A3C4C" w:rsidRDefault="003543D5"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lastRenderedPageBreak/>
        <w:t>Sensory evaluation of gruels produced from the complementary food</w:t>
      </w:r>
    </w:p>
    <w:p w14:paraId="197AACA3" w14:textId="4E62D2BA" w:rsidR="003543D5" w:rsidRPr="005A3C4C" w:rsidRDefault="003543D5"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five different samples of complement</w:t>
      </w:r>
      <w:r w:rsidR="000675F2" w:rsidRPr="005A3C4C">
        <w:rPr>
          <w:rFonts w:ascii="Times New Roman" w:eastAsia="Times New Roman" w:hAnsi="Times New Roman" w:cs="Times New Roman"/>
          <w:sz w:val="24"/>
          <w:szCs w:val="24"/>
        </w:rPr>
        <w:t xml:space="preserve">ary diets were evaluated </w:t>
      </w:r>
      <w:r w:rsidRPr="005A3C4C">
        <w:rPr>
          <w:rFonts w:ascii="Times New Roman" w:eastAsia="Times New Roman" w:hAnsi="Times New Roman" w:cs="Times New Roman"/>
          <w:sz w:val="24"/>
          <w:szCs w:val="24"/>
        </w:rPr>
        <w:t>for sensory characteristics and overall acceptabilit</w:t>
      </w:r>
      <w:r w:rsidR="000675F2" w:rsidRPr="005A3C4C">
        <w:rPr>
          <w:rFonts w:ascii="Times New Roman" w:eastAsia="Times New Roman" w:hAnsi="Times New Roman" w:cs="Times New Roman"/>
          <w:sz w:val="24"/>
          <w:szCs w:val="24"/>
        </w:rPr>
        <w:t>y by panelists of 15 judges consisting of</w:t>
      </w:r>
      <w:r w:rsidRPr="005A3C4C">
        <w:rPr>
          <w:rFonts w:ascii="Times New Roman" w:eastAsia="Times New Roman" w:hAnsi="Times New Roman" w:cs="Times New Roman"/>
          <w:sz w:val="24"/>
          <w:szCs w:val="24"/>
        </w:rPr>
        <w:t xml:space="preserve"> mothers living around </w:t>
      </w:r>
      <w:r w:rsidR="004A4078">
        <w:rPr>
          <w:rFonts w:ascii="Times New Roman" w:eastAsia="Times New Roman" w:hAnsi="Times New Roman" w:cs="Times New Roman"/>
          <w:sz w:val="24"/>
          <w:szCs w:val="24"/>
        </w:rPr>
        <w:t xml:space="preserve">the </w:t>
      </w:r>
      <w:r w:rsidRPr="005A3C4C">
        <w:rPr>
          <w:rFonts w:ascii="Times New Roman" w:eastAsia="Times New Roman" w:hAnsi="Times New Roman" w:cs="Times New Roman"/>
          <w:sz w:val="24"/>
          <w:szCs w:val="24"/>
        </w:rPr>
        <w:t>CEFTER hostel using a 9</w:t>
      </w:r>
      <w:r w:rsidR="000675F2"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point hedonic scale preference test. The hedonic was used to compare commercially formulated food and traditionally formulated food from Orange Fleshed Sweet Potatoes, </w:t>
      </w:r>
      <w:r w:rsidR="00851260">
        <w:rPr>
          <w:rFonts w:ascii="Times New Roman" w:eastAsia="Times New Roman" w:hAnsi="Times New Roman" w:cs="Times New Roman"/>
          <w:sz w:val="24"/>
          <w:szCs w:val="24"/>
        </w:rPr>
        <w:t>soybeans</w:t>
      </w:r>
      <w:r w:rsidR="004A4078">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w:t>
      </w:r>
      <w:r w:rsidR="00735277">
        <w:rPr>
          <w:rFonts w:ascii="Times New Roman" w:eastAsia="Times New Roman" w:hAnsi="Times New Roman" w:cs="Times New Roman"/>
          <w:sz w:val="24"/>
          <w:szCs w:val="24"/>
        </w:rPr>
        <w:t xml:space="preserve">Tropical </w:t>
      </w:r>
      <w:r w:rsidRPr="005A3C4C">
        <w:rPr>
          <w:rFonts w:ascii="Times New Roman" w:eastAsia="Times New Roman" w:hAnsi="Times New Roman" w:cs="Times New Roman"/>
          <w:sz w:val="24"/>
          <w:szCs w:val="24"/>
        </w:rPr>
        <w:t>Almond to know which complementary diet was preferable in appearance, mouth feel, consistency or viscosity, aroma, taste</w:t>
      </w:r>
      <w:r w:rsidR="004A4078">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general acceptability. The quantities evaluated </w:t>
      </w:r>
      <w:r w:rsidR="004A4078">
        <w:rPr>
          <w:rFonts w:ascii="Times New Roman" w:eastAsia="Times New Roman" w:hAnsi="Times New Roman" w:cs="Times New Roman"/>
          <w:sz w:val="24"/>
          <w:szCs w:val="24"/>
        </w:rPr>
        <w:t>were</w:t>
      </w:r>
      <w:r w:rsidRPr="005A3C4C">
        <w:rPr>
          <w:rFonts w:ascii="Times New Roman" w:eastAsia="Times New Roman" w:hAnsi="Times New Roman" w:cs="Times New Roman"/>
          <w:sz w:val="24"/>
          <w:szCs w:val="24"/>
        </w:rPr>
        <w:t xml:space="preserve"> rated on a scale ra</w:t>
      </w:r>
      <w:r w:rsidR="000675F2" w:rsidRPr="005A3C4C">
        <w:rPr>
          <w:rFonts w:ascii="Times New Roman" w:eastAsia="Times New Roman" w:hAnsi="Times New Roman" w:cs="Times New Roman"/>
          <w:sz w:val="24"/>
          <w:szCs w:val="24"/>
        </w:rPr>
        <w:t>nging from one to nine (1 to</w:t>
      </w:r>
      <w:r w:rsidR="00851260">
        <w:rPr>
          <w:rFonts w:ascii="Times New Roman" w:eastAsia="Times New Roman" w:hAnsi="Times New Roman" w:cs="Times New Roman"/>
          <w:sz w:val="24"/>
          <w:szCs w:val="24"/>
        </w:rPr>
        <w:t xml:space="preserve"> 9)</w:t>
      </w:r>
      <w:r w:rsidR="00225360" w:rsidRPr="005A3C4C">
        <w:rPr>
          <w:rFonts w:ascii="Times New Roman" w:eastAsia="Times New Roman" w:hAnsi="Times New Roman" w:cs="Times New Roman"/>
          <w:sz w:val="24"/>
          <w:szCs w:val="24"/>
        </w:rPr>
        <w:fldChar w:fldCharType="begin" w:fldLock="1"/>
      </w:r>
      <w:r w:rsidR="005A56A5" w:rsidRPr="005A3C4C">
        <w:rPr>
          <w:rFonts w:ascii="Times New Roman" w:eastAsia="Times New Roman" w:hAnsi="Times New Roman" w:cs="Times New Roman"/>
          <w:sz w:val="24"/>
          <w:szCs w:val="24"/>
        </w:rPr>
        <w:instrText>ADDIN CSL_CITATION {"citationItems":[{"id":"ITEM-1","itemData":{"DOI":"10.17265/2159-5828/2016.01.004","author":[{"dropping-particle":"","family":"Ezeokeke","given":"Chike Timothy","non-dropping-particle":"","parse-names":false,"suffix":""},{"dropping-particle":"","family":"Onuoha","given":"Anita Blessing","non-dropping-particle":"","parse-names":false,"suffix":""}],"id":"ITEM-1","issued":{"date-parts":[["2016"]]},"page":"139-148","title":"Nutrient Composition of Cereal (Maize), Legume (Soybean) and Fruit (Banana) as a Complementary Food for Older Infants and Their Sensory Assessment","type":"article-journal","volume":"6"},"uris":["http://www.mendeley.com/documents/?uuid=44afb417-0a0d-423f-897c-6c8476d3d6f0"]}],"mendeley":{"formattedCitation":"(Ezeokeke &amp; Onuoha, 2016)","plainTextFormattedCitation":"(Ezeokeke &amp; Onuoha, 2016)","previouslyFormattedCitation":"(Ezeokeke &amp; Onuoha, 2016)"},"properties":{"noteIndex":0},"schema":"https://github.com/citation-style-language/schema/raw/master/csl-citation.json"}</w:instrText>
      </w:r>
      <w:r w:rsidR="00225360" w:rsidRPr="005A3C4C">
        <w:rPr>
          <w:rFonts w:ascii="Times New Roman" w:eastAsia="Times New Roman" w:hAnsi="Times New Roman" w:cs="Times New Roman"/>
          <w:sz w:val="24"/>
          <w:szCs w:val="24"/>
        </w:rPr>
        <w:fldChar w:fldCharType="separate"/>
      </w:r>
      <w:r w:rsidR="00225360" w:rsidRPr="005A3C4C">
        <w:rPr>
          <w:rFonts w:ascii="Times New Roman" w:eastAsia="Times New Roman" w:hAnsi="Times New Roman" w:cs="Times New Roman"/>
          <w:noProof/>
          <w:sz w:val="24"/>
          <w:szCs w:val="24"/>
        </w:rPr>
        <w:t xml:space="preserve">(Ezeokeke </w:t>
      </w:r>
      <w:r w:rsidR="001B37C4">
        <w:rPr>
          <w:rFonts w:ascii="Times New Roman" w:eastAsia="Times New Roman" w:hAnsi="Times New Roman" w:cs="Times New Roman"/>
          <w:noProof/>
          <w:sz w:val="24"/>
          <w:szCs w:val="24"/>
        </w:rPr>
        <w:t>and</w:t>
      </w:r>
      <w:r w:rsidR="00225360" w:rsidRPr="005A3C4C">
        <w:rPr>
          <w:rFonts w:ascii="Times New Roman" w:eastAsia="Times New Roman" w:hAnsi="Times New Roman" w:cs="Times New Roman"/>
          <w:noProof/>
          <w:sz w:val="24"/>
          <w:szCs w:val="24"/>
        </w:rPr>
        <w:t xml:space="preserve"> Onuoha, 2016)</w:t>
      </w:r>
      <w:r w:rsidR="00225360"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t>
      </w:r>
    </w:p>
    <w:p w14:paraId="123DAA7B" w14:textId="77777777" w:rsidR="003543D5" w:rsidRPr="005A3C4C" w:rsidRDefault="003543D5"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 xml:space="preserve">Statistical Analysis. </w:t>
      </w:r>
    </w:p>
    <w:p w14:paraId="75F5CFE5" w14:textId="58FB8089" w:rsidR="00A50215" w:rsidRPr="005A3C4C" w:rsidRDefault="003543D5"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Statistical analysis was done using Statistical Package for Social Science (SPSS) computer software. All experiments were conducted in triplicates and reported as mean ± Standard deviation. Analysis of variance (</w:t>
      </w:r>
      <w:r w:rsidR="004A4078">
        <w:rPr>
          <w:rFonts w:ascii="Times New Roman" w:eastAsia="Times New Roman" w:hAnsi="Times New Roman" w:cs="Times New Roman"/>
          <w:sz w:val="24"/>
          <w:szCs w:val="24"/>
        </w:rPr>
        <w:t>One-way</w:t>
      </w:r>
      <w:r w:rsidRPr="005A3C4C">
        <w:rPr>
          <w:rFonts w:ascii="Times New Roman" w:eastAsia="Times New Roman" w:hAnsi="Times New Roman" w:cs="Times New Roman"/>
          <w:sz w:val="24"/>
          <w:szCs w:val="24"/>
        </w:rPr>
        <w:t xml:space="preserve"> ANOVA) was used to ascertain any </w:t>
      </w:r>
      <w:r w:rsidR="004A4078">
        <w:rPr>
          <w:rFonts w:ascii="Times New Roman" w:eastAsia="Times New Roman" w:hAnsi="Times New Roman" w:cs="Times New Roman"/>
          <w:sz w:val="24"/>
          <w:szCs w:val="24"/>
        </w:rPr>
        <w:t>significant</w:t>
      </w:r>
      <w:r w:rsidRPr="005A3C4C">
        <w:rPr>
          <w:rFonts w:ascii="Times New Roman" w:eastAsia="Times New Roman" w:hAnsi="Times New Roman" w:cs="Times New Roman"/>
          <w:sz w:val="24"/>
          <w:szCs w:val="24"/>
        </w:rPr>
        <w:t xml:space="preserve"> difference in the treatments at </w:t>
      </w:r>
      <w:r w:rsidR="004A4078">
        <w:rPr>
          <w:rFonts w:ascii="Times New Roman" w:eastAsia="Times New Roman" w:hAnsi="Times New Roman" w:cs="Times New Roman"/>
          <w:sz w:val="24"/>
          <w:szCs w:val="24"/>
        </w:rPr>
        <w:t xml:space="preserve">a </w:t>
      </w:r>
      <w:r w:rsidRPr="005A3C4C">
        <w:rPr>
          <w:rFonts w:ascii="Times New Roman" w:eastAsia="Times New Roman" w:hAnsi="Times New Roman" w:cs="Times New Roman"/>
          <w:sz w:val="24"/>
          <w:szCs w:val="24"/>
        </w:rPr>
        <w:t>95</w:t>
      </w:r>
      <w:r w:rsidR="00947262">
        <w:rPr>
          <w:rFonts w:ascii="Times New Roman" w:eastAsia="Times New Roman" w:hAnsi="Times New Roman" w:cs="Times New Roman"/>
          <w:sz w:val="24"/>
          <w:szCs w:val="24"/>
        </w:rPr>
        <w:t xml:space="preserve"> </w:t>
      </w:r>
      <w:r w:rsidR="00702716">
        <w:rPr>
          <w:rFonts w:ascii="Times New Roman" w:eastAsia="Times New Roman" w:hAnsi="Times New Roman" w:cs="Times New Roman"/>
          <w:sz w:val="24"/>
          <w:szCs w:val="24"/>
        </w:rPr>
        <w:t>percent</w:t>
      </w:r>
      <w:r w:rsidRPr="005A3C4C">
        <w:rPr>
          <w:rFonts w:ascii="Times New Roman" w:eastAsia="Times New Roman" w:hAnsi="Times New Roman" w:cs="Times New Roman"/>
          <w:sz w:val="24"/>
          <w:szCs w:val="24"/>
        </w:rPr>
        <w:t xml:space="preserve"> (p&lt;0.05) significant level. The Duncan multiple range test (DMRT) </w:t>
      </w:r>
      <w:r w:rsidR="000F4B91">
        <w:rPr>
          <w:rFonts w:ascii="Times New Roman" w:eastAsia="Times New Roman" w:hAnsi="Times New Roman" w:cs="Times New Roman"/>
          <w:sz w:val="24"/>
          <w:szCs w:val="24"/>
        </w:rPr>
        <w:t>separated</w:t>
      </w:r>
      <w:r w:rsidRPr="005A3C4C">
        <w:rPr>
          <w:rFonts w:ascii="Times New Roman" w:eastAsia="Times New Roman" w:hAnsi="Times New Roman" w:cs="Times New Roman"/>
          <w:sz w:val="24"/>
          <w:szCs w:val="24"/>
        </w:rPr>
        <w:t xml:space="preserve"> the mean</w:t>
      </w:r>
      <w:r w:rsidR="000675F2" w:rsidRPr="005A3C4C">
        <w:rPr>
          <w:rFonts w:ascii="Times New Roman" w:eastAsia="Times New Roman" w:hAnsi="Times New Roman" w:cs="Times New Roman"/>
          <w:sz w:val="24"/>
          <w:szCs w:val="24"/>
        </w:rPr>
        <w:t>s</w:t>
      </w:r>
      <w:r w:rsidRPr="005A3C4C">
        <w:rPr>
          <w:rFonts w:ascii="Times New Roman" w:eastAsia="Times New Roman" w:hAnsi="Times New Roman" w:cs="Times New Roman"/>
          <w:sz w:val="24"/>
          <w:szCs w:val="24"/>
        </w:rPr>
        <w:t>.</w:t>
      </w:r>
    </w:p>
    <w:p w14:paraId="31BDFE35" w14:textId="77777777" w:rsidR="00B20A6E" w:rsidRPr="005A3C4C" w:rsidRDefault="00EA01B7" w:rsidP="00B44362">
      <w:pPr>
        <w:pStyle w:val="ListParagraph"/>
        <w:numPr>
          <w:ilvl w:val="0"/>
          <w:numId w:val="1"/>
        </w:numP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Results and Discussion</w:t>
      </w:r>
      <w:r w:rsidR="005C5602" w:rsidRPr="005A3C4C">
        <w:rPr>
          <w:rFonts w:ascii="Times New Roman" w:eastAsia="Times New Roman" w:hAnsi="Times New Roman" w:cs="Times New Roman"/>
          <w:b/>
          <w:bCs/>
          <w:sz w:val="24"/>
          <w:szCs w:val="24"/>
        </w:rPr>
        <w:t>.</w:t>
      </w:r>
      <w:bookmarkStart w:id="3" w:name="_heading=h.184mhaj" w:colFirst="0" w:colLast="0"/>
      <w:bookmarkEnd w:id="3"/>
    </w:p>
    <w:p w14:paraId="5E7F9A15" w14:textId="23E8B6EA" w:rsidR="00F31724" w:rsidRPr="005A3C4C" w:rsidRDefault="00F31724" w:rsidP="00B44362">
      <w:pPr>
        <w:spacing w:line="240" w:lineRule="auto"/>
        <w:jc w:val="both"/>
        <w:rPr>
          <w:rFonts w:ascii="Times New Roman" w:eastAsia="Times New Roman" w:hAnsi="Times New Roman" w:cs="Times New Roman"/>
          <w:b/>
          <w:bCs/>
          <w:sz w:val="24"/>
          <w:szCs w:val="24"/>
        </w:rPr>
      </w:pPr>
      <w:r w:rsidRPr="005A3C4C">
        <w:rPr>
          <w:rFonts w:ascii="Times New Roman" w:hAnsi="Times New Roman" w:cs="Times New Roman"/>
          <w:b/>
          <w:bCs/>
          <w:sz w:val="24"/>
          <w:szCs w:val="24"/>
        </w:rPr>
        <w:t xml:space="preserve">Amino acid profile of the complementary food </w:t>
      </w:r>
    </w:p>
    <w:p w14:paraId="61E6DB7A" w14:textId="6504798F" w:rsidR="00F31724" w:rsidRDefault="00F31724"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are nine essential amino acids: histidine, isoleucine, leucine, lysine, methionine, phenylalanine, threonine, tryptophan, and valine. The composition of essential amino acids in the formulated samples is pre</w:t>
      </w:r>
      <w:r w:rsidR="0035675C" w:rsidRPr="005A3C4C">
        <w:rPr>
          <w:rFonts w:ascii="Times New Roman" w:hAnsi="Times New Roman" w:cs="Times New Roman"/>
          <w:sz w:val="24"/>
          <w:szCs w:val="24"/>
        </w:rPr>
        <w:t>sented in Table 2</w:t>
      </w:r>
      <w:r w:rsidR="00C02210" w:rsidRPr="005A3C4C">
        <w:rPr>
          <w:rFonts w:ascii="Times New Roman" w:hAnsi="Times New Roman" w:cs="Times New Roman"/>
          <w:sz w:val="24"/>
          <w:szCs w:val="24"/>
        </w:rPr>
        <w:t>.</w:t>
      </w:r>
      <w:r w:rsidRPr="005A3C4C">
        <w:rPr>
          <w:rFonts w:ascii="Times New Roman" w:hAnsi="Times New Roman" w:cs="Times New Roman"/>
          <w:sz w:val="24"/>
          <w:szCs w:val="24"/>
        </w:rPr>
        <w:t xml:space="preserve"> The total essential am</w:t>
      </w:r>
      <w:r w:rsidR="0035675C" w:rsidRPr="005A3C4C">
        <w:rPr>
          <w:rFonts w:ascii="Times New Roman" w:hAnsi="Times New Roman" w:cs="Times New Roman"/>
          <w:sz w:val="24"/>
          <w:szCs w:val="24"/>
        </w:rPr>
        <w:t>ino acid content ranged from 14.</w:t>
      </w:r>
      <w:r w:rsidRPr="005A3C4C">
        <w:rPr>
          <w:rFonts w:ascii="Times New Roman" w:hAnsi="Times New Roman" w:cs="Times New Roman"/>
          <w:sz w:val="24"/>
          <w:szCs w:val="24"/>
        </w:rPr>
        <w:t>12 g/100g in ComF1 to 59.55 g/100g in ComF4. There was a significant increase in the essential amino acid content of the samples as soybean flour substitution increased.</w:t>
      </w:r>
      <w:bookmarkStart w:id="4" w:name="_heading=h.3s49zyc" w:colFirst="0" w:colLast="0"/>
      <w:bookmarkEnd w:id="4"/>
    </w:p>
    <w:p w14:paraId="77B83ECF" w14:textId="765D9AF8" w:rsidR="00F00A93" w:rsidRPr="005A3C4C" w:rsidRDefault="00F00A93" w:rsidP="00B44362">
      <w:pPr>
        <w:spacing w:line="240" w:lineRule="auto"/>
        <w:jc w:val="both"/>
        <w:rPr>
          <w:rFonts w:ascii="Times New Roman" w:hAnsi="Times New Roman" w:cs="Times New Roman"/>
          <w:sz w:val="24"/>
          <w:szCs w:val="24"/>
        </w:rPr>
      </w:pPr>
      <w:r w:rsidRPr="00F00A93">
        <w:rPr>
          <w:rFonts w:ascii="Times New Roman" w:hAnsi="Times New Roman" w:cs="Times New Roman"/>
          <w:sz w:val="24"/>
          <w:szCs w:val="24"/>
        </w:rPr>
        <w:t>Table 2 Essential Amino Acid Composition (g/100g of protein) of the Complementary Food Samples</w:t>
      </w:r>
    </w:p>
    <w:tbl>
      <w:tblPr>
        <w:tblStyle w:val="5"/>
        <w:tblpPr w:leftFromText="180" w:rightFromText="180" w:vertAnchor="text" w:tblpY="57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670"/>
        <w:gridCol w:w="1281"/>
        <w:gridCol w:w="1281"/>
        <w:gridCol w:w="1339"/>
        <w:gridCol w:w="1284"/>
        <w:gridCol w:w="1284"/>
        <w:gridCol w:w="1221"/>
      </w:tblGrid>
      <w:tr w:rsidR="005C5602" w:rsidRPr="005A3C4C" w14:paraId="02375120" w14:textId="77777777" w:rsidTr="008D0003">
        <w:trPr>
          <w:trHeight w:val="579"/>
        </w:trPr>
        <w:tc>
          <w:tcPr>
            <w:tcW w:w="826" w:type="pct"/>
            <w:tcBorders>
              <w:top w:val="single" w:sz="4" w:space="0" w:color="000000"/>
              <w:bottom w:val="single" w:sz="4" w:space="0" w:color="000000"/>
            </w:tcBorders>
          </w:tcPr>
          <w:p w14:paraId="2488385E" w14:textId="77777777" w:rsidR="005C5602" w:rsidRPr="005A3C4C" w:rsidRDefault="005C5602" w:rsidP="00B44362">
            <w:pPr>
              <w:jc w:val="both"/>
              <w:rPr>
                <w:b/>
                <w:color w:val="auto"/>
              </w:rPr>
            </w:pPr>
            <w:r w:rsidRPr="005A3C4C">
              <w:rPr>
                <w:b/>
                <w:color w:val="auto"/>
              </w:rPr>
              <w:t>Amino acid</w:t>
            </w:r>
          </w:p>
        </w:tc>
        <w:tc>
          <w:tcPr>
            <w:tcW w:w="700" w:type="pct"/>
            <w:tcBorders>
              <w:top w:val="single" w:sz="4" w:space="0" w:color="000000"/>
              <w:bottom w:val="single" w:sz="4" w:space="0" w:color="000000"/>
            </w:tcBorders>
          </w:tcPr>
          <w:p w14:paraId="18E73E1A" w14:textId="77777777" w:rsidR="005C5602" w:rsidRPr="005A3C4C" w:rsidRDefault="005C5602" w:rsidP="00B44362">
            <w:pPr>
              <w:jc w:val="both"/>
              <w:rPr>
                <w:b/>
                <w:color w:val="auto"/>
              </w:rPr>
            </w:pPr>
            <w:r w:rsidRPr="005A3C4C">
              <w:rPr>
                <w:b/>
                <w:color w:val="auto"/>
              </w:rPr>
              <w:t>ComF1</w:t>
            </w:r>
          </w:p>
        </w:tc>
        <w:tc>
          <w:tcPr>
            <w:tcW w:w="700" w:type="pct"/>
            <w:tcBorders>
              <w:top w:val="single" w:sz="4" w:space="0" w:color="000000"/>
              <w:bottom w:val="single" w:sz="4" w:space="0" w:color="000000"/>
            </w:tcBorders>
          </w:tcPr>
          <w:p w14:paraId="7A4617A6" w14:textId="77777777" w:rsidR="005C5602" w:rsidRPr="005A3C4C" w:rsidRDefault="005C5602" w:rsidP="00B44362">
            <w:pPr>
              <w:jc w:val="both"/>
              <w:rPr>
                <w:b/>
                <w:color w:val="auto"/>
              </w:rPr>
            </w:pPr>
            <w:r w:rsidRPr="005A3C4C">
              <w:rPr>
                <w:b/>
                <w:color w:val="auto"/>
              </w:rPr>
              <w:t>ComF2</w:t>
            </w:r>
          </w:p>
        </w:tc>
        <w:tc>
          <w:tcPr>
            <w:tcW w:w="705" w:type="pct"/>
            <w:tcBorders>
              <w:top w:val="single" w:sz="4" w:space="0" w:color="000000"/>
              <w:bottom w:val="single" w:sz="4" w:space="0" w:color="000000"/>
            </w:tcBorders>
          </w:tcPr>
          <w:p w14:paraId="6E0641F3" w14:textId="77777777" w:rsidR="005C5602" w:rsidRPr="005A3C4C" w:rsidRDefault="005C5602" w:rsidP="00B44362">
            <w:pPr>
              <w:jc w:val="both"/>
              <w:rPr>
                <w:b/>
                <w:color w:val="auto"/>
              </w:rPr>
            </w:pPr>
            <w:r w:rsidRPr="005A3C4C">
              <w:rPr>
                <w:b/>
                <w:color w:val="auto"/>
              </w:rPr>
              <w:t>ComF3</w:t>
            </w:r>
          </w:p>
        </w:tc>
        <w:tc>
          <w:tcPr>
            <w:tcW w:w="701" w:type="pct"/>
            <w:tcBorders>
              <w:top w:val="single" w:sz="4" w:space="0" w:color="000000"/>
              <w:bottom w:val="single" w:sz="4" w:space="0" w:color="000000"/>
            </w:tcBorders>
          </w:tcPr>
          <w:p w14:paraId="011CF0DB" w14:textId="77777777" w:rsidR="005C5602" w:rsidRPr="005A3C4C" w:rsidRDefault="005C5602" w:rsidP="00B44362">
            <w:pPr>
              <w:jc w:val="both"/>
              <w:rPr>
                <w:b/>
                <w:color w:val="auto"/>
              </w:rPr>
            </w:pPr>
            <w:r w:rsidRPr="005A3C4C">
              <w:rPr>
                <w:b/>
                <w:color w:val="auto"/>
              </w:rPr>
              <w:t>ComF4</w:t>
            </w:r>
          </w:p>
        </w:tc>
        <w:tc>
          <w:tcPr>
            <w:tcW w:w="701" w:type="pct"/>
            <w:tcBorders>
              <w:top w:val="single" w:sz="4" w:space="0" w:color="000000"/>
              <w:bottom w:val="single" w:sz="4" w:space="0" w:color="000000"/>
            </w:tcBorders>
          </w:tcPr>
          <w:p w14:paraId="4E50B27C" w14:textId="77777777" w:rsidR="005C5602" w:rsidRPr="005A3C4C" w:rsidRDefault="005C5602" w:rsidP="00B44362">
            <w:pPr>
              <w:jc w:val="both"/>
              <w:rPr>
                <w:b/>
                <w:color w:val="auto"/>
              </w:rPr>
            </w:pPr>
            <w:r w:rsidRPr="005A3C4C">
              <w:rPr>
                <w:b/>
                <w:color w:val="auto"/>
              </w:rPr>
              <w:t>ComF5</w:t>
            </w:r>
          </w:p>
        </w:tc>
        <w:tc>
          <w:tcPr>
            <w:tcW w:w="667" w:type="pct"/>
            <w:tcBorders>
              <w:top w:val="single" w:sz="4" w:space="0" w:color="000000"/>
              <w:bottom w:val="single" w:sz="4" w:space="0" w:color="000000"/>
            </w:tcBorders>
          </w:tcPr>
          <w:p w14:paraId="08DC3058" w14:textId="77777777" w:rsidR="005C5602" w:rsidRPr="005A3C4C" w:rsidRDefault="005C5602" w:rsidP="00B44362">
            <w:pPr>
              <w:jc w:val="both"/>
              <w:rPr>
                <w:b/>
                <w:color w:val="auto"/>
              </w:rPr>
            </w:pPr>
            <w:r w:rsidRPr="005A3C4C">
              <w:rPr>
                <w:b/>
                <w:color w:val="auto"/>
              </w:rPr>
              <w:t>LSD</w:t>
            </w:r>
          </w:p>
        </w:tc>
      </w:tr>
      <w:tr w:rsidR="005C5602" w:rsidRPr="005A3C4C" w14:paraId="3142D7AA" w14:textId="77777777" w:rsidTr="008D0003">
        <w:trPr>
          <w:trHeight w:val="579"/>
        </w:trPr>
        <w:tc>
          <w:tcPr>
            <w:tcW w:w="826" w:type="pct"/>
            <w:tcBorders>
              <w:top w:val="single" w:sz="4" w:space="0" w:color="000000"/>
            </w:tcBorders>
          </w:tcPr>
          <w:p w14:paraId="1F2FF219" w14:textId="77777777" w:rsidR="005C5602" w:rsidRPr="005A3C4C" w:rsidRDefault="005C5602" w:rsidP="00B44362">
            <w:pPr>
              <w:jc w:val="both"/>
              <w:rPr>
                <w:b/>
                <w:color w:val="auto"/>
              </w:rPr>
            </w:pPr>
            <w:r w:rsidRPr="005A3C4C">
              <w:rPr>
                <w:b/>
                <w:color w:val="auto"/>
              </w:rPr>
              <w:t>Leucine</w:t>
            </w:r>
          </w:p>
        </w:tc>
        <w:tc>
          <w:tcPr>
            <w:tcW w:w="700" w:type="pct"/>
            <w:tcBorders>
              <w:top w:val="single" w:sz="4" w:space="0" w:color="000000"/>
            </w:tcBorders>
          </w:tcPr>
          <w:p w14:paraId="0D6768C7" w14:textId="77777777" w:rsidR="005C5602" w:rsidRPr="005A3C4C" w:rsidRDefault="005C5602" w:rsidP="00B44362">
            <w:pPr>
              <w:jc w:val="both"/>
              <w:rPr>
                <w:color w:val="auto"/>
              </w:rPr>
            </w:pPr>
            <w:r w:rsidRPr="005A3C4C">
              <w:rPr>
                <w:color w:val="auto"/>
              </w:rPr>
              <w:t>3.21</w:t>
            </w:r>
            <w:r w:rsidRPr="005A3C4C">
              <w:rPr>
                <w:color w:val="auto"/>
                <w:vertAlign w:val="superscript"/>
              </w:rPr>
              <w:t>e</w:t>
            </w:r>
            <w:r w:rsidRPr="005A3C4C">
              <w:rPr>
                <w:color w:val="auto"/>
              </w:rPr>
              <w:t>±0.01</w:t>
            </w:r>
          </w:p>
        </w:tc>
        <w:tc>
          <w:tcPr>
            <w:tcW w:w="700" w:type="pct"/>
            <w:tcBorders>
              <w:top w:val="single" w:sz="4" w:space="0" w:color="000000"/>
            </w:tcBorders>
          </w:tcPr>
          <w:p w14:paraId="532B4D8B" w14:textId="77777777" w:rsidR="005C5602" w:rsidRPr="005A3C4C" w:rsidRDefault="005C5602" w:rsidP="00B44362">
            <w:pPr>
              <w:jc w:val="both"/>
              <w:rPr>
                <w:color w:val="auto"/>
              </w:rPr>
            </w:pPr>
            <w:r w:rsidRPr="005A3C4C">
              <w:rPr>
                <w:color w:val="auto"/>
              </w:rPr>
              <w:t>6.52</w:t>
            </w:r>
            <w:r w:rsidRPr="005A3C4C">
              <w:rPr>
                <w:color w:val="auto"/>
                <w:vertAlign w:val="superscript"/>
              </w:rPr>
              <w:t>d</w:t>
            </w:r>
            <w:r w:rsidRPr="005A3C4C">
              <w:rPr>
                <w:color w:val="auto"/>
              </w:rPr>
              <w:t>±0.02</w:t>
            </w:r>
          </w:p>
        </w:tc>
        <w:tc>
          <w:tcPr>
            <w:tcW w:w="705" w:type="pct"/>
            <w:tcBorders>
              <w:top w:val="single" w:sz="4" w:space="0" w:color="000000"/>
            </w:tcBorders>
          </w:tcPr>
          <w:p w14:paraId="3F4AB0A0" w14:textId="77777777" w:rsidR="005C5602" w:rsidRPr="005A3C4C" w:rsidRDefault="005C5602" w:rsidP="00B44362">
            <w:pPr>
              <w:jc w:val="both"/>
              <w:rPr>
                <w:color w:val="auto"/>
              </w:rPr>
            </w:pPr>
            <w:r w:rsidRPr="005A3C4C">
              <w:rPr>
                <w:color w:val="auto"/>
              </w:rPr>
              <w:t>6.83</w:t>
            </w:r>
            <w:r w:rsidRPr="005A3C4C">
              <w:rPr>
                <w:color w:val="auto"/>
                <w:vertAlign w:val="superscript"/>
              </w:rPr>
              <w:t>c</w:t>
            </w:r>
            <w:r w:rsidRPr="005A3C4C">
              <w:rPr>
                <w:color w:val="auto"/>
              </w:rPr>
              <w:t>±0.00</w:t>
            </w:r>
          </w:p>
        </w:tc>
        <w:tc>
          <w:tcPr>
            <w:tcW w:w="701" w:type="pct"/>
            <w:tcBorders>
              <w:top w:val="single" w:sz="4" w:space="0" w:color="000000"/>
            </w:tcBorders>
          </w:tcPr>
          <w:p w14:paraId="2F66CFE1" w14:textId="77777777" w:rsidR="005C5602" w:rsidRPr="005A3C4C" w:rsidRDefault="005C5602" w:rsidP="00B44362">
            <w:pPr>
              <w:jc w:val="both"/>
              <w:rPr>
                <w:color w:val="auto"/>
              </w:rPr>
            </w:pPr>
            <w:r w:rsidRPr="005A3C4C">
              <w:rPr>
                <w:color w:val="auto"/>
              </w:rPr>
              <w:t>7.31</w:t>
            </w:r>
            <w:r w:rsidRPr="005A3C4C">
              <w:rPr>
                <w:color w:val="auto"/>
                <w:vertAlign w:val="superscript"/>
              </w:rPr>
              <w:t>b</w:t>
            </w:r>
            <w:r w:rsidRPr="005A3C4C">
              <w:rPr>
                <w:color w:val="auto"/>
              </w:rPr>
              <w:t>±0.02</w:t>
            </w:r>
          </w:p>
        </w:tc>
        <w:tc>
          <w:tcPr>
            <w:tcW w:w="701" w:type="pct"/>
            <w:tcBorders>
              <w:top w:val="single" w:sz="4" w:space="0" w:color="000000"/>
            </w:tcBorders>
          </w:tcPr>
          <w:p w14:paraId="1641B7D8" w14:textId="77777777" w:rsidR="005C5602" w:rsidRPr="005A3C4C" w:rsidRDefault="005C5602" w:rsidP="00B44362">
            <w:pPr>
              <w:jc w:val="both"/>
              <w:rPr>
                <w:color w:val="auto"/>
              </w:rPr>
            </w:pPr>
            <w:r w:rsidRPr="005A3C4C">
              <w:rPr>
                <w:color w:val="auto"/>
              </w:rPr>
              <w:t>9.02</w:t>
            </w:r>
            <w:r w:rsidRPr="005A3C4C">
              <w:rPr>
                <w:color w:val="auto"/>
                <w:vertAlign w:val="superscript"/>
              </w:rPr>
              <w:t>a</w:t>
            </w:r>
            <w:r w:rsidRPr="005A3C4C">
              <w:rPr>
                <w:color w:val="auto"/>
              </w:rPr>
              <w:t>±0.03</w:t>
            </w:r>
          </w:p>
        </w:tc>
        <w:tc>
          <w:tcPr>
            <w:tcW w:w="667" w:type="pct"/>
            <w:tcBorders>
              <w:top w:val="single" w:sz="4" w:space="0" w:color="000000"/>
            </w:tcBorders>
          </w:tcPr>
          <w:p w14:paraId="7236896C" w14:textId="77777777" w:rsidR="005C5602" w:rsidRPr="005A3C4C" w:rsidRDefault="005C5602" w:rsidP="00B44362">
            <w:pPr>
              <w:jc w:val="both"/>
              <w:rPr>
                <w:color w:val="auto"/>
              </w:rPr>
            </w:pPr>
            <w:r w:rsidRPr="005A3C4C">
              <w:rPr>
                <w:color w:val="auto"/>
              </w:rPr>
              <w:t>0.00</w:t>
            </w:r>
          </w:p>
        </w:tc>
      </w:tr>
      <w:tr w:rsidR="005C5602" w:rsidRPr="005A3C4C" w14:paraId="42D8963C" w14:textId="77777777" w:rsidTr="008D0003">
        <w:trPr>
          <w:trHeight w:val="579"/>
        </w:trPr>
        <w:tc>
          <w:tcPr>
            <w:tcW w:w="826" w:type="pct"/>
          </w:tcPr>
          <w:p w14:paraId="6C587018" w14:textId="77777777" w:rsidR="005C5602" w:rsidRPr="005A3C4C" w:rsidRDefault="005C5602" w:rsidP="00B44362">
            <w:pPr>
              <w:jc w:val="both"/>
              <w:rPr>
                <w:b/>
                <w:color w:val="auto"/>
              </w:rPr>
            </w:pPr>
            <w:r w:rsidRPr="005A3C4C">
              <w:rPr>
                <w:b/>
                <w:color w:val="auto"/>
              </w:rPr>
              <w:t>Lysine</w:t>
            </w:r>
          </w:p>
        </w:tc>
        <w:tc>
          <w:tcPr>
            <w:tcW w:w="700" w:type="pct"/>
          </w:tcPr>
          <w:p w14:paraId="17D132AC" w14:textId="77777777" w:rsidR="005C5602" w:rsidRPr="005A3C4C" w:rsidRDefault="005C5602" w:rsidP="00B44362">
            <w:pPr>
              <w:jc w:val="both"/>
              <w:rPr>
                <w:color w:val="auto"/>
              </w:rPr>
            </w:pPr>
            <w:r w:rsidRPr="005A3C4C">
              <w:rPr>
                <w:color w:val="auto"/>
              </w:rPr>
              <w:t>1.07</w:t>
            </w:r>
            <w:r w:rsidRPr="005A3C4C">
              <w:rPr>
                <w:color w:val="auto"/>
                <w:vertAlign w:val="superscript"/>
              </w:rPr>
              <w:t>e</w:t>
            </w:r>
            <w:r w:rsidRPr="005A3C4C">
              <w:rPr>
                <w:color w:val="auto"/>
              </w:rPr>
              <w:t>±0.07</w:t>
            </w:r>
          </w:p>
        </w:tc>
        <w:tc>
          <w:tcPr>
            <w:tcW w:w="700" w:type="pct"/>
          </w:tcPr>
          <w:p w14:paraId="4F919DF7" w14:textId="77777777" w:rsidR="005C5602" w:rsidRPr="005A3C4C" w:rsidRDefault="005C5602" w:rsidP="00B44362">
            <w:pPr>
              <w:jc w:val="both"/>
              <w:rPr>
                <w:color w:val="auto"/>
              </w:rPr>
            </w:pPr>
            <w:r w:rsidRPr="005A3C4C">
              <w:rPr>
                <w:color w:val="auto"/>
              </w:rPr>
              <w:t>2.30</w:t>
            </w:r>
            <w:r w:rsidRPr="005A3C4C">
              <w:rPr>
                <w:color w:val="auto"/>
                <w:vertAlign w:val="superscript"/>
              </w:rPr>
              <w:t>c</w:t>
            </w:r>
            <w:r w:rsidRPr="005A3C4C">
              <w:rPr>
                <w:color w:val="auto"/>
              </w:rPr>
              <w:t>±0.01</w:t>
            </w:r>
          </w:p>
        </w:tc>
        <w:tc>
          <w:tcPr>
            <w:tcW w:w="705" w:type="pct"/>
          </w:tcPr>
          <w:p w14:paraId="2065F063" w14:textId="77777777" w:rsidR="005C5602" w:rsidRPr="005A3C4C" w:rsidRDefault="005C5602" w:rsidP="00B44362">
            <w:pPr>
              <w:jc w:val="both"/>
              <w:rPr>
                <w:color w:val="auto"/>
              </w:rPr>
            </w:pPr>
            <w:r w:rsidRPr="005A3C4C">
              <w:rPr>
                <w:color w:val="auto"/>
              </w:rPr>
              <w:t>2.72</w:t>
            </w:r>
            <w:r w:rsidRPr="005A3C4C">
              <w:rPr>
                <w:color w:val="auto"/>
                <w:vertAlign w:val="superscript"/>
              </w:rPr>
              <w:t>b</w:t>
            </w:r>
            <w:r w:rsidRPr="005A3C4C">
              <w:rPr>
                <w:color w:val="auto"/>
              </w:rPr>
              <w:t>±0.02</w:t>
            </w:r>
          </w:p>
        </w:tc>
        <w:tc>
          <w:tcPr>
            <w:tcW w:w="701" w:type="pct"/>
          </w:tcPr>
          <w:p w14:paraId="01C3CFC6" w14:textId="77777777" w:rsidR="005C5602" w:rsidRPr="005A3C4C" w:rsidRDefault="005C5602" w:rsidP="00B44362">
            <w:pPr>
              <w:jc w:val="both"/>
              <w:rPr>
                <w:color w:val="auto"/>
              </w:rPr>
            </w:pPr>
            <w:r w:rsidRPr="005A3C4C">
              <w:rPr>
                <w:color w:val="auto"/>
              </w:rPr>
              <w:t>3.21</w:t>
            </w:r>
            <w:r w:rsidRPr="005A3C4C">
              <w:rPr>
                <w:color w:val="auto"/>
                <w:vertAlign w:val="superscript"/>
              </w:rPr>
              <w:t>a</w:t>
            </w:r>
            <w:r w:rsidRPr="005A3C4C">
              <w:rPr>
                <w:color w:val="auto"/>
              </w:rPr>
              <w:t>±0.01</w:t>
            </w:r>
          </w:p>
        </w:tc>
        <w:tc>
          <w:tcPr>
            <w:tcW w:w="701" w:type="pct"/>
          </w:tcPr>
          <w:p w14:paraId="50068F2F" w14:textId="77777777" w:rsidR="005C5602" w:rsidRPr="005A3C4C" w:rsidRDefault="005C5602" w:rsidP="00B44362">
            <w:pPr>
              <w:jc w:val="both"/>
              <w:rPr>
                <w:color w:val="auto"/>
              </w:rPr>
            </w:pPr>
            <w:r w:rsidRPr="005A3C4C">
              <w:rPr>
                <w:color w:val="auto"/>
              </w:rPr>
              <w:t>2.23</w:t>
            </w:r>
            <w:r w:rsidRPr="005A3C4C">
              <w:rPr>
                <w:color w:val="auto"/>
                <w:vertAlign w:val="superscript"/>
              </w:rPr>
              <w:t>d</w:t>
            </w:r>
            <w:r w:rsidRPr="005A3C4C">
              <w:rPr>
                <w:color w:val="auto"/>
              </w:rPr>
              <w:t>±0.02</w:t>
            </w:r>
          </w:p>
        </w:tc>
        <w:tc>
          <w:tcPr>
            <w:tcW w:w="667" w:type="pct"/>
          </w:tcPr>
          <w:p w14:paraId="26AFD705" w14:textId="77777777" w:rsidR="005C5602" w:rsidRPr="005A3C4C" w:rsidRDefault="005C5602" w:rsidP="00B44362">
            <w:pPr>
              <w:jc w:val="both"/>
              <w:rPr>
                <w:color w:val="auto"/>
              </w:rPr>
            </w:pPr>
            <w:r w:rsidRPr="005A3C4C">
              <w:rPr>
                <w:color w:val="auto"/>
              </w:rPr>
              <w:t>0.04</w:t>
            </w:r>
          </w:p>
        </w:tc>
      </w:tr>
      <w:tr w:rsidR="005C5602" w:rsidRPr="005A3C4C" w14:paraId="6463AF1A" w14:textId="77777777" w:rsidTr="008D0003">
        <w:trPr>
          <w:trHeight w:val="579"/>
        </w:trPr>
        <w:tc>
          <w:tcPr>
            <w:tcW w:w="826" w:type="pct"/>
          </w:tcPr>
          <w:p w14:paraId="0A085737" w14:textId="77777777" w:rsidR="005C5602" w:rsidRPr="005A3C4C" w:rsidRDefault="005C5602" w:rsidP="00B44362">
            <w:pPr>
              <w:jc w:val="both"/>
              <w:rPr>
                <w:b/>
                <w:color w:val="auto"/>
              </w:rPr>
            </w:pPr>
            <w:r w:rsidRPr="005A3C4C">
              <w:rPr>
                <w:b/>
                <w:color w:val="auto"/>
              </w:rPr>
              <w:t>Isoleucine</w:t>
            </w:r>
          </w:p>
        </w:tc>
        <w:tc>
          <w:tcPr>
            <w:tcW w:w="700" w:type="pct"/>
          </w:tcPr>
          <w:p w14:paraId="7D067D2B" w14:textId="77777777" w:rsidR="005C5602" w:rsidRPr="005A3C4C" w:rsidRDefault="005C5602" w:rsidP="00B44362">
            <w:pPr>
              <w:jc w:val="both"/>
              <w:rPr>
                <w:color w:val="auto"/>
              </w:rPr>
            </w:pPr>
            <w:r w:rsidRPr="005A3C4C">
              <w:rPr>
                <w:color w:val="auto"/>
              </w:rPr>
              <w:t>1.30</w:t>
            </w:r>
            <w:r w:rsidRPr="005A3C4C">
              <w:rPr>
                <w:color w:val="auto"/>
                <w:vertAlign w:val="superscript"/>
              </w:rPr>
              <w:t>e</w:t>
            </w:r>
            <w:r w:rsidRPr="005A3C4C">
              <w:rPr>
                <w:color w:val="auto"/>
              </w:rPr>
              <w:t>±0.06</w:t>
            </w:r>
          </w:p>
        </w:tc>
        <w:tc>
          <w:tcPr>
            <w:tcW w:w="700" w:type="pct"/>
          </w:tcPr>
          <w:p w14:paraId="7CFCD08E" w14:textId="77777777" w:rsidR="005C5602" w:rsidRPr="005A3C4C" w:rsidRDefault="005C5602" w:rsidP="00B44362">
            <w:pPr>
              <w:jc w:val="both"/>
              <w:rPr>
                <w:color w:val="auto"/>
              </w:rPr>
            </w:pPr>
            <w:r w:rsidRPr="005A3C4C">
              <w:rPr>
                <w:color w:val="auto"/>
              </w:rPr>
              <w:t>3.44</w:t>
            </w:r>
            <w:r w:rsidRPr="005A3C4C">
              <w:rPr>
                <w:color w:val="auto"/>
                <w:vertAlign w:val="superscript"/>
              </w:rPr>
              <w:t>c</w:t>
            </w:r>
            <w:r w:rsidRPr="005A3C4C">
              <w:rPr>
                <w:color w:val="auto"/>
              </w:rPr>
              <w:t>±0.06</w:t>
            </w:r>
          </w:p>
        </w:tc>
        <w:tc>
          <w:tcPr>
            <w:tcW w:w="705" w:type="pct"/>
          </w:tcPr>
          <w:p w14:paraId="09D9D432" w14:textId="77777777" w:rsidR="005C5602" w:rsidRPr="005A3C4C" w:rsidRDefault="005C5602" w:rsidP="00B44362">
            <w:pPr>
              <w:jc w:val="both"/>
              <w:rPr>
                <w:color w:val="auto"/>
              </w:rPr>
            </w:pPr>
            <w:r w:rsidRPr="005A3C4C">
              <w:rPr>
                <w:color w:val="auto"/>
              </w:rPr>
              <w:t>3.85</w:t>
            </w:r>
            <w:r w:rsidRPr="005A3C4C">
              <w:rPr>
                <w:color w:val="auto"/>
                <w:vertAlign w:val="superscript"/>
              </w:rPr>
              <w:t>b</w:t>
            </w:r>
            <w:r w:rsidRPr="005A3C4C">
              <w:rPr>
                <w:color w:val="auto"/>
              </w:rPr>
              <w:t>±0.02</w:t>
            </w:r>
          </w:p>
        </w:tc>
        <w:tc>
          <w:tcPr>
            <w:tcW w:w="701" w:type="pct"/>
          </w:tcPr>
          <w:p w14:paraId="04AE3857" w14:textId="77777777" w:rsidR="005C5602" w:rsidRPr="005A3C4C" w:rsidRDefault="005C5602" w:rsidP="00B44362">
            <w:pPr>
              <w:jc w:val="both"/>
              <w:rPr>
                <w:color w:val="auto"/>
              </w:rPr>
            </w:pPr>
            <w:r w:rsidRPr="005A3C4C">
              <w:rPr>
                <w:color w:val="auto"/>
              </w:rPr>
              <w:t>4.15</w:t>
            </w:r>
            <w:r w:rsidRPr="005A3C4C">
              <w:rPr>
                <w:color w:val="auto"/>
                <w:vertAlign w:val="superscript"/>
              </w:rPr>
              <w:t>a</w:t>
            </w:r>
            <w:r w:rsidRPr="005A3C4C">
              <w:rPr>
                <w:color w:val="auto"/>
              </w:rPr>
              <w:t>±0.07</w:t>
            </w:r>
          </w:p>
        </w:tc>
        <w:tc>
          <w:tcPr>
            <w:tcW w:w="701" w:type="pct"/>
          </w:tcPr>
          <w:p w14:paraId="2AB42199" w14:textId="77777777" w:rsidR="005C5602" w:rsidRPr="005A3C4C" w:rsidRDefault="005C5602" w:rsidP="00B44362">
            <w:pPr>
              <w:jc w:val="both"/>
              <w:rPr>
                <w:color w:val="auto"/>
              </w:rPr>
            </w:pPr>
            <w:r w:rsidRPr="005A3C4C">
              <w:rPr>
                <w:color w:val="auto"/>
              </w:rPr>
              <w:t>3.20</w:t>
            </w:r>
            <w:r w:rsidRPr="005A3C4C">
              <w:rPr>
                <w:color w:val="auto"/>
                <w:vertAlign w:val="superscript"/>
              </w:rPr>
              <w:t>d</w:t>
            </w:r>
            <w:r w:rsidRPr="005A3C4C">
              <w:rPr>
                <w:color w:val="auto"/>
              </w:rPr>
              <w:t>±0.02</w:t>
            </w:r>
          </w:p>
        </w:tc>
        <w:tc>
          <w:tcPr>
            <w:tcW w:w="667" w:type="pct"/>
          </w:tcPr>
          <w:p w14:paraId="5B79A2B4" w14:textId="77777777" w:rsidR="005C5602" w:rsidRPr="005A3C4C" w:rsidRDefault="005C5602" w:rsidP="00B44362">
            <w:pPr>
              <w:jc w:val="both"/>
              <w:rPr>
                <w:color w:val="auto"/>
              </w:rPr>
            </w:pPr>
            <w:r w:rsidRPr="005A3C4C">
              <w:rPr>
                <w:color w:val="auto"/>
              </w:rPr>
              <w:t>0.08</w:t>
            </w:r>
          </w:p>
        </w:tc>
      </w:tr>
      <w:tr w:rsidR="005C5602" w:rsidRPr="005A3C4C" w14:paraId="6A79EF8C" w14:textId="77777777" w:rsidTr="008D0003">
        <w:trPr>
          <w:trHeight w:val="579"/>
        </w:trPr>
        <w:tc>
          <w:tcPr>
            <w:tcW w:w="826" w:type="pct"/>
          </w:tcPr>
          <w:p w14:paraId="5F415EDF" w14:textId="77777777" w:rsidR="005C5602" w:rsidRPr="005A3C4C" w:rsidRDefault="005C5602" w:rsidP="00B44362">
            <w:pPr>
              <w:jc w:val="both"/>
              <w:rPr>
                <w:b/>
                <w:color w:val="auto"/>
              </w:rPr>
            </w:pPr>
            <w:r w:rsidRPr="005A3C4C">
              <w:rPr>
                <w:b/>
                <w:color w:val="auto"/>
              </w:rPr>
              <w:t>Phenylalanine</w:t>
            </w:r>
          </w:p>
        </w:tc>
        <w:tc>
          <w:tcPr>
            <w:tcW w:w="700" w:type="pct"/>
          </w:tcPr>
          <w:p w14:paraId="69E17676" w14:textId="77777777" w:rsidR="005C5602" w:rsidRPr="005A3C4C" w:rsidRDefault="005C5602" w:rsidP="00B44362">
            <w:pPr>
              <w:jc w:val="both"/>
              <w:rPr>
                <w:color w:val="auto"/>
              </w:rPr>
            </w:pPr>
            <w:r w:rsidRPr="005A3C4C">
              <w:rPr>
                <w:color w:val="auto"/>
              </w:rPr>
              <w:t>1.77</w:t>
            </w:r>
            <w:r w:rsidRPr="005A3C4C">
              <w:rPr>
                <w:color w:val="auto"/>
                <w:vertAlign w:val="superscript"/>
              </w:rPr>
              <w:t>e</w:t>
            </w:r>
            <w:r w:rsidRPr="005A3C4C">
              <w:rPr>
                <w:color w:val="auto"/>
              </w:rPr>
              <w:t>±0.01</w:t>
            </w:r>
          </w:p>
        </w:tc>
        <w:tc>
          <w:tcPr>
            <w:tcW w:w="700" w:type="pct"/>
          </w:tcPr>
          <w:p w14:paraId="098A8AD3" w14:textId="77777777" w:rsidR="005C5602" w:rsidRPr="005A3C4C" w:rsidRDefault="005C5602" w:rsidP="00B44362">
            <w:pPr>
              <w:jc w:val="both"/>
              <w:rPr>
                <w:color w:val="auto"/>
              </w:rPr>
            </w:pPr>
            <w:r w:rsidRPr="005A3C4C">
              <w:rPr>
                <w:color w:val="auto"/>
              </w:rPr>
              <w:t>3.18</w:t>
            </w:r>
            <w:r w:rsidRPr="005A3C4C">
              <w:rPr>
                <w:color w:val="auto"/>
                <w:vertAlign w:val="superscript"/>
              </w:rPr>
              <w:t>d</w:t>
            </w:r>
            <w:r w:rsidRPr="005A3C4C">
              <w:rPr>
                <w:color w:val="auto"/>
              </w:rPr>
              <w:t>±0.03</w:t>
            </w:r>
          </w:p>
        </w:tc>
        <w:tc>
          <w:tcPr>
            <w:tcW w:w="705" w:type="pct"/>
          </w:tcPr>
          <w:p w14:paraId="22FC8118" w14:textId="77777777" w:rsidR="005C5602" w:rsidRPr="005A3C4C" w:rsidRDefault="005C5602" w:rsidP="00B44362">
            <w:pPr>
              <w:jc w:val="both"/>
              <w:rPr>
                <w:color w:val="auto"/>
              </w:rPr>
            </w:pPr>
            <w:r w:rsidRPr="005A3C4C">
              <w:rPr>
                <w:color w:val="auto"/>
              </w:rPr>
              <w:t>3.43</w:t>
            </w:r>
            <w:r w:rsidRPr="005A3C4C">
              <w:rPr>
                <w:color w:val="auto"/>
                <w:vertAlign w:val="superscript"/>
              </w:rPr>
              <w:t>c</w:t>
            </w:r>
            <w:r w:rsidRPr="005A3C4C">
              <w:rPr>
                <w:color w:val="auto"/>
              </w:rPr>
              <w:t>±0.15</w:t>
            </w:r>
          </w:p>
        </w:tc>
        <w:tc>
          <w:tcPr>
            <w:tcW w:w="701" w:type="pct"/>
          </w:tcPr>
          <w:p w14:paraId="4BF13149" w14:textId="77777777" w:rsidR="005C5602" w:rsidRPr="005A3C4C" w:rsidRDefault="005C5602" w:rsidP="00B44362">
            <w:pPr>
              <w:jc w:val="both"/>
              <w:rPr>
                <w:color w:val="auto"/>
              </w:rPr>
            </w:pPr>
            <w:r w:rsidRPr="005A3C4C">
              <w:rPr>
                <w:color w:val="auto"/>
              </w:rPr>
              <w:t>3.82</w:t>
            </w:r>
            <w:r w:rsidRPr="005A3C4C">
              <w:rPr>
                <w:color w:val="auto"/>
                <w:vertAlign w:val="superscript"/>
              </w:rPr>
              <w:t>b</w:t>
            </w:r>
            <w:r w:rsidRPr="005A3C4C">
              <w:rPr>
                <w:color w:val="auto"/>
              </w:rPr>
              <w:t>±0.02</w:t>
            </w:r>
          </w:p>
        </w:tc>
        <w:tc>
          <w:tcPr>
            <w:tcW w:w="701" w:type="pct"/>
          </w:tcPr>
          <w:p w14:paraId="7EFCA6DD" w14:textId="77777777" w:rsidR="005C5602" w:rsidRPr="005A3C4C" w:rsidRDefault="005C5602" w:rsidP="00B44362">
            <w:pPr>
              <w:jc w:val="both"/>
              <w:rPr>
                <w:color w:val="auto"/>
              </w:rPr>
            </w:pPr>
            <w:r w:rsidRPr="005A3C4C">
              <w:rPr>
                <w:color w:val="auto"/>
              </w:rPr>
              <w:t>4.13</w:t>
            </w:r>
            <w:r w:rsidRPr="005A3C4C">
              <w:rPr>
                <w:color w:val="auto"/>
                <w:vertAlign w:val="superscript"/>
              </w:rPr>
              <w:t>a</w:t>
            </w:r>
            <w:r w:rsidRPr="005A3C4C">
              <w:rPr>
                <w:color w:val="auto"/>
              </w:rPr>
              <w:t>±0.03</w:t>
            </w:r>
          </w:p>
        </w:tc>
        <w:tc>
          <w:tcPr>
            <w:tcW w:w="667" w:type="pct"/>
          </w:tcPr>
          <w:p w14:paraId="3D9A7B53" w14:textId="77777777" w:rsidR="005C5602" w:rsidRPr="005A3C4C" w:rsidRDefault="005C5602" w:rsidP="00B44362">
            <w:pPr>
              <w:jc w:val="both"/>
              <w:rPr>
                <w:color w:val="auto"/>
              </w:rPr>
            </w:pPr>
            <w:r w:rsidRPr="005A3C4C">
              <w:rPr>
                <w:color w:val="auto"/>
              </w:rPr>
              <w:t>0.10</w:t>
            </w:r>
          </w:p>
        </w:tc>
      </w:tr>
      <w:tr w:rsidR="005C5602" w:rsidRPr="005A3C4C" w14:paraId="30AD4061" w14:textId="77777777" w:rsidTr="008D0003">
        <w:trPr>
          <w:trHeight w:val="579"/>
        </w:trPr>
        <w:tc>
          <w:tcPr>
            <w:tcW w:w="826" w:type="pct"/>
          </w:tcPr>
          <w:p w14:paraId="62E7CA3D" w14:textId="77777777" w:rsidR="005C5602" w:rsidRPr="005A3C4C" w:rsidRDefault="005C5602" w:rsidP="00B44362">
            <w:pPr>
              <w:jc w:val="both"/>
              <w:rPr>
                <w:b/>
                <w:color w:val="auto"/>
              </w:rPr>
            </w:pPr>
            <w:r w:rsidRPr="005A3C4C">
              <w:rPr>
                <w:b/>
                <w:color w:val="auto"/>
              </w:rPr>
              <w:t>Tryptophan</w:t>
            </w:r>
          </w:p>
        </w:tc>
        <w:tc>
          <w:tcPr>
            <w:tcW w:w="700" w:type="pct"/>
          </w:tcPr>
          <w:p w14:paraId="71467414" w14:textId="77777777" w:rsidR="005C5602" w:rsidRPr="005A3C4C" w:rsidRDefault="005C5602" w:rsidP="00B44362">
            <w:pPr>
              <w:jc w:val="both"/>
              <w:rPr>
                <w:color w:val="auto"/>
              </w:rPr>
            </w:pPr>
            <w:r w:rsidRPr="005A3C4C">
              <w:rPr>
                <w:color w:val="auto"/>
              </w:rPr>
              <w:t>0.12</w:t>
            </w:r>
            <w:r w:rsidRPr="005A3C4C">
              <w:rPr>
                <w:color w:val="auto"/>
                <w:vertAlign w:val="superscript"/>
              </w:rPr>
              <w:t>d</w:t>
            </w:r>
            <w:r w:rsidRPr="005A3C4C">
              <w:rPr>
                <w:color w:val="auto"/>
              </w:rPr>
              <w:t>±0.01</w:t>
            </w:r>
          </w:p>
        </w:tc>
        <w:tc>
          <w:tcPr>
            <w:tcW w:w="700" w:type="pct"/>
          </w:tcPr>
          <w:p w14:paraId="36E00F03" w14:textId="77777777" w:rsidR="005C5602" w:rsidRPr="005A3C4C" w:rsidRDefault="005C5602" w:rsidP="00B44362">
            <w:pPr>
              <w:jc w:val="both"/>
              <w:rPr>
                <w:color w:val="auto"/>
              </w:rPr>
            </w:pPr>
            <w:r w:rsidRPr="005A3C4C">
              <w:rPr>
                <w:color w:val="auto"/>
              </w:rPr>
              <w:t>0.54</w:t>
            </w:r>
            <w:r w:rsidRPr="005A3C4C">
              <w:rPr>
                <w:color w:val="auto"/>
                <w:vertAlign w:val="superscript"/>
              </w:rPr>
              <w:t>c</w:t>
            </w:r>
            <w:r w:rsidRPr="005A3C4C">
              <w:rPr>
                <w:color w:val="auto"/>
              </w:rPr>
              <w:t>±0.01</w:t>
            </w:r>
          </w:p>
        </w:tc>
        <w:tc>
          <w:tcPr>
            <w:tcW w:w="705" w:type="pct"/>
          </w:tcPr>
          <w:p w14:paraId="4CACC7B9" w14:textId="77777777" w:rsidR="005C5602" w:rsidRPr="005A3C4C" w:rsidRDefault="005C5602" w:rsidP="00B44362">
            <w:pPr>
              <w:jc w:val="both"/>
              <w:rPr>
                <w:color w:val="auto"/>
              </w:rPr>
            </w:pPr>
            <w:r w:rsidRPr="005A3C4C">
              <w:rPr>
                <w:color w:val="auto"/>
              </w:rPr>
              <w:t>0.65</w:t>
            </w:r>
            <w:r w:rsidRPr="005A3C4C">
              <w:rPr>
                <w:color w:val="auto"/>
                <w:vertAlign w:val="superscript"/>
              </w:rPr>
              <w:t>b</w:t>
            </w:r>
            <w:r w:rsidRPr="005A3C4C">
              <w:rPr>
                <w:color w:val="auto"/>
              </w:rPr>
              <w:t>±0.01</w:t>
            </w:r>
          </w:p>
        </w:tc>
        <w:tc>
          <w:tcPr>
            <w:tcW w:w="701" w:type="pct"/>
          </w:tcPr>
          <w:p w14:paraId="1B76D1AF" w14:textId="77777777" w:rsidR="005C5602" w:rsidRPr="005A3C4C" w:rsidRDefault="005C5602" w:rsidP="00B44362">
            <w:pPr>
              <w:jc w:val="both"/>
              <w:rPr>
                <w:color w:val="auto"/>
              </w:rPr>
            </w:pPr>
            <w:r w:rsidRPr="005A3C4C">
              <w:rPr>
                <w:color w:val="auto"/>
              </w:rPr>
              <w:t>0.77</w:t>
            </w:r>
            <w:r w:rsidRPr="005A3C4C">
              <w:rPr>
                <w:color w:val="auto"/>
                <w:vertAlign w:val="superscript"/>
              </w:rPr>
              <w:t>a</w:t>
            </w:r>
            <w:r w:rsidRPr="005A3C4C">
              <w:rPr>
                <w:color w:val="auto"/>
              </w:rPr>
              <w:t>±0.01</w:t>
            </w:r>
          </w:p>
        </w:tc>
        <w:tc>
          <w:tcPr>
            <w:tcW w:w="701" w:type="pct"/>
          </w:tcPr>
          <w:p w14:paraId="3856F95F" w14:textId="77777777" w:rsidR="005C5602" w:rsidRPr="005A3C4C" w:rsidRDefault="005C5602" w:rsidP="00B44362">
            <w:pPr>
              <w:jc w:val="both"/>
              <w:rPr>
                <w:color w:val="auto"/>
              </w:rPr>
            </w:pPr>
            <w:r w:rsidRPr="005A3C4C">
              <w:rPr>
                <w:color w:val="auto"/>
              </w:rPr>
              <w:t>0.66</w:t>
            </w:r>
            <w:r w:rsidRPr="005A3C4C">
              <w:rPr>
                <w:color w:val="auto"/>
                <w:vertAlign w:val="superscript"/>
              </w:rPr>
              <w:t>b</w:t>
            </w:r>
            <w:r w:rsidRPr="005A3C4C">
              <w:rPr>
                <w:color w:val="auto"/>
              </w:rPr>
              <w:t>±0.02</w:t>
            </w:r>
          </w:p>
        </w:tc>
        <w:tc>
          <w:tcPr>
            <w:tcW w:w="667" w:type="pct"/>
          </w:tcPr>
          <w:p w14:paraId="7BA98055" w14:textId="77777777" w:rsidR="005C5602" w:rsidRPr="005A3C4C" w:rsidRDefault="005C5602" w:rsidP="00B44362">
            <w:pPr>
              <w:jc w:val="both"/>
              <w:rPr>
                <w:color w:val="auto"/>
              </w:rPr>
            </w:pPr>
            <w:r w:rsidRPr="005A3C4C">
              <w:rPr>
                <w:color w:val="auto"/>
              </w:rPr>
              <w:t>0.00</w:t>
            </w:r>
          </w:p>
        </w:tc>
      </w:tr>
      <w:tr w:rsidR="005C5602" w:rsidRPr="005A3C4C" w14:paraId="72491A64" w14:textId="77777777" w:rsidTr="008D0003">
        <w:trPr>
          <w:trHeight w:val="579"/>
        </w:trPr>
        <w:tc>
          <w:tcPr>
            <w:tcW w:w="826" w:type="pct"/>
          </w:tcPr>
          <w:p w14:paraId="018B9AB1" w14:textId="77777777" w:rsidR="005C5602" w:rsidRPr="005A3C4C" w:rsidRDefault="005C5602" w:rsidP="00B44362">
            <w:pPr>
              <w:jc w:val="both"/>
              <w:rPr>
                <w:b/>
                <w:color w:val="auto"/>
              </w:rPr>
            </w:pPr>
            <w:r w:rsidRPr="005A3C4C">
              <w:rPr>
                <w:b/>
                <w:color w:val="auto"/>
              </w:rPr>
              <w:t>Valine</w:t>
            </w:r>
          </w:p>
        </w:tc>
        <w:tc>
          <w:tcPr>
            <w:tcW w:w="700" w:type="pct"/>
          </w:tcPr>
          <w:p w14:paraId="63BA166C" w14:textId="77777777" w:rsidR="005C5602" w:rsidRPr="005A3C4C" w:rsidRDefault="005C5602" w:rsidP="00B44362">
            <w:pPr>
              <w:jc w:val="both"/>
              <w:rPr>
                <w:color w:val="auto"/>
              </w:rPr>
            </w:pPr>
            <w:r w:rsidRPr="005A3C4C">
              <w:rPr>
                <w:color w:val="auto"/>
              </w:rPr>
              <w:t>3.88</w:t>
            </w:r>
            <w:r w:rsidRPr="005A3C4C">
              <w:rPr>
                <w:color w:val="auto"/>
                <w:vertAlign w:val="superscript"/>
              </w:rPr>
              <w:t>a</w:t>
            </w:r>
            <w:r w:rsidRPr="005A3C4C">
              <w:rPr>
                <w:color w:val="auto"/>
              </w:rPr>
              <w:t>±0.06</w:t>
            </w:r>
          </w:p>
        </w:tc>
        <w:tc>
          <w:tcPr>
            <w:tcW w:w="700" w:type="pct"/>
          </w:tcPr>
          <w:p w14:paraId="74FB07D2" w14:textId="77777777" w:rsidR="005C5602" w:rsidRPr="005A3C4C" w:rsidRDefault="005C5602" w:rsidP="00B44362">
            <w:pPr>
              <w:jc w:val="both"/>
              <w:rPr>
                <w:color w:val="auto"/>
              </w:rPr>
            </w:pPr>
            <w:r w:rsidRPr="005A3C4C">
              <w:rPr>
                <w:color w:val="auto"/>
              </w:rPr>
              <w:t>3.63</w:t>
            </w:r>
            <w:r w:rsidRPr="005A3C4C">
              <w:rPr>
                <w:color w:val="auto"/>
                <w:vertAlign w:val="superscript"/>
              </w:rPr>
              <w:t>c</w:t>
            </w:r>
            <w:r w:rsidRPr="005A3C4C">
              <w:rPr>
                <w:color w:val="auto"/>
              </w:rPr>
              <w:t>±0.03</w:t>
            </w:r>
          </w:p>
        </w:tc>
        <w:tc>
          <w:tcPr>
            <w:tcW w:w="705" w:type="pct"/>
          </w:tcPr>
          <w:p w14:paraId="5D67FFBE" w14:textId="77777777" w:rsidR="005C5602" w:rsidRPr="005A3C4C" w:rsidRDefault="005C5602" w:rsidP="00B44362">
            <w:pPr>
              <w:jc w:val="both"/>
              <w:rPr>
                <w:color w:val="auto"/>
              </w:rPr>
            </w:pPr>
            <w:r w:rsidRPr="005A3C4C">
              <w:rPr>
                <w:color w:val="auto"/>
              </w:rPr>
              <w:t>3.59</w:t>
            </w:r>
            <w:r w:rsidRPr="005A3C4C">
              <w:rPr>
                <w:color w:val="auto"/>
                <w:vertAlign w:val="superscript"/>
              </w:rPr>
              <w:t>cd</w:t>
            </w:r>
            <w:r w:rsidRPr="005A3C4C">
              <w:rPr>
                <w:color w:val="auto"/>
              </w:rPr>
              <w:t>±0.01</w:t>
            </w:r>
          </w:p>
        </w:tc>
        <w:tc>
          <w:tcPr>
            <w:tcW w:w="701" w:type="pct"/>
          </w:tcPr>
          <w:p w14:paraId="79CB10FC" w14:textId="77777777" w:rsidR="005C5602" w:rsidRPr="005A3C4C" w:rsidRDefault="005C5602" w:rsidP="00B44362">
            <w:pPr>
              <w:jc w:val="both"/>
              <w:rPr>
                <w:color w:val="auto"/>
              </w:rPr>
            </w:pPr>
            <w:r w:rsidRPr="005A3C4C">
              <w:rPr>
                <w:color w:val="auto"/>
              </w:rPr>
              <w:t>3.56</w:t>
            </w:r>
            <w:r w:rsidRPr="005A3C4C">
              <w:rPr>
                <w:color w:val="auto"/>
                <w:vertAlign w:val="superscript"/>
              </w:rPr>
              <w:t>d</w:t>
            </w:r>
            <w:r w:rsidRPr="005A3C4C">
              <w:rPr>
                <w:color w:val="auto"/>
              </w:rPr>
              <w:t>±0.02</w:t>
            </w:r>
          </w:p>
        </w:tc>
        <w:tc>
          <w:tcPr>
            <w:tcW w:w="701" w:type="pct"/>
          </w:tcPr>
          <w:p w14:paraId="7E578223" w14:textId="77777777" w:rsidR="005C5602" w:rsidRPr="005A3C4C" w:rsidRDefault="005C5602" w:rsidP="00B44362">
            <w:pPr>
              <w:jc w:val="both"/>
              <w:rPr>
                <w:color w:val="auto"/>
              </w:rPr>
            </w:pPr>
            <w:r w:rsidRPr="005A3C4C">
              <w:rPr>
                <w:color w:val="auto"/>
              </w:rPr>
              <w:t>3.71</w:t>
            </w:r>
            <w:r w:rsidRPr="005A3C4C">
              <w:rPr>
                <w:color w:val="auto"/>
                <w:vertAlign w:val="superscript"/>
              </w:rPr>
              <w:t>b</w:t>
            </w:r>
            <w:r w:rsidRPr="005A3C4C">
              <w:rPr>
                <w:color w:val="auto"/>
              </w:rPr>
              <w:t>±0.01</w:t>
            </w:r>
          </w:p>
        </w:tc>
        <w:tc>
          <w:tcPr>
            <w:tcW w:w="667" w:type="pct"/>
          </w:tcPr>
          <w:p w14:paraId="7E287CCF" w14:textId="77777777" w:rsidR="005C5602" w:rsidRPr="005A3C4C" w:rsidRDefault="005C5602" w:rsidP="00B44362">
            <w:pPr>
              <w:jc w:val="both"/>
              <w:rPr>
                <w:color w:val="auto"/>
              </w:rPr>
            </w:pPr>
            <w:r w:rsidRPr="005A3C4C">
              <w:rPr>
                <w:color w:val="auto"/>
              </w:rPr>
              <w:t>0.04</w:t>
            </w:r>
          </w:p>
        </w:tc>
      </w:tr>
      <w:tr w:rsidR="005C5602" w:rsidRPr="005A3C4C" w14:paraId="749305EC" w14:textId="77777777" w:rsidTr="008D0003">
        <w:trPr>
          <w:trHeight w:val="612"/>
        </w:trPr>
        <w:tc>
          <w:tcPr>
            <w:tcW w:w="826" w:type="pct"/>
          </w:tcPr>
          <w:p w14:paraId="79865EA4" w14:textId="24550484" w:rsidR="005C5602" w:rsidRPr="005A3C4C" w:rsidRDefault="008C359D" w:rsidP="00B44362">
            <w:pPr>
              <w:jc w:val="both"/>
              <w:rPr>
                <w:b/>
                <w:color w:val="auto"/>
              </w:rPr>
            </w:pPr>
            <w:r w:rsidRPr="005A3C4C">
              <w:rPr>
                <w:b/>
                <w:color w:val="auto"/>
              </w:rPr>
              <w:lastRenderedPageBreak/>
              <w:t>M</w:t>
            </w:r>
            <w:r w:rsidR="005C5602" w:rsidRPr="005A3C4C">
              <w:rPr>
                <w:b/>
                <w:color w:val="auto"/>
              </w:rPr>
              <w:t>ethionine</w:t>
            </w:r>
          </w:p>
        </w:tc>
        <w:tc>
          <w:tcPr>
            <w:tcW w:w="700" w:type="pct"/>
          </w:tcPr>
          <w:p w14:paraId="32E9C492" w14:textId="77777777" w:rsidR="005C5602" w:rsidRPr="005A3C4C" w:rsidRDefault="005C5602" w:rsidP="00B44362">
            <w:pPr>
              <w:jc w:val="both"/>
              <w:rPr>
                <w:color w:val="auto"/>
              </w:rPr>
            </w:pPr>
            <w:r w:rsidRPr="005A3C4C">
              <w:rPr>
                <w:color w:val="auto"/>
              </w:rPr>
              <w:t>0.44</w:t>
            </w:r>
            <w:r w:rsidRPr="005A3C4C">
              <w:rPr>
                <w:color w:val="auto"/>
                <w:vertAlign w:val="superscript"/>
              </w:rPr>
              <w:t>d</w:t>
            </w:r>
            <w:r w:rsidRPr="005A3C4C">
              <w:rPr>
                <w:color w:val="auto"/>
              </w:rPr>
              <w:t>±0.01</w:t>
            </w:r>
          </w:p>
        </w:tc>
        <w:tc>
          <w:tcPr>
            <w:tcW w:w="700" w:type="pct"/>
          </w:tcPr>
          <w:p w14:paraId="4D26ECC8" w14:textId="77777777" w:rsidR="005C5602" w:rsidRPr="005A3C4C" w:rsidRDefault="005C5602" w:rsidP="00B44362">
            <w:pPr>
              <w:jc w:val="both"/>
              <w:rPr>
                <w:color w:val="auto"/>
              </w:rPr>
            </w:pPr>
            <w:r w:rsidRPr="005A3C4C">
              <w:rPr>
                <w:color w:val="auto"/>
              </w:rPr>
              <w:t>1.12</w:t>
            </w:r>
            <w:r w:rsidRPr="005A3C4C">
              <w:rPr>
                <w:color w:val="auto"/>
                <w:vertAlign w:val="superscript"/>
              </w:rPr>
              <w:t>c</w:t>
            </w:r>
            <w:r w:rsidRPr="005A3C4C">
              <w:rPr>
                <w:color w:val="auto"/>
              </w:rPr>
              <w:t>±0.02</w:t>
            </w:r>
          </w:p>
        </w:tc>
        <w:tc>
          <w:tcPr>
            <w:tcW w:w="705" w:type="pct"/>
          </w:tcPr>
          <w:p w14:paraId="69568307" w14:textId="77777777" w:rsidR="005C5602" w:rsidRPr="005A3C4C" w:rsidRDefault="005C5602" w:rsidP="00B44362">
            <w:pPr>
              <w:jc w:val="both"/>
              <w:rPr>
                <w:color w:val="auto"/>
              </w:rPr>
            </w:pPr>
            <w:r w:rsidRPr="005A3C4C">
              <w:rPr>
                <w:color w:val="auto"/>
              </w:rPr>
              <w:t>1.21</w:t>
            </w:r>
            <w:r w:rsidRPr="005A3C4C">
              <w:rPr>
                <w:color w:val="auto"/>
                <w:vertAlign w:val="superscript"/>
              </w:rPr>
              <w:t>b</w:t>
            </w:r>
            <w:r w:rsidRPr="005A3C4C">
              <w:rPr>
                <w:color w:val="auto"/>
              </w:rPr>
              <w:t>±0.01</w:t>
            </w:r>
          </w:p>
        </w:tc>
        <w:tc>
          <w:tcPr>
            <w:tcW w:w="701" w:type="pct"/>
          </w:tcPr>
          <w:p w14:paraId="36EDA399" w14:textId="77777777" w:rsidR="005C5602" w:rsidRPr="005A3C4C" w:rsidRDefault="005C5602" w:rsidP="00B44362">
            <w:pPr>
              <w:jc w:val="both"/>
              <w:rPr>
                <w:color w:val="auto"/>
              </w:rPr>
            </w:pPr>
            <w:r w:rsidRPr="005A3C4C">
              <w:rPr>
                <w:color w:val="auto"/>
              </w:rPr>
              <w:t>1.25</w:t>
            </w:r>
            <w:r w:rsidRPr="005A3C4C">
              <w:rPr>
                <w:color w:val="auto"/>
                <w:vertAlign w:val="superscript"/>
              </w:rPr>
              <w:t>a</w:t>
            </w:r>
            <w:r w:rsidRPr="005A3C4C">
              <w:rPr>
                <w:color w:val="auto"/>
              </w:rPr>
              <w:t>±0.02</w:t>
            </w:r>
          </w:p>
        </w:tc>
        <w:tc>
          <w:tcPr>
            <w:tcW w:w="701" w:type="pct"/>
          </w:tcPr>
          <w:p w14:paraId="55A9E851" w14:textId="77777777" w:rsidR="005C5602" w:rsidRPr="005A3C4C" w:rsidRDefault="005C5602" w:rsidP="00B44362">
            <w:pPr>
              <w:jc w:val="both"/>
              <w:rPr>
                <w:color w:val="auto"/>
              </w:rPr>
            </w:pPr>
            <w:r w:rsidRPr="005A3C4C">
              <w:rPr>
                <w:color w:val="auto"/>
              </w:rPr>
              <w:t>1.14</w:t>
            </w:r>
            <w:r w:rsidRPr="005A3C4C">
              <w:rPr>
                <w:color w:val="auto"/>
                <w:vertAlign w:val="superscript"/>
              </w:rPr>
              <w:t>c</w:t>
            </w:r>
            <w:r w:rsidRPr="005A3C4C">
              <w:rPr>
                <w:color w:val="auto"/>
              </w:rPr>
              <w:t>±0.02</w:t>
            </w:r>
          </w:p>
        </w:tc>
        <w:tc>
          <w:tcPr>
            <w:tcW w:w="667" w:type="pct"/>
          </w:tcPr>
          <w:p w14:paraId="72424D0E" w14:textId="77777777" w:rsidR="005C5602" w:rsidRPr="005A3C4C" w:rsidRDefault="005C5602" w:rsidP="00B44362">
            <w:pPr>
              <w:jc w:val="both"/>
              <w:rPr>
                <w:color w:val="auto"/>
              </w:rPr>
            </w:pPr>
            <w:r w:rsidRPr="005A3C4C">
              <w:rPr>
                <w:color w:val="auto"/>
              </w:rPr>
              <w:t>0.00</w:t>
            </w:r>
          </w:p>
        </w:tc>
      </w:tr>
      <w:tr w:rsidR="005C5602" w:rsidRPr="005A3C4C" w14:paraId="12476110" w14:textId="77777777" w:rsidTr="008D0003">
        <w:trPr>
          <w:trHeight w:val="579"/>
        </w:trPr>
        <w:tc>
          <w:tcPr>
            <w:tcW w:w="826" w:type="pct"/>
          </w:tcPr>
          <w:p w14:paraId="4757280B" w14:textId="77777777" w:rsidR="005C5602" w:rsidRPr="005A3C4C" w:rsidRDefault="005C5602" w:rsidP="00B44362">
            <w:pPr>
              <w:jc w:val="both"/>
              <w:rPr>
                <w:b/>
                <w:color w:val="auto"/>
              </w:rPr>
            </w:pPr>
            <w:r w:rsidRPr="005A3C4C">
              <w:rPr>
                <w:b/>
                <w:color w:val="auto"/>
              </w:rPr>
              <w:t>Histidine</w:t>
            </w:r>
          </w:p>
        </w:tc>
        <w:tc>
          <w:tcPr>
            <w:tcW w:w="700" w:type="pct"/>
          </w:tcPr>
          <w:p w14:paraId="75A80AD4" w14:textId="77777777" w:rsidR="005C5602" w:rsidRPr="005A3C4C" w:rsidRDefault="005C5602" w:rsidP="00B44362">
            <w:pPr>
              <w:jc w:val="both"/>
              <w:rPr>
                <w:color w:val="auto"/>
              </w:rPr>
            </w:pPr>
            <w:r w:rsidRPr="005A3C4C">
              <w:rPr>
                <w:color w:val="auto"/>
              </w:rPr>
              <w:t>1.00</w:t>
            </w:r>
            <w:r w:rsidRPr="005A3C4C">
              <w:rPr>
                <w:color w:val="auto"/>
                <w:vertAlign w:val="superscript"/>
              </w:rPr>
              <w:t>d</w:t>
            </w:r>
            <w:r w:rsidRPr="005A3C4C">
              <w:rPr>
                <w:color w:val="auto"/>
              </w:rPr>
              <w:t>±0.12</w:t>
            </w:r>
          </w:p>
        </w:tc>
        <w:tc>
          <w:tcPr>
            <w:tcW w:w="700" w:type="pct"/>
          </w:tcPr>
          <w:p w14:paraId="4AB4693E" w14:textId="77777777" w:rsidR="005C5602" w:rsidRPr="005A3C4C" w:rsidRDefault="005C5602" w:rsidP="00B44362">
            <w:pPr>
              <w:jc w:val="both"/>
              <w:rPr>
                <w:color w:val="auto"/>
              </w:rPr>
            </w:pPr>
            <w:r w:rsidRPr="005A3C4C">
              <w:rPr>
                <w:color w:val="auto"/>
              </w:rPr>
              <w:t>1.77</w:t>
            </w:r>
            <w:r w:rsidRPr="005A3C4C">
              <w:rPr>
                <w:color w:val="auto"/>
                <w:vertAlign w:val="superscript"/>
              </w:rPr>
              <w:t>c</w:t>
            </w:r>
            <w:r w:rsidRPr="005A3C4C">
              <w:rPr>
                <w:color w:val="auto"/>
              </w:rPr>
              <w:t>±0.01</w:t>
            </w:r>
          </w:p>
        </w:tc>
        <w:tc>
          <w:tcPr>
            <w:tcW w:w="705" w:type="pct"/>
          </w:tcPr>
          <w:p w14:paraId="06363DAD" w14:textId="77777777" w:rsidR="005C5602" w:rsidRPr="005A3C4C" w:rsidRDefault="005C5602" w:rsidP="00B44362">
            <w:pPr>
              <w:jc w:val="both"/>
              <w:rPr>
                <w:color w:val="auto"/>
              </w:rPr>
            </w:pPr>
            <w:r w:rsidRPr="005A3C4C">
              <w:rPr>
                <w:color w:val="auto"/>
              </w:rPr>
              <w:t>1.99</w:t>
            </w:r>
            <w:r w:rsidRPr="005A3C4C">
              <w:rPr>
                <w:color w:val="auto"/>
                <w:vertAlign w:val="superscript"/>
              </w:rPr>
              <w:t>b</w:t>
            </w:r>
            <w:r w:rsidRPr="005A3C4C">
              <w:rPr>
                <w:color w:val="auto"/>
              </w:rPr>
              <w:t>±0.02</w:t>
            </w:r>
          </w:p>
        </w:tc>
        <w:tc>
          <w:tcPr>
            <w:tcW w:w="701" w:type="pct"/>
          </w:tcPr>
          <w:p w14:paraId="69E8DAA1" w14:textId="77777777" w:rsidR="005C5602" w:rsidRPr="005A3C4C" w:rsidRDefault="005C5602" w:rsidP="00B44362">
            <w:pPr>
              <w:jc w:val="both"/>
              <w:rPr>
                <w:color w:val="auto"/>
              </w:rPr>
            </w:pPr>
            <w:r w:rsidRPr="005A3C4C">
              <w:rPr>
                <w:color w:val="auto"/>
              </w:rPr>
              <w:t>2.33</w:t>
            </w:r>
            <w:r w:rsidRPr="005A3C4C">
              <w:rPr>
                <w:color w:val="auto"/>
                <w:vertAlign w:val="superscript"/>
              </w:rPr>
              <w:t>a</w:t>
            </w:r>
            <w:r w:rsidRPr="005A3C4C">
              <w:rPr>
                <w:color w:val="auto"/>
              </w:rPr>
              <w:t>±0.02</w:t>
            </w:r>
          </w:p>
        </w:tc>
        <w:tc>
          <w:tcPr>
            <w:tcW w:w="701" w:type="pct"/>
          </w:tcPr>
          <w:p w14:paraId="251848F4" w14:textId="77777777" w:rsidR="005C5602" w:rsidRPr="005A3C4C" w:rsidRDefault="005C5602" w:rsidP="00B44362">
            <w:pPr>
              <w:jc w:val="both"/>
              <w:rPr>
                <w:color w:val="auto"/>
              </w:rPr>
            </w:pPr>
            <w:r w:rsidRPr="005A3C4C">
              <w:rPr>
                <w:color w:val="auto"/>
              </w:rPr>
              <w:t>2.27</w:t>
            </w:r>
            <w:r w:rsidRPr="005A3C4C">
              <w:rPr>
                <w:color w:val="auto"/>
                <w:vertAlign w:val="superscript"/>
              </w:rPr>
              <w:t>a</w:t>
            </w:r>
            <w:r w:rsidRPr="005A3C4C">
              <w:rPr>
                <w:color w:val="auto"/>
              </w:rPr>
              <w:t>±0.01</w:t>
            </w:r>
          </w:p>
        </w:tc>
        <w:tc>
          <w:tcPr>
            <w:tcW w:w="667" w:type="pct"/>
          </w:tcPr>
          <w:p w14:paraId="2FB372C9" w14:textId="77777777" w:rsidR="005C5602" w:rsidRPr="005A3C4C" w:rsidRDefault="005C5602" w:rsidP="00B44362">
            <w:pPr>
              <w:jc w:val="both"/>
              <w:rPr>
                <w:color w:val="auto"/>
              </w:rPr>
            </w:pPr>
            <w:r w:rsidRPr="005A3C4C">
              <w:rPr>
                <w:color w:val="auto"/>
              </w:rPr>
              <w:t>0.08</w:t>
            </w:r>
          </w:p>
        </w:tc>
      </w:tr>
      <w:tr w:rsidR="005C5602" w:rsidRPr="005A3C4C" w14:paraId="65721594" w14:textId="77777777" w:rsidTr="008D0003">
        <w:trPr>
          <w:trHeight w:val="544"/>
        </w:trPr>
        <w:tc>
          <w:tcPr>
            <w:tcW w:w="826" w:type="pct"/>
          </w:tcPr>
          <w:p w14:paraId="576366B2" w14:textId="77777777" w:rsidR="005C5602" w:rsidRPr="005A3C4C" w:rsidRDefault="005C5602" w:rsidP="00B44362">
            <w:pPr>
              <w:jc w:val="both"/>
              <w:rPr>
                <w:b/>
                <w:color w:val="auto"/>
              </w:rPr>
            </w:pPr>
            <w:r w:rsidRPr="005A3C4C">
              <w:rPr>
                <w:b/>
                <w:color w:val="auto"/>
              </w:rPr>
              <w:t>Threonine</w:t>
            </w:r>
          </w:p>
        </w:tc>
        <w:tc>
          <w:tcPr>
            <w:tcW w:w="700" w:type="pct"/>
          </w:tcPr>
          <w:p w14:paraId="1B67AA3C" w14:textId="77777777" w:rsidR="005C5602" w:rsidRPr="005A3C4C" w:rsidRDefault="005C5602" w:rsidP="00B44362">
            <w:pPr>
              <w:jc w:val="both"/>
              <w:rPr>
                <w:color w:val="auto"/>
              </w:rPr>
            </w:pPr>
            <w:r w:rsidRPr="005A3C4C">
              <w:rPr>
                <w:color w:val="auto"/>
              </w:rPr>
              <w:t>1.33</w:t>
            </w:r>
            <w:r w:rsidRPr="005A3C4C">
              <w:rPr>
                <w:color w:val="auto"/>
                <w:vertAlign w:val="superscript"/>
              </w:rPr>
              <w:t>e</w:t>
            </w:r>
            <w:r w:rsidRPr="005A3C4C">
              <w:rPr>
                <w:color w:val="auto"/>
              </w:rPr>
              <w:t>±0.01</w:t>
            </w:r>
          </w:p>
        </w:tc>
        <w:tc>
          <w:tcPr>
            <w:tcW w:w="700" w:type="pct"/>
          </w:tcPr>
          <w:p w14:paraId="72FA8507" w14:textId="77777777" w:rsidR="005C5602" w:rsidRPr="005A3C4C" w:rsidRDefault="005C5602" w:rsidP="00B44362">
            <w:pPr>
              <w:jc w:val="both"/>
              <w:rPr>
                <w:color w:val="auto"/>
              </w:rPr>
            </w:pPr>
            <w:r w:rsidRPr="005A3C4C">
              <w:rPr>
                <w:color w:val="auto"/>
              </w:rPr>
              <w:t>2.54</w:t>
            </w:r>
            <w:r w:rsidRPr="005A3C4C">
              <w:rPr>
                <w:color w:val="auto"/>
                <w:vertAlign w:val="superscript"/>
              </w:rPr>
              <w:t>d</w:t>
            </w:r>
            <w:r w:rsidRPr="005A3C4C">
              <w:rPr>
                <w:color w:val="auto"/>
              </w:rPr>
              <w:t>±0.01</w:t>
            </w:r>
          </w:p>
        </w:tc>
        <w:tc>
          <w:tcPr>
            <w:tcW w:w="705" w:type="pct"/>
          </w:tcPr>
          <w:p w14:paraId="0FCE5774" w14:textId="77777777" w:rsidR="005C5602" w:rsidRPr="005A3C4C" w:rsidRDefault="005C5602" w:rsidP="00B44362">
            <w:pPr>
              <w:jc w:val="both"/>
              <w:rPr>
                <w:color w:val="auto"/>
              </w:rPr>
            </w:pPr>
            <w:r w:rsidRPr="005A3C4C">
              <w:rPr>
                <w:color w:val="auto"/>
              </w:rPr>
              <w:t>2.82</w:t>
            </w:r>
            <w:r w:rsidRPr="005A3C4C">
              <w:rPr>
                <w:color w:val="auto"/>
                <w:vertAlign w:val="superscript"/>
              </w:rPr>
              <w:t>c</w:t>
            </w:r>
            <w:r w:rsidRPr="005A3C4C">
              <w:rPr>
                <w:color w:val="auto"/>
              </w:rPr>
              <w:t>±0.01</w:t>
            </w:r>
          </w:p>
        </w:tc>
        <w:tc>
          <w:tcPr>
            <w:tcW w:w="701" w:type="pct"/>
          </w:tcPr>
          <w:p w14:paraId="79FDC4FE" w14:textId="77777777" w:rsidR="005C5602" w:rsidRPr="005A3C4C" w:rsidRDefault="005C5602" w:rsidP="00B44362">
            <w:pPr>
              <w:jc w:val="both"/>
              <w:rPr>
                <w:color w:val="auto"/>
              </w:rPr>
            </w:pPr>
            <w:r w:rsidRPr="005A3C4C">
              <w:rPr>
                <w:color w:val="auto"/>
              </w:rPr>
              <w:t>3.15</w:t>
            </w:r>
            <w:r w:rsidRPr="005A3C4C">
              <w:rPr>
                <w:color w:val="auto"/>
                <w:vertAlign w:val="superscript"/>
              </w:rPr>
              <w:t>a</w:t>
            </w:r>
            <w:r w:rsidRPr="005A3C4C">
              <w:rPr>
                <w:color w:val="auto"/>
              </w:rPr>
              <w:t>±0.02</w:t>
            </w:r>
          </w:p>
        </w:tc>
        <w:tc>
          <w:tcPr>
            <w:tcW w:w="701" w:type="pct"/>
          </w:tcPr>
          <w:p w14:paraId="177B4BE5" w14:textId="77777777" w:rsidR="005C5602" w:rsidRPr="005A3C4C" w:rsidRDefault="005C5602" w:rsidP="00B44362">
            <w:pPr>
              <w:jc w:val="both"/>
              <w:rPr>
                <w:color w:val="auto"/>
              </w:rPr>
            </w:pPr>
            <w:r w:rsidRPr="005A3C4C">
              <w:rPr>
                <w:color w:val="auto"/>
              </w:rPr>
              <w:t>3.00</w:t>
            </w:r>
            <w:r w:rsidRPr="005A3C4C">
              <w:rPr>
                <w:color w:val="auto"/>
                <w:vertAlign w:val="superscript"/>
              </w:rPr>
              <w:t>b</w:t>
            </w:r>
            <w:r w:rsidRPr="005A3C4C">
              <w:rPr>
                <w:color w:val="auto"/>
              </w:rPr>
              <w:t>±0.02</w:t>
            </w:r>
          </w:p>
        </w:tc>
        <w:tc>
          <w:tcPr>
            <w:tcW w:w="667" w:type="pct"/>
          </w:tcPr>
          <w:p w14:paraId="701B6156" w14:textId="77777777" w:rsidR="005C5602" w:rsidRPr="005A3C4C" w:rsidRDefault="005C5602" w:rsidP="00B44362">
            <w:pPr>
              <w:jc w:val="both"/>
              <w:rPr>
                <w:color w:val="auto"/>
              </w:rPr>
            </w:pPr>
            <w:r w:rsidRPr="005A3C4C">
              <w:rPr>
                <w:color w:val="auto"/>
              </w:rPr>
              <w:t>0.00</w:t>
            </w:r>
          </w:p>
        </w:tc>
      </w:tr>
      <w:tr w:rsidR="005C5602" w:rsidRPr="005A3C4C" w14:paraId="65548D47" w14:textId="77777777" w:rsidTr="008D0003">
        <w:trPr>
          <w:trHeight w:val="544"/>
        </w:trPr>
        <w:tc>
          <w:tcPr>
            <w:tcW w:w="826" w:type="pct"/>
          </w:tcPr>
          <w:p w14:paraId="64B2B9FC" w14:textId="77777777" w:rsidR="005C5602" w:rsidRPr="005A3C4C" w:rsidRDefault="005C5602" w:rsidP="00B44362">
            <w:pPr>
              <w:jc w:val="both"/>
              <w:rPr>
                <w:b/>
                <w:color w:val="auto"/>
              </w:rPr>
            </w:pPr>
            <w:r w:rsidRPr="005A3C4C">
              <w:rPr>
                <w:b/>
                <w:color w:val="auto"/>
              </w:rPr>
              <w:t>TEAA</w:t>
            </w:r>
          </w:p>
        </w:tc>
        <w:tc>
          <w:tcPr>
            <w:tcW w:w="700" w:type="pct"/>
          </w:tcPr>
          <w:p w14:paraId="3795F5FA" w14:textId="77777777" w:rsidR="005C5602" w:rsidRPr="005A3C4C" w:rsidRDefault="005C5602" w:rsidP="00B44362">
            <w:pPr>
              <w:jc w:val="both"/>
              <w:rPr>
                <w:color w:val="auto"/>
              </w:rPr>
            </w:pPr>
            <w:r w:rsidRPr="005A3C4C">
              <w:rPr>
                <w:color w:val="auto"/>
              </w:rPr>
              <w:t>14.12</w:t>
            </w:r>
          </w:p>
        </w:tc>
        <w:tc>
          <w:tcPr>
            <w:tcW w:w="700" w:type="pct"/>
          </w:tcPr>
          <w:p w14:paraId="0F0A5436" w14:textId="77777777" w:rsidR="005C5602" w:rsidRPr="005A3C4C" w:rsidRDefault="005C5602" w:rsidP="00B44362">
            <w:pPr>
              <w:jc w:val="both"/>
              <w:rPr>
                <w:color w:val="auto"/>
              </w:rPr>
            </w:pPr>
            <w:r w:rsidRPr="005A3C4C">
              <w:rPr>
                <w:color w:val="auto"/>
              </w:rPr>
              <w:t>25.04</w:t>
            </w:r>
          </w:p>
        </w:tc>
        <w:tc>
          <w:tcPr>
            <w:tcW w:w="705" w:type="pct"/>
          </w:tcPr>
          <w:p w14:paraId="1A4D4DAC" w14:textId="77777777" w:rsidR="005C5602" w:rsidRPr="005A3C4C" w:rsidRDefault="005C5602" w:rsidP="00B44362">
            <w:pPr>
              <w:jc w:val="both"/>
              <w:rPr>
                <w:color w:val="auto"/>
              </w:rPr>
            </w:pPr>
            <w:r w:rsidRPr="005A3C4C">
              <w:rPr>
                <w:color w:val="auto"/>
              </w:rPr>
              <w:t>27.09</w:t>
            </w:r>
          </w:p>
        </w:tc>
        <w:tc>
          <w:tcPr>
            <w:tcW w:w="701" w:type="pct"/>
          </w:tcPr>
          <w:p w14:paraId="22A97FDA" w14:textId="77777777" w:rsidR="005C5602" w:rsidRPr="005A3C4C" w:rsidRDefault="005C5602" w:rsidP="00B44362">
            <w:pPr>
              <w:jc w:val="both"/>
              <w:rPr>
                <w:color w:val="auto"/>
              </w:rPr>
            </w:pPr>
            <w:r w:rsidRPr="005A3C4C">
              <w:rPr>
                <w:color w:val="auto"/>
              </w:rPr>
              <w:t>59.55</w:t>
            </w:r>
          </w:p>
        </w:tc>
        <w:tc>
          <w:tcPr>
            <w:tcW w:w="701" w:type="pct"/>
          </w:tcPr>
          <w:p w14:paraId="5B9A82CB" w14:textId="77777777" w:rsidR="005C5602" w:rsidRPr="005A3C4C" w:rsidRDefault="005C5602" w:rsidP="00B44362">
            <w:pPr>
              <w:jc w:val="both"/>
              <w:rPr>
                <w:color w:val="auto"/>
              </w:rPr>
            </w:pPr>
            <w:r w:rsidRPr="005A3C4C">
              <w:rPr>
                <w:color w:val="auto"/>
              </w:rPr>
              <w:t>28.36</w:t>
            </w:r>
          </w:p>
        </w:tc>
        <w:tc>
          <w:tcPr>
            <w:tcW w:w="667" w:type="pct"/>
          </w:tcPr>
          <w:p w14:paraId="51989337" w14:textId="77777777" w:rsidR="005C5602" w:rsidRPr="005A3C4C" w:rsidRDefault="005C5602" w:rsidP="00B44362">
            <w:pPr>
              <w:jc w:val="both"/>
              <w:rPr>
                <w:color w:val="auto"/>
              </w:rPr>
            </w:pPr>
          </w:p>
        </w:tc>
      </w:tr>
    </w:tbl>
    <w:p w14:paraId="77BCD6FF" w14:textId="4241E52B" w:rsidR="005C5602" w:rsidRPr="005A3C4C" w:rsidRDefault="0035675C" w:rsidP="00B44362">
      <w:pPr>
        <w:spacing w:line="240" w:lineRule="auto"/>
        <w:jc w:val="both"/>
        <w:outlineLvl w:val="1"/>
        <w:rPr>
          <w:rFonts w:ascii="Times New Roman" w:eastAsia="Times New Roman" w:hAnsi="Times New Roman" w:cs="Times New Roman"/>
          <w:b/>
          <w:sz w:val="24"/>
          <w:szCs w:val="24"/>
        </w:rPr>
      </w:pPr>
      <w:bookmarkStart w:id="5" w:name="_heading=h.2y3w247" w:colFirst="0" w:colLast="0"/>
      <w:bookmarkEnd w:id="5"/>
      <w:r w:rsidRPr="005A3C4C">
        <w:rPr>
          <w:rFonts w:ascii="Times New Roman" w:eastAsia="Times New Roman" w:hAnsi="Times New Roman" w:cs="Times New Roman"/>
          <w:b/>
          <w:sz w:val="24"/>
          <w:szCs w:val="24"/>
        </w:rPr>
        <w:t xml:space="preserve"> </w:t>
      </w:r>
    </w:p>
    <w:p w14:paraId="07C9439A" w14:textId="18DC8091" w:rsidR="00A50215" w:rsidRPr="005A3C4C" w:rsidRDefault="005C5602"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potatoes flour: ComF2- 90% Orange Fleshed sweet potatoes flour, 5% Soybean flour, 5% Almond seed flour: ComF3- 80% Orange Fleshed sweet potatoes flour, 15% Soybean flour, 5% Almond seed flour, ComF4- 70% Orange Fleshed sweet potatoes flour, 25% Soybean flour, 5% Almond seed flour, ComF5- Reference sample, LSD- Least Significant Difference, TEAA- Total Essential Amino Acids. Values represent mean ± SD of triplicate determinations. Means in the same row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p>
    <w:p w14:paraId="40EA46B4" w14:textId="53DC23B3" w:rsidR="00C02210" w:rsidRPr="005A3C4C" w:rsidRDefault="00C02210" w:rsidP="00B44362">
      <w:pPr>
        <w:spacing w:before="280" w:after="280" w:line="240" w:lineRule="auto"/>
        <w:jc w:val="both"/>
        <w:outlineLvl w:val="1"/>
        <w:rPr>
          <w:rFonts w:ascii="Times New Roman" w:eastAsia="Times New Roman" w:hAnsi="Times New Roman" w:cs="Times New Roman"/>
          <w:bCs/>
          <w:sz w:val="24"/>
          <w:szCs w:val="24"/>
        </w:rPr>
      </w:pPr>
      <w:r w:rsidRPr="005A3C4C">
        <w:rPr>
          <w:rFonts w:ascii="Times New Roman" w:eastAsia="Times New Roman" w:hAnsi="Times New Roman" w:cs="Times New Roman"/>
          <w:b/>
          <w:sz w:val="24"/>
          <w:szCs w:val="24"/>
        </w:rPr>
        <w:t>Non-essential Amino Acid Composition of the Complementary Food Samples</w:t>
      </w:r>
    </w:p>
    <w:p w14:paraId="542E1DAB" w14:textId="52409A82" w:rsidR="00C02210" w:rsidRPr="005A3C4C" w:rsidRDefault="00C02210"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non-essential amino acids analyzed in the samples were: alanine, arginine, aspartic acid, cysteine, glutamic acid, glycine, proline, serine, and tyrosine and the results are presented in </w:t>
      </w:r>
      <w:r w:rsidR="00B20A6E" w:rsidRPr="005A3C4C">
        <w:rPr>
          <w:rFonts w:ascii="Times New Roman" w:hAnsi="Times New Roman" w:cs="Times New Roman"/>
          <w:sz w:val="24"/>
          <w:szCs w:val="24"/>
        </w:rPr>
        <w:t>T</w:t>
      </w:r>
      <w:r w:rsidRPr="005A3C4C">
        <w:rPr>
          <w:rFonts w:ascii="Times New Roman" w:hAnsi="Times New Roman" w:cs="Times New Roman"/>
          <w:sz w:val="24"/>
          <w:szCs w:val="24"/>
        </w:rPr>
        <w:t>able</w:t>
      </w:r>
      <w:r w:rsidR="0035675C" w:rsidRPr="005A3C4C">
        <w:rPr>
          <w:rFonts w:ascii="Times New Roman" w:hAnsi="Times New Roman" w:cs="Times New Roman"/>
          <w:sz w:val="24"/>
          <w:szCs w:val="24"/>
        </w:rPr>
        <w:t xml:space="preserve"> 3</w:t>
      </w:r>
      <w:r w:rsidR="00000266" w:rsidRPr="005A3C4C">
        <w:rPr>
          <w:rFonts w:ascii="Times New Roman" w:hAnsi="Times New Roman" w:cs="Times New Roman"/>
          <w:sz w:val="24"/>
          <w:szCs w:val="24"/>
        </w:rPr>
        <w:t>.</w:t>
      </w:r>
    </w:p>
    <w:p w14:paraId="09A6844C" w14:textId="5E3CFAE4" w:rsidR="00C02210" w:rsidRPr="005A3C4C" w:rsidRDefault="00C02210"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 total non-essential amino acid content ranged from 30.21 g/100g in ComF1 to 41.64 g/100g in ComF4. There was a significant increase as soybean flour substitution in the samples increased.</w:t>
      </w:r>
    </w:p>
    <w:p w14:paraId="447588F8" w14:textId="7118EEDA" w:rsidR="005C5602" w:rsidRPr="005A3C4C" w:rsidRDefault="0035675C" w:rsidP="00B44362">
      <w:pPr>
        <w:spacing w:before="280" w:after="280" w:line="240" w:lineRule="auto"/>
        <w:jc w:val="both"/>
        <w:outlineLvl w:val="1"/>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Table 3</w:t>
      </w:r>
      <w:r w:rsidR="005C5602" w:rsidRPr="005A3C4C">
        <w:rPr>
          <w:rFonts w:ascii="Times New Roman" w:eastAsia="Times New Roman" w:hAnsi="Times New Roman" w:cs="Times New Roman"/>
          <w:b/>
          <w:sz w:val="24"/>
          <w:szCs w:val="24"/>
        </w:rPr>
        <w:t>: Non-essential Amino Acid Composition of the Complementary Food Samples</w:t>
      </w:r>
    </w:p>
    <w:tbl>
      <w:tblPr>
        <w:tblStyle w:val="4"/>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310"/>
        <w:gridCol w:w="1379"/>
        <w:gridCol w:w="1268"/>
        <w:gridCol w:w="1379"/>
        <w:gridCol w:w="1379"/>
        <w:gridCol w:w="1388"/>
        <w:gridCol w:w="1257"/>
      </w:tblGrid>
      <w:tr w:rsidR="005C5602" w:rsidRPr="005A3C4C" w14:paraId="6728BB22" w14:textId="77777777" w:rsidTr="008D0003">
        <w:trPr>
          <w:trHeight w:val="529"/>
        </w:trPr>
        <w:tc>
          <w:tcPr>
            <w:tcW w:w="714" w:type="pct"/>
            <w:tcBorders>
              <w:top w:val="single" w:sz="4" w:space="0" w:color="000000"/>
              <w:bottom w:val="single" w:sz="4" w:space="0" w:color="000000"/>
            </w:tcBorders>
          </w:tcPr>
          <w:p w14:paraId="6C146F87" w14:textId="77777777" w:rsidR="005C5602" w:rsidRPr="005A3C4C" w:rsidRDefault="005C5602" w:rsidP="00B44362">
            <w:pPr>
              <w:jc w:val="both"/>
              <w:rPr>
                <w:b/>
                <w:color w:val="auto"/>
              </w:rPr>
            </w:pPr>
            <w:r w:rsidRPr="005A3C4C">
              <w:rPr>
                <w:b/>
                <w:color w:val="auto"/>
              </w:rPr>
              <w:t>Amino acid</w:t>
            </w:r>
          </w:p>
        </w:tc>
        <w:tc>
          <w:tcPr>
            <w:tcW w:w="714" w:type="pct"/>
            <w:tcBorders>
              <w:top w:val="single" w:sz="4" w:space="0" w:color="000000"/>
              <w:bottom w:val="single" w:sz="4" w:space="0" w:color="000000"/>
            </w:tcBorders>
          </w:tcPr>
          <w:p w14:paraId="67077B49" w14:textId="77777777" w:rsidR="005C5602" w:rsidRPr="005A3C4C" w:rsidRDefault="005C5602" w:rsidP="00B44362">
            <w:pPr>
              <w:jc w:val="both"/>
              <w:rPr>
                <w:b/>
                <w:color w:val="auto"/>
              </w:rPr>
            </w:pPr>
            <w:r w:rsidRPr="005A3C4C">
              <w:rPr>
                <w:b/>
                <w:color w:val="auto"/>
              </w:rPr>
              <w:t>ComF1</w:t>
            </w:r>
          </w:p>
        </w:tc>
        <w:tc>
          <w:tcPr>
            <w:tcW w:w="714" w:type="pct"/>
            <w:tcBorders>
              <w:top w:val="single" w:sz="4" w:space="0" w:color="000000"/>
              <w:bottom w:val="single" w:sz="4" w:space="0" w:color="000000"/>
            </w:tcBorders>
          </w:tcPr>
          <w:p w14:paraId="2511996E" w14:textId="77777777" w:rsidR="005C5602" w:rsidRPr="005A3C4C" w:rsidRDefault="005C5602" w:rsidP="00B44362">
            <w:pPr>
              <w:jc w:val="both"/>
              <w:rPr>
                <w:b/>
                <w:color w:val="auto"/>
              </w:rPr>
            </w:pPr>
            <w:r w:rsidRPr="005A3C4C">
              <w:rPr>
                <w:b/>
                <w:color w:val="auto"/>
              </w:rPr>
              <w:t>ComF2</w:t>
            </w:r>
          </w:p>
        </w:tc>
        <w:tc>
          <w:tcPr>
            <w:tcW w:w="714" w:type="pct"/>
            <w:tcBorders>
              <w:top w:val="single" w:sz="4" w:space="0" w:color="000000"/>
              <w:bottom w:val="single" w:sz="4" w:space="0" w:color="000000"/>
            </w:tcBorders>
          </w:tcPr>
          <w:p w14:paraId="2F37D8BE" w14:textId="77777777" w:rsidR="005C5602" w:rsidRPr="005A3C4C" w:rsidRDefault="005C5602" w:rsidP="00B44362">
            <w:pPr>
              <w:jc w:val="both"/>
              <w:rPr>
                <w:b/>
                <w:color w:val="auto"/>
              </w:rPr>
            </w:pPr>
            <w:r w:rsidRPr="005A3C4C">
              <w:rPr>
                <w:b/>
                <w:color w:val="auto"/>
              </w:rPr>
              <w:t>ComF3</w:t>
            </w:r>
          </w:p>
        </w:tc>
        <w:tc>
          <w:tcPr>
            <w:tcW w:w="715" w:type="pct"/>
            <w:tcBorders>
              <w:top w:val="single" w:sz="4" w:space="0" w:color="000000"/>
              <w:bottom w:val="single" w:sz="4" w:space="0" w:color="000000"/>
            </w:tcBorders>
          </w:tcPr>
          <w:p w14:paraId="0C82CB51" w14:textId="77777777" w:rsidR="005C5602" w:rsidRPr="005A3C4C" w:rsidRDefault="005C5602" w:rsidP="00B44362">
            <w:pPr>
              <w:jc w:val="both"/>
              <w:rPr>
                <w:b/>
                <w:color w:val="auto"/>
              </w:rPr>
            </w:pPr>
            <w:r w:rsidRPr="005A3C4C">
              <w:rPr>
                <w:b/>
                <w:color w:val="auto"/>
              </w:rPr>
              <w:t>ComF4</w:t>
            </w:r>
          </w:p>
        </w:tc>
        <w:tc>
          <w:tcPr>
            <w:tcW w:w="715" w:type="pct"/>
            <w:tcBorders>
              <w:top w:val="single" w:sz="4" w:space="0" w:color="000000"/>
              <w:bottom w:val="single" w:sz="4" w:space="0" w:color="000000"/>
            </w:tcBorders>
          </w:tcPr>
          <w:p w14:paraId="10BE912F" w14:textId="77777777" w:rsidR="005C5602" w:rsidRPr="005A3C4C" w:rsidRDefault="005C5602" w:rsidP="00B44362">
            <w:pPr>
              <w:jc w:val="both"/>
              <w:rPr>
                <w:b/>
                <w:color w:val="auto"/>
              </w:rPr>
            </w:pPr>
            <w:r w:rsidRPr="005A3C4C">
              <w:rPr>
                <w:b/>
                <w:color w:val="auto"/>
              </w:rPr>
              <w:t>ComF5</w:t>
            </w:r>
          </w:p>
        </w:tc>
        <w:tc>
          <w:tcPr>
            <w:tcW w:w="715" w:type="pct"/>
            <w:tcBorders>
              <w:top w:val="single" w:sz="4" w:space="0" w:color="000000"/>
              <w:bottom w:val="single" w:sz="4" w:space="0" w:color="000000"/>
            </w:tcBorders>
          </w:tcPr>
          <w:p w14:paraId="79D478BC" w14:textId="77777777" w:rsidR="005C5602" w:rsidRPr="005A3C4C" w:rsidRDefault="005C5602" w:rsidP="00B44362">
            <w:pPr>
              <w:jc w:val="both"/>
              <w:rPr>
                <w:b/>
                <w:color w:val="auto"/>
              </w:rPr>
            </w:pPr>
            <w:r w:rsidRPr="005A3C4C">
              <w:rPr>
                <w:b/>
                <w:color w:val="auto"/>
              </w:rPr>
              <w:t>LSD</w:t>
            </w:r>
          </w:p>
        </w:tc>
      </w:tr>
      <w:tr w:rsidR="005C5602" w:rsidRPr="005A3C4C" w14:paraId="35BD7E1E" w14:textId="77777777" w:rsidTr="008D0003">
        <w:trPr>
          <w:trHeight w:val="529"/>
        </w:trPr>
        <w:tc>
          <w:tcPr>
            <w:tcW w:w="714" w:type="pct"/>
            <w:tcBorders>
              <w:top w:val="single" w:sz="4" w:space="0" w:color="000000"/>
            </w:tcBorders>
          </w:tcPr>
          <w:p w14:paraId="209FE47D" w14:textId="77777777" w:rsidR="005C5602" w:rsidRPr="005A3C4C" w:rsidRDefault="005C5602" w:rsidP="00B44362">
            <w:pPr>
              <w:jc w:val="both"/>
              <w:rPr>
                <w:b/>
                <w:color w:val="auto"/>
              </w:rPr>
            </w:pPr>
            <w:r w:rsidRPr="005A3C4C">
              <w:rPr>
                <w:b/>
                <w:color w:val="auto"/>
              </w:rPr>
              <w:t xml:space="preserve">Proline </w:t>
            </w:r>
          </w:p>
        </w:tc>
        <w:tc>
          <w:tcPr>
            <w:tcW w:w="714" w:type="pct"/>
            <w:tcBorders>
              <w:top w:val="single" w:sz="4" w:space="0" w:color="000000"/>
            </w:tcBorders>
          </w:tcPr>
          <w:p w14:paraId="310D60C9" w14:textId="77777777" w:rsidR="005C5602" w:rsidRPr="005A3C4C" w:rsidRDefault="005C5602" w:rsidP="00B44362">
            <w:pPr>
              <w:jc w:val="both"/>
              <w:rPr>
                <w:color w:val="auto"/>
              </w:rPr>
            </w:pPr>
            <w:r w:rsidRPr="005A3C4C">
              <w:rPr>
                <w:color w:val="auto"/>
              </w:rPr>
              <w:t>2.20</w:t>
            </w:r>
            <w:r w:rsidRPr="005A3C4C">
              <w:rPr>
                <w:color w:val="auto"/>
                <w:vertAlign w:val="superscript"/>
              </w:rPr>
              <w:t>e</w:t>
            </w:r>
            <w:r w:rsidRPr="005A3C4C">
              <w:rPr>
                <w:color w:val="auto"/>
              </w:rPr>
              <w:t>±0.02</w:t>
            </w:r>
          </w:p>
        </w:tc>
        <w:tc>
          <w:tcPr>
            <w:tcW w:w="714" w:type="pct"/>
            <w:tcBorders>
              <w:top w:val="single" w:sz="4" w:space="0" w:color="000000"/>
            </w:tcBorders>
          </w:tcPr>
          <w:p w14:paraId="6946BC89" w14:textId="77777777" w:rsidR="005C5602" w:rsidRPr="005A3C4C" w:rsidRDefault="005C5602" w:rsidP="00B44362">
            <w:pPr>
              <w:jc w:val="both"/>
              <w:rPr>
                <w:color w:val="auto"/>
              </w:rPr>
            </w:pPr>
            <w:r w:rsidRPr="005A3C4C">
              <w:rPr>
                <w:color w:val="auto"/>
              </w:rPr>
              <w:t>3.26</w:t>
            </w:r>
            <w:r w:rsidRPr="005A3C4C">
              <w:rPr>
                <w:color w:val="auto"/>
                <w:vertAlign w:val="superscript"/>
              </w:rPr>
              <w:t>d</w:t>
            </w:r>
            <w:r w:rsidRPr="005A3C4C">
              <w:rPr>
                <w:color w:val="auto"/>
              </w:rPr>
              <w:t>±0.02</w:t>
            </w:r>
          </w:p>
        </w:tc>
        <w:tc>
          <w:tcPr>
            <w:tcW w:w="714" w:type="pct"/>
            <w:tcBorders>
              <w:top w:val="single" w:sz="4" w:space="0" w:color="000000"/>
            </w:tcBorders>
          </w:tcPr>
          <w:p w14:paraId="59BBB27A" w14:textId="77777777" w:rsidR="005C5602" w:rsidRPr="005A3C4C" w:rsidRDefault="005C5602" w:rsidP="00B44362">
            <w:pPr>
              <w:jc w:val="both"/>
              <w:rPr>
                <w:color w:val="auto"/>
              </w:rPr>
            </w:pPr>
            <w:r w:rsidRPr="005A3C4C">
              <w:rPr>
                <w:color w:val="auto"/>
              </w:rPr>
              <w:t>3.40</w:t>
            </w:r>
            <w:r w:rsidRPr="005A3C4C">
              <w:rPr>
                <w:color w:val="auto"/>
                <w:vertAlign w:val="superscript"/>
              </w:rPr>
              <w:t>c</w:t>
            </w:r>
            <w:r w:rsidRPr="005A3C4C">
              <w:rPr>
                <w:color w:val="auto"/>
              </w:rPr>
              <w:t>±0.03</w:t>
            </w:r>
          </w:p>
        </w:tc>
        <w:tc>
          <w:tcPr>
            <w:tcW w:w="715" w:type="pct"/>
            <w:tcBorders>
              <w:top w:val="single" w:sz="4" w:space="0" w:color="000000"/>
            </w:tcBorders>
          </w:tcPr>
          <w:p w14:paraId="10BAE2F1" w14:textId="77777777" w:rsidR="005C5602" w:rsidRPr="005A3C4C" w:rsidRDefault="005C5602" w:rsidP="00B44362">
            <w:pPr>
              <w:jc w:val="both"/>
              <w:rPr>
                <w:color w:val="auto"/>
              </w:rPr>
            </w:pPr>
            <w:r w:rsidRPr="005A3C4C">
              <w:rPr>
                <w:color w:val="auto"/>
              </w:rPr>
              <w:t>3.67</w:t>
            </w:r>
            <w:r w:rsidRPr="005A3C4C">
              <w:rPr>
                <w:color w:val="auto"/>
                <w:vertAlign w:val="superscript"/>
              </w:rPr>
              <w:t>b</w:t>
            </w:r>
            <w:r w:rsidRPr="005A3C4C">
              <w:rPr>
                <w:color w:val="auto"/>
              </w:rPr>
              <w:t>±0.01</w:t>
            </w:r>
          </w:p>
        </w:tc>
        <w:tc>
          <w:tcPr>
            <w:tcW w:w="715" w:type="pct"/>
            <w:tcBorders>
              <w:top w:val="single" w:sz="4" w:space="0" w:color="000000"/>
            </w:tcBorders>
          </w:tcPr>
          <w:p w14:paraId="6CA0EB40" w14:textId="77777777" w:rsidR="005C5602" w:rsidRPr="005A3C4C" w:rsidRDefault="005C5602" w:rsidP="00B44362">
            <w:pPr>
              <w:jc w:val="both"/>
              <w:rPr>
                <w:color w:val="auto"/>
              </w:rPr>
            </w:pPr>
            <w:r w:rsidRPr="005A3C4C">
              <w:rPr>
                <w:color w:val="auto"/>
              </w:rPr>
              <w:t>5.11</w:t>
            </w:r>
            <w:r w:rsidRPr="005A3C4C">
              <w:rPr>
                <w:color w:val="auto"/>
                <w:vertAlign w:val="superscript"/>
              </w:rPr>
              <w:t>a</w:t>
            </w:r>
            <w:r w:rsidRPr="005A3C4C">
              <w:rPr>
                <w:color w:val="auto"/>
              </w:rPr>
              <w:t>±0.01</w:t>
            </w:r>
          </w:p>
        </w:tc>
        <w:tc>
          <w:tcPr>
            <w:tcW w:w="715" w:type="pct"/>
            <w:tcBorders>
              <w:top w:val="single" w:sz="4" w:space="0" w:color="000000"/>
            </w:tcBorders>
          </w:tcPr>
          <w:p w14:paraId="746DDCD3" w14:textId="77777777" w:rsidR="005C5602" w:rsidRPr="005A3C4C" w:rsidRDefault="005C5602" w:rsidP="00B44362">
            <w:pPr>
              <w:jc w:val="both"/>
              <w:rPr>
                <w:color w:val="auto"/>
              </w:rPr>
            </w:pPr>
            <w:r w:rsidRPr="005A3C4C">
              <w:rPr>
                <w:color w:val="auto"/>
              </w:rPr>
              <w:t>0.00</w:t>
            </w:r>
          </w:p>
        </w:tc>
      </w:tr>
      <w:tr w:rsidR="005C5602" w:rsidRPr="005A3C4C" w14:paraId="168293DB" w14:textId="77777777" w:rsidTr="008D0003">
        <w:trPr>
          <w:trHeight w:val="558"/>
        </w:trPr>
        <w:tc>
          <w:tcPr>
            <w:tcW w:w="714" w:type="pct"/>
          </w:tcPr>
          <w:p w14:paraId="419C1B4A" w14:textId="77777777" w:rsidR="005C5602" w:rsidRPr="005A3C4C" w:rsidRDefault="005C5602" w:rsidP="00B44362">
            <w:pPr>
              <w:jc w:val="both"/>
              <w:rPr>
                <w:b/>
                <w:color w:val="auto"/>
              </w:rPr>
            </w:pPr>
            <w:r w:rsidRPr="005A3C4C">
              <w:rPr>
                <w:b/>
                <w:color w:val="auto"/>
              </w:rPr>
              <w:t xml:space="preserve">Arginine </w:t>
            </w:r>
          </w:p>
        </w:tc>
        <w:tc>
          <w:tcPr>
            <w:tcW w:w="714" w:type="pct"/>
          </w:tcPr>
          <w:p w14:paraId="1CCFD049" w14:textId="77777777" w:rsidR="005C5602" w:rsidRPr="005A3C4C" w:rsidRDefault="005C5602" w:rsidP="00B44362">
            <w:pPr>
              <w:jc w:val="both"/>
              <w:rPr>
                <w:color w:val="auto"/>
              </w:rPr>
            </w:pPr>
            <w:r w:rsidRPr="005A3C4C">
              <w:rPr>
                <w:color w:val="auto"/>
              </w:rPr>
              <w:t>2.48</w:t>
            </w:r>
            <w:r w:rsidRPr="005A3C4C">
              <w:rPr>
                <w:color w:val="auto"/>
                <w:vertAlign w:val="superscript"/>
              </w:rPr>
              <w:t>d</w:t>
            </w:r>
            <w:r w:rsidRPr="005A3C4C">
              <w:rPr>
                <w:color w:val="auto"/>
              </w:rPr>
              <w:t>±0.11</w:t>
            </w:r>
          </w:p>
        </w:tc>
        <w:tc>
          <w:tcPr>
            <w:tcW w:w="714" w:type="pct"/>
          </w:tcPr>
          <w:p w14:paraId="6B76314C" w14:textId="77777777" w:rsidR="005C5602" w:rsidRPr="005A3C4C" w:rsidRDefault="005C5602" w:rsidP="00B44362">
            <w:pPr>
              <w:jc w:val="both"/>
              <w:rPr>
                <w:color w:val="auto"/>
              </w:rPr>
            </w:pPr>
            <w:r w:rsidRPr="005A3C4C">
              <w:rPr>
                <w:color w:val="auto"/>
              </w:rPr>
              <w:t>4.47</w:t>
            </w:r>
            <w:r w:rsidRPr="005A3C4C">
              <w:rPr>
                <w:color w:val="auto"/>
                <w:vertAlign w:val="superscript"/>
              </w:rPr>
              <w:t>c</w:t>
            </w:r>
            <w:r w:rsidRPr="005A3C4C">
              <w:rPr>
                <w:color w:val="auto"/>
              </w:rPr>
              <w:t>±0.01</w:t>
            </w:r>
          </w:p>
        </w:tc>
        <w:tc>
          <w:tcPr>
            <w:tcW w:w="714" w:type="pct"/>
          </w:tcPr>
          <w:p w14:paraId="304E13F7" w14:textId="77777777" w:rsidR="005C5602" w:rsidRPr="005A3C4C" w:rsidRDefault="005C5602" w:rsidP="00B44362">
            <w:pPr>
              <w:jc w:val="both"/>
              <w:rPr>
                <w:color w:val="auto"/>
              </w:rPr>
            </w:pPr>
            <w:r w:rsidRPr="005A3C4C">
              <w:rPr>
                <w:color w:val="auto"/>
              </w:rPr>
              <w:t>5.15</w:t>
            </w:r>
            <w:r w:rsidRPr="005A3C4C">
              <w:rPr>
                <w:color w:val="auto"/>
                <w:vertAlign w:val="superscript"/>
              </w:rPr>
              <w:t>b</w:t>
            </w:r>
            <w:r w:rsidRPr="005A3C4C">
              <w:rPr>
                <w:color w:val="auto"/>
              </w:rPr>
              <w:t>±0.06</w:t>
            </w:r>
          </w:p>
        </w:tc>
        <w:tc>
          <w:tcPr>
            <w:tcW w:w="715" w:type="pct"/>
          </w:tcPr>
          <w:p w14:paraId="3E60BF2D" w14:textId="77777777" w:rsidR="005C5602" w:rsidRPr="005A3C4C" w:rsidRDefault="005C5602" w:rsidP="00B44362">
            <w:pPr>
              <w:jc w:val="both"/>
              <w:rPr>
                <w:color w:val="auto"/>
              </w:rPr>
            </w:pPr>
            <w:r w:rsidRPr="005A3C4C">
              <w:rPr>
                <w:color w:val="auto"/>
              </w:rPr>
              <w:t>5.63</w:t>
            </w:r>
            <w:r w:rsidRPr="005A3C4C">
              <w:rPr>
                <w:color w:val="auto"/>
                <w:vertAlign w:val="superscript"/>
              </w:rPr>
              <w:t>a</w:t>
            </w:r>
            <w:r w:rsidRPr="005A3C4C">
              <w:rPr>
                <w:color w:val="auto"/>
              </w:rPr>
              <w:t>±0.02</w:t>
            </w:r>
          </w:p>
        </w:tc>
        <w:tc>
          <w:tcPr>
            <w:tcW w:w="715" w:type="pct"/>
          </w:tcPr>
          <w:p w14:paraId="2092F006" w14:textId="77777777" w:rsidR="005C5602" w:rsidRPr="005A3C4C" w:rsidRDefault="005C5602" w:rsidP="00B44362">
            <w:pPr>
              <w:jc w:val="both"/>
              <w:rPr>
                <w:color w:val="auto"/>
              </w:rPr>
            </w:pPr>
            <w:r w:rsidRPr="005A3C4C">
              <w:rPr>
                <w:color w:val="auto"/>
              </w:rPr>
              <w:t>4.37</w:t>
            </w:r>
            <w:r w:rsidRPr="005A3C4C">
              <w:rPr>
                <w:color w:val="auto"/>
                <w:vertAlign w:val="superscript"/>
              </w:rPr>
              <w:t>c</w:t>
            </w:r>
            <w:r w:rsidRPr="005A3C4C">
              <w:rPr>
                <w:color w:val="auto"/>
              </w:rPr>
              <w:t>±0.01</w:t>
            </w:r>
          </w:p>
        </w:tc>
        <w:tc>
          <w:tcPr>
            <w:tcW w:w="715" w:type="pct"/>
          </w:tcPr>
          <w:p w14:paraId="400EE561" w14:textId="77777777" w:rsidR="005C5602" w:rsidRPr="005A3C4C" w:rsidRDefault="005C5602" w:rsidP="00B44362">
            <w:pPr>
              <w:jc w:val="both"/>
              <w:rPr>
                <w:color w:val="auto"/>
              </w:rPr>
            </w:pPr>
            <w:r w:rsidRPr="005A3C4C">
              <w:rPr>
                <w:color w:val="auto"/>
              </w:rPr>
              <w:t>0.08</w:t>
            </w:r>
          </w:p>
        </w:tc>
      </w:tr>
      <w:tr w:rsidR="005C5602" w:rsidRPr="005A3C4C" w14:paraId="679BCAD9" w14:textId="77777777" w:rsidTr="008D0003">
        <w:trPr>
          <w:trHeight w:val="529"/>
        </w:trPr>
        <w:tc>
          <w:tcPr>
            <w:tcW w:w="714" w:type="pct"/>
          </w:tcPr>
          <w:p w14:paraId="2A6EF554" w14:textId="77777777" w:rsidR="005C5602" w:rsidRPr="005A3C4C" w:rsidRDefault="005C5602" w:rsidP="00B44362">
            <w:pPr>
              <w:jc w:val="both"/>
              <w:rPr>
                <w:b/>
                <w:color w:val="auto"/>
              </w:rPr>
            </w:pPr>
            <w:r w:rsidRPr="005A3C4C">
              <w:rPr>
                <w:b/>
                <w:color w:val="auto"/>
              </w:rPr>
              <w:t xml:space="preserve">Tyrosine </w:t>
            </w:r>
          </w:p>
        </w:tc>
        <w:tc>
          <w:tcPr>
            <w:tcW w:w="714" w:type="pct"/>
          </w:tcPr>
          <w:p w14:paraId="7DC656E7" w14:textId="77777777" w:rsidR="005C5602" w:rsidRPr="005A3C4C" w:rsidRDefault="005C5602" w:rsidP="00B44362">
            <w:pPr>
              <w:jc w:val="both"/>
              <w:rPr>
                <w:color w:val="auto"/>
              </w:rPr>
            </w:pPr>
            <w:r w:rsidRPr="005A3C4C">
              <w:rPr>
                <w:color w:val="auto"/>
              </w:rPr>
              <w:t>3.33</w:t>
            </w:r>
            <w:r w:rsidRPr="005A3C4C">
              <w:rPr>
                <w:color w:val="auto"/>
                <w:vertAlign w:val="superscript"/>
              </w:rPr>
              <w:t>a</w:t>
            </w:r>
            <w:r w:rsidRPr="005A3C4C">
              <w:rPr>
                <w:color w:val="auto"/>
              </w:rPr>
              <w:t>±0.01</w:t>
            </w:r>
          </w:p>
        </w:tc>
        <w:tc>
          <w:tcPr>
            <w:tcW w:w="714" w:type="pct"/>
          </w:tcPr>
          <w:p w14:paraId="3D00CF62" w14:textId="77777777" w:rsidR="005C5602" w:rsidRPr="005A3C4C" w:rsidRDefault="005C5602" w:rsidP="00B44362">
            <w:pPr>
              <w:jc w:val="both"/>
              <w:rPr>
                <w:color w:val="auto"/>
              </w:rPr>
            </w:pPr>
            <w:r w:rsidRPr="005A3C4C">
              <w:rPr>
                <w:color w:val="auto"/>
              </w:rPr>
              <w:t>3.10</w:t>
            </w:r>
            <w:r w:rsidRPr="005A3C4C">
              <w:rPr>
                <w:color w:val="auto"/>
                <w:vertAlign w:val="superscript"/>
              </w:rPr>
              <w:t>b</w:t>
            </w:r>
            <w:r w:rsidRPr="005A3C4C">
              <w:rPr>
                <w:color w:val="auto"/>
              </w:rPr>
              <w:t>±0.02</w:t>
            </w:r>
          </w:p>
        </w:tc>
        <w:tc>
          <w:tcPr>
            <w:tcW w:w="714" w:type="pct"/>
          </w:tcPr>
          <w:p w14:paraId="6320B8FE" w14:textId="77777777" w:rsidR="005C5602" w:rsidRPr="005A3C4C" w:rsidRDefault="005C5602" w:rsidP="00B44362">
            <w:pPr>
              <w:jc w:val="both"/>
              <w:rPr>
                <w:color w:val="auto"/>
              </w:rPr>
            </w:pPr>
            <w:r w:rsidRPr="005A3C4C">
              <w:rPr>
                <w:color w:val="auto"/>
              </w:rPr>
              <w:t>3.06</w:t>
            </w:r>
            <w:r w:rsidRPr="005A3C4C">
              <w:rPr>
                <w:color w:val="auto"/>
                <w:vertAlign w:val="superscript"/>
              </w:rPr>
              <w:t>b</w:t>
            </w:r>
            <w:r w:rsidRPr="005A3C4C">
              <w:rPr>
                <w:color w:val="auto"/>
              </w:rPr>
              <w:t>±0.17</w:t>
            </w:r>
          </w:p>
        </w:tc>
        <w:tc>
          <w:tcPr>
            <w:tcW w:w="715" w:type="pct"/>
          </w:tcPr>
          <w:p w14:paraId="7965D2AB" w14:textId="77777777" w:rsidR="005C5602" w:rsidRPr="005A3C4C" w:rsidRDefault="005C5602" w:rsidP="00B44362">
            <w:pPr>
              <w:jc w:val="both"/>
              <w:rPr>
                <w:color w:val="auto"/>
              </w:rPr>
            </w:pPr>
            <w:r w:rsidRPr="005A3C4C">
              <w:rPr>
                <w:color w:val="auto"/>
              </w:rPr>
              <w:t>3.00</w:t>
            </w:r>
            <w:r w:rsidRPr="005A3C4C">
              <w:rPr>
                <w:color w:val="auto"/>
                <w:vertAlign w:val="superscript"/>
              </w:rPr>
              <w:t>b</w:t>
            </w:r>
            <w:r w:rsidRPr="005A3C4C">
              <w:rPr>
                <w:color w:val="auto"/>
              </w:rPr>
              <w:t>±0.09</w:t>
            </w:r>
          </w:p>
        </w:tc>
        <w:tc>
          <w:tcPr>
            <w:tcW w:w="715" w:type="pct"/>
          </w:tcPr>
          <w:p w14:paraId="524FE7A0" w14:textId="77777777" w:rsidR="005C5602" w:rsidRPr="005A3C4C" w:rsidRDefault="005C5602" w:rsidP="00B44362">
            <w:pPr>
              <w:jc w:val="both"/>
              <w:rPr>
                <w:color w:val="auto"/>
              </w:rPr>
            </w:pPr>
            <w:r w:rsidRPr="005A3C4C">
              <w:rPr>
                <w:color w:val="auto"/>
              </w:rPr>
              <w:t>3.05</w:t>
            </w:r>
            <w:r w:rsidRPr="005A3C4C">
              <w:rPr>
                <w:color w:val="auto"/>
                <w:vertAlign w:val="superscript"/>
              </w:rPr>
              <w:t>b</w:t>
            </w:r>
            <w:r w:rsidRPr="005A3C4C">
              <w:rPr>
                <w:color w:val="auto"/>
              </w:rPr>
              <w:t>±0.02</w:t>
            </w:r>
          </w:p>
        </w:tc>
        <w:tc>
          <w:tcPr>
            <w:tcW w:w="715" w:type="pct"/>
          </w:tcPr>
          <w:p w14:paraId="5E75C88E" w14:textId="77777777" w:rsidR="005C5602" w:rsidRPr="005A3C4C" w:rsidRDefault="005C5602" w:rsidP="00B44362">
            <w:pPr>
              <w:jc w:val="both"/>
              <w:rPr>
                <w:color w:val="auto"/>
              </w:rPr>
            </w:pPr>
            <w:r w:rsidRPr="005A3C4C">
              <w:rPr>
                <w:color w:val="auto"/>
              </w:rPr>
              <w:t>0.13</w:t>
            </w:r>
          </w:p>
        </w:tc>
      </w:tr>
      <w:tr w:rsidR="005C5602" w:rsidRPr="005A3C4C" w14:paraId="06A18270" w14:textId="77777777" w:rsidTr="008D0003">
        <w:trPr>
          <w:trHeight w:val="529"/>
        </w:trPr>
        <w:tc>
          <w:tcPr>
            <w:tcW w:w="714" w:type="pct"/>
          </w:tcPr>
          <w:p w14:paraId="5EC1C9D0" w14:textId="77777777" w:rsidR="005C5602" w:rsidRPr="005A3C4C" w:rsidRDefault="005C5602" w:rsidP="00B44362">
            <w:pPr>
              <w:jc w:val="both"/>
              <w:rPr>
                <w:b/>
                <w:color w:val="auto"/>
              </w:rPr>
            </w:pPr>
            <w:r w:rsidRPr="005A3C4C">
              <w:rPr>
                <w:b/>
                <w:color w:val="auto"/>
              </w:rPr>
              <w:t xml:space="preserve">Cysteine </w:t>
            </w:r>
          </w:p>
        </w:tc>
        <w:tc>
          <w:tcPr>
            <w:tcW w:w="714" w:type="pct"/>
          </w:tcPr>
          <w:p w14:paraId="4B680861" w14:textId="77777777" w:rsidR="005C5602" w:rsidRPr="005A3C4C" w:rsidRDefault="005C5602" w:rsidP="00B44362">
            <w:pPr>
              <w:jc w:val="both"/>
              <w:rPr>
                <w:color w:val="auto"/>
              </w:rPr>
            </w:pPr>
            <w:r w:rsidRPr="005A3C4C">
              <w:rPr>
                <w:color w:val="auto"/>
              </w:rPr>
              <w:t>0.93</w:t>
            </w:r>
            <w:r w:rsidRPr="005A3C4C">
              <w:rPr>
                <w:color w:val="auto"/>
                <w:vertAlign w:val="superscript"/>
              </w:rPr>
              <w:t>b</w:t>
            </w:r>
            <w:r w:rsidRPr="005A3C4C">
              <w:rPr>
                <w:color w:val="auto"/>
              </w:rPr>
              <w:t>±0.01</w:t>
            </w:r>
          </w:p>
        </w:tc>
        <w:tc>
          <w:tcPr>
            <w:tcW w:w="714" w:type="pct"/>
          </w:tcPr>
          <w:p w14:paraId="71164694" w14:textId="77777777" w:rsidR="005C5602" w:rsidRPr="005A3C4C" w:rsidRDefault="005C5602" w:rsidP="00B44362">
            <w:pPr>
              <w:jc w:val="both"/>
              <w:rPr>
                <w:color w:val="auto"/>
              </w:rPr>
            </w:pPr>
            <w:r w:rsidRPr="005A3C4C">
              <w:rPr>
                <w:color w:val="auto"/>
              </w:rPr>
              <w:t>0.86</w:t>
            </w:r>
            <w:r w:rsidRPr="005A3C4C">
              <w:rPr>
                <w:color w:val="auto"/>
                <w:vertAlign w:val="superscript"/>
              </w:rPr>
              <w:t>c</w:t>
            </w:r>
            <w:r w:rsidRPr="005A3C4C">
              <w:rPr>
                <w:color w:val="auto"/>
              </w:rPr>
              <w:t>±0.02</w:t>
            </w:r>
          </w:p>
        </w:tc>
        <w:tc>
          <w:tcPr>
            <w:tcW w:w="714" w:type="pct"/>
          </w:tcPr>
          <w:p w14:paraId="7E9E97B2" w14:textId="77777777" w:rsidR="005C5602" w:rsidRPr="005A3C4C" w:rsidRDefault="005C5602" w:rsidP="00B44362">
            <w:pPr>
              <w:jc w:val="both"/>
              <w:rPr>
                <w:color w:val="auto"/>
              </w:rPr>
            </w:pPr>
            <w:r w:rsidRPr="005A3C4C">
              <w:rPr>
                <w:color w:val="auto"/>
              </w:rPr>
              <w:t>0.84</w:t>
            </w:r>
            <w:r w:rsidRPr="005A3C4C">
              <w:rPr>
                <w:color w:val="auto"/>
                <w:vertAlign w:val="superscript"/>
              </w:rPr>
              <w:t>d</w:t>
            </w:r>
            <w:r w:rsidRPr="005A3C4C">
              <w:rPr>
                <w:color w:val="auto"/>
              </w:rPr>
              <w:t>±0.01</w:t>
            </w:r>
          </w:p>
        </w:tc>
        <w:tc>
          <w:tcPr>
            <w:tcW w:w="715" w:type="pct"/>
          </w:tcPr>
          <w:p w14:paraId="252E724A" w14:textId="77777777" w:rsidR="005C5602" w:rsidRPr="005A3C4C" w:rsidRDefault="005C5602" w:rsidP="00B44362">
            <w:pPr>
              <w:jc w:val="both"/>
              <w:rPr>
                <w:color w:val="auto"/>
              </w:rPr>
            </w:pPr>
            <w:r w:rsidRPr="005A3C4C">
              <w:rPr>
                <w:color w:val="auto"/>
              </w:rPr>
              <w:t>0.81</w:t>
            </w:r>
            <w:r w:rsidRPr="005A3C4C">
              <w:rPr>
                <w:color w:val="auto"/>
                <w:vertAlign w:val="superscript"/>
              </w:rPr>
              <w:t>e</w:t>
            </w:r>
            <w:r w:rsidRPr="005A3C4C">
              <w:rPr>
                <w:color w:val="auto"/>
              </w:rPr>
              <w:t>±0.01</w:t>
            </w:r>
          </w:p>
        </w:tc>
        <w:tc>
          <w:tcPr>
            <w:tcW w:w="715" w:type="pct"/>
          </w:tcPr>
          <w:p w14:paraId="01E346A5" w14:textId="77777777" w:rsidR="005C5602" w:rsidRPr="005A3C4C" w:rsidRDefault="005C5602" w:rsidP="00B44362">
            <w:pPr>
              <w:jc w:val="both"/>
              <w:rPr>
                <w:color w:val="auto"/>
              </w:rPr>
            </w:pPr>
            <w:r w:rsidRPr="005A3C4C">
              <w:rPr>
                <w:color w:val="auto"/>
              </w:rPr>
              <w:t>1.29</w:t>
            </w:r>
            <w:r w:rsidRPr="005A3C4C">
              <w:rPr>
                <w:color w:val="auto"/>
                <w:vertAlign w:val="superscript"/>
              </w:rPr>
              <w:t>a</w:t>
            </w:r>
            <w:r w:rsidRPr="005A3C4C">
              <w:rPr>
                <w:color w:val="auto"/>
              </w:rPr>
              <w:t>±0.01</w:t>
            </w:r>
          </w:p>
        </w:tc>
        <w:tc>
          <w:tcPr>
            <w:tcW w:w="715" w:type="pct"/>
          </w:tcPr>
          <w:p w14:paraId="0719DF8B" w14:textId="77777777" w:rsidR="005C5602" w:rsidRPr="005A3C4C" w:rsidRDefault="005C5602" w:rsidP="00B44362">
            <w:pPr>
              <w:jc w:val="both"/>
              <w:rPr>
                <w:color w:val="auto"/>
              </w:rPr>
            </w:pPr>
            <w:r w:rsidRPr="005A3C4C">
              <w:rPr>
                <w:color w:val="auto"/>
              </w:rPr>
              <w:t>0.00</w:t>
            </w:r>
          </w:p>
        </w:tc>
      </w:tr>
      <w:tr w:rsidR="005C5602" w:rsidRPr="005A3C4C" w14:paraId="6F3BCD01" w14:textId="77777777" w:rsidTr="008D0003">
        <w:trPr>
          <w:trHeight w:val="558"/>
        </w:trPr>
        <w:tc>
          <w:tcPr>
            <w:tcW w:w="714" w:type="pct"/>
          </w:tcPr>
          <w:p w14:paraId="7D15A9DD" w14:textId="77777777" w:rsidR="005C5602" w:rsidRPr="005A3C4C" w:rsidRDefault="005C5602" w:rsidP="00B44362">
            <w:pPr>
              <w:jc w:val="both"/>
              <w:rPr>
                <w:b/>
                <w:color w:val="auto"/>
              </w:rPr>
            </w:pPr>
            <w:r w:rsidRPr="005A3C4C">
              <w:rPr>
                <w:b/>
                <w:color w:val="auto"/>
              </w:rPr>
              <w:t xml:space="preserve">Alanine </w:t>
            </w:r>
          </w:p>
        </w:tc>
        <w:tc>
          <w:tcPr>
            <w:tcW w:w="714" w:type="pct"/>
          </w:tcPr>
          <w:p w14:paraId="43227428" w14:textId="77777777" w:rsidR="005C5602" w:rsidRPr="005A3C4C" w:rsidRDefault="005C5602" w:rsidP="00B44362">
            <w:pPr>
              <w:jc w:val="both"/>
              <w:rPr>
                <w:color w:val="auto"/>
              </w:rPr>
            </w:pPr>
            <w:r w:rsidRPr="005A3C4C">
              <w:rPr>
                <w:color w:val="auto"/>
              </w:rPr>
              <w:t>10.31</w:t>
            </w:r>
            <w:r w:rsidRPr="005A3C4C">
              <w:rPr>
                <w:color w:val="auto"/>
                <w:vertAlign w:val="superscript"/>
              </w:rPr>
              <w:t>a</w:t>
            </w:r>
            <w:r w:rsidRPr="005A3C4C">
              <w:rPr>
                <w:color w:val="auto"/>
              </w:rPr>
              <w:t>±0.02</w:t>
            </w:r>
          </w:p>
        </w:tc>
        <w:tc>
          <w:tcPr>
            <w:tcW w:w="714" w:type="pct"/>
          </w:tcPr>
          <w:p w14:paraId="1BCEF2A2" w14:textId="77777777" w:rsidR="005C5602" w:rsidRPr="005A3C4C" w:rsidRDefault="005C5602" w:rsidP="00B44362">
            <w:pPr>
              <w:jc w:val="both"/>
              <w:rPr>
                <w:color w:val="auto"/>
              </w:rPr>
            </w:pPr>
            <w:r w:rsidRPr="005A3C4C">
              <w:rPr>
                <w:color w:val="auto"/>
              </w:rPr>
              <w:t>8.51</w:t>
            </w:r>
            <w:r w:rsidRPr="005A3C4C">
              <w:rPr>
                <w:color w:val="auto"/>
                <w:vertAlign w:val="superscript"/>
              </w:rPr>
              <w:t>b</w:t>
            </w:r>
            <w:r w:rsidRPr="005A3C4C">
              <w:rPr>
                <w:color w:val="auto"/>
              </w:rPr>
              <w:t>±0.01</w:t>
            </w:r>
          </w:p>
        </w:tc>
        <w:tc>
          <w:tcPr>
            <w:tcW w:w="714" w:type="pct"/>
          </w:tcPr>
          <w:p w14:paraId="6D3EEAFE" w14:textId="77777777" w:rsidR="005C5602" w:rsidRPr="005A3C4C" w:rsidRDefault="005C5602" w:rsidP="00B44362">
            <w:pPr>
              <w:jc w:val="both"/>
              <w:rPr>
                <w:color w:val="auto"/>
              </w:rPr>
            </w:pPr>
            <w:r w:rsidRPr="005A3C4C">
              <w:rPr>
                <w:color w:val="auto"/>
              </w:rPr>
              <w:t>6.43</w:t>
            </w:r>
            <w:r w:rsidRPr="005A3C4C">
              <w:rPr>
                <w:color w:val="auto"/>
                <w:vertAlign w:val="superscript"/>
              </w:rPr>
              <w:t>c</w:t>
            </w:r>
            <w:r w:rsidRPr="005A3C4C">
              <w:rPr>
                <w:color w:val="auto"/>
              </w:rPr>
              <w:t>±0.01</w:t>
            </w:r>
          </w:p>
        </w:tc>
        <w:tc>
          <w:tcPr>
            <w:tcW w:w="715" w:type="pct"/>
          </w:tcPr>
          <w:p w14:paraId="21CA10AE" w14:textId="77777777" w:rsidR="005C5602" w:rsidRPr="005A3C4C" w:rsidRDefault="005C5602" w:rsidP="00B44362">
            <w:pPr>
              <w:jc w:val="both"/>
              <w:rPr>
                <w:color w:val="auto"/>
              </w:rPr>
            </w:pPr>
            <w:r w:rsidRPr="005A3C4C">
              <w:rPr>
                <w:color w:val="auto"/>
              </w:rPr>
              <w:t>4.16</w:t>
            </w:r>
            <w:r w:rsidRPr="005A3C4C">
              <w:rPr>
                <w:color w:val="auto"/>
                <w:vertAlign w:val="superscript"/>
              </w:rPr>
              <w:t>d</w:t>
            </w:r>
            <w:r w:rsidRPr="005A3C4C">
              <w:rPr>
                <w:color w:val="auto"/>
              </w:rPr>
              <w:t>±0.03</w:t>
            </w:r>
          </w:p>
        </w:tc>
        <w:tc>
          <w:tcPr>
            <w:tcW w:w="715" w:type="pct"/>
          </w:tcPr>
          <w:p w14:paraId="5FEEA72B" w14:textId="77777777" w:rsidR="005C5602" w:rsidRPr="005A3C4C" w:rsidRDefault="005C5602" w:rsidP="00B44362">
            <w:pPr>
              <w:jc w:val="both"/>
              <w:rPr>
                <w:color w:val="auto"/>
              </w:rPr>
            </w:pPr>
            <w:r w:rsidRPr="005A3C4C">
              <w:rPr>
                <w:color w:val="auto"/>
              </w:rPr>
              <w:t>4.03</w:t>
            </w:r>
            <w:r w:rsidRPr="005A3C4C">
              <w:rPr>
                <w:color w:val="auto"/>
                <w:vertAlign w:val="superscript"/>
              </w:rPr>
              <w:t>e</w:t>
            </w:r>
            <w:r w:rsidRPr="005A3C4C">
              <w:rPr>
                <w:color w:val="auto"/>
              </w:rPr>
              <w:t>±0.04</w:t>
            </w:r>
          </w:p>
        </w:tc>
        <w:tc>
          <w:tcPr>
            <w:tcW w:w="715" w:type="pct"/>
          </w:tcPr>
          <w:p w14:paraId="61901328" w14:textId="77777777" w:rsidR="005C5602" w:rsidRPr="005A3C4C" w:rsidRDefault="005C5602" w:rsidP="00B44362">
            <w:pPr>
              <w:jc w:val="both"/>
              <w:rPr>
                <w:color w:val="auto"/>
              </w:rPr>
            </w:pPr>
            <w:r w:rsidRPr="005A3C4C">
              <w:rPr>
                <w:color w:val="auto"/>
              </w:rPr>
              <w:t>0.04</w:t>
            </w:r>
          </w:p>
        </w:tc>
      </w:tr>
      <w:tr w:rsidR="005C5602" w:rsidRPr="005A3C4C" w14:paraId="2728A661" w14:textId="77777777" w:rsidTr="008D0003">
        <w:trPr>
          <w:trHeight w:val="529"/>
        </w:trPr>
        <w:tc>
          <w:tcPr>
            <w:tcW w:w="714" w:type="pct"/>
          </w:tcPr>
          <w:p w14:paraId="643499A5" w14:textId="77777777" w:rsidR="005C5602" w:rsidRPr="005A3C4C" w:rsidRDefault="005C5602" w:rsidP="00B44362">
            <w:pPr>
              <w:jc w:val="both"/>
              <w:rPr>
                <w:b/>
                <w:color w:val="auto"/>
              </w:rPr>
            </w:pPr>
            <w:r w:rsidRPr="005A3C4C">
              <w:rPr>
                <w:b/>
                <w:color w:val="auto"/>
              </w:rPr>
              <w:t>Glutamate</w:t>
            </w:r>
          </w:p>
        </w:tc>
        <w:tc>
          <w:tcPr>
            <w:tcW w:w="714" w:type="pct"/>
          </w:tcPr>
          <w:p w14:paraId="50F73990" w14:textId="77777777" w:rsidR="005C5602" w:rsidRPr="005A3C4C" w:rsidRDefault="005C5602" w:rsidP="00B44362">
            <w:pPr>
              <w:jc w:val="both"/>
              <w:rPr>
                <w:color w:val="auto"/>
              </w:rPr>
            </w:pPr>
            <w:r w:rsidRPr="005A3C4C">
              <w:rPr>
                <w:color w:val="auto"/>
              </w:rPr>
              <w:t>5.02</w:t>
            </w:r>
            <w:r w:rsidRPr="005A3C4C">
              <w:rPr>
                <w:color w:val="auto"/>
                <w:vertAlign w:val="superscript"/>
              </w:rPr>
              <w:t>e</w:t>
            </w:r>
            <w:r w:rsidRPr="005A3C4C">
              <w:rPr>
                <w:color w:val="auto"/>
              </w:rPr>
              <w:t>±0.07</w:t>
            </w:r>
          </w:p>
        </w:tc>
        <w:tc>
          <w:tcPr>
            <w:tcW w:w="714" w:type="pct"/>
          </w:tcPr>
          <w:p w14:paraId="3768355C" w14:textId="77777777" w:rsidR="005C5602" w:rsidRPr="005A3C4C" w:rsidRDefault="005C5602" w:rsidP="00B44362">
            <w:pPr>
              <w:jc w:val="both"/>
              <w:rPr>
                <w:color w:val="auto"/>
              </w:rPr>
            </w:pPr>
            <w:r w:rsidRPr="005A3C4C">
              <w:rPr>
                <w:color w:val="auto"/>
              </w:rPr>
              <w:t>9.66</w:t>
            </w:r>
            <w:r w:rsidRPr="005A3C4C">
              <w:rPr>
                <w:color w:val="auto"/>
                <w:vertAlign w:val="superscript"/>
              </w:rPr>
              <w:t>d</w:t>
            </w:r>
            <w:r w:rsidRPr="005A3C4C">
              <w:rPr>
                <w:color w:val="auto"/>
              </w:rPr>
              <w:t>±0.03</w:t>
            </w:r>
          </w:p>
        </w:tc>
        <w:tc>
          <w:tcPr>
            <w:tcW w:w="714" w:type="pct"/>
          </w:tcPr>
          <w:p w14:paraId="33D3E16A" w14:textId="77777777" w:rsidR="005C5602" w:rsidRPr="005A3C4C" w:rsidRDefault="005C5602" w:rsidP="00B44362">
            <w:pPr>
              <w:jc w:val="both"/>
              <w:rPr>
                <w:color w:val="auto"/>
              </w:rPr>
            </w:pPr>
            <w:r w:rsidRPr="005A3C4C">
              <w:rPr>
                <w:color w:val="auto"/>
              </w:rPr>
              <w:t>10.10</w:t>
            </w:r>
            <w:r w:rsidRPr="005A3C4C">
              <w:rPr>
                <w:color w:val="auto"/>
                <w:vertAlign w:val="superscript"/>
              </w:rPr>
              <w:t>c</w:t>
            </w:r>
            <w:r w:rsidRPr="005A3C4C">
              <w:rPr>
                <w:color w:val="auto"/>
              </w:rPr>
              <w:t>±0.12</w:t>
            </w:r>
          </w:p>
        </w:tc>
        <w:tc>
          <w:tcPr>
            <w:tcW w:w="715" w:type="pct"/>
          </w:tcPr>
          <w:p w14:paraId="627B74ED" w14:textId="77777777" w:rsidR="005C5602" w:rsidRPr="005A3C4C" w:rsidRDefault="005C5602" w:rsidP="00B44362">
            <w:pPr>
              <w:jc w:val="both"/>
              <w:rPr>
                <w:color w:val="auto"/>
              </w:rPr>
            </w:pPr>
            <w:r w:rsidRPr="005A3C4C">
              <w:rPr>
                <w:color w:val="auto"/>
              </w:rPr>
              <w:t>11.23</w:t>
            </w:r>
            <w:r w:rsidRPr="005A3C4C">
              <w:rPr>
                <w:color w:val="auto"/>
                <w:vertAlign w:val="superscript"/>
              </w:rPr>
              <w:t>a</w:t>
            </w:r>
            <w:r w:rsidRPr="005A3C4C">
              <w:rPr>
                <w:color w:val="auto"/>
              </w:rPr>
              <w:t>±0.03</w:t>
            </w:r>
          </w:p>
        </w:tc>
        <w:tc>
          <w:tcPr>
            <w:tcW w:w="715" w:type="pct"/>
          </w:tcPr>
          <w:p w14:paraId="354184A3" w14:textId="77777777" w:rsidR="005C5602" w:rsidRPr="005A3C4C" w:rsidRDefault="005C5602" w:rsidP="00B44362">
            <w:pPr>
              <w:jc w:val="both"/>
              <w:rPr>
                <w:color w:val="auto"/>
              </w:rPr>
            </w:pPr>
            <w:r w:rsidRPr="005A3C4C">
              <w:rPr>
                <w:color w:val="auto"/>
              </w:rPr>
              <w:t>10.43</w:t>
            </w:r>
            <w:r w:rsidRPr="005A3C4C">
              <w:rPr>
                <w:color w:val="auto"/>
                <w:vertAlign w:val="superscript"/>
              </w:rPr>
              <w:t>b</w:t>
            </w:r>
            <w:r w:rsidRPr="005A3C4C">
              <w:rPr>
                <w:color w:val="auto"/>
              </w:rPr>
              <w:t>±0.01</w:t>
            </w:r>
          </w:p>
        </w:tc>
        <w:tc>
          <w:tcPr>
            <w:tcW w:w="715" w:type="pct"/>
          </w:tcPr>
          <w:p w14:paraId="2D8A2134" w14:textId="77777777" w:rsidR="005C5602" w:rsidRPr="005A3C4C" w:rsidRDefault="005C5602" w:rsidP="00B44362">
            <w:pPr>
              <w:jc w:val="both"/>
              <w:rPr>
                <w:color w:val="auto"/>
              </w:rPr>
            </w:pPr>
            <w:r w:rsidRPr="005A3C4C">
              <w:rPr>
                <w:color w:val="auto"/>
              </w:rPr>
              <w:t>0.09</w:t>
            </w:r>
          </w:p>
        </w:tc>
      </w:tr>
      <w:tr w:rsidR="005C5602" w:rsidRPr="005A3C4C" w14:paraId="1C90EA7F" w14:textId="77777777" w:rsidTr="008D0003">
        <w:trPr>
          <w:trHeight w:val="558"/>
        </w:trPr>
        <w:tc>
          <w:tcPr>
            <w:tcW w:w="714" w:type="pct"/>
          </w:tcPr>
          <w:p w14:paraId="5D838C96" w14:textId="77777777" w:rsidR="005C5602" w:rsidRPr="005A3C4C" w:rsidRDefault="005C5602" w:rsidP="00B44362">
            <w:pPr>
              <w:jc w:val="both"/>
              <w:rPr>
                <w:b/>
                <w:color w:val="auto"/>
              </w:rPr>
            </w:pPr>
            <w:r w:rsidRPr="005A3C4C">
              <w:rPr>
                <w:b/>
                <w:color w:val="auto"/>
              </w:rPr>
              <w:t xml:space="preserve">Glycine </w:t>
            </w:r>
          </w:p>
        </w:tc>
        <w:tc>
          <w:tcPr>
            <w:tcW w:w="714" w:type="pct"/>
          </w:tcPr>
          <w:p w14:paraId="1AB53CEC" w14:textId="77777777" w:rsidR="005C5602" w:rsidRPr="005A3C4C" w:rsidRDefault="005C5602" w:rsidP="00B44362">
            <w:pPr>
              <w:jc w:val="both"/>
              <w:rPr>
                <w:color w:val="auto"/>
              </w:rPr>
            </w:pPr>
            <w:r w:rsidRPr="005A3C4C">
              <w:rPr>
                <w:color w:val="auto"/>
              </w:rPr>
              <w:t>1.14</w:t>
            </w:r>
            <w:r w:rsidRPr="005A3C4C">
              <w:rPr>
                <w:color w:val="auto"/>
                <w:vertAlign w:val="superscript"/>
              </w:rPr>
              <w:t>d</w:t>
            </w:r>
            <w:r w:rsidRPr="005A3C4C">
              <w:rPr>
                <w:color w:val="auto"/>
              </w:rPr>
              <w:t>±0.03</w:t>
            </w:r>
          </w:p>
        </w:tc>
        <w:tc>
          <w:tcPr>
            <w:tcW w:w="714" w:type="pct"/>
          </w:tcPr>
          <w:p w14:paraId="35EEE8D3" w14:textId="77777777" w:rsidR="005C5602" w:rsidRPr="005A3C4C" w:rsidRDefault="005C5602" w:rsidP="00B44362">
            <w:pPr>
              <w:jc w:val="both"/>
              <w:rPr>
                <w:color w:val="auto"/>
              </w:rPr>
            </w:pPr>
            <w:r w:rsidRPr="005A3C4C">
              <w:rPr>
                <w:color w:val="auto"/>
              </w:rPr>
              <w:t>2.25</w:t>
            </w:r>
            <w:r w:rsidRPr="005A3C4C">
              <w:rPr>
                <w:color w:val="auto"/>
                <w:vertAlign w:val="superscript"/>
              </w:rPr>
              <w:t>c</w:t>
            </w:r>
            <w:r w:rsidRPr="005A3C4C">
              <w:rPr>
                <w:color w:val="auto"/>
              </w:rPr>
              <w:t>±0.01</w:t>
            </w:r>
          </w:p>
        </w:tc>
        <w:tc>
          <w:tcPr>
            <w:tcW w:w="714" w:type="pct"/>
          </w:tcPr>
          <w:p w14:paraId="2966BE3F" w14:textId="77777777" w:rsidR="005C5602" w:rsidRPr="005A3C4C" w:rsidRDefault="005C5602" w:rsidP="00B44362">
            <w:pPr>
              <w:jc w:val="both"/>
              <w:rPr>
                <w:color w:val="auto"/>
              </w:rPr>
            </w:pPr>
            <w:r w:rsidRPr="005A3C4C">
              <w:rPr>
                <w:color w:val="auto"/>
              </w:rPr>
              <w:t>2.33</w:t>
            </w:r>
            <w:r w:rsidRPr="005A3C4C">
              <w:rPr>
                <w:color w:val="auto"/>
                <w:vertAlign w:val="superscript"/>
              </w:rPr>
              <w:t>b</w:t>
            </w:r>
            <w:r w:rsidRPr="005A3C4C">
              <w:rPr>
                <w:color w:val="auto"/>
              </w:rPr>
              <w:t>±0.01</w:t>
            </w:r>
          </w:p>
        </w:tc>
        <w:tc>
          <w:tcPr>
            <w:tcW w:w="715" w:type="pct"/>
          </w:tcPr>
          <w:p w14:paraId="659D3753" w14:textId="77777777" w:rsidR="005C5602" w:rsidRPr="005A3C4C" w:rsidRDefault="005C5602" w:rsidP="00B44362">
            <w:pPr>
              <w:jc w:val="both"/>
              <w:rPr>
                <w:color w:val="auto"/>
              </w:rPr>
            </w:pPr>
            <w:r w:rsidRPr="005A3C4C">
              <w:rPr>
                <w:color w:val="auto"/>
              </w:rPr>
              <w:t>2.36</w:t>
            </w:r>
            <w:r w:rsidRPr="005A3C4C">
              <w:rPr>
                <w:color w:val="auto"/>
                <w:vertAlign w:val="superscript"/>
              </w:rPr>
              <w:t>b</w:t>
            </w:r>
            <w:r w:rsidRPr="005A3C4C">
              <w:rPr>
                <w:color w:val="auto"/>
              </w:rPr>
              <w:t>±0.01</w:t>
            </w:r>
          </w:p>
        </w:tc>
        <w:tc>
          <w:tcPr>
            <w:tcW w:w="715" w:type="pct"/>
          </w:tcPr>
          <w:p w14:paraId="5B604D15" w14:textId="77777777" w:rsidR="005C5602" w:rsidRPr="005A3C4C" w:rsidRDefault="005C5602" w:rsidP="00B44362">
            <w:pPr>
              <w:jc w:val="both"/>
              <w:rPr>
                <w:color w:val="auto"/>
              </w:rPr>
            </w:pPr>
            <w:r w:rsidRPr="005A3C4C">
              <w:rPr>
                <w:color w:val="auto"/>
              </w:rPr>
              <w:t>2.58</w:t>
            </w:r>
            <w:r w:rsidRPr="005A3C4C">
              <w:rPr>
                <w:color w:val="auto"/>
                <w:vertAlign w:val="superscript"/>
              </w:rPr>
              <w:t>a</w:t>
            </w:r>
            <w:r w:rsidRPr="005A3C4C">
              <w:rPr>
                <w:color w:val="auto"/>
              </w:rPr>
              <w:t>±0.02</w:t>
            </w:r>
          </w:p>
        </w:tc>
        <w:tc>
          <w:tcPr>
            <w:tcW w:w="715" w:type="pct"/>
          </w:tcPr>
          <w:p w14:paraId="187A07FB" w14:textId="77777777" w:rsidR="005C5602" w:rsidRPr="005A3C4C" w:rsidRDefault="005C5602" w:rsidP="00B44362">
            <w:pPr>
              <w:jc w:val="both"/>
              <w:rPr>
                <w:color w:val="auto"/>
              </w:rPr>
            </w:pPr>
            <w:r w:rsidRPr="005A3C4C">
              <w:rPr>
                <w:color w:val="auto"/>
              </w:rPr>
              <w:t>0.00</w:t>
            </w:r>
          </w:p>
        </w:tc>
      </w:tr>
      <w:tr w:rsidR="005C5602" w:rsidRPr="005A3C4C" w14:paraId="01C2EA7B" w14:textId="77777777" w:rsidTr="008D0003">
        <w:trPr>
          <w:trHeight w:val="529"/>
        </w:trPr>
        <w:tc>
          <w:tcPr>
            <w:tcW w:w="714" w:type="pct"/>
          </w:tcPr>
          <w:p w14:paraId="7E80DA75" w14:textId="77777777" w:rsidR="005C5602" w:rsidRPr="005A3C4C" w:rsidRDefault="005C5602" w:rsidP="00B44362">
            <w:pPr>
              <w:jc w:val="both"/>
              <w:rPr>
                <w:b/>
                <w:color w:val="auto"/>
              </w:rPr>
            </w:pPr>
            <w:r w:rsidRPr="005A3C4C">
              <w:rPr>
                <w:b/>
                <w:color w:val="auto"/>
              </w:rPr>
              <w:t xml:space="preserve">Serine </w:t>
            </w:r>
          </w:p>
        </w:tc>
        <w:tc>
          <w:tcPr>
            <w:tcW w:w="714" w:type="pct"/>
          </w:tcPr>
          <w:p w14:paraId="3049AFEB" w14:textId="77777777" w:rsidR="005C5602" w:rsidRPr="005A3C4C" w:rsidRDefault="005C5602" w:rsidP="00B44362">
            <w:pPr>
              <w:jc w:val="both"/>
              <w:rPr>
                <w:color w:val="auto"/>
              </w:rPr>
            </w:pPr>
            <w:r w:rsidRPr="005A3C4C">
              <w:rPr>
                <w:color w:val="auto"/>
              </w:rPr>
              <w:t>1.24</w:t>
            </w:r>
            <w:r w:rsidRPr="005A3C4C">
              <w:rPr>
                <w:color w:val="auto"/>
                <w:vertAlign w:val="superscript"/>
              </w:rPr>
              <w:t>e</w:t>
            </w:r>
            <w:r w:rsidRPr="005A3C4C">
              <w:rPr>
                <w:color w:val="auto"/>
              </w:rPr>
              <w:t>±0.02</w:t>
            </w:r>
          </w:p>
        </w:tc>
        <w:tc>
          <w:tcPr>
            <w:tcW w:w="714" w:type="pct"/>
          </w:tcPr>
          <w:p w14:paraId="15EE9620" w14:textId="77777777" w:rsidR="005C5602" w:rsidRPr="005A3C4C" w:rsidRDefault="005C5602" w:rsidP="00B44362">
            <w:pPr>
              <w:jc w:val="both"/>
              <w:rPr>
                <w:color w:val="auto"/>
              </w:rPr>
            </w:pPr>
            <w:r w:rsidRPr="005A3C4C">
              <w:rPr>
                <w:color w:val="auto"/>
              </w:rPr>
              <w:t>3.19</w:t>
            </w:r>
            <w:r w:rsidRPr="005A3C4C">
              <w:rPr>
                <w:color w:val="auto"/>
                <w:vertAlign w:val="superscript"/>
              </w:rPr>
              <w:t>d</w:t>
            </w:r>
            <w:r w:rsidRPr="005A3C4C">
              <w:rPr>
                <w:color w:val="auto"/>
              </w:rPr>
              <w:t>±0.02</w:t>
            </w:r>
          </w:p>
        </w:tc>
        <w:tc>
          <w:tcPr>
            <w:tcW w:w="714" w:type="pct"/>
          </w:tcPr>
          <w:p w14:paraId="7D021599" w14:textId="77777777" w:rsidR="005C5602" w:rsidRPr="005A3C4C" w:rsidRDefault="005C5602" w:rsidP="00B44362">
            <w:pPr>
              <w:jc w:val="both"/>
              <w:rPr>
                <w:color w:val="auto"/>
              </w:rPr>
            </w:pPr>
            <w:r w:rsidRPr="005A3C4C">
              <w:rPr>
                <w:color w:val="auto"/>
              </w:rPr>
              <w:t>3.36</w:t>
            </w:r>
            <w:r w:rsidRPr="005A3C4C">
              <w:rPr>
                <w:color w:val="auto"/>
                <w:vertAlign w:val="superscript"/>
              </w:rPr>
              <w:t>c</w:t>
            </w:r>
            <w:r w:rsidRPr="005A3C4C">
              <w:rPr>
                <w:color w:val="auto"/>
              </w:rPr>
              <w:t>±0.01</w:t>
            </w:r>
          </w:p>
        </w:tc>
        <w:tc>
          <w:tcPr>
            <w:tcW w:w="715" w:type="pct"/>
          </w:tcPr>
          <w:p w14:paraId="540395D4" w14:textId="77777777" w:rsidR="005C5602" w:rsidRPr="005A3C4C" w:rsidRDefault="005C5602" w:rsidP="00B44362">
            <w:pPr>
              <w:jc w:val="both"/>
              <w:rPr>
                <w:color w:val="auto"/>
              </w:rPr>
            </w:pPr>
            <w:r w:rsidRPr="005A3C4C">
              <w:rPr>
                <w:color w:val="auto"/>
              </w:rPr>
              <w:t>3.62</w:t>
            </w:r>
            <w:r w:rsidRPr="005A3C4C">
              <w:rPr>
                <w:color w:val="auto"/>
                <w:vertAlign w:val="superscript"/>
              </w:rPr>
              <w:t>b</w:t>
            </w:r>
            <w:r w:rsidRPr="005A3C4C">
              <w:rPr>
                <w:color w:val="auto"/>
              </w:rPr>
              <w:t>±0.02</w:t>
            </w:r>
          </w:p>
        </w:tc>
        <w:tc>
          <w:tcPr>
            <w:tcW w:w="715" w:type="pct"/>
          </w:tcPr>
          <w:p w14:paraId="2897BA9D" w14:textId="77777777" w:rsidR="005C5602" w:rsidRPr="005A3C4C" w:rsidRDefault="005C5602" w:rsidP="00B44362">
            <w:pPr>
              <w:jc w:val="both"/>
              <w:rPr>
                <w:color w:val="auto"/>
              </w:rPr>
            </w:pPr>
            <w:r w:rsidRPr="005A3C4C">
              <w:rPr>
                <w:color w:val="auto"/>
              </w:rPr>
              <w:t>3.84</w:t>
            </w:r>
            <w:r w:rsidRPr="005A3C4C">
              <w:rPr>
                <w:color w:val="auto"/>
                <w:vertAlign w:val="superscript"/>
              </w:rPr>
              <w:t>a</w:t>
            </w:r>
            <w:r w:rsidRPr="005A3C4C">
              <w:rPr>
                <w:color w:val="auto"/>
              </w:rPr>
              <w:t>±0.03</w:t>
            </w:r>
          </w:p>
        </w:tc>
        <w:tc>
          <w:tcPr>
            <w:tcW w:w="715" w:type="pct"/>
          </w:tcPr>
          <w:p w14:paraId="5FDECF48" w14:textId="77777777" w:rsidR="005C5602" w:rsidRPr="005A3C4C" w:rsidRDefault="005C5602" w:rsidP="00B44362">
            <w:pPr>
              <w:jc w:val="both"/>
              <w:rPr>
                <w:color w:val="auto"/>
              </w:rPr>
            </w:pPr>
            <w:r w:rsidRPr="005A3C4C">
              <w:rPr>
                <w:color w:val="auto"/>
              </w:rPr>
              <w:t>0.00</w:t>
            </w:r>
          </w:p>
        </w:tc>
      </w:tr>
      <w:tr w:rsidR="005C5602" w:rsidRPr="005A3C4C" w14:paraId="02CB6DD0" w14:textId="77777777" w:rsidTr="008D0003">
        <w:trPr>
          <w:trHeight w:val="529"/>
        </w:trPr>
        <w:tc>
          <w:tcPr>
            <w:tcW w:w="714" w:type="pct"/>
          </w:tcPr>
          <w:p w14:paraId="2DAA24AF" w14:textId="77777777" w:rsidR="005C5602" w:rsidRPr="005A3C4C" w:rsidRDefault="005C5602" w:rsidP="00B44362">
            <w:pPr>
              <w:jc w:val="both"/>
              <w:rPr>
                <w:b/>
                <w:color w:val="auto"/>
              </w:rPr>
            </w:pPr>
            <w:r w:rsidRPr="005A3C4C">
              <w:rPr>
                <w:b/>
                <w:color w:val="auto"/>
              </w:rPr>
              <w:lastRenderedPageBreak/>
              <w:t>Aspartate</w:t>
            </w:r>
          </w:p>
        </w:tc>
        <w:tc>
          <w:tcPr>
            <w:tcW w:w="714" w:type="pct"/>
          </w:tcPr>
          <w:p w14:paraId="734E29A9" w14:textId="77777777" w:rsidR="005C5602" w:rsidRPr="005A3C4C" w:rsidRDefault="005C5602" w:rsidP="00B44362">
            <w:pPr>
              <w:jc w:val="both"/>
              <w:rPr>
                <w:color w:val="auto"/>
              </w:rPr>
            </w:pPr>
            <w:r w:rsidRPr="005A3C4C">
              <w:rPr>
                <w:color w:val="auto"/>
              </w:rPr>
              <w:t>3.56</w:t>
            </w:r>
            <w:r w:rsidRPr="005A3C4C">
              <w:rPr>
                <w:color w:val="auto"/>
                <w:vertAlign w:val="superscript"/>
              </w:rPr>
              <w:t>d</w:t>
            </w:r>
            <w:r w:rsidRPr="005A3C4C">
              <w:rPr>
                <w:color w:val="auto"/>
              </w:rPr>
              <w:t>±0.03</w:t>
            </w:r>
          </w:p>
        </w:tc>
        <w:tc>
          <w:tcPr>
            <w:tcW w:w="714" w:type="pct"/>
          </w:tcPr>
          <w:p w14:paraId="18A1324E" w14:textId="77777777" w:rsidR="005C5602" w:rsidRPr="005A3C4C" w:rsidRDefault="005C5602" w:rsidP="00B44362">
            <w:pPr>
              <w:jc w:val="both"/>
              <w:rPr>
                <w:color w:val="auto"/>
              </w:rPr>
            </w:pPr>
            <w:r w:rsidRPr="005A3C4C">
              <w:rPr>
                <w:color w:val="auto"/>
              </w:rPr>
              <w:t>6.05</w:t>
            </w:r>
            <w:r w:rsidRPr="005A3C4C">
              <w:rPr>
                <w:color w:val="auto"/>
                <w:vertAlign w:val="superscript"/>
              </w:rPr>
              <w:t>c</w:t>
            </w:r>
            <w:r w:rsidRPr="005A3C4C">
              <w:rPr>
                <w:color w:val="auto"/>
              </w:rPr>
              <w:t>±0.06</w:t>
            </w:r>
          </w:p>
        </w:tc>
        <w:tc>
          <w:tcPr>
            <w:tcW w:w="714" w:type="pct"/>
          </w:tcPr>
          <w:p w14:paraId="7B13A230" w14:textId="77777777" w:rsidR="005C5602" w:rsidRPr="005A3C4C" w:rsidRDefault="005C5602" w:rsidP="00B44362">
            <w:pPr>
              <w:jc w:val="both"/>
              <w:rPr>
                <w:color w:val="auto"/>
              </w:rPr>
            </w:pPr>
            <w:r w:rsidRPr="005A3C4C">
              <w:rPr>
                <w:color w:val="auto"/>
              </w:rPr>
              <w:t>6.63</w:t>
            </w:r>
            <w:r w:rsidRPr="005A3C4C">
              <w:rPr>
                <w:color w:val="auto"/>
                <w:vertAlign w:val="superscript"/>
              </w:rPr>
              <w:t>b</w:t>
            </w:r>
            <w:r w:rsidRPr="005A3C4C">
              <w:rPr>
                <w:color w:val="auto"/>
              </w:rPr>
              <w:t>±0.02</w:t>
            </w:r>
          </w:p>
        </w:tc>
        <w:tc>
          <w:tcPr>
            <w:tcW w:w="715" w:type="pct"/>
          </w:tcPr>
          <w:p w14:paraId="3B42130F" w14:textId="77777777" w:rsidR="005C5602" w:rsidRPr="005A3C4C" w:rsidRDefault="005C5602" w:rsidP="00B44362">
            <w:pPr>
              <w:jc w:val="both"/>
              <w:rPr>
                <w:color w:val="auto"/>
              </w:rPr>
            </w:pPr>
            <w:r w:rsidRPr="005A3C4C">
              <w:rPr>
                <w:color w:val="auto"/>
              </w:rPr>
              <w:t>7.17</w:t>
            </w:r>
            <w:r w:rsidRPr="005A3C4C">
              <w:rPr>
                <w:color w:val="auto"/>
                <w:vertAlign w:val="superscript"/>
              </w:rPr>
              <w:t>a</w:t>
            </w:r>
            <w:r w:rsidRPr="005A3C4C">
              <w:rPr>
                <w:color w:val="auto"/>
              </w:rPr>
              <w:t>±0.01</w:t>
            </w:r>
          </w:p>
        </w:tc>
        <w:tc>
          <w:tcPr>
            <w:tcW w:w="715" w:type="pct"/>
          </w:tcPr>
          <w:p w14:paraId="70E1F798" w14:textId="77777777" w:rsidR="005C5602" w:rsidRPr="005A3C4C" w:rsidRDefault="005C5602" w:rsidP="00B44362">
            <w:pPr>
              <w:jc w:val="both"/>
              <w:rPr>
                <w:color w:val="auto"/>
              </w:rPr>
            </w:pPr>
            <w:r w:rsidRPr="005A3C4C">
              <w:rPr>
                <w:color w:val="auto"/>
              </w:rPr>
              <w:t>6.65</w:t>
            </w:r>
            <w:r w:rsidRPr="005A3C4C">
              <w:rPr>
                <w:color w:val="auto"/>
                <w:vertAlign w:val="superscript"/>
              </w:rPr>
              <w:t>b</w:t>
            </w:r>
            <w:r w:rsidRPr="005A3C4C">
              <w:rPr>
                <w:color w:val="auto"/>
              </w:rPr>
              <w:t>±0.02</w:t>
            </w:r>
          </w:p>
        </w:tc>
        <w:tc>
          <w:tcPr>
            <w:tcW w:w="715" w:type="pct"/>
          </w:tcPr>
          <w:p w14:paraId="27E4778F" w14:textId="77777777" w:rsidR="005C5602" w:rsidRPr="005A3C4C" w:rsidRDefault="005C5602" w:rsidP="00B44362">
            <w:pPr>
              <w:jc w:val="both"/>
              <w:rPr>
                <w:color w:val="auto"/>
              </w:rPr>
            </w:pPr>
            <w:r w:rsidRPr="005A3C4C">
              <w:rPr>
                <w:color w:val="auto"/>
              </w:rPr>
              <w:t>0.04</w:t>
            </w:r>
          </w:p>
        </w:tc>
      </w:tr>
      <w:tr w:rsidR="005C5602" w:rsidRPr="005A3C4C" w14:paraId="01A35A5A" w14:textId="77777777" w:rsidTr="008D0003">
        <w:trPr>
          <w:trHeight w:val="529"/>
        </w:trPr>
        <w:tc>
          <w:tcPr>
            <w:tcW w:w="714" w:type="pct"/>
          </w:tcPr>
          <w:p w14:paraId="51407544" w14:textId="77777777" w:rsidR="005C5602" w:rsidRPr="005A3C4C" w:rsidRDefault="005C5602" w:rsidP="00B44362">
            <w:pPr>
              <w:jc w:val="both"/>
              <w:rPr>
                <w:b/>
                <w:color w:val="auto"/>
              </w:rPr>
            </w:pPr>
            <w:r w:rsidRPr="005A3C4C">
              <w:rPr>
                <w:b/>
                <w:color w:val="auto"/>
              </w:rPr>
              <w:t>TNEAA</w:t>
            </w:r>
          </w:p>
        </w:tc>
        <w:tc>
          <w:tcPr>
            <w:tcW w:w="714" w:type="pct"/>
          </w:tcPr>
          <w:p w14:paraId="30DF8E18" w14:textId="77777777" w:rsidR="005C5602" w:rsidRPr="005A3C4C" w:rsidRDefault="005C5602" w:rsidP="00B44362">
            <w:pPr>
              <w:jc w:val="both"/>
              <w:rPr>
                <w:color w:val="auto"/>
              </w:rPr>
            </w:pPr>
            <w:r w:rsidRPr="005A3C4C">
              <w:rPr>
                <w:color w:val="auto"/>
              </w:rPr>
              <w:t>30.21</w:t>
            </w:r>
          </w:p>
        </w:tc>
        <w:tc>
          <w:tcPr>
            <w:tcW w:w="714" w:type="pct"/>
          </w:tcPr>
          <w:p w14:paraId="0B5AF7C7" w14:textId="77777777" w:rsidR="005C5602" w:rsidRPr="005A3C4C" w:rsidRDefault="005C5602" w:rsidP="00B44362">
            <w:pPr>
              <w:jc w:val="both"/>
              <w:rPr>
                <w:color w:val="auto"/>
              </w:rPr>
            </w:pPr>
            <w:r w:rsidRPr="005A3C4C">
              <w:rPr>
                <w:color w:val="auto"/>
              </w:rPr>
              <w:t>41.35</w:t>
            </w:r>
          </w:p>
        </w:tc>
        <w:tc>
          <w:tcPr>
            <w:tcW w:w="714" w:type="pct"/>
          </w:tcPr>
          <w:p w14:paraId="3BE04497" w14:textId="77777777" w:rsidR="005C5602" w:rsidRPr="005A3C4C" w:rsidRDefault="005C5602" w:rsidP="00B44362">
            <w:pPr>
              <w:jc w:val="both"/>
              <w:rPr>
                <w:color w:val="auto"/>
              </w:rPr>
            </w:pPr>
            <w:r w:rsidRPr="005A3C4C">
              <w:rPr>
                <w:color w:val="auto"/>
              </w:rPr>
              <w:t>41.3</w:t>
            </w:r>
          </w:p>
        </w:tc>
        <w:tc>
          <w:tcPr>
            <w:tcW w:w="715" w:type="pct"/>
          </w:tcPr>
          <w:p w14:paraId="25B430A5" w14:textId="77777777" w:rsidR="005C5602" w:rsidRPr="005A3C4C" w:rsidRDefault="005C5602" w:rsidP="00B44362">
            <w:pPr>
              <w:jc w:val="both"/>
              <w:rPr>
                <w:color w:val="auto"/>
              </w:rPr>
            </w:pPr>
            <w:r w:rsidRPr="005A3C4C">
              <w:rPr>
                <w:color w:val="auto"/>
              </w:rPr>
              <w:t>41.65</w:t>
            </w:r>
          </w:p>
        </w:tc>
        <w:tc>
          <w:tcPr>
            <w:tcW w:w="715" w:type="pct"/>
          </w:tcPr>
          <w:p w14:paraId="0CBAF0FA" w14:textId="77777777" w:rsidR="005C5602" w:rsidRPr="005A3C4C" w:rsidRDefault="005C5602" w:rsidP="00B44362">
            <w:pPr>
              <w:jc w:val="both"/>
              <w:rPr>
                <w:color w:val="auto"/>
              </w:rPr>
            </w:pPr>
            <w:r w:rsidRPr="005A3C4C">
              <w:rPr>
                <w:color w:val="auto"/>
              </w:rPr>
              <w:t>41.35</w:t>
            </w:r>
          </w:p>
        </w:tc>
        <w:tc>
          <w:tcPr>
            <w:tcW w:w="715" w:type="pct"/>
          </w:tcPr>
          <w:p w14:paraId="7ABB61C9" w14:textId="77777777" w:rsidR="005C5602" w:rsidRPr="005A3C4C" w:rsidRDefault="005C5602" w:rsidP="00B44362">
            <w:pPr>
              <w:jc w:val="both"/>
              <w:rPr>
                <w:color w:val="auto"/>
              </w:rPr>
            </w:pPr>
          </w:p>
        </w:tc>
      </w:tr>
    </w:tbl>
    <w:p w14:paraId="76443E24" w14:textId="61654B2C" w:rsidR="005A0AFA" w:rsidRPr="003F696F" w:rsidRDefault="00AA00F6"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ComF2- 90% Orange Fleshed sweet potatoes flour, 5% Soybean flour, 5% Almond seed flour: ComF3- 80%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15% Soybean flour, 5% Almond seed flour, ComF4- 70% Orange Fleshed sweet potatoes flour, 25% Soybean flour, 5% Almond seed flour, ComF5- Reference sample, LSD- Least Significant Difference, TNEAA- Total Non-Essential Amino Acids. Values represent mean ± SD of triplicate determinations. </w:t>
      </w:r>
      <w:r w:rsidR="00A77086">
        <w:rPr>
          <w:rFonts w:ascii="Times New Roman" w:eastAsia="Times New Roman" w:hAnsi="Times New Roman" w:cs="Times New Roman"/>
          <w:sz w:val="24"/>
          <w:szCs w:val="24"/>
        </w:rPr>
        <w:t>This means</w:t>
      </w:r>
      <w:r w:rsidRPr="005A3C4C">
        <w:rPr>
          <w:rFonts w:ascii="Times New Roman" w:eastAsia="Times New Roman" w:hAnsi="Times New Roman" w:cs="Times New Roman"/>
          <w:sz w:val="24"/>
          <w:szCs w:val="24"/>
        </w:rPr>
        <w:t xml:space="preserve"> </w:t>
      </w:r>
      <w:r w:rsidR="00A77086">
        <w:rPr>
          <w:rFonts w:ascii="Times New Roman" w:eastAsia="Times New Roman" w:hAnsi="Times New Roman" w:cs="Times New Roman"/>
          <w:sz w:val="24"/>
          <w:szCs w:val="24"/>
        </w:rPr>
        <w:t>that</w:t>
      </w:r>
      <w:r w:rsidRPr="005A3C4C">
        <w:rPr>
          <w:rFonts w:ascii="Times New Roman" w:eastAsia="Times New Roman" w:hAnsi="Times New Roman" w:cs="Times New Roman"/>
          <w:sz w:val="24"/>
          <w:szCs w:val="24"/>
        </w:rPr>
        <w:t xml:space="preserve"> the same row with different superscripts </w:t>
      </w:r>
      <w:r w:rsidR="00A77086">
        <w:rPr>
          <w:rFonts w:ascii="Times New Roman" w:eastAsia="Times New Roman" w:hAnsi="Times New Roman" w:cs="Times New Roman"/>
          <w:sz w:val="24"/>
          <w:szCs w:val="24"/>
        </w:rPr>
        <w:t>is</w:t>
      </w:r>
      <w:r w:rsidRPr="005A3C4C">
        <w:rPr>
          <w:rFonts w:ascii="Times New Roman" w:eastAsia="Times New Roman" w:hAnsi="Times New Roman" w:cs="Times New Roman"/>
          <w:sz w:val="24"/>
          <w:szCs w:val="24"/>
        </w:rPr>
        <w:t xml:space="preserve"> significantly </w:t>
      </w:r>
      <w:r w:rsidR="00A77086">
        <w:rPr>
          <w:rFonts w:ascii="Times New Roman" w:eastAsia="Times New Roman" w:hAnsi="Times New Roman" w:cs="Times New Roman"/>
          <w:sz w:val="24"/>
          <w:szCs w:val="24"/>
        </w:rPr>
        <w:t>different</w:t>
      </w:r>
      <w:r w:rsidR="00C47343" w:rsidRPr="005A3C4C">
        <w:rPr>
          <w:rFonts w:ascii="Times New Roman" w:eastAsia="Times New Roman" w:hAnsi="Times New Roman" w:cs="Times New Roman"/>
          <w:sz w:val="24"/>
          <w:szCs w:val="24"/>
        </w:rPr>
        <w:t>.</w:t>
      </w:r>
    </w:p>
    <w:p w14:paraId="711A4A3B" w14:textId="2834378F" w:rsidR="00C47343" w:rsidRPr="005A3C4C" w:rsidRDefault="00C47343" w:rsidP="00B44362">
      <w:pPr>
        <w:spacing w:after="0" w:line="240" w:lineRule="auto"/>
        <w:jc w:val="both"/>
        <w:rPr>
          <w:rFonts w:ascii="Times New Roman" w:hAnsi="Times New Roman" w:cs="Times New Roman"/>
          <w:b/>
          <w:sz w:val="24"/>
          <w:szCs w:val="24"/>
        </w:rPr>
      </w:pPr>
      <w:r w:rsidRPr="005A3C4C">
        <w:rPr>
          <w:rFonts w:ascii="Times New Roman" w:hAnsi="Times New Roman" w:cs="Times New Roman"/>
          <w:b/>
          <w:sz w:val="24"/>
          <w:szCs w:val="24"/>
        </w:rPr>
        <w:t>Anti-nutrient composition of the complementary food</w:t>
      </w:r>
    </w:p>
    <w:p w14:paraId="6F6F0709" w14:textId="57DF720A" w:rsidR="00C47343" w:rsidRDefault="00C47343" w:rsidP="00B44362">
      <w:pPr>
        <w:spacing w:after="0"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antinutrients </w:t>
      </w:r>
      <w:r w:rsidR="00714AF7">
        <w:rPr>
          <w:rFonts w:ascii="Times New Roman" w:hAnsi="Times New Roman" w:cs="Times New Roman"/>
          <w:sz w:val="24"/>
          <w:szCs w:val="24"/>
        </w:rPr>
        <w:t>analysed</w:t>
      </w:r>
      <w:r w:rsidRPr="005A3C4C">
        <w:rPr>
          <w:rFonts w:ascii="Times New Roman" w:hAnsi="Times New Roman" w:cs="Times New Roman"/>
          <w:sz w:val="24"/>
          <w:szCs w:val="24"/>
        </w:rPr>
        <w:t xml:space="preserve"> in the samples were alkaloids, phytates, tannins</w:t>
      </w:r>
      <w:r w:rsidR="00A77086">
        <w:rPr>
          <w:rFonts w:ascii="Times New Roman" w:hAnsi="Times New Roman" w:cs="Times New Roman"/>
          <w:sz w:val="24"/>
          <w:szCs w:val="24"/>
        </w:rPr>
        <w:t>,</w:t>
      </w:r>
      <w:r w:rsidRPr="005A3C4C">
        <w:rPr>
          <w:rFonts w:ascii="Times New Roman" w:hAnsi="Times New Roman" w:cs="Times New Roman"/>
          <w:sz w:val="24"/>
          <w:szCs w:val="24"/>
        </w:rPr>
        <w:t xml:space="preserve"> and trypsin inhibitors. Table 4 shows the antinutrient composition of composite flour. The alkaloid content of the complementary food samples ComF1 to ComF5 varied from 0.122% to 0.387%, </w:t>
      </w:r>
      <w:r w:rsidR="00A77086">
        <w:rPr>
          <w:rFonts w:ascii="Times New Roman" w:hAnsi="Times New Roman" w:cs="Times New Roman"/>
          <w:sz w:val="24"/>
          <w:szCs w:val="24"/>
        </w:rPr>
        <w:t xml:space="preserve">the </w:t>
      </w:r>
      <w:r w:rsidRPr="005A3C4C">
        <w:rPr>
          <w:rFonts w:ascii="Times New Roman" w:hAnsi="Times New Roman" w:cs="Times New Roman"/>
          <w:sz w:val="24"/>
          <w:szCs w:val="24"/>
        </w:rPr>
        <w:t>trypsin inhibitor content of the sample varied from 0.003% to 0.399%, the tannin content ranged from 0.036% to 0.308%, the oxalate content varied from 0.0017% to 0.011%.  There was a significant increase (</w:t>
      </w:r>
      <w:r w:rsidRPr="005A3C4C">
        <w:rPr>
          <w:rFonts w:ascii="Times New Roman" w:hAnsi="Times New Roman" w:cs="Times New Roman"/>
          <w:i/>
          <w:sz w:val="24"/>
          <w:szCs w:val="24"/>
        </w:rPr>
        <w:t>p&lt;</w:t>
      </w:r>
      <w:r w:rsidRPr="005A3C4C">
        <w:rPr>
          <w:rFonts w:ascii="Times New Roman" w:hAnsi="Times New Roman" w:cs="Times New Roman"/>
          <w:sz w:val="24"/>
          <w:szCs w:val="24"/>
        </w:rPr>
        <w:t>0.05) in the anti-nutrient content of the samples as substitution with soybean flour increased.</w:t>
      </w:r>
    </w:p>
    <w:p w14:paraId="1E0C80E6" w14:textId="18C4A624" w:rsidR="00375813" w:rsidRPr="005A3C4C" w:rsidRDefault="00375813" w:rsidP="00B44362">
      <w:pPr>
        <w:spacing w:before="280" w:after="280" w:line="240" w:lineRule="auto"/>
        <w:jc w:val="both"/>
        <w:outlineLvl w:val="1"/>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Table 4: Anti-nutrient Composition (%) of the Complementary Food Samples</w:t>
      </w:r>
    </w:p>
    <w:tbl>
      <w:tblPr>
        <w:tblStyle w:val="6"/>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873"/>
        <w:gridCol w:w="1874"/>
        <w:gridCol w:w="2168"/>
        <w:gridCol w:w="1846"/>
        <w:gridCol w:w="1599"/>
      </w:tblGrid>
      <w:tr w:rsidR="00375813" w:rsidRPr="005A3C4C" w14:paraId="51C72DCB" w14:textId="77777777" w:rsidTr="008D0003">
        <w:trPr>
          <w:trHeight w:val="602"/>
        </w:trPr>
        <w:tc>
          <w:tcPr>
            <w:tcW w:w="1001" w:type="pct"/>
            <w:tcBorders>
              <w:top w:val="single" w:sz="4" w:space="0" w:color="000000"/>
              <w:bottom w:val="single" w:sz="4" w:space="0" w:color="000000"/>
            </w:tcBorders>
          </w:tcPr>
          <w:p w14:paraId="60B9B9F1" w14:textId="77777777" w:rsidR="00375813" w:rsidRPr="005A3C4C" w:rsidRDefault="00375813" w:rsidP="00B44362">
            <w:pPr>
              <w:jc w:val="both"/>
              <w:rPr>
                <w:b/>
                <w:color w:val="auto"/>
              </w:rPr>
            </w:pPr>
            <w:r w:rsidRPr="005A3C4C">
              <w:rPr>
                <w:b/>
                <w:color w:val="auto"/>
              </w:rPr>
              <w:t>Sample</w:t>
            </w:r>
          </w:p>
        </w:tc>
        <w:tc>
          <w:tcPr>
            <w:tcW w:w="1001" w:type="pct"/>
            <w:tcBorders>
              <w:top w:val="single" w:sz="4" w:space="0" w:color="000000"/>
              <w:bottom w:val="single" w:sz="4" w:space="0" w:color="000000"/>
            </w:tcBorders>
          </w:tcPr>
          <w:p w14:paraId="501F29D7" w14:textId="77777777" w:rsidR="00375813" w:rsidRPr="005A3C4C" w:rsidRDefault="00375813" w:rsidP="00B44362">
            <w:pPr>
              <w:jc w:val="both"/>
              <w:rPr>
                <w:b/>
                <w:color w:val="auto"/>
              </w:rPr>
            </w:pPr>
            <w:r w:rsidRPr="005A3C4C">
              <w:rPr>
                <w:b/>
                <w:color w:val="auto"/>
              </w:rPr>
              <w:t>Alkaloid</w:t>
            </w:r>
          </w:p>
        </w:tc>
        <w:tc>
          <w:tcPr>
            <w:tcW w:w="1158" w:type="pct"/>
            <w:tcBorders>
              <w:top w:val="single" w:sz="4" w:space="0" w:color="000000"/>
              <w:bottom w:val="single" w:sz="4" w:space="0" w:color="000000"/>
            </w:tcBorders>
          </w:tcPr>
          <w:p w14:paraId="56950E65" w14:textId="77777777" w:rsidR="00375813" w:rsidRPr="005A3C4C" w:rsidRDefault="00375813" w:rsidP="00B44362">
            <w:pPr>
              <w:jc w:val="both"/>
              <w:rPr>
                <w:b/>
                <w:color w:val="auto"/>
              </w:rPr>
            </w:pPr>
            <w:r w:rsidRPr="005A3C4C">
              <w:rPr>
                <w:b/>
                <w:color w:val="auto"/>
              </w:rPr>
              <w:t>Trypsin inhibitor</w:t>
            </w:r>
          </w:p>
        </w:tc>
        <w:tc>
          <w:tcPr>
            <w:tcW w:w="986" w:type="pct"/>
            <w:tcBorders>
              <w:top w:val="single" w:sz="4" w:space="0" w:color="000000"/>
              <w:bottom w:val="single" w:sz="4" w:space="0" w:color="000000"/>
            </w:tcBorders>
          </w:tcPr>
          <w:p w14:paraId="2F562B1C" w14:textId="77777777" w:rsidR="00375813" w:rsidRPr="005A3C4C" w:rsidRDefault="00375813" w:rsidP="00B44362">
            <w:pPr>
              <w:jc w:val="both"/>
              <w:rPr>
                <w:b/>
                <w:color w:val="auto"/>
              </w:rPr>
            </w:pPr>
            <w:r w:rsidRPr="005A3C4C">
              <w:rPr>
                <w:b/>
                <w:color w:val="auto"/>
              </w:rPr>
              <w:t>Tannin</w:t>
            </w:r>
          </w:p>
        </w:tc>
        <w:tc>
          <w:tcPr>
            <w:tcW w:w="855" w:type="pct"/>
            <w:tcBorders>
              <w:top w:val="single" w:sz="4" w:space="0" w:color="000000"/>
              <w:bottom w:val="single" w:sz="4" w:space="0" w:color="000000"/>
            </w:tcBorders>
          </w:tcPr>
          <w:p w14:paraId="17C092A9" w14:textId="77777777" w:rsidR="00375813" w:rsidRPr="005A3C4C" w:rsidRDefault="00375813" w:rsidP="00B44362">
            <w:pPr>
              <w:jc w:val="both"/>
              <w:rPr>
                <w:b/>
                <w:color w:val="auto"/>
              </w:rPr>
            </w:pPr>
            <w:r w:rsidRPr="005A3C4C">
              <w:rPr>
                <w:b/>
                <w:color w:val="auto"/>
              </w:rPr>
              <w:t>Oxalate</w:t>
            </w:r>
          </w:p>
        </w:tc>
      </w:tr>
      <w:tr w:rsidR="00375813" w:rsidRPr="005A3C4C" w14:paraId="731D99A4" w14:textId="77777777" w:rsidTr="008D0003">
        <w:trPr>
          <w:trHeight w:val="861"/>
        </w:trPr>
        <w:tc>
          <w:tcPr>
            <w:tcW w:w="1001" w:type="pct"/>
            <w:tcBorders>
              <w:top w:val="single" w:sz="4" w:space="0" w:color="000000"/>
            </w:tcBorders>
          </w:tcPr>
          <w:p w14:paraId="61349AC3" w14:textId="77777777" w:rsidR="00375813" w:rsidRPr="005A3C4C" w:rsidRDefault="00375813" w:rsidP="00B44362">
            <w:pPr>
              <w:jc w:val="both"/>
              <w:rPr>
                <w:b/>
                <w:color w:val="auto"/>
              </w:rPr>
            </w:pPr>
            <w:r w:rsidRPr="005A3C4C">
              <w:rPr>
                <w:b/>
                <w:color w:val="auto"/>
              </w:rPr>
              <w:t>ComF1</w:t>
            </w:r>
          </w:p>
        </w:tc>
        <w:tc>
          <w:tcPr>
            <w:tcW w:w="1001" w:type="pct"/>
            <w:tcBorders>
              <w:top w:val="single" w:sz="4" w:space="0" w:color="000000"/>
            </w:tcBorders>
          </w:tcPr>
          <w:p w14:paraId="3A2218C3" w14:textId="77777777" w:rsidR="00375813" w:rsidRPr="005A3C4C" w:rsidRDefault="00375813" w:rsidP="00B44362">
            <w:pPr>
              <w:jc w:val="both"/>
              <w:rPr>
                <w:color w:val="auto"/>
              </w:rPr>
            </w:pPr>
            <w:r w:rsidRPr="005A3C4C">
              <w:rPr>
                <w:color w:val="auto"/>
              </w:rPr>
              <w:t>0.122</w:t>
            </w:r>
            <w:r w:rsidRPr="005A3C4C">
              <w:rPr>
                <w:color w:val="auto"/>
                <w:vertAlign w:val="superscript"/>
              </w:rPr>
              <w:t>d</w:t>
            </w:r>
            <w:r w:rsidRPr="005A3C4C">
              <w:rPr>
                <w:color w:val="auto"/>
              </w:rPr>
              <w:t>±0.011</w:t>
            </w:r>
          </w:p>
        </w:tc>
        <w:tc>
          <w:tcPr>
            <w:tcW w:w="1158" w:type="pct"/>
            <w:tcBorders>
              <w:top w:val="single" w:sz="4" w:space="0" w:color="000000"/>
            </w:tcBorders>
          </w:tcPr>
          <w:p w14:paraId="491CB639" w14:textId="77777777" w:rsidR="00375813" w:rsidRPr="005A3C4C" w:rsidRDefault="00375813" w:rsidP="00B44362">
            <w:pPr>
              <w:jc w:val="both"/>
              <w:rPr>
                <w:color w:val="auto"/>
              </w:rPr>
            </w:pPr>
            <w:r w:rsidRPr="005A3C4C">
              <w:rPr>
                <w:color w:val="auto"/>
              </w:rPr>
              <w:t>0.003</w:t>
            </w:r>
            <w:r w:rsidRPr="005A3C4C">
              <w:rPr>
                <w:color w:val="auto"/>
                <w:vertAlign w:val="superscript"/>
              </w:rPr>
              <w:t>c</w:t>
            </w:r>
            <w:r w:rsidRPr="005A3C4C">
              <w:rPr>
                <w:color w:val="auto"/>
              </w:rPr>
              <w:t>±0.002</w:t>
            </w:r>
          </w:p>
        </w:tc>
        <w:tc>
          <w:tcPr>
            <w:tcW w:w="986" w:type="pct"/>
            <w:tcBorders>
              <w:top w:val="single" w:sz="4" w:space="0" w:color="000000"/>
            </w:tcBorders>
          </w:tcPr>
          <w:p w14:paraId="6D878A30" w14:textId="77777777" w:rsidR="00375813" w:rsidRPr="005A3C4C" w:rsidRDefault="00375813" w:rsidP="00B44362">
            <w:pPr>
              <w:jc w:val="both"/>
              <w:rPr>
                <w:color w:val="auto"/>
              </w:rPr>
            </w:pPr>
            <w:r w:rsidRPr="005A3C4C">
              <w:rPr>
                <w:color w:val="auto"/>
              </w:rPr>
              <w:t>0.036</w:t>
            </w:r>
            <w:r w:rsidRPr="005A3C4C">
              <w:rPr>
                <w:color w:val="auto"/>
                <w:vertAlign w:val="superscript"/>
              </w:rPr>
              <w:t>b</w:t>
            </w:r>
            <w:r w:rsidRPr="005A3C4C">
              <w:rPr>
                <w:color w:val="auto"/>
              </w:rPr>
              <w:t>±0.002</w:t>
            </w:r>
          </w:p>
        </w:tc>
        <w:tc>
          <w:tcPr>
            <w:tcW w:w="855" w:type="pct"/>
            <w:tcBorders>
              <w:top w:val="single" w:sz="4" w:space="0" w:color="000000"/>
            </w:tcBorders>
          </w:tcPr>
          <w:p w14:paraId="03CD3958" w14:textId="77777777" w:rsidR="00375813" w:rsidRPr="005A3C4C" w:rsidRDefault="00375813" w:rsidP="00B44362">
            <w:pPr>
              <w:jc w:val="both"/>
              <w:rPr>
                <w:color w:val="auto"/>
              </w:rPr>
            </w:pPr>
            <w:r w:rsidRPr="005A3C4C">
              <w:rPr>
                <w:color w:val="auto"/>
              </w:rPr>
              <w:t>0.017</w:t>
            </w:r>
            <w:r w:rsidRPr="005A3C4C">
              <w:rPr>
                <w:color w:val="auto"/>
                <w:vertAlign w:val="superscript"/>
              </w:rPr>
              <w:t>d</w:t>
            </w:r>
            <w:r w:rsidRPr="005A3C4C">
              <w:rPr>
                <w:color w:val="auto"/>
              </w:rPr>
              <w:t>±0.004</w:t>
            </w:r>
          </w:p>
        </w:tc>
      </w:tr>
      <w:tr w:rsidR="00375813" w:rsidRPr="005A3C4C" w14:paraId="1BE8105F" w14:textId="77777777" w:rsidTr="008D0003">
        <w:trPr>
          <w:trHeight w:val="861"/>
        </w:trPr>
        <w:tc>
          <w:tcPr>
            <w:tcW w:w="1001" w:type="pct"/>
          </w:tcPr>
          <w:p w14:paraId="519C1D04" w14:textId="77777777" w:rsidR="00375813" w:rsidRPr="005A3C4C" w:rsidRDefault="00375813" w:rsidP="00B44362">
            <w:pPr>
              <w:jc w:val="both"/>
              <w:rPr>
                <w:b/>
                <w:color w:val="auto"/>
              </w:rPr>
            </w:pPr>
            <w:r w:rsidRPr="005A3C4C">
              <w:rPr>
                <w:b/>
                <w:color w:val="auto"/>
              </w:rPr>
              <w:t>ComF2</w:t>
            </w:r>
          </w:p>
        </w:tc>
        <w:tc>
          <w:tcPr>
            <w:tcW w:w="1001" w:type="pct"/>
          </w:tcPr>
          <w:p w14:paraId="6D1206C8" w14:textId="77777777" w:rsidR="00375813" w:rsidRPr="005A3C4C" w:rsidRDefault="00375813" w:rsidP="00B44362">
            <w:pPr>
              <w:jc w:val="both"/>
              <w:rPr>
                <w:color w:val="auto"/>
              </w:rPr>
            </w:pPr>
            <w:r w:rsidRPr="005A3C4C">
              <w:rPr>
                <w:color w:val="auto"/>
              </w:rPr>
              <w:t>0.411</w:t>
            </w:r>
            <w:r w:rsidRPr="005A3C4C">
              <w:rPr>
                <w:color w:val="auto"/>
                <w:vertAlign w:val="superscript"/>
              </w:rPr>
              <w:t>c</w:t>
            </w:r>
            <w:r w:rsidRPr="005A3C4C">
              <w:rPr>
                <w:color w:val="auto"/>
              </w:rPr>
              <w:t>±0.057</w:t>
            </w:r>
          </w:p>
        </w:tc>
        <w:tc>
          <w:tcPr>
            <w:tcW w:w="1158" w:type="pct"/>
          </w:tcPr>
          <w:p w14:paraId="679B08CF" w14:textId="77777777" w:rsidR="00375813" w:rsidRPr="005A3C4C" w:rsidRDefault="00375813" w:rsidP="00B44362">
            <w:pPr>
              <w:jc w:val="both"/>
              <w:rPr>
                <w:color w:val="auto"/>
              </w:rPr>
            </w:pPr>
            <w:r w:rsidRPr="005A3C4C">
              <w:rPr>
                <w:color w:val="auto"/>
              </w:rPr>
              <w:t>0.036</w:t>
            </w:r>
            <w:r w:rsidRPr="005A3C4C">
              <w:rPr>
                <w:color w:val="auto"/>
                <w:vertAlign w:val="superscript"/>
              </w:rPr>
              <w:t>c</w:t>
            </w:r>
            <w:r w:rsidRPr="005A3C4C">
              <w:rPr>
                <w:color w:val="auto"/>
              </w:rPr>
              <w:t>±0.001</w:t>
            </w:r>
          </w:p>
        </w:tc>
        <w:tc>
          <w:tcPr>
            <w:tcW w:w="986" w:type="pct"/>
          </w:tcPr>
          <w:p w14:paraId="41ADEB9A" w14:textId="77777777" w:rsidR="00375813" w:rsidRPr="005A3C4C" w:rsidRDefault="00375813" w:rsidP="00B44362">
            <w:pPr>
              <w:jc w:val="both"/>
              <w:rPr>
                <w:color w:val="auto"/>
              </w:rPr>
            </w:pPr>
            <w:r w:rsidRPr="005A3C4C">
              <w:rPr>
                <w:color w:val="auto"/>
              </w:rPr>
              <w:t>0.045</w:t>
            </w:r>
            <w:r w:rsidRPr="005A3C4C">
              <w:rPr>
                <w:color w:val="auto"/>
                <w:vertAlign w:val="superscript"/>
              </w:rPr>
              <w:t>b</w:t>
            </w:r>
            <w:r w:rsidRPr="005A3C4C">
              <w:rPr>
                <w:color w:val="auto"/>
              </w:rPr>
              <w:t>±0.002</w:t>
            </w:r>
          </w:p>
        </w:tc>
        <w:tc>
          <w:tcPr>
            <w:tcW w:w="855" w:type="pct"/>
          </w:tcPr>
          <w:p w14:paraId="48345D32" w14:textId="77777777" w:rsidR="00375813" w:rsidRPr="005A3C4C" w:rsidRDefault="00375813" w:rsidP="00B44362">
            <w:pPr>
              <w:jc w:val="both"/>
              <w:rPr>
                <w:color w:val="auto"/>
              </w:rPr>
            </w:pPr>
            <w:r w:rsidRPr="005A3C4C">
              <w:rPr>
                <w:color w:val="auto"/>
              </w:rPr>
              <w:t>0.023</w:t>
            </w:r>
            <w:r w:rsidRPr="005A3C4C">
              <w:rPr>
                <w:color w:val="auto"/>
                <w:vertAlign w:val="superscript"/>
              </w:rPr>
              <w:t>c</w:t>
            </w:r>
            <w:r w:rsidRPr="005A3C4C">
              <w:rPr>
                <w:color w:val="auto"/>
              </w:rPr>
              <w:t>±0.000</w:t>
            </w:r>
          </w:p>
        </w:tc>
      </w:tr>
      <w:tr w:rsidR="00375813" w:rsidRPr="005A3C4C" w14:paraId="35D56F0E" w14:textId="77777777" w:rsidTr="008D0003">
        <w:trPr>
          <w:trHeight w:val="904"/>
        </w:trPr>
        <w:tc>
          <w:tcPr>
            <w:tcW w:w="1001" w:type="pct"/>
          </w:tcPr>
          <w:p w14:paraId="30C8D1BF" w14:textId="77777777" w:rsidR="00375813" w:rsidRPr="005A3C4C" w:rsidRDefault="00375813" w:rsidP="00B44362">
            <w:pPr>
              <w:jc w:val="both"/>
              <w:rPr>
                <w:b/>
                <w:color w:val="auto"/>
              </w:rPr>
            </w:pPr>
            <w:r w:rsidRPr="005A3C4C">
              <w:rPr>
                <w:b/>
                <w:color w:val="auto"/>
              </w:rPr>
              <w:t>ComF3</w:t>
            </w:r>
          </w:p>
        </w:tc>
        <w:tc>
          <w:tcPr>
            <w:tcW w:w="1001" w:type="pct"/>
          </w:tcPr>
          <w:p w14:paraId="23235FEF" w14:textId="77777777" w:rsidR="00375813" w:rsidRPr="005A3C4C" w:rsidRDefault="00375813" w:rsidP="00B44362">
            <w:pPr>
              <w:jc w:val="both"/>
              <w:rPr>
                <w:color w:val="auto"/>
              </w:rPr>
            </w:pPr>
            <w:r w:rsidRPr="005A3C4C">
              <w:rPr>
                <w:color w:val="auto"/>
              </w:rPr>
              <w:t>0.642</w:t>
            </w:r>
            <w:r w:rsidRPr="005A3C4C">
              <w:rPr>
                <w:color w:val="auto"/>
                <w:vertAlign w:val="superscript"/>
              </w:rPr>
              <w:t>b</w:t>
            </w:r>
            <w:r w:rsidRPr="005A3C4C">
              <w:rPr>
                <w:color w:val="auto"/>
              </w:rPr>
              <w:t>±0.037</w:t>
            </w:r>
          </w:p>
        </w:tc>
        <w:tc>
          <w:tcPr>
            <w:tcW w:w="1158" w:type="pct"/>
          </w:tcPr>
          <w:p w14:paraId="1F241B9C" w14:textId="77777777" w:rsidR="00375813" w:rsidRPr="005A3C4C" w:rsidRDefault="00375813" w:rsidP="00B44362">
            <w:pPr>
              <w:jc w:val="both"/>
              <w:rPr>
                <w:color w:val="auto"/>
              </w:rPr>
            </w:pPr>
            <w:r w:rsidRPr="005A3C4C">
              <w:rPr>
                <w:color w:val="auto"/>
              </w:rPr>
              <w:t>0.394</w:t>
            </w:r>
            <w:r w:rsidRPr="005A3C4C">
              <w:rPr>
                <w:color w:val="auto"/>
                <w:vertAlign w:val="superscript"/>
              </w:rPr>
              <w:t>b</w:t>
            </w:r>
            <w:r w:rsidRPr="005A3C4C">
              <w:rPr>
                <w:color w:val="auto"/>
              </w:rPr>
              <w:t>±0.002</w:t>
            </w:r>
          </w:p>
        </w:tc>
        <w:tc>
          <w:tcPr>
            <w:tcW w:w="986" w:type="pct"/>
          </w:tcPr>
          <w:p w14:paraId="4743E399" w14:textId="77777777" w:rsidR="00375813" w:rsidRPr="005A3C4C" w:rsidRDefault="00375813" w:rsidP="00B44362">
            <w:pPr>
              <w:jc w:val="both"/>
              <w:rPr>
                <w:color w:val="auto"/>
              </w:rPr>
            </w:pPr>
            <w:r w:rsidRPr="005A3C4C">
              <w:rPr>
                <w:color w:val="auto"/>
              </w:rPr>
              <w:t>0.066</w:t>
            </w:r>
            <w:r w:rsidRPr="005A3C4C">
              <w:rPr>
                <w:color w:val="auto"/>
                <w:vertAlign w:val="superscript"/>
              </w:rPr>
              <w:t>b</w:t>
            </w:r>
            <w:r w:rsidRPr="005A3C4C">
              <w:rPr>
                <w:color w:val="auto"/>
              </w:rPr>
              <w:t>±0.002</w:t>
            </w:r>
          </w:p>
        </w:tc>
        <w:tc>
          <w:tcPr>
            <w:tcW w:w="855" w:type="pct"/>
          </w:tcPr>
          <w:p w14:paraId="127F39B4" w14:textId="77777777" w:rsidR="00375813" w:rsidRPr="005A3C4C" w:rsidRDefault="00375813" w:rsidP="00B44362">
            <w:pPr>
              <w:jc w:val="both"/>
              <w:rPr>
                <w:color w:val="auto"/>
              </w:rPr>
            </w:pPr>
            <w:r w:rsidRPr="005A3C4C">
              <w:rPr>
                <w:color w:val="auto"/>
              </w:rPr>
              <w:t>0.029</w:t>
            </w:r>
            <w:r w:rsidRPr="005A3C4C">
              <w:rPr>
                <w:color w:val="auto"/>
                <w:vertAlign w:val="superscript"/>
              </w:rPr>
              <w:t>b</w:t>
            </w:r>
            <w:r w:rsidRPr="005A3C4C">
              <w:rPr>
                <w:color w:val="auto"/>
              </w:rPr>
              <w:t>±0.001</w:t>
            </w:r>
          </w:p>
        </w:tc>
      </w:tr>
      <w:tr w:rsidR="00375813" w:rsidRPr="005A3C4C" w14:paraId="2BCAF20F" w14:textId="77777777" w:rsidTr="008D0003">
        <w:trPr>
          <w:trHeight w:val="861"/>
        </w:trPr>
        <w:tc>
          <w:tcPr>
            <w:tcW w:w="1001" w:type="pct"/>
          </w:tcPr>
          <w:p w14:paraId="58123C8F" w14:textId="77777777" w:rsidR="00375813" w:rsidRPr="005A3C4C" w:rsidRDefault="00375813" w:rsidP="00B44362">
            <w:pPr>
              <w:jc w:val="both"/>
              <w:rPr>
                <w:b/>
                <w:color w:val="auto"/>
              </w:rPr>
            </w:pPr>
            <w:r w:rsidRPr="005A3C4C">
              <w:rPr>
                <w:b/>
                <w:color w:val="auto"/>
              </w:rPr>
              <w:t>ComF4</w:t>
            </w:r>
          </w:p>
        </w:tc>
        <w:tc>
          <w:tcPr>
            <w:tcW w:w="1001" w:type="pct"/>
          </w:tcPr>
          <w:p w14:paraId="4EAA16EF" w14:textId="77777777" w:rsidR="00375813" w:rsidRPr="005A3C4C" w:rsidRDefault="00375813" w:rsidP="00B44362">
            <w:pPr>
              <w:jc w:val="both"/>
              <w:rPr>
                <w:color w:val="auto"/>
              </w:rPr>
            </w:pPr>
            <w:r w:rsidRPr="005A3C4C">
              <w:rPr>
                <w:color w:val="auto"/>
              </w:rPr>
              <w:t>0.961</w:t>
            </w:r>
            <w:r w:rsidRPr="005A3C4C">
              <w:rPr>
                <w:color w:val="auto"/>
                <w:vertAlign w:val="superscript"/>
              </w:rPr>
              <w:t>a</w:t>
            </w:r>
            <w:r w:rsidRPr="005A3C4C">
              <w:rPr>
                <w:color w:val="auto"/>
              </w:rPr>
              <w:t>±0.025</w:t>
            </w:r>
          </w:p>
        </w:tc>
        <w:tc>
          <w:tcPr>
            <w:tcW w:w="1158" w:type="pct"/>
          </w:tcPr>
          <w:p w14:paraId="6E3EB89F" w14:textId="77777777" w:rsidR="00375813" w:rsidRPr="005A3C4C" w:rsidRDefault="00375813" w:rsidP="00B44362">
            <w:pPr>
              <w:jc w:val="both"/>
              <w:rPr>
                <w:color w:val="auto"/>
              </w:rPr>
            </w:pPr>
            <w:r w:rsidRPr="005A3C4C">
              <w:rPr>
                <w:color w:val="auto"/>
              </w:rPr>
              <w:t>0.455</w:t>
            </w:r>
            <w:r w:rsidRPr="005A3C4C">
              <w:rPr>
                <w:color w:val="auto"/>
                <w:vertAlign w:val="superscript"/>
              </w:rPr>
              <w:t>a</w:t>
            </w:r>
            <w:r w:rsidRPr="005A3C4C">
              <w:rPr>
                <w:color w:val="auto"/>
              </w:rPr>
              <w:t>±0.045</w:t>
            </w:r>
          </w:p>
        </w:tc>
        <w:tc>
          <w:tcPr>
            <w:tcW w:w="986" w:type="pct"/>
          </w:tcPr>
          <w:p w14:paraId="773D97E1" w14:textId="77777777" w:rsidR="00375813" w:rsidRPr="005A3C4C" w:rsidRDefault="00375813" w:rsidP="00B44362">
            <w:pPr>
              <w:jc w:val="both"/>
              <w:rPr>
                <w:color w:val="auto"/>
              </w:rPr>
            </w:pPr>
            <w:r w:rsidRPr="005A3C4C">
              <w:rPr>
                <w:color w:val="auto"/>
              </w:rPr>
              <w:t>0.321</w:t>
            </w:r>
            <w:r w:rsidRPr="005A3C4C">
              <w:rPr>
                <w:color w:val="auto"/>
                <w:vertAlign w:val="superscript"/>
              </w:rPr>
              <w:t>a</w:t>
            </w:r>
            <w:r w:rsidRPr="005A3C4C">
              <w:rPr>
                <w:color w:val="auto"/>
              </w:rPr>
              <w:t>±0.022</w:t>
            </w:r>
          </w:p>
        </w:tc>
        <w:tc>
          <w:tcPr>
            <w:tcW w:w="855" w:type="pct"/>
          </w:tcPr>
          <w:p w14:paraId="10F89724" w14:textId="77777777" w:rsidR="00375813" w:rsidRPr="005A3C4C" w:rsidRDefault="00375813" w:rsidP="00B44362">
            <w:pPr>
              <w:jc w:val="both"/>
              <w:rPr>
                <w:color w:val="auto"/>
              </w:rPr>
            </w:pPr>
            <w:r w:rsidRPr="005A3C4C">
              <w:rPr>
                <w:color w:val="auto"/>
              </w:rPr>
              <w:t>0.049</w:t>
            </w:r>
            <w:r w:rsidRPr="005A3C4C">
              <w:rPr>
                <w:color w:val="auto"/>
                <w:vertAlign w:val="superscript"/>
              </w:rPr>
              <w:t>a</w:t>
            </w:r>
            <w:r w:rsidRPr="005A3C4C">
              <w:rPr>
                <w:color w:val="auto"/>
              </w:rPr>
              <w:t>±0.003</w:t>
            </w:r>
          </w:p>
        </w:tc>
      </w:tr>
      <w:tr w:rsidR="00375813" w:rsidRPr="005A3C4C" w14:paraId="6BAF2E05" w14:textId="77777777" w:rsidTr="008D0003">
        <w:trPr>
          <w:trHeight w:val="759"/>
        </w:trPr>
        <w:tc>
          <w:tcPr>
            <w:tcW w:w="1001" w:type="pct"/>
          </w:tcPr>
          <w:p w14:paraId="23B4E2D9" w14:textId="77777777" w:rsidR="00375813" w:rsidRPr="005A3C4C" w:rsidRDefault="00375813" w:rsidP="00B44362">
            <w:pPr>
              <w:jc w:val="both"/>
              <w:rPr>
                <w:b/>
                <w:color w:val="auto"/>
              </w:rPr>
            </w:pPr>
            <w:r w:rsidRPr="005A3C4C">
              <w:rPr>
                <w:b/>
                <w:color w:val="auto"/>
              </w:rPr>
              <w:t>ComF5</w:t>
            </w:r>
          </w:p>
        </w:tc>
        <w:tc>
          <w:tcPr>
            <w:tcW w:w="1001" w:type="pct"/>
          </w:tcPr>
          <w:p w14:paraId="6D6F578D" w14:textId="77777777" w:rsidR="00375813" w:rsidRPr="005A3C4C" w:rsidRDefault="00375813" w:rsidP="00B44362">
            <w:pPr>
              <w:jc w:val="both"/>
              <w:rPr>
                <w:color w:val="auto"/>
              </w:rPr>
            </w:pPr>
            <w:r w:rsidRPr="005A3C4C">
              <w:rPr>
                <w:color w:val="auto"/>
              </w:rPr>
              <w:t>0.387</w:t>
            </w:r>
            <w:r w:rsidRPr="005A3C4C">
              <w:rPr>
                <w:color w:val="auto"/>
                <w:vertAlign w:val="superscript"/>
              </w:rPr>
              <w:t>c</w:t>
            </w:r>
            <w:r w:rsidRPr="005A3C4C">
              <w:rPr>
                <w:color w:val="auto"/>
              </w:rPr>
              <w:t>±0.014</w:t>
            </w:r>
          </w:p>
        </w:tc>
        <w:tc>
          <w:tcPr>
            <w:tcW w:w="1158" w:type="pct"/>
          </w:tcPr>
          <w:p w14:paraId="637EA951" w14:textId="77777777" w:rsidR="00375813" w:rsidRPr="005A3C4C" w:rsidRDefault="00375813" w:rsidP="00B44362">
            <w:pPr>
              <w:jc w:val="both"/>
              <w:rPr>
                <w:color w:val="auto"/>
              </w:rPr>
            </w:pPr>
            <w:r w:rsidRPr="005A3C4C">
              <w:rPr>
                <w:color w:val="auto"/>
              </w:rPr>
              <w:t>0.399</w:t>
            </w:r>
            <w:r w:rsidRPr="005A3C4C">
              <w:rPr>
                <w:color w:val="auto"/>
                <w:vertAlign w:val="superscript"/>
              </w:rPr>
              <w:t>b</w:t>
            </w:r>
            <w:r w:rsidRPr="005A3C4C">
              <w:rPr>
                <w:color w:val="auto"/>
              </w:rPr>
              <w:t>±0.010</w:t>
            </w:r>
          </w:p>
        </w:tc>
        <w:tc>
          <w:tcPr>
            <w:tcW w:w="986" w:type="pct"/>
          </w:tcPr>
          <w:p w14:paraId="0D327440" w14:textId="77777777" w:rsidR="00375813" w:rsidRPr="005A3C4C" w:rsidRDefault="00375813" w:rsidP="00B44362">
            <w:pPr>
              <w:jc w:val="both"/>
              <w:rPr>
                <w:color w:val="auto"/>
              </w:rPr>
            </w:pPr>
            <w:r w:rsidRPr="005A3C4C">
              <w:rPr>
                <w:color w:val="auto"/>
              </w:rPr>
              <w:t>0.308</w:t>
            </w:r>
            <w:r w:rsidRPr="005A3C4C">
              <w:rPr>
                <w:color w:val="auto"/>
                <w:vertAlign w:val="superscript"/>
              </w:rPr>
              <w:t>a</w:t>
            </w:r>
            <w:r w:rsidRPr="005A3C4C">
              <w:rPr>
                <w:color w:val="auto"/>
              </w:rPr>
              <w:t>±0.033</w:t>
            </w:r>
          </w:p>
        </w:tc>
        <w:tc>
          <w:tcPr>
            <w:tcW w:w="855" w:type="pct"/>
          </w:tcPr>
          <w:p w14:paraId="63A27D56" w14:textId="77777777" w:rsidR="00375813" w:rsidRPr="005A3C4C" w:rsidRDefault="00375813" w:rsidP="00B44362">
            <w:pPr>
              <w:jc w:val="both"/>
              <w:rPr>
                <w:b/>
                <w:color w:val="auto"/>
              </w:rPr>
            </w:pPr>
            <w:r w:rsidRPr="005A3C4C">
              <w:rPr>
                <w:color w:val="auto"/>
              </w:rPr>
              <w:t>0.011</w:t>
            </w:r>
            <w:r w:rsidRPr="005A3C4C">
              <w:rPr>
                <w:color w:val="auto"/>
                <w:vertAlign w:val="superscript"/>
              </w:rPr>
              <w:t>e</w:t>
            </w:r>
            <w:r w:rsidRPr="005A3C4C">
              <w:rPr>
                <w:color w:val="auto"/>
              </w:rPr>
              <w:t>±0.000</w:t>
            </w:r>
          </w:p>
        </w:tc>
      </w:tr>
      <w:tr w:rsidR="00375813" w:rsidRPr="005A3C4C" w14:paraId="7A5F77A9" w14:textId="77777777" w:rsidTr="008D0003">
        <w:trPr>
          <w:trHeight w:val="450"/>
        </w:trPr>
        <w:tc>
          <w:tcPr>
            <w:tcW w:w="1001" w:type="pct"/>
          </w:tcPr>
          <w:p w14:paraId="3A857798" w14:textId="77777777" w:rsidR="00375813" w:rsidRPr="005A3C4C" w:rsidRDefault="00375813" w:rsidP="00B44362">
            <w:pPr>
              <w:jc w:val="both"/>
              <w:rPr>
                <w:b/>
                <w:color w:val="auto"/>
              </w:rPr>
            </w:pPr>
            <w:r w:rsidRPr="005A3C4C">
              <w:rPr>
                <w:b/>
                <w:color w:val="auto"/>
              </w:rPr>
              <w:t>LSD</w:t>
            </w:r>
          </w:p>
        </w:tc>
        <w:tc>
          <w:tcPr>
            <w:tcW w:w="1001" w:type="pct"/>
          </w:tcPr>
          <w:p w14:paraId="2D49CCC6" w14:textId="77777777" w:rsidR="00375813" w:rsidRPr="005A3C4C" w:rsidRDefault="00375813" w:rsidP="00B44362">
            <w:pPr>
              <w:jc w:val="both"/>
              <w:rPr>
                <w:color w:val="auto"/>
              </w:rPr>
            </w:pPr>
            <w:r w:rsidRPr="005A3C4C">
              <w:rPr>
                <w:color w:val="auto"/>
              </w:rPr>
              <w:t>0.04</w:t>
            </w:r>
          </w:p>
        </w:tc>
        <w:tc>
          <w:tcPr>
            <w:tcW w:w="1158" w:type="pct"/>
          </w:tcPr>
          <w:p w14:paraId="03419782" w14:textId="77777777" w:rsidR="00375813" w:rsidRPr="005A3C4C" w:rsidRDefault="00375813" w:rsidP="00B44362">
            <w:pPr>
              <w:jc w:val="both"/>
              <w:rPr>
                <w:color w:val="auto"/>
              </w:rPr>
            </w:pPr>
            <w:r w:rsidRPr="005A3C4C">
              <w:rPr>
                <w:color w:val="auto"/>
              </w:rPr>
              <w:t>0.01</w:t>
            </w:r>
          </w:p>
        </w:tc>
        <w:tc>
          <w:tcPr>
            <w:tcW w:w="986" w:type="pct"/>
          </w:tcPr>
          <w:p w14:paraId="065E05F6" w14:textId="77777777" w:rsidR="00375813" w:rsidRPr="005A3C4C" w:rsidRDefault="00375813" w:rsidP="00B44362">
            <w:pPr>
              <w:jc w:val="both"/>
              <w:rPr>
                <w:color w:val="auto"/>
              </w:rPr>
            </w:pPr>
            <w:r w:rsidRPr="005A3C4C">
              <w:rPr>
                <w:color w:val="auto"/>
              </w:rPr>
              <w:t>0.01</w:t>
            </w:r>
          </w:p>
        </w:tc>
        <w:tc>
          <w:tcPr>
            <w:tcW w:w="855" w:type="pct"/>
          </w:tcPr>
          <w:p w14:paraId="60175688" w14:textId="77777777" w:rsidR="00375813" w:rsidRPr="005A3C4C" w:rsidRDefault="00375813" w:rsidP="00B44362">
            <w:pPr>
              <w:jc w:val="both"/>
              <w:rPr>
                <w:color w:val="auto"/>
              </w:rPr>
            </w:pPr>
            <w:r w:rsidRPr="005A3C4C">
              <w:rPr>
                <w:color w:val="auto"/>
              </w:rPr>
              <w:t>0.01</w:t>
            </w:r>
          </w:p>
        </w:tc>
      </w:tr>
    </w:tbl>
    <w:p w14:paraId="0F7E95F6" w14:textId="62A00FB4" w:rsidR="00C101EB" w:rsidRPr="00A77086" w:rsidRDefault="00375813"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ComF2- 90% Orange Fleshed sweet </w:t>
      </w:r>
      <w:r w:rsidR="00A77086">
        <w:rPr>
          <w:rFonts w:ascii="Times New Roman" w:eastAsia="Times New Roman" w:hAnsi="Times New Roman" w:cs="Times New Roman"/>
          <w:sz w:val="24"/>
          <w:szCs w:val="24"/>
        </w:rPr>
        <w:t>potato</w:t>
      </w:r>
      <w:r w:rsidRPr="005A3C4C">
        <w:rPr>
          <w:rFonts w:ascii="Times New Roman" w:eastAsia="Times New Roman" w:hAnsi="Times New Roman" w:cs="Times New Roman"/>
          <w:sz w:val="24"/>
          <w:szCs w:val="24"/>
        </w:rPr>
        <w:t xml:space="preserve"> flour, 5% Soybean flour, 5% Almond seed flour: ComF3- 80% Orange Fleshed sweet potatoes flour, 15% Soybean flour, 5% Almond seed flour, ComF4- 70% Orange Fleshed sweet potatoes flour, 25% Soybean flour, 5% Almond seed flour, ComF5- Reference sample,</w:t>
      </w:r>
      <w:r w:rsidRPr="005A3C4C">
        <w:rPr>
          <w:rFonts w:ascii="Times New Roman" w:eastAsia="Times New Roman" w:hAnsi="Times New Roman" w:cs="Times New Roman"/>
          <w:b/>
          <w:sz w:val="24"/>
          <w:szCs w:val="24"/>
        </w:rPr>
        <w:t xml:space="preserve"> </w:t>
      </w:r>
      <w:r w:rsidRPr="005A3C4C">
        <w:rPr>
          <w:rFonts w:ascii="Times New Roman" w:eastAsia="Times New Roman" w:hAnsi="Times New Roman" w:cs="Times New Roman"/>
          <w:sz w:val="24"/>
          <w:szCs w:val="24"/>
        </w:rPr>
        <w:t xml:space="preserve">LSD- Least </w:t>
      </w:r>
      <w:r w:rsidRPr="005A3C4C">
        <w:rPr>
          <w:rFonts w:ascii="Times New Roman" w:eastAsia="Times New Roman" w:hAnsi="Times New Roman" w:cs="Times New Roman"/>
          <w:sz w:val="24"/>
          <w:szCs w:val="24"/>
        </w:rPr>
        <w:lastRenderedPageBreak/>
        <w:t xml:space="preserve">Significant Difference. Values represent mean ± SD of triplicate determinations. Means in the same column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p>
    <w:p w14:paraId="7F7F586D" w14:textId="77777777" w:rsidR="00C101EB" w:rsidRPr="005A3C4C" w:rsidRDefault="00C101EB" w:rsidP="00B44362">
      <w:pPr>
        <w:pStyle w:val="Heading1"/>
        <w:spacing w:line="240" w:lineRule="auto"/>
        <w:jc w:val="both"/>
        <w:rPr>
          <w:color w:val="auto"/>
        </w:rPr>
      </w:pPr>
      <w:r w:rsidRPr="005A3C4C">
        <w:rPr>
          <w:color w:val="auto"/>
        </w:rPr>
        <w:t xml:space="preserve">Sensory attributes of gruels from the complementary food </w:t>
      </w:r>
    </w:p>
    <w:p w14:paraId="1624EA31" w14:textId="77777777" w:rsidR="00206F45" w:rsidRDefault="00C101EB" w:rsidP="00B44362">
      <w:pPr>
        <w:spacing w:line="240" w:lineRule="auto"/>
        <w:jc w:val="both"/>
        <w:rPr>
          <w:rFonts w:ascii="Times New Roman" w:hAnsi="Times New Roman" w:cs="Times New Roman"/>
          <w:sz w:val="24"/>
          <w:szCs w:val="24"/>
        </w:rPr>
      </w:pPr>
      <w:r w:rsidRPr="005A3C4C">
        <w:rPr>
          <w:rFonts w:ascii="Times New Roman" w:hAnsi="Times New Roman" w:cs="Times New Roman"/>
          <w:b/>
          <w:bCs/>
          <w:sz w:val="24"/>
          <w:szCs w:val="24"/>
        </w:rPr>
        <w:t>Table 5</w:t>
      </w:r>
      <w:r w:rsidRPr="005A3C4C">
        <w:rPr>
          <w:rFonts w:ascii="Times New Roman" w:hAnsi="Times New Roman" w:cs="Times New Roman"/>
          <w:sz w:val="24"/>
          <w:szCs w:val="24"/>
        </w:rPr>
        <w:t xml:space="preserve"> </w:t>
      </w:r>
      <w:r w:rsidR="002C20E1" w:rsidRPr="005A3C4C">
        <w:rPr>
          <w:rFonts w:ascii="Times New Roman" w:hAnsi="Times New Roman" w:cs="Times New Roman"/>
          <w:sz w:val="24"/>
          <w:szCs w:val="24"/>
        </w:rPr>
        <w:t>re</w:t>
      </w:r>
      <w:r w:rsidRPr="005A3C4C">
        <w:rPr>
          <w:rFonts w:ascii="Times New Roman" w:hAnsi="Times New Roman" w:cs="Times New Roman"/>
          <w:sz w:val="24"/>
          <w:szCs w:val="24"/>
        </w:rPr>
        <w:t>presents the sensory attributes of gruels from the complementary food samples such as appearance, aroma, taste, consistency</w:t>
      </w:r>
      <w:r w:rsidR="00A77086">
        <w:rPr>
          <w:rFonts w:ascii="Times New Roman" w:hAnsi="Times New Roman" w:cs="Times New Roman"/>
          <w:sz w:val="24"/>
          <w:szCs w:val="24"/>
        </w:rPr>
        <w:t>,</w:t>
      </w:r>
      <w:r w:rsidRPr="005A3C4C">
        <w:rPr>
          <w:rFonts w:ascii="Times New Roman" w:hAnsi="Times New Roman" w:cs="Times New Roman"/>
          <w:sz w:val="24"/>
          <w:szCs w:val="24"/>
        </w:rPr>
        <w:t xml:space="preserve"> and overall acceptability</w:t>
      </w:r>
      <w:r w:rsidR="002C20E1" w:rsidRPr="005A3C4C">
        <w:rPr>
          <w:rFonts w:ascii="Times New Roman" w:hAnsi="Times New Roman" w:cs="Times New Roman"/>
          <w:sz w:val="24"/>
          <w:szCs w:val="24"/>
        </w:rPr>
        <w:t>.</w:t>
      </w:r>
    </w:p>
    <w:p w14:paraId="37E6CF38" w14:textId="25DC7944" w:rsidR="00E61D08" w:rsidRPr="00206F45" w:rsidRDefault="00C101EB" w:rsidP="00B44362">
      <w:pPr>
        <w:spacing w:line="240" w:lineRule="auto"/>
        <w:jc w:val="both"/>
        <w:rPr>
          <w:rFonts w:ascii="Times New Roman" w:hAnsi="Times New Roman" w:cs="Times New Roman"/>
          <w:sz w:val="24"/>
          <w:szCs w:val="24"/>
        </w:rPr>
      </w:pPr>
      <w:r w:rsidRPr="005A3C4C">
        <w:rPr>
          <w:rFonts w:ascii="Times New Roman" w:hAnsi="Times New Roman" w:cs="Times New Roman"/>
          <w:b/>
          <w:bCs/>
          <w:sz w:val="24"/>
          <w:szCs w:val="24"/>
        </w:rPr>
        <w:t>Table 5: Sensory Attributes of Gruels from Complementary Food Samples</w:t>
      </w:r>
    </w:p>
    <w:tbl>
      <w:tblPr>
        <w:tblStyle w:val="3"/>
        <w:tblpPr w:leftFromText="180" w:rightFromText="180" w:vertAnchor="text" w:tblpY="54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1046"/>
        <w:gridCol w:w="1574"/>
        <w:gridCol w:w="1312"/>
        <w:gridCol w:w="1400"/>
        <w:gridCol w:w="1488"/>
        <w:gridCol w:w="2540"/>
      </w:tblGrid>
      <w:tr w:rsidR="00E61D08" w:rsidRPr="005A3C4C" w14:paraId="6656791B" w14:textId="77777777" w:rsidTr="003A5C36">
        <w:trPr>
          <w:trHeight w:val="170"/>
        </w:trPr>
        <w:tc>
          <w:tcPr>
            <w:tcW w:w="558" w:type="pct"/>
            <w:tcBorders>
              <w:top w:val="single" w:sz="4" w:space="0" w:color="000000"/>
              <w:bottom w:val="single" w:sz="4" w:space="0" w:color="000000"/>
            </w:tcBorders>
          </w:tcPr>
          <w:p w14:paraId="4DB526AB" w14:textId="77777777" w:rsidR="00E61D08" w:rsidRPr="005A3C4C" w:rsidRDefault="00E61D08" w:rsidP="00B44362">
            <w:pPr>
              <w:jc w:val="both"/>
              <w:rPr>
                <w:b/>
                <w:color w:val="auto"/>
              </w:rPr>
            </w:pPr>
            <w:r w:rsidRPr="005A3C4C">
              <w:rPr>
                <w:b/>
                <w:color w:val="auto"/>
              </w:rPr>
              <w:t>Sample</w:t>
            </w:r>
          </w:p>
        </w:tc>
        <w:tc>
          <w:tcPr>
            <w:tcW w:w="841" w:type="pct"/>
            <w:tcBorders>
              <w:top w:val="single" w:sz="4" w:space="0" w:color="000000"/>
              <w:bottom w:val="single" w:sz="4" w:space="0" w:color="000000"/>
            </w:tcBorders>
          </w:tcPr>
          <w:p w14:paraId="39994497" w14:textId="77777777" w:rsidR="00E61D08" w:rsidRPr="005A3C4C" w:rsidRDefault="00E61D08" w:rsidP="00B44362">
            <w:pPr>
              <w:jc w:val="both"/>
              <w:rPr>
                <w:b/>
                <w:color w:val="auto"/>
              </w:rPr>
            </w:pPr>
            <w:r w:rsidRPr="005A3C4C">
              <w:rPr>
                <w:b/>
                <w:color w:val="auto"/>
              </w:rPr>
              <w:t>Appearance</w:t>
            </w:r>
          </w:p>
        </w:tc>
        <w:tc>
          <w:tcPr>
            <w:tcW w:w="701" w:type="pct"/>
            <w:tcBorders>
              <w:top w:val="single" w:sz="4" w:space="0" w:color="000000"/>
              <w:bottom w:val="single" w:sz="4" w:space="0" w:color="000000"/>
            </w:tcBorders>
          </w:tcPr>
          <w:p w14:paraId="47E91FDC" w14:textId="77777777" w:rsidR="00E61D08" w:rsidRPr="005A3C4C" w:rsidRDefault="00E61D08" w:rsidP="00B44362">
            <w:pPr>
              <w:jc w:val="both"/>
              <w:rPr>
                <w:b/>
                <w:color w:val="auto"/>
              </w:rPr>
            </w:pPr>
            <w:r w:rsidRPr="005A3C4C">
              <w:rPr>
                <w:b/>
                <w:color w:val="auto"/>
              </w:rPr>
              <w:t xml:space="preserve">Aroma </w:t>
            </w:r>
          </w:p>
        </w:tc>
        <w:tc>
          <w:tcPr>
            <w:tcW w:w="748" w:type="pct"/>
            <w:tcBorders>
              <w:top w:val="single" w:sz="4" w:space="0" w:color="000000"/>
              <w:bottom w:val="single" w:sz="4" w:space="0" w:color="000000"/>
            </w:tcBorders>
          </w:tcPr>
          <w:p w14:paraId="55780DF1" w14:textId="77777777" w:rsidR="00E61D08" w:rsidRPr="005A3C4C" w:rsidRDefault="00E61D08" w:rsidP="00B44362">
            <w:pPr>
              <w:jc w:val="both"/>
              <w:rPr>
                <w:b/>
                <w:color w:val="auto"/>
              </w:rPr>
            </w:pPr>
            <w:r w:rsidRPr="005A3C4C">
              <w:rPr>
                <w:b/>
                <w:color w:val="auto"/>
              </w:rPr>
              <w:t xml:space="preserve">Taste </w:t>
            </w:r>
          </w:p>
        </w:tc>
        <w:tc>
          <w:tcPr>
            <w:tcW w:w="795" w:type="pct"/>
            <w:tcBorders>
              <w:top w:val="single" w:sz="4" w:space="0" w:color="000000"/>
              <w:bottom w:val="single" w:sz="4" w:space="0" w:color="000000"/>
            </w:tcBorders>
          </w:tcPr>
          <w:p w14:paraId="79BBBA47" w14:textId="77777777" w:rsidR="00E61D08" w:rsidRPr="005A3C4C" w:rsidRDefault="00E61D08" w:rsidP="00B44362">
            <w:pPr>
              <w:jc w:val="both"/>
              <w:rPr>
                <w:b/>
                <w:color w:val="auto"/>
              </w:rPr>
            </w:pPr>
            <w:r w:rsidRPr="005A3C4C">
              <w:rPr>
                <w:b/>
                <w:color w:val="auto"/>
              </w:rPr>
              <w:t>Consistency</w:t>
            </w:r>
          </w:p>
        </w:tc>
        <w:tc>
          <w:tcPr>
            <w:tcW w:w="1357" w:type="pct"/>
            <w:tcBorders>
              <w:top w:val="single" w:sz="4" w:space="0" w:color="000000"/>
              <w:bottom w:val="single" w:sz="4" w:space="0" w:color="000000"/>
            </w:tcBorders>
          </w:tcPr>
          <w:p w14:paraId="31E62CEE" w14:textId="77777777" w:rsidR="00E61D08" w:rsidRPr="005A3C4C" w:rsidRDefault="00E61D08" w:rsidP="00B44362">
            <w:pPr>
              <w:jc w:val="both"/>
              <w:rPr>
                <w:b/>
                <w:color w:val="auto"/>
              </w:rPr>
            </w:pPr>
            <w:r w:rsidRPr="005A3C4C">
              <w:rPr>
                <w:b/>
                <w:color w:val="auto"/>
              </w:rPr>
              <w:t>Overall acceptability</w:t>
            </w:r>
          </w:p>
        </w:tc>
      </w:tr>
      <w:tr w:rsidR="00E61D08" w:rsidRPr="005A3C4C" w14:paraId="463F9E1B" w14:textId="77777777" w:rsidTr="003A5C36">
        <w:trPr>
          <w:trHeight w:val="791"/>
        </w:trPr>
        <w:tc>
          <w:tcPr>
            <w:tcW w:w="558" w:type="pct"/>
            <w:tcBorders>
              <w:top w:val="single" w:sz="4" w:space="0" w:color="000000"/>
            </w:tcBorders>
          </w:tcPr>
          <w:p w14:paraId="1E70E810" w14:textId="77777777" w:rsidR="00E61D08" w:rsidRPr="005A3C4C" w:rsidRDefault="00E61D08" w:rsidP="00B44362">
            <w:pPr>
              <w:jc w:val="both"/>
              <w:rPr>
                <w:b/>
                <w:color w:val="auto"/>
              </w:rPr>
            </w:pPr>
            <w:r w:rsidRPr="005A3C4C">
              <w:rPr>
                <w:b/>
                <w:color w:val="auto"/>
              </w:rPr>
              <w:t>ComF1</w:t>
            </w:r>
          </w:p>
        </w:tc>
        <w:tc>
          <w:tcPr>
            <w:tcW w:w="841" w:type="pct"/>
            <w:tcBorders>
              <w:top w:val="single" w:sz="4" w:space="0" w:color="000000"/>
            </w:tcBorders>
            <w:vAlign w:val="bottom"/>
          </w:tcPr>
          <w:p w14:paraId="6C836CD3" w14:textId="77777777" w:rsidR="00E61D08" w:rsidRPr="005A3C4C" w:rsidRDefault="00E61D08" w:rsidP="00B44362">
            <w:pPr>
              <w:jc w:val="both"/>
              <w:rPr>
                <w:color w:val="auto"/>
              </w:rPr>
            </w:pPr>
            <w:r w:rsidRPr="005A3C4C">
              <w:rPr>
                <w:color w:val="auto"/>
              </w:rPr>
              <w:t>8.25</w:t>
            </w:r>
            <w:r w:rsidRPr="005A3C4C">
              <w:rPr>
                <w:color w:val="auto"/>
                <w:vertAlign w:val="superscript"/>
              </w:rPr>
              <w:t>a</w:t>
            </w:r>
            <w:r w:rsidRPr="005A3C4C">
              <w:rPr>
                <w:color w:val="auto"/>
              </w:rPr>
              <w:t xml:space="preserve"> ± 0.79</w:t>
            </w:r>
          </w:p>
        </w:tc>
        <w:tc>
          <w:tcPr>
            <w:tcW w:w="701" w:type="pct"/>
            <w:tcBorders>
              <w:top w:val="single" w:sz="4" w:space="0" w:color="000000"/>
            </w:tcBorders>
          </w:tcPr>
          <w:p w14:paraId="08F2D1A4" w14:textId="77777777" w:rsidR="00E61D08" w:rsidRPr="005A3C4C" w:rsidRDefault="00E61D08" w:rsidP="00B44362">
            <w:pPr>
              <w:jc w:val="both"/>
              <w:rPr>
                <w:color w:val="auto"/>
              </w:rPr>
            </w:pPr>
            <w:r w:rsidRPr="005A3C4C">
              <w:rPr>
                <w:color w:val="auto"/>
              </w:rPr>
              <w:t>7.55</w:t>
            </w:r>
            <w:r w:rsidRPr="005A3C4C">
              <w:rPr>
                <w:color w:val="auto"/>
                <w:vertAlign w:val="superscript"/>
              </w:rPr>
              <w:t>a</w:t>
            </w:r>
            <w:r w:rsidRPr="005A3C4C">
              <w:rPr>
                <w:color w:val="auto"/>
              </w:rPr>
              <w:t xml:space="preserve"> ± 1.00</w:t>
            </w:r>
          </w:p>
        </w:tc>
        <w:tc>
          <w:tcPr>
            <w:tcW w:w="748" w:type="pct"/>
            <w:tcBorders>
              <w:top w:val="single" w:sz="4" w:space="0" w:color="000000"/>
            </w:tcBorders>
          </w:tcPr>
          <w:p w14:paraId="66614523" w14:textId="77777777" w:rsidR="00E61D08" w:rsidRPr="005A3C4C" w:rsidRDefault="00E61D08" w:rsidP="00B44362">
            <w:pPr>
              <w:jc w:val="both"/>
              <w:rPr>
                <w:color w:val="auto"/>
              </w:rPr>
            </w:pPr>
            <w:r w:rsidRPr="005A3C4C">
              <w:rPr>
                <w:color w:val="auto"/>
              </w:rPr>
              <w:t>7.65</w:t>
            </w:r>
            <w:r w:rsidRPr="005A3C4C">
              <w:rPr>
                <w:color w:val="auto"/>
                <w:vertAlign w:val="superscript"/>
              </w:rPr>
              <w:t>a</w:t>
            </w:r>
            <w:r w:rsidRPr="005A3C4C">
              <w:rPr>
                <w:color w:val="auto"/>
              </w:rPr>
              <w:t xml:space="preserve"> ± 0.81</w:t>
            </w:r>
          </w:p>
        </w:tc>
        <w:tc>
          <w:tcPr>
            <w:tcW w:w="795" w:type="pct"/>
            <w:tcBorders>
              <w:top w:val="single" w:sz="4" w:space="0" w:color="000000"/>
            </w:tcBorders>
          </w:tcPr>
          <w:p w14:paraId="3CA63146" w14:textId="77777777" w:rsidR="00E61D08" w:rsidRPr="005A3C4C" w:rsidRDefault="00E61D08" w:rsidP="00B44362">
            <w:pPr>
              <w:jc w:val="both"/>
              <w:rPr>
                <w:color w:val="auto"/>
              </w:rPr>
            </w:pPr>
            <w:r w:rsidRPr="005A3C4C">
              <w:rPr>
                <w:color w:val="auto"/>
              </w:rPr>
              <w:t>7.50</w:t>
            </w:r>
            <w:r w:rsidRPr="005A3C4C">
              <w:rPr>
                <w:color w:val="auto"/>
                <w:vertAlign w:val="superscript"/>
              </w:rPr>
              <w:t>a</w:t>
            </w:r>
            <w:r w:rsidRPr="005A3C4C">
              <w:rPr>
                <w:color w:val="auto"/>
              </w:rPr>
              <w:t xml:space="preserve"> ± 0.89</w:t>
            </w:r>
          </w:p>
        </w:tc>
        <w:tc>
          <w:tcPr>
            <w:tcW w:w="1357" w:type="pct"/>
            <w:tcBorders>
              <w:top w:val="single" w:sz="4" w:space="0" w:color="000000"/>
            </w:tcBorders>
            <w:vAlign w:val="center"/>
          </w:tcPr>
          <w:p w14:paraId="4EBD10F0" w14:textId="77777777" w:rsidR="00E61D08" w:rsidRPr="005A3C4C" w:rsidRDefault="00E61D08" w:rsidP="00B44362">
            <w:pPr>
              <w:jc w:val="both"/>
              <w:rPr>
                <w:color w:val="auto"/>
              </w:rPr>
            </w:pPr>
            <w:r w:rsidRPr="005A3C4C">
              <w:rPr>
                <w:color w:val="auto"/>
              </w:rPr>
              <w:t>7.60</w:t>
            </w:r>
            <w:r w:rsidRPr="005A3C4C">
              <w:rPr>
                <w:color w:val="auto"/>
                <w:vertAlign w:val="superscript"/>
              </w:rPr>
              <w:t>a</w:t>
            </w:r>
            <w:r w:rsidRPr="005A3C4C">
              <w:rPr>
                <w:color w:val="auto"/>
              </w:rPr>
              <w:t xml:space="preserve"> ± 0.68</w:t>
            </w:r>
          </w:p>
        </w:tc>
      </w:tr>
      <w:tr w:rsidR="00E61D08" w:rsidRPr="005A3C4C" w14:paraId="6488EE12" w14:textId="77777777" w:rsidTr="003A5C36">
        <w:trPr>
          <w:trHeight w:val="791"/>
        </w:trPr>
        <w:tc>
          <w:tcPr>
            <w:tcW w:w="558" w:type="pct"/>
          </w:tcPr>
          <w:p w14:paraId="11A14043" w14:textId="77777777" w:rsidR="00E61D08" w:rsidRPr="005A3C4C" w:rsidRDefault="00E61D08" w:rsidP="00B44362">
            <w:pPr>
              <w:jc w:val="both"/>
              <w:rPr>
                <w:b/>
                <w:color w:val="auto"/>
              </w:rPr>
            </w:pPr>
            <w:r w:rsidRPr="005A3C4C">
              <w:rPr>
                <w:b/>
                <w:color w:val="auto"/>
              </w:rPr>
              <w:t>ComF2</w:t>
            </w:r>
          </w:p>
        </w:tc>
        <w:tc>
          <w:tcPr>
            <w:tcW w:w="841" w:type="pct"/>
            <w:vAlign w:val="bottom"/>
          </w:tcPr>
          <w:p w14:paraId="722B04A2" w14:textId="77777777" w:rsidR="00E61D08" w:rsidRPr="005A3C4C" w:rsidRDefault="00E61D08" w:rsidP="00B44362">
            <w:pPr>
              <w:jc w:val="both"/>
              <w:rPr>
                <w:color w:val="auto"/>
              </w:rPr>
            </w:pPr>
            <w:r w:rsidRPr="005A3C4C">
              <w:rPr>
                <w:color w:val="auto"/>
              </w:rPr>
              <w:t>7.75</w:t>
            </w:r>
            <w:r w:rsidRPr="005A3C4C">
              <w:rPr>
                <w:color w:val="auto"/>
                <w:vertAlign w:val="superscript"/>
              </w:rPr>
              <w:t>ab</w:t>
            </w:r>
            <w:r w:rsidRPr="005A3C4C">
              <w:rPr>
                <w:color w:val="auto"/>
              </w:rPr>
              <w:t xml:space="preserve"> ± 0.79</w:t>
            </w:r>
          </w:p>
        </w:tc>
        <w:tc>
          <w:tcPr>
            <w:tcW w:w="701" w:type="pct"/>
          </w:tcPr>
          <w:p w14:paraId="775DA0D3" w14:textId="77777777" w:rsidR="00E61D08" w:rsidRPr="005A3C4C" w:rsidRDefault="00E61D08" w:rsidP="00B44362">
            <w:pPr>
              <w:jc w:val="both"/>
              <w:rPr>
                <w:color w:val="auto"/>
              </w:rPr>
            </w:pPr>
            <w:r w:rsidRPr="005A3C4C">
              <w:rPr>
                <w:color w:val="auto"/>
              </w:rPr>
              <w:t>7.75</w:t>
            </w:r>
            <w:r w:rsidRPr="005A3C4C">
              <w:rPr>
                <w:color w:val="auto"/>
                <w:vertAlign w:val="superscript"/>
              </w:rPr>
              <w:t>a</w:t>
            </w:r>
            <w:r w:rsidRPr="005A3C4C">
              <w:rPr>
                <w:color w:val="auto"/>
              </w:rPr>
              <w:t xml:space="preserve"> ± 0.72</w:t>
            </w:r>
          </w:p>
        </w:tc>
        <w:tc>
          <w:tcPr>
            <w:tcW w:w="748" w:type="pct"/>
          </w:tcPr>
          <w:p w14:paraId="5DEFC718" w14:textId="77777777" w:rsidR="00E61D08" w:rsidRPr="005A3C4C" w:rsidRDefault="00E61D08" w:rsidP="00B44362">
            <w:pPr>
              <w:jc w:val="both"/>
              <w:rPr>
                <w:color w:val="auto"/>
              </w:rPr>
            </w:pPr>
            <w:r w:rsidRPr="005A3C4C">
              <w:rPr>
                <w:color w:val="auto"/>
              </w:rPr>
              <w:t>7.80</w:t>
            </w:r>
            <w:r w:rsidRPr="005A3C4C">
              <w:rPr>
                <w:color w:val="auto"/>
                <w:vertAlign w:val="superscript"/>
              </w:rPr>
              <w:t>a</w:t>
            </w:r>
            <w:r w:rsidRPr="005A3C4C">
              <w:rPr>
                <w:color w:val="auto"/>
              </w:rPr>
              <w:t xml:space="preserve"> ± 0.95</w:t>
            </w:r>
          </w:p>
        </w:tc>
        <w:tc>
          <w:tcPr>
            <w:tcW w:w="795" w:type="pct"/>
          </w:tcPr>
          <w:p w14:paraId="52B5DB14" w14:textId="77777777" w:rsidR="00E61D08" w:rsidRPr="005A3C4C" w:rsidRDefault="00E61D08" w:rsidP="00B44362">
            <w:pPr>
              <w:jc w:val="both"/>
              <w:rPr>
                <w:color w:val="auto"/>
              </w:rPr>
            </w:pPr>
            <w:r w:rsidRPr="005A3C4C">
              <w:rPr>
                <w:color w:val="auto"/>
              </w:rPr>
              <w:t>7.70</w:t>
            </w:r>
            <w:r w:rsidRPr="005A3C4C">
              <w:rPr>
                <w:color w:val="auto"/>
                <w:vertAlign w:val="superscript"/>
              </w:rPr>
              <w:t>a</w:t>
            </w:r>
            <w:r w:rsidRPr="005A3C4C">
              <w:rPr>
                <w:color w:val="auto"/>
              </w:rPr>
              <w:t xml:space="preserve"> ± 0.98</w:t>
            </w:r>
          </w:p>
        </w:tc>
        <w:tc>
          <w:tcPr>
            <w:tcW w:w="1357" w:type="pct"/>
            <w:vAlign w:val="center"/>
          </w:tcPr>
          <w:p w14:paraId="25A275AB" w14:textId="77777777" w:rsidR="00E61D08" w:rsidRPr="005A3C4C" w:rsidRDefault="00E61D08" w:rsidP="00B44362">
            <w:pPr>
              <w:jc w:val="both"/>
              <w:rPr>
                <w:color w:val="auto"/>
              </w:rPr>
            </w:pPr>
            <w:r w:rsidRPr="005A3C4C">
              <w:rPr>
                <w:color w:val="auto"/>
              </w:rPr>
              <w:t>7.80</w:t>
            </w:r>
            <w:r w:rsidRPr="005A3C4C">
              <w:rPr>
                <w:color w:val="auto"/>
                <w:vertAlign w:val="superscript"/>
              </w:rPr>
              <w:t>a</w:t>
            </w:r>
            <w:r w:rsidRPr="005A3C4C">
              <w:rPr>
                <w:color w:val="auto"/>
              </w:rPr>
              <w:t xml:space="preserve"> ± 0.62</w:t>
            </w:r>
          </w:p>
        </w:tc>
      </w:tr>
      <w:tr w:rsidR="00E61D08" w:rsidRPr="005A3C4C" w14:paraId="57B7562E" w14:textId="77777777" w:rsidTr="003A5C36">
        <w:trPr>
          <w:trHeight w:val="791"/>
        </w:trPr>
        <w:tc>
          <w:tcPr>
            <w:tcW w:w="558" w:type="pct"/>
          </w:tcPr>
          <w:p w14:paraId="74221748" w14:textId="77777777" w:rsidR="00E61D08" w:rsidRPr="005A3C4C" w:rsidRDefault="00E61D08" w:rsidP="00B44362">
            <w:pPr>
              <w:jc w:val="both"/>
              <w:rPr>
                <w:b/>
                <w:color w:val="auto"/>
              </w:rPr>
            </w:pPr>
            <w:r w:rsidRPr="005A3C4C">
              <w:rPr>
                <w:b/>
                <w:color w:val="auto"/>
              </w:rPr>
              <w:t>ComF3</w:t>
            </w:r>
          </w:p>
        </w:tc>
        <w:tc>
          <w:tcPr>
            <w:tcW w:w="841" w:type="pct"/>
            <w:vAlign w:val="bottom"/>
          </w:tcPr>
          <w:p w14:paraId="5AE410D4" w14:textId="77777777" w:rsidR="00E61D08" w:rsidRPr="005A3C4C" w:rsidRDefault="00E61D08" w:rsidP="00B44362">
            <w:pPr>
              <w:jc w:val="both"/>
              <w:rPr>
                <w:color w:val="auto"/>
              </w:rPr>
            </w:pPr>
            <w:r w:rsidRPr="005A3C4C">
              <w:rPr>
                <w:color w:val="auto"/>
              </w:rPr>
              <w:t>7.60</w:t>
            </w:r>
            <w:r w:rsidRPr="005A3C4C">
              <w:rPr>
                <w:color w:val="auto"/>
                <w:vertAlign w:val="superscript"/>
              </w:rPr>
              <w:t>b</w:t>
            </w:r>
            <w:r w:rsidRPr="005A3C4C">
              <w:rPr>
                <w:color w:val="auto"/>
              </w:rPr>
              <w:t xml:space="preserve"> ± 0.88</w:t>
            </w:r>
          </w:p>
        </w:tc>
        <w:tc>
          <w:tcPr>
            <w:tcW w:w="701" w:type="pct"/>
          </w:tcPr>
          <w:p w14:paraId="7A666F9A" w14:textId="77777777" w:rsidR="00E61D08" w:rsidRPr="005A3C4C" w:rsidRDefault="00E61D08" w:rsidP="00B44362">
            <w:pPr>
              <w:jc w:val="both"/>
              <w:rPr>
                <w:color w:val="auto"/>
              </w:rPr>
            </w:pPr>
            <w:r w:rsidRPr="005A3C4C">
              <w:rPr>
                <w:color w:val="auto"/>
              </w:rPr>
              <w:t>7.55</w:t>
            </w:r>
            <w:r w:rsidRPr="005A3C4C">
              <w:rPr>
                <w:color w:val="auto"/>
                <w:vertAlign w:val="superscript"/>
              </w:rPr>
              <w:t>a</w:t>
            </w:r>
            <w:r w:rsidRPr="005A3C4C">
              <w:rPr>
                <w:color w:val="auto"/>
              </w:rPr>
              <w:t xml:space="preserve"> ± 1.54</w:t>
            </w:r>
          </w:p>
        </w:tc>
        <w:tc>
          <w:tcPr>
            <w:tcW w:w="748" w:type="pct"/>
          </w:tcPr>
          <w:p w14:paraId="46D457F0" w14:textId="77777777" w:rsidR="00E61D08" w:rsidRPr="005A3C4C" w:rsidRDefault="00E61D08" w:rsidP="00B44362">
            <w:pPr>
              <w:jc w:val="both"/>
              <w:rPr>
                <w:color w:val="auto"/>
              </w:rPr>
            </w:pPr>
            <w:r w:rsidRPr="005A3C4C">
              <w:rPr>
                <w:color w:val="auto"/>
              </w:rPr>
              <w:t>7.75</w:t>
            </w:r>
            <w:r w:rsidRPr="005A3C4C">
              <w:rPr>
                <w:color w:val="auto"/>
                <w:vertAlign w:val="superscript"/>
              </w:rPr>
              <w:t>a</w:t>
            </w:r>
            <w:r w:rsidRPr="005A3C4C">
              <w:rPr>
                <w:color w:val="auto"/>
              </w:rPr>
              <w:t xml:space="preserve"> ± 1.16</w:t>
            </w:r>
          </w:p>
        </w:tc>
        <w:tc>
          <w:tcPr>
            <w:tcW w:w="795" w:type="pct"/>
          </w:tcPr>
          <w:p w14:paraId="5B3E68BA" w14:textId="77777777" w:rsidR="00E61D08" w:rsidRPr="005A3C4C" w:rsidRDefault="00E61D08" w:rsidP="00B44362">
            <w:pPr>
              <w:jc w:val="both"/>
              <w:rPr>
                <w:color w:val="auto"/>
              </w:rPr>
            </w:pPr>
            <w:r w:rsidRPr="005A3C4C">
              <w:rPr>
                <w:color w:val="auto"/>
              </w:rPr>
              <w:t>7.95</w:t>
            </w:r>
            <w:r w:rsidRPr="005A3C4C">
              <w:rPr>
                <w:color w:val="auto"/>
                <w:vertAlign w:val="superscript"/>
              </w:rPr>
              <w:t>a</w:t>
            </w:r>
            <w:r w:rsidRPr="005A3C4C">
              <w:rPr>
                <w:color w:val="auto"/>
              </w:rPr>
              <w:t xml:space="preserve"> ± 0.94</w:t>
            </w:r>
          </w:p>
        </w:tc>
        <w:tc>
          <w:tcPr>
            <w:tcW w:w="1357" w:type="pct"/>
            <w:vAlign w:val="center"/>
          </w:tcPr>
          <w:p w14:paraId="04449FE9" w14:textId="77777777" w:rsidR="00E61D08" w:rsidRPr="005A3C4C" w:rsidRDefault="00E61D08" w:rsidP="00B44362">
            <w:pPr>
              <w:jc w:val="both"/>
              <w:rPr>
                <w:color w:val="auto"/>
              </w:rPr>
            </w:pPr>
            <w:r w:rsidRPr="005A3C4C">
              <w:rPr>
                <w:color w:val="auto"/>
              </w:rPr>
              <w:t>7.95</w:t>
            </w:r>
            <w:r w:rsidRPr="005A3C4C">
              <w:rPr>
                <w:color w:val="auto"/>
                <w:vertAlign w:val="superscript"/>
              </w:rPr>
              <w:t>a</w:t>
            </w:r>
            <w:r w:rsidRPr="005A3C4C">
              <w:rPr>
                <w:color w:val="auto"/>
              </w:rPr>
              <w:t xml:space="preserve"> ± 0.94</w:t>
            </w:r>
          </w:p>
        </w:tc>
      </w:tr>
      <w:tr w:rsidR="00E61D08" w:rsidRPr="005A3C4C" w14:paraId="48C98111" w14:textId="77777777" w:rsidTr="003A5C36">
        <w:trPr>
          <w:trHeight w:val="771"/>
        </w:trPr>
        <w:tc>
          <w:tcPr>
            <w:tcW w:w="558" w:type="pct"/>
          </w:tcPr>
          <w:p w14:paraId="2F7206D1" w14:textId="77777777" w:rsidR="00E61D08" w:rsidRPr="005A3C4C" w:rsidRDefault="00E61D08" w:rsidP="00B44362">
            <w:pPr>
              <w:jc w:val="both"/>
              <w:rPr>
                <w:b/>
                <w:color w:val="auto"/>
              </w:rPr>
            </w:pPr>
            <w:r w:rsidRPr="005A3C4C">
              <w:rPr>
                <w:b/>
                <w:color w:val="auto"/>
              </w:rPr>
              <w:t>ComF4</w:t>
            </w:r>
          </w:p>
        </w:tc>
        <w:tc>
          <w:tcPr>
            <w:tcW w:w="841" w:type="pct"/>
            <w:vAlign w:val="bottom"/>
          </w:tcPr>
          <w:p w14:paraId="447C4D2D" w14:textId="77777777" w:rsidR="00E61D08" w:rsidRPr="005A3C4C" w:rsidRDefault="00E61D08" w:rsidP="00B44362">
            <w:pPr>
              <w:jc w:val="both"/>
              <w:rPr>
                <w:color w:val="auto"/>
              </w:rPr>
            </w:pPr>
            <w:r w:rsidRPr="005A3C4C">
              <w:rPr>
                <w:color w:val="auto"/>
              </w:rPr>
              <w:t>7.75</w:t>
            </w:r>
            <w:r w:rsidRPr="005A3C4C">
              <w:rPr>
                <w:color w:val="auto"/>
                <w:vertAlign w:val="superscript"/>
              </w:rPr>
              <w:t>ab</w:t>
            </w:r>
            <w:r w:rsidRPr="005A3C4C">
              <w:rPr>
                <w:color w:val="auto"/>
              </w:rPr>
              <w:t xml:space="preserve"> ± 0.79</w:t>
            </w:r>
          </w:p>
        </w:tc>
        <w:tc>
          <w:tcPr>
            <w:tcW w:w="701" w:type="pct"/>
          </w:tcPr>
          <w:p w14:paraId="6FA99B99" w14:textId="77777777" w:rsidR="00E61D08" w:rsidRPr="005A3C4C" w:rsidRDefault="00E61D08" w:rsidP="00B44362">
            <w:pPr>
              <w:jc w:val="both"/>
              <w:rPr>
                <w:color w:val="auto"/>
              </w:rPr>
            </w:pPr>
            <w:r w:rsidRPr="005A3C4C">
              <w:rPr>
                <w:color w:val="auto"/>
              </w:rPr>
              <w:t>7.50</w:t>
            </w:r>
            <w:r w:rsidRPr="005A3C4C">
              <w:rPr>
                <w:color w:val="auto"/>
                <w:vertAlign w:val="superscript"/>
              </w:rPr>
              <w:t>a</w:t>
            </w:r>
            <w:r w:rsidRPr="005A3C4C">
              <w:rPr>
                <w:color w:val="auto"/>
              </w:rPr>
              <w:t xml:space="preserve"> ± 1.54</w:t>
            </w:r>
          </w:p>
        </w:tc>
        <w:tc>
          <w:tcPr>
            <w:tcW w:w="748" w:type="pct"/>
          </w:tcPr>
          <w:p w14:paraId="58C33E22" w14:textId="77777777" w:rsidR="00E61D08" w:rsidRPr="005A3C4C" w:rsidRDefault="00E61D08" w:rsidP="00B44362">
            <w:pPr>
              <w:jc w:val="both"/>
              <w:rPr>
                <w:color w:val="auto"/>
              </w:rPr>
            </w:pPr>
            <w:r w:rsidRPr="005A3C4C">
              <w:rPr>
                <w:color w:val="auto"/>
              </w:rPr>
              <w:t>7.55</w:t>
            </w:r>
            <w:r w:rsidRPr="005A3C4C">
              <w:rPr>
                <w:color w:val="auto"/>
                <w:vertAlign w:val="superscript"/>
              </w:rPr>
              <w:t>a</w:t>
            </w:r>
            <w:r w:rsidRPr="005A3C4C">
              <w:rPr>
                <w:color w:val="auto"/>
              </w:rPr>
              <w:t xml:space="preserve"> ± 1.43</w:t>
            </w:r>
          </w:p>
        </w:tc>
        <w:tc>
          <w:tcPr>
            <w:tcW w:w="795" w:type="pct"/>
          </w:tcPr>
          <w:p w14:paraId="55337A70" w14:textId="77777777" w:rsidR="00E61D08" w:rsidRPr="005A3C4C" w:rsidRDefault="00E61D08" w:rsidP="00B44362">
            <w:pPr>
              <w:jc w:val="both"/>
              <w:rPr>
                <w:color w:val="auto"/>
              </w:rPr>
            </w:pPr>
            <w:r w:rsidRPr="005A3C4C">
              <w:rPr>
                <w:color w:val="auto"/>
              </w:rPr>
              <w:t>7.90</w:t>
            </w:r>
            <w:r w:rsidRPr="005A3C4C">
              <w:rPr>
                <w:color w:val="auto"/>
                <w:vertAlign w:val="superscript"/>
              </w:rPr>
              <w:t>a</w:t>
            </w:r>
            <w:r w:rsidRPr="005A3C4C">
              <w:rPr>
                <w:color w:val="auto"/>
              </w:rPr>
              <w:t xml:space="preserve"> ± 0.91</w:t>
            </w:r>
          </w:p>
        </w:tc>
        <w:tc>
          <w:tcPr>
            <w:tcW w:w="1357" w:type="pct"/>
            <w:vAlign w:val="center"/>
          </w:tcPr>
          <w:p w14:paraId="32ECFD98" w14:textId="77777777" w:rsidR="00E61D08" w:rsidRPr="005A3C4C" w:rsidRDefault="00E61D08" w:rsidP="00B44362">
            <w:pPr>
              <w:jc w:val="both"/>
              <w:rPr>
                <w:color w:val="auto"/>
              </w:rPr>
            </w:pPr>
            <w:r w:rsidRPr="005A3C4C">
              <w:rPr>
                <w:color w:val="auto"/>
              </w:rPr>
              <w:t>7.65</w:t>
            </w:r>
            <w:r w:rsidRPr="005A3C4C">
              <w:rPr>
                <w:color w:val="auto"/>
                <w:vertAlign w:val="superscript"/>
              </w:rPr>
              <w:t>a</w:t>
            </w:r>
            <w:r w:rsidRPr="005A3C4C">
              <w:rPr>
                <w:color w:val="auto"/>
              </w:rPr>
              <w:t xml:space="preserve"> ± 1.39</w:t>
            </w:r>
          </w:p>
        </w:tc>
      </w:tr>
      <w:tr w:rsidR="00E61D08" w:rsidRPr="005A3C4C" w14:paraId="49DAEA3C" w14:textId="77777777" w:rsidTr="003A5C36">
        <w:trPr>
          <w:trHeight w:val="791"/>
        </w:trPr>
        <w:tc>
          <w:tcPr>
            <w:tcW w:w="558" w:type="pct"/>
          </w:tcPr>
          <w:p w14:paraId="756942A3" w14:textId="77777777" w:rsidR="00E61D08" w:rsidRPr="005A3C4C" w:rsidRDefault="00E61D08" w:rsidP="00B44362">
            <w:pPr>
              <w:jc w:val="both"/>
              <w:rPr>
                <w:b/>
                <w:color w:val="auto"/>
              </w:rPr>
            </w:pPr>
            <w:r w:rsidRPr="005A3C4C">
              <w:rPr>
                <w:b/>
                <w:color w:val="auto"/>
              </w:rPr>
              <w:t>ComF5</w:t>
            </w:r>
          </w:p>
        </w:tc>
        <w:tc>
          <w:tcPr>
            <w:tcW w:w="841" w:type="pct"/>
            <w:vAlign w:val="bottom"/>
          </w:tcPr>
          <w:p w14:paraId="622E62C5" w14:textId="77777777" w:rsidR="00E61D08" w:rsidRPr="005A3C4C" w:rsidRDefault="00E61D08" w:rsidP="00B44362">
            <w:pPr>
              <w:jc w:val="both"/>
              <w:rPr>
                <w:color w:val="auto"/>
              </w:rPr>
            </w:pPr>
            <w:r w:rsidRPr="005A3C4C">
              <w:rPr>
                <w:color w:val="auto"/>
              </w:rPr>
              <w:t>7.55</w:t>
            </w:r>
            <w:r w:rsidRPr="005A3C4C">
              <w:rPr>
                <w:color w:val="auto"/>
                <w:vertAlign w:val="superscript"/>
              </w:rPr>
              <w:t>b</w:t>
            </w:r>
            <w:r w:rsidRPr="005A3C4C">
              <w:rPr>
                <w:color w:val="auto"/>
              </w:rPr>
              <w:t xml:space="preserve"> ± 1.00</w:t>
            </w:r>
          </w:p>
        </w:tc>
        <w:tc>
          <w:tcPr>
            <w:tcW w:w="701" w:type="pct"/>
          </w:tcPr>
          <w:p w14:paraId="28900DA3" w14:textId="77777777" w:rsidR="00E61D08" w:rsidRPr="005A3C4C" w:rsidRDefault="00E61D08" w:rsidP="00B44362">
            <w:pPr>
              <w:jc w:val="both"/>
              <w:rPr>
                <w:color w:val="auto"/>
              </w:rPr>
            </w:pPr>
            <w:r w:rsidRPr="005A3C4C">
              <w:rPr>
                <w:color w:val="auto"/>
              </w:rPr>
              <w:t>8.10</w:t>
            </w:r>
            <w:r w:rsidRPr="005A3C4C">
              <w:rPr>
                <w:color w:val="auto"/>
                <w:vertAlign w:val="superscript"/>
              </w:rPr>
              <w:t>a</w:t>
            </w:r>
            <w:r w:rsidRPr="005A3C4C">
              <w:rPr>
                <w:color w:val="auto"/>
              </w:rPr>
              <w:t xml:space="preserve"> ± 0.72</w:t>
            </w:r>
          </w:p>
        </w:tc>
        <w:tc>
          <w:tcPr>
            <w:tcW w:w="748" w:type="pct"/>
          </w:tcPr>
          <w:p w14:paraId="3967F989" w14:textId="77777777" w:rsidR="00E61D08" w:rsidRPr="005A3C4C" w:rsidRDefault="00E61D08" w:rsidP="00B44362">
            <w:pPr>
              <w:jc w:val="both"/>
              <w:rPr>
                <w:color w:val="auto"/>
              </w:rPr>
            </w:pPr>
            <w:r w:rsidRPr="005A3C4C">
              <w:rPr>
                <w:color w:val="auto"/>
              </w:rPr>
              <w:t>8.15</w:t>
            </w:r>
            <w:r w:rsidRPr="005A3C4C">
              <w:rPr>
                <w:color w:val="auto"/>
                <w:vertAlign w:val="superscript"/>
              </w:rPr>
              <w:t>a</w:t>
            </w:r>
            <w:r w:rsidRPr="005A3C4C">
              <w:rPr>
                <w:color w:val="auto"/>
              </w:rPr>
              <w:t xml:space="preserve"> ± 0.75</w:t>
            </w:r>
          </w:p>
        </w:tc>
        <w:tc>
          <w:tcPr>
            <w:tcW w:w="795" w:type="pct"/>
          </w:tcPr>
          <w:p w14:paraId="64DCD602" w14:textId="77777777" w:rsidR="00E61D08" w:rsidRPr="005A3C4C" w:rsidRDefault="00E61D08" w:rsidP="00B44362">
            <w:pPr>
              <w:jc w:val="both"/>
              <w:rPr>
                <w:color w:val="auto"/>
              </w:rPr>
            </w:pPr>
            <w:r w:rsidRPr="005A3C4C">
              <w:rPr>
                <w:color w:val="auto"/>
              </w:rPr>
              <w:t>8.10</w:t>
            </w:r>
            <w:r w:rsidRPr="005A3C4C">
              <w:rPr>
                <w:color w:val="auto"/>
                <w:vertAlign w:val="superscript"/>
              </w:rPr>
              <w:t>a</w:t>
            </w:r>
            <w:r w:rsidRPr="005A3C4C">
              <w:rPr>
                <w:color w:val="auto"/>
              </w:rPr>
              <w:t xml:space="preserve"> ± 0.79</w:t>
            </w:r>
          </w:p>
        </w:tc>
        <w:tc>
          <w:tcPr>
            <w:tcW w:w="1357" w:type="pct"/>
            <w:vAlign w:val="center"/>
          </w:tcPr>
          <w:p w14:paraId="070AF162" w14:textId="77777777" w:rsidR="00E61D08" w:rsidRPr="005A3C4C" w:rsidRDefault="00E61D08" w:rsidP="00B44362">
            <w:pPr>
              <w:jc w:val="both"/>
              <w:rPr>
                <w:color w:val="auto"/>
              </w:rPr>
            </w:pPr>
            <w:r w:rsidRPr="005A3C4C">
              <w:rPr>
                <w:color w:val="auto"/>
              </w:rPr>
              <w:t>8.05</w:t>
            </w:r>
            <w:r w:rsidRPr="005A3C4C">
              <w:rPr>
                <w:color w:val="auto"/>
                <w:vertAlign w:val="superscript"/>
              </w:rPr>
              <w:t>a</w:t>
            </w:r>
            <w:r w:rsidRPr="005A3C4C">
              <w:rPr>
                <w:color w:val="auto"/>
              </w:rPr>
              <w:t xml:space="preserve"> ± 0.76</w:t>
            </w:r>
          </w:p>
        </w:tc>
      </w:tr>
      <w:tr w:rsidR="00E61D08" w:rsidRPr="005A3C4C" w14:paraId="5ED63269" w14:textId="77777777" w:rsidTr="003A5C36">
        <w:trPr>
          <w:trHeight w:val="662"/>
        </w:trPr>
        <w:tc>
          <w:tcPr>
            <w:tcW w:w="558" w:type="pct"/>
          </w:tcPr>
          <w:p w14:paraId="6E58CB06" w14:textId="77777777" w:rsidR="00E61D08" w:rsidRPr="005A3C4C" w:rsidRDefault="00E61D08" w:rsidP="00B44362">
            <w:pPr>
              <w:jc w:val="both"/>
              <w:rPr>
                <w:b/>
                <w:color w:val="auto"/>
              </w:rPr>
            </w:pPr>
            <w:r w:rsidRPr="005A3C4C">
              <w:rPr>
                <w:b/>
                <w:color w:val="auto"/>
              </w:rPr>
              <w:t>LSD</w:t>
            </w:r>
          </w:p>
        </w:tc>
        <w:tc>
          <w:tcPr>
            <w:tcW w:w="841" w:type="pct"/>
            <w:vAlign w:val="bottom"/>
          </w:tcPr>
          <w:p w14:paraId="5F718D1B" w14:textId="77777777" w:rsidR="00E61D08" w:rsidRPr="005A3C4C" w:rsidRDefault="00E61D08" w:rsidP="00B44362">
            <w:pPr>
              <w:jc w:val="both"/>
              <w:rPr>
                <w:color w:val="auto"/>
              </w:rPr>
            </w:pPr>
            <w:r w:rsidRPr="005A3C4C">
              <w:rPr>
                <w:color w:val="auto"/>
              </w:rPr>
              <w:t>1.07</w:t>
            </w:r>
          </w:p>
        </w:tc>
        <w:tc>
          <w:tcPr>
            <w:tcW w:w="701" w:type="pct"/>
          </w:tcPr>
          <w:p w14:paraId="223F1C41" w14:textId="77777777" w:rsidR="00E61D08" w:rsidRPr="005A3C4C" w:rsidRDefault="00E61D08" w:rsidP="00B44362">
            <w:pPr>
              <w:jc w:val="both"/>
              <w:rPr>
                <w:color w:val="auto"/>
              </w:rPr>
            </w:pPr>
            <w:r w:rsidRPr="005A3C4C">
              <w:rPr>
                <w:color w:val="auto"/>
              </w:rPr>
              <w:t>1.46</w:t>
            </w:r>
          </w:p>
        </w:tc>
        <w:tc>
          <w:tcPr>
            <w:tcW w:w="748" w:type="pct"/>
          </w:tcPr>
          <w:p w14:paraId="6A2B9C1D" w14:textId="77777777" w:rsidR="00E61D08" w:rsidRPr="005A3C4C" w:rsidRDefault="00E61D08" w:rsidP="00B44362">
            <w:pPr>
              <w:jc w:val="both"/>
              <w:rPr>
                <w:color w:val="auto"/>
              </w:rPr>
            </w:pPr>
            <w:r w:rsidRPr="005A3C4C">
              <w:rPr>
                <w:color w:val="auto"/>
              </w:rPr>
              <w:t>1.32</w:t>
            </w:r>
          </w:p>
        </w:tc>
        <w:tc>
          <w:tcPr>
            <w:tcW w:w="795" w:type="pct"/>
          </w:tcPr>
          <w:p w14:paraId="2610EEB6" w14:textId="77777777" w:rsidR="00E61D08" w:rsidRPr="005A3C4C" w:rsidRDefault="00E61D08" w:rsidP="00B44362">
            <w:pPr>
              <w:jc w:val="both"/>
              <w:rPr>
                <w:color w:val="auto"/>
              </w:rPr>
            </w:pPr>
            <w:r w:rsidRPr="005A3C4C">
              <w:rPr>
                <w:color w:val="auto"/>
              </w:rPr>
              <w:t>1.13</w:t>
            </w:r>
          </w:p>
        </w:tc>
        <w:tc>
          <w:tcPr>
            <w:tcW w:w="1357" w:type="pct"/>
            <w:vAlign w:val="center"/>
          </w:tcPr>
          <w:p w14:paraId="72A27E5A" w14:textId="77777777" w:rsidR="00E61D08" w:rsidRPr="005A3C4C" w:rsidRDefault="00E61D08" w:rsidP="00B44362">
            <w:pPr>
              <w:jc w:val="both"/>
              <w:rPr>
                <w:color w:val="auto"/>
              </w:rPr>
            </w:pPr>
            <w:r w:rsidRPr="005A3C4C">
              <w:rPr>
                <w:color w:val="auto"/>
              </w:rPr>
              <w:t>1.15</w:t>
            </w:r>
          </w:p>
        </w:tc>
      </w:tr>
    </w:tbl>
    <w:p w14:paraId="41335CF9" w14:textId="070A0234" w:rsidR="00C101EB" w:rsidRPr="005A3C4C" w:rsidRDefault="00C101EB" w:rsidP="00B44362">
      <w:pPr>
        <w:spacing w:before="280" w:after="280" w:line="240" w:lineRule="auto"/>
        <w:jc w:val="both"/>
        <w:outlineLvl w:val="1"/>
        <w:rPr>
          <w:rFonts w:ascii="Times New Roman" w:eastAsia="Times New Roman" w:hAnsi="Times New Roman" w:cs="Times New Roman"/>
          <w:b/>
          <w:sz w:val="24"/>
          <w:szCs w:val="24"/>
        </w:rPr>
      </w:pPr>
      <w:bookmarkStart w:id="6" w:name="_heading=h.3x8tuzt" w:colFirst="0" w:colLast="0"/>
      <w:bookmarkEnd w:id="6"/>
    </w:p>
    <w:p w14:paraId="5C8FAC5B" w14:textId="7BD2E285" w:rsidR="00832C02" w:rsidRPr="00911513" w:rsidRDefault="00C101EB" w:rsidP="00B44362">
      <w:pP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Key: ComF1- 100% Orange Fleshed sweet potatoes flour: ComF2- 90% Orange Fleshed sweet potatoes flour, 5% Soybean flour, 5% Almond seed flour: ComF3- 80% Orange Fleshed sweet potatoes flour, 15% Soybean flour, 5% Almond seed flour, ComF4- 70% Orange Fleshed sweet potatoes flour, 25% Soybean flour, 5% Almond seed flour, ComF5- Reference sample, LSD- Least Significant Difference. Values represent mean ± SD of triplicate determinations. Means in the same row with different superscripts are significantly different at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w:t>
      </w:r>
      <w:bookmarkStart w:id="7" w:name="_heading=h.3gnlt4p" w:colFirst="0" w:colLast="0"/>
      <w:bookmarkStart w:id="8" w:name="_heading=h.1vsw3ci" w:colFirst="0" w:colLast="0"/>
      <w:bookmarkEnd w:id="7"/>
      <w:bookmarkEnd w:id="8"/>
    </w:p>
    <w:p w14:paraId="634A6AB7" w14:textId="7ABA6A5F" w:rsidR="00C101EB" w:rsidRPr="005A3C4C" w:rsidRDefault="002C20E1" w:rsidP="00B44362">
      <w:pPr>
        <w:spacing w:line="240" w:lineRule="auto"/>
        <w:jc w:val="both"/>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 xml:space="preserve">Discussions </w:t>
      </w:r>
    </w:p>
    <w:p w14:paraId="3FC24DCB" w14:textId="26D9AA31" w:rsidR="00672042" w:rsidRPr="005A3C4C" w:rsidRDefault="00672042"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was a significant increase (p&lt;0.05) in the total essential amino acid content of the samples as the level of substitution with soybean increased. The significant increase in the total essential amino acid between ComF1 and the rest of the formulated sample is also attributed to the substitution of the samples with protein-rich almond seed flour. These results are in line with that reported by Mariam, (2005) who reported a high amino acid content in soybean based complementary foods. Leucine (3.21 to 9.02 g/100g), isoleucine (1.30 to 4.15 g/100g), and phenylalanine (1.7 to 4.13</w:t>
      </w:r>
      <w:r w:rsidR="0035675C" w:rsidRPr="005A3C4C">
        <w:rPr>
          <w:rFonts w:ascii="Times New Roman" w:hAnsi="Times New Roman" w:cs="Times New Roman"/>
          <w:sz w:val="24"/>
          <w:szCs w:val="24"/>
        </w:rPr>
        <w:t xml:space="preserve"> g/100g</w:t>
      </w:r>
      <w:r w:rsidRPr="005A3C4C">
        <w:rPr>
          <w:rFonts w:ascii="Times New Roman" w:hAnsi="Times New Roman" w:cs="Times New Roman"/>
          <w:sz w:val="24"/>
          <w:szCs w:val="24"/>
        </w:rPr>
        <w:t xml:space="preserve">) were the most abundant essential amino acids in the formulated </w:t>
      </w:r>
      <w:r w:rsidRPr="005A3C4C">
        <w:rPr>
          <w:rFonts w:ascii="Times New Roman" w:hAnsi="Times New Roman" w:cs="Times New Roman"/>
          <w:sz w:val="24"/>
          <w:szCs w:val="24"/>
        </w:rPr>
        <w:lastRenderedPageBreak/>
        <w:t xml:space="preserve">samples as the level of substitution of soybean increased. </w:t>
      </w:r>
      <w:r w:rsidR="001B3BA1" w:rsidRPr="005A3C4C">
        <w:rPr>
          <w:rFonts w:ascii="Times New Roman" w:hAnsi="Times New Roman" w:cs="Times New Roman"/>
          <w:sz w:val="24"/>
          <w:szCs w:val="24"/>
        </w:rPr>
        <w:t>These results</w:t>
      </w:r>
      <w:r w:rsidRPr="005A3C4C">
        <w:rPr>
          <w:rFonts w:ascii="Times New Roman" w:hAnsi="Times New Roman" w:cs="Times New Roman"/>
          <w:sz w:val="24"/>
          <w:szCs w:val="24"/>
        </w:rPr>
        <w:t xml:space="preserve"> were expected as soybean is rich in these essential amino acids </w:t>
      </w:r>
      <w:r w:rsidR="001E5A68" w:rsidRPr="005A3C4C">
        <w:rPr>
          <w:rFonts w:ascii="Times New Roman" w:hAnsi="Times New Roman" w:cs="Times New Roman"/>
          <w:sz w:val="24"/>
          <w:szCs w:val="24"/>
        </w:rPr>
        <w:fldChar w:fldCharType="begin" w:fldLock="1"/>
      </w:r>
      <w:r w:rsidR="001E5A68" w:rsidRPr="005A3C4C">
        <w:rPr>
          <w:rFonts w:ascii="Times New Roman" w:hAnsi="Times New Roman" w:cs="Times New Roman"/>
          <w:sz w:val="24"/>
          <w:szCs w:val="24"/>
        </w:rPr>
        <w:instrText>ADDIN CSL_CITATION {"citationItems":[{"id":"ITEM-1","itemData":{"DOI":"10.1021/jf052570u","ISSN":"00218561","PMID":"19127714","abstract":"Calibration equations for the estimation of amino acid composition in whole soybeans were developed using partial least squares (PLS), artificial neural networks (ANN), and support vector machines (SVM) regression methods for five models of near-infrared (NIR) spectrometers. The effects of amino acid/ protein correlation, calibration method, and type of spectrometer on predictive ability of the equations were analyzed. Validation of prediction models resulted in r2 values from 0.04 (tryptophan) to 0.91 (leucine and lysine). Most of the models were usable for research purposes and sample screening. Concentrations of cysteine and tryptophan had no useful correlation with spectral information. Predictive ability of calibrations was dependent on the respective amino acid correlations to reference protein. Calibration samples with nontypical amino acid profiles relative to protein would be needed to overcome this limitation. The performance of PLS and SVM was significantly better than that of ANN. Choice of preferred modeling method was spectrometer-dependent. © 2006 American Chemical Society.","author":[{"dropping-particle":"V.","family":"Kovalenko","given":"Igor","non-dropping-particle":"","parse-names":false,"suffix":""},{"dropping-particle":"","family":"Rippke","given":"Glen R.","non-dropping-particle":"","parse-names":false,"suffix":""},{"dropping-particle":"","family":"Hurburgh","given":"Charles R.","non-dropping-particle":"","parse-names":false,"suffix":""}],"container-title":"Journal of Agricultural and Food Chemistry","id":"ITEM-1","issue":"10","issued":{"date-parts":[["2006"]]},"page":"3485-3491","title":"Determination of amino acid composition of soybeans (Glycine max) by near-infrared spectroscopy","type":"article-journal","volume":"54"},"uris":["http://www.mendeley.com/documents/?uuid=085a05b4-4552-402c-8ff5-e19aa9474ab8"]}],"mendeley":{"formattedCitation":"(Kovalenko et al., 2006)","plainTextFormattedCitation":"(Kovalenko et al., 2006)","previouslyFormattedCitation":"(Kovalenko et al., 2006)"},"properties":{"noteIndex":0},"schema":"https://github.com/citation-style-language/schema/raw/master/csl-citation.json"}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(Kovalenko et al., 2006)</w:t>
      </w:r>
      <w:r w:rsidR="001E5A68" w:rsidRPr="005A3C4C">
        <w:rPr>
          <w:rFonts w:ascii="Times New Roman" w:hAnsi="Times New Roman" w:cs="Times New Roman"/>
          <w:sz w:val="24"/>
          <w:szCs w:val="24"/>
        </w:rPr>
        <w:fldChar w:fldCharType="end"/>
      </w:r>
      <w:r w:rsidRPr="005A3C4C">
        <w:rPr>
          <w:rFonts w:ascii="Times New Roman" w:hAnsi="Times New Roman" w:cs="Times New Roman"/>
          <w:sz w:val="24"/>
          <w:szCs w:val="24"/>
        </w:rPr>
        <w:t xml:space="preserve">). Tryptophan (0.12 g/100g) and Methionine (0.44 to 1.25 g/100g) were the least essential amino acids present in the formulated sample and were significantly low (p&lt;0.05) in ComF1 (control) compared to the other formulated samples and the reference sample (ComF5). The results are slightly lower than the 1.71 to 1.90 g/100g of methionine reported in cookies formulated from </w:t>
      </w:r>
      <w:r w:rsidR="00714AF7">
        <w:rPr>
          <w:rFonts w:ascii="Times New Roman" w:hAnsi="Times New Roman" w:cs="Times New Roman"/>
          <w:sz w:val="24"/>
          <w:szCs w:val="24"/>
        </w:rPr>
        <w:t>orange-fleshed</w:t>
      </w:r>
      <w:r w:rsidRPr="005A3C4C">
        <w:rPr>
          <w:rFonts w:ascii="Times New Roman" w:hAnsi="Times New Roman" w:cs="Times New Roman"/>
          <w:sz w:val="24"/>
          <w:szCs w:val="24"/>
        </w:rPr>
        <w:t xml:space="preserve"> sweet potatoes, </w:t>
      </w:r>
      <w:r w:rsidR="00714AF7">
        <w:rPr>
          <w:rFonts w:ascii="Times New Roman" w:hAnsi="Times New Roman" w:cs="Times New Roman"/>
          <w:sz w:val="24"/>
          <w:szCs w:val="24"/>
        </w:rPr>
        <w:t>mushrooms</w:t>
      </w:r>
      <w:r w:rsidRPr="005A3C4C">
        <w:rPr>
          <w:rFonts w:ascii="Times New Roman" w:hAnsi="Times New Roman" w:cs="Times New Roman"/>
          <w:sz w:val="24"/>
          <w:szCs w:val="24"/>
        </w:rPr>
        <w:t xml:space="preserve"> and sorghum by </w:t>
      </w:r>
      <w:r w:rsidR="001E5A68" w:rsidRPr="005A3C4C">
        <w:rPr>
          <w:rFonts w:ascii="Times New Roman" w:hAnsi="Times New Roman" w:cs="Times New Roman"/>
          <w:sz w:val="24"/>
          <w:szCs w:val="24"/>
        </w:rPr>
        <w:fldChar w:fldCharType="begin" w:fldLock="1"/>
      </w:r>
      <w:r w:rsidR="001E5A68" w:rsidRPr="005A3C4C">
        <w:rPr>
          <w:rFonts w:ascii="Times New Roman" w:hAnsi="Times New Roman" w:cs="Times New Roman"/>
          <w:sz w:val="24"/>
          <w:szCs w:val="24"/>
        </w:rPr>
        <w:instrText>ADDIN CSL_CITATION {"citationItems":[{"id":"ITEM-1","itemData":{"DOI":"10.1016/j.focha.2023.100263","ISSN":"2772753X","abstract":"Cookies were produced from a blend of sorghum, orange-flesh-sweet-potato and mushroom protein isolate flour at different ratios viz: MOS A (60:20:20), MOS B (40:30:30), MOS C (30:35:35), MOS D 30:40:30) and MOS E (100% wheat flour) as control. The cookies were investigated for their physicochemical properties, amino acid profile, in vitro antioxidant, in vitro anti-inflammatory, in vivo antihyperglycemia and consumer acceptability using standard methods. The protein and fiber contents of the cookies ranged from 14.76 to 35.20% and 8.17–9.63%, respectively. The improved bioactivities of the cookies could be due to its enhanced hydrophobic, aromatic, branch chained amino acids, BV (</w:instrText>
      </w:r>
      <w:r w:rsidR="001E5A68" w:rsidRPr="005A3C4C">
        <w:rPr>
          <w:rFonts w:ascii="Cambria Math" w:hAnsi="Cambria Math" w:cs="Cambria Math"/>
          <w:sz w:val="24"/>
          <w:szCs w:val="24"/>
        </w:rPr>
        <w:instrText>∼</w:instrText>
      </w:r>
      <w:r w:rsidR="001E5A68" w:rsidRPr="005A3C4C">
        <w:rPr>
          <w:rFonts w:ascii="Times New Roman" w:hAnsi="Times New Roman" w:cs="Times New Roman"/>
          <w:sz w:val="24"/>
          <w:szCs w:val="24"/>
        </w:rPr>
        <w:instrText>70–76%) and Arg/Lys-contents. All the cookie samples were classified under the medium glycemic load (18–25) classification. The cookie sample MOS D has the highest hydroxyl (91.33%), DPPH radical scavenging, iron chelation (67.67%) and ferric reducing (</w:instrText>
      </w:r>
      <w:r w:rsidR="001E5A68" w:rsidRPr="005A3C4C">
        <w:rPr>
          <w:rFonts w:ascii="Cambria Math" w:hAnsi="Cambria Math" w:cs="Cambria Math"/>
          <w:sz w:val="24"/>
          <w:szCs w:val="24"/>
        </w:rPr>
        <w:instrText>∼</w:instrText>
      </w:r>
      <w:r w:rsidR="001E5A68" w:rsidRPr="005A3C4C">
        <w:rPr>
          <w:rFonts w:ascii="Times New Roman" w:hAnsi="Times New Roman" w:cs="Times New Roman"/>
          <w:sz w:val="24"/>
          <w:szCs w:val="24"/>
        </w:rPr>
        <w:instrText>51%) properties. Moreso, the anti-inflammatory activities of sample MOS D revealed its membrane stabilization (23.40–27.06%), anti-proteinase (23.25–27.36%), albumin denaturation inhibition (23.14–32.35%), nitric oxide scavenging (23.07–32.21%), anti-lipoxygenase (23.31–32.08%) and anti-cyclooxygenase (11.37–23.57%) to be comparable with those of diclofenac, a standard NSAIDs. However, the MOS D sample was rated highest and most acceptable by the consumers when compared with the commercial wheat cookies.","author":[{"dropping-particle":"","family":"Akinbode","given":"Badiu A.","non-dropping-particle":"","parse-names":false,"suffix":""},{"dropping-particle":"","family":"Malomo","given":"Sunday A.","non-dropping-particle":"","parse-names":false,"suffix":""},{"dropping-particle":"","family":"Asasile","given":"Israel I.","non-dropping-particle":"","parse-names":false,"suffix":""}],"container-title":"Food Chemistry Advances","id":"ITEM-1","issue":"August 2022","issued":{"date-parts":[["2023"]]},"page":"100263","publisher":"Elsevier Ltd","title":"In vitro antioxidant, anti-inflammatory and in vivo anti-hyperglycemia potentials of cookies made from sorghum, orange-flesh-sweet-potato and mushroom protein isolate flour blends fed to Wistar rats","type":"article-journal","volume":"2"},"uris":["http://www.mendeley.com/documents/?uuid=3b03a396-0f70-42d2-848d-e108c305ec64"]}],"mendeley":{"formattedCitation":"(Akinbode et al., 2023)","manualFormatting":"Akinbode et al., (2023)","plainTextFormattedCitation":"(Akinbode et al., 2023)","previouslyFormattedCitation":"(Akinbode et al., 2023)"},"properties":{"noteIndex":0},"schema":"https://github.com/citation-style-language/schema/raw/master/csl-citation.json"}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 xml:space="preserve">Akinbode </w:t>
      </w:r>
      <w:r w:rsidR="001E5A68" w:rsidRPr="00714AF7">
        <w:rPr>
          <w:rFonts w:ascii="Times New Roman" w:hAnsi="Times New Roman" w:cs="Times New Roman"/>
          <w:i/>
          <w:iCs/>
          <w:noProof/>
          <w:sz w:val="24"/>
          <w:szCs w:val="24"/>
        </w:rPr>
        <w:t>et al.,</w:t>
      </w:r>
      <w:r w:rsidR="001E5A68" w:rsidRPr="005A3C4C">
        <w:rPr>
          <w:rFonts w:ascii="Times New Roman" w:hAnsi="Times New Roman" w:cs="Times New Roman"/>
          <w:noProof/>
          <w:sz w:val="24"/>
          <w:szCs w:val="24"/>
        </w:rPr>
        <w:t xml:space="preserve"> (2023)</w:t>
      </w:r>
      <w:r w:rsidR="001E5A68" w:rsidRPr="005A3C4C">
        <w:rPr>
          <w:rFonts w:ascii="Times New Roman" w:hAnsi="Times New Roman" w:cs="Times New Roman"/>
          <w:sz w:val="24"/>
          <w:szCs w:val="24"/>
        </w:rPr>
        <w:fldChar w:fldCharType="end"/>
      </w:r>
    </w:p>
    <w:p w14:paraId="6D1EE559" w14:textId="71CED7B5" w:rsidR="005315FE" w:rsidRPr="005A3C4C" w:rsidRDefault="00672042"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There was a significant increase (p˂0.05) in the non-essential amino acid content as substitution with soybean increased except for tyrosine and alanine</w:t>
      </w:r>
      <w:r w:rsidR="00714AF7">
        <w:rPr>
          <w:rFonts w:ascii="Times New Roman" w:hAnsi="Times New Roman" w:cs="Times New Roman"/>
          <w:sz w:val="24"/>
          <w:szCs w:val="24"/>
        </w:rPr>
        <w:t>,</w:t>
      </w:r>
      <w:r w:rsidRPr="005A3C4C">
        <w:rPr>
          <w:rFonts w:ascii="Times New Roman" w:hAnsi="Times New Roman" w:cs="Times New Roman"/>
          <w:sz w:val="24"/>
          <w:szCs w:val="24"/>
        </w:rPr>
        <w:t xml:space="preserve"> which were significantly higher (p˂0.05) in ComF1 (control sample) compared to the other formulated samples and the reference sample. This is in line with results from literature</w:t>
      </w:r>
      <w:r w:rsidR="00714AF7">
        <w:rPr>
          <w:rFonts w:ascii="Times New Roman" w:hAnsi="Times New Roman" w:cs="Times New Roman"/>
          <w:sz w:val="24"/>
          <w:szCs w:val="24"/>
        </w:rPr>
        <w:t>,</w:t>
      </w:r>
      <w:r w:rsidRPr="005A3C4C">
        <w:rPr>
          <w:rFonts w:ascii="Times New Roman" w:hAnsi="Times New Roman" w:cs="Times New Roman"/>
          <w:sz w:val="24"/>
          <w:szCs w:val="24"/>
        </w:rPr>
        <w:t xml:space="preserve"> which showed that </w:t>
      </w:r>
      <w:r w:rsidR="00714AF7">
        <w:rPr>
          <w:rFonts w:ascii="Times New Roman" w:hAnsi="Times New Roman" w:cs="Times New Roman"/>
          <w:sz w:val="24"/>
          <w:szCs w:val="24"/>
        </w:rPr>
        <w:t>orange-fleshed</w:t>
      </w:r>
      <w:r w:rsidRPr="005A3C4C">
        <w:rPr>
          <w:rFonts w:ascii="Times New Roman" w:hAnsi="Times New Roman" w:cs="Times New Roman"/>
          <w:sz w:val="24"/>
          <w:szCs w:val="24"/>
        </w:rPr>
        <w:t xml:space="preserve"> sweet potatoes are rich in these amino acids </w:t>
      </w:r>
      <w:r w:rsidR="002947A2" w:rsidRPr="005A3C4C">
        <w:rPr>
          <w:rFonts w:ascii="Times New Roman" w:hAnsi="Times New Roman" w:cs="Times New Roman"/>
          <w:sz w:val="24"/>
          <w:szCs w:val="24"/>
        </w:rPr>
        <w:fldChar w:fldCharType="begin" w:fldLock="1"/>
      </w:r>
      <w:r w:rsidR="0062055D" w:rsidRPr="005A3C4C">
        <w:rPr>
          <w:rFonts w:ascii="Times New Roman" w:hAnsi="Times New Roman" w:cs="Times New Roman"/>
          <w:sz w:val="24"/>
          <w:szCs w:val="24"/>
        </w:rPr>
        <w:instrText>ADDIN CSL_CITATION {"citationItems":[{"id":"ITEM-1","itemData":{"DOI":"10.1016/j.lwt.2018.10.091","ISSN":"00236438","abstract":"The nutrients and the color profile of orange-fleshed sweet potato flour (SPF) can contribute positively with the long fermentation products. This study aimed to evaluate the effect of the substitution wheat flour (WF) by SPF in the sponge and dough phases on the quality (moisture and color) and flavor profile of sourdough panettone. Panettone was obtained using spontaneous sourdough and long fermentation time (23 h). Four formulations were made, as follows: AP1 (control), AP2 (10 g/100 g SPF in dough phase or last fermentation), BP3 (10 g/100 g of SPF in sponge phase or intermediary fermentation), and BP4 (10 g/100 g SPF in each phase, sponge and dough phase). The formulation BP4 had a more moist crumb, a high yellow color intensity, and a smaller specific volume (3.26 cm3/g) when compared to the control (3.76 cm3/g). Regarding the volatile compounds, three compounds were identified in the panettones made with SPF: 2-octenal-2-butyl, dimethyl-decane, and 2-chlorooctane, which were not found in control. These results can contribute to further studies about the use of SPF as a precursor of new flavor compounds in long fermentation times bakery products, thus reducing or eliminating the use of aromatic additives and food colorings.","author":[{"dropping-particle":"","family":"Aparecida Pereira","given":"Ana Paula","non-dropping-particle":"","parse-names":false,"suffix":""},{"dropping-particle":"","family":"Pedrosa Silva Clerici","given":"Maria Teresa","non-dropping-particle":"","parse-names":false,"suffix":""},{"dropping-particle":"","family":"Schmiele","given":"Marcio","non-dropping-particle":"","parse-names":false,"suffix":""},{"dropping-particle":"","family":"Gioia Júnior","given":"Luis Carlos","non-dropping-particle":"","parse-names":false,"suffix":""},{"dropping-particle":"","family":"Nojima","given":"Marina Akemi","non-dropping-particle":"","parse-names":false,"suffix":""},{"dropping-particle":"","family":"Steel","given":"Caroline Joy","non-dropping-particle":"","parse-names":false,"suffix":""},{"dropping-particle":"","family":"Chang","given":"Yoon Kil","non-dropping-particle":"","parse-names":false,"suffix":""},{"dropping-particle":"","family":"Pastore","given":"Glaucia Maria","non-dropping-particle":"","parse-names":false,"suffix":""},{"dropping-particle":"","family":"Nabeshima","given":"Elizabeth Harumi","non-dropping-particle":"","parse-names":false,"suffix":""}],"container-title":"Lwt","id":"ITEM-1","issued":{"date-parts":[["2019"]]},"page":"145-151","publisher":"Elsevier Ltd","title":"Orange-fleshed sweet potato flour as a precursor of aroma and color of sourdough panettones","type":"article-journal","volume":"101"},"uris":["http://www.mendeley.com/documents/?uuid=e067476e-185f-46fd-a12a-d7745efb92b0"]}],"mendeley":{"formattedCitation":"(Aparecida Pereira et al., 2019)","manualFormatting":"(Pereira et al., 2019)","plainTextFormattedCitation":"(Aparecida Pereira et al., 2019)","previouslyFormattedCitation":"(Aparecida Pereira et al., 2019)"},"properties":{"noteIndex":0},"schema":"https://github.com/citation-style-language/schema/raw/master/csl-citation.json"}</w:instrText>
      </w:r>
      <w:r w:rsidR="002947A2" w:rsidRPr="005A3C4C">
        <w:rPr>
          <w:rFonts w:ascii="Times New Roman" w:hAnsi="Times New Roman" w:cs="Times New Roman"/>
          <w:sz w:val="24"/>
          <w:szCs w:val="24"/>
        </w:rPr>
        <w:fldChar w:fldCharType="separate"/>
      </w:r>
      <w:r w:rsidR="002947A2" w:rsidRPr="005A3C4C">
        <w:rPr>
          <w:rFonts w:ascii="Times New Roman" w:hAnsi="Times New Roman" w:cs="Times New Roman"/>
          <w:noProof/>
          <w:sz w:val="24"/>
          <w:szCs w:val="24"/>
        </w:rPr>
        <w:t>(Pereira et al., 2019)</w:t>
      </w:r>
      <w:r w:rsidR="002947A2" w:rsidRPr="005A3C4C">
        <w:rPr>
          <w:rFonts w:ascii="Times New Roman" w:hAnsi="Times New Roman" w:cs="Times New Roman"/>
          <w:sz w:val="24"/>
          <w:szCs w:val="24"/>
        </w:rPr>
        <w:fldChar w:fldCharType="end"/>
      </w:r>
      <w:r w:rsidR="008B2DFA" w:rsidRPr="005A3C4C">
        <w:rPr>
          <w:rFonts w:ascii="Times New Roman" w:hAnsi="Times New Roman" w:cs="Times New Roman"/>
          <w:sz w:val="24"/>
          <w:szCs w:val="24"/>
        </w:rPr>
        <w:t xml:space="preserve">. </w:t>
      </w:r>
      <w:r w:rsidRPr="005A3C4C">
        <w:rPr>
          <w:rFonts w:ascii="Times New Roman" w:hAnsi="Times New Roman" w:cs="Times New Roman"/>
          <w:sz w:val="24"/>
          <w:szCs w:val="24"/>
        </w:rPr>
        <w:t xml:space="preserve">The significant increase (p˂0.05) in the non-essential amino acid content of the formulated sample as substitution of soybean increased agrees with results of </w:t>
      </w:r>
      <w:r w:rsidR="00470F22" w:rsidRPr="005A3C4C">
        <w:rPr>
          <w:rFonts w:ascii="Times New Roman" w:hAnsi="Times New Roman" w:cs="Times New Roman"/>
          <w:sz w:val="24"/>
          <w:szCs w:val="24"/>
        </w:rPr>
        <w:fldChar w:fldCharType="begin" w:fldLock="1"/>
      </w:r>
      <w:r w:rsidR="007E3423" w:rsidRPr="005A3C4C">
        <w:rPr>
          <w:rFonts w:ascii="Times New Roman" w:hAnsi="Times New Roman" w:cs="Times New Roman"/>
          <w:sz w:val="24"/>
          <w:szCs w:val="24"/>
        </w:rPr>
        <w:instrText>ADDIN CSL_CITATION {"citationItems":[{"id":"ITEM-1","itemData":{"DOI":"10.18697/ajfand.9.1690","abstract":"The objectives of the study were to formulate composite blends (weaning foods based on locally available cereals and legumes, to chemically evaluate their nutrient values, and compare with those of a proprietary formula and recommended daily allowance (RDA). The study is part of the effort to provide home-based complementary (weaning) foods that can be more cost effective to the low income families. Three composite blends were formulated based on protein basis of the food commodities used. Standard procedures of Association of Official Analytical Chemists (AOAC) were used to determine the proximate chemical composition. Technicon amino acid analyzer was used to detect and quantify neither amino acids using nor leucine as the internal standard, while atomic absorption spectrophotometer and ion chromatographic analyzer were used to determine the mineral element composition. The overall results indicated that crude protein, lipid, fibre, ash, moisture, energy and carbohydrate were either comparable or higher than values in the proprietary formula. The subject formulae would meet the RDA for protein, lipid, magnesium, manganese and fluoride based on an estimated daily intake of 65 g of weaning foods by a normal six months old infant in Jos, Nigeria. The subject diets would not meet the RDA for other nutrients based on the same estimation. It is therefore recommended that infants fed on these formulations be breastfed for at least two years, since the formulations are not intended to substitute breast milk, but to complement it. Frequent feeding on these foods is also recommended to increase daily nutrient intake. Inclusion of other nutrient-dense food commodities or appropriate micronutrients is necessary to raise the level of nutrients. The researchers believe that complementary foods formulated from locally available food commodities have great potential in providing nutritious foods that are practical, food-based approaches, aimed at combating the problem of malnutrition among infants and children in Nigeria in particular, and developing counties in general.","author":[{"dropping-particle":"","family":"Mariam","given":"Solomon","non-dropping-particle":"","parse-names":false,"suffix":""}],"container-title":"African Journal of Food, Agriculture, Nutrition and Development","id":"ITEM-1","issue":"9","issued":{"date-parts":[["2005"]]},"page":"01-14","title":"Nutritive Value Of Three Potential Complementary Foods Based On Cereals And Legumes","type":"article-journal","volume":"5"},"uris":["http://www.mendeley.com/documents/?uuid=1622b08d-816a-4843-85b3-2a08e334c5e9"]}],"mendeley":{"formattedCitation":"(Mariam, 2005)","plainTextFormattedCitation":"(Mariam, 2005)","previouslyFormattedCitation":"(Mariam, 2005)"},"properties":{"noteIndex":0},"schema":"https://github.com/citation-style-language/schema/raw/master/csl-citation.json"}</w:instrText>
      </w:r>
      <w:r w:rsidR="00470F22" w:rsidRPr="005A3C4C">
        <w:rPr>
          <w:rFonts w:ascii="Times New Roman" w:hAnsi="Times New Roman" w:cs="Times New Roman"/>
          <w:sz w:val="24"/>
          <w:szCs w:val="24"/>
        </w:rPr>
        <w:fldChar w:fldCharType="separate"/>
      </w:r>
      <w:r w:rsidR="00470F22" w:rsidRPr="005A3C4C">
        <w:rPr>
          <w:rFonts w:ascii="Times New Roman" w:hAnsi="Times New Roman" w:cs="Times New Roman"/>
          <w:noProof/>
          <w:sz w:val="24"/>
          <w:szCs w:val="24"/>
        </w:rPr>
        <w:t>(Mariam, 2005)</w:t>
      </w:r>
      <w:r w:rsidR="00470F22" w:rsidRPr="005A3C4C">
        <w:rPr>
          <w:rFonts w:ascii="Times New Roman" w:hAnsi="Times New Roman" w:cs="Times New Roman"/>
          <w:sz w:val="24"/>
          <w:szCs w:val="24"/>
        </w:rPr>
        <w:fldChar w:fldCharType="end"/>
      </w:r>
      <w:r w:rsidR="00470F22" w:rsidRPr="005A3C4C">
        <w:rPr>
          <w:rFonts w:ascii="Times New Roman" w:hAnsi="Times New Roman" w:cs="Times New Roman"/>
          <w:sz w:val="24"/>
          <w:szCs w:val="24"/>
        </w:rPr>
        <w:t xml:space="preserve"> </w:t>
      </w:r>
      <w:r w:rsidRPr="005A3C4C">
        <w:rPr>
          <w:rFonts w:ascii="Times New Roman" w:hAnsi="Times New Roman" w:cs="Times New Roman"/>
          <w:sz w:val="24"/>
          <w:szCs w:val="24"/>
        </w:rPr>
        <w:t xml:space="preserve">who reported similar results in diets containing soybean. Glutamic acid was observed to be the most abundant non-essential amino acid (5.02 to 11.23 g/100g) present in all the samples and </w:t>
      </w:r>
      <w:r w:rsidR="00693C6E">
        <w:rPr>
          <w:rFonts w:ascii="Times New Roman" w:hAnsi="Times New Roman" w:cs="Times New Roman"/>
          <w:sz w:val="24"/>
          <w:szCs w:val="24"/>
        </w:rPr>
        <w:t>is</w:t>
      </w:r>
      <w:r w:rsidRPr="005A3C4C">
        <w:rPr>
          <w:rFonts w:ascii="Times New Roman" w:hAnsi="Times New Roman" w:cs="Times New Roman"/>
          <w:sz w:val="24"/>
          <w:szCs w:val="24"/>
        </w:rPr>
        <w:t xml:space="preserve"> useful to maintain the acid/alkaline balance in the body after conversion to glucose or sugar </w:t>
      </w:r>
      <w:r w:rsidR="001E5A68" w:rsidRPr="005A3C4C">
        <w:rPr>
          <w:rFonts w:ascii="Times New Roman" w:hAnsi="Times New Roman" w:cs="Times New Roman"/>
          <w:sz w:val="24"/>
          <w:szCs w:val="24"/>
        </w:rPr>
        <w:fldChar w:fldCharType="begin" w:fldLock="1"/>
      </w:r>
      <w:r w:rsidR="00470F22" w:rsidRPr="005A3C4C">
        <w:rPr>
          <w:rFonts w:ascii="Times New Roman" w:hAnsi="Times New Roman" w:cs="Times New Roman"/>
          <w:sz w:val="24"/>
          <w:szCs w:val="24"/>
        </w:rPr>
        <w:instrText>ADDIN CSL_CITATION {"citationItems":[{"id":"ITEM-1","itemData":{"DOI":"10.1016/j.focha.2023.100263","ISSN":"2772753X","abstract":"Cookies were produced from a blend of sorghum, orange-flesh-sweet-potato and mushroom protein isolate flour at different ratios viz: MOS A (60:20:20), MOS B (40:30:30), MOS C (30:35:35), MOS D 30:40:30) and MOS E (100% wheat flour) as control. The cookies were investigated for their physicochemical properties, amino acid profile, in vitro antioxidant, in vitro anti-inflammatory, in vivo antihyperglycemia and consumer acceptability using standard methods. The protein and fiber contents of the cookies ranged from 14.76 to 35.20% and 8.17–9.63%, respectively. The improved bioactivities of the cookies could be due to its enhanced hydrophobic, aromatic, branch chained amino acids, BV (</w:instrText>
      </w:r>
      <w:r w:rsidR="00470F22" w:rsidRPr="005A3C4C">
        <w:rPr>
          <w:rFonts w:ascii="Cambria Math" w:hAnsi="Cambria Math" w:cs="Cambria Math"/>
          <w:sz w:val="24"/>
          <w:szCs w:val="24"/>
        </w:rPr>
        <w:instrText>∼</w:instrText>
      </w:r>
      <w:r w:rsidR="00470F22" w:rsidRPr="005A3C4C">
        <w:rPr>
          <w:rFonts w:ascii="Times New Roman" w:hAnsi="Times New Roman" w:cs="Times New Roman"/>
          <w:sz w:val="24"/>
          <w:szCs w:val="24"/>
        </w:rPr>
        <w:instrText>70–76%) and Arg/Lys-contents. All the cookie samples were classified under the medium glycemic load (18–25) classification. The cookie sample MOS D has the highest hydroxyl (91.33%), DPPH radical scavenging, iron chelation (67.67%) and ferric reducing (</w:instrText>
      </w:r>
      <w:r w:rsidR="00470F22" w:rsidRPr="005A3C4C">
        <w:rPr>
          <w:rFonts w:ascii="Cambria Math" w:hAnsi="Cambria Math" w:cs="Cambria Math"/>
          <w:sz w:val="24"/>
          <w:szCs w:val="24"/>
        </w:rPr>
        <w:instrText>∼</w:instrText>
      </w:r>
      <w:r w:rsidR="00470F22" w:rsidRPr="005A3C4C">
        <w:rPr>
          <w:rFonts w:ascii="Times New Roman" w:hAnsi="Times New Roman" w:cs="Times New Roman"/>
          <w:sz w:val="24"/>
          <w:szCs w:val="24"/>
        </w:rPr>
        <w:instrText>51%) properties. Moreso, the anti-inflammatory activities of sample MOS D revealed its membrane stabilization (23.40–27.06%), anti-proteinase (23.25–27.36%), albumin denaturation inhibition (23.14–32.35%), nitric oxide scavenging (23.07–32.21%), anti-lipoxygenase (23.31–32.08%) and anti-cyclooxygenase (11.37–23.57%) to be comparable with those of diclofenac, a standard NSAIDs. However, the MOS D sample was rated highest and most acceptable by the consumers when compared with the commercial wheat cookies.","author":[{"dropping-particle":"","family":"Akinbode","given":"Badiu A.","non-dropping-particle":"","parse-names":false,"suffix":""},{"dropping-particle":"","family":"Malomo","given":"Sunday A.","non-dropping-particle":"","parse-names":false,"suffix":""},{"dropping-particle":"","family":"Asasile","given":"Israel I.","non-dropping-particle":"","parse-names":false,"suffix":""}],"container-title":"Food Chemistry Advances","id":"ITEM-1","issue":"August 2022","issued":{"date-parts":[["2023"]]},"page":"100263","publisher":"Elsevier Ltd","title":"In vitro antioxidant, anti-inflammatory and in vivo anti-hyperglycemia potentials of cookies made from sorghum, orange-flesh-sweet-potato and mushroom protein isolate flour blends fed to Wistar rats","type":"article-journal","volume":"2"},"uris":["http://www.mendeley.com/documents/?uuid=3b03a396-0f70-42d2-848d-e108c305ec64"]}],"mendeley":{"formattedCitation":"(Akinbode et al., 2023)","plainTextFormattedCitation":"(Akinbode et al., 2023)","previouslyFormattedCitation":"(Akinbode et al., 2023)"},"properties":{"noteIndex":0},"schema":"https://github.com/citation-style-language/schema/raw/master/csl-citation.json"}</w:instrText>
      </w:r>
      <w:r w:rsidR="001E5A68" w:rsidRPr="005A3C4C">
        <w:rPr>
          <w:rFonts w:ascii="Times New Roman" w:hAnsi="Times New Roman" w:cs="Times New Roman"/>
          <w:sz w:val="24"/>
          <w:szCs w:val="24"/>
        </w:rPr>
        <w:fldChar w:fldCharType="separate"/>
      </w:r>
      <w:r w:rsidR="001E5A68" w:rsidRPr="005A3C4C">
        <w:rPr>
          <w:rFonts w:ascii="Times New Roman" w:hAnsi="Times New Roman" w:cs="Times New Roman"/>
          <w:noProof/>
          <w:sz w:val="24"/>
          <w:szCs w:val="24"/>
        </w:rPr>
        <w:t>(Akinbode et al., 2023)</w:t>
      </w:r>
      <w:r w:rsidR="001E5A68" w:rsidRPr="005A3C4C">
        <w:rPr>
          <w:rFonts w:ascii="Times New Roman" w:hAnsi="Times New Roman" w:cs="Times New Roman"/>
          <w:sz w:val="24"/>
          <w:szCs w:val="24"/>
        </w:rPr>
        <w:fldChar w:fldCharType="end"/>
      </w:r>
      <w:r w:rsidRPr="005A3C4C">
        <w:rPr>
          <w:rFonts w:ascii="Times New Roman" w:hAnsi="Times New Roman" w:cs="Times New Roman"/>
          <w:sz w:val="24"/>
          <w:szCs w:val="24"/>
        </w:rPr>
        <w:t>The higher amount of acidic amino acids (glutamic acid and aspartic acid) in the samples might have positive contributory effects on the sensory attributes of the formulated samples</w:t>
      </w:r>
      <w:r w:rsidR="00A72457" w:rsidRPr="005A3C4C">
        <w:rPr>
          <w:rFonts w:ascii="Times New Roman" w:hAnsi="Times New Roman" w:cs="Times New Roman"/>
          <w:sz w:val="24"/>
          <w:szCs w:val="24"/>
        </w:rPr>
        <w:t xml:space="preserve"> </w:t>
      </w:r>
      <w:r w:rsidR="00A72457" w:rsidRPr="005A3C4C">
        <w:rPr>
          <w:rFonts w:ascii="Times New Roman" w:hAnsi="Times New Roman" w:cs="Times New Roman"/>
          <w:sz w:val="24"/>
          <w:szCs w:val="24"/>
        </w:rPr>
        <w:fldChar w:fldCharType="begin" w:fldLock="1"/>
      </w:r>
      <w:r w:rsidR="00A72457" w:rsidRPr="005A3C4C">
        <w:rPr>
          <w:rFonts w:ascii="Times New Roman" w:hAnsi="Times New Roman" w:cs="Times New Roman"/>
          <w:sz w:val="24"/>
          <w:szCs w:val="24"/>
        </w:rPr>
        <w:instrText>ADDIN CSL_CITATION {"citationItems":[{"id":"ITEM-1","itemData":{"DOI":"10.9734/AJAAR/2020/v12i230075","author":[{"dropping-particle":"","family":"Uzoaga","given":"L N","non-dropping-particle":"","parse-names":false,"suffix":""},{"dropping-particle":"","family":"Mazi","given":"E A","non-dropping-particle":"","parse-names":false,"suffix":""},{"dropping-particle":"","family":"Kanu","given":"A N","non-dropping-particle":"","parse-names":false,"suffix":""}],"id":"ITEM-1","issue":"2","issued":{"date-parts":[["2020"]]},"page":"7-19","title":"Evaluation of Nutritional and Anti Nutrition Factors of Orange-fleshed Sweet Potato , Yellow Root Cassava and Plantain Flour Blends Fortified with Moringa oleifera Leaves","type":"article-journal","volume":"12"},"uris":["http://www.mendeley.com/documents/?uuid=7f0e8316-f376-4277-ae88-f5ac1e787cd2"]}],"mendeley":{"formattedCitation":"(Uzoaga et al., 2020)","plainTextFormattedCitation":"(Uzoaga et al., 2020)","previouslyFormattedCitation":"(Uzoaga et al., 2020)"},"properties":{"noteIndex":0},"schema":"https://github.com/citation-style-language/schema/raw/master/csl-citation.json"}</w:instrText>
      </w:r>
      <w:r w:rsidR="00A72457" w:rsidRPr="005A3C4C">
        <w:rPr>
          <w:rFonts w:ascii="Times New Roman" w:hAnsi="Times New Roman" w:cs="Times New Roman"/>
          <w:sz w:val="24"/>
          <w:szCs w:val="24"/>
        </w:rPr>
        <w:fldChar w:fldCharType="separate"/>
      </w:r>
      <w:r w:rsidR="00A72457" w:rsidRPr="005A3C4C">
        <w:rPr>
          <w:rFonts w:ascii="Times New Roman" w:hAnsi="Times New Roman" w:cs="Times New Roman"/>
          <w:noProof/>
          <w:sz w:val="24"/>
          <w:szCs w:val="24"/>
        </w:rPr>
        <w:t>(Uzoaga et al., 2020)</w:t>
      </w:r>
      <w:r w:rsidR="00A72457" w:rsidRPr="005A3C4C">
        <w:rPr>
          <w:rFonts w:ascii="Times New Roman" w:hAnsi="Times New Roman" w:cs="Times New Roman"/>
          <w:sz w:val="24"/>
          <w:szCs w:val="24"/>
        </w:rPr>
        <w:fldChar w:fldCharType="end"/>
      </w:r>
      <w:r w:rsidR="00A72457" w:rsidRPr="005A3C4C">
        <w:rPr>
          <w:rFonts w:ascii="Times New Roman" w:hAnsi="Times New Roman" w:cs="Times New Roman"/>
          <w:sz w:val="24"/>
          <w:szCs w:val="24"/>
        </w:rPr>
        <w:t>.</w:t>
      </w:r>
      <w:r w:rsidRPr="005A3C4C">
        <w:rPr>
          <w:rFonts w:ascii="Times New Roman" w:hAnsi="Times New Roman" w:cs="Times New Roman"/>
          <w:b/>
          <w:sz w:val="24"/>
          <w:szCs w:val="24"/>
        </w:rPr>
        <w:t xml:space="preserve"> </w:t>
      </w:r>
    </w:p>
    <w:p w14:paraId="3F2265B7" w14:textId="77777777" w:rsidR="0025742D" w:rsidRPr="005A3C4C" w:rsidRDefault="0025742D" w:rsidP="00B44362">
      <w:pPr>
        <w:keepNext/>
        <w:keepLines/>
        <w:spacing w:before="120" w:after="120" w:line="240" w:lineRule="auto"/>
        <w:jc w:val="both"/>
        <w:outlineLvl w:val="0"/>
        <w:rPr>
          <w:rFonts w:ascii="Times New Roman" w:eastAsia="Times New Roman" w:hAnsi="Times New Roman" w:cs="Times New Roman"/>
          <w:b/>
          <w:sz w:val="24"/>
          <w:szCs w:val="24"/>
        </w:rPr>
      </w:pPr>
      <w:r w:rsidRPr="005A3C4C">
        <w:rPr>
          <w:rFonts w:ascii="Times New Roman" w:eastAsia="Times New Roman" w:hAnsi="Times New Roman" w:cs="Times New Roman"/>
          <w:b/>
          <w:sz w:val="24"/>
          <w:szCs w:val="24"/>
        </w:rPr>
        <w:t>Anti-nutrient composition of the complementary food</w:t>
      </w:r>
    </w:p>
    <w:p w14:paraId="25A50017" w14:textId="6030532F"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The alkaloid contents of the flour blends ranged from 0.122% to 0.387% as the level of incorporation of SBF increased. </w:t>
      </w:r>
      <w:r w:rsidR="00693C6E">
        <w:rPr>
          <w:rFonts w:ascii="Times New Roman" w:eastAsia="Times New Roman" w:hAnsi="Times New Roman" w:cs="Times New Roman"/>
          <w:sz w:val="24"/>
          <w:szCs w:val="24"/>
        </w:rPr>
        <w:t>ComF1 had the lowest phytate contents in the flour samples,</w:t>
      </w:r>
      <w:r w:rsidRPr="005A3C4C">
        <w:rPr>
          <w:rFonts w:ascii="Times New Roman" w:eastAsia="Times New Roman" w:hAnsi="Times New Roman" w:cs="Times New Roman"/>
          <w:sz w:val="24"/>
          <w:szCs w:val="24"/>
        </w:rPr>
        <w:t xml:space="preserve"> while ComF5 had the highest concentration. As observed, there was a significant increase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in the phytate contents between ComF1 and ComF5. This could be </w:t>
      </w:r>
      <w:r w:rsidR="00693C6E">
        <w:rPr>
          <w:rFonts w:ascii="Times New Roman" w:eastAsia="Times New Roman" w:hAnsi="Times New Roman" w:cs="Times New Roman"/>
          <w:sz w:val="24"/>
          <w:szCs w:val="24"/>
        </w:rPr>
        <w:t>because</w:t>
      </w:r>
      <w:r w:rsidRPr="005A3C4C">
        <w:rPr>
          <w:rFonts w:ascii="Times New Roman" w:eastAsia="Times New Roman" w:hAnsi="Times New Roman" w:cs="Times New Roman"/>
          <w:sz w:val="24"/>
          <w:szCs w:val="24"/>
        </w:rPr>
        <w:t xml:space="preserve"> soybean and tropical </w:t>
      </w:r>
      <w:r w:rsidR="00714AF7">
        <w:rPr>
          <w:rFonts w:ascii="Times New Roman" w:eastAsia="Times New Roman" w:hAnsi="Times New Roman" w:cs="Times New Roman"/>
          <w:sz w:val="24"/>
          <w:szCs w:val="24"/>
        </w:rPr>
        <w:t>almonds</w:t>
      </w:r>
      <w:r w:rsidRPr="005A3C4C">
        <w:rPr>
          <w:rFonts w:ascii="Times New Roman" w:eastAsia="Times New Roman" w:hAnsi="Times New Roman" w:cs="Times New Roman"/>
          <w:sz w:val="24"/>
          <w:szCs w:val="24"/>
        </w:rPr>
        <w:t xml:space="preserve"> also contain some significant amount of alkaloids</w:t>
      </w:r>
      <w:r w:rsidR="00693C6E">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as reported by </w:t>
      </w:r>
      <w:r w:rsidR="00A72457"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author":[{"dropping-particle":"","family":"Oduro","given":"I","non-dropping-particle":"","parse-names":false,"suffix":""},{"dropping-particle":"","family":"Larbie","given":"C","non-dropping-particle":"","parse-names":false,"suffix":""},{"dropping-particle":"","family":"Amoako","given":"T N E","non-dropping-particle":"","parse-names":false,"suffix":""}],"id":"ITEM-1","issue":"2","issued":{"date-parts":[["2009"]]},"page":"1-6","title":"PROXIMATE COMPOSITION AND BASIC PHYTOCHEMICAL ASSESSMENT OF TWO COMMON VARIETIES OF Terminalia catappa ( INDIAN ALMOND ).","type":"article-journal","volume":"29"},"uris":["http://www.mendeley.com/documents/?uuid=476331e5-42fa-4f4b-b290-47d7a30894ce"]}],"mendeley":{"formattedCitation":"(Oduro et al., 2009)","manualFormatting":"Oduro et al., (2009)","plainTextFormattedCitation":"(Oduro et al., 2009)","previouslyFormattedCitation":"(Oduro et al., 2009)"},"properties":{"noteIndex":0},"schema":"https://github.com/citation-style-language/schema/raw/master/csl-citation.json"}</w:instrText>
      </w:r>
      <w:r w:rsidR="00A72457" w:rsidRPr="005A3C4C">
        <w:rPr>
          <w:rFonts w:ascii="Times New Roman" w:eastAsia="Times New Roman" w:hAnsi="Times New Roman" w:cs="Times New Roman"/>
          <w:sz w:val="24"/>
          <w:szCs w:val="24"/>
        </w:rPr>
        <w:fldChar w:fldCharType="separate"/>
      </w:r>
      <w:r w:rsidR="00A72457" w:rsidRPr="005A3C4C">
        <w:rPr>
          <w:rFonts w:ascii="Times New Roman" w:eastAsia="Times New Roman" w:hAnsi="Times New Roman" w:cs="Times New Roman"/>
          <w:noProof/>
          <w:sz w:val="24"/>
          <w:szCs w:val="24"/>
        </w:rPr>
        <w:t>Oduro et al., (2009)</w:t>
      </w:r>
      <w:r w:rsidR="00A72457"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Alkaloids belong to a class of naturally occurring organic compounds that mostly contain basic nitrogen atoms. These compounds include related compounds with neutral and even weakly acidic properties. Some synthetic compounds of similar structure also belong to the class of </w:t>
      </w:r>
      <w:r w:rsidR="00693C6E">
        <w:rPr>
          <w:rFonts w:ascii="Times New Roman" w:eastAsia="Times New Roman" w:hAnsi="Times New Roman" w:cs="Times New Roman"/>
          <w:sz w:val="24"/>
          <w:szCs w:val="24"/>
        </w:rPr>
        <w:t>alkaloids</w:t>
      </w:r>
      <w:r w:rsidRPr="005A3C4C">
        <w:rPr>
          <w:rFonts w:ascii="Times New Roman" w:eastAsia="Times New Roman" w:hAnsi="Times New Roman" w:cs="Times New Roman"/>
          <w:sz w:val="24"/>
          <w:szCs w:val="24"/>
        </w:rPr>
        <w:t xml:space="preserve">. Alkaloid is seen as </w:t>
      </w:r>
      <w:r w:rsidR="00693C6E">
        <w:rPr>
          <w:rFonts w:ascii="Times New Roman" w:eastAsia="Times New Roman" w:hAnsi="Times New Roman" w:cs="Times New Roman"/>
          <w:sz w:val="24"/>
          <w:szCs w:val="24"/>
        </w:rPr>
        <w:t>by-products</w:t>
      </w:r>
      <w:r w:rsidRPr="005A3C4C">
        <w:rPr>
          <w:rFonts w:ascii="Times New Roman" w:eastAsia="Times New Roman" w:hAnsi="Times New Roman" w:cs="Times New Roman"/>
          <w:sz w:val="24"/>
          <w:szCs w:val="24"/>
        </w:rPr>
        <w:t xml:space="preserve"> of plant metabolism, and they also act as protein reservoirs</w:t>
      </w:r>
      <w:r w:rsidR="003829EE" w:rsidRPr="005A3C4C">
        <w:rPr>
          <w:rFonts w:ascii="Times New Roman" w:eastAsia="Times New Roman" w:hAnsi="Times New Roman" w:cs="Times New Roman"/>
          <w:sz w:val="24"/>
          <w:szCs w:val="24"/>
        </w:rPr>
        <w:t xml:space="preserve">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2022)","plainTextFormattedCitation":"(Bukuni et al., 2022)","previouslyFormattedCitation":"(Bukuni et al., 2022)"},"properties":{"noteIndex":0},"schema":"https://github.com/citation-style-language/schema/raw/master/csl-citation.json"}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(Bukuni et al., 2022)</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They generally possess </w:t>
      </w:r>
      <w:r w:rsidR="00714AF7">
        <w:rPr>
          <w:rFonts w:ascii="Times New Roman" w:eastAsia="Times New Roman" w:hAnsi="Times New Roman" w:cs="Times New Roman"/>
          <w:sz w:val="24"/>
          <w:szCs w:val="24"/>
        </w:rPr>
        <w:t xml:space="preserve">a high level of bitterness and thus become a </w:t>
      </w:r>
      <w:r w:rsidRPr="005A3C4C">
        <w:rPr>
          <w:rFonts w:ascii="Times New Roman" w:eastAsia="Times New Roman" w:hAnsi="Times New Roman" w:cs="Times New Roman"/>
          <w:sz w:val="24"/>
          <w:szCs w:val="24"/>
        </w:rPr>
        <w:t xml:space="preserve">universal feeding deterrent in plant-herbivores interactions (EeWei, 2011). The results herein obtained are significantly lower than those reported by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Bukuni et al., (2022)</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t>
      </w:r>
    </w:p>
    <w:p w14:paraId="46012754" w14:textId="227ABAB5" w:rsidR="0025742D" w:rsidRPr="005A3C4C" w:rsidRDefault="00DB72DC" w:rsidP="00B4436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5742D" w:rsidRPr="005A3C4C">
        <w:rPr>
          <w:rFonts w:ascii="Times New Roman" w:eastAsia="Times New Roman" w:hAnsi="Times New Roman" w:cs="Times New Roman"/>
          <w:sz w:val="24"/>
          <w:szCs w:val="24"/>
        </w:rPr>
        <w:t xml:space="preserve">The trypsin inhibitor contents of the flour blend samples ranged from 0.036mg/g to 0.455mg/g. Increasing levels of </w:t>
      </w:r>
      <w:r w:rsidR="00714AF7">
        <w:rPr>
          <w:rFonts w:ascii="Times New Roman" w:eastAsia="Times New Roman" w:hAnsi="Times New Roman" w:cs="Times New Roman"/>
          <w:sz w:val="24"/>
          <w:szCs w:val="24"/>
        </w:rPr>
        <w:t>SBF incorporation didn’t significantly affect</w:t>
      </w:r>
      <w:r w:rsidR="0025742D" w:rsidRPr="005A3C4C">
        <w:rPr>
          <w:rFonts w:ascii="Times New Roman" w:eastAsia="Times New Roman" w:hAnsi="Times New Roman" w:cs="Times New Roman"/>
          <w:sz w:val="24"/>
          <w:szCs w:val="24"/>
        </w:rPr>
        <w:t xml:space="preserve"> the trypsin inhibitors in the flour blend samples. There was a significant increase in the trypsin inhibitor content between </w:t>
      </w:r>
      <w:r w:rsidR="00714AF7">
        <w:rPr>
          <w:rFonts w:ascii="Times New Roman" w:eastAsia="Times New Roman" w:hAnsi="Times New Roman" w:cs="Times New Roman"/>
          <w:sz w:val="24"/>
          <w:szCs w:val="24"/>
        </w:rPr>
        <w:t>ComF1 and</w:t>
      </w:r>
      <w:r w:rsidR="0025742D" w:rsidRPr="005A3C4C">
        <w:rPr>
          <w:rFonts w:ascii="Times New Roman" w:eastAsia="Times New Roman" w:hAnsi="Times New Roman" w:cs="Times New Roman"/>
          <w:sz w:val="24"/>
          <w:szCs w:val="24"/>
        </w:rPr>
        <w:t xml:space="preserve"> ComF4 to ComF5. This could be </w:t>
      </w:r>
      <w:r w:rsidR="00714AF7">
        <w:rPr>
          <w:rFonts w:ascii="Times New Roman" w:eastAsia="Times New Roman" w:hAnsi="Times New Roman" w:cs="Times New Roman"/>
          <w:sz w:val="24"/>
          <w:szCs w:val="24"/>
        </w:rPr>
        <w:t>since</w:t>
      </w:r>
      <w:r w:rsidR="0025742D" w:rsidRPr="005A3C4C">
        <w:rPr>
          <w:rFonts w:ascii="Times New Roman" w:eastAsia="Times New Roman" w:hAnsi="Times New Roman" w:cs="Times New Roman"/>
          <w:sz w:val="24"/>
          <w:szCs w:val="24"/>
        </w:rPr>
        <w:t xml:space="preserve"> soybean </w:t>
      </w:r>
      <w:r w:rsidR="00B8105A" w:rsidRPr="005A3C4C">
        <w:rPr>
          <w:rFonts w:ascii="Times New Roman" w:eastAsia="Times New Roman" w:hAnsi="Times New Roman" w:cs="Times New Roman"/>
          <w:sz w:val="24"/>
          <w:szCs w:val="24"/>
        </w:rPr>
        <w:t>is</w:t>
      </w:r>
      <w:r w:rsidR="0025742D" w:rsidRPr="005A3C4C">
        <w:rPr>
          <w:rFonts w:ascii="Times New Roman" w:eastAsia="Times New Roman" w:hAnsi="Times New Roman" w:cs="Times New Roman"/>
          <w:sz w:val="24"/>
          <w:szCs w:val="24"/>
        </w:rPr>
        <w:t xml:space="preserve"> known</w:t>
      </w:r>
      <w:r w:rsidR="00714AF7">
        <w:rPr>
          <w:rFonts w:ascii="Times New Roman" w:eastAsia="Times New Roman" w:hAnsi="Times New Roman" w:cs="Times New Roman"/>
          <w:sz w:val="24"/>
          <w:szCs w:val="24"/>
        </w:rPr>
        <w:t>,</w:t>
      </w:r>
      <w:r w:rsidR="0025742D" w:rsidRPr="005A3C4C">
        <w:rPr>
          <w:rFonts w:ascii="Times New Roman" w:eastAsia="Times New Roman" w:hAnsi="Times New Roman" w:cs="Times New Roman"/>
          <w:sz w:val="24"/>
          <w:szCs w:val="24"/>
        </w:rPr>
        <w:t xml:space="preserve"> just like many legumes to contain high concentrations of trypsin inhibitors</w:t>
      </w:r>
      <w:r>
        <w:rPr>
          <w:rFonts w:ascii="Times New Roman" w:eastAsia="Times New Roman" w:hAnsi="Times New Roman" w:cs="Times New Roman"/>
          <w:sz w:val="24"/>
          <w:szCs w:val="24"/>
        </w:rPr>
        <w:t>”</w:t>
      </w:r>
      <w:r w:rsidR="0025742D" w:rsidRPr="005A3C4C">
        <w:rPr>
          <w:rFonts w:ascii="Times New Roman" w:eastAsia="Times New Roman" w:hAnsi="Times New Roman" w:cs="Times New Roman"/>
          <w:sz w:val="24"/>
          <w:szCs w:val="24"/>
        </w:rPr>
        <w:t xml:space="preserve">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{"citationItems":[{"id":"ITEM-1","itemData":{"DOI":"https://doi.org/10. 1007 /s40898-018-0005-1","author":[{"dropping-particle":"","family":"Gaydhane","given":"M. K.","non-dropping-particle":"","parse-names":false,"suffix":""},{"dropping-particle":"","family":"Mahanta","given":"U.","non-dropping-particle":"","parse-names":false,"suffix":""},{"dropping-particle":"","family":"Sharma, C. S., Khandelwal, M., Ramakrishna","given":"S.","non-dropping-particle":"","parse-names":false,"suffix":""}],"container-title":"Biomanufacturing Reviews","id":"ITEM-1","issue":"1","issued":{"date-parts":[["2018"]]},"page":"1–10.","title":"Cultured meat: State of the art and future.","type":"article-journal","volume":"3"},"uris":["http://www.mendeley.com/documents/?uuid=34ef29f5-2b5c-4035-beee-137f6508b1ef"]}],"mendeley":{"formattedCitation":"(Gaydhane et al., 2018)","plainTextFormattedCitation":"(Gaydhane et al., 2018)","previouslyFormattedCitation":"(Gaydhane et al., 2018)"},"properties":{"noteIndex":0},"schema":"https://github.com/citation-style-language/schema/raw/master/csl-citation.json"}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(Gaydhane et al., 2018)</w:t>
      </w:r>
      <w:r w:rsidR="003829EE" w:rsidRPr="005A3C4C">
        <w:rPr>
          <w:rFonts w:ascii="Times New Roman" w:eastAsia="Times New Roman" w:hAnsi="Times New Roman" w:cs="Times New Roman"/>
          <w:sz w:val="24"/>
          <w:szCs w:val="24"/>
        </w:rPr>
        <w:fldChar w:fldCharType="end"/>
      </w:r>
      <w:r w:rsidR="0025742D" w:rsidRPr="005A3C4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5742D" w:rsidRPr="005A3C4C">
        <w:rPr>
          <w:rFonts w:ascii="Times New Roman" w:eastAsia="Times New Roman" w:hAnsi="Times New Roman" w:cs="Times New Roman"/>
          <w:sz w:val="24"/>
          <w:szCs w:val="24"/>
        </w:rPr>
        <w:t>The presence of protease inhibitors in the diet had been reported to form an irreversible trypsin enzyme-trypsin inhibitor complex, causing a trypsin drop in the intestine and a decrease in the diet protein digestibility, leading to slower growth. In this condition, the organism increases the secretory activity of the pancreas, which could cause pancreatic hypertrophy and hyperplasia</w:t>
      </w:r>
      <w:r>
        <w:rPr>
          <w:rFonts w:ascii="Times New Roman" w:eastAsia="Times New Roman" w:hAnsi="Times New Roman" w:cs="Times New Roman"/>
          <w:sz w:val="24"/>
          <w:szCs w:val="24"/>
        </w:rPr>
        <w:t>”</w:t>
      </w:r>
      <w:r w:rsidR="0025742D" w:rsidRPr="005A3C4C">
        <w:rPr>
          <w:rFonts w:ascii="Times New Roman" w:eastAsia="Times New Roman" w:hAnsi="Times New Roman" w:cs="Times New Roman"/>
          <w:sz w:val="24"/>
          <w:szCs w:val="24"/>
        </w:rPr>
        <w:t xml:space="preserve"> (Wilhelmi, 1955). The results of this study follow the same trend as those reported by</w:t>
      </w:r>
      <w:r w:rsidR="00B8105A" w:rsidRPr="005A3C4C">
        <w:rPr>
          <w:rFonts w:ascii="Times New Roman" w:eastAsia="Times New Roman" w:hAnsi="Times New Roman" w:cs="Times New Roman"/>
          <w:sz w:val="24"/>
          <w:szCs w:val="24"/>
        </w:rPr>
        <w:fldChar w:fldCharType="begin" w:fldLock="1"/>
      </w:r>
      <w:r w:rsidR="00483E3A"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 Bukuni et al., (2022)","plainTextFormattedCitation":"(Bukuni et al., 2022)","previouslyFormattedCitation":"(Bukuni et al., 2022)"},"properties":{"noteIndex":0},"schema":"https://github.com/citation-style-language/schema/raw/master/csl-citation.json"}</w:instrText>
      </w:r>
      <w:r w:rsidR="00B8105A" w:rsidRPr="005A3C4C">
        <w:rPr>
          <w:rFonts w:ascii="Times New Roman" w:eastAsia="Times New Roman" w:hAnsi="Times New Roman" w:cs="Times New Roman"/>
          <w:sz w:val="24"/>
          <w:szCs w:val="24"/>
        </w:rPr>
        <w:fldChar w:fldCharType="separate"/>
      </w:r>
      <w:r w:rsidR="00B8105A" w:rsidRPr="005A3C4C">
        <w:rPr>
          <w:rFonts w:ascii="Times New Roman" w:eastAsia="Times New Roman" w:hAnsi="Times New Roman" w:cs="Times New Roman"/>
          <w:noProof/>
          <w:sz w:val="24"/>
          <w:szCs w:val="24"/>
        </w:rPr>
        <w:t xml:space="preserve"> Bukuni et al., (2022)</w:t>
      </w:r>
      <w:r w:rsidR="00B8105A" w:rsidRPr="005A3C4C">
        <w:rPr>
          <w:rFonts w:ascii="Times New Roman" w:eastAsia="Times New Roman" w:hAnsi="Times New Roman" w:cs="Times New Roman"/>
          <w:sz w:val="24"/>
          <w:szCs w:val="24"/>
        </w:rPr>
        <w:fldChar w:fldCharType="end"/>
      </w:r>
      <w:r w:rsidR="0025742D" w:rsidRPr="005A3C4C">
        <w:rPr>
          <w:rFonts w:ascii="Times New Roman" w:eastAsia="Times New Roman" w:hAnsi="Times New Roman" w:cs="Times New Roman"/>
          <w:sz w:val="24"/>
          <w:szCs w:val="24"/>
        </w:rPr>
        <w:t xml:space="preserve"> and </w:t>
      </w:r>
      <w:r w:rsidR="00B8105A" w:rsidRPr="005A3C4C">
        <w:rPr>
          <w:rFonts w:ascii="Times New Roman" w:eastAsia="Times New Roman" w:hAnsi="Times New Roman" w:cs="Times New Roman"/>
          <w:sz w:val="24"/>
          <w:szCs w:val="24"/>
        </w:rPr>
        <w:fldChar w:fldCharType="begin" w:fldLock="1"/>
      </w:r>
      <w:r w:rsidR="00B8105A" w:rsidRPr="005A3C4C">
        <w:rPr>
          <w:rFonts w:ascii="Times New Roman" w:eastAsia="Times New Roman" w:hAnsi="Times New Roman" w:cs="Times New Roman"/>
          <w:sz w:val="24"/>
          <w:szCs w:val="24"/>
        </w:rPr>
        <w:instrText>ADDIN CSL_CITATION {"citationItems":[{"id":"ITEM-1","itemData":{"DOI":"10.1007/s11746-013-2407-9","author":[{"dropping-particle":"","family":"Medic","given":"Jelena","non-dropping-particle":"","parse-names":false,"suffix":""},{"dropping-particle":"","family":"Atkinson","given":"Christine","non-dropping-particle":"","parse-names":false,"suffix":""}],"id":"ITEM-1","issue":"1","issued":{"date-parts":[["2014"]]},"number-of-pages":"363-384","title":"Current Knowledge in Soybean Composition","type":"book","volume":"91"},"uris":["http://www.mendeley.com/documents/?uuid=467f0b43-0cd3-46f2-8be2-c1cd16bec057"]}],"mendeley":{"formattedCitation":"(Medic &amp; Atkinson, 2014)","manualFormatting":"(Medic et al., 2014)","plainTextFormattedCitation":"(Medic &amp; Atkinson, 2014)","previouslyFormattedCitation":"(Medic &amp; Atkinson, 2014)"},"properties":{"noteIndex":0},"schema":"https://github.com/citation-style-language/schema/raw/master/csl-citation.json"}</w:instrText>
      </w:r>
      <w:r w:rsidR="00B8105A" w:rsidRPr="005A3C4C">
        <w:rPr>
          <w:rFonts w:ascii="Times New Roman" w:eastAsia="Times New Roman" w:hAnsi="Times New Roman" w:cs="Times New Roman"/>
          <w:sz w:val="24"/>
          <w:szCs w:val="24"/>
        </w:rPr>
        <w:fldChar w:fldCharType="separate"/>
      </w:r>
      <w:r w:rsidR="00B8105A" w:rsidRPr="005A3C4C">
        <w:rPr>
          <w:rFonts w:ascii="Times New Roman" w:eastAsia="Times New Roman" w:hAnsi="Times New Roman" w:cs="Times New Roman"/>
          <w:noProof/>
          <w:sz w:val="24"/>
          <w:szCs w:val="24"/>
        </w:rPr>
        <w:t>(Medic et al., 2014)</w:t>
      </w:r>
      <w:r w:rsidR="00B8105A" w:rsidRPr="005A3C4C">
        <w:rPr>
          <w:rFonts w:ascii="Times New Roman" w:eastAsia="Times New Roman" w:hAnsi="Times New Roman" w:cs="Times New Roman"/>
          <w:sz w:val="24"/>
          <w:szCs w:val="24"/>
        </w:rPr>
        <w:fldChar w:fldCharType="end"/>
      </w:r>
      <w:r w:rsidR="0025742D" w:rsidRPr="005A3C4C">
        <w:rPr>
          <w:rFonts w:ascii="Times New Roman" w:eastAsia="Times New Roman" w:hAnsi="Times New Roman" w:cs="Times New Roman"/>
          <w:sz w:val="24"/>
          <w:szCs w:val="24"/>
        </w:rPr>
        <w:t xml:space="preserve"> but are lower comparatively.</w:t>
      </w:r>
    </w:p>
    <w:p w14:paraId="04CE1B08" w14:textId="7FCA506C" w:rsidR="00C101EB"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lastRenderedPageBreak/>
        <w:t>The tannin content of the samples was generally low</w:t>
      </w:r>
      <w:r w:rsidR="00714AF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the results ranged from 0.036% to 0.308%. The least tannin content was observed in the internal (ComF1) control sample</w:t>
      </w:r>
      <w:r w:rsidR="00714AF7">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which was significantly different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from the other sample. Tannins are considered nutritionally </w:t>
      </w:r>
    </w:p>
    <w:p w14:paraId="354EAB77" w14:textId="5B082D28"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undesirable because they precipitate proteins, inhibit digestive enzymes and affect the utilization of vitamins and minerals. Ingesting large amounts of tannins may result in adverse health effects, such as impaired microbial enzyme activity </w:t>
      </w:r>
      <w:r w:rsidR="00714AF7">
        <w:rPr>
          <w:rFonts w:ascii="Times New Roman" w:eastAsia="Times New Roman" w:hAnsi="Times New Roman" w:cs="Times New Roman"/>
          <w:sz w:val="24"/>
          <w:szCs w:val="24"/>
        </w:rPr>
        <w:t>and the formation of</w:t>
      </w:r>
      <w:r w:rsidRPr="005A3C4C">
        <w:rPr>
          <w:rFonts w:ascii="Times New Roman" w:eastAsia="Times New Roman" w:hAnsi="Times New Roman" w:cs="Times New Roman"/>
          <w:sz w:val="24"/>
          <w:szCs w:val="24"/>
        </w:rPr>
        <w:t xml:space="preserve"> irreversible </w:t>
      </w:r>
      <w:r w:rsidR="00714AF7">
        <w:rPr>
          <w:rFonts w:ascii="Times New Roman" w:eastAsia="Times New Roman" w:hAnsi="Times New Roman" w:cs="Times New Roman"/>
          <w:sz w:val="24"/>
          <w:szCs w:val="24"/>
        </w:rPr>
        <w:t>and</w:t>
      </w:r>
      <w:r w:rsidRPr="005A3C4C">
        <w:rPr>
          <w:rFonts w:ascii="Times New Roman" w:eastAsia="Times New Roman" w:hAnsi="Times New Roman" w:cs="Times New Roman"/>
          <w:sz w:val="24"/>
          <w:szCs w:val="24"/>
        </w:rPr>
        <w:t xml:space="preserve"> reversible complexes with these enzymes </w:t>
      </w:r>
      <w:r w:rsidR="00470F22" w:rsidRPr="005A3C4C">
        <w:rPr>
          <w:rFonts w:ascii="Times New Roman" w:eastAsia="Times New Roman" w:hAnsi="Times New Roman" w:cs="Times New Roman"/>
          <w:sz w:val="24"/>
          <w:szCs w:val="24"/>
        </w:rPr>
        <w:fldChar w:fldCharType="begin" w:fldLock="1"/>
      </w:r>
      <w:r w:rsidR="00470F22" w:rsidRPr="005A3C4C">
        <w:rPr>
          <w:rFonts w:ascii="Times New Roman" w:eastAsia="Times New Roman" w:hAnsi="Times New Roman" w:cs="Times New Roman"/>
          <w:sz w:val="24"/>
          <w:szCs w:val="24"/>
        </w:rPr>
        <w:instrText>ADDIN CSL_CITATION {"citationItems":[{"id":"ITEM-1","itemData":{"DOI":"https://doi.org/10.1016/B978-0-12-818444-8.00004-3","author":[{"dropping-particle":"","family":"Ram","given":"Sewa","non-dropping-particle":"","parse-names":false,"suffix":""},{"dropping-particle":"","family":"Narwal","given":"Sneh","non-dropping-particle":"","parse-names":false,"suffix":""},{"dropping-particle":"","family":"Om Prakash Gupta","given":"Vanita Pandey","non-dropping-particle":"","parse-names":false,"suffix":""},{"dropping-particle":"","family":"Singh","given":"Gyanendra Pratap","non-dropping-particle":"","parse-names":false,"suffix":""}],"container-title":"Food Science, Technology and Nutrition","id":"ITEM-1","issued":{"date-parts":[["2020"]]},"page":"101-128","title":"Anti-nutritional factors and bioavailability: approaches, challenges, and opportunities","type":"article-journal"},"uris":["http://www.mendeley.com/documents/?uuid=b627ceb8-c742-4e46-8d58-5f853211ab39"]}],"mendeley":{"formattedCitation":"(Ram et al., 2020)","plainTextFormattedCitation":"(Ram et al., 2020)","previouslyFormattedCitation":"(Ram et al., 2020)"},"properties":{"noteIndex":0},"schema":"https://github.com/citation-style-language/schema/raw/master/csl-citation.json"}</w:instrText>
      </w:r>
      <w:r w:rsidR="00470F22" w:rsidRPr="005A3C4C">
        <w:rPr>
          <w:rFonts w:ascii="Times New Roman" w:eastAsia="Times New Roman" w:hAnsi="Times New Roman" w:cs="Times New Roman"/>
          <w:sz w:val="24"/>
          <w:szCs w:val="24"/>
        </w:rPr>
        <w:fldChar w:fldCharType="separate"/>
      </w:r>
      <w:r w:rsidR="00470F22" w:rsidRPr="005A3C4C">
        <w:rPr>
          <w:rFonts w:ascii="Times New Roman" w:eastAsia="Times New Roman" w:hAnsi="Times New Roman" w:cs="Times New Roman"/>
          <w:noProof/>
          <w:sz w:val="24"/>
          <w:szCs w:val="24"/>
        </w:rPr>
        <w:t>(Ram et al., 2020)</w:t>
      </w:r>
      <w:r w:rsidR="00470F22" w:rsidRPr="005A3C4C">
        <w:rPr>
          <w:rFonts w:ascii="Times New Roman" w:eastAsia="Times New Roman" w:hAnsi="Times New Roman" w:cs="Times New Roman"/>
          <w:sz w:val="24"/>
          <w:szCs w:val="24"/>
        </w:rPr>
        <w:fldChar w:fldCharType="end"/>
      </w:r>
      <w:r w:rsidR="00714AF7">
        <w:rPr>
          <w:rFonts w:ascii="Times New Roman" w:eastAsia="Times New Roman" w:hAnsi="Times New Roman" w:cs="Times New Roman"/>
          <w:sz w:val="24"/>
          <w:szCs w:val="24"/>
        </w:rPr>
        <w:t>.</w:t>
      </w:r>
    </w:p>
    <w:p w14:paraId="27414F7F" w14:textId="154EA9DB" w:rsidR="00C101EB"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 content of oxalate in the flour blend samples ranged from 0.017% - 0.011% There was a significant difference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 xml:space="preserve">0.05) between ComF5 (external control) and the other flour blend samples. </w:t>
      </w:r>
      <w:r w:rsidR="009034BE" w:rsidRPr="005A3C4C">
        <w:rPr>
          <w:rFonts w:ascii="Times New Roman" w:eastAsia="Times New Roman" w:hAnsi="Times New Roman" w:cs="Times New Roman"/>
          <w:sz w:val="24"/>
          <w:szCs w:val="24"/>
        </w:rPr>
        <w:fldChar w:fldCharType="begin" w:fldLock="1"/>
      </w:r>
      <w:r w:rsidR="009034BE"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9034BE" w:rsidRPr="005A3C4C">
        <w:rPr>
          <w:rFonts w:ascii="Times New Roman" w:eastAsia="Times New Roman" w:hAnsi="Times New Roman" w:cs="Times New Roman"/>
          <w:sz w:val="24"/>
          <w:szCs w:val="24"/>
        </w:rPr>
        <w:fldChar w:fldCharType="separate"/>
      </w:r>
      <w:r w:rsidR="009034BE" w:rsidRPr="005A3C4C">
        <w:rPr>
          <w:rFonts w:ascii="Times New Roman" w:eastAsia="Times New Roman" w:hAnsi="Times New Roman" w:cs="Times New Roman"/>
          <w:noProof/>
          <w:sz w:val="24"/>
          <w:szCs w:val="24"/>
        </w:rPr>
        <w:t>Bukuni et al., (2022)</w:t>
      </w:r>
      <w:r w:rsidR="009034BE" w:rsidRPr="005A3C4C">
        <w:rPr>
          <w:rFonts w:ascii="Times New Roman" w:eastAsia="Times New Roman" w:hAnsi="Times New Roman" w:cs="Times New Roman"/>
          <w:sz w:val="24"/>
          <w:szCs w:val="24"/>
        </w:rPr>
        <w:fldChar w:fldCharType="end"/>
      </w:r>
      <w:r w:rsidR="009034BE"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reported an oxalate content of 0.11 mg/100g of complementary food produced from a composite flour of yellow maize, Bambara groundnuts and mango flesh, and from this result, it can be concluded that processing reduced the oxalate content of the samples. These results </w:t>
      </w:r>
      <w:r w:rsidR="006E3460">
        <w:rPr>
          <w:rFonts w:ascii="Times New Roman" w:eastAsia="Times New Roman" w:hAnsi="Times New Roman" w:cs="Times New Roman"/>
          <w:sz w:val="24"/>
          <w:szCs w:val="24"/>
        </w:rPr>
        <w:t>show</w:t>
      </w:r>
      <w:r w:rsidRPr="005A3C4C">
        <w:rPr>
          <w:rFonts w:ascii="Times New Roman" w:eastAsia="Times New Roman" w:hAnsi="Times New Roman" w:cs="Times New Roman"/>
          <w:sz w:val="24"/>
          <w:szCs w:val="24"/>
        </w:rPr>
        <w:t xml:space="preserve"> that the oxalate content in the flour blend samples </w:t>
      </w:r>
      <w:r w:rsidR="006E3460">
        <w:rPr>
          <w:rFonts w:ascii="Times New Roman" w:eastAsia="Times New Roman" w:hAnsi="Times New Roman" w:cs="Times New Roman"/>
          <w:sz w:val="24"/>
          <w:szCs w:val="24"/>
        </w:rPr>
        <w:t>was</w:t>
      </w:r>
      <w:r w:rsidRPr="005A3C4C">
        <w:rPr>
          <w:rFonts w:ascii="Times New Roman" w:eastAsia="Times New Roman" w:hAnsi="Times New Roman" w:cs="Times New Roman"/>
          <w:sz w:val="24"/>
          <w:szCs w:val="24"/>
        </w:rPr>
        <w:t xml:space="preserve"> generally low which agrees with the 0.049 mg/100g of oxalate reported in flour blend samples </w:t>
      </w:r>
      <w:r w:rsidR="00D52F3E" w:rsidRPr="005A3C4C">
        <w:rPr>
          <w:rFonts w:ascii="Times New Roman" w:eastAsia="Times New Roman" w:hAnsi="Times New Roman" w:cs="Times New Roman"/>
          <w:sz w:val="24"/>
          <w:szCs w:val="24"/>
        </w:rPr>
        <w:fldChar w:fldCharType="begin" w:fldLock="1"/>
      </w:r>
      <w:r w:rsidR="009034BE" w:rsidRPr="005A3C4C">
        <w:rPr>
          <w:rFonts w:ascii="Times New Roman" w:eastAsia="Times New Roman" w:hAnsi="Times New Roman" w:cs="Times New Roman"/>
          <w:sz w:val="24"/>
          <w:szCs w:val="24"/>
        </w:rPr>
        <w:instrText>ADDIN CSL_CITATION {"citationItems":[{"id":"ITEM-1","itemData":{"DOI":"10.9734/AJAAR/2020/v12i230075","author":[{"dropping-particle":"","family":"Uzoaga","given":"L N","non-dropping-particle":"","parse-names":false,"suffix":""},{"dropping-particle":"","family":"Mazi","given":"E A","non-dropping-particle":"","parse-names":false,"suffix":""},{"dropping-particle":"","family":"Kanu","given":"A N","non-dropping-particle":"","parse-names":false,"suffix":""}],"id":"ITEM-1","issue":"2","issued":{"date-parts":[["2020"]]},"page":"7-19","title":"Evaluation of Nutritional and Anti Nutrition Factors of Orange-fleshed Sweet Potato , Yellow Root Cassava and Plantain Flour Blends Fortified with Moringa oleifera Leaves","type":"article-journal","volume":"12"},"uris":["http://www.mendeley.com/documents/?uuid=7f0e8316-f376-4277-ae88-f5ac1e787cd2"]}],"mendeley":{"formattedCitation":"(Uzoaga et al., 2020)","plainTextFormattedCitation":"(Uzoaga et al., 2020)","previouslyFormattedCitation":"(Uzoaga et al., 2020)"},"properties":{"noteIndex":0},"schema":"https://github.com/citation-style-language/schema/raw/master/csl-citation.json"}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(Uzoaga et al., 2020)</w:t>
      </w:r>
      <w:r w:rsidR="00D52F3E" w:rsidRPr="005A3C4C">
        <w:rPr>
          <w:rFonts w:ascii="Times New Roman" w:eastAsia="Times New Roman" w:hAnsi="Times New Roman" w:cs="Times New Roman"/>
          <w:sz w:val="24"/>
          <w:szCs w:val="24"/>
        </w:rPr>
        <w:fldChar w:fldCharType="end"/>
      </w:r>
      <w:bookmarkStart w:id="9" w:name="_heading=h.wnyagw" w:colFirst="0" w:colLast="0"/>
      <w:bookmarkEnd w:id="9"/>
      <w:r w:rsidR="00C101EB" w:rsidRPr="005A3C4C">
        <w:rPr>
          <w:rFonts w:ascii="Times New Roman" w:eastAsia="Times New Roman" w:hAnsi="Times New Roman" w:cs="Times New Roman"/>
          <w:sz w:val="24"/>
          <w:szCs w:val="24"/>
        </w:rPr>
        <w:t>.</w:t>
      </w:r>
    </w:p>
    <w:p w14:paraId="3D6E1013" w14:textId="480B7CA9" w:rsidR="00AA00F6" w:rsidRPr="005A3C4C" w:rsidRDefault="00C02210" w:rsidP="00B44362">
      <w:pPr>
        <w:spacing w:line="240" w:lineRule="auto"/>
        <w:jc w:val="both"/>
        <w:rPr>
          <w:rFonts w:ascii="Times New Roman" w:hAnsi="Times New Roman" w:cs="Times New Roman"/>
          <w:sz w:val="24"/>
          <w:szCs w:val="24"/>
        </w:rPr>
      </w:pPr>
      <w:r w:rsidRPr="005A3C4C">
        <w:rPr>
          <w:rFonts w:ascii="Times New Roman" w:hAnsi="Times New Roman" w:cs="Times New Roman"/>
          <w:sz w:val="24"/>
          <w:szCs w:val="24"/>
        </w:rPr>
        <w:t xml:space="preserve">The mean scores for </w:t>
      </w:r>
      <w:r w:rsidR="006E3460">
        <w:rPr>
          <w:rFonts w:ascii="Times New Roman" w:hAnsi="Times New Roman" w:cs="Times New Roman"/>
          <w:sz w:val="24"/>
          <w:szCs w:val="24"/>
        </w:rPr>
        <w:t xml:space="preserve">the </w:t>
      </w:r>
      <w:r w:rsidRPr="005A3C4C">
        <w:rPr>
          <w:rFonts w:ascii="Times New Roman" w:hAnsi="Times New Roman" w:cs="Times New Roman"/>
          <w:sz w:val="24"/>
          <w:szCs w:val="24"/>
        </w:rPr>
        <w:t>appearance of the gruel samples ranged from 8.25% in ComF1 to 7.55% in ComF5 (reference sample).  There was a significant difference (</w:t>
      </w:r>
      <w:r w:rsidRPr="005A3C4C">
        <w:rPr>
          <w:rFonts w:ascii="Times New Roman" w:hAnsi="Times New Roman" w:cs="Times New Roman"/>
          <w:i/>
          <w:sz w:val="24"/>
          <w:szCs w:val="24"/>
        </w:rPr>
        <w:t>p&lt;</w:t>
      </w:r>
      <w:r w:rsidRPr="005A3C4C">
        <w:rPr>
          <w:rFonts w:ascii="Times New Roman" w:hAnsi="Times New Roman" w:cs="Times New Roman"/>
          <w:sz w:val="24"/>
          <w:szCs w:val="24"/>
        </w:rPr>
        <w:t xml:space="preserve">0.05) in the appearance of the gruel samples. The preference scores of tastes ranged between 7.55 and 8.15. The 100% reference sample complementary food (ComF5) was most preferred (with </w:t>
      </w:r>
      <w:r w:rsidR="006E3460">
        <w:rPr>
          <w:rFonts w:ascii="Times New Roman" w:hAnsi="Times New Roman" w:cs="Times New Roman"/>
          <w:sz w:val="24"/>
          <w:szCs w:val="24"/>
        </w:rPr>
        <w:t xml:space="preserve">a </w:t>
      </w:r>
      <w:r w:rsidRPr="005A3C4C">
        <w:rPr>
          <w:rFonts w:ascii="Times New Roman" w:hAnsi="Times New Roman" w:cs="Times New Roman"/>
          <w:sz w:val="24"/>
          <w:szCs w:val="24"/>
        </w:rPr>
        <w:t>mean score of 8.15); The mean scores for aroma ranged from 7.50 (ComF4) to 8.10 (ComF5). The mean scores for consistency ranged from 7.50 (ComF1) to 8.10 (ComF5). ComF5 gruel was the most preferred in terms of consistency. The overall acceptability mean score recorded by the gruel samples ranged between 7.06 and 8.05</w:t>
      </w:r>
      <w:r w:rsidR="00374C2A">
        <w:rPr>
          <w:rFonts w:ascii="Times New Roman" w:hAnsi="Times New Roman" w:cs="Times New Roman"/>
          <w:sz w:val="24"/>
          <w:szCs w:val="24"/>
        </w:rPr>
        <w:t>, with ComF1 recording the lowest mean of 7.06,</w:t>
      </w:r>
      <w:r w:rsidRPr="005A3C4C">
        <w:rPr>
          <w:rFonts w:ascii="Times New Roman" w:hAnsi="Times New Roman" w:cs="Times New Roman"/>
          <w:sz w:val="24"/>
          <w:szCs w:val="24"/>
        </w:rPr>
        <w:t xml:space="preserve"> which indicates ‘like moderately’ on the hedonic scale. There was however no significant difference (</w:t>
      </w:r>
      <w:r w:rsidRPr="005A3C4C">
        <w:rPr>
          <w:rFonts w:ascii="Times New Roman" w:hAnsi="Times New Roman" w:cs="Times New Roman"/>
          <w:i/>
          <w:sz w:val="24"/>
          <w:szCs w:val="24"/>
        </w:rPr>
        <w:t>p&lt;</w:t>
      </w:r>
      <w:r w:rsidRPr="005A3C4C">
        <w:rPr>
          <w:rFonts w:ascii="Times New Roman" w:hAnsi="Times New Roman" w:cs="Times New Roman"/>
          <w:sz w:val="24"/>
          <w:szCs w:val="24"/>
        </w:rPr>
        <w:t>0.05) in terms of overall acceptability between the composite gruel and the control gruel (ComF1). However, ComF1 (the control sample) had the highest mean score (8.05)</w:t>
      </w:r>
      <w:r w:rsidR="00374C2A">
        <w:rPr>
          <w:rFonts w:ascii="Times New Roman" w:hAnsi="Times New Roman" w:cs="Times New Roman"/>
          <w:sz w:val="24"/>
          <w:szCs w:val="24"/>
        </w:rPr>
        <w:t>,</w:t>
      </w:r>
      <w:r w:rsidRPr="005A3C4C">
        <w:rPr>
          <w:rFonts w:ascii="Times New Roman" w:hAnsi="Times New Roman" w:cs="Times New Roman"/>
          <w:sz w:val="24"/>
          <w:szCs w:val="24"/>
        </w:rPr>
        <w:t xml:space="preserve"> while ComF1 had the least mean score of 7.06</w:t>
      </w:r>
      <w:r w:rsidR="00AA00F6" w:rsidRPr="005A3C4C">
        <w:rPr>
          <w:rFonts w:ascii="Times New Roman" w:hAnsi="Times New Roman" w:cs="Times New Roman"/>
          <w:sz w:val="24"/>
          <w:szCs w:val="24"/>
        </w:rPr>
        <w:t>.</w:t>
      </w:r>
    </w:p>
    <w:p w14:paraId="112565BA" w14:textId="798BBECD" w:rsidR="0025742D" w:rsidRPr="005A3C4C" w:rsidRDefault="0025742D" w:rsidP="00B44362">
      <w:pPr>
        <w:spacing w:line="240" w:lineRule="auto"/>
        <w:jc w:val="both"/>
        <w:rPr>
          <w:rFonts w:ascii="Times New Roman" w:eastAsia="Times New Roman" w:hAnsi="Times New Roman" w:cs="Times New Roman"/>
          <w:b/>
          <w:sz w:val="24"/>
          <w:szCs w:val="24"/>
        </w:rPr>
      </w:pPr>
      <w:r w:rsidRPr="005A3C4C">
        <w:rPr>
          <w:rFonts w:ascii="Times New Roman" w:eastAsia="Times New Roman" w:hAnsi="Times New Roman" w:cs="Times New Roman"/>
          <w:sz w:val="24"/>
          <w:szCs w:val="24"/>
        </w:rPr>
        <w:t>The highest value (8.25) for appearance was observed in ComF1</w:t>
      </w:r>
      <w:r w:rsidR="00374C2A">
        <w:rPr>
          <w:rFonts w:ascii="Times New Roman" w:eastAsia="Times New Roman" w:hAnsi="Times New Roman" w:cs="Times New Roman"/>
          <w:sz w:val="24"/>
          <w:szCs w:val="24"/>
        </w:rPr>
        <w:t>, which indicates “like very much” on the hedonic scale,</w:t>
      </w:r>
      <w:r w:rsidRPr="005A3C4C">
        <w:rPr>
          <w:rFonts w:ascii="Times New Roman" w:eastAsia="Times New Roman" w:hAnsi="Times New Roman" w:cs="Times New Roman"/>
          <w:sz w:val="24"/>
          <w:szCs w:val="24"/>
        </w:rPr>
        <w:t xml:space="preserve"> which was significantly different (</w:t>
      </w:r>
      <w:r w:rsidRPr="005A3C4C">
        <w:rPr>
          <w:rFonts w:ascii="Times New Roman" w:eastAsia="Times New Roman" w:hAnsi="Times New Roman" w:cs="Times New Roman"/>
          <w:i/>
          <w:sz w:val="24"/>
          <w:szCs w:val="24"/>
        </w:rPr>
        <w:t>p&lt;</w:t>
      </w:r>
      <w:r w:rsidRPr="005A3C4C">
        <w:rPr>
          <w:rFonts w:ascii="Times New Roman" w:eastAsia="Times New Roman" w:hAnsi="Times New Roman" w:cs="Times New Roman"/>
          <w:sz w:val="24"/>
          <w:szCs w:val="24"/>
        </w:rPr>
        <w:t>0.05) from all the other samples except for ComF2. Beta carotenoids in OFSP have a significant role in colour (</w:t>
      </w:r>
      <w:r w:rsidR="006E3460">
        <w:rPr>
          <w:rFonts w:ascii="Times New Roman" w:eastAsia="Times New Roman" w:hAnsi="Times New Roman" w:cs="Times New Roman"/>
          <w:sz w:val="24"/>
          <w:szCs w:val="24"/>
        </w:rPr>
        <w:t>An orange</w:t>
      </w:r>
      <w:r w:rsidRPr="005A3C4C">
        <w:rPr>
          <w:rFonts w:ascii="Times New Roman" w:eastAsia="Times New Roman" w:hAnsi="Times New Roman" w:cs="Times New Roman"/>
          <w:sz w:val="24"/>
          <w:szCs w:val="24"/>
        </w:rPr>
        <w:t xml:space="preserve"> colour</w:t>
      </w:r>
      <w:r w:rsidR="00374C2A">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which is very attractive)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{"citationItems":[{"id":"ITEM-1","itemData":{"DOI":"10.4172/2155-9600.1000160","author":[{"dropping-particle":"","family":"Mitra","given":"Surajit","non-dropping-particle":"","parse-names":false,"suffix":""}],"container-title":"Journal of Nutrition and Food Science","id":"ITEM-1","issue":"8","issued":{"date-parts":[["2016"]]},"page":"6-9","title":"Nutritional Status of Orange-Fleshed Sweet Potatoes in Alleviating Vitamin A Malnutrition through a Food-Based Approach Nutrition &amp; Food Nutritional Status of Orange-Fleshed Sweet Potatoes in Alleviating Vitamin A Malnutrition through a Food-Based Approac","type":"article-journal","volume":"2"},"uris":["http://www.mendeley.com/documents/?uuid=89643bf8-570d-45a6-ba47-41ac2c254e35"]}],"mendeley":{"formattedCitation":"(Mitra, 2016)","plainTextFormattedCitation":"(Mitra, 2016)","previouslyFormattedCitation":"(Mitra, 2016)"},"properties":{"noteIndex":0},"schema":"https://github.com/citation-style-language/schema/raw/master/csl-citation.json"}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(Mitra, 2016)</w:t>
      </w:r>
      <w:r w:rsidR="00D52F3E" w:rsidRPr="005A3C4C">
        <w:rPr>
          <w:rFonts w:ascii="Times New Roman" w:eastAsia="Times New Roman" w:hAnsi="Times New Roman" w:cs="Times New Roman"/>
          <w:sz w:val="24"/>
          <w:szCs w:val="24"/>
        </w:rPr>
        <w:fldChar w:fldCharType="end"/>
      </w:r>
      <w:r w:rsidR="00D52F3E" w:rsidRPr="005A3C4C">
        <w:rPr>
          <w:rFonts w:ascii="Times New Roman" w:eastAsia="Times New Roman" w:hAnsi="Times New Roman" w:cs="Times New Roman"/>
          <w:sz w:val="24"/>
          <w:szCs w:val="24"/>
        </w:rPr>
        <w:t xml:space="preserve">. </w:t>
      </w:r>
      <w:r w:rsidRPr="005A3C4C">
        <w:rPr>
          <w:rFonts w:ascii="Times New Roman" w:eastAsia="Times New Roman" w:hAnsi="Times New Roman" w:cs="Times New Roman"/>
          <w:sz w:val="24"/>
          <w:szCs w:val="24"/>
        </w:rPr>
        <w:t xml:space="preserve">The </w:t>
      </w:r>
      <w:r w:rsidR="006E3460">
        <w:rPr>
          <w:rFonts w:ascii="Times New Roman" w:eastAsia="Times New Roman" w:hAnsi="Times New Roman" w:cs="Times New Roman"/>
          <w:sz w:val="24"/>
          <w:szCs w:val="24"/>
        </w:rPr>
        <w:t>lowest</w:t>
      </w:r>
      <w:r w:rsidRPr="005A3C4C">
        <w:rPr>
          <w:rFonts w:ascii="Times New Roman" w:eastAsia="Times New Roman" w:hAnsi="Times New Roman" w:cs="Times New Roman"/>
          <w:sz w:val="24"/>
          <w:szCs w:val="24"/>
        </w:rPr>
        <w:t xml:space="preserve"> value (7.55) for appearance was observed in ComF5</w:t>
      </w:r>
      <w:r w:rsidR="00374C2A">
        <w:rPr>
          <w:rFonts w:ascii="Times New Roman" w:eastAsia="Times New Roman" w:hAnsi="Times New Roman" w:cs="Times New Roman"/>
          <w:sz w:val="24"/>
          <w:szCs w:val="24"/>
        </w:rPr>
        <w:t>, the</w:t>
      </w:r>
      <w:r w:rsidRPr="005A3C4C">
        <w:rPr>
          <w:rFonts w:ascii="Times New Roman" w:eastAsia="Times New Roman" w:hAnsi="Times New Roman" w:cs="Times New Roman"/>
          <w:sz w:val="24"/>
          <w:szCs w:val="24"/>
        </w:rPr>
        <w:t xml:space="preserve"> control sample. Orange fleshed sweet potatoes </w:t>
      </w:r>
      <w:r w:rsidR="006E3460">
        <w:rPr>
          <w:rFonts w:ascii="Times New Roman" w:eastAsia="Times New Roman" w:hAnsi="Times New Roman" w:cs="Times New Roman"/>
          <w:sz w:val="24"/>
          <w:szCs w:val="24"/>
        </w:rPr>
        <w:t>contain</w:t>
      </w:r>
      <w:r w:rsidRPr="005A3C4C">
        <w:rPr>
          <w:rFonts w:ascii="Times New Roman" w:eastAsia="Times New Roman" w:hAnsi="Times New Roman" w:cs="Times New Roman"/>
          <w:sz w:val="24"/>
          <w:szCs w:val="24"/>
        </w:rPr>
        <w:t xml:space="preserve"> beta carotenoids and antioxidants that influence the overall </w:t>
      </w:r>
      <w:r w:rsidR="00374C2A">
        <w:rPr>
          <w:rFonts w:ascii="Times New Roman" w:eastAsia="Times New Roman" w:hAnsi="Times New Roman" w:cs="Times New Roman"/>
          <w:sz w:val="24"/>
          <w:szCs w:val="24"/>
        </w:rPr>
        <w:t>colour</w:t>
      </w:r>
      <w:r w:rsidRPr="005A3C4C">
        <w:rPr>
          <w:rFonts w:ascii="Times New Roman" w:eastAsia="Times New Roman" w:hAnsi="Times New Roman" w:cs="Times New Roman"/>
          <w:sz w:val="24"/>
          <w:szCs w:val="24"/>
        </w:rPr>
        <w:t xml:space="preserve"> of the samples. </w:t>
      </w:r>
      <w:r w:rsidR="006E3460">
        <w:rPr>
          <w:rFonts w:ascii="Times New Roman" w:eastAsia="Times New Roman" w:hAnsi="Times New Roman" w:cs="Times New Roman"/>
          <w:sz w:val="24"/>
          <w:szCs w:val="24"/>
        </w:rPr>
        <w:t>Color</w:t>
      </w:r>
      <w:r w:rsidRPr="005A3C4C">
        <w:rPr>
          <w:rFonts w:ascii="Times New Roman" w:eastAsia="Times New Roman" w:hAnsi="Times New Roman" w:cs="Times New Roman"/>
          <w:sz w:val="24"/>
          <w:szCs w:val="24"/>
        </w:rPr>
        <w:t xml:space="preserve"> is known as the only quality </w:t>
      </w:r>
      <w:r w:rsidR="00374C2A">
        <w:rPr>
          <w:rFonts w:ascii="Times New Roman" w:eastAsia="Times New Roman" w:hAnsi="Times New Roman" w:cs="Times New Roman"/>
          <w:sz w:val="24"/>
          <w:szCs w:val="24"/>
        </w:rPr>
        <w:t xml:space="preserve">on </w:t>
      </w:r>
      <w:r w:rsidR="006E3460">
        <w:rPr>
          <w:rFonts w:ascii="Times New Roman" w:eastAsia="Times New Roman" w:hAnsi="Times New Roman" w:cs="Times New Roman"/>
          <w:sz w:val="24"/>
          <w:szCs w:val="24"/>
        </w:rPr>
        <w:t>which</w:t>
      </w:r>
      <w:r w:rsidRPr="005A3C4C">
        <w:rPr>
          <w:rFonts w:ascii="Times New Roman" w:eastAsia="Times New Roman" w:hAnsi="Times New Roman" w:cs="Times New Roman"/>
          <w:sz w:val="24"/>
          <w:szCs w:val="24"/>
        </w:rPr>
        <w:t xml:space="preserve"> consumers can base their purchasing decisions </w:t>
      </w:r>
      <w:bookmarkStart w:id="10" w:name="_Hlk164328648"/>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{"citationItems":[{"id":"ITEM-1","itemData":{"DOI":"10.4172/2155-9600.1000160","author":[{"dropping-particle":"","family":"Mitra","given":"Surajit","non-dropping-particle":"","parse-names":false,"suffix":""}],"container-title":"Journal of Nutrition and Food Science","id":"ITEM-1","issue":"8","issued":{"date-parts":[["2016"]]},"page":"6-9","title":"Nutritional Status of Orange-Fleshed Sweet Potatoes in Alleviating Vitamin A Malnutrition through a Food-Based Approach Nutrition &amp; Food Nutritional Status of Orange-Fleshed Sweet Potatoes in Alleviating Vitamin A Malnutrition through a Food-Based Approac","type":"article-journal","volume":"2"},"uris":["http://www.mendeley.com/documents/?uuid=89643bf8-570d-45a6-ba47-41ac2c254e35"]}],"mendeley":{"formattedCitation":"(Mitra, 2016)","plainTextFormattedCitation":"(Mitra, 2016)","previouslyFormattedCitation":"(Mitra, 2016)"},"properties":{"noteIndex":0},"schema":"https://github.com/citation-style-language/schema/raw/master/csl-citation.json"}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(Mitra, 2016)</w:t>
      </w:r>
      <w:r w:rsidR="00D52F3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w:t>
      </w:r>
      <w:bookmarkStart w:id="11" w:name="_heading=h.4fsjm0b" w:colFirst="0" w:colLast="0"/>
      <w:bookmarkEnd w:id="10"/>
      <w:bookmarkEnd w:id="11"/>
    </w:p>
    <w:p w14:paraId="4FE25DAB" w14:textId="194D281E"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These scores indicate a taste preference ‘like moderately’. ComF4 was the least preferred with a mean score of 7.55 indicating ‘like moderately’. The low taste score for ComF4 and generally for the composite of OFSP, Soybean</w:t>
      </w:r>
      <w:r w:rsidR="006E3460">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and Tropical Almond could be attributed to the residual soybean flour which contains alkaloids </w:t>
      </w:r>
      <w:r w:rsidR="003829EE" w:rsidRPr="005A3C4C">
        <w:rPr>
          <w:rFonts w:ascii="Times New Roman" w:eastAsia="Times New Roman" w:hAnsi="Times New Roman" w:cs="Times New Roman"/>
          <w:sz w:val="24"/>
          <w:szCs w:val="24"/>
        </w:rPr>
        <w:fldChar w:fldCharType="begin" w:fldLock="1"/>
      </w:r>
      <w:r w:rsidR="003829EE" w:rsidRPr="005A3C4C">
        <w:rPr>
          <w:rFonts w:ascii="Times New Roman" w:eastAsia="Times New Roman" w:hAnsi="Times New Roman" w:cs="Times New Roman"/>
          <w:sz w:val="24"/>
          <w:szCs w:val="24"/>
        </w:rPr>
        <w:instrText>ADDIN CSL_CITATION {"citationItems":[{"id":"ITEM-1","itemData":{"DOI":"10.1007/s11746-013-2407-9","author":[{"dropping-particle":"","family":"Medic","given":"Jelena","non-dropping-particle":"","parse-names":false,"suffix":""},{"dropping-particle":"","family":"Atkinson","given":"Christine","non-dropping-particle":"","parse-names":false,"suffix":""}],"id":"ITEM-1","issue":"1","issued":{"date-parts":[["2014"]]},"number-of-pages":"363-384","title":"Current Knowledge in Soybean Composition","type":"book","volume":"91"},"uris":["http://www.mendeley.com/documents/?uuid=467f0b43-0cd3-46f2-8be2-c1cd16bec057"]}],"mendeley":{"formattedCitation":"(Medic &amp; Atkinson, 2014)","plainTextFormattedCitation":"(Medic &amp; Atkinson, 2014)","previouslyFormattedCitation":"(Medic &amp; Atkinson, 2014)"},"properties":{"noteIndex":0},"schema":"https://github.com/citation-style-language/schema/raw/master/csl-citation.json"}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 xml:space="preserve">(Medic </w:t>
      </w:r>
      <w:r w:rsidR="001B37C4">
        <w:rPr>
          <w:rFonts w:ascii="Times New Roman" w:eastAsia="Times New Roman" w:hAnsi="Times New Roman" w:cs="Times New Roman"/>
          <w:noProof/>
          <w:sz w:val="24"/>
          <w:szCs w:val="24"/>
        </w:rPr>
        <w:t>and</w:t>
      </w:r>
      <w:r w:rsidR="003829EE" w:rsidRPr="005A3C4C">
        <w:rPr>
          <w:rFonts w:ascii="Times New Roman" w:eastAsia="Times New Roman" w:hAnsi="Times New Roman" w:cs="Times New Roman"/>
          <w:noProof/>
          <w:sz w:val="24"/>
          <w:szCs w:val="24"/>
        </w:rPr>
        <w:t xml:space="preserve"> Atkinson, 2014)</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 lower preference scores for the composite gruel could be due to the inclusion of tropical almond which gave it a nutty taste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DOI":"10.3923/rjasci.2012.489.493","author":[{"dropping-particle":"","family":"Akpakpan","given":"Aniekan","non-dropping-particle":"","parse-names":false,"suffix":""},{"dropping-particle":"","family":"Akpabio","given":"Ukana","non-dropping-particle":"","parse-names":false,"suffix":""}],"container-title":"Journal of Applied Sciences","id":"ITEM-1","issue":"9-12","issued":{"date-parts":[["2012"]]},"page":"489-493","title":"Evaluation of proximate composition , mineral element and anti-nutrient in almond ( Terminalia catappa ) seeds","type":"article-journal","volume":"7"},"uris":["http://www.mendeley.com/documents/?uuid=a8a66351-aafc-4e93-b566-949973b727f7"]}],"mendeley":{"formattedCitation":"(Akpakpan &amp; Akpabio, 2012b)","plainTextFormattedCitation":"(Akpakpan &amp; Akpabio, 2012b)","previouslyFormattedCitation":"(Akpakpan &amp; Akpabio, 2012b)"},"properties":{"noteIndex":0},"schema":"https://github.com/citation-style-language/schema/raw/master/csl-citation.json"}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 xml:space="preserve">(Akpakpan </w:t>
      </w:r>
      <w:r w:rsidR="001B37C4">
        <w:rPr>
          <w:rFonts w:ascii="Times New Roman" w:eastAsia="Times New Roman" w:hAnsi="Times New Roman" w:cs="Times New Roman"/>
          <w:noProof/>
          <w:sz w:val="24"/>
          <w:szCs w:val="24"/>
        </w:rPr>
        <w:t>and</w:t>
      </w:r>
      <w:r w:rsidR="00D52F3E" w:rsidRPr="005A3C4C">
        <w:rPr>
          <w:rFonts w:ascii="Times New Roman" w:eastAsia="Times New Roman" w:hAnsi="Times New Roman" w:cs="Times New Roman"/>
          <w:noProof/>
          <w:sz w:val="24"/>
          <w:szCs w:val="24"/>
        </w:rPr>
        <w:t xml:space="preserve"> Akpabio, 2012b)</w:t>
      </w:r>
      <w:r w:rsidR="00D52F3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There was</w:t>
      </w:r>
      <w:r w:rsidR="00374C2A">
        <w:rPr>
          <w:rFonts w:ascii="Times New Roman" w:eastAsia="Times New Roman" w:hAnsi="Times New Roman" w:cs="Times New Roman"/>
          <w:sz w:val="24"/>
          <w:szCs w:val="24"/>
        </w:rPr>
        <w:t>, however,</w:t>
      </w:r>
      <w:r w:rsidRPr="005A3C4C">
        <w:rPr>
          <w:rFonts w:ascii="Times New Roman" w:eastAsia="Times New Roman" w:hAnsi="Times New Roman" w:cs="Times New Roman"/>
          <w:sz w:val="24"/>
          <w:szCs w:val="24"/>
        </w:rPr>
        <w:t xml:space="preserve"> no significant difference (</w:t>
      </w:r>
      <w:r w:rsidRPr="005A3C4C">
        <w:rPr>
          <w:rFonts w:ascii="Times New Roman" w:eastAsia="Times New Roman" w:hAnsi="Times New Roman" w:cs="Times New Roman"/>
          <w:i/>
          <w:sz w:val="24"/>
          <w:szCs w:val="24"/>
        </w:rPr>
        <w:t>p&gt;</w:t>
      </w:r>
      <w:r w:rsidRPr="005A3C4C">
        <w:rPr>
          <w:rFonts w:ascii="Times New Roman" w:eastAsia="Times New Roman" w:hAnsi="Times New Roman" w:cs="Times New Roman"/>
          <w:sz w:val="24"/>
          <w:szCs w:val="24"/>
        </w:rPr>
        <w:t xml:space="preserve"> 0.05) between the control and the composite gruels. This means that the composite gruel compared </w:t>
      </w:r>
      <w:r w:rsidR="00374C2A">
        <w:rPr>
          <w:rFonts w:ascii="Times New Roman" w:eastAsia="Times New Roman" w:hAnsi="Times New Roman" w:cs="Times New Roman"/>
          <w:sz w:val="24"/>
          <w:szCs w:val="24"/>
        </w:rPr>
        <w:t>favourably</w:t>
      </w:r>
      <w:r w:rsidRPr="005A3C4C">
        <w:rPr>
          <w:rFonts w:ascii="Times New Roman" w:eastAsia="Times New Roman" w:hAnsi="Times New Roman" w:cs="Times New Roman"/>
          <w:sz w:val="24"/>
          <w:szCs w:val="24"/>
        </w:rPr>
        <w:t xml:space="preserve"> with the control sample.  This could be due to the great aromatic </w:t>
      </w:r>
      <w:r w:rsidR="00374C2A">
        <w:rPr>
          <w:rFonts w:ascii="Times New Roman" w:eastAsia="Times New Roman" w:hAnsi="Times New Roman" w:cs="Times New Roman"/>
          <w:sz w:val="24"/>
          <w:szCs w:val="24"/>
        </w:rPr>
        <w:t>flavour</w:t>
      </w:r>
      <w:r w:rsidRPr="005A3C4C">
        <w:rPr>
          <w:rFonts w:ascii="Times New Roman" w:eastAsia="Times New Roman" w:hAnsi="Times New Roman" w:cs="Times New Roman"/>
          <w:sz w:val="24"/>
          <w:szCs w:val="24"/>
        </w:rPr>
        <w:t xml:space="preserve"> contributed by soybean flour as well as the tropical almond flour (owing to the roasting of soybean flour giving a highly </w:t>
      </w:r>
      <w:r w:rsidR="00374C2A">
        <w:rPr>
          <w:rFonts w:ascii="Times New Roman" w:eastAsia="Times New Roman" w:hAnsi="Times New Roman" w:cs="Times New Roman"/>
          <w:sz w:val="24"/>
          <w:szCs w:val="24"/>
        </w:rPr>
        <w:t>flavoured</w:t>
      </w:r>
      <w:r w:rsidRPr="005A3C4C">
        <w:rPr>
          <w:rFonts w:ascii="Times New Roman" w:eastAsia="Times New Roman" w:hAnsi="Times New Roman" w:cs="Times New Roman"/>
          <w:sz w:val="24"/>
          <w:szCs w:val="24"/>
        </w:rPr>
        <w:t xml:space="preserve"> product) </w:t>
      </w:r>
      <w:r w:rsidR="003829EE" w:rsidRPr="005A3C4C">
        <w:rPr>
          <w:rFonts w:ascii="Times New Roman" w:eastAsia="Times New Roman" w:hAnsi="Times New Roman" w:cs="Times New Roman"/>
          <w:sz w:val="24"/>
          <w:szCs w:val="24"/>
        </w:rPr>
        <w:fldChar w:fldCharType="begin" w:fldLock="1"/>
      </w:r>
      <w:r w:rsidR="00D80ABC" w:rsidRPr="005A3C4C">
        <w:rPr>
          <w:rFonts w:ascii="Times New Roman" w:eastAsia="Times New Roman" w:hAnsi="Times New Roman" w:cs="Times New Roman"/>
          <w:sz w:val="24"/>
          <w:szCs w:val="24"/>
        </w:rPr>
        <w:instrText>ADDIN CSL_CITATION {"citationItems":[{"id":"ITEM-1","itemData":{"DOI":"10.17265/2159-5828/2016.01.004","author":[{"dropping-particle":"","family":"Ezeokeke","given":"Chike Timothy","non-dropping-particle":"","parse-names":false,"suffix":""},{"dropping-particle":"","family":"Onuoha","given":"Anita Blessing","non-dropping-particle":"","parse-names":false,"suffix":""}],"id":"ITEM-1","issued":{"date-parts":[["2016"]]},"page":"139-148","title":"Nutrient Composition of Cereal (Maize), Legume (Soybean) and Fruit (Banana) as a Complementary Food for Older Infants and Their Sensory Assessment","type":"article-journal","volume":"6"},"uris":["http://www.mendeley.com/documents/?uuid=44afb417-0a0d-423f-897c-6c8476d3d6f0"]}],"mendeley":{"formattedCitation":"(Ezeokeke &amp; Onuoha, 2016)","plainTextFormattedCitation":"(Ezeokeke &amp; Onuoha, 2016)","previouslyFormattedCitation":"(Ezeokeke &amp; Onuoha, 2016)"},"properties":{"noteIndex":0},"schema":"https://github.com/citation-style-language/schema/raw/master/csl-citation.json"}</w:instrText>
      </w:r>
      <w:r w:rsidR="003829EE" w:rsidRPr="005A3C4C">
        <w:rPr>
          <w:rFonts w:ascii="Times New Roman" w:eastAsia="Times New Roman" w:hAnsi="Times New Roman" w:cs="Times New Roman"/>
          <w:sz w:val="24"/>
          <w:szCs w:val="24"/>
        </w:rPr>
        <w:fldChar w:fldCharType="separate"/>
      </w:r>
      <w:r w:rsidR="003829EE" w:rsidRPr="005A3C4C">
        <w:rPr>
          <w:rFonts w:ascii="Times New Roman" w:eastAsia="Times New Roman" w:hAnsi="Times New Roman" w:cs="Times New Roman"/>
          <w:noProof/>
          <w:sz w:val="24"/>
          <w:szCs w:val="24"/>
        </w:rPr>
        <w:t xml:space="preserve">(Ezeokeke </w:t>
      </w:r>
      <w:r w:rsidR="001B37C4">
        <w:rPr>
          <w:rFonts w:ascii="Times New Roman" w:eastAsia="Times New Roman" w:hAnsi="Times New Roman" w:cs="Times New Roman"/>
          <w:noProof/>
          <w:sz w:val="24"/>
          <w:szCs w:val="24"/>
        </w:rPr>
        <w:t>and</w:t>
      </w:r>
      <w:r w:rsidR="003829EE" w:rsidRPr="005A3C4C">
        <w:rPr>
          <w:rFonts w:ascii="Times New Roman" w:eastAsia="Times New Roman" w:hAnsi="Times New Roman" w:cs="Times New Roman"/>
          <w:noProof/>
          <w:sz w:val="24"/>
          <w:szCs w:val="24"/>
        </w:rPr>
        <w:t xml:space="preserve"> Onuoha, 2016)</w:t>
      </w:r>
      <w:r w:rsidR="003829EE"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 The Panelists accepted all the composite gruel since their mean score indicated ‘like moderately’ on the hedonic scale. Aroma is the main decisive factor that makes a product to be liked or disliked </w:t>
      </w:r>
      <w:r w:rsidR="0062055D" w:rsidRPr="005A3C4C">
        <w:rPr>
          <w:rFonts w:ascii="Times New Roman" w:eastAsia="Times New Roman" w:hAnsi="Times New Roman" w:cs="Times New Roman"/>
          <w:sz w:val="24"/>
          <w:szCs w:val="24"/>
        </w:rPr>
        <w:fldChar w:fldCharType="begin" w:fldLock="1"/>
      </w:r>
      <w:r w:rsidR="007E3423" w:rsidRPr="005A3C4C">
        <w:rPr>
          <w:rFonts w:ascii="Times New Roman" w:eastAsia="Times New Roman" w:hAnsi="Times New Roman" w:cs="Times New Roman"/>
          <w:sz w:val="24"/>
          <w:szCs w:val="24"/>
        </w:rPr>
        <w:instrText>ADDIN CSL_CITATION {"citationItems":[{"id":"ITEM-1","itemData":{"ISSN":"1996-0794","abstract":"The objectives of the present study prepare composite flours by different proportions of Bambara groundnut flour with wheat flour. Ratio range of 5 to 30% Bambara groundnut supplementation to prepare biscuits and determine the physical properties (diameter, thickness and spread factor), so as to check the effect of supplementation and sensory evaluation to assess the suitable level of Bambara groundnut flour supplementation were determined. Data showed the total carbohydrates were higher than protein in wheat flour. Bambara flour was higher in protein than wheat flour. Bambara groundnut flour was supplemented with wheat flour at 5, 10, 15, 20, 25 and 30% level. Biscuits prepared without Bambara groundnut flour were kept as control. The mean quality score of the biscuits decreased with the level of the Bambara groundnut flour was increased. Thickness of the biscuits showed gradual increase as the level of Bambara groundnut flour replacement. The highest value (60 mm) was found in T6 (30%) while lowest value (43.32 mm) was found in T0 that was control. Diameter of the biscuits showed gradual increase as the level of Bambara groundnut flour replacement. Data revealed that highest significant value (280.20 mm) was observed for the biscuits prepared from T6 while lowest values were found for biscuits prepared from T0 and T1 were 250.04 and 251.79 mm, respectively. Spread factor of the biscuits showed gradual decrease as the level of Bambara groundnut flour replacement. Data revealed that highest significant value (57.72) was observed for the biscuits prepared from T0 and lowest values (47.48 and 46.70) have been found in T5 and T6, respectively. While colour and crispiness of the biscuits showed a declining trend, there is improvement in the flavour and texture of biscuits formed. Biscuits containing 20% and lower level of the Bambara groundnut flour were acceptable in retention to their overall acceptability. Significant addition of the Bambara groundnut flour restricted the spread of the biscuits.","author":[{"dropping-particle":"","family":"Abu-Salem","given":"Ferial M","non-dropping-particle":"","parse-names":false,"suffix":""},{"dropping-particle":"","family":"Abou-Arab","given":"Azza A","non-dropping-particle":"","parse-names":false,"suffix":""}],"container-title":"African Journal of Food Science","id":"ITEM-1","issue":"7","issued":{"date-parts":[["2011"]]},"page":"376-383","title":"Effect of supplementation of Bambara groundnut (Vigna subterranean L.) flour on the quality of biscuits","type":"article-journal","volume":"5"},"uris":["http://www.mendeley.com/documents/?uuid=15d4371b-2d9e-4058-a5bb-cce335c9dbf7"]}],"mendeley":{"formattedCitation":"(Abu-Salem &amp; Abou-Arab, 2011)","plainTextFormattedCitation":"(Abu-Salem &amp; Abou-Arab, 2011)","previouslyFormattedCitation":"(Abu-Salem &amp; Abou-Arab, 2011)"},"properties":{"noteIndex":0},"schema":"https://github.com/citation-style-language/schema/raw/master/csl-citation.json"}</w:instrText>
      </w:r>
      <w:r w:rsidR="0062055D" w:rsidRPr="005A3C4C">
        <w:rPr>
          <w:rFonts w:ascii="Times New Roman" w:eastAsia="Times New Roman" w:hAnsi="Times New Roman" w:cs="Times New Roman"/>
          <w:sz w:val="24"/>
          <w:szCs w:val="24"/>
        </w:rPr>
        <w:fldChar w:fldCharType="separate"/>
      </w:r>
      <w:r w:rsidR="0062055D" w:rsidRPr="005A3C4C">
        <w:rPr>
          <w:rFonts w:ascii="Times New Roman" w:eastAsia="Times New Roman" w:hAnsi="Times New Roman" w:cs="Times New Roman"/>
          <w:noProof/>
          <w:sz w:val="24"/>
          <w:szCs w:val="24"/>
        </w:rPr>
        <w:t xml:space="preserve">(Abu-Salem </w:t>
      </w:r>
      <w:r w:rsidR="001B37C4">
        <w:rPr>
          <w:rFonts w:ascii="Times New Roman" w:eastAsia="Times New Roman" w:hAnsi="Times New Roman" w:cs="Times New Roman"/>
          <w:noProof/>
          <w:sz w:val="24"/>
          <w:szCs w:val="24"/>
        </w:rPr>
        <w:t>and</w:t>
      </w:r>
      <w:r w:rsidR="0062055D" w:rsidRPr="005A3C4C">
        <w:rPr>
          <w:rFonts w:ascii="Times New Roman" w:eastAsia="Times New Roman" w:hAnsi="Times New Roman" w:cs="Times New Roman"/>
          <w:noProof/>
          <w:sz w:val="24"/>
          <w:szCs w:val="24"/>
        </w:rPr>
        <w:t xml:space="preserve"> Abou-Arab, 2011)</w:t>
      </w:r>
      <w:r w:rsidR="0062055D" w:rsidRPr="005A3C4C">
        <w:rPr>
          <w:rFonts w:ascii="Times New Roman" w:eastAsia="Times New Roman" w:hAnsi="Times New Roman" w:cs="Times New Roman"/>
          <w:sz w:val="24"/>
          <w:szCs w:val="24"/>
        </w:rPr>
        <w:fldChar w:fldCharType="end"/>
      </w:r>
    </w:p>
    <w:p w14:paraId="69E73921" w14:textId="31470F41"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lastRenderedPageBreak/>
        <w:t>ComF5 gruel was the most preferred in terms of consistency. There was</w:t>
      </w:r>
      <w:r w:rsidR="00374C2A">
        <w:rPr>
          <w:rFonts w:ascii="Times New Roman" w:eastAsia="Times New Roman" w:hAnsi="Times New Roman" w:cs="Times New Roman"/>
          <w:sz w:val="24"/>
          <w:szCs w:val="24"/>
        </w:rPr>
        <w:t>, however,</w:t>
      </w:r>
      <w:r w:rsidRPr="005A3C4C">
        <w:rPr>
          <w:rFonts w:ascii="Times New Roman" w:eastAsia="Times New Roman" w:hAnsi="Times New Roman" w:cs="Times New Roman"/>
          <w:sz w:val="24"/>
          <w:szCs w:val="24"/>
        </w:rPr>
        <w:t xml:space="preserve"> no significant difference (</w:t>
      </w:r>
      <w:r w:rsidRPr="005A3C4C">
        <w:rPr>
          <w:rFonts w:ascii="Times New Roman" w:eastAsia="Times New Roman" w:hAnsi="Times New Roman" w:cs="Times New Roman"/>
          <w:i/>
          <w:sz w:val="24"/>
          <w:szCs w:val="24"/>
        </w:rPr>
        <w:t>p&gt;</w:t>
      </w:r>
      <w:r w:rsidRPr="005A3C4C">
        <w:rPr>
          <w:rFonts w:ascii="Times New Roman" w:eastAsia="Times New Roman" w:hAnsi="Times New Roman" w:cs="Times New Roman"/>
          <w:sz w:val="24"/>
          <w:szCs w:val="24"/>
        </w:rPr>
        <w:t xml:space="preserve"> 0.05) between the control and the composite gruels. This means that the composite gruel compared favorably with the control sample. This could be due to the increase in proteins substitution SBF contributed   as well as the tropical almond flour (owing to the roasting of soybean flour giving a good textured product) and agrees with </w:t>
      </w:r>
      <w:r w:rsidR="00D52F3E" w:rsidRPr="005A3C4C">
        <w:rPr>
          <w:rFonts w:ascii="Times New Roman" w:eastAsia="Times New Roman" w:hAnsi="Times New Roman" w:cs="Times New Roman"/>
          <w:sz w:val="24"/>
          <w:szCs w:val="24"/>
        </w:rPr>
        <w:fldChar w:fldCharType="begin" w:fldLock="1"/>
      </w:r>
      <w:r w:rsidR="00D52F3E"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52F3E" w:rsidRPr="005A3C4C">
        <w:rPr>
          <w:rFonts w:ascii="Times New Roman" w:eastAsia="Times New Roman" w:hAnsi="Times New Roman" w:cs="Times New Roman"/>
          <w:sz w:val="24"/>
          <w:szCs w:val="24"/>
        </w:rPr>
        <w:fldChar w:fldCharType="separate"/>
      </w:r>
      <w:r w:rsidR="00D52F3E" w:rsidRPr="005A3C4C">
        <w:rPr>
          <w:rFonts w:ascii="Times New Roman" w:eastAsia="Times New Roman" w:hAnsi="Times New Roman" w:cs="Times New Roman"/>
          <w:noProof/>
          <w:sz w:val="24"/>
          <w:szCs w:val="24"/>
        </w:rPr>
        <w:t>Okoronkwo et al., (2023)</w:t>
      </w:r>
      <w:r w:rsidR="00D52F3E" w:rsidRPr="005A3C4C">
        <w:rPr>
          <w:rFonts w:ascii="Times New Roman" w:eastAsia="Times New Roman" w:hAnsi="Times New Roman" w:cs="Times New Roman"/>
          <w:sz w:val="24"/>
          <w:szCs w:val="24"/>
        </w:rPr>
        <w:fldChar w:fldCharType="end"/>
      </w:r>
      <w:r w:rsidR="00D52F3E" w:rsidRPr="005A3C4C">
        <w:rPr>
          <w:rFonts w:ascii="Times New Roman" w:eastAsia="Times New Roman" w:hAnsi="Times New Roman" w:cs="Times New Roman"/>
          <w:sz w:val="24"/>
          <w:szCs w:val="24"/>
        </w:rPr>
        <w:t>.</w:t>
      </w:r>
      <w:r w:rsidRPr="005A3C4C">
        <w:rPr>
          <w:rFonts w:ascii="Times New Roman" w:eastAsia="Times New Roman" w:hAnsi="Times New Roman" w:cs="Times New Roman"/>
          <w:sz w:val="24"/>
          <w:szCs w:val="24"/>
        </w:rPr>
        <w:t xml:space="preserve"> The low </w:t>
      </w:r>
      <w:r w:rsidR="00374C2A">
        <w:rPr>
          <w:rFonts w:ascii="Times New Roman" w:eastAsia="Times New Roman" w:hAnsi="Times New Roman" w:cs="Times New Roman"/>
          <w:sz w:val="24"/>
          <w:szCs w:val="24"/>
        </w:rPr>
        <w:t>consistency values for sample ComF1 could result from</w:t>
      </w:r>
      <w:r w:rsidRPr="005A3C4C">
        <w:rPr>
          <w:rFonts w:ascii="Times New Roman" w:eastAsia="Times New Roman" w:hAnsi="Times New Roman" w:cs="Times New Roman"/>
          <w:sz w:val="24"/>
          <w:szCs w:val="24"/>
        </w:rPr>
        <w:t xml:space="preserve"> the high percentage of OFSP in the blends, which resulted in high viscosity. The pseudo-plastic nature of OFSP feels sticky in the mouth after eating </w:t>
      </w:r>
      <w:bookmarkStart w:id="12" w:name="_Hlk164328244"/>
      <w:bookmarkStart w:id="13" w:name="_Hlk164328388"/>
      <w:r w:rsidR="00DE4A1D" w:rsidRPr="005A3C4C">
        <w:rPr>
          <w:rFonts w:ascii="Times New Roman" w:eastAsia="Times New Roman" w:hAnsi="Times New Roman" w:cs="Times New Roman"/>
          <w:sz w:val="24"/>
          <w:szCs w:val="24"/>
        </w:rPr>
        <w:fldChar w:fldCharType="begin" w:fldLock="1"/>
      </w:r>
      <w:r w:rsidR="00DE4A1D"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Okoronkwo et al., (2023)</w:t>
      </w:r>
      <w:r w:rsidR="00DE4A1D" w:rsidRPr="005A3C4C">
        <w:rPr>
          <w:rFonts w:ascii="Times New Roman" w:eastAsia="Times New Roman" w:hAnsi="Times New Roman" w:cs="Times New Roman"/>
          <w:sz w:val="24"/>
          <w:szCs w:val="24"/>
        </w:rPr>
        <w:fldChar w:fldCharType="end"/>
      </w:r>
      <w:bookmarkEnd w:id="12"/>
      <w:r w:rsidRPr="005A3C4C">
        <w:rPr>
          <w:rFonts w:ascii="Times New Roman" w:eastAsia="Times New Roman" w:hAnsi="Times New Roman" w:cs="Times New Roman"/>
          <w:sz w:val="24"/>
          <w:szCs w:val="24"/>
        </w:rPr>
        <w:t xml:space="preserve">. </w:t>
      </w:r>
      <w:bookmarkEnd w:id="13"/>
      <w:r w:rsidRPr="005A3C4C">
        <w:rPr>
          <w:rFonts w:ascii="Times New Roman" w:eastAsia="Times New Roman" w:hAnsi="Times New Roman" w:cs="Times New Roman"/>
          <w:sz w:val="24"/>
          <w:szCs w:val="24"/>
        </w:rPr>
        <w:t xml:space="preserve">The results obtained in this study are higher than the values (5.10 to 6.68) reported by </w:t>
      </w:r>
      <w:r w:rsidR="00DE4A1D" w:rsidRPr="005A3C4C">
        <w:rPr>
          <w:rFonts w:ascii="Times New Roman" w:eastAsia="Times New Roman" w:hAnsi="Times New Roman" w:cs="Times New Roman"/>
          <w:sz w:val="24"/>
          <w:szCs w:val="24"/>
        </w:rPr>
        <w:fldChar w:fldCharType="begin" w:fldLock="1"/>
      </w:r>
      <w:r w:rsidR="00DE4A1D" w:rsidRPr="005A3C4C">
        <w:rPr>
          <w:rFonts w:ascii="Times New Roman" w:eastAsia="Times New Roman" w:hAnsi="Times New Roman" w:cs="Times New Roman"/>
          <w:sz w:val="24"/>
          <w:szCs w:val="24"/>
        </w:rPr>
        <w:instrText>ADDIN CSL_CITATION {"citationItems":[{"id":"ITEM-1","itemData":{"author":[{"dropping-particle":"","family":"Okoronkwo","given":"Ngozi C","non-dropping-particle":"","parse-names":false,"suffix":""},{"dropping-particle":"","family":"Okoyeuzu","given":"Chigozie F","non-dropping-particle":"","parse-names":false,"suffix":""},{"dropping-particle":"","family":"Eze","given":"Chinwe R","non-dropping-particle":"","parse-names":false,"suffix":""},{"dropping-particle":"","family":"Mbaeyi-nwaoha","given":"Ifeoma E","non-dropping-particle":"","parse-names":false,"suffix":""},{"dropping-particle":"","family":"Agbata","given":"Chidinma P","non-dropping-particle":"","parse-names":false,"suffix":""}],"id":"ITEM-1","issued":{"date-parts":[["2023"]]},"title":"Quality Evaluation of Complementary Food Produced by Solid-State Fermentation of Fonio , Soybean and Orange-Fleshed Sweet Potato Blends","type":"article-journal"},"uris":["http://www.mendeley.com/documents/?uuid=1b32221d-4860-4cc5-9b94-573d2c973b9e"]}],"mendeley":{"formattedCitation":"(Okoronkwo et al., 2023)","manualFormatting":"Okoronkwo et al., (2023)","plainTextFormattedCitation":"(Okoronkwo et al., 2023)","previouslyFormattedCitation":"(Okoronkwo et al., 2023)"},"properties":{"noteIndex":0},"schema":"https://github.com/citation-style-language/schema/raw/master/csl-citation.json"}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Okoronkwo et al., (2023)</w:t>
      </w:r>
      <w:r w:rsidR="00DE4A1D"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 xml:space="preserve">for orange-fleshed sweet potato–sorghum–soy flour complementary food.   </w:t>
      </w:r>
      <w:r w:rsidR="00E662B6" w:rsidRPr="005A3C4C">
        <w:rPr>
          <w:rFonts w:ascii="Times New Roman" w:eastAsia="Times New Roman" w:hAnsi="Times New Roman" w:cs="Times New Roman"/>
          <w:sz w:val="24"/>
          <w:szCs w:val="24"/>
        </w:rPr>
        <w:t>but disagrees</w:t>
      </w:r>
      <w:r w:rsidRPr="005A3C4C">
        <w:rPr>
          <w:rFonts w:ascii="Times New Roman" w:eastAsia="Times New Roman" w:hAnsi="Times New Roman" w:cs="Times New Roman"/>
          <w:sz w:val="24"/>
          <w:szCs w:val="24"/>
        </w:rPr>
        <w:t xml:space="preserve"> with the study reported by </w:t>
      </w:r>
      <w:r w:rsidR="00DE4A1D" w:rsidRPr="005A3C4C">
        <w:rPr>
          <w:rFonts w:ascii="Times New Roman" w:eastAsia="Times New Roman" w:hAnsi="Times New Roman" w:cs="Times New Roman"/>
          <w:sz w:val="24"/>
          <w:szCs w:val="24"/>
        </w:rPr>
        <w:fldChar w:fldCharType="begin" w:fldLock="1"/>
      </w:r>
      <w:r w:rsidR="006B4985" w:rsidRPr="005A3C4C">
        <w:rPr>
          <w:rFonts w:ascii="Times New Roman" w:eastAsia="Times New Roman" w:hAnsi="Times New Roman" w:cs="Times New Roman"/>
          <w:sz w:val="24"/>
          <w:szCs w:val="24"/>
        </w:rPr>
        <w:instrText>ADDIN CSL_CITATION {"citationItems":[{"id":"ITEM-1","itemData":{"DOI":"10.9734/AFSJ/2022/v21i230405","author":[{"dropping-particle":"","family":"Bukuni","given":"Sunday Joycelyn","non-dropping-particle":"","parse-names":false,"suffix":""},{"dropping-particle":"","family":"Ikya","given":"Julius Kwagh-al","non-dropping-particle":"","parse-names":false,"suffix":""},{"dropping-particle":"","family":"Ahure","given":"Dinnah","non-dropping-particle":"","parse-names":false,"suffix":""},{"dropping-particle":"","family":"Bongjo","given":"Ndi Betrand","non-dropping-particle":"","parse-names":false,"suffix":""}],"container-title":"Asian Food Science Journal","id":"ITEM-1","issue":"2","issued":{"date-parts":[["2022"]]},"page":"22-33","title":"Chemical and Functional Properties of Composite Flours Made from Fermented Yellow Maize , Bambara Groundnut , and Mango Fruit for ‘ Ogi ’ Production","type":"article-journal","volume":"21"},"uris":["http://www.mendeley.com/documents/?uuid=4a20d218-8ed5-4e6c-886a-ef87744f8316"]}],"mendeley":{"formattedCitation":"(Bukuni et al., 2022)","manualFormatting":"Bukuni et al., (2022)","plainTextFormattedCitation":"(Bukuni et al., 2022)","previouslyFormattedCitation":"(Bukuni et al., 2022)"},"properties":{"noteIndex":0},"schema":"https://github.com/citation-style-language/schema/raw/master/csl-citation.json"}</w:instrText>
      </w:r>
      <w:r w:rsidR="00DE4A1D" w:rsidRPr="005A3C4C">
        <w:rPr>
          <w:rFonts w:ascii="Times New Roman" w:eastAsia="Times New Roman" w:hAnsi="Times New Roman" w:cs="Times New Roman"/>
          <w:sz w:val="24"/>
          <w:szCs w:val="24"/>
        </w:rPr>
        <w:fldChar w:fldCharType="separate"/>
      </w:r>
      <w:r w:rsidR="00DE4A1D" w:rsidRPr="005A3C4C">
        <w:rPr>
          <w:rFonts w:ascii="Times New Roman" w:eastAsia="Times New Roman" w:hAnsi="Times New Roman" w:cs="Times New Roman"/>
          <w:noProof/>
          <w:sz w:val="24"/>
          <w:szCs w:val="24"/>
        </w:rPr>
        <w:t>Bukuni et al., (2022)</w:t>
      </w:r>
      <w:r w:rsidR="00DE4A1D" w:rsidRPr="005A3C4C">
        <w:rPr>
          <w:rFonts w:ascii="Times New Roman" w:eastAsia="Times New Roman" w:hAnsi="Times New Roman" w:cs="Times New Roman"/>
          <w:sz w:val="24"/>
          <w:szCs w:val="24"/>
        </w:rPr>
        <w:fldChar w:fldCharType="end"/>
      </w:r>
      <w:r w:rsidRPr="005A3C4C">
        <w:rPr>
          <w:rFonts w:ascii="Times New Roman" w:eastAsia="Times New Roman" w:hAnsi="Times New Roman" w:cs="Times New Roman"/>
          <w:sz w:val="24"/>
          <w:szCs w:val="24"/>
        </w:rPr>
        <w:t>whose consistency reduced from 6.90 - 6.</w:t>
      </w:r>
      <w:r w:rsidR="00E662B6" w:rsidRPr="005A3C4C">
        <w:rPr>
          <w:rFonts w:ascii="Times New Roman" w:eastAsia="Times New Roman" w:hAnsi="Times New Roman" w:cs="Times New Roman"/>
          <w:sz w:val="24"/>
          <w:szCs w:val="24"/>
        </w:rPr>
        <w:t>20. The</w:t>
      </w:r>
      <w:r w:rsidRPr="005A3C4C">
        <w:rPr>
          <w:rFonts w:ascii="Times New Roman" w:eastAsia="Times New Roman" w:hAnsi="Times New Roman" w:cs="Times New Roman"/>
          <w:sz w:val="24"/>
          <w:szCs w:val="24"/>
        </w:rPr>
        <w:t xml:space="preserve"> Panelists accepted all the composite gruel since their mean score indicated ‘like moderately’ on the hedonic scale.</w:t>
      </w:r>
      <w:bookmarkStart w:id="14" w:name="_heading=h.3u2rp3q" w:colFirst="0" w:colLast="0"/>
      <w:bookmarkEnd w:id="14"/>
    </w:p>
    <w:p w14:paraId="66879E92" w14:textId="004F9A37" w:rsidR="0025742D" w:rsidRPr="005A3C4C" w:rsidRDefault="0025742D" w:rsidP="00B44362">
      <w:pPr>
        <w:spacing w:after="0"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ComF1 (the control sample) had the highest mean score (8.05) while ComF1 had the least mean score of 7.06. This could be attributed to similar characteristics of the composite gruel in terms of color, consistency, taste and aroma to the control (100% reference sample). The comparatively lower ratings for the composite gruel samples with respect to ComF1 (control sample) could be due to the slight color difference (orange) and the taste. The composite gruel samples ComF2 and ComF3 compared more favorably with the control sample in terms of overall acceptability. The overall acceptability shows how much or less a product is globally accepted. Acceptability may not always depend solely on the sensory attributes of the product but also on other determinants such as physiological, behavioral and cognitive factors, related to the consumer </w:t>
      </w:r>
      <w:r w:rsidR="00D80ABC" w:rsidRPr="005A3C4C">
        <w:rPr>
          <w:rFonts w:ascii="Times New Roman" w:eastAsia="Times New Roman" w:hAnsi="Times New Roman" w:cs="Times New Roman"/>
          <w:sz w:val="24"/>
          <w:szCs w:val="24"/>
        </w:rPr>
        <w:fldChar w:fldCharType="begin" w:fldLock="1"/>
      </w:r>
      <w:r w:rsidR="00C75E6F" w:rsidRPr="005A3C4C">
        <w:rPr>
          <w:rFonts w:ascii="Times New Roman" w:eastAsia="Times New Roman" w:hAnsi="Times New Roman" w:cs="Times New Roman"/>
          <w:sz w:val="24"/>
          <w:szCs w:val="24"/>
        </w:rPr>
        <w:instrText>ADDIN CSL_CITATION {"citationItems":[{"id":"ITEM-1","itemData":{"DOI":"https://doi.org/10.12691/ajfst-5-5-7.","author":[{"dropping-particle":"","family":"Laryea","given":"D.","non-dropping-particle":"","parse-names":false,"suffix":""},{"dropping-particle":"","family":"Wireko-manu","given":"F. D.","non-dropping-particle":"","parse-names":false,"suffix":""},{"dropping-particle":"","family":"Oduro","given":"I.","non-dropping-particle":"","parse-names":false,"suffix":""}],"id":"ITEM-1","issue":"5","issued":{"date-parts":[["2017"]]},"page":"210–219.","title":"Effect of Drum Drying on the Colour , Functional and Pasting Properties of Sweetpotato-based Complementary Food.","type":"article-journal","volume":"5"},"uris":["http://www.mendeley.com/documents/?uuid=da5afbc4-fad3-439b-a434-7f23c1d5853b"]}],"mendeley":{"formattedCitation":"(Laryea et al., 2017)","plainTextFormattedCitation":"(Laryea et al., 2017)","previouslyFormattedCitation":"(Laryea et al., 2017)"},"properties":{"noteIndex":0},"schema":"https://github.com/citation-style-language/schema/raw/master/csl-citation.json"}</w:instrText>
      </w:r>
      <w:r w:rsidR="00D80ABC" w:rsidRPr="005A3C4C">
        <w:rPr>
          <w:rFonts w:ascii="Times New Roman" w:eastAsia="Times New Roman" w:hAnsi="Times New Roman" w:cs="Times New Roman"/>
          <w:sz w:val="24"/>
          <w:szCs w:val="24"/>
        </w:rPr>
        <w:fldChar w:fldCharType="separate"/>
      </w:r>
      <w:r w:rsidR="00D80ABC" w:rsidRPr="005A3C4C">
        <w:rPr>
          <w:rFonts w:ascii="Times New Roman" w:eastAsia="Times New Roman" w:hAnsi="Times New Roman" w:cs="Times New Roman"/>
          <w:noProof/>
          <w:sz w:val="24"/>
          <w:szCs w:val="24"/>
        </w:rPr>
        <w:t>(Laryea et al., 2017)</w:t>
      </w:r>
      <w:r w:rsidR="00D80ABC" w:rsidRPr="005A3C4C">
        <w:rPr>
          <w:rFonts w:ascii="Times New Roman" w:eastAsia="Times New Roman" w:hAnsi="Times New Roman" w:cs="Times New Roman"/>
          <w:sz w:val="24"/>
          <w:szCs w:val="24"/>
        </w:rPr>
        <w:fldChar w:fldCharType="end"/>
      </w:r>
      <w:r w:rsidR="00D80ABC" w:rsidRPr="005A3C4C">
        <w:rPr>
          <w:rFonts w:ascii="Times New Roman" w:eastAsia="Times New Roman" w:hAnsi="Times New Roman" w:cs="Times New Roman"/>
          <w:sz w:val="24"/>
          <w:szCs w:val="24"/>
        </w:rPr>
        <w:t>.</w:t>
      </w:r>
    </w:p>
    <w:p w14:paraId="7BDB4357" w14:textId="77777777" w:rsidR="007A528C" w:rsidRPr="005A3C4C" w:rsidRDefault="007A528C" w:rsidP="00B44362">
      <w:pPr>
        <w:spacing w:after="0"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Conclusion</w:t>
      </w:r>
    </w:p>
    <w:p w14:paraId="4E33BA1E" w14:textId="5670FA68" w:rsidR="006230EE" w:rsidRPr="005A3C4C" w:rsidRDefault="007A528C" w:rsidP="00B44362">
      <w:pPr>
        <w:pBdr>
          <w:top w:val="nil"/>
          <w:left w:val="nil"/>
          <w:bottom w:val="nil"/>
          <w:right w:val="nil"/>
          <w:between w:val="nil"/>
        </w:pBdr>
        <w:spacing w:line="240" w:lineRule="auto"/>
        <w:jc w:val="both"/>
        <w:rPr>
          <w:rFonts w:ascii="Times New Roman" w:hAnsi="Times New Roman" w:cs="Times New Roman"/>
          <w:sz w:val="24"/>
          <w:szCs w:val="24"/>
        </w:rPr>
      </w:pPr>
      <w:r w:rsidRPr="005A3C4C">
        <w:rPr>
          <w:rFonts w:ascii="Times New Roman" w:eastAsia="Times New Roman" w:hAnsi="Times New Roman" w:cs="Times New Roman"/>
          <w:sz w:val="24"/>
          <w:szCs w:val="24"/>
        </w:rPr>
        <w:t xml:space="preserve">Production of complementary </w:t>
      </w:r>
      <w:r w:rsidR="00D51AE1" w:rsidRPr="005A3C4C">
        <w:rPr>
          <w:rFonts w:ascii="Times New Roman" w:eastAsia="Times New Roman" w:hAnsi="Times New Roman" w:cs="Times New Roman"/>
          <w:sz w:val="24"/>
          <w:szCs w:val="24"/>
        </w:rPr>
        <w:t>food from OFSP, Soybean</w:t>
      </w:r>
      <w:r w:rsidR="003F696F">
        <w:rPr>
          <w:rFonts w:ascii="Times New Roman" w:eastAsia="Times New Roman" w:hAnsi="Times New Roman" w:cs="Times New Roman"/>
          <w:sz w:val="24"/>
          <w:szCs w:val="24"/>
        </w:rPr>
        <w:t>,</w:t>
      </w:r>
      <w:r w:rsidR="00D51AE1" w:rsidRPr="005A3C4C">
        <w:rPr>
          <w:rFonts w:ascii="Times New Roman" w:eastAsia="Times New Roman" w:hAnsi="Times New Roman" w:cs="Times New Roman"/>
          <w:sz w:val="24"/>
          <w:szCs w:val="24"/>
        </w:rPr>
        <w:t xml:space="preserve"> and Tropical Almond Seed Flour composite flour could provide all essential and non-essential </w:t>
      </w:r>
      <w:r w:rsidR="003F696F">
        <w:rPr>
          <w:rFonts w:ascii="Times New Roman" w:eastAsia="Times New Roman" w:hAnsi="Times New Roman" w:cs="Times New Roman"/>
          <w:sz w:val="24"/>
          <w:szCs w:val="24"/>
        </w:rPr>
        <w:t>amino</w:t>
      </w:r>
      <w:r w:rsidR="00D51AE1" w:rsidRPr="005A3C4C">
        <w:rPr>
          <w:rFonts w:ascii="Times New Roman" w:eastAsia="Times New Roman" w:hAnsi="Times New Roman" w:cs="Times New Roman"/>
          <w:sz w:val="24"/>
          <w:szCs w:val="24"/>
        </w:rPr>
        <w:t xml:space="preserve"> acids.</w:t>
      </w:r>
      <w:r w:rsidR="008A44ED" w:rsidRPr="005A3C4C">
        <w:rPr>
          <w:rFonts w:ascii="Times New Roman" w:eastAsia="Times New Roman" w:hAnsi="Times New Roman" w:cs="Times New Roman"/>
          <w:sz w:val="24"/>
          <w:szCs w:val="24"/>
        </w:rPr>
        <w:t xml:space="preserve"> Leucine (3.21 to 9.02 g/100g), isoleucine (1.30 to 4.15 g/100g), and phenylalanine (1.7 to 4.13) were the most abundant essential amino acids in the formulated samples as the level of substitution of soybean increased. Amino acids are the building blocks of proteins necessary for growth and development. </w:t>
      </w:r>
      <w:r w:rsidR="00D51AE1" w:rsidRPr="005A3C4C">
        <w:rPr>
          <w:rFonts w:ascii="Times New Roman" w:hAnsi="Times New Roman" w:cs="Times New Roman"/>
          <w:sz w:val="24"/>
          <w:szCs w:val="24"/>
        </w:rPr>
        <w:t>Antinutrient analysis highlighted lowered concentrations due to processing methods, enhancing the bioavailability of essential nutrients in complementary foods.</w:t>
      </w:r>
    </w:p>
    <w:p w14:paraId="53E33B61" w14:textId="4743570D" w:rsidR="00EF697B" w:rsidRPr="005A3C4C" w:rsidRDefault="006230EE"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hAnsi="Times New Roman" w:cs="Times New Roman"/>
          <w:sz w:val="24"/>
          <w:szCs w:val="24"/>
        </w:rPr>
        <w:t>From the study</w:t>
      </w:r>
      <w:r w:rsidR="003F696F">
        <w:rPr>
          <w:rFonts w:ascii="Times New Roman" w:hAnsi="Times New Roman" w:cs="Times New Roman"/>
          <w:sz w:val="24"/>
          <w:szCs w:val="24"/>
        </w:rPr>
        <w:t>,</w:t>
      </w:r>
      <w:r w:rsidRPr="005A3C4C">
        <w:rPr>
          <w:rFonts w:ascii="Times New Roman" w:hAnsi="Times New Roman" w:cs="Times New Roman"/>
          <w:sz w:val="24"/>
          <w:szCs w:val="24"/>
        </w:rPr>
        <w:t xml:space="preserve"> ComF3 was the most preferred. </w:t>
      </w:r>
      <w:r w:rsidR="00BC557D" w:rsidRPr="005A3C4C">
        <w:rPr>
          <w:rFonts w:ascii="Times New Roman" w:hAnsi="Times New Roman" w:cs="Times New Roman"/>
          <w:sz w:val="24"/>
          <w:szCs w:val="24"/>
        </w:rPr>
        <w:t>S</w:t>
      </w:r>
      <w:r w:rsidR="00D51AE1" w:rsidRPr="005A3C4C">
        <w:rPr>
          <w:rFonts w:ascii="Times New Roman" w:hAnsi="Times New Roman" w:cs="Times New Roman"/>
          <w:sz w:val="24"/>
          <w:szCs w:val="24"/>
        </w:rPr>
        <w:t xml:space="preserve">ensory </w:t>
      </w:r>
      <w:r w:rsidRPr="005A3C4C">
        <w:rPr>
          <w:rFonts w:ascii="Times New Roman" w:hAnsi="Times New Roman" w:cs="Times New Roman"/>
          <w:sz w:val="24"/>
          <w:szCs w:val="24"/>
        </w:rPr>
        <w:t>attributes</w:t>
      </w:r>
      <w:r w:rsidR="00D51AE1" w:rsidRPr="005A3C4C">
        <w:rPr>
          <w:rFonts w:ascii="Times New Roman" w:hAnsi="Times New Roman" w:cs="Times New Roman"/>
          <w:sz w:val="24"/>
          <w:szCs w:val="24"/>
        </w:rPr>
        <w:t xml:space="preserve"> indicated general acceptability of the formulated samples, yet overall scores fell below those of the reference sample (ComF5), signaling potential areas for improvement in sensory attributes to match or exceed consumer expectations.</w:t>
      </w:r>
      <w:r w:rsidR="008A44ED" w:rsidRPr="005A3C4C">
        <w:rPr>
          <w:rFonts w:ascii="Times New Roman" w:eastAsia="Times New Roman" w:hAnsi="Times New Roman" w:cs="Times New Roman"/>
          <w:sz w:val="24"/>
          <w:szCs w:val="24"/>
        </w:rPr>
        <w:t xml:space="preserve"> Complementary foods w</w:t>
      </w:r>
      <w:r w:rsidR="009204E7" w:rsidRPr="005A3C4C">
        <w:rPr>
          <w:rFonts w:ascii="Times New Roman" w:eastAsia="Times New Roman" w:hAnsi="Times New Roman" w:cs="Times New Roman"/>
          <w:sz w:val="24"/>
          <w:szCs w:val="24"/>
        </w:rPr>
        <w:t>ere</w:t>
      </w:r>
      <w:r w:rsidR="008A44ED" w:rsidRPr="005A3C4C">
        <w:rPr>
          <w:rFonts w:ascii="Times New Roman" w:eastAsia="Times New Roman" w:hAnsi="Times New Roman" w:cs="Times New Roman"/>
          <w:sz w:val="24"/>
          <w:szCs w:val="24"/>
        </w:rPr>
        <w:t xml:space="preserve"> successfully produced from OFSP, Soybean</w:t>
      </w:r>
      <w:r w:rsidR="003F696F">
        <w:rPr>
          <w:rFonts w:ascii="Times New Roman" w:eastAsia="Times New Roman" w:hAnsi="Times New Roman" w:cs="Times New Roman"/>
          <w:sz w:val="24"/>
          <w:szCs w:val="24"/>
        </w:rPr>
        <w:t>,</w:t>
      </w:r>
      <w:r w:rsidR="008A44ED" w:rsidRPr="005A3C4C">
        <w:rPr>
          <w:rFonts w:ascii="Times New Roman" w:eastAsia="Times New Roman" w:hAnsi="Times New Roman" w:cs="Times New Roman"/>
          <w:sz w:val="24"/>
          <w:szCs w:val="24"/>
        </w:rPr>
        <w:t xml:space="preserve"> and Tropical Almond Seed using ComF3 (80% OFSP, 15% soybean, 5% almond seed).</w:t>
      </w:r>
    </w:p>
    <w:p w14:paraId="408F48B3" w14:textId="40B1327F" w:rsidR="00EF697B" w:rsidRPr="00911513" w:rsidRDefault="00EF697B"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 xml:space="preserve">Author contributions Data availability: </w:t>
      </w:r>
      <w:r w:rsidR="00B44362">
        <w:rPr>
          <w:rFonts w:ascii="Times New Roman" w:eastAsia="Times New Roman" w:hAnsi="Times New Roman" w:cs="Times New Roman"/>
          <w:sz w:val="24"/>
          <w:szCs w:val="24"/>
        </w:rPr>
        <w:t>The</w:t>
      </w:r>
      <w:r w:rsidRPr="005A3C4C">
        <w:rPr>
          <w:rFonts w:ascii="Times New Roman" w:eastAsia="Times New Roman" w:hAnsi="Times New Roman" w:cs="Times New Roman"/>
          <w:sz w:val="24"/>
          <w:szCs w:val="24"/>
        </w:rPr>
        <w:t xml:space="preserve"> data sets used and/or analyzed during the current study are available from the corresponding author on reasonable request.</w:t>
      </w:r>
    </w:p>
    <w:p w14:paraId="0C7C5DB0" w14:textId="269D7340" w:rsidR="00EF697B" w:rsidRDefault="00EF697B"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 xml:space="preserve">Ethics Approval   </w:t>
      </w:r>
      <w:r w:rsidRPr="005A3C4C">
        <w:rPr>
          <w:rFonts w:ascii="Times New Roman" w:eastAsia="Times New Roman" w:hAnsi="Times New Roman" w:cs="Times New Roman"/>
          <w:sz w:val="24"/>
          <w:szCs w:val="24"/>
        </w:rPr>
        <w:t>Not applicable</w:t>
      </w:r>
    </w:p>
    <w:p w14:paraId="65CA9EC2" w14:textId="120B334C" w:rsidR="00A66762" w:rsidRPr="00B44362" w:rsidRDefault="00A66762" w:rsidP="00B44362">
      <w:pPr>
        <w:jc w:val="both"/>
        <w:rPr>
          <w:b/>
        </w:rPr>
      </w:pPr>
      <w:bookmarkStart w:id="15" w:name="_Hlk173828727"/>
      <w:r w:rsidRPr="007D01D4">
        <w:rPr>
          <w:b/>
        </w:rPr>
        <w:t>Disclaimer (Artificial intelligence)</w:t>
      </w:r>
    </w:p>
    <w:p w14:paraId="2939537B" w14:textId="09A848C8" w:rsidR="00A66762" w:rsidRDefault="00A66762" w:rsidP="00B44362">
      <w:pPr>
        <w:jc w:val="both"/>
      </w:pPr>
      <w:r>
        <w:t>Author(s) hereby declare that NO generative AI technologies such as Large Language Models (ChatGPT, COPILOT, etc</w:t>
      </w:r>
      <w:r w:rsidR="00B44362">
        <w:t xml:space="preserve">.) and text-to-image generators have been used during the </w:t>
      </w:r>
      <w:r>
        <w:t xml:space="preserve">writing or editing of manuscripts. </w:t>
      </w:r>
    </w:p>
    <w:bookmarkEnd w:id="15"/>
    <w:p w14:paraId="13C0CD83" w14:textId="2F72CC67" w:rsidR="00EF697B" w:rsidRPr="005A3C4C" w:rsidRDefault="00EF697B" w:rsidP="00B44362">
      <w:pPr>
        <w:pBdr>
          <w:top w:val="nil"/>
          <w:left w:val="nil"/>
          <w:bottom w:val="nil"/>
          <w:right w:val="nil"/>
          <w:between w:val="nil"/>
        </w:pBdr>
        <w:spacing w:line="240" w:lineRule="auto"/>
        <w:jc w:val="both"/>
        <w:rPr>
          <w:rFonts w:ascii="Times New Roman" w:eastAsia="Times New Roman" w:hAnsi="Times New Roman" w:cs="Times New Roman"/>
          <w:b/>
          <w:bCs/>
          <w:sz w:val="24"/>
          <w:szCs w:val="24"/>
        </w:rPr>
      </w:pPr>
      <w:r w:rsidRPr="005A3C4C">
        <w:rPr>
          <w:rFonts w:ascii="Times New Roman" w:eastAsia="Times New Roman" w:hAnsi="Times New Roman" w:cs="Times New Roman"/>
          <w:b/>
          <w:bCs/>
          <w:sz w:val="24"/>
          <w:szCs w:val="24"/>
        </w:rPr>
        <w:t xml:space="preserve">References </w:t>
      </w:r>
    </w:p>
    <w:p w14:paraId="675E7B30" w14:textId="3EA92268" w:rsidR="007E3423" w:rsidRPr="005A3C4C" w:rsidRDefault="00C75E6F"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eastAsia="Times New Roman" w:hAnsi="Times New Roman" w:cs="Times New Roman"/>
          <w:b/>
          <w:bCs/>
          <w:sz w:val="24"/>
          <w:szCs w:val="24"/>
        </w:rPr>
        <w:lastRenderedPageBreak/>
        <w:fldChar w:fldCharType="begin" w:fldLock="1"/>
      </w:r>
      <w:r w:rsidRPr="005A3C4C">
        <w:rPr>
          <w:rFonts w:ascii="Times New Roman" w:eastAsia="Times New Roman" w:hAnsi="Times New Roman" w:cs="Times New Roman"/>
          <w:b/>
          <w:bCs/>
          <w:sz w:val="24"/>
          <w:szCs w:val="24"/>
        </w:rPr>
        <w:instrText xml:space="preserve">ADDIN Mendeley Bibliography CSL_BIBLIOGRAPHY </w:instrText>
      </w:r>
      <w:r w:rsidRPr="005A3C4C">
        <w:rPr>
          <w:rFonts w:ascii="Times New Roman" w:eastAsia="Times New Roman" w:hAnsi="Times New Roman" w:cs="Times New Roman"/>
          <w:b/>
          <w:bCs/>
          <w:sz w:val="24"/>
          <w:szCs w:val="24"/>
        </w:rPr>
        <w:fldChar w:fldCharType="separate"/>
      </w:r>
      <w:r w:rsidR="007E3423" w:rsidRPr="005A3C4C">
        <w:rPr>
          <w:rFonts w:ascii="Times New Roman" w:hAnsi="Times New Roman" w:cs="Times New Roman"/>
          <w:noProof/>
          <w:sz w:val="24"/>
          <w:szCs w:val="24"/>
        </w:rPr>
        <w:t xml:space="preserve">Abolaji, B. F., Edeke, E. J., </w:t>
      </w:r>
      <w:r w:rsidR="001B37C4">
        <w:rPr>
          <w:rFonts w:ascii="Times New Roman" w:hAnsi="Times New Roman" w:cs="Times New Roman"/>
          <w:noProof/>
          <w:sz w:val="24"/>
          <w:szCs w:val="24"/>
        </w:rPr>
        <w:t>and</w:t>
      </w:r>
      <w:r w:rsidR="007E3423" w:rsidRPr="005A3C4C">
        <w:rPr>
          <w:rFonts w:ascii="Times New Roman" w:hAnsi="Times New Roman" w:cs="Times New Roman"/>
          <w:noProof/>
          <w:sz w:val="24"/>
          <w:szCs w:val="24"/>
        </w:rPr>
        <w:t xml:space="preserve"> Ajoke, S. M. (2019). </w:t>
      </w:r>
      <w:r w:rsidR="007E3423" w:rsidRPr="005A3C4C">
        <w:rPr>
          <w:rFonts w:ascii="Times New Roman" w:hAnsi="Times New Roman" w:cs="Times New Roman"/>
          <w:i/>
          <w:iCs/>
          <w:noProof/>
          <w:sz w:val="24"/>
          <w:szCs w:val="24"/>
        </w:rPr>
        <w:t>Evaluation of Chemical, Functional and Sensory Properties of Flour Blends from Sorghum , African Yam Bean and Soybean for Use as Complementary Feeding</w:t>
      </w:r>
      <w:r w:rsidR="007E3423" w:rsidRPr="005A3C4C">
        <w:rPr>
          <w:rFonts w:ascii="Times New Roman" w:hAnsi="Times New Roman" w:cs="Times New Roman"/>
          <w:noProof/>
          <w:sz w:val="24"/>
          <w:szCs w:val="24"/>
        </w:rPr>
        <w:t xml:space="preserve">. </w:t>
      </w:r>
      <w:r w:rsidR="007E3423" w:rsidRPr="005A3C4C">
        <w:rPr>
          <w:rFonts w:ascii="Times New Roman" w:hAnsi="Times New Roman" w:cs="Times New Roman"/>
          <w:i/>
          <w:iCs/>
          <w:noProof/>
          <w:sz w:val="24"/>
          <w:szCs w:val="24"/>
        </w:rPr>
        <w:t>4</w:t>
      </w:r>
      <w:r w:rsidR="007E3423" w:rsidRPr="005A3C4C">
        <w:rPr>
          <w:rFonts w:ascii="Times New Roman" w:hAnsi="Times New Roman" w:cs="Times New Roman"/>
          <w:noProof/>
          <w:sz w:val="24"/>
          <w:szCs w:val="24"/>
        </w:rPr>
        <w:t>(3), 74–81. https://doi.org/10.11648/j.ijfsb.20190403.13</w:t>
      </w:r>
    </w:p>
    <w:p w14:paraId="2EA8C225" w14:textId="1AFE3444"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Abu-Salem, F. M.,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Abou-Arab, A. A. (2011). Effect of supplementation of Bambara groundnut (Vigna subterranean L.) flour on the quality of biscuits. </w:t>
      </w:r>
      <w:r w:rsidRPr="005A3C4C">
        <w:rPr>
          <w:rFonts w:ascii="Times New Roman" w:hAnsi="Times New Roman" w:cs="Times New Roman"/>
          <w:i/>
          <w:iCs/>
          <w:noProof/>
          <w:sz w:val="24"/>
          <w:szCs w:val="24"/>
        </w:rPr>
        <w:t>African Journal of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w:t>
      </w:r>
      <w:r w:rsidRPr="005A3C4C">
        <w:rPr>
          <w:rFonts w:ascii="Times New Roman" w:hAnsi="Times New Roman" w:cs="Times New Roman"/>
          <w:noProof/>
          <w:sz w:val="24"/>
          <w:szCs w:val="24"/>
        </w:rPr>
        <w:t>(7), 376–383.</w:t>
      </w:r>
    </w:p>
    <w:p w14:paraId="1B2CD9E3"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Aburime, L. C. . (2012). Effect of Different Processing Methods on the Chemical Composition of African Yam Bean (Sphenostylis Stenocarpa) Flours and Organoleptic Characteristics of Their Gruels, in Home Science. </w:t>
      </w:r>
      <w:r w:rsidRPr="005A3C4C">
        <w:rPr>
          <w:rFonts w:ascii="Times New Roman" w:hAnsi="Times New Roman" w:cs="Times New Roman"/>
          <w:i/>
          <w:iCs/>
          <w:noProof/>
          <w:sz w:val="24"/>
          <w:szCs w:val="24"/>
        </w:rPr>
        <w:t>Nutrition and Dietetics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w:t>
      </w:r>
      <w:r w:rsidRPr="005A3C4C">
        <w:rPr>
          <w:rFonts w:ascii="Times New Roman" w:hAnsi="Times New Roman" w:cs="Times New Roman"/>
          <w:noProof/>
          <w:sz w:val="24"/>
          <w:szCs w:val="24"/>
        </w:rPr>
        <w:t>(1), 1–45.</w:t>
      </w:r>
    </w:p>
    <w:p w14:paraId="22AFA824" w14:textId="031D540A"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Adepoju, L. A.,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Osunde., Z. D. (2017). Effect of pretreatments and drying methods on some qualities of dried mango (Mangifera indica) fruit. </w:t>
      </w:r>
      <w:r w:rsidRPr="005A3C4C">
        <w:rPr>
          <w:rFonts w:ascii="Times New Roman" w:hAnsi="Times New Roman" w:cs="Times New Roman"/>
          <w:i/>
          <w:iCs/>
          <w:noProof/>
          <w:sz w:val="24"/>
          <w:szCs w:val="24"/>
        </w:rPr>
        <w:t>Agricultural Engineering International: CIGR Journal,</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19</w:t>
      </w:r>
      <w:r w:rsidRPr="005A3C4C">
        <w:rPr>
          <w:rFonts w:ascii="Times New Roman" w:hAnsi="Times New Roman" w:cs="Times New Roman"/>
          <w:noProof/>
          <w:sz w:val="24"/>
          <w:szCs w:val="24"/>
        </w:rPr>
        <w:t>(1), 871–194.</w:t>
      </w:r>
    </w:p>
    <w:p w14:paraId="47D23C47" w14:textId="521B24B9"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Akinbode, B. A., Malomo, S. A.,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Asasile, I. I. (2023). In vitro antioxidant, anti-inflammatory and in vivo anti-hyperglycemia potentials of cookies made from sorghum, orange-flesh-sweet-potato and mushroom protein isolate flour blends fed to Wistar rats. </w:t>
      </w:r>
      <w:r w:rsidRPr="005A3C4C">
        <w:rPr>
          <w:rFonts w:ascii="Times New Roman" w:hAnsi="Times New Roman" w:cs="Times New Roman"/>
          <w:i/>
          <w:iCs/>
          <w:noProof/>
          <w:sz w:val="24"/>
          <w:szCs w:val="24"/>
        </w:rPr>
        <w:t>Food Chemistry Advances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(August 2022), 100263. https://doi.org/10.1016/j.focha.2023.100263</w:t>
      </w:r>
    </w:p>
    <w:p w14:paraId="280CB966"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Amoroso, L. (2016). The Second International Conference on Nutrition: </w:t>
      </w:r>
      <w:r w:rsidRPr="005A3C4C">
        <w:rPr>
          <w:rFonts w:ascii="Times New Roman" w:hAnsi="Times New Roman" w:cs="Times New Roman"/>
          <w:i/>
          <w:iCs/>
          <w:noProof/>
          <w:sz w:val="24"/>
          <w:szCs w:val="24"/>
        </w:rPr>
        <w:t>Implications for Hidden Hunger.</w:t>
      </w:r>
      <w:r w:rsidRPr="005A3C4C">
        <w:rPr>
          <w:rFonts w:ascii="Times New Roman" w:hAnsi="Times New Roman" w:cs="Times New Roman"/>
          <w:noProof/>
          <w:sz w:val="24"/>
          <w:szCs w:val="24"/>
        </w:rPr>
        <w:t>, 142–152.</w:t>
      </w:r>
    </w:p>
    <w:p w14:paraId="0B314B29"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AOAC. (2015). Official Methods of Analysis. Association of Official Analytical Chemists. In </w:t>
      </w:r>
      <w:r w:rsidRPr="005A3C4C">
        <w:rPr>
          <w:rFonts w:ascii="Times New Roman" w:hAnsi="Times New Roman" w:cs="Times New Roman"/>
          <w:i/>
          <w:iCs/>
          <w:noProof/>
          <w:sz w:val="24"/>
          <w:szCs w:val="24"/>
        </w:rPr>
        <w:t>AOAC</w:t>
      </w:r>
      <w:r w:rsidRPr="005A3C4C">
        <w:rPr>
          <w:rFonts w:ascii="Times New Roman" w:hAnsi="Times New Roman" w:cs="Times New Roman"/>
          <w:noProof/>
          <w:sz w:val="24"/>
          <w:szCs w:val="24"/>
        </w:rPr>
        <w:t xml:space="preserve"> (18th ed.).</w:t>
      </w:r>
    </w:p>
    <w:p w14:paraId="17E098AE" w14:textId="5C77751F"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Bukuni, S. J., Ikya, J. K., Ahure, D.,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Bongjo, N. B. (2022). Chemical and Functional Properties of Composite Flours Made from Fermented Yellow Maize , Bambara Groundnut , and Mango Fruit for ‘ Ogi ’ Production. </w:t>
      </w:r>
      <w:r w:rsidRPr="005A3C4C">
        <w:rPr>
          <w:rFonts w:ascii="Times New Roman" w:hAnsi="Times New Roman" w:cs="Times New Roman"/>
          <w:i/>
          <w:iCs/>
          <w:noProof/>
          <w:sz w:val="24"/>
          <w:szCs w:val="24"/>
        </w:rPr>
        <w:t>Asian Food Science Journal</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21</w:t>
      </w:r>
      <w:r w:rsidRPr="005A3C4C">
        <w:rPr>
          <w:rFonts w:ascii="Times New Roman" w:hAnsi="Times New Roman" w:cs="Times New Roman"/>
          <w:noProof/>
          <w:sz w:val="24"/>
          <w:szCs w:val="24"/>
        </w:rPr>
        <w:t>(2), 22–33. https://doi.org/10.9734/AFSJ/2022/v21i230405</w:t>
      </w:r>
    </w:p>
    <w:p w14:paraId="339A7BCE" w14:textId="65A34F1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Dagne, Hailu, A., Anteneh, Temegen, K., Badi, M. B., Adhanu, H. H., Ahunie, M. A., Tebeje, H. D.,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Aynalem, G. L. (2019). Appropriate complementary feeding practice and associated factors among mothers having children aged 6-24 months in Debre Tabor Hospital, North West Ethiopia, 2016. </w:t>
      </w:r>
      <w:r w:rsidRPr="005A3C4C">
        <w:rPr>
          <w:rFonts w:ascii="Times New Roman" w:hAnsi="Times New Roman" w:cs="Times New Roman"/>
          <w:i/>
          <w:iCs/>
          <w:noProof/>
          <w:sz w:val="24"/>
          <w:szCs w:val="24"/>
        </w:rPr>
        <w:t>BMC Research Notes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12</w:t>
      </w:r>
      <w:r w:rsidRPr="005A3C4C">
        <w:rPr>
          <w:rFonts w:ascii="Times New Roman" w:hAnsi="Times New Roman" w:cs="Times New Roman"/>
          <w:noProof/>
          <w:sz w:val="24"/>
          <w:szCs w:val="24"/>
        </w:rPr>
        <w:t>(1), 1–6. https://doi.org/10.1186/s13104-019-4259-3</w:t>
      </w:r>
    </w:p>
    <w:p w14:paraId="488C638E"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Darko, S. . (2010). Compliance and Consumer Acceptability of Multiple Fortified Stock Powder,. </w:t>
      </w:r>
      <w:r w:rsidRPr="005A3C4C">
        <w:rPr>
          <w:rFonts w:ascii="Times New Roman" w:hAnsi="Times New Roman" w:cs="Times New Roman"/>
          <w:i/>
          <w:iCs/>
          <w:noProof/>
          <w:sz w:val="24"/>
          <w:szCs w:val="24"/>
        </w:rPr>
        <w:t>Journal of Applied Science10</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16</w:t>
      </w:r>
      <w:r w:rsidRPr="005A3C4C">
        <w:rPr>
          <w:rFonts w:ascii="Times New Roman" w:hAnsi="Times New Roman" w:cs="Times New Roman"/>
          <w:noProof/>
          <w:sz w:val="24"/>
          <w:szCs w:val="24"/>
        </w:rPr>
        <w:t>(1), 1732-1739.</w:t>
      </w:r>
    </w:p>
    <w:p w14:paraId="4CD410A2" w14:textId="3048F3FC"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Ezeokeke, C. T.,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Onuoha, A. B. (2016). </w:t>
      </w:r>
      <w:r w:rsidRPr="005A3C4C">
        <w:rPr>
          <w:rFonts w:ascii="Times New Roman" w:hAnsi="Times New Roman" w:cs="Times New Roman"/>
          <w:i/>
          <w:iCs/>
          <w:noProof/>
          <w:sz w:val="24"/>
          <w:szCs w:val="24"/>
        </w:rPr>
        <w:t>Nutrient Composition of Cereal (Maize), Legume (Soybean) and Fruit (Banana) as a Complementary Food for Older Infants and Their Sensory Assessment</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6</w:t>
      </w:r>
      <w:r w:rsidRPr="005A3C4C">
        <w:rPr>
          <w:rFonts w:ascii="Times New Roman" w:hAnsi="Times New Roman" w:cs="Times New Roman"/>
          <w:noProof/>
          <w:sz w:val="24"/>
          <w:szCs w:val="24"/>
        </w:rPr>
        <w:t>, 139–148. https://doi.org/10.17265/2159-5828/2016.01.004</w:t>
      </w:r>
    </w:p>
    <w:p w14:paraId="7E8EECB7" w14:textId="10388A20"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Fewtrell, M., Bronsky, J., Campoy, C., Domello, M.,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Embleton, N. (2017). Complementary Feeding: A Position Paper by the European Society for Paediatric Gastroenterology, Hepatology, and Nutrition (ESPGHAN) Committee on Nutrition. </w:t>
      </w:r>
      <w:r w:rsidRPr="005A3C4C">
        <w:rPr>
          <w:rFonts w:ascii="Times New Roman" w:hAnsi="Times New Roman" w:cs="Times New Roman"/>
          <w:i/>
          <w:iCs/>
          <w:noProof/>
          <w:sz w:val="24"/>
          <w:szCs w:val="24"/>
        </w:rPr>
        <w:t>Journal of Pediatric Gastroenterology and Gutrition</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64</w:t>
      </w:r>
      <w:r w:rsidRPr="005A3C4C">
        <w:rPr>
          <w:rFonts w:ascii="Times New Roman" w:hAnsi="Times New Roman" w:cs="Times New Roman"/>
          <w:noProof/>
          <w:sz w:val="24"/>
          <w:szCs w:val="24"/>
        </w:rPr>
        <w:t>(1), 119–132. https://doi.org/10.1097/MPG.0000000000001454</w:t>
      </w:r>
    </w:p>
    <w:p w14:paraId="4C1C2ED4" w14:textId="79AEB290"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Gaydhane, M. K., Mahanta, U.,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Sharma, C. S., Khandelwal, M., Ramakrishna, S. (2018). </w:t>
      </w:r>
      <w:r w:rsidRPr="005A3C4C">
        <w:rPr>
          <w:rFonts w:ascii="Times New Roman" w:hAnsi="Times New Roman" w:cs="Times New Roman"/>
          <w:noProof/>
          <w:sz w:val="24"/>
          <w:szCs w:val="24"/>
        </w:rPr>
        <w:lastRenderedPageBreak/>
        <w:t xml:space="preserve">Cultured meat: State of the art and future. </w:t>
      </w:r>
      <w:r w:rsidRPr="005A3C4C">
        <w:rPr>
          <w:rFonts w:ascii="Times New Roman" w:hAnsi="Times New Roman" w:cs="Times New Roman"/>
          <w:i/>
          <w:iCs/>
          <w:noProof/>
          <w:sz w:val="24"/>
          <w:szCs w:val="24"/>
        </w:rPr>
        <w:t>Biomanufacturing Reviews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3</w:t>
      </w:r>
      <w:r w:rsidRPr="005A3C4C">
        <w:rPr>
          <w:rFonts w:ascii="Times New Roman" w:hAnsi="Times New Roman" w:cs="Times New Roman"/>
          <w:noProof/>
          <w:sz w:val="24"/>
          <w:szCs w:val="24"/>
        </w:rPr>
        <w:t>(1), 1–10. https://doi.org/https://doi.org/10. 1007 /s40898-018-0005-1</w:t>
      </w:r>
    </w:p>
    <w:p w14:paraId="703D48B7"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Ijarotimi, O. S. (2022). Nutritional quality , functional property and acceptability of maize ( Zea mays ) based complementary foods enriched with defatted groundnut ( Arachis hypogea L .) and ginger ( Zinger officinale Roscoe ) powder in Wistar rats. </w:t>
      </w:r>
      <w:r w:rsidRPr="005A3C4C">
        <w:rPr>
          <w:rFonts w:ascii="Times New Roman" w:hAnsi="Times New Roman" w:cs="Times New Roman"/>
          <w:i/>
          <w:iCs/>
          <w:noProof/>
          <w:sz w:val="24"/>
          <w:szCs w:val="24"/>
        </w:rPr>
        <w:t>Food Production, Processing and Nutrition</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13</w:t>
      </w:r>
      <w:r w:rsidRPr="005A3C4C">
        <w:rPr>
          <w:rFonts w:ascii="Times New Roman" w:hAnsi="Times New Roman" w:cs="Times New Roman"/>
          <w:noProof/>
          <w:sz w:val="24"/>
          <w:szCs w:val="24"/>
        </w:rPr>
        <w:t>(4), 1–18. https://doi.org/10.1186/s43014-022-00091-3</w:t>
      </w:r>
    </w:p>
    <w:p w14:paraId="7A1B7C2E" w14:textId="6881739D"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Kelly, B.,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Pearce, E. L. (2020). Amino Assets: How Amino Acids Support Immunity. </w:t>
      </w:r>
      <w:r w:rsidRPr="005A3C4C">
        <w:rPr>
          <w:rFonts w:ascii="Times New Roman" w:hAnsi="Times New Roman" w:cs="Times New Roman"/>
          <w:i/>
          <w:iCs/>
          <w:noProof/>
          <w:sz w:val="24"/>
          <w:szCs w:val="24"/>
        </w:rPr>
        <w:t>Cell Metabolism</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32</w:t>
      </w:r>
      <w:r w:rsidRPr="005A3C4C">
        <w:rPr>
          <w:rFonts w:ascii="Times New Roman" w:hAnsi="Times New Roman" w:cs="Times New Roman"/>
          <w:noProof/>
          <w:sz w:val="24"/>
          <w:szCs w:val="24"/>
        </w:rPr>
        <w:t>(2), 154–175. https://doi.org/10.1016/j.cmet.2020.06.010</w:t>
      </w:r>
    </w:p>
    <w:p w14:paraId="0B77D98A" w14:textId="4E48BED8"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Kovalenko, I. V., Rippke, G. R.,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Hurburgh, C. R. (2006). Determination of amino acid composition of soybeans (Glycine max) by near-infrared spectroscopy. </w:t>
      </w:r>
      <w:r w:rsidRPr="005A3C4C">
        <w:rPr>
          <w:rFonts w:ascii="Times New Roman" w:hAnsi="Times New Roman" w:cs="Times New Roman"/>
          <w:i/>
          <w:iCs/>
          <w:noProof/>
          <w:sz w:val="24"/>
          <w:szCs w:val="24"/>
        </w:rPr>
        <w:t>Journal of Agricultural and Food Chemistry</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54</w:t>
      </w:r>
      <w:r w:rsidRPr="005A3C4C">
        <w:rPr>
          <w:rFonts w:ascii="Times New Roman" w:hAnsi="Times New Roman" w:cs="Times New Roman"/>
          <w:noProof/>
          <w:sz w:val="24"/>
          <w:szCs w:val="24"/>
        </w:rPr>
        <w:t>(10), 3485–3491. https://doi.org/10.1021/jf052570u</w:t>
      </w:r>
    </w:p>
    <w:p w14:paraId="4EA54895" w14:textId="7777777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Mariam, S. (2005). Nutritive Value Of Three Potential Complementary Foods Based On Cereals And Legumes. </w:t>
      </w:r>
      <w:r w:rsidRPr="005A3C4C">
        <w:rPr>
          <w:rFonts w:ascii="Times New Roman" w:hAnsi="Times New Roman" w:cs="Times New Roman"/>
          <w:i/>
          <w:iCs/>
          <w:noProof/>
          <w:sz w:val="24"/>
          <w:szCs w:val="24"/>
        </w:rPr>
        <w:t>African Journal of Food, Agriculture, Nutrition and Development</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5</w:t>
      </w:r>
      <w:r w:rsidRPr="005A3C4C">
        <w:rPr>
          <w:rFonts w:ascii="Times New Roman" w:hAnsi="Times New Roman" w:cs="Times New Roman"/>
          <w:noProof/>
          <w:sz w:val="24"/>
          <w:szCs w:val="24"/>
        </w:rPr>
        <w:t>(9), 01–14. https://doi.org/10.18697/ajfand.9.1690</w:t>
      </w:r>
    </w:p>
    <w:p w14:paraId="35DE6ACD" w14:textId="484FC43B"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Medic, J.,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Atkinson, C. (2014). </w:t>
      </w:r>
      <w:r w:rsidRPr="005A3C4C">
        <w:rPr>
          <w:rFonts w:ascii="Times New Roman" w:hAnsi="Times New Roman" w:cs="Times New Roman"/>
          <w:i/>
          <w:iCs/>
          <w:noProof/>
          <w:sz w:val="24"/>
          <w:szCs w:val="24"/>
        </w:rPr>
        <w:t>Current Knowledge in Soybean Composition</w:t>
      </w:r>
      <w:r w:rsidRPr="005A3C4C">
        <w:rPr>
          <w:rFonts w:ascii="Times New Roman" w:hAnsi="Times New Roman" w:cs="Times New Roman"/>
          <w:noProof/>
          <w:sz w:val="24"/>
          <w:szCs w:val="24"/>
        </w:rPr>
        <w:t xml:space="preserve"> (Vol. 91, Issue 1). https://doi.org/10.1007/s11746-013-2407-9</w:t>
      </w:r>
    </w:p>
    <w:p w14:paraId="30B3F8D0" w14:textId="109C1FB7"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Mitra, S. (2016). Nutritional Status of Orange-Fleshed Sweet Potatoes in Alleviating Vitamin A Malnutrition through a Food-Based Approach Nutrition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Food Nutritional Status of Orange-Fleshed Sweet Potatoes in Alleviating Vitamin A Malnutrition through a Food-Based Approac. </w:t>
      </w:r>
      <w:r w:rsidRPr="005A3C4C">
        <w:rPr>
          <w:rFonts w:ascii="Times New Roman" w:hAnsi="Times New Roman" w:cs="Times New Roman"/>
          <w:i/>
          <w:iCs/>
          <w:noProof/>
          <w:sz w:val="24"/>
          <w:szCs w:val="24"/>
        </w:rPr>
        <w:t>Journal of Nutrition and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(8), 6–9. https://doi.org/10.4172/2155-9600.1000160</w:t>
      </w:r>
    </w:p>
    <w:p w14:paraId="035D2233" w14:textId="2E0079D1"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Obasi1</w:t>
      </w:r>
      <w:r w:rsidR="005250F4">
        <w:rPr>
          <w:rFonts w:ascii="Times New Roman" w:hAnsi="Times New Roman" w:cs="Times New Roman"/>
          <w:noProof/>
          <w:sz w:val="24"/>
          <w:szCs w:val="24"/>
        </w:rPr>
        <w:t xml:space="preserve"> </w:t>
      </w:r>
      <w:r w:rsidR="005250F4" w:rsidRPr="005A3C4C">
        <w:rPr>
          <w:rFonts w:ascii="Times New Roman" w:hAnsi="Times New Roman" w:cs="Times New Roman"/>
          <w:noProof/>
          <w:sz w:val="24"/>
          <w:szCs w:val="24"/>
        </w:rPr>
        <w:t xml:space="preserve">N. E. </w:t>
      </w:r>
      <w:r w:rsidRPr="005A3C4C">
        <w:rPr>
          <w:rFonts w:ascii="Times New Roman" w:hAnsi="Times New Roman" w:cs="Times New Roman"/>
          <w:noProof/>
          <w:sz w:val="24"/>
          <w:szCs w:val="24"/>
        </w:rPr>
        <w:t xml:space="preserve">*, Okakpu, Ukah1, O. G.,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J., C. (2018). Formulation and Evaluation of Complementary Foods from Flour Blends of Sprouted Paddy Rice (Oryza sativa), Sprouted African Yam Bean (Sphenostylis sternocarpa) and Pawpaw Fruit (Carica papaya) Advances in Research. </w:t>
      </w:r>
      <w:r w:rsidRPr="005A3C4C">
        <w:rPr>
          <w:rFonts w:ascii="Times New Roman" w:hAnsi="Times New Roman" w:cs="Times New Roman"/>
          <w:i/>
          <w:iCs/>
          <w:noProof/>
          <w:sz w:val="24"/>
          <w:szCs w:val="24"/>
        </w:rPr>
        <w:t>Jounal of Food Science</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15</w:t>
      </w:r>
      <w:r w:rsidRPr="005A3C4C">
        <w:rPr>
          <w:rFonts w:ascii="Times New Roman" w:hAnsi="Times New Roman" w:cs="Times New Roman"/>
          <w:noProof/>
          <w:sz w:val="24"/>
          <w:szCs w:val="24"/>
        </w:rPr>
        <w:t>(5), 2348–0394.</w:t>
      </w:r>
    </w:p>
    <w:p w14:paraId="26F5C1D1" w14:textId="2E716788"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Oduro, I., Larbie, C.,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Amoako, T. N. E. (2009). </w:t>
      </w:r>
      <w:r w:rsidRPr="005A3C4C">
        <w:rPr>
          <w:rFonts w:ascii="Times New Roman" w:hAnsi="Times New Roman" w:cs="Times New Roman"/>
          <w:i/>
          <w:iCs/>
          <w:noProof/>
          <w:sz w:val="24"/>
          <w:szCs w:val="24"/>
        </w:rPr>
        <w:t>PROXIMATE COMPOSITION AND BASIC PHYTOCHEMICAL ASSESSMENT OF TWO COMMON VARIETIES OF Terminalia catappa ( INDIAN ALMOND ).</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29</w:t>
      </w:r>
      <w:r w:rsidRPr="005A3C4C">
        <w:rPr>
          <w:rFonts w:ascii="Times New Roman" w:hAnsi="Times New Roman" w:cs="Times New Roman"/>
          <w:noProof/>
          <w:sz w:val="24"/>
          <w:szCs w:val="24"/>
        </w:rPr>
        <w:t>(2), 1–6.</w:t>
      </w:r>
    </w:p>
    <w:p w14:paraId="3D1926BF" w14:textId="6A259CEA"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Okoronkwo, N. C., Okoyeuzu, C. F., Eze, C. R., Mbaeyi-nwaoha, I. E.,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Agbata, C. P. (2023). </w:t>
      </w:r>
      <w:r w:rsidRPr="005A3C4C">
        <w:rPr>
          <w:rFonts w:ascii="Times New Roman" w:hAnsi="Times New Roman" w:cs="Times New Roman"/>
          <w:i/>
          <w:iCs/>
          <w:noProof/>
          <w:sz w:val="24"/>
          <w:szCs w:val="24"/>
        </w:rPr>
        <w:t>Quality Evaluation of Complementary Food Produced by Solid-State Fermentation of Fonio , Soybean and Orange-Fleshed Sweet Potato Blends</w:t>
      </w:r>
      <w:r w:rsidRPr="005A3C4C">
        <w:rPr>
          <w:rFonts w:ascii="Times New Roman" w:hAnsi="Times New Roman" w:cs="Times New Roman"/>
          <w:noProof/>
          <w:sz w:val="24"/>
          <w:szCs w:val="24"/>
        </w:rPr>
        <w:t>.</w:t>
      </w:r>
    </w:p>
    <w:p w14:paraId="08F05398" w14:textId="1CD03D49"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Ram, S., Narwal, S., Om Prakash Gupta, V. P.,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Singh, G. P. (2020). Anti-nutritional factors and bioavailability: approaches, challenges, and opportunities. </w:t>
      </w:r>
      <w:r w:rsidRPr="005A3C4C">
        <w:rPr>
          <w:rFonts w:ascii="Times New Roman" w:hAnsi="Times New Roman" w:cs="Times New Roman"/>
          <w:i/>
          <w:iCs/>
          <w:noProof/>
          <w:sz w:val="24"/>
          <w:szCs w:val="24"/>
        </w:rPr>
        <w:t>Food Science, Technology and Nutrition</w:t>
      </w:r>
      <w:r w:rsidRPr="005A3C4C">
        <w:rPr>
          <w:rFonts w:ascii="Times New Roman" w:hAnsi="Times New Roman" w:cs="Times New Roman"/>
          <w:noProof/>
          <w:sz w:val="24"/>
          <w:szCs w:val="24"/>
        </w:rPr>
        <w:t>, 101–128. https://doi.org/https://doi.org/10.1016/B978-0-12-818444-8.00004-3</w:t>
      </w:r>
    </w:p>
    <w:p w14:paraId="06C39868" w14:textId="55337C6B"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Rocedure, I. I. P.,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Nalysis, F. O. R. A. (2015). Quantitative Evaluation of Anti-nutritional Factors in Mango ( Magniferaindica ) Fruit. </w:t>
      </w:r>
      <w:r w:rsidRPr="005A3C4C">
        <w:rPr>
          <w:rFonts w:ascii="Times New Roman" w:hAnsi="Times New Roman" w:cs="Times New Roman"/>
          <w:i/>
          <w:iCs/>
          <w:noProof/>
          <w:sz w:val="24"/>
          <w:szCs w:val="24"/>
        </w:rPr>
        <w:t>International Journal of Applied Science and Mathgematics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2</w:t>
      </w:r>
      <w:r w:rsidRPr="005A3C4C">
        <w:rPr>
          <w:rFonts w:ascii="Times New Roman" w:hAnsi="Times New Roman" w:cs="Times New Roman"/>
          <w:noProof/>
          <w:sz w:val="24"/>
          <w:szCs w:val="24"/>
        </w:rPr>
        <w:t>(5), 142–145.</w:t>
      </w:r>
    </w:p>
    <w:p w14:paraId="18BA8B60" w14:textId="2CAE70D2"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Uzoaga, L. N., Mazi, E. A.,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Kanu, A. N. (2020). </w:t>
      </w:r>
      <w:r w:rsidRPr="005A3C4C">
        <w:rPr>
          <w:rFonts w:ascii="Times New Roman" w:hAnsi="Times New Roman" w:cs="Times New Roman"/>
          <w:i/>
          <w:iCs/>
          <w:noProof/>
          <w:sz w:val="24"/>
          <w:szCs w:val="24"/>
        </w:rPr>
        <w:t>Evaluation of Nutritional and Anti Nutrition Factors of Orange-fleshed Sweet Potato , Yellow Root Cassava and Plantain Flour Blends Fortified with Moringa oleifera Leaves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12</w:t>
      </w:r>
      <w:r w:rsidRPr="005A3C4C">
        <w:rPr>
          <w:rFonts w:ascii="Times New Roman" w:hAnsi="Times New Roman" w:cs="Times New Roman"/>
          <w:noProof/>
          <w:sz w:val="24"/>
          <w:szCs w:val="24"/>
        </w:rPr>
        <w:t xml:space="preserve">(2), 7–19. </w:t>
      </w:r>
      <w:r w:rsidRPr="005A3C4C">
        <w:rPr>
          <w:rFonts w:ascii="Times New Roman" w:hAnsi="Times New Roman" w:cs="Times New Roman"/>
          <w:noProof/>
          <w:sz w:val="24"/>
          <w:szCs w:val="24"/>
        </w:rPr>
        <w:lastRenderedPageBreak/>
        <w:t>https://doi.org/10.9734/AJAAR/2020/v12i230075</w:t>
      </w:r>
    </w:p>
    <w:p w14:paraId="4781A130" w14:textId="7B904292" w:rsidR="007E3423" w:rsidRPr="005A3C4C" w:rsidRDefault="007E3423" w:rsidP="00B4436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5A3C4C">
        <w:rPr>
          <w:rFonts w:ascii="Times New Roman" w:hAnsi="Times New Roman" w:cs="Times New Roman"/>
          <w:noProof/>
          <w:sz w:val="24"/>
          <w:szCs w:val="24"/>
        </w:rPr>
        <w:t xml:space="preserve">Wu, G., Wu, Z., Dai, Z., Yang, Y., Wang, W., Liu, C., Wang, B., Wang, J., </w:t>
      </w:r>
      <w:r w:rsidR="001B37C4">
        <w:rPr>
          <w:rFonts w:ascii="Times New Roman" w:hAnsi="Times New Roman" w:cs="Times New Roman"/>
          <w:noProof/>
          <w:sz w:val="24"/>
          <w:szCs w:val="24"/>
        </w:rPr>
        <w:t>and</w:t>
      </w:r>
      <w:r w:rsidRPr="005A3C4C">
        <w:rPr>
          <w:rFonts w:ascii="Times New Roman" w:hAnsi="Times New Roman" w:cs="Times New Roman"/>
          <w:noProof/>
          <w:sz w:val="24"/>
          <w:szCs w:val="24"/>
        </w:rPr>
        <w:t xml:space="preserve"> Yin, Y. (2013). Dietary requirements of “nutritionally non-essential amino acids” by animals and humans. </w:t>
      </w:r>
      <w:r w:rsidRPr="005A3C4C">
        <w:rPr>
          <w:rFonts w:ascii="Times New Roman" w:hAnsi="Times New Roman" w:cs="Times New Roman"/>
          <w:i/>
          <w:iCs/>
          <w:noProof/>
          <w:sz w:val="24"/>
          <w:szCs w:val="24"/>
        </w:rPr>
        <w:t>Amino Acids</w:t>
      </w:r>
      <w:r w:rsidRPr="005A3C4C">
        <w:rPr>
          <w:rFonts w:ascii="Times New Roman" w:hAnsi="Times New Roman" w:cs="Times New Roman"/>
          <w:noProof/>
          <w:sz w:val="24"/>
          <w:szCs w:val="24"/>
        </w:rPr>
        <w:t xml:space="preserve">, </w:t>
      </w:r>
      <w:r w:rsidRPr="005A3C4C">
        <w:rPr>
          <w:rFonts w:ascii="Times New Roman" w:hAnsi="Times New Roman" w:cs="Times New Roman"/>
          <w:i/>
          <w:iCs/>
          <w:noProof/>
          <w:sz w:val="24"/>
          <w:szCs w:val="24"/>
        </w:rPr>
        <w:t>44</w:t>
      </w:r>
      <w:r w:rsidRPr="005A3C4C">
        <w:rPr>
          <w:rFonts w:ascii="Times New Roman" w:hAnsi="Times New Roman" w:cs="Times New Roman"/>
          <w:noProof/>
          <w:sz w:val="24"/>
          <w:szCs w:val="24"/>
        </w:rPr>
        <w:t>(4), 1107–1113. https://doi.org/10.1007/s00726-012-1444-2</w:t>
      </w:r>
    </w:p>
    <w:p w14:paraId="4A1651A1" w14:textId="6FDCA38D" w:rsidR="00AC278D" w:rsidRPr="005A3C4C" w:rsidRDefault="00C75E6F" w:rsidP="00B44362">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fldChar w:fldCharType="end"/>
      </w:r>
    </w:p>
    <w:p w14:paraId="04ED44E4" w14:textId="77777777" w:rsidR="009204E7" w:rsidRPr="005A3C4C" w:rsidRDefault="00827BE6" w:rsidP="00B44362">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eastAsia="Times New Roman" w:hAnsi="Times New Roman" w:cs="Times New Roman"/>
          <w:b/>
          <w:bCs/>
          <w:sz w:val="24"/>
          <w:szCs w:val="24"/>
        </w:rPr>
        <w:t>Appendix 1:</w:t>
      </w:r>
      <w:r w:rsidRPr="005A3C4C">
        <w:rPr>
          <w:rFonts w:ascii="Times New Roman" w:eastAsia="Times New Roman" w:hAnsi="Times New Roman" w:cs="Times New Roman"/>
          <w:sz w:val="24"/>
          <w:szCs w:val="24"/>
        </w:rPr>
        <w:t xml:space="preserve"> Pictorial representation of the complementary food samples</w:t>
      </w:r>
    </w:p>
    <w:p w14:paraId="1D7894DB" w14:textId="77777777" w:rsidR="00827BE6" w:rsidRPr="005A3C4C" w:rsidRDefault="00D45200" w:rsidP="00B44362">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hAnsi="Times New Roman" w:cs="Times New Roman"/>
          <w:noProof/>
          <w:sz w:val="24"/>
          <w:szCs w:val="24"/>
        </w:rPr>
        <w:drawing>
          <wp:inline distT="0" distB="0" distL="0" distR="0" wp14:anchorId="5455DEC9" wp14:editId="2E7B1075">
            <wp:extent cx="5855335" cy="2584450"/>
            <wp:effectExtent l="0" t="0" r="0" b="6350"/>
            <wp:docPr id="2001095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5954" cy="2584723"/>
                    </a:xfrm>
                    <a:prstGeom prst="rect">
                      <a:avLst/>
                    </a:prstGeom>
                    <a:noFill/>
                    <a:ln>
                      <a:noFill/>
                    </a:ln>
                  </pic:spPr>
                </pic:pic>
              </a:graphicData>
            </a:graphic>
          </wp:inline>
        </w:drawing>
      </w:r>
    </w:p>
    <w:p w14:paraId="35F3479D" w14:textId="77777777" w:rsidR="009204E7" w:rsidRPr="005A3C4C" w:rsidRDefault="00D45200" w:rsidP="00B44362">
      <w:pPr>
        <w:pBdr>
          <w:top w:val="nil"/>
          <w:left w:val="nil"/>
          <w:bottom w:val="nil"/>
          <w:right w:val="nil"/>
          <w:between w:val="nil"/>
        </w:pBdr>
        <w:spacing w:line="240" w:lineRule="auto"/>
        <w:ind w:left="720"/>
        <w:jc w:val="both"/>
        <w:rPr>
          <w:rFonts w:ascii="Times New Roman" w:eastAsia="Times New Roman" w:hAnsi="Times New Roman" w:cs="Times New Roman"/>
          <w:sz w:val="24"/>
          <w:szCs w:val="24"/>
        </w:rPr>
      </w:pPr>
      <w:r w:rsidRPr="005A3C4C">
        <w:rPr>
          <w:rFonts w:ascii="Times New Roman" w:eastAsia="Times New Roman" w:hAnsi="Times New Roman" w:cs="Times New Roman"/>
          <w:sz w:val="24"/>
          <w:szCs w:val="24"/>
        </w:rPr>
        <w:t xml:space="preserve">           ComF5                       ComF4                               ComF3                ComF2          ComF1</w:t>
      </w:r>
    </w:p>
    <w:p w14:paraId="4A41AE04" w14:textId="4BC87C72" w:rsidR="0025742D" w:rsidRPr="005A3C4C" w:rsidRDefault="0025742D" w:rsidP="00B44362">
      <w:pPr>
        <w:keepNext/>
        <w:keepLines/>
        <w:spacing w:before="120" w:after="120" w:line="240" w:lineRule="auto"/>
        <w:jc w:val="both"/>
        <w:outlineLvl w:val="0"/>
        <w:rPr>
          <w:rFonts w:ascii="Times New Roman" w:eastAsia="Times New Roman" w:hAnsi="Times New Roman" w:cs="Times New Roman"/>
          <w:b/>
          <w:sz w:val="24"/>
          <w:szCs w:val="24"/>
        </w:rPr>
      </w:pPr>
    </w:p>
    <w:p w14:paraId="54BDBCEC"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0E05920A"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06C0371E"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170F3731"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3DC51C9B"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4DE73CED" w14:textId="77777777" w:rsidR="00BA6B17" w:rsidRPr="005A3C4C" w:rsidRDefault="00BA6B17" w:rsidP="00B44362">
      <w:pPr>
        <w:spacing w:line="240" w:lineRule="auto"/>
        <w:jc w:val="both"/>
        <w:rPr>
          <w:rFonts w:ascii="Times New Roman" w:eastAsia="Times New Roman" w:hAnsi="Times New Roman" w:cs="Times New Roman"/>
          <w:sz w:val="24"/>
          <w:szCs w:val="24"/>
        </w:rPr>
      </w:pPr>
    </w:p>
    <w:p w14:paraId="3B19290A" w14:textId="77777777" w:rsidR="005C5602" w:rsidRPr="005A3C4C" w:rsidRDefault="005C5602" w:rsidP="00B44362">
      <w:pPr>
        <w:spacing w:line="240" w:lineRule="auto"/>
        <w:jc w:val="both"/>
        <w:rPr>
          <w:rFonts w:ascii="Times New Roman" w:eastAsia="Times New Roman" w:hAnsi="Times New Roman" w:cs="Times New Roman"/>
          <w:sz w:val="24"/>
          <w:szCs w:val="24"/>
        </w:rPr>
      </w:pPr>
    </w:p>
    <w:p w14:paraId="4F482F69" w14:textId="77777777" w:rsidR="005C5602" w:rsidRPr="005A3C4C" w:rsidRDefault="005C5602" w:rsidP="00B44362">
      <w:pPr>
        <w:spacing w:line="240" w:lineRule="auto"/>
        <w:jc w:val="both"/>
        <w:rPr>
          <w:rFonts w:ascii="Times New Roman" w:eastAsia="Times New Roman" w:hAnsi="Times New Roman" w:cs="Times New Roman"/>
          <w:sz w:val="24"/>
          <w:szCs w:val="24"/>
        </w:rPr>
      </w:pPr>
    </w:p>
    <w:p w14:paraId="1F4FB3A0" w14:textId="77777777" w:rsidR="005C5602" w:rsidRPr="005A3C4C" w:rsidRDefault="005C5602" w:rsidP="00B44362">
      <w:pPr>
        <w:spacing w:line="240" w:lineRule="auto"/>
        <w:jc w:val="both"/>
        <w:rPr>
          <w:rFonts w:ascii="Times New Roman" w:eastAsia="Times New Roman" w:hAnsi="Times New Roman" w:cs="Times New Roman"/>
          <w:sz w:val="24"/>
          <w:szCs w:val="24"/>
        </w:rPr>
      </w:pPr>
    </w:p>
    <w:p w14:paraId="4FAACADB" w14:textId="77777777" w:rsidR="005C507F" w:rsidRPr="005A3C4C" w:rsidRDefault="005C507F" w:rsidP="00B44362">
      <w:pPr>
        <w:spacing w:line="240" w:lineRule="auto"/>
        <w:jc w:val="both"/>
        <w:rPr>
          <w:rFonts w:ascii="Times New Roman" w:hAnsi="Times New Roman" w:cs="Times New Roman"/>
          <w:sz w:val="24"/>
          <w:szCs w:val="24"/>
        </w:rPr>
      </w:pPr>
    </w:p>
    <w:p w14:paraId="66350335" w14:textId="77777777" w:rsidR="00A332E0" w:rsidRPr="005A3C4C" w:rsidRDefault="00A332E0" w:rsidP="00B44362">
      <w:pPr>
        <w:spacing w:line="240" w:lineRule="auto"/>
        <w:jc w:val="both"/>
        <w:rPr>
          <w:rFonts w:ascii="Times New Roman" w:hAnsi="Times New Roman" w:cs="Times New Roman"/>
          <w:sz w:val="24"/>
          <w:szCs w:val="24"/>
        </w:rPr>
      </w:pPr>
    </w:p>
    <w:p w14:paraId="1AC8E551" w14:textId="77777777" w:rsidR="008B797D" w:rsidRPr="005A3C4C" w:rsidRDefault="008B797D" w:rsidP="00B44362">
      <w:pPr>
        <w:spacing w:after="360" w:line="240" w:lineRule="auto"/>
        <w:jc w:val="both"/>
        <w:rPr>
          <w:rFonts w:ascii="Times New Roman" w:hAnsi="Times New Roman" w:cs="Times New Roman"/>
          <w:b/>
          <w:bCs/>
          <w:sz w:val="24"/>
          <w:szCs w:val="24"/>
          <w:vertAlign w:val="superscript"/>
        </w:rPr>
      </w:pPr>
    </w:p>
    <w:sectPr w:rsidR="008B797D" w:rsidRPr="005A3C4C" w:rsidSect="005A55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10237" w14:textId="77777777" w:rsidR="000307AA" w:rsidRDefault="000307AA" w:rsidP="007C573F">
      <w:pPr>
        <w:spacing w:after="0" w:line="240" w:lineRule="auto"/>
      </w:pPr>
      <w:r>
        <w:separator/>
      </w:r>
    </w:p>
  </w:endnote>
  <w:endnote w:type="continuationSeparator" w:id="0">
    <w:p w14:paraId="7BF3DFF0" w14:textId="77777777" w:rsidR="000307AA" w:rsidRDefault="000307AA" w:rsidP="007C5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altName w:val="SimSun"/>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138E2" w14:textId="77777777" w:rsidR="00D01724" w:rsidRDefault="00D017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3CAC6" w14:textId="77777777" w:rsidR="00D01724" w:rsidRDefault="00D01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5149A" w14:textId="77777777" w:rsidR="00D01724" w:rsidRDefault="00D01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B6CDE" w14:textId="77777777" w:rsidR="000307AA" w:rsidRDefault="000307AA" w:rsidP="007C573F">
      <w:pPr>
        <w:spacing w:after="0" w:line="240" w:lineRule="auto"/>
      </w:pPr>
      <w:r>
        <w:separator/>
      </w:r>
    </w:p>
  </w:footnote>
  <w:footnote w:type="continuationSeparator" w:id="0">
    <w:p w14:paraId="0EF4ACEC" w14:textId="77777777" w:rsidR="000307AA" w:rsidRDefault="000307AA" w:rsidP="007C5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6516F" w14:textId="159973B5" w:rsidR="00D01724" w:rsidRDefault="00000000">
    <w:pPr>
      <w:pStyle w:val="Header"/>
    </w:pPr>
    <w:r>
      <w:rPr>
        <w:noProof/>
      </w:rPr>
      <w:pict w14:anchorId="371AA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0CB6D" w14:textId="583D2B33" w:rsidR="00D01724" w:rsidRDefault="00000000">
    <w:pPr>
      <w:pStyle w:val="Header"/>
    </w:pPr>
    <w:r>
      <w:rPr>
        <w:noProof/>
      </w:rPr>
      <w:pict w14:anchorId="3008A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118E" w14:textId="23C837F5" w:rsidR="00D01724" w:rsidRDefault="00000000">
    <w:pPr>
      <w:pStyle w:val="Header"/>
    </w:pPr>
    <w:r>
      <w:rPr>
        <w:noProof/>
      </w:rPr>
      <w:pict w14:anchorId="5031D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2394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5E0B81"/>
    <w:multiLevelType w:val="multilevel"/>
    <w:tmpl w:val="217AB28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4B5F26"/>
    <w:multiLevelType w:val="multilevel"/>
    <w:tmpl w:val="CCD6C706"/>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4E40CC"/>
    <w:multiLevelType w:val="multilevel"/>
    <w:tmpl w:val="34A60DD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0349277">
    <w:abstractNumId w:val="1"/>
  </w:num>
  <w:num w:numId="2" w16cid:durableId="619805089">
    <w:abstractNumId w:val="2"/>
  </w:num>
  <w:num w:numId="3" w16cid:durableId="1213620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7A0NzK0tLA0sDA3MLVQ0lEKTi0uzszPAykwrAUAmjhz0SwAAAA="/>
  </w:docVars>
  <w:rsids>
    <w:rsidRoot w:val="009B00C3"/>
    <w:rsid w:val="00000266"/>
    <w:rsid w:val="000276BC"/>
    <w:rsid w:val="000307AA"/>
    <w:rsid w:val="00033DF6"/>
    <w:rsid w:val="000349D8"/>
    <w:rsid w:val="00051A8F"/>
    <w:rsid w:val="0006726D"/>
    <w:rsid w:val="000675F2"/>
    <w:rsid w:val="00075DE4"/>
    <w:rsid w:val="000A7E1F"/>
    <w:rsid w:val="000C651C"/>
    <w:rsid w:val="000E347E"/>
    <w:rsid w:val="000E3CFE"/>
    <w:rsid w:val="000F4B91"/>
    <w:rsid w:val="00123B98"/>
    <w:rsid w:val="00123EEC"/>
    <w:rsid w:val="00127165"/>
    <w:rsid w:val="0013440F"/>
    <w:rsid w:val="001362B5"/>
    <w:rsid w:val="00161B1A"/>
    <w:rsid w:val="00162805"/>
    <w:rsid w:val="00167BFA"/>
    <w:rsid w:val="00175A8F"/>
    <w:rsid w:val="0019092B"/>
    <w:rsid w:val="00193BC7"/>
    <w:rsid w:val="001A1537"/>
    <w:rsid w:val="001B0E81"/>
    <w:rsid w:val="001B37C4"/>
    <w:rsid w:val="001B3BA1"/>
    <w:rsid w:val="001C0EA6"/>
    <w:rsid w:val="001D726D"/>
    <w:rsid w:val="001E5A68"/>
    <w:rsid w:val="001F5879"/>
    <w:rsid w:val="00206F45"/>
    <w:rsid w:val="00225360"/>
    <w:rsid w:val="00232089"/>
    <w:rsid w:val="00251F12"/>
    <w:rsid w:val="0025742D"/>
    <w:rsid w:val="002863EE"/>
    <w:rsid w:val="002947A2"/>
    <w:rsid w:val="002A4A9E"/>
    <w:rsid w:val="002C20E1"/>
    <w:rsid w:val="002D4C65"/>
    <w:rsid w:val="002E438A"/>
    <w:rsid w:val="002E6878"/>
    <w:rsid w:val="002F7ED1"/>
    <w:rsid w:val="003543D5"/>
    <w:rsid w:val="0035675C"/>
    <w:rsid w:val="00370914"/>
    <w:rsid w:val="00374C2A"/>
    <w:rsid w:val="00375813"/>
    <w:rsid w:val="0038184A"/>
    <w:rsid w:val="003829EE"/>
    <w:rsid w:val="0038469A"/>
    <w:rsid w:val="003907A5"/>
    <w:rsid w:val="00392E29"/>
    <w:rsid w:val="003A5C36"/>
    <w:rsid w:val="003C0B9E"/>
    <w:rsid w:val="003C0C6D"/>
    <w:rsid w:val="003D4D15"/>
    <w:rsid w:val="003F445D"/>
    <w:rsid w:val="003F696F"/>
    <w:rsid w:val="00407E0F"/>
    <w:rsid w:val="0042780A"/>
    <w:rsid w:val="004316AF"/>
    <w:rsid w:val="00442E61"/>
    <w:rsid w:val="00453964"/>
    <w:rsid w:val="00470F22"/>
    <w:rsid w:val="00483E3A"/>
    <w:rsid w:val="00484BF0"/>
    <w:rsid w:val="004A2CD4"/>
    <w:rsid w:val="004A4078"/>
    <w:rsid w:val="004C1CFD"/>
    <w:rsid w:val="004C3520"/>
    <w:rsid w:val="004C61D4"/>
    <w:rsid w:val="004F1A2A"/>
    <w:rsid w:val="005250F4"/>
    <w:rsid w:val="005315FE"/>
    <w:rsid w:val="00541274"/>
    <w:rsid w:val="00564A84"/>
    <w:rsid w:val="00580EE7"/>
    <w:rsid w:val="005A0AFA"/>
    <w:rsid w:val="005A3C4C"/>
    <w:rsid w:val="005A55B8"/>
    <w:rsid w:val="005A56A5"/>
    <w:rsid w:val="005C507F"/>
    <w:rsid w:val="005C5602"/>
    <w:rsid w:val="005E044F"/>
    <w:rsid w:val="005F1554"/>
    <w:rsid w:val="006169ED"/>
    <w:rsid w:val="0062055D"/>
    <w:rsid w:val="006219B7"/>
    <w:rsid w:val="006230EE"/>
    <w:rsid w:val="00641542"/>
    <w:rsid w:val="00653BB5"/>
    <w:rsid w:val="00656FB0"/>
    <w:rsid w:val="00660CB1"/>
    <w:rsid w:val="0066216E"/>
    <w:rsid w:val="006641A8"/>
    <w:rsid w:val="006648FF"/>
    <w:rsid w:val="006657E7"/>
    <w:rsid w:val="00672042"/>
    <w:rsid w:val="00693478"/>
    <w:rsid w:val="00693C6E"/>
    <w:rsid w:val="006A241D"/>
    <w:rsid w:val="006A3F87"/>
    <w:rsid w:val="006B4985"/>
    <w:rsid w:val="006C53CA"/>
    <w:rsid w:val="006D0BF3"/>
    <w:rsid w:val="006D5CC6"/>
    <w:rsid w:val="006E3460"/>
    <w:rsid w:val="006F5C6F"/>
    <w:rsid w:val="00702716"/>
    <w:rsid w:val="00705CE1"/>
    <w:rsid w:val="0071072A"/>
    <w:rsid w:val="00712F19"/>
    <w:rsid w:val="00714AF7"/>
    <w:rsid w:val="00721F0C"/>
    <w:rsid w:val="0072407D"/>
    <w:rsid w:val="00735277"/>
    <w:rsid w:val="00736B5E"/>
    <w:rsid w:val="00756D08"/>
    <w:rsid w:val="00760F3D"/>
    <w:rsid w:val="0077122A"/>
    <w:rsid w:val="00780BA9"/>
    <w:rsid w:val="00785471"/>
    <w:rsid w:val="007A0811"/>
    <w:rsid w:val="007A204E"/>
    <w:rsid w:val="007A528C"/>
    <w:rsid w:val="007B5636"/>
    <w:rsid w:val="007C08BB"/>
    <w:rsid w:val="007C573F"/>
    <w:rsid w:val="007D0737"/>
    <w:rsid w:val="007D713E"/>
    <w:rsid w:val="007E3423"/>
    <w:rsid w:val="007E4C84"/>
    <w:rsid w:val="007E5E1D"/>
    <w:rsid w:val="007F202C"/>
    <w:rsid w:val="00820218"/>
    <w:rsid w:val="00823849"/>
    <w:rsid w:val="00827BE6"/>
    <w:rsid w:val="0083296B"/>
    <w:rsid w:val="00832C02"/>
    <w:rsid w:val="00851260"/>
    <w:rsid w:val="008607A6"/>
    <w:rsid w:val="00864134"/>
    <w:rsid w:val="00864576"/>
    <w:rsid w:val="0087761F"/>
    <w:rsid w:val="008845FC"/>
    <w:rsid w:val="00886D22"/>
    <w:rsid w:val="00890841"/>
    <w:rsid w:val="00891AE0"/>
    <w:rsid w:val="008A44ED"/>
    <w:rsid w:val="008B2DFA"/>
    <w:rsid w:val="008B797D"/>
    <w:rsid w:val="008C1BE2"/>
    <w:rsid w:val="008C359D"/>
    <w:rsid w:val="008D0003"/>
    <w:rsid w:val="008D5DE9"/>
    <w:rsid w:val="008E4E45"/>
    <w:rsid w:val="008F1E62"/>
    <w:rsid w:val="009034BE"/>
    <w:rsid w:val="00911513"/>
    <w:rsid w:val="009204E7"/>
    <w:rsid w:val="009238A8"/>
    <w:rsid w:val="00926AFA"/>
    <w:rsid w:val="0093454C"/>
    <w:rsid w:val="0093715A"/>
    <w:rsid w:val="00947262"/>
    <w:rsid w:val="00956F34"/>
    <w:rsid w:val="00966C73"/>
    <w:rsid w:val="009B00C3"/>
    <w:rsid w:val="009B1B0C"/>
    <w:rsid w:val="009B3112"/>
    <w:rsid w:val="009B40E3"/>
    <w:rsid w:val="009C43A7"/>
    <w:rsid w:val="009D0BA4"/>
    <w:rsid w:val="009F11D1"/>
    <w:rsid w:val="009F1641"/>
    <w:rsid w:val="009F54F4"/>
    <w:rsid w:val="00A00651"/>
    <w:rsid w:val="00A01844"/>
    <w:rsid w:val="00A13C75"/>
    <w:rsid w:val="00A14B92"/>
    <w:rsid w:val="00A332E0"/>
    <w:rsid w:val="00A43C40"/>
    <w:rsid w:val="00A50215"/>
    <w:rsid w:val="00A66762"/>
    <w:rsid w:val="00A72457"/>
    <w:rsid w:val="00A77086"/>
    <w:rsid w:val="00A83800"/>
    <w:rsid w:val="00A9663B"/>
    <w:rsid w:val="00AA00F6"/>
    <w:rsid w:val="00AA6182"/>
    <w:rsid w:val="00AC23CC"/>
    <w:rsid w:val="00AC278D"/>
    <w:rsid w:val="00AD5C6B"/>
    <w:rsid w:val="00AE1C48"/>
    <w:rsid w:val="00AF1CF1"/>
    <w:rsid w:val="00B05733"/>
    <w:rsid w:val="00B20A6E"/>
    <w:rsid w:val="00B44362"/>
    <w:rsid w:val="00B61CA4"/>
    <w:rsid w:val="00B6311E"/>
    <w:rsid w:val="00B77CC0"/>
    <w:rsid w:val="00B808E9"/>
    <w:rsid w:val="00B8105A"/>
    <w:rsid w:val="00B83F42"/>
    <w:rsid w:val="00BA496C"/>
    <w:rsid w:val="00BA6B17"/>
    <w:rsid w:val="00BB4F8C"/>
    <w:rsid w:val="00BC557D"/>
    <w:rsid w:val="00BE1586"/>
    <w:rsid w:val="00BF28BE"/>
    <w:rsid w:val="00BF57B2"/>
    <w:rsid w:val="00C02210"/>
    <w:rsid w:val="00C0445D"/>
    <w:rsid w:val="00C04644"/>
    <w:rsid w:val="00C101EB"/>
    <w:rsid w:val="00C1678F"/>
    <w:rsid w:val="00C32EF7"/>
    <w:rsid w:val="00C47343"/>
    <w:rsid w:val="00C65E69"/>
    <w:rsid w:val="00C75E6F"/>
    <w:rsid w:val="00C768F5"/>
    <w:rsid w:val="00C77C3B"/>
    <w:rsid w:val="00C83A4A"/>
    <w:rsid w:val="00C86448"/>
    <w:rsid w:val="00C92316"/>
    <w:rsid w:val="00CE040B"/>
    <w:rsid w:val="00CF0AE1"/>
    <w:rsid w:val="00D01724"/>
    <w:rsid w:val="00D21899"/>
    <w:rsid w:val="00D41A97"/>
    <w:rsid w:val="00D42D6A"/>
    <w:rsid w:val="00D45200"/>
    <w:rsid w:val="00D464A0"/>
    <w:rsid w:val="00D51AE1"/>
    <w:rsid w:val="00D52F3E"/>
    <w:rsid w:val="00D56DD8"/>
    <w:rsid w:val="00D80ABC"/>
    <w:rsid w:val="00D83134"/>
    <w:rsid w:val="00D91297"/>
    <w:rsid w:val="00DA1DCE"/>
    <w:rsid w:val="00DA3A82"/>
    <w:rsid w:val="00DB4BCF"/>
    <w:rsid w:val="00DB72DC"/>
    <w:rsid w:val="00DC0702"/>
    <w:rsid w:val="00DC4C5B"/>
    <w:rsid w:val="00DC4D35"/>
    <w:rsid w:val="00DD543F"/>
    <w:rsid w:val="00DE08DD"/>
    <w:rsid w:val="00DE298C"/>
    <w:rsid w:val="00DE3A8C"/>
    <w:rsid w:val="00DE4A1D"/>
    <w:rsid w:val="00DE4C3F"/>
    <w:rsid w:val="00E13FC7"/>
    <w:rsid w:val="00E61D08"/>
    <w:rsid w:val="00E6233A"/>
    <w:rsid w:val="00E662B6"/>
    <w:rsid w:val="00E66DE5"/>
    <w:rsid w:val="00E822F5"/>
    <w:rsid w:val="00EA01B7"/>
    <w:rsid w:val="00EA2F27"/>
    <w:rsid w:val="00EB3D5A"/>
    <w:rsid w:val="00EC1CC7"/>
    <w:rsid w:val="00EC21C1"/>
    <w:rsid w:val="00ED61D6"/>
    <w:rsid w:val="00EE2B9E"/>
    <w:rsid w:val="00EF00ED"/>
    <w:rsid w:val="00EF697B"/>
    <w:rsid w:val="00F00A93"/>
    <w:rsid w:val="00F00D90"/>
    <w:rsid w:val="00F17F79"/>
    <w:rsid w:val="00F31724"/>
    <w:rsid w:val="00F32634"/>
    <w:rsid w:val="00F52BE0"/>
    <w:rsid w:val="00F94836"/>
    <w:rsid w:val="00FB1E23"/>
    <w:rsid w:val="00FD05C3"/>
    <w:rsid w:val="00FD729D"/>
    <w:rsid w:val="00FF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50CF1"/>
  <w15:chartTrackingRefBased/>
  <w15:docId w15:val="{FB8FD58B-D601-4A85-A2DA-4CF7F0CF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1724"/>
    <w:pPr>
      <w:keepNext/>
      <w:keepLines/>
      <w:spacing w:before="120" w:after="120" w:line="256" w:lineRule="auto"/>
      <w:outlineLvl w:val="0"/>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1537"/>
    <w:rPr>
      <w:b/>
      <w:bCs/>
    </w:rPr>
  </w:style>
  <w:style w:type="paragraph" w:styleId="ListParagraph">
    <w:name w:val="List Paragraph"/>
    <w:basedOn w:val="Normal"/>
    <w:uiPriority w:val="34"/>
    <w:qFormat/>
    <w:rsid w:val="00A13C75"/>
    <w:pPr>
      <w:ind w:left="720"/>
      <w:contextualSpacing/>
    </w:pPr>
  </w:style>
  <w:style w:type="table" w:customStyle="1" w:styleId="5">
    <w:name w:val="5"/>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4">
    <w:name w:val="4"/>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6">
    <w:name w:val="6"/>
    <w:basedOn w:val="TableNormal"/>
    <w:rsid w:val="005C5602"/>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table" w:customStyle="1" w:styleId="3">
    <w:name w:val="3"/>
    <w:basedOn w:val="TableNormal"/>
    <w:rsid w:val="00BA6B17"/>
    <w:pPr>
      <w:spacing w:after="0" w:line="240" w:lineRule="auto"/>
    </w:pPr>
    <w:rPr>
      <w:rFonts w:ascii="Times New Roman" w:eastAsia="Times New Roman" w:hAnsi="Times New Roman" w:cs="Times New Roman"/>
      <w:color w:val="000000"/>
      <w:sz w:val="24"/>
      <w:szCs w:val="24"/>
    </w:rPr>
    <w:tblPr>
      <w:tblStyleRowBandSize w:val="1"/>
      <w:tblStyleColBandSize w:val="1"/>
    </w:tblPr>
  </w:style>
  <w:style w:type="character" w:customStyle="1" w:styleId="Heading1Char">
    <w:name w:val="Heading 1 Char"/>
    <w:basedOn w:val="DefaultParagraphFont"/>
    <w:link w:val="Heading1"/>
    <w:uiPriority w:val="9"/>
    <w:rsid w:val="00F31724"/>
    <w:rPr>
      <w:rFonts w:ascii="Times New Roman" w:eastAsia="Times New Roman" w:hAnsi="Times New Roman" w:cs="Times New Roman"/>
      <w:b/>
      <w:color w:val="000000"/>
      <w:sz w:val="24"/>
      <w:szCs w:val="24"/>
    </w:rPr>
  </w:style>
  <w:style w:type="character" w:styleId="CommentReference">
    <w:name w:val="annotation reference"/>
    <w:basedOn w:val="DefaultParagraphFont"/>
    <w:uiPriority w:val="99"/>
    <w:semiHidden/>
    <w:unhideWhenUsed/>
    <w:rsid w:val="00AA6182"/>
    <w:rPr>
      <w:sz w:val="16"/>
      <w:szCs w:val="16"/>
    </w:rPr>
  </w:style>
  <w:style w:type="paragraph" w:styleId="CommentText">
    <w:name w:val="annotation text"/>
    <w:basedOn w:val="Normal"/>
    <w:link w:val="CommentTextChar"/>
    <w:uiPriority w:val="99"/>
    <w:semiHidden/>
    <w:unhideWhenUsed/>
    <w:rsid w:val="00AA6182"/>
    <w:pPr>
      <w:spacing w:line="240" w:lineRule="auto"/>
    </w:pPr>
    <w:rPr>
      <w:sz w:val="20"/>
      <w:szCs w:val="20"/>
    </w:rPr>
  </w:style>
  <w:style w:type="character" w:customStyle="1" w:styleId="CommentTextChar">
    <w:name w:val="Comment Text Char"/>
    <w:basedOn w:val="DefaultParagraphFont"/>
    <w:link w:val="CommentText"/>
    <w:uiPriority w:val="99"/>
    <w:semiHidden/>
    <w:rsid w:val="00AA6182"/>
    <w:rPr>
      <w:sz w:val="20"/>
      <w:szCs w:val="20"/>
    </w:rPr>
  </w:style>
  <w:style w:type="paragraph" w:styleId="CommentSubject">
    <w:name w:val="annotation subject"/>
    <w:basedOn w:val="CommentText"/>
    <w:next w:val="CommentText"/>
    <w:link w:val="CommentSubjectChar"/>
    <w:uiPriority w:val="99"/>
    <w:semiHidden/>
    <w:unhideWhenUsed/>
    <w:rsid w:val="00AA6182"/>
    <w:rPr>
      <w:b/>
      <w:bCs/>
    </w:rPr>
  </w:style>
  <w:style w:type="character" w:customStyle="1" w:styleId="CommentSubjectChar">
    <w:name w:val="Comment Subject Char"/>
    <w:basedOn w:val="CommentTextChar"/>
    <w:link w:val="CommentSubject"/>
    <w:uiPriority w:val="99"/>
    <w:semiHidden/>
    <w:rsid w:val="00AA6182"/>
    <w:rPr>
      <w:b/>
      <w:bCs/>
      <w:sz w:val="20"/>
      <w:szCs w:val="20"/>
    </w:rPr>
  </w:style>
  <w:style w:type="paragraph" w:styleId="Revision">
    <w:name w:val="Revision"/>
    <w:hidden/>
    <w:uiPriority w:val="99"/>
    <w:semiHidden/>
    <w:rsid w:val="00AA6182"/>
    <w:pPr>
      <w:spacing w:after="0" w:line="240" w:lineRule="auto"/>
    </w:pPr>
  </w:style>
  <w:style w:type="paragraph" w:styleId="BalloonText">
    <w:name w:val="Balloon Text"/>
    <w:basedOn w:val="Normal"/>
    <w:link w:val="BalloonTextChar"/>
    <w:uiPriority w:val="99"/>
    <w:semiHidden/>
    <w:unhideWhenUsed/>
    <w:rsid w:val="00AA6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182"/>
    <w:rPr>
      <w:rFonts w:ascii="Segoe UI" w:hAnsi="Segoe UI" w:cs="Segoe UI"/>
      <w:sz w:val="18"/>
      <w:szCs w:val="18"/>
    </w:rPr>
  </w:style>
  <w:style w:type="character" w:styleId="PlaceholderText">
    <w:name w:val="Placeholder Text"/>
    <w:basedOn w:val="DefaultParagraphFont"/>
    <w:uiPriority w:val="99"/>
    <w:semiHidden/>
    <w:rsid w:val="001362B5"/>
    <w:rPr>
      <w:color w:val="666666"/>
    </w:rPr>
  </w:style>
  <w:style w:type="paragraph" w:styleId="Header">
    <w:name w:val="header"/>
    <w:basedOn w:val="Normal"/>
    <w:link w:val="HeaderChar"/>
    <w:uiPriority w:val="99"/>
    <w:unhideWhenUsed/>
    <w:rsid w:val="007C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73F"/>
  </w:style>
  <w:style w:type="paragraph" w:styleId="Footer">
    <w:name w:val="footer"/>
    <w:basedOn w:val="Normal"/>
    <w:link w:val="FooterChar"/>
    <w:uiPriority w:val="99"/>
    <w:unhideWhenUsed/>
    <w:rsid w:val="007C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45470">
      <w:bodyDiv w:val="1"/>
      <w:marLeft w:val="0"/>
      <w:marRight w:val="0"/>
      <w:marTop w:val="0"/>
      <w:marBottom w:val="0"/>
      <w:divBdr>
        <w:top w:val="none" w:sz="0" w:space="0" w:color="auto"/>
        <w:left w:val="none" w:sz="0" w:space="0" w:color="auto"/>
        <w:bottom w:val="none" w:sz="0" w:space="0" w:color="auto"/>
        <w:right w:val="none" w:sz="0" w:space="0" w:color="auto"/>
      </w:divBdr>
    </w:div>
    <w:div w:id="1423186348">
      <w:bodyDiv w:val="1"/>
      <w:marLeft w:val="0"/>
      <w:marRight w:val="0"/>
      <w:marTop w:val="0"/>
      <w:marBottom w:val="0"/>
      <w:divBdr>
        <w:top w:val="none" w:sz="0" w:space="0" w:color="auto"/>
        <w:left w:val="none" w:sz="0" w:space="0" w:color="auto"/>
        <w:bottom w:val="none" w:sz="0" w:space="0" w:color="auto"/>
        <w:right w:val="none" w:sz="0" w:space="0" w:color="auto"/>
      </w:divBdr>
    </w:div>
    <w:div w:id="18053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A223-F37D-4355-9719-1DB4C4CD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14</Pages>
  <Words>14838</Words>
  <Characters>84580</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Editor-90</cp:lastModifiedBy>
  <cp:revision>87</cp:revision>
  <dcterms:created xsi:type="dcterms:W3CDTF">2024-07-28T09:46:00Z</dcterms:created>
  <dcterms:modified xsi:type="dcterms:W3CDTF">2024-08-24T11:26:00Z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0ca50a0c-cb42-3150-9f10-5f884f3c08bc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3174dc2d1df5d1f3bd90a62e24433134e42c056e83580043a736459bb5d8a4c9</vt:lpwstr>
  </property>
</Properties>
</file>