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0290" w14:textId="222D1841" w:rsidR="00EF4E00" w:rsidRPr="00EE5F25" w:rsidRDefault="00EF4E00" w:rsidP="00125362">
      <w:pPr>
        <w:spacing w:after="0" w:line="276" w:lineRule="auto"/>
        <w:ind w:left="720" w:hanging="360"/>
        <w:contextualSpacing/>
        <w:jc w:val="right"/>
        <w:rPr>
          <w:rFonts w:ascii="Arial" w:hAnsi="Arial" w:cs="Arial"/>
          <w:b/>
          <w:bCs/>
          <w:sz w:val="36"/>
          <w:szCs w:val="36"/>
        </w:rPr>
      </w:pPr>
      <w:r w:rsidRPr="00EE5F25">
        <w:rPr>
          <w:rFonts w:ascii="Arial" w:hAnsi="Arial" w:cs="Arial"/>
          <w:b/>
          <w:bCs/>
          <w:sz w:val="36"/>
          <w:szCs w:val="36"/>
        </w:rPr>
        <w:t>Kinetic Degradation of Rhodamine B Dye Using CuO-Clay Composite</w:t>
      </w:r>
    </w:p>
    <w:p w14:paraId="0A7225AD" w14:textId="77777777" w:rsidR="00EF4E00" w:rsidRDefault="00EF4E00" w:rsidP="0009217E">
      <w:pPr>
        <w:spacing w:after="0" w:line="276" w:lineRule="auto"/>
        <w:ind w:left="720" w:hanging="360"/>
        <w:contextualSpacing/>
        <w:jc w:val="both"/>
        <w:rPr>
          <w:rFonts w:ascii="Times New Roman" w:hAnsi="Times New Roman" w:cs="Times New Roman"/>
          <w:sz w:val="24"/>
          <w:szCs w:val="24"/>
        </w:rPr>
      </w:pPr>
    </w:p>
    <w:p w14:paraId="0AF38B13" w14:textId="7921381A" w:rsidR="00107CB5" w:rsidRPr="0009217E" w:rsidRDefault="00107CB5" w:rsidP="0009217E">
      <w:pPr>
        <w:spacing w:after="0" w:line="276" w:lineRule="auto"/>
        <w:ind w:left="720" w:hanging="360"/>
        <w:contextualSpacing/>
        <w:jc w:val="both"/>
        <w:rPr>
          <w:rFonts w:ascii="Times New Roman" w:hAnsi="Times New Roman" w:cs="Times New Roman"/>
          <w:sz w:val="24"/>
          <w:szCs w:val="24"/>
        </w:rPr>
      </w:pPr>
      <w:r w:rsidRPr="0009217E">
        <w:rPr>
          <w:rFonts w:ascii="Times New Roman" w:hAnsi="Times New Roman" w:cs="Times New Roman"/>
          <w:sz w:val="24"/>
          <w:szCs w:val="24"/>
        </w:rPr>
        <w:t>Abstract</w:t>
      </w:r>
    </w:p>
    <w:p w14:paraId="35470DDC" w14:textId="4FA5A40F" w:rsidR="00107CB5" w:rsidRDefault="00107CB5" w:rsidP="0009217E">
      <w:pPr>
        <w:spacing w:after="0" w:line="276" w:lineRule="auto"/>
        <w:ind w:left="720"/>
        <w:contextualSpacing/>
        <w:jc w:val="both"/>
        <w:rPr>
          <w:rFonts w:ascii="Times New Roman" w:hAnsi="Times New Roman" w:cs="Times New Roman"/>
          <w:sz w:val="24"/>
          <w:szCs w:val="24"/>
        </w:rPr>
      </w:pPr>
      <w:r w:rsidRPr="0009217E">
        <w:rPr>
          <w:rFonts w:ascii="Times New Roman" w:hAnsi="Times New Roman" w:cs="Times New Roman"/>
          <w:sz w:val="24"/>
          <w:szCs w:val="24"/>
        </w:rPr>
        <w:t xml:space="preserve">Industrial wastewater containing synthetic dyes such as </w:t>
      </w:r>
      <w:r w:rsidR="00EF4E00">
        <w:rPr>
          <w:rFonts w:ascii="Times New Roman" w:hAnsi="Times New Roman" w:cs="Times New Roman"/>
          <w:sz w:val="24"/>
          <w:szCs w:val="24"/>
        </w:rPr>
        <w:t xml:space="preserve">RhB </w:t>
      </w:r>
      <w:r w:rsidRPr="0009217E">
        <w:rPr>
          <w:rFonts w:ascii="Times New Roman" w:hAnsi="Times New Roman" w:cs="Times New Roman"/>
          <w:sz w:val="24"/>
          <w:szCs w:val="24"/>
        </w:rPr>
        <w:t xml:space="preserve">(RhB) has the potential to cause toxic and persistent effects on the environment, thus requiring effective and simple treatment technologies. This study aims to examine the ability of CuO–clay composites to reduce RhB concentrations and analyze the kinetics of its degradation in a </w:t>
      </w:r>
      <w:r w:rsidRPr="0009217E">
        <w:rPr>
          <w:rStyle w:val="Emphasis"/>
          <w:rFonts w:ascii="Times New Roman" w:hAnsi="Times New Roman" w:cs="Times New Roman"/>
          <w:sz w:val="24"/>
          <w:szCs w:val="24"/>
        </w:rPr>
        <w:t>batch</w:t>
      </w:r>
      <w:r w:rsidRPr="0009217E">
        <w:rPr>
          <w:rFonts w:ascii="Times New Roman" w:hAnsi="Times New Roman" w:cs="Times New Roman"/>
          <w:sz w:val="24"/>
          <w:szCs w:val="24"/>
        </w:rPr>
        <w:t xml:space="preserve"> system </w:t>
      </w:r>
      <w:r w:rsidR="00E5356E">
        <w:rPr>
          <w:rFonts w:ascii="Times New Roman" w:hAnsi="Times New Roman" w:cs="Times New Roman"/>
          <w:sz w:val="24"/>
          <w:szCs w:val="24"/>
        </w:rPr>
        <w:t xml:space="preserve">with UV irradiation. </w:t>
      </w:r>
      <w:r w:rsidR="003E1DBE">
        <w:rPr>
          <w:rFonts w:ascii="Times New Roman" w:hAnsi="Times New Roman" w:cs="Times New Roman"/>
          <w:sz w:val="24"/>
          <w:szCs w:val="24"/>
        </w:rPr>
        <w:t xml:space="preserve">Degradation tests were conducted </w:t>
      </w:r>
      <w:r w:rsidR="007A2CAA">
        <w:rPr>
          <w:rFonts w:ascii="Times New Roman" w:hAnsi="Times New Roman" w:cs="Times New Roman"/>
          <w:sz w:val="24"/>
          <w:szCs w:val="24"/>
        </w:rPr>
        <w:t>on a</w:t>
      </w:r>
      <w:r w:rsidR="00C108B9">
        <w:rPr>
          <w:rFonts w:ascii="Times New Roman" w:hAnsi="Times New Roman" w:cs="Times New Roman"/>
          <w:sz w:val="24"/>
          <w:szCs w:val="24"/>
        </w:rPr>
        <w:t xml:space="preserve"> 25 ppm </w:t>
      </w:r>
      <w:r w:rsidR="007A2CAA">
        <w:rPr>
          <w:rFonts w:ascii="Times New Roman" w:hAnsi="Times New Roman" w:cs="Times New Roman"/>
          <w:sz w:val="24"/>
          <w:szCs w:val="24"/>
        </w:rPr>
        <w:t xml:space="preserve">RhB solution </w:t>
      </w:r>
      <w:r w:rsidR="00C108B9">
        <w:rPr>
          <w:rFonts w:ascii="Times New Roman" w:hAnsi="Times New Roman" w:cs="Times New Roman"/>
          <w:sz w:val="24"/>
          <w:szCs w:val="24"/>
        </w:rPr>
        <w:t>with variations in time of</w:t>
      </w:r>
      <w:r w:rsidR="00A10F14">
        <w:rPr>
          <w:rFonts w:ascii="Times New Roman" w:hAnsi="Times New Roman" w:cs="Times New Roman"/>
          <w:sz w:val="24"/>
          <w:szCs w:val="24"/>
        </w:rPr>
        <w:t xml:space="preserve"> 60, 90, 120, 150, and 180 minutes. </w:t>
      </w:r>
      <w:r w:rsidRPr="0009217E">
        <w:rPr>
          <w:rFonts w:ascii="Times New Roman" w:hAnsi="Times New Roman" w:cs="Times New Roman"/>
          <w:sz w:val="24"/>
          <w:szCs w:val="24"/>
        </w:rPr>
        <w:t>The RhB concentration was monitored using a UV–Vis spectrophotometer at λ_max 554 nm, while the concentration reduction data was analyzed using first-order and second-order kinetic models. The results showed that the CuO–clay composite was able to significantly reduce the RhB concentration within 180 minutes of contact time, with a final concentration of 0.0274 ppm. Kinetic analysis indicated that the RhB reduction process followed a pseudo-first-order model with a rate constant k</w:t>
      </w:r>
      <w:r w:rsidRPr="0009217E">
        <w:rPr>
          <w:rStyle w:val="katex-mathml"/>
          <w:rFonts w:ascii="Times New Roman" w:hAnsi="Times New Roman" w:cs="Times New Roman"/>
          <w:sz w:val="24"/>
          <w:szCs w:val="24"/>
        </w:rPr>
        <w:t>(</w:t>
      </w:r>
      <w:r w:rsidRPr="0009217E">
        <w:rPr>
          <w:rStyle w:val="katex-mathml"/>
          <w:rFonts w:ascii="Times New Roman" w:hAnsi="Times New Roman" w:cs="Times New Roman"/>
          <w:sz w:val="24"/>
          <w:szCs w:val="24"/>
          <w:vertAlign w:val="subscript"/>
        </w:rPr>
        <w:t>1)</w:t>
      </w:r>
      <w:r w:rsidRPr="0009217E">
        <w:rPr>
          <w:rStyle w:val="katex-mathml"/>
          <w:rFonts w:ascii="Times New Roman" w:hAnsi="Times New Roman" w:cs="Times New Roman"/>
          <w:sz w:val="24"/>
          <w:szCs w:val="24"/>
        </w:rPr>
        <w:t>= 0.0378 min^(</w:t>
      </w:r>
      <w:r w:rsidRPr="0009217E">
        <w:rPr>
          <w:rStyle w:val="katex-mathml"/>
          <w:rFonts w:ascii="Times New Roman" w:hAnsi="Times New Roman" w:cs="Times New Roman"/>
          <w:sz w:val="24"/>
          <w:szCs w:val="24"/>
          <w:vertAlign w:val="superscript"/>
        </w:rPr>
        <w:t>−1)</w:t>
      </w:r>
      <w:r w:rsidRPr="0009217E">
        <w:rPr>
          <w:rFonts w:ascii="Times New Roman" w:hAnsi="Times New Roman" w:cs="Times New Roman"/>
          <w:sz w:val="24"/>
          <w:szCs w:val="24"/>
        </w:rPr>
        <w:t>and a coefficient of determination R</w:t>
      </w:r>
      <w:r w:rsidRPr="0009217E">
        <w:rPr>
          <w:rStyle w:val="katex-mathml"/>
          <w:rFonts w:ascii="Times New Roman" w:hAnsi="Times New Roman" w:cs="Times New Roman"/>
          <w:sz w:val="24"/>
          <w:szCs w:val="24"/>
        </w:rPr>
        <w:t>(</w:t>
      </w:r>
      <w:r w:rsidRPr="0009217E">
        <w:rPr>
          <w:rStyle w:val="katex-mathml"/>
          <w:rFonts w:ascii="Times New Roman" w:hAnsi="Times New Roman" w:cs="Times New Roman"/>
          <w:sz w:val="24"/>
          <w:szCs w:val="24"/>
          <w:vertAlign w:val="superscript"/>
        </w:rPr>
        <w:t>2)</w:t>
      </w:r>
      <w:r w:rsidRPr="0009217E">
        <w:rPr>
          <w:rStyle w:val="katex-mathml"/>
          <w:rFonts w:ascii="Times New Roman" w:hAnsi="Times New Roman" w:cs="Times New Roman"/>
          <w:sz w:val="24"/>
          <w:szCs w:val="24"/>
        </w:rPr>
        <w:t>= 0.998</w:t>
      </w:r>
      <w:r w:rsidRPr="0009217E">
        <w:rPr>
          <w:rFonts w:ascii="Times New Roman" w:hAnsi="Times New Roman" w:cs="Times New Roman"/>
          <w:sz w:val="24"/>
          <w:szCs w:val="24"/>
        </w:rPr>
        <w:t xml:space="preserve">. These findings confirm that CuO–clay composites have the potential to be developed as effective and economical functional materials for treating liquid waste containing </w:t>
      </w:r>
      <w:r w:rsidR="00EF4E00">
        <w:rPr>
          <w:rFonts w:ascii="Times New Roman" w:hAnsi="Times New Roman" w:cs="Times New Roman"/>
          <w:sz w:val="24"/>
          <w:szCs w:val="24"/>
        </w:rPr>
        <w:t>RhB.</w:t>
      </w:r>
    </w:p>
    <w:p w14:paraId="101DE12F" w14:textId="0178B546" w:rsidR="00EE5F25" w:rsidRPr="0009217E" w:rsidRDefault="00EE5F25" w:rsidP="0009217E">
      <w:pPr>
        <w:spacing w:after="0" w:line="276"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Keywords: Kinetics, Degradation, </w:t>
      </w:r>
      <w:r w:rsidRPr="00EE5F25">
        <w:rPr>
          <w:rFonts w:ascii="Times New Roman" w:hAnsi="Times New Roman" w:cs="Times New Roman"/>
          <w:sz w:val="24"/>
          <w:szCs w:val="24"/>
        </w:rPr>
        <w:t>Rhodamine B</w:t>
      </w:r>
      <w:r>
        <w:rPr>
          <w:rFonts w:ascii="Times New Roman" w:hAnsi="Times New Roman" w:cs="Times New Roman"/>
          <w:sz w:val="24"/>
          <w:szCs w:val="24"/>
        </w:rPr>
        <w:t xml:space="preserve">, Composite, </w:t>
      </w:r>
      <w:r w:rsidRPr="00EE5F25">
        <w:rPr>
          <w:rFonts w:ascii="Times New Roman" w:hAnsi="Times New Roman" w:cs="Times New Roman"/>
          <w:sz w:val="24"/>
          <w:szCs w:val="24"/>
        </w:rPr>
        <w:t>CuO-clay</w:t>
      </w:r>
    </w:p>
    <w:p w14:paraId="5A467B13" w14:textId="77777777" w:rsidR="00107CB5" w:rsidRPr="0009217E" w:rsidRDefault="00107CB5" w:rsidP="0009217E">
      <w:pPr>
        <w:pStyle w:val="NormalWeb"/>
        <w:spacing w:before="0" w:beforeAutospacing="0" w:after="0" w:afterAutospacing="0" w:line="276" w:lineRule="auto"/>
        <w:ind w:left="720"/>
        <w:contextualSpacing/>
        <w:jc w:val="both"/>
      </w:pPr>
    </w:p>
    <w:p w14:paraId="2F67F5A9" w14:textId="3C2B0AB4" w:rsidR="00AA5861" w:rsidRPr="006A70A6" w:rsidRDefault="00AA5861" w:rsidP="0009217E">
      <w:pPr>
        <w:pStyle w:val="NormalWeb"/>
        <w:numPr>
          <w:ilvl w:val="0"/>
          <w:numId w:val="1"/>
        </w:numPr>
        <w:spacing w:before="0" w:beforeAutospacing="0" w:after="0" w:afterAutospacing="0" w:line="276" w:lineRule="auto"/>
        <w:ind w:left="360"/>
        <w:contextualSpacing/>
        <w:jc w:val="both"/>
        <w:rPr>
          <w:b/>
          <w:bCs/>
        </w:rPr>
      </w:pPr>
      <w:r w:rsidRPr="006A70A6">
        <w:rPr>
          <w:b/>
          <w:bCs/>
        </w:rPr>
        <w:t>Introduction</w:t>
      </w:r>
    </w:p>
    <w:p w14:paraId="13E55E94" w14:textId="31D7C505" w:rsidR="0009217E" w:rsidRDefault="00AA5861" w:rsidP="00EE5F25">
      <w:pPr>
        <w:pStyle w:val="NormalWeb"/>
        <w:spacing w:before="0" w:beforeAutospacing="0" w:after="0" w:afterAutospacing="0" w:line="276" w:lineRule="auto"/>
        <w:ind w:firstLine="720"/>
        <w:contextualSpacing/>
        <w:jc w:val="both"/>
      </w:pPr>
      <w:r w:rsidRPr="0009217E">
        <w:t>Water pollution caused by industrial waste disposal remains a pressing global environmental issue. Various sectors such as textiles, paper, leather, plastics, food, and cosmetics use large amounts of synthetic dyes, and a significant portion ends up in water bodies without adequate treatment</w:t>
      </w:r>
      <w:r w:rsidR="000D1806">
        <w:fldChar w:fldCharType="begin"/>
      </w:r>
      <w:r w:rsidR="000D1806">
        <w:instrText xml:space="preserve"> ADDIN ZOTERO_ITEM CSL_CITATION {"citationID":"FyYCnFpn","properties":{"formattedCitation":"(Khan et al., 2025; Rajput et al., 2024)","plainCitation":"(Khan et al., 2025; Rajput et al., 2024)","noteIndex":0},"citationItems":[{"id":797,"uris":["http://zotero.org/users/local/JOPSRQaa/items/BEXB8RR6"],"itemData":{"id":797,"type":"article-journal","container-title":"International Journal of Biological Innovations","DOI":"10.46505/ijbi.2025.7110","issue":"01","language":"en","page":"80–92","title":"Bioremediation and advanced research for degradation of dyes","volume":"07","author":[{"family":"Khan","given":"E.A."},{"family":"Tiwari","given":"N.P."},{"family":"Agnihotri","given":"A."},{"family":"Awasthi","given":"G."}],"issued":{"date-parts":[["2025"]]}}},{"id":796,"uris":["http://zotero.org/users/local/JOPSRQaa/items/27MC9XDV"],"itemData":{"id":796,"type":"document","language":"en","note":"page: 353–376\nDOI: 10.1002/9781119901310.ch13","title":"A Sustainable Catalytic Approach for Wastewater Bodies","URL":"https://doi.org/10.1002/9781119901310.ch13","author":[{"family":"Rajput","given":"A."},{"family":"Shukla","given":"S.K."},{"family":"Kumar","given":"R."},{"family":"Jha","given":"G."},{"family":"Kalia","given":"V."},{"family":"Mangla","given":"B."}],"issued":{"date-parts":[["2024"]]}}}],"schema":"https://github.com/citation-style-language/schema/raw/master/csl-citation.json"} </w:instrText>
      </w:r>
      <w:r w:rsidR="000D1806">
        <w:fldChar w:fldCharType="separate"/>
      </w:r>
      <w:r w:rsidR="000D1806" w:rsidRPr="000D1806">
        <w:t xml:space="preserve"> (Khan et al., 2025; Rajput et al., 2024)</w:t>
      </w:r>
      <w:r w:rsidR="000D1806">
        <w:fldChar w:fldCharType="end"/>
      </w:r>
      <w:r w:rsidRPr="0009217E">
        <w:t xml:space="preserve"> . The presence of these dyes not only increases COD and BOD levels but also degrades the aesthetic quality of water bodies and disrupts light penetration, which is essential for the photosynthesis of aquatic organisms</w:t>
      </w:r>
      <w:r w:rsidR="000D1806">
        <w:fldChar w:fldCharType="begin"/>
      </w:r>
      <w:r w:rsidR="000D1806">
        <w:instrText xml:space="preserve"> ADDIN ZOTERO_ITEM CSL_CITATION {"citationID":"BKuqf2H6","properties":{"formattedCitation":"(Pratiwi et al., 2025)","plainCitation":"(Pratiwi et al., 2025)","noteIndex":0},"citationItems":[{"id":803,"uris":["http://zotero.org/users/local/JOPSRQaa/items/QEY849FH"],"itemData":{"id":803,"type":"article-journal","container-title":"Jurnal Kartika Kimia","DOI":"10.26874/jkk.v8i1.917","issue":"1","language":"jv","page":"108–118","title":"Optimization of methyl orange dye photodegradation using TiO2/porous ceramics with response surface methodology","volume":"8","author":[{"family":"Pratiwi","given":"D.E."},{"family":"Putri","given":"S.E."},{"family":"Side","given":"S."},{"family":"Irfandi","given":"R."},{"family":"Taufiq","given":"M."},{"family":"Rahman","given":"A."}],"issued":{"date-parts":[["2025"]]}}}],"schema":"https://github.com/citation-style-language/schema/raw/master/csl-citation.json"} </w:instrText>
      </w:r>
      <w:r w:rsidR="000D1806">
        <w:fldChar w:fldCharType="separate"/>
      </w:r>
      <w:r w:rsidR="000D1806" w:rsidRPr="000D1806">
        <w:t>( Pratiwi et al., 2025)</w:t>
      </w:r>
      <w:r w:rsidR="000D1806">
        <w:fldChar w:fldCharType="end"/>
      </w:r>
      <w:r w:rsidRPr="0009217E">
        <w:t xml:space="preserve"> . In many developing countries, including Indonesia, limited wastewater treatment technology and high operational costs further exacerbate the accumulation of dyes in aquatic environments</w:t>
      </w:r>
      <w:r w:rsidR="000D1806">
        <w:fldChar w:fldCharType="begin"/>
      </w:r>
      <w:r w:rsidR="000D1806">
        <w:instrText xml:space="preserve"> ADDIN ZOTERO_ITEM CSL_CITATION {"citationID":"Fovw6YIW","properties":{"formattedCitation":"(Beulah &amp; Muthukumaran, 2020)","plainCitation":"(Beulah &amp; Muthukumaran, 2020)","noteIndex":0},"citationItems":[{"id":798,"uris":["http://zotero.org/users/local/JOPSRQaa/items/Q3QCXL4U"],"itemData":{"id":798,"type":"article-journal","container-title":"International Research Journal of Pure and Applied Chemistry","DOI":"10.9734/IRJPAC/2020/V21I1130225","language":"en","page":"68–78","title":"Methodologies of Removal of Dyes from Wastewater: A Review","author":[{"family":"Beulah","given":"S.S."},{"family":"Muthukumaran","given":"K."}],"issued":{"date-parts":[["2020"]]}}}],"schema":"https://github.com/citation-style-language/schema/raw/master/csl-citation.json"} </w:instrText>
      </w:r>
      <w:r w:rsidR="000D1806">
        <w:fldChar w:fldCharType="separate"/>
      </w:r>
      <w:r w:rsidR="000D1806" w:rsidRPr="000D1806">
        <w:t xml:space="preserve"> (Beulah &amp; Muthukumaran, 2020)</w:t>
      </w:r>
      <w:r w:rsidR="000D1806">
        <w:fldChar w:fldCharType="end"/>
      </w:r>
      <w:r w:rsidR="000D1806">
        <w:t xml:space="preserve"> . </w:t>
      </w:r>
      <w:r w:rsidRPr="0009217E">
        <w:t xml:space="preserve">Among various synthetic dyes, </w:t>
      </w:r>
      <w:r w:rsidR="00EE5F25">
        <w:t xml:space="preserve">Rhodamine B </w:t>
      </w:r>
      <w:r w:rsidRPr="0009217E">
        <w:t>(RhB) is one of the most widely used cationic dyes in textiles, paper, ink, cosmetics, and plastics. RhB has a xanthene structure with a conjugated bond system that produces a very intense pink to purplish-red color, even at low concentrations</w:t>
      </w:r>
      <w:r w:rsidR="000D1806">
        <w:fldChar w:fldCharType="begin"/>
      </w:r>
      <w:r w:rsidR="000D1806">
        <w:instrText xml:space="preserve"> ADDIN ZOTERO_ITEM CSL_CITATION {"citationID":"8HqEu3Ef","properties":{"formattedCitation":"(Utami et al., 2023)","plainCitation":"(Utami et al., 2023)","noteIndex":0},"citationItems":[{"id":799,"uris":["http://zotero.org/users/local/JOPSRQaa/items/EK57D7B5"],"itemData":{"id":799,"type":"document","language":"en","note":"DOI: 10.3390/cryst13040588","title":"Enhanced Photodegradation of Rhodamine B Using Visible-Light Sensitive N-TiO2/rGO Composite","URL":"https://doi.org/10.3390/cryst13040588","author":[{"family":"Utami","given":"M."},{"family":"Wang","given":"S."},{"family":"Fajarwati","given":"F.I."},{"family":"Dewi","given":"T.A."}],"issued":{"date-parts":[["2023"]]}}}],"schema":"https://github.com/citation-style-language/schema/raw/master/csl-citation.json"} </w:instrText>
      </w:r>
      <w:r w:rsidR="000D1806">
        <w:fldChar w:fldCharType="separate"/>
      </w:r>
      <w:r w:rsidR="000D1806" w:rsidRPr="000D1806">
        <w:t>( Utami et al., 2023)</w:t>
      </w:r>
      <w:r w:rsidR="000D1806">
        <w:fldChar w:fldCharType="end"/>
      </w:r>
      <w:r w:rsidRPr="0009217E">
        <w:t xml:space="preserve"> . Its water-soluble nature, chemical stability, and resistance to photochemical and biological degradation make RhB highly persistent in the environment. This makes RhB difficult to remove through natural dilution or conventional biological treatment alone</w:t>
      </w:r>
      <w:r w:rsidR="000D1806">
        <w:fldChar w:fldCharType="begin"/>
      </w:r>
      <w:r w:rsidR="000D1806">
        <w:instrText xml:space="preserve"> ADDIN ZOTERO_ITEM CSL_CITATION {"citationID":"gdadM5Kk","properties":{"formattedCitation":"(Rosa &amp; Okzelia, 2023; Scordato, 2023)","plainCitation":"(Rosa &amp; Okzelia, 2023; Scordato, 2023)","noteIndex":0},"citationItems":[{"id":801,"uris":["http://zotero.org/users/local/JOPSRQaa/items/XDTA53A3"],"itemData":{"id":801,"type":"article-journal","container-title":"Journal Education and Chemistry (JEDCHEM","DOI":"10.36378/jedchem.v5i1.2794","issue":"1","language":"ms","page":"49–56","title":"Analisis Zat Warna Rhodamin B dalam Lipstik yang Beredar di Pasar Setu Bekasi","volume":"5","author":[{"family":"Rosa","given":"S.D."},{"family":"Okzelia","given":"S.D."}],"issued":{"date-parts":[["2023"]]}}},{"id":802,"uris":["http://zotero.org/users/local/JOPSRQaa/items/8QS3FR57"],"itemData":{"id":802,"type":"article-journal","container-title":"Water","DOI":"10.3390/w15040735","issue":"4","language":"en","page":"735","title":"Efficient Removal of Rhodamine B in Wastewater via Activation of Persulfate by MnO2 with Different Morphologies","volume":"15","author":[{"family":"Scordato","given":"J."}],"issued":{"date-parts":[["2023"]]}}}],"schema":"https://github.com/citation-style-language/schema/raw/master/csl-citation.json"} </w:instrText>
      </w:r>
      <w:r w:rsidR="000D1806">
        <w:fldChar w:fldCharType="separate"/>
      </w:r>
      <w:r w:rsidR="000D1806" w:rsidRPr="000D1806">
        <w:t xml:space="preserve"> (Rosa &amp; Okzelia, 2023; Scordato, 2023)</w:t>
      </w:r>
      <w:r w:rsidR="000D1806">
        <w:fldChar w:fldCharType="end"/>
      </w:r>
      <w:r w:rsidR="000D1806">
        <w:t xml:space="preserve"> .</w:t>
      </w:r>
    </w:p>
    <w:p w14:paraId="141F8BC5" w14:textId="77777777" w:rsidR="00D96208" w:rsidRDefault="00D96208" w:rsidP="00EE5F25">
      <w:pPr>
        <w:pStyle w:val="NormalWeb"/>
        <w:spacing w:before="0" w:beforeAutospacing="0" w:after="0" w:afterAutospacing="0" w:line="276" w:lineRule="auto"/>
        <w:ind w:firstLine="720"/>
        <w:contextualSpacing/>
        <w:jc w:val="both"/>
      </w:pPr>
    </w:p>
    <w:p w14:paraId="3A005641" w14:textId="37DB52C8" w:rsidR="0009217E" w:rsidRDefault="00AA5861" w:rsidP="0009217E">
      <w:pPr>
        <w:pStyle w:val="NormalWeb"/>
        <w:spacing w:before="0" w:beforeAutospacing="0" w:after="0" w:afterAutospacing="0" w:line="276" w:lineRule="auto"/>
        <w:ind w:firstLine="720"/>
        <w:contextualSpacing/>
        <w:jc w:val="both"/>
      </w:pPr>
      <w:r w:rsidRPr="0009217E">
        <w:lastRenderedPageBreak/>
        <w:t xml:space="preserve">In addition to being persistent, </w:t>
      </w:r>
      <w:r w:rsidR="00EF4E00">
        <w:t xml:space="preserve">RhB </w:t>
      </w:r>
      <w:r w:rsidRPr="0009217E">
        <w:t xml:space="preserve">is also known to have toxic effects on health and the environment. Several studies have reported the potential carcinogenic and mutagenic properties of RhB, as well as the possibility of causing irritation to the skin and eyes and damage to organs such as the liver and kidneys if exposed over a </w:t>
      </w:r>
      <w:r w:rsidR="00F72205">
        <w:t xml:space="preserve">long </w:t>
      </w:r>
      <w:r w:rsidRPr="0009217E">
        <w:t>period of time</w:t>
      </w:r>
      <w:r w:rsidR="000D1806">
        <w:fldChar w:fldCharType="begin"/>
      </w:r>
      <w:r w:rsidR="000D1806">
        <w:instrText xml:space="preserve"> ADDIN ZOTERO_ITEM CSL_CITATION {"citationID":"jIdzh61q","properties":{"formattedCitation":"(Cheng &amp; Tsai, 2017)","plainCitation":"(Cheng &amp; Tsai, 2017)","noteIndex":0},"citationItems":[{"id":804,"uris":["http://zotero.org/users/local/JOPSRQaa/items/TUZ7J4YR"],"itemData":{"id":804,"type":"article-journal","container-title":"Journal of Agricultural and Food Chemistry","DOI":"10.1021/ACS.JAFC.6B04975","issue":"5","language":"en","page":"1078–1085","title":"Pharmacokinetics and Biodistribution of the Illegal Food Colorant Rhodamine B in Rats","volume":"65","author":[{"family":"Cheng","given":"Y.Y."},{"family":"Tsai","given":"T.H."}],"issued":{"date-parts":[["2017"]]}}}],"schema":"https://github.com/citation-style-language/schema/raw/master/csl-citation.json"} </w:instrText>
      </w:r>
      <w:r w:rsidR="000D1806">
        <w:fldChar w:fldCharType="separate"/>
      </w:r>
      <w:r w:rsidR="000D1806" w:rsidRPr="000D1806">
        <w:t xml:space="preserve"> (Cheng &amp; Tsai, 2017)</w:t>
      </w:r>
      <w:r w:rsidR="000D1806">
        <w:fldChar w:fldCharType="end"/>
      </w:r>
      <w:r w:rsidRPr="0009217E">
        <w:t xml:space="preserve"> . The presence of RhB in drinking water or the food chain is clearly unacceptable, so wastewater containing RhB must be treated to a safe level before being discharged into the environment. This condition underscores the urgency of developing technology that can eliminate RhB not merely by removing the pollutant, but also by completely restructuring its molecular structure</w:t>
      </w:r>
      <w:r w:rsidR="000D1806">
        <w:fldChar w:fldCharType="begin"/>
      </w:r>
      <w:r w:rsidR="000D1806">
        <w:instrText xml:space="preserve"> ADDIN ZOTERO_ITEM CSL_CITATION {"citationID":"pKV9Bh8r","properties":{"formattedCitation":"(Patil et al., 2024; Purba, 2024)","plainCitation":"(Patil et al., 2024; Purba, 2024)","noteIndex":0},"citationItems":[{"id":806,"uris":["http://zotero.org/users/local/JOPSRQaa/items/YA74ULFJ"],"itemData":{"id":806,"type":"document","language":"en","note":"DOI: 10.1016/j.cbpc.2024.109898","title":"Rhodamine B, an organic environmental pollutant induces reproductive toxicity in parental and teratogenicity in F1 generation in vivo","URL":"https://doi.org/10.1016/j.cbpc.2024.109898","author":[{"family":"Patil","given":"P."},{"family":"P.","given":"P.N."},{"family":"S.","given":"V."},{"family":"V.","given":"P."},{"family":"Almutairi","given":"M."},{"family":"Almutairi","given":"B."},{"family":"Selvaraj","given":"A."},{"family":"Raman","given":"P."},{"family":"Jesu","given":"A."}],"issued":{"date-parts":[["2024"]]}}},{"id":805,"uris":["http://zotero.org/users/local/JOPSRQaa/items/WQLWKISR"],"itemData":{"id":805,"type":"article-journal","container-title":"Jurnal Penelitian Farmasi Dan Herbal","DOI":"10.36656/jpfh.v7i1.2000","issue":"1","language":"id","page":"52–61","title":"Jhan Saberlan Purba","volume":"7","author":[{"family":"Purba","given":"J.S."}],"issued":{"date-parts":[["2024"]]}}}],"schema":"https://github.com/citation-style-language/schema/raw/master/csl-citation.json"} </w:instrText>
      </w:r>
      <w:r w:rsidR="000D1806">
        <w:fldChar w:fldCharType="separate"/>
      </w:r>
      <w:r w:rsidR="000D1806" w:rsidRPr="000D1806">
        <w:t xml:space="preserve"> (Patil et al., 2024; Purba, 2024)</w:t>
      </w:r>
      <w:r w:rsidR="000D1806">
        <w:fldChar w:fldCharType="end"/>
      </w:r>
      <w:r w:rsidRPr="0009217E">
        <w:t xml:space="preserve"> .</w:t>
      </w:r>
    </w:p>
    <w:p w14:paraId="0E833897" w14:textId="77777777" w:rsidR="00F72205" w:rsidRPr="00F72205" w:rsidRDefault="00F72205" w:rsidP="00F72205">
      <w:pPr>
        <w:spacing w:after="0" w:line="240" w:lineRule="auto"/>
        <w:rPr>
          <w:rFonts w:ascii="Times New Roman" w:eastAsia="Times New Roman" w:hAnsi="Times New Roman" w:cs="Times New Roman"/>
          <w:sz w:val="24"/>
          <w:szCs w:val="24"/>
        </w:rPr>
      </w:pPr>
    </w:p>
    <w:p w14:paraId="7898F657" w14:textId="389C161E" w:rsidR="0009217E" w:rsidRDefault="00AA5861" w:rsidP="0009217E">
      <w:pPr>
        <w:pStyle w:val="NormalWeb"/>
        <w:spacing w:before="0" w:beforeAutospacing="0" w:after="0" w:afterAutospacing="0" w:line="276" w:lineRule="auto"/>
        <w:ind w:firstLine="720"/>
        <w:contextualSpacing/>
        <w:jc w:val="both"/>
      </w:pPr>
      <w:r w:rsidRPr="0009217E">
        <w:t>Various technologies for treating liquid waste containing dyes have been developed, ranging from physical methods (adsorption, membrane filtration), chemical methods (coagulation–flocculation, chemical oxidation), to biological processes. Although some of these techniques are quite effective in rapidly reducing dye concentrations, most only transfer pollutants from the liquid phase to the solid phase in the form of sludge, which then raises the issue of further treatment</w:t>
      </w:r>
      <w:r w:rsidR="000D1806">
        <w:fldChar w:fldCharType="begin"/>
      </w:r>
      <w:r w:rsidR="000D1806">
        <w:instrText xml:space="preserve"> ADDIN ZOTERO_ITEM CSL_CITATION {"citationID":"KP4aA3Rg","properties":{"formattedCitation":"(Patel et al., 2024)","plainCitation":"(Patel et al., 2024)","noteIndex":0},"citationItems":[{"id":808,"uris":["http://zotero.org/users/local/JOPSRQaa/items/INV2EM5L"],"itemData":{"id":808,"type":"article-journal","container-title":"Journal of Environmental Management","DOI":"10.1016/j.jenvman.2024.122804","language":"en","page":"122804","title":"An overview of recent advances in treatment of complex dye-containing wastewater and its techno-economic assessment","volume":"370","author":[{"family":"Patel","given":"D.K."},{"family":"Singh","given":"A."},{"family":"Rao","given":"A.S."},{"family":"Singh","given":"R.S."},{"family":"Sonwani","given":"R.K."}],"issued":{"date-parts":[["2024"]]}}}],"schema":"https://github.com/citation-style-language/schema/raw/master/csl-citation.json"} </w:instrText>
      </w:r>
      <w:r w:rsidR="000D1806">
        <w:fldChar w:fldCharType="separate"/>
      </w:r>
      <w:r w:rsidR="000D1806" w:rsidRPr="000D1806">
        <w:t xml:space="preserve"> (Patel et al., 2024)</w:t>
      </w:r>
      <w:r w:rsidR="000D1806">
        <w:fldChar w:fldCharType="end"/>
      </w:r>
      <w:r w:rsidRPr="0009217E">
        <w:t xml:space="preserve"> . In addition, incomplete oxidation processes have the potential to produce intermediate compounds that are still hazardous. These limitations have driven the development of approaches capable of degrading dyes more thoroughly, ideally to the point of mineralization into CO₂ and H₂O or less toxic inorganic compounds</w:t>
      </w:r>
      <w:r w:rsidR="000D1806">
        <w:fldChar w:fldCharType="begin"/>
      </w:r>
      <w:r w:rsidR="000D1806">
        <w:instrText xml:space="preserve"> ADDIN ZOTERO_ITEM CSL_CITATION {"citationID":"nbOTV1mp","properties":{"formattedCitation":"(Dey &amp; Mandal, 2025)","plainCitation":"(Dey &amp; Mandal, 2025)","noteIndex":0},"citationItems":[{"id":809,"uris":["http://zotero.org/users/local/JOPSRQaa/items/LI2PHVBZ"],"itemData":{"id":809,"type":"article-journal","container-title":"Radinka Journal of Science and Systematic Literature Review","DOI":"10.56778/rjslr.v3i2.518","issue":"2","language":"en","page":"702–714","title":"A Comprehensive Review on Microbial Bioremediation of Industrial Dye","volume":"3","author":[{"family":"Dey","given":"S."},{"family":"Mandal","given":"B."}],"issued":{"date-parts":[["2025"]]}}}],"schema":"https://github.com/citation-style-language/schema/raw/master/csl-citation.json"} </w:instrText>
      </w:r>
      <w:r w:rsidR="000D1806">
        <w:fldChar w:fldCharType="separate"/>
      </w:r>
      <w:r w:rsidR="000D1806" w:rsidRPr="000D1806">
        <w:t xml:space="preserve"> (Dey &amp; Mandal, 2025)</w:t>
      </w:r>
      <w:r w:rsidR="000D1806">
        <w:fldChar w:fldCharType="end"/>
      </w:r>
      <w:r w:rsidRPr="0009217E">
        <w:t xml:space="preserve"> .</w:t>
      </w:r>
    </w:p>
    <w:p w14:paraId="1A20E0D8" w14:textId="77777777" w:rsidR="00F72205" w:rsidRDefault="00F72205" w:rsidP="00F72205">
      <w:pPr>
        <w:pStyle w:val="NormalWeb"/>
        <w:spacing w:before="0" w:beforeAutospacing="0" w:after="0" w:afterAutospacing="0" w:line="276" w:lineRule="auto"/>
        <w:contextualSpacing/>
        <w:jc w:val="both"/>
      </w:pPr>
    </w:p>
    <w:p w14:paraId="0022C957" w14:textId="4A295934" w:rsidR="00F72205" w:rsidRPr="00F72205" w:rsidRDefault="00AA5861" w:rsidP="001C1E74">
      <w:pPr>
        <w:pStyle w:val="NormalWeb"/>
        <w:spacing w:before="0" w:beforeAutospacing="0" w:after="0" w:afterAutospacing="0" w:line="276" w:lineRule="auto"/>
        <w:ind w:firstLine="720"/>
        <w:contextualSpacing/>
        <w:jc w:val="both"/>
      </w:pPr>
      <w:r w:rsidRPr="0009217E">
        <w:t xml:space="preserve">In this context, </w:t>
      </w:r>
      <w:r w:rsidRPr="0009217E">
        <w:rPr>
          <w:rStyle w:val="Emphasis"/>
        </w:rPr>
        <w:t xml:space="preserve">advanced oxidation processes </w:t>
      </w:r>
      <w:r w:rsidRPr="0009217E">
        <w:t xml:space="preserve">(AOP) have emerged as a promising alternative for the degradation of persistent organic compounds such as </w:t>
      </w:r>
      <w:r w:rsidR="00EF4E00">
        <w:t>RhB</w:t>
      </w:r>
      <w:r w:rsidRPr="0009217E">
        <w:t>. Various variants of AOP, such as semiconductor photocatalysis, Fenton and photo-Fenton processes, and ozonation, rely on the generation of hydroxyl radicals (•OH) and other reactive oxidative species that have high oxidation potential</w:t>
      </w:r>
      <w:r w:rsidR="000D1806">
        <w:fldChar w:fldCharType="begin"/>
      </w:r>
      <w:r w:rsidR="000D1806">
        <w:instrText xml:space="preserve"> ADDIN ZOTERO_ITEM CSL_CITATION {"citationID":"UvmHaVpg","properties":{"formattedCitation":"(Melville, 2022)","plainCitation":"(Melville, 2022)","noteIndex":0},"citationItems":[{"id":810,"uris":["http://zotero.org/users/local/JOPSRQaa/items/CJC2ISRK"],"itemData":{"id":810,"type":"article-journal","container-title":"Sustainable Textiles","DOI":"10.1007/978-981-19-0987-0_2","language":"en","page":"21–36","title":"Fenton Processes in Dye Removal","author":[{"family":"Melville","given":"A."}],"issued":{"date-parts":[["2022"]]}}}],"schema":"https://github.com/citation-style-language/schema/raw/master/csl-citation.json"} </w:instrText>
      </w:r>
      <w:r w:rsidR="000D1806">
        <w:fldChar w:fldCharType="separate"/>
      </w:r>
      <w:r w:rsidR="000D1806" w:rsidRPr="000D1806">
        <w:t xml:space="preserve"> (Melville, 2022)</w:t>
      </w:r>
      <w:r w:rsidR="000D1806">
        <w:fldChar w:fldCharType="end"/>
      </w:r>
      <w:r w:rsidRPr="0009217E">
        <w:t xml:space="preserve"> . These radicals are capable of breaking the chromophore and aromatic ring bonds in RhB molecules, causing the color to disappear and the molecular structure to fragment. However, for AOP to be implemented effectively and economically, a good understanding of </w:t>
      </w:r>
      <w:r w:rsidRPr="0009217E">
        <w:rPr>
          <w:rStyle w:val="Strong"/>
          <w:b w:val="0"/>
          <w:bCs w:val="0"/>
        </w:rPr>
        <w:t xml:space="preserve">degradation </w:t>
      </w:r>
      <w:r w:rsidRPr="0009217E">
        <w:t>kinetics—including reaction order models and rate constants—is crucial for reactor design, optimization of operating conditions, and evaluation of process feasibility on a larger scale</w:t>
      </w:r>
      <w:r w:rsidR="000D1806">
        <w:fldChar w:fldCharType="begin"/>
      </w:r>
      <w:r w:rsidR="000D1806">
        <w:instrText xml:space="preserve"> ADDIN ZOTERO_ITEM CSL_CITATION {"citationID":"NSDf2SnQ","properties":{"formattedCitation":"(Zheng et al., 2025)","plainCitation":"(Zheng et al., 2025)","noteIndex":0},"citationItems":[{"id":811,"uris":["http://zotero.org/users/local/JOPSRQaa/items/AE3GLUUB"],"itemData":{"id":811,"type":"article-journal","container-title":"Catalysts","DOI":"10.3390/catal15080761","issue":"8","language":"en","page":"761","title":"Recent Progress in Catalytically Driven Advanced Oxidation Processes for Wastewater Treatment","volume":"15","author":[{"family":"Zheng","given":"T."},{"family":"Zhang","given":"Z.Y."},{"family":"Liu","given":"Y."},{"family":"Zou","given":"L."}],"issued":{"date-parts":[["2025"]]}}}],"schema":"https://github.com/citation-style-language/schema/raw/master/csl-citation.json"} </w:instrText>
      </w:r>
      <w:r w:rsidR="000D1806">
        <w:fldChar w:fldCharType="separate"/>
      </w:r>
      <w:r w:rsidR="000D1806" w:rsidRPr="000D1806">
        <w:t xml:space="preserve"> (Zheng et al., 2025)</w:t>
      </w:r>
      <w:r w:rsidR="000D1806">
        <w:fldChar w:fldCharType="end"/>
      </w:r>
      <w:r w:rsidRPr="0009217E">
        <w:t xml:space="preserve"> .</w:t>
      </w:r>
    </w:p>
    <w:p w14:paraId="1628580F" w14:textId="77777777" w:rsidR="00F72205" w:rsidRDefault="00F72205" w:rsidP="00F72205">
      <w:pPr>
        <w:pStyle w:val="NormalWeb"/>
        <w:spacing w:before="0" w:beforeAutospacing="0" w:after="0" w:afterAutospacing="0" w:line="276" w:lineRule="auto"/>
        <w:contextualSpacing/>
        <w:jc w:val="both"/>
      </w:pPr>
    </w:p>
    <w:p w14:paraId="7BEF34EC" w14:textId="35A1EB45" w:rsidR="0009217E" w:rsidRDefault="00AA5861" w:rsidP="0009217E">
      <w:pPr>
        <w:pStyle w:val="NormalWeb"/>
        <w:spacing w:before="0" w:beforeAutospacing="0" w:after="0" w:afterAutospacing="0" w:line="276" w:lineRule="auto"/>
        <w:ind w:firstLine="720"/>
        <w:contextualSpacing/>
        <w:jc w:val="both"/>
      </w:pPr>
      <w:r w:rsidRPr="0009217E">
        <w:t xml:space="preserve">One semiconductor material that has received a lot of attention in AOP is copper(II) oxide (CuO). CuO is a p-type semiconductor with </w:t>
      </w:r>
      <w:r w:rsidRPr="0009217E">
        <w:rPr>
          <w:rStyle w:val="Emphasis"/>
        </w:rPr>
        <w:t xml:space="preserve">a </w:t>
      </w:r>
      <w:r w:rsidRPr="0009217E">
        <w:t xml:space="preserve">relatively narrow </w:t>
      </w:r>
      <w:r w:rsidRPr="0009217E">
        <w:rPr>
          <w:rStyle w:val="Emphasis"/>
        </w:rPr>
        <w:t xml:space="preserve">band gap </w:t>
      </w:r>
      <w:r w:rsidRPr="0009217E">
        <w:t>(around 1.2–1.9 eV), so it can be activated by visible light radiation. Other advantages of CuO are its abundant availability, relatively low cost, and its fairly stable properties as well as being more environmentally friendly than some heavy metal semiconductors</w:t>
      </w:r>
      <w:r w:rsidR="000D1806">
        <w:fldChar w:fldCharType="begin"/>
      </w:r>
      <w:r w:rsidR="000D1806">
        <w:instrText xml:space="preserve"> ADDIN ZOTERO_ITEM CSL_CITATION {"citationID":"V7hMqq6M","properties":{"formattedCitation":"(Akarken et al., 2024)","plainCitation":"(Akarken et al., 2024)","noteIndex":0},"citationItems":[{"id":812,"uris":["http://zotero.org/users/local/JOPSRQaa/items/LDBNAZV2"],"itemData":{"id":812,"type":"article-journal","container-title":"Journal of Advanced Research in Natural and Applied Sciences","DOI":"10.28979/jarnas.1405595","issue":"2","language":"en","page":"329–336","title":"Hydrothermal Synthesis of CuO Nanoparticles: Tailoring Morphology and Particle Size Variations for Enhanced Properties","volume":"10","author":[{"family":"Akarken","given":"G."},{"family":"Cengiz","given":"U."},{"family":"Bektaş","given":"T.E."}],"issued":{"date-parts":[["2024"]]}}}],"schema":"https://github.com/citation-style-language/schema/raw/master/csl-citation.json"} </w:instrText>
      </w:r>
      <w:r w:rsidR="000D1806">
        <w:fldChar w:fldCharType="separate"/>
      </w:r>
      <w:r w:rsidR="000D1806" w:rsidRPr="000D1806">
        <w:t>( Akarken et al., 2024)</w:t>
      </w:r>
      <w:r w:rsidR="000D1806">
        <w:fldChar w:fldCharType="end"/>
      </w:r>
      <w:r w:rsidR="000D1806">
        <w:t xml:space="preserve"> . </w:t>
      </w:r>
      <w:r w:rsidRPr="0009217E">
        <w:t>Various studies show that CuO can act as a catalyst or photocatalyst for the degradation of organic dyes. However, the use of CuO in its pure form is often hindered by particle agglomeration, limited effective surface area, and high electron–hole pair recombination rates, which ultimately reduce the efficiency of reactive radical formation and slow down the degradation rate</w:t>
      </w:r>
      <w:r w:rsidR="000D1806">
        <w:fldChar w:fldCharType="begin"/>
      </w:r>
      <w:r w:rsidR="000D1806">
        <w:instrText xml:space="preserve"> ADDIN ZOTERO_ITEM CSL_CITATION {"citationID":"uZSFHRoN","properties":{"formattedCitation":"(Ibarra-Rodr\\uc0\\u237{}guez et al., 2023)","plainCitation":"(Ibarra-Rodríguez et al., 2023)","noteIndex":0},"citationItems":[{"id":813,"uris":["http://zotero.org/users/local/JOPSRQaa/items/GSJNA659"],"itemData":{"id":813,"type":"article-journal","container-title":"Journal of Materials Research and Technology","DOI":"10.1016/j.jmrt.2023.07.118","language":"en","page":"137–149","title":"Photocatalytic reduction of CO2 over Ni-CuxO thin films towards formic acid production","volume":"26","author":[{"family":"Ibarra-Rodríguez","given":"L.I."},{"family":"Alfaro Cruz","given":"M.R."},{"family":"Garay-Rodríguez","given":"L.F."},{"family":"Hernández-Majalca","given":"B.C."},{"family":"Domínguez-Arvizu","given":"J.L."},{"family":"López-Ortíz","given":"A."},{"family":"Torres‐Martínez","given":"L.M."},{"family":"Collins-Martı́nez","given":"V."}],"issued":{"date-parts":[["2023"]]}}}],"schema":"https://github.com/citation-style-language/schema/raw/master/csl-citation.json"} </w:instrText>
      </w:r>
      <w:r w:rsidR="000D1806">
        <w:fldChar w:fldCharType="separate"/>
      </w:r>
      <w:r w:rsidR="000D1806" w:rsidRPr="000D1806">
        <w:t xml:space="preserve"> (Ibarra-Rodríguez et al., 2023)</w:t>
      </w:r>
      <w:r w:rsidR="000D1806">
        <w:fldChar w:fldCharType="end"/>
      </w:r>
      <w:r w:rsidRPr="0009217E">
        <w:t xml:space="preserve"> .</w:t>
      </w:r>
    </w:p>
    <w:p w14:paraId="0E079DE6" w14:textId="77777777" w:rsidR="00B93D4E" w:rsidRDefault="00B93D4E" w:rsidP="00B93D4E">
      <w:pPr>
        <w:pStyle w:val="NormalWeb"/>
        <w:spacing w:before="0" w:beforeAutospacing="0" w:after="0" w:afterAutospacing="0" w:line="276" w:lineRule="auto"/>
        <w:contextualSpacing/>
        <w:jc w:val="both"/>
      </w:pPr>
    </w:p>
    <w:p w14:paraId="36EE006F" w14:textId="0836514C" w:rsidR="0009217E" w:rsidRDefault="00AA5861" w:rsidP="0009217E">
      <w:pPr>
        <w:pStyle w:val="NormalWeb"/>
        <w:spacing w:before="0" w:beforeAutospacing="0" w:after="0" w:afterAutospacing="0" w:line="276" w:lineRule="auto"/>
        <w:ind w:firstLine="720"/>
        <w:contextualSpacing/>
        <w:jc w:val="both"/>
      </w:pPr>
      <w:r w:rsidRPr="0009217E">
        <w:lastRenderedPageBreak/>
        <w:t xml:space="preserve">To overcome these limitations, the use of </w:t>
      </w:r>
      <w:r w:rsidRPr="0009217E">
        <w:rPr>
          <w:rStyle w:val="Emphasis"/>
        </w:rPr>
        <w:t>support</w:t>
      </w:r>
      <w:r w:rsidRPr="0009217E">
        <w:t xml:space="preserve"> materials such as clay is an attractive strategy. Clay—for example, bentonite or kaolinite—has a high specific surface area, good cation exchange capacity, and abundant availability at low cost, especially in countries with rich clay mineral resources</w:t>
      </w:r>
      <w:r w:rsidR="000D1806">
        <w:fldChar w:fldCharType="begin"/>
      </w:r>
      <w:r w:rsidR="000D1806">
        <w:instrText xml:space="preserve"> ADDIN ZOTERO_ITEM CSL_CITATION {"citationID":"ugTv6JYx","properties":{"formattedCitation":"(Biswas et al., 2020)","plainCitation":"(Biswas et al., 2020)","noteIndex":0},"citationItems":[{"id":814,"uris":["http://zotero.org/users/local/JOPSRQaa/items/VQSYNBPD"],"itemData":{"id":814,"type":"article-journal","container-title":"Environmental Science and Pollution Research","DOI":"10.1007/S11356-020-09828-4","issue":"31","language":"en","page":"38381–38383","title":"Clays and modified clays in remediating environmental pollutants","volume":"27","author":[{"family":"Biswas","given":"B."},{"family":"Labille","given":"J."},{"family":"Prelot","given":"B."}],"issued":{"date-parts":[["2020"]]}}}],"schema":"https://github.com/citation-style-language/schema/raw/master/csl-citation.json"} </w:instrText>
      </w:r>
      <w:r w:rsidR="000D1806">
        <w:fldChar w:fldCharType="separate"/>
      </w:r>
      <w:r w:rsidR="000D1806" w:rsidRPr="000D1806">
        <w:t xml:space="preserve"> (Biswas et al., 2020)</w:t>
      </w:r>
      <w:r w:rsidR="000D1806">
        <w:fldChar w:fldCharType="end"/>
      </w:r>
      <w:r w:rsidRPr="0009217E">
        <w:t xml:space="preserve"> . Clay is also known to have fairly good adsorption capacity for cationic dyes such as RhB, thereby increasing the local concentration of RhB around the catalyst surface. When CuO is dispersed on the surface or within the clay structure, a CuO–clay composite is formed that is expected to synergistically combine the adsorption advantages of clay and the catalytic activity of CuO</w:t>
      </w:r>
      <w:r w:rsidR="000D1806">
        <w:fldChar w:fldCharType="begin"/>
      </w:r>
      <w:r w:rsidR="000D1806">
        <w:instrText xml:space="preserve"> ADDIN ZOTERO_ITEM CSL_CITATION {"citationID":"3DvFEvip","properties":{"formattedCitation":"(Sayahi et al., 2025)","plainCitation":"(Sayahi et al., 2025)","noteIndex":0},"citationItems":[{"id":815,"uris":["http://zotero.org/users/local/JOPSRQaa/items/5BPVGYIC"],"itemData":{"id":815,"type":"article-journal","container-title":"Minerals","DOI":"10.3390/min15090969","issue":"9","language":"en","page":"969","title":"Clay Minerals as Enzyme Carriers for Pollutant Removal from Wastewater: A Comprehensive Review","volume":"15","author":[{"family":"Sayahi","given":"N."},{"family":"Othmani","given":"B."},{"family":"Mnif","given":"W."},{"family":"Algarni","given":"Z."},{"family":"Khadhraoui","given":"M."},{"family":"Ben Rebah","given":"F."}],"issued":{"date-parts":[["2025"]]}}}],"schema":"https://github.com/citation-style-language/schema/raw/master/csl-citation.json"} </w:instrText>
      </w:r>
      <w:r w:rsidR="000D1806">
        <w:fldChar w:fldCharType="separate"/>
      </w:r>
      <w:r w:rsidR="000D1806" w:rsidRPr="000D1806">
        <w:t xml:space="preserve"> (Sayahi et al., 2025)</w:t>
      </w:r>
      <w:r w:rsidR="000D1806">
        <w:fldChar w:fldCharType="end"/>
      </w:r>
      <w:r w:rsidR="000D1806">
        <w:t xml:space="preserve"> .</w:t>
      </w:r>
    </w:p>
    <w:p w14:paraId="6412EC9F" w14:textId="77777777" w:rsidR="00B93D4E" w:rsidRDefault="00B93D4E" w:rsidP="00B93D4E">
      <w:pPr>
        <w:pStyle w:val="NormalWeb"/>
        <w:spacing w:before="0" w:beforeAutospacing="0" w:after="0" w:afterAutospacing="0" w:line="276" w:lineRule="auto"/>
        <w:contextualSpacing/>
        <w:jc w:val="both"/>
      </w:pPr>
    </w:p>
    <w:p w14:paraId="5CE04610" w14:textId="57E7D8B0" w:rsidR="0009217E" w:rsidRDefault="00AA5861" w:rsidP="0009217E">
      <w:pPr>
        <w:pStyle w:val="NormalWeb"/>
        <w:spacing w:before="0" w:beforeAutospacing="0" w:after="0" w:afterAutospacing="0" w:line="276" w:lineRule="auto"/>
        <w:ind w:firstLine="720"/>
        <w:contextualSpacing/>
        <w:jc w:val="both"/>
      </w:pPr>
      <w:r w:rsidRPr="0009217E">
        <w:t xml:space="preserve">CuO–clay composites have the potential to offer several advantages: preventing CuO particle agglomeration, increasing surface area and the number of exposed active sites, and facilitating more efficient charge transfer during the oxidation process. In addition, the adsorption contribution of clay can increase the pre-concentration stage of RhB near the catalytic site, thereby accelerating the overall degradation rate. Although a number of studies have reported the use of CuO or CuO-based materials for dye degradation, as well as the use of clay and modified clay as adsorbents and photocatalysts, studies that specifically highlight </w:t>
      </w:r>
      <w:r w:rsidRPr="0009217E">
        <w:rPr>
          <w:rStyle w:val="Strong"/>
          <w:b w:val="0"/>
          <w:bCs w:val="0"/>
        </w:rPr>
        <w:t xml:space="preserve">the kinetics of </w:t>
      </w:r>
      <w:r w:rsidR="00EF4E00">
        <w:rPr>
          <w:rStyle w:val="Strong"/>
          <w:b w:val="0"/>
          <w:bCs w:val="0"/>
        </w:rPr>
        <w:t>RhB</w:t>
      </w:r>
      <w:r w:rsidRPr="0009217E">
        <w:rPr>
          <w:rStyle w:val="Strong"/>
          <w:b w:val="0"/>
          <w:bCs w:val="0"/>
        </w:rPr>
        <w:t xml:space="preserve"> degradation using CuO–clay composites </w:t>
      </w:r>
      <w:r w:rsidRPr="0009217E">
        <w:t>are still relatively limited. Many studies emphasize the percentage of removal or photocatalytic efficiency without in-depth analysis of kinetic models and reaction rate parameters (</w:t>
      </w:r>
      <w:r w:rsidR="000D1806">
        <w:fldChar w:fldCharType="begin"/>
      </w:r>
      <w:r w:rsidR="000D1806">
        <w:instrText xml:space="preserve"> ADDIN ZOTERO_ITEM CSL_CITATION {"citationID":"7dusANZu","properties":{"formattedCitation":"(Asmare et al., 2025; Side et al., 2023)","plainCitation":"(Asmare et al., 2025; Side et al., 2023)","noteIndex":0},"citationItems":[{"id":817,"uris":["http://zotero.org/users/local/JOPSRQaa/items/5JHWLD32"],"itemData":{"id":817,"type":"document","language":"en","note":"type: ACS Omega.\nDOI: 10.1021/acsomega.5c02923","title":"Facile Preparation of a Kaolin-Supported CuO Catalyst and Investigation of Its Catalytic Performance for Methylene Blue Dye Degradation in Aqueous Solution","URL":"https://doi.org/10.1021/acsomega.5c02923","author":[{"family":"Asmare","given":"Z.G."},{"family":"Aragaw","given":"B.A."},{"family":"Atlabachew","given":"M."},{"family":"Dubale","given":"A.A."},{"family":"Mohammed","given":"K.S."}],"issued":{"date-parts":[["2025"]]}}},{"id":816,"uris":["http://zotero.org/users/local/JOPSRQaa/items/67G8T8W4"],"itemData":{"id":816,"type":"article-journal","container-title":"E3S Web of Conferences","DOI":"10.1051/e3sconf/202340004012","language":"en","page":"04012","title":"Preparation and Characterization of CuO/Clay Composite for Methyl Orange Photodegradation","volume":"400","author":[{"family":"Side","given":"S."},{"family":"Putri","given":"S.E."},{"family":"Hasri","given":"A.H.M."},{"family":"Rahman","given":"E."}],"issued":{"date-parts":[["2023"]]}}}],"schema":"https://github.com/citation-style-language/schema/raw/master/csl-citation.json"} </w:instrText>
      </w:r>
      <w:r w:rsidR="000D1806">
        <w:fldChar w:fldCharType="separate"/>
      </w:r>
      <w:r w:rsidR="000D1806" w:rsidRPr="000D1806">
        <w:t>( Asmare et al., 2025; Side et al., 2023).</w:t>
      </w:r>
      <w:r w:rsidR="000D1806">
        <w:fldChar w:fldCharType="end"/>
      </w:r>
    </w:p>
    <w:p w14:paraId="7454D4E9" w14:textId="7470AEED" w:rsidR="00435994" w:rsidRDefault="00435994" w:rsidP="00435994">
      <w:pPr>
        <w:pStyle w:val="NormalWeb"/>
        <w:spacing w:before="0" w:beforeAutospacing="0" w:after="0" w:afterAutospacing="0" w:line="276" w:lineRule="auto"/>
        <w:contextualSpacing/>
        <w:jc w:val="both"/>
      </w:pPr>
    </w:p>
    <w:p w14:paraId="4E3613C6" w14:textId="19573983" w:rsidR="00AA5861" w:rsidRDefault="00AA5861" w:rsidP="0009217E">
      <w:pPr>
        <w:pStyle w:val="NormalWeb"/>
        <w:spacing w:before="0" w:beforeAutospacing="0" w:after="0" w:afterAutospacing="0" w:line="276" w:lineRule="auto"/>
        <w:ind w:firstLine="720"/>
        <w:contextualSpacing/>
        <w:jc w:val="both"/>
      </w:pPr>
      <w:r w:rsidRPr="0009217E">
        <w:t xml:space="preserve">Based on this gap, this study focuses on the synthesis and characterization of CuO–clay composites and the investigation of </w:t>
      </w:r>
      <w:r w:rsidR="00EF4E00">
        <w:t xml:space="preserve">RhB </w:t>
      </w:r>
      <w:r w:rsidRPr="0009217E">
        <w:t xml:space="preserve">degradation kinetics using these composites as active materials. Specifically, this study aims to evaluate RhB degradation performance under varying process conditions </w:t>
      </w:r>
      <w:r w:rsidR="00435994">
        <w:t xml:space="preserve">and </w:t>
      </w:r>
      <w:r w:rsidRPr="0009217E">
        <w:t xml:space="preserve">analyze degradation data to determine the most appropriate kinetic model and calculate the reaction rate constant. The novelty of this study lies in the combination of the use of clay-based CuO–clay composites with systematic kinetic analysis, which is expected to provide more comprehensive information on the mechanism and rate of RhB degradation. Practically, the results of this study can serve as a scientific basis for the development of wastewater treatment systems containing </w:t>
      </w:r>
      <w:r w:rsidR="00EF4E00">
        <w:t xml:space="preserve">RhB </w:t>
      </w:r>
      <w:r w:rsidRPr="0009217E">
        <w:t>by utilizing CuO–clay-based materials that are potential, economical, and relevant for adaptation on a wider scale.</w:t>
      </w:r>
    </w:p>
    <w:p w14:paraId="6F443504" w14:textId="77777777" w:rsidR="0009217E" w:rsidRPr="0009217E" w:rsidRDefault="0009217E" w:rsidP="0009217E">
      <w:pPr>
        <w:pStyle w:val="NormalWeb"/>
        <w:spacing w:before="0" w:beforeAutospacing="0" w:after="0" w:afterAutospacing="0" w:line="276" w:lineRule="auto"/>
        <w:ind w:firstLine="720"/>
        <w:contextualSpacing/>
        <w:jc w:val="both"/>
      </w:pPr>
    </w:p>
    <w:p w14:paraId="42CC102B" w14:textId="02931583" w:rsidR="000F0566" w:rsidRPr="006A70A6" w:rsidRDefault="00AA5861" w:rsidP="0009217E">
      <w:pPr>
        <w:pStyle w:val="ListParagraph"/>
        <w:numPr>
          <w:ilvl w:val="0"/>
          <w:numId w:val="1"/>
        </w:numPr>
        <w:spacing w:after="0" w:line="276" w:lineRule="auto"/>
        <w:ind w:left="360"/>
        <w:jc w:val="both"/>
        <w:rPr>
          <w:rFonts w:ascii="Times New Roman" w:hAnsi="Times New Roman" w:cs="Times New Roman"/>
          <w:b/>
          <w:bCs/>
          <w:sz w:val="24"/>
          <w:szCs w:val="24"/>
        </w:rPr>
      </w:pPr>
      <w:r w:rsidRPr="006A70A6">
        <w:rPr>
          <w:rFonts w:ascii="Times New Roman" w:hAnsi="Times New Roman" w:cs="Times New Roman"/>
          <w:b/>
          <w:bCs/>
          <w:sz w:val="24"/>
          <w:szCs w:val="24"/>
        </w:rPr>
        <w:t>Method</w:t>
      </w:r>
    </w:p>
    <w:p w14:paraId="5FAD03B3" w14:textId="50C19B9D" w:rsidR="00AA5861" w:rsidRPr="0009217E" w:rsidRDefault="00D31227" w:rsidP="0009217E">
      <w:pPr>
        <w:pStyle w:val="ListParagraph"/>
        <w:numPr>
          <w:ilvl w:val="0"/>
          <w:numId w:val="2"/>
        </w:numPr>
        <w:spacing w:after="0" w:line="276" w:lineRule="auto"/>
        <w:ind w:left="360"/>
        <w:jc w:val="both"/>
        <w:rPr>
          <w:rFonts w:ascii="Times New Roman" w:hAnsi="Times New Roman" w:cs="Times New Roman"/>
          <w:sz w:val="24"/>
          <w:szCs w:val="24"/>
        </w:rPr>
      </w:pPr>
      <w:r w:rsidRPr="0009217E">
        <w:rPr>
          <w:rFonts w:ascii="Times New Roman" w:hAnsi="Times New Roman" w:cs="Times New Roman"/>
          <w:sz w:val="24"/>
          <w:szCs w:val="24"/>
        </w:rPr>
        <w:t>Tools and Materials</w:t>
      </w:r>
    </w:p>
    <w:p w14:paraId="32CC0160" w14:textId="5BAD12C0" w:rsidR="00D31227" w:rsidRPr="0009217E" w:rsidRDefault="00D31227" w:rsidP="0009217E">
      <w:pPr>
        <w:pStyle w:val="ListParagraph"/>
        <w:spacing w:after="0" w:line="276" w:lineRule="auto"/>
        <w:ind w:left="360"/>
        <w:jc w:val="both"/>
        <w:rPr>
          <w:rFonts w:ascii="Times New Roman" w:hAnsi="Times New Roman" w:cs="Times New Roman"/>
          <w:sz w:val="24"/>
          <w:szCs w:val="24"/>
        </w:rPr>
      </w:pPr>
      <w:r w:rsidRPr="0009217E">
        <w:rPr>
          <w:rFonts w:ascii="Times New Roman" w:hAnsi="Times New Roman" w:cs="Times New Roman"/>
          <w:sz w:val="24"/>
          <w:szCs w:val="24"/>
        </w:rPr>
        <w:t>The main tools used in this study included a UV–Vis spectrophotometer with a 1 cm path length quartz cuvette, a magnetic stirrer with a hot plate, a shaker or orbital shaker, a digital pH meter, an analytical balance, a centrifuge or vacuum filtration device, and standard laboratory glassware. The chemicals used include pro-analysis grade RhB dye, CuO–clay composite, distilled water as a solvent, and HCl and NaOH solutions.</w:t>
      </w:r>
    </w:p>
    <w:p w14:paraId="622DE0EC" w14:textId="2DFCAE3B" w:rsidR="00D31227" w:rsidRPr="0009217E" w:rsidRDefault="00D31227" w:rsidP="0009217E">
      <w:pPr>
        <w:pStyle w:val="ListParagraph"/>
        <w:numPr>
          <w:ilvl w:val="0"/>
          <w:numId w:val="2"/>
        </w:numPr>
        <w:spacing w:after="0" w:line="276" w:lineRule="auto"/>
        <w:ind w:left="360"/>
        <w:jc w:val="both"/>
        <w:rPr>
          <w:rFonts w:ascii="Times New Roman" w:hAnsi="Times New Roman" w:cs="Times New Roman"/>
          <w:sz w:val="24"/>
          <w:szCs w:val="24"/>
        </w:rPr>
      </w:pPr>
      <w:r w:rsidRPr="0009217E">
        <w:rPr>
          <w:rFonts w:ascii="Times New Roman" w:hAnsi="Times New Roman" w:cs="Times New Roman"/>
          <w:sz w:val="24"/>
          <w:szCs w:val="24"/>
        </w:rPr>
        <w:t>Procedure</w:t>
      </w:r>
    </w:p>
    <w:p w14:paraId="51B4D85C" w14:textId="5A7EDCEA" w:rsidR="00D31227" w:rsidRPr="0009217E" w:rsidRDefault="00D31227" w:rsidP="0009217E">
      <w:pPr>
        <w:pStyle w:val="ListParagraph"/>
        <w:spacing w:after="0" w:line="276" w:lineRule="auto"/>
        <w:ind w:left="360"/>
        <w:jc w:val="both"/>
        <w:rPr>
          <w:rFonts w:ascii="Times New Roman" w:hAnsi="Times New Roman" w:cs="Times New Roman"/>
          <w:sz w:val="24"/>
          <w:szCs w:val="24"/>
        </w:rPr>
      </w:pPr>
      <w:r w:rsidRPr="0009217E">
        <w:rPr>
          <w:rFonts w:ascii="Times New Roman" w:hAnsi="Times New Roman" w:cs="Times New Roman"/>
          <w:sz w:val="24"/>
          <w:szCs w:val="24"/>
        </w:rPr>
        <w:t>Preparation of Rhodamine B Standard Solution</w:t>
      </w:r>
    </w:p>
    <w:p w14:paraId="4FEDE36F" w14:textId="56E3D083" w:rsidR="00D31227" w:rsidRPr="0009217E" w:rsidRDefault="00D31227" w:rsidP="0009217E">
      <w:pPr>
        <w:spacing w:after="0" w:line="276" w:lineRule="auto"/>
        <w:ind w:left="360"/>
        <w:contextualSpacing/>
        <w:jc w:val="both"/>
        <w:rPr>
          <w:rFonts w:ascii="Times New Roman" w:hAnsi="Times New Roman" w:cs="Times New Roman"/>
          <w:sz w:val="24"/>
          <w:szCs w:val="24"/>
        </w:rPr>
      </w:pPr>
      <w:r w:rsidRPr="0009217E">
        <w:rPr>
          <w:rFonts w:ascii="Times New Roman" w:hAnsi="Times New Roman" w:cs="Times New Roman"/>
          <w:sz w:val="24"/>
          <w:szCs w:val="24"/>
        </w:rPr>
        <w:lastRenderedPageBreak/>
        <w:tab/>
        <w:t>The RhB standard solution for preparing the calibration curve is prepared by diluting the stock solution to several concentrations of 0.01, 0.03, 0.05, 0.1, 0.3, 0.5, and 0.7 ppm. Next, UV-Vis analysis is performed at λ 550 nm.</w:t>
      </w:r>
    </w:p>
    <w:p w14:paraId="33E9EE48" w14:textId="563195B7" w:rsidR="00D31227" w:rsidRPr="0009217E" w:rsidRDefault="00D31227" w:rsidP="0009217E">
      <w:pPr>
        <w:spacing w:after="0" w:line="276" w:lineRule="auto"/>
        <w:ind w:left="360"/>
        <w:contextualSpacing/>
        <w:jc w:val="both"/>
        <w:rPr>
          <w:rFonts w:ascii="Times New Roman" w:hAnsi="Times New Roman" w:cs="Times New Roman"/>
          <w:sz w:val="24"/>
          <w:szCs w:val="24"/>
        </w:rPr>
      </w:pPr>
      <w:r w:rsidRPr="0009217E">
        <w:rPr>
          <w:rFonts w:ascii="Times New Roman" w:hAnsi="Times New Roman" w:cs="Times New Roman"/>
          <w:sz w:val="24"/>
          <w:szCs w:val="24"/>
        </w:rPr>
        <w:t xml:space="preserve">Study of </w:t>
      </w:r>
      <w:r w:rsidR="00EF4E00">
        <w:rPr>
          <w:rFonts w:ascii="Times New Roman" w:hAnsi="Times New Roman" w:cs="Times New Roman"/>
          <w:sz w:val="24"/>
          <w:szCs w:val="24"/>
        </w:rPr>
        <w:t xml:space="preserve">RhB </w:t>
      </w:r>
      <w:r w:rsidR="00B502DD" w:rsidRPr="0009217E">
        <w:rPr>
          <w:rFonts w:ascii="Times New Roman" w:hAnsi="Times New Roman" w:cs="Times New Roman"/>
          <w:sz w:val="24"/>
          <w:szCs w:val="24"/>
        </w:rPr>
        <w:t xml:space="preserve">degradation kinetics </w:t>
      </w:r>
      <w:r w:rsidRPr="0009217E">
        <w:rPr>
          <w:rFonts w:ascii="Times New Roman" w:hAnsi="Times New Roman" w:cs="Times New Roman"/>
          <w:sz w:val="24"/>
          <w:szCs w:val="24"/>
        </w:rPr>
        <w:t>using CuO–clay composites</w:t>
      </w:r>
    </w:p>
    <w:p w14:paraId="1C4FF1D6" w14:textId="21B1282E" w:rsidR="00987E05" w:rsidRPr="00987E05" w:rsidRDefault="0087474D" w:rsidP="00987E05">
      <w:pPr>
        <w:spacing w:after="0" w:line="276" w:lineRule="auto"/>
        <w:ind w:left="360"/>
        <w:contextualSpacing/>
        <w:jc w:val="both"/>
        <w:rPr>
          <w:rFonts w:ascii="Times New Roman" w:hAnsi="Times New Roman" w:cs="Times New Roman"/>
          <w:sz w:val="24"/>
          <w:szCs w:val="24"/>
        </w:rPr>
      </w:pPr>
      <w:r w:rsidRPr="0009217E">
        <w:rPr>
          <w:rFonts w:ascii="Times New Roman" w:hAnsi="Times New Roman" w:cs="Times New Roman"/>
          <w:sz w:val="24"/>
          <w:szCs w:val="24"/>
        </w:rPr>
        <w:t xml:space="preserve">The kinetic study of </w:t>
      </w:r>
      <w:r w:rsidR="00EF4E00">
        <w:rPr>
          <w:rFonts w:ascii="Times New Roman" w:hAnsi="Times New Roman" w:cs="Times New Roman"/>
          <w:sz w:val="24"/>
          <w:szCs w:val="24"/>
        </w:rPr>
        <w:t xml:space="preserve">RhB </w:t>
      </w:r>
      <w:r w:rsidRPr="0009217E">
        <w:rPr>
          <w:rFonts w:ascii="Times New Roman" w:hAnsi="Times New Roman" w:cs="Times New Roman"/>
          <w:sz w:val="24"/>
          <w:szCs w:val="24"/>
        </w:rPr>
        <w:t xml:space="preserve">degradation was conducted by examining the variation in </w:t>
      </w:r>
      <w:r w:rsidR="003E6315">
        <w:rPr>
          <w:rFonts w:ascii="Times New Roman" w:hAnsi="Times New Roman" w:cs="Times New Roman"/>
          <w:sz w:val="24"/>
          <w:szCs w:val="24"/>
        </w:rPr>
        <w:t xml:space="preserve">UV irradiation </w:t>
      </w:r>
      <w:r w:rsidRPr="0009217E">
        <w:rPr>
          <w:rFonts w:ascii="Times New Roman" w:hAnsi="Times New Roman" w:cs="Times New Roman"/>
          <w:sz w:val="24"/>
          <w:szCs w:val="24"/>
        </w:rPr>
        <w:t xml:space="preserve">time between </w:t>
      </w:r>
      <w:r w:rsidR="00EF4E00">
        <w:rPr>
          <w:rFonts w:ascii="Times New Roman" w:hAnsi="Times New Roman" w:cs="Times New Roman"/>
          <w:sz w:val="24"/>
          <w:szCs w:val="24"/>
        </w:rPr>
        <w:t xml:space="preserve">RhB </w:t>
      </w:r>
      <w:r w:rsidRPr="0009217E">
        <w:rPr>
          <w:rFonts w:ascii="Times New Roman" w:hAnsi="Times New Roman" w:cs="Times New Roman"/>
          <w:sz w:val="24"/>
          <w:szCs w:val="24"/>
        </w:rPr>
        <w:t xml:space="preserve">solution and CuO–clay composite. The time variations (60, 90, 120, 150, and 180 minutes) were carried out by preparing 50 mL of 25 ppm </w:t>
      </w:r>
      <w:r w:rsidR="00EF4E00">
        <w:rPr>
          <w:rFonts w:ascii="Times New Roman" w:hAnsi="Times New Roman" w:cs="Times New Roman"/>
          <w:sz w:val="24"/>
          <w:szCs w:val="24"/>
        </w:rPr>
        <w:t>RhB</w:t>
      </w:r>
      <w:r w:rsidRPr="0009217E">
        <w:rPr>
          <w:rFonts w:ascii="Times New Roman" w:hAnsi="Times New Roman" w:cs="Times New Roman"/>
          <w:sz w:val="24"/>
          <w:szCs w:val="24"/>
        </w:rPr>
        <w:t xml:space="preserve"> solution, then adding 0.1 g of CuO–clay composite. Each dye solution was placed in an Erlenmeyer flask and stirred at room temperature </w:t>
      </w:r>
      <w:r w:rsidR="00ED58C1">
        <w:rPr>
          <w:rFonts w:ascii="Times New Roman" w:hAnsi="Times New Roman" w:cs="Times New Roman"/>
          <w:sz w:val="24"/>
          <w:szCs w:val="24"/>
        </w:rPr>
        <w:t xml:space="preserve">and irradiated </w:t>
      </w:r>
      <w:r w:rsidR="002447F1">
        <w:rPr>
          <w:rFonts w:ascii="Times New Roman" w:hAnsi="Times New Roman" w:cs="Times New Roman"/>
          <w:sz w:val="24"/>
          <w:szCs w:val="24"/>
        </w:rPr>
        <w:t>with</w:t>
      </w:r>
      <w:r w:rsidR="00ED58C1">
        <w:rPr>
          <w:rFonts w:ascii="Times New Roman" w:hAnsi="Times New Roman" w:cs="Times New Roman"/>
          <w:sz w:val="24"/>
          <w:szCs w:val="24"/>
        </w:rPr>
        <w:t xml:space="preserve"> UV light </w:t>
      </w:r>
      <w:r w:rsidR="002447F1">
        <w:rPr>
          <w:rFonts w:ascii="Times New Roman" w:hAnsi="Times New Roman" w:cs="Times New Roman"/>
          <w:sz w:val="24"/>
          <w:szCs w:val="24"/>
        </w:rPr>
        <w:t xml:space="preserve">for varying periods of time. </w:t>
      </w:r>
      <w:r w:rsidRPr="0009217E">
        <w:rPr>
          <w:rFonts w:ascii="Times New Roman" w:hAnsi="Times New Roman" w:cs="Times New Roman"/>
          <w:sz w:val="24"/>
          <w:szCs w:val="24"/>
        </w:rPr>
        <w:t xml:space="preserve">After reaching the specified time, the suspension was separated using centrifugation at a speed of 7000 rpm for 15 minutes, then the absorbance of the remaining </w:t>
      </w:r>
      <w:r w:rsidR="00EF4E00">
        <w:rPr>
          <w:rFonts w:ascii="Times New Roman" w:hAnsi="Times New Roman" w:cs="Times New Roman"/>
          <w:sz w:val="24"/>
          <w:szCs w:val="24"/>
        </w:rPr>
        <w:t xml:space="preserve">RhB </w:t>
      </w:r>
      <w:r w:rsidRPr="0009217E">
        <w:rPr>
          <w:rFonts w:ascii="Times New Roman" w:hAnsi="Times New Roman" w:cs="Times New Roman"/>
          <w:sz w:val="24"/>
          <w:szCs w:val="24"/>
        </w:rPr>
        <w:t>in the filtrate was measured using a UV–Vis spectrophotometer at a wavelength of 554 nm</w:t>
      </w:r>
      <w:r w:rsidR="000D1806">
        <w:rPr>
          <w:rFonts w:ascii="Times New Roman" w:hAnsi="Times New Roman" w:cs="Times New Roman"/>
          <w:sz w:val="24"/>
          <w:szCs w:val="24"/>
        </w:rPr>
        <w:fldChar w:fldCharType="begin"/>
      </w:r>
      <w:r w:rsidR="006A70A6">
        <w:rPr>
          <w:rFonts w:ascii="Times New Roman" w:hAnsi="Times New Roman" w:cs="Times New Roman"/>
          <w:sz w:val="24"/>
          <w:szCs w:val="24"/>
        </w:rPr>
        <w:instrText xml:space="preserve"> ADDIN ZOTERO_ITEM CSL_CITATION {"citationID":"eW1YABpv","properties":{"formattedCitation":"(Putri et al., 2018; Side et al., 2023)","plainCitation":"(Putri et al., 2018; Side et al., 2023)","noteIndex":0},"citationItems":[{"id":68,"uris":["http://zotero.org/users/local/JOPSRQaa/items/H7F2FIC6"],"itemData":{"id":68,"type":"article-journal","container-title":"Journal of Physics: Conference Series","issue":"1","language":"en","title":"Performance Test of Gelcasted Porous Ceramic as Adsorbent of Azo Dyes","volume":"MXXVIII","author":[{"family":"Putri","given":"S.E."},{"family":"Pratiwi","given":"D.E."},{"family":"Triandi","given":"R."},{"family":"Mardiana","given":"D."},{"family":"Side","given":"S."}],"issued":{"date-parts":[["2018"]]}}},{"id":816,"uris":["http://zotero.org/users/local/JOPSRQaa/items/67G8T8W4"],"itemData":{"id":816,"type":"article-journal","container-title":"E3S Web of Conferences","DOI":"10.1051/e3sconf/202340004012","language":"en","page":"04012","title":"Preparation and Characterization of CuO/Clay Composite for Methyl Orange Photodegradation","volume":"400","author":[{"family":"Side","given":"S."},{"family":"Putri","given":"S.E."},{"family":"Hasri","given":"A.H.M."},{"family":"Rahman","given":"E."}],"issued":{"date-parts":[["2023"]]}}}],"schema":"https://github.com/citation-style-language/schema/raw/master/csl-citation.json"} </w:instrText>
      </w:r>
      <w:r w:rsidR="000D1806">
        <w:rPr>
          <w:rFonts w:ascii="Times New Roman" w:hAnsi="Times New Roman" w:cs="Times New Roman"/>
          <w:sz w:val="24"/>
          <w:szCs w:val="24"/>
        </w:rPr>
        <w:fldChar w:fldCharType="separate"/>
      </w:r>
      <w:r w:rsidR="006A70A6" w:rsidRPr="006A70A6">
        <w:rPr>
          <w:rFonts w:ascii="Times New Roman" w:hAnsi="Times New Roman" w:cs="Times New Roman"/>
          <w:sz w:val="24"/>
        </w:rPr>
        <w:t xml:space="preserve"> (Putri et al., 2018; Side et al., 2023)</w:t>
      </w:r>
      <w:r w:rsidR="000D1806">
        <w:rPr>
          <w:rFonts w:ascii="Times New Roman" w:hAnsi="Times New Roman" w:cs="Times New Roman"/>
          <w:sz w:val="24"/>
          <w:szCs w:val="24"/>
        </w:rPr>
        <w:fldChar w:fldCharType="end"/>
      </w:r>
      <w:r w:rsidR="00F14B9A" w:rsidRPr="0009217E">
        <w:rPr>
          <w:rFonts w:ascii="Times New Roman" w:hAnsi="Times New Roman" w:cs="Times New Roman"/>
          <w:sz w:val="24"/>
          <w:szCs w:val="24"/>
        </w:rPr>
        <w:t xml:space="preserve"> . </w:t>
      </w:r>
      <w:r w:rsidR="00987E05" w:rsidRPr="00987E05">
        <w:rPr>
          <w:rFonts w:ascii="Arial" w:hAnsi="Arial" w:cs="Arial"/>
        </w:rPr>
        <w:t>The degradation efficiency at time t is calculated using the equation:</w:t>
      </w:r>
    </w:p>
    <w:p w14:paraId="41FD6925" w14:textId="77777777" w:rsidR="00987E05" w:rsidRPr="002B11EA" w:rsidRDefault="00987E05" w:rsidP="00987E05">
      <w:pPr>
        <w:pStyle w:val="ListParagraph"/>
        <w:spacing w:after="0" w:line="276" w:lineRule="auto"/>
        <w:ind w:left="360"/>
        <w:jc w:val="both"/>
        <w:rPr>
          <w:rFonts w:ascii="Arial" w:eastAsiaTheme="minorEastAsia" w:hAnsi="Arial" w:cs="Arial"/>
        </w:rPr>
      </w:pPr>
      <m:oMathPara>
        <m:oMath>
          <m:r>
            <w:rPr>
              <w:rFonts w:ascii="Cambria Math" w:hAnsi="Cambria Math" w:cs="Arial"/>
            </w:rPr>
            <m:t xml:space="preserve">Degradasi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den>
          </m:f>
          <m:r>
            <w:rPr>
              <w:rFonts w:ascii="Cambria Math" w:hAnsi="Cambria Math" w:cs="Arial"/>
            </w:rPr>
            <m:t xml:space="preserve"> x 100%</m:t>
          </m:r>
        </m:oMath>
      </m:oMathPara>
    </w:p>
    <w:p w14:paraId="6B91662D" w14:textId="3681C235" w:rsidR="006541E0" w:rsidRPr="002B11EA" w:rsidRDefault="006541E0" w:rsidP="006541E0">
      <w:pPr>
        <w:pStyle w:val="ListParagraph"/>
        <w:spacing w:after="0" w:line="276" w:lineRule="auto"/>
        <w:ind w:left="360"/>
        <w:jc w:val="both"/>
        <w:rPr>
          <w:rFonts w:ascii="Arial" w:hAnsi="Arial" w:cs="Arial"/>
        </w:rPr>
      </w:pPr>
      <w:r w:rsidRPr="002B11EA">
        <w:rPr>
          <w:rFonts w:ascii="Arial" w:eastAsiaTheme="minorEastAsia" w:hAnsi="Arial" w:cs="Arial"/>
        </w:rPr>
        <w:t xml:space="preserve">Next, the data </w:t>
      </w:r>
      <w:r w:rsidRPr="002B11EA">
        <w:rPr>
          <w:rFonts w:ascii="Arial" w:hAnsi="Arial" w:cs="Arial"/>
        </w:rPr>
        <w:t xml:space="preserve">on </w:t>
      </w:r>
      <w:r>
        <w:rPr>
          <w:rFonts w:ascii="Arial" w:hAnsi="Arial" w:cs="Arial"/>
        </w:rPr>
        <w:t xml:space="preserve">RhB </w:t>
      </w:r>
      <w:r w:rsidRPr="002B11EA">
        <w:rPr>
          <w:rFonts w:ascii="Arial" w:hAnsi="Arial" w:cs="Arial"/>
        </w:rPr>
        <w:t>concentration over time was used to examine pseudo-order kinetics models. The two main kinetics models tested were pseudo-first order and pseudo-second order.</w:t>
      </w:r>
    </w:p>
    <w:p w14:paraId="4409B998" w14:textId="77777777" w:rsidR="006541E0" w:rsidRPr="002B11EA" w:rsidRDefault="006541E0" w:rsidP="006541E0">
      <w:pPr>
        <w:pStyle w:val="ListParagraph"/>
        <w:spacing w:after="0" w:line="276" w:lineRule="auto"/>
        <w:ind w:left="360"/>
        <w:jc w:val="both"/>
        <w:rPr>
          <w:rFonts w:ascii="Arial" w:hAnsi="Arial" w:cs="Arial"/>
        </w:rPr>
      </w:pPr>
    </w:p>
    <w:p w14:paraId="4421CFC4" w14:textId="77777777" w:rsidR="006541E0" w:rsidRPr="002B11EA" w:rsidRDefault="006541E0" w:rsidP="006541E0">
      <w:pPr>
        <w:pStyle w:val="ListParagraph"/>
        <w:spacing w:after="0" w:line="276" w:lineRule="auto"/>
        <w:ind w:left="360"/>
        <w:jc w:val="both"/>
        <w:rPr>
          <w:rFonts w:ascii="Arial" w:hAnsi="Arial" w:cs="Arial"/>
        </w:rPr>
      </w:pPr>
      <w:r w:rsidRPr="002B11EA">
        <w:rPr>
          <w:rFonts w:ascii="Arial" w:hAnsi="Arial" w:cs="Arial"/>
        </w:rPr>
        <w:t>First-order pseudo-kinetic model</w:t>
      </w:r>
    </w:p>
    <w:p w14:paraId="602C59FC" w14:textId="77777777" w:rsidR="006541E0" w:rsidRPr="002B11EA" w:rsidRDefault="00000000" w:rsidP="006541E0">
      <w:pPr>
        <w:pStyle w:val="ListParagraph"/>
        <w:spacing w:after="0" w:line="276" w:lineRule="auto"/>
        <w:ind w:left="360"/>
        <w:jc w:val="both"/>
        <w:rPr>
          <w:rFonts w:ascii="Arial" w:eastAsiaTheme="minorEastAsia" w:hAnsi="Arial" w:cs="Arial"/>
        </w:rPr>
      </w:pPr>
      <m:oMathPara>
        <m:oMath>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den>
                  </m:f>
                </m:e>
              </m:d>
            </m:e>
          </m:func>
          <m:r>
            <w:rPr>
              <w:rFonts w:ascii="Cambria Math"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r>
            <w:rPr>
              <w:rFonts w:ascii="Cambria Math" w:hAnsi="Cambria Math" w:cs="Arial"/>
            </w:rPr>
            <m:t>t</m:t>
          </m:r>
        </m:oMath>
      </m:oMathPara>
    </w:p>
    <w:p w14:paraId="2084F2D6" w14:textId="77777777" w:rsidR="006541E0" w:rsidRPr="002B11EA" w:rsidRDefault="006541E0" w:rsidP="006541E0">
      <w:pPr>
        <w:pStyle w:val="ListParagraph"/>
        <w:spacing w:after="0" w:line="276" w:lineRule="auto"/>
        <w:ind w:left="360"/>
        <w:jc w:val="both"/>
        <w:rPr>
          <w:rFonts w:ascii="Arial" w:hAnsi="Arial" w:cs="Arial"/>
        </w:rPr>
      </w:pPr>
      <w:r w:rsidRPr="002B11EA">
        <w:rPr>
          <w:rFonts w:ascii="Arial" w:hAnsi="Arial" w:cs="Arial"/>
        </w:rPr>
        <w:t xml:space="preserve">where </w:t>
      </w:r>
      <w:r w:rsidRPr="002B11EA">
        <w:rPr>
          <w:rFonts w:ascii="Cambria Math" w:hAnsi="Cambria Math" w:cs="Cambria Math"/>
        </w:rPr>
        <w:t xml:space="preserve">k₁ </w:t>
      </w:r>
      <w:r w:rsidRPr="002B11EA">
        <w:rPr>
          <w:rFonts w:ascii="Arial" w:hAnsi="Arial" w:cs="Arial"/>
        </w:rPr>
        <w:t xml:space="preserve">is the pseudo-first-order rate constant (min⁻¹). The plot </w:t>
      </w:r>
      <w:r w:rsidRPr="002B11EA">
        <w:rPr>
          <w:rStyle w:val="mop"/>
          <w:rFonts w:ascii="Arial" w:hAnsi="Arial" w:cs="Arial"/>
        </w:rPr>
        <w:t>of ln</w:t>
      </w:r>
      <w:r w:rsidRPr="002B11EA">
        <w:rPr>
          <w:rStyle w:val="mopen"/>
          <w:rFonts w:ascii="Arial" w:hAnsi="Arial" w:cs="Arial"/>
        </w:rPr>
        <w:t>(</w:t>
      </w:r>
      <w:r w:rsidRPr="002B11EA">
        <w:rPr>
          <w:rStyle w:val="mord"/>
          <w:rFonts w:ascii="Arial" w:hAnsi="Arial" w:cs="Arial"/>
        </w:rPr>
        <w:t>C</w:t>
      </w:r>
      <w:r w:rsidRPr="002B11EA">
        <w:rPr>
          <w:rStyle w:val="mord"/>
          <w:rFonts w:ascii="Arial" w:hAnsi="Arial" w:cs="Arial"/>
          <w:vertAlign w:val="subscript"/>
        </w:rPr>
        <w:t>0</w:t>
      </w:r>
      <w:r w:rsidRPr="002B11EA">
        <w:rPr>
          <w:rStyle w:val="vlist-s"/>
          <w:rFonts w:ascii="Arial" w:hAnsi="Arial" w:cs="Arial"/>
        </w:rPr>
        <w:t>​</w:t>
      </w:r>
      <w:r w:rsidRPr="002B11EA">
        <w:rPr>
          <w:rStyle w:val="mord"/>
          <w:rFonts w:ascii="Arial" w:hAnsi="Arial" w:cs="Arial"/>
        </w:rPr>
        <w:t xml:space="preserve"> /C</w:t>
      </w:r>
      <w:r w:rsidRPr="002B11EA">
        <w:rPr>
          <w:rStyle w:val="mord"/>
          <w:rFonts w:ascii="Arial" w:hAnsi="Arial" w:cs="Arial"/>
          <w:vertAlign w:val="subscript"/>
        </w:rPr>
        <w:t>t</w:t>
      </w:r>
      <w:r w:rsidRPr="002B11EA">
        <w:rPr>
          <w:rStyle w:val="vlist-s"/>
          <w:rFonts w:ascii="Arial" w:hAnsi="Arial" w:cs="Arial"/>
        </w:rPr>
        <w:t>​</w:t>
      </w:r>
      <w:r w:rsidRPr="002B11EA">
        <w:rPr>
          <w:rStyle w:val="mclose"/>
          <w:rFonts w:ascii="Arial" w:hAnsi="Arial" w:cs="Arial"/>
        </w:rPr>
        <w:t xml:space="preserve"> ) </w:t>
      </w:r>
      <w:r w:rsidRPr="002B11EA">
        <w:rPr>
          <w:rFonts w:ascii="Arial" w:hAnsi="Arial" w:cs="Arial"/>
        </w:rPr>
        <w:t xml:space="preserve">against t was used to obtain </w:t>
      </w:r>
      <w:r w:rsidRPr="002B11EA">
        <w:rPr>
          <w:rFonts w:ascii="Cambria Math" w:hAnsi="Cambria Math" w:cs="Cambria Math"/>
        </w:rPr>
        <w:t xml:space="preserve">k₁ </w:t>
      </w:r>
      <w:r w:rsidRPr="002B11EA">
        <w:rPr>
          <w:rFonts w:ascii="Arial" w:hAnsi="Arial" w:cs="Arial"/>
        </w:rPr>
        <w:t>from the slope of the line.</w:t>
      </w:r>
    </w:p>
    <w:p w14:paraId="2764D0DD" w14:textId="77777777" w:rsidR="006541E0" w:rsidRPr="002B11EA" w:rsidRDefault="006541E0" w:rsidP="006541E0">
      <w:pPr>
        <w:pStyle w:val="ListParagraph"/>
        <w:spacing w:after="0" w:line="276" w:lineRule="auto"/>
        <w:ind w:left="360"/>
        <w:jc w:val="both"/>
        <w:rPr>
          <w:rFonts w:ascii="Arial" w:hAnsi="Arial" w:cs="Arial"/>
        </w:rPr>
      </w:pPr>
    </w:p>
    <w:p w14:paraId="61AD6EF2" w14:textId="77777777" w:rsidR="006541E0" w:rsidRPr="002B11EA" w:rsidRDefault="006541E0" w:rsidP="006541E0">
      <w:pPr>
        <w:pStyle w:val="ListParagraph"/>
        <w:spacing w:after="0" w:line="276" w:lineRule="auto"/>
        <w:ind w:left="360"/>
        <w:jc w:val="both"/>
        <w:rPr>
          <w:rFonts w:ascii="Arial" w:hAnsi="Arial" w:cs="Arial"/>
        </w:rPr>
      </w:pPr>
      <w:r w:rsidRPr="002B11EA">
        <w:rPr>
          <w:rFonts w:ascii="Arial" w:hAnsi="Arial" w:cs="Arial"/>
        </w:rPr>
        <w:t>Second-order pseudo-rate model</w:t>
      </w:r>
    </w:p>
    <w:p w14:paraId="558630C0" w14:textId="77777777" w:rsidR="006541E0" w:rsidRPr="002B11EA" w:rsidRDefault="00000000" w:rsidP="006541E0">
      <w:pPr>
        <w:pStyle w:val="ListParagraph"/>
        <w:spacing w:after="0" w:line="276" w:lineRule="auto"/>
        <w:ind w:left="360"/>
        <w:jc w:val="both"/>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1</m:t>
              </m:r>
            </m:num>
            <m:den>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t</m:t>
                  </m:r>
                </m:sub>
              </m:sSub>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0</m:t>
                  </m:r>
                </m:sub>
              </m:sSub>
            </m:den>
          </m:f>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2</m:t>
              </m:r>
            </m:sub>
          </m:sSub>
          <m:r>
            <w:rPr>
              <w:rFonts w:ascii="Cambria Math" w:eastAsiaTheme="minorEastAsia" w:hAnsi="Cambria Math" w:cs="Arial"/>
            </w:rPr>
            <m:t>t</m:t>
          </m:r>
        </m:oMath>
      </m:oMathPara>
    </w:p>
    <w:p w14:paraId="47C1ADDF" w14:textId="180912BD" w:rsidR="00F14B9A" w:rsidRPr="0009217E" w:rsidRDefault="006541E0" w:rsidP="006541E0">
      <w:pPr>
        <w:spacing w:after="0" w:line="276" w:lineRule="auto"/>
        <w:contextualSpacing/>
        <w:jc w:val="both"/>
        <w:rPr>
          <w:rFonts w:ascii="Times New Roman" w:hAnsi="Times New Roman" w:cs="Times New Roman"/>
          <w:sz w:val="24"/>
          <w:szCs w:val="24"/>
        </w:rPr>
      </w:pPr>
      <w:r w:rsidRPr="002B11EA">
        <w:rPr>
          <w:rFonts w:ascii="Arial" w:hAnsi="Arial" w:cs="Arial"/>
        </w:rPr>
        <w:t xml:space="preserve">where </w:t>
      </w:r>
      <w:r w:rsidRPr="002B11EA">
        <w:rPr>
          <w:rFonts w:ascii="Cambria Math" w:hAnsi="Cambria Math" w:cs="Cambria Math"/>
        </w:rPr>
        <w:t xml:space="preserve">k₂ </w:t>
      </w:r>
      <w:r w:rsidRPr="002B11EA">
        <w:rPr>
          <w:rFonts w:ascii="Arial" w:hAnsi="Arial" w:cs="Arial"/>
        </w:rPr>
        <w:t>is the pseudo-second-order rate constant (</w:t>
      </w:r>
      <w:r w:rsidRPr="002B11EA">
        <w:rPr>
          <w:rFonts w:ascii="Cambria Math" w:hAnsi="Cambria Math" w:cs="Cambria Math"/>
        </w:rPr>
        <w:t>L·mg⁻</w:t>
      </w:r>
      <w:r w:rsidRPr="002B11EA">
        <w:rPr>
          <w:rFonts w:ascii="Arial" w:hAnsi="Arial" w:cs="Arial"/>
        </w:rPr>
        <w:t>¹·min⁻¹). Plot 1/C(t)   against t to obtain k₂ from the slope of the line</w:t>
      </w:r>
    </w:p>
    <w:p w14:paraId="42C9643E" w14:textId="0AAED9E9" w:rsidR="00F14B9A" w:rsidRPr="006A70A6" w:rsidRDefault="00F14B9A" w:rsidP="0009217E">
      <w:pPr>
        <w:pStyle w:val="ListParagraph"/>
        <w:numPr>
          <w:ilvl w:val="0"/>
          <w:numId w:val="1"/>
        </w:numPr>
        <w:spacing w:after="0" w:line="276" w:lineRule="auto"/>
        <w:ind w:left="360"/>
        <w:jc w:val="both"/>
        <w:rPr>
          <w:rFonts w:ascii="Times New Roman" w:hAnsi="Times New Roman" w:cs="Times New Roman"/>
          <w:b/>
          <w:bCs/>
          <w:sz w:val="24"/>
          <w:szCs w:val="24"/>
        </w:rPr>
      </w:pPr>
      <w:r w:rsidRPr="006A70A6">
        <w:rPr>
          <w:rFonts w:ascii="Times New Roman" w:hAnsi="Times New Roman" w:cs="Times New Roman"/>
          <w:b/>
          <w:bCs/>
          <w:sz w:val="24"/>
          <w:szCs w:val="24"/>
        </w:rPr>
        <w:t>Results and Discussion</w:t>
      </w:r>
    </w:p>
    <w:p w14:paraId="380F712C" w14:textId="36C3B741" w:rsidR="006A70A6" w:rsidRPr="006A70A6" w:rsidRDefault="006A70A6" w:rsidP="006A70A6">
      <w:pPr>
        <w:spacing w:after="0" w:line="276" w:lineRule="auto"/>
        <w:jc w:val="both"/>
        <w:rPr>
          <w:rFonts w:ascii="Times New Roman" w:hAnsi="Times New Roman" w:cs="Times New Roman"/>
          <w:b/>
          <w:bCs/>
          <w:sz w:val="24"/>
          <w:szCs w:val="24"/>
        </w:rPr>
      </w:pPr>
      <w:r w:rsidRPr="006A70A6">
        <w:rPr>
          <w:rFonts w:ascii="Times New Roman" w:hAnsi="Times New Roman" w:cs="Times New Roman"/>
          <w:b/>
          <w:bCs/>
          <w:sz w:val="24"/>
          <w:szCs w:val="24"/>
        </w:rPr>
        <w:t>Calibration</w:t>
      </w:r>
    </w:p>
    <w:p w14:paraId="70EA8553" w14:textId="228649B5" w:rsidR="00F14B9A" w:rsidRDefault="00F14B9A" w:rsidP="0009217E">
      <w:pPr>
        <w:spacing w:after="0" w:line="276" w:lineRule="auto"/>
        <w:ind w:firstLine="720"/>
        <w:jc w:val="both"/>
        <w:rPr>
          <w:rFonts w:ascii="Times New Roman" w:hAnsi="Times New Roman" w:cs="Times New Roman"/>
          <w:sz w:val="24"/>
          <w:szCs w:val="24"/>
        </w:rPr>
      </w:pPr>
      <w:r w:rsidRPr="0009217E">
        <w:rPr>
          <w:rFonts w:ascii="Times New Roman" w:hAnsi="Times New Roman" w:cs="Times New Roman"/>
          <w:sz w:val="24"/>
          <w:szCs w:val="24"/>
        </w:rPr>
        <w:t xml:space="preserve">The calibration curve was determined to obtain a quantitative relationship between the concentration </w:t>
      </w:r>
      <w:r w:rsidR="00EF4E00">
        <w:rPr>
          <w:rFonts w:ascii="Times New Roman" w:hAnsi="Times New Roman" w:cs="Times New Roman"/>
          <w:sz w:val="24"/>
          <w:szCs w:val="24"/>
        </w:rPr>
        <w:t xml:space="preserve">of RhB </w:t>
      </w:r>
      <w:r w:rsidRPr="0009217E">
        <w:rPr>
          <w:rFonts w:ascii="Times New Roman" w:hAnsi="Times New Roman" w:cs="Times New Roman"/>
          <w:sz w:val="24"/>
          <w:szCs w:val="24"/>
        </w:rPr>
        <w:t>(RhB) and its absorbance at a wavelength of 554 nm. RhB standard solutions were prepared at several concentrations in the range of 0.01–0.70 ppm, then their absorbance was measured at λ_max = 554 nm. The measurement data showed that an increase in RhB concentration was followed by an almost linear increase in absorbance</w:t>
      </w:r>
      <w:r w:rsidR="00957C90" w:rsidRPr="0009217E">
        <w:rPr>
          <w:rFonts w:ascii="Times New Roman" w:hAnsi="Times New Roman" w:cs="Times New Roman"/>
          <w:sz w:val="24"/>
          <w:szCs w:val="24"/>
        </w:rPr>
        <w:t>, as shown in Figure 1 and Table 1.</w:t>
      </w:r>
    </w:p>
    <w:p w14:paraId="7A4B00BC" w14:textId="37305C3B" w:rsidR="0009217E" w:rsidRPr="0009217E" w:rsidRDefault="0009217E" w:rsidP="0009217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1 Standard Solution Analysis Results</w:t>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718"/>
        <w:gridCol w:w="2718"/>
        <w:gridCol w:w="2718"/>
      </w:tblGrid>
      <w:tr w:rsidR="00957C90" w:rsidRPr="0009217E" w14:paraId="48003A33" w14:textId="77777777" w:rsidTr="0009217E">
        <w:tc>
          <w:tcPr>
            <w:tcW w:w="2718" w:type="dxa"/>
            <w:vAlign w:val="center"/>
          </w:tcPr>
          <w:p w14:paraId="470E9FC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b/>
                <w:bCs/>
                <w:sz w:val="24"/>
                <w:szCs w:val="24"/>
              </w:rPr>
            </w:pPr>
            <w:r w:rsidRPr="0009217E">
              <w:rPr>
                <w:rFonts w:ascii="Times New Roman" w:hAnsi="Times New Roman" w:cs="Times New Roman"/>
                <w:b/>
                <w:bCs/>
                <w:sz w:val="24"/>
                <w:szCs w:val="24"/>
              </w:rPr>
              <w:t>Standard</w:t>
            </w:r>
          </w:p>
        </w:tc>
        <w:tc>
          <w:tcPr>
            <w:tcW w:w="2718" w:type="dxa"/>
            <w:vAlign w:val="center"/>
          </w:tcPr>
          <w:p w14:paraId="171439F0"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b/>
                <w:bCs/>
                <w:sz w:val="24"/>
                <w:szCs w:val="24"/>
              </w:rPr>
            </w:pPr>
            <w:r w:rsidRPr="0009217E">
              <w:rPr>
                <w:rFonts w:ascii="Times New Roman" w:hAnsi="Times New Roman" w:cs="Times New Roman"/>
                <w:b/>
                <w:bCs/>
                <w:sz w:val="24"/>
                <w:szCs w:val="24"/>
              </w:rPr>
              <w:t>Concentration (ppm)</w:t>
            </w:r>
          </w:p>
        </w:tc>
        <w:tc>
          <w:tcPr>
            <w:tcW w:w="2718" w:type="dxa"/>
            <w:vAlign w:val="center"/>
          </w:tcPr>
          <w:p w14:paraId="7DFF58D7"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eastAsia="Times New Roman" w:hAnsi="Times New Roman" w:cs="Times New Roman"/>
                <w:b/>
                <w:bCs/>
                <w:color w:val="000000"/>
                <w:sz w:val="24"/>
                <w:szCs w:val="24"/>
              </w:rPr>
              <w:t>Absorbance (λ_</w:t>
            </w:r>
            <w:r w:rsidRPr="0009217E">
              <w:rPr>
                <w:rFonts w:ascii="Times New Roman" w:eastAsia="Times New Roman" w:hAnsi="Times New Roman" w:cs="Times New Roman"/>
                <w:b/>
                <w:bCs/>
                <w:color w:val="000000"/>
                <w:sz w:val="24"/>
                <w:szCs w:val="24"/>
                <w:vertAlign w:val="subscript"/>
              </w:rPr>
              <w:t>max</w:t>
            </w:r>
            <w:r w:rsidRPr="0009217E">
              <w:rPr>
                <w:rFonts w:ascii="Times New Roman" w:eastAsia="Times New Roman" w:hAnsi="Times New Roman" w:cs="Times New Roman"/>
                <w:b/>
                <w:bCs/>
                <w:color w:val="000000"/>
                <w:sz w:val="24"/>
                <w:szCs w:val="24"/>
              </w:rPr>
              <w:t>=</w:t>
            </w:r>
            <w:r w:rsidRPr="0009217E">
              <w:rPr>
                <w:rFonts w:ascii="Times New Roman" w:eastAsia="Times New Roman" w:hAnsi="Times New Roman" w:cs="Times New Roman"/>
                <w:b/>
                <w:bCs/>
                <w:color w:val="000000"/>
                <w:sz w:val="24"/>
                <w:szCs w:val="24"/>
                <w:lang w:val="en-GB"/>
              </w:rPr>
              <w:t xml:space="preserve"> 554 </w:t>
            </w:r>
            <w:r w:rsidRPr="0009217E">
              <w:rPr>
                <w:rFonts w:ascii="Times New Roman" w:eastAsia="Times New Roman" w:hAnsi="Times New Roman" w:cs="Times New Roman"/>
                <w:b/>
                <w:bCs/>
                <w:color w:val="000000"/>
                <w:sz w:val="24"/>
                <w:szCs w:val="24"/>
              </w:rPr>
              <w:t>nm)</w:t>
            </w:r>
          </w:p>
        </w:tc>
      </w:tr>
      <w:tr w:rsidR="00957C90" w:rsidRPr="0009217E" w14:paraId="0386E52F" w14:textId="77777777" w:rsidTr="0009217E">
        <w:tc>
          <w:tcPr>
            <w:tcW w:w="2718" w:type="dxa"/>
            <w:vAlign w:val="center"/>
          </w:tcPr>
          <w:p w14:paraId="4BC58760"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73E74756" w14:textId="1AC3039F"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2447F1">
              <w:rPr>
                <w:rFonts w:ascii="Times New Roman" w:hAnsi="Times New Roman" w:cs="Times New Roman"/>
                <w:sz w:val="24"/>
                <w:szCs w:val="24"/>
              </w:rPr>
              <w:t>.</w:t>
            </w:r>
            <w:r w:rsidRPr="0009217E">
              <w:rPr>
                <w:rFonts w:ascii="Times New Roman" w:hAnsi="Times New Roman" w:cs="Times New Roman"/>
                <w:sz w:val="24"/>
                <w:szCs w:val="24"/>
              </w:rPr>
              <w:t>7</w:t>
            </w:r>
          </w:p>
        </w:tc>
        <w:tc>
          <w:tcPr>
            <w:tcW w:w="2718" w:type="dxa"/>
            <w:vAlign w:val="center"/>
          </w:tcPr>
          <w:p w14:paraId="0AA8A9CD" w14:textId="277E2E49"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2447F1">
              <w:rPr>
                <w:rFonts w:ascii="Times New Roman" w:hAnsi="Times New Roman" w:cs="Times New Roman"/>
                <w:sz w:val="24"/>
                <w:szCs w:val="24"/>
              </w:rPr>
              <w:t>.</w:t>
            </w:r>
            <w:r w:rsidRPr="0009217E">
              <w:rPr>
                <w:rFonts w:ascii="Times New Roman" w:hAnsi="Times New Roman" w:cs="Times New Roman"/>
                <w:sz w:val="24"/>
                <w:szCs w:val="24"/>
              </w:rPr>
              <w:t>443</w:t>
            </w:r>
          </w:p>
        </w:tc>
      </w:tr>
      <w:tr w:rsidR="00957C90" w:rsidRPr="0009217E" w14:paraId="1CF9CFB7" w14:textId="77777777" w:rsidTr="0009217E">
        <w:tc>
          <w:tcPr>
            <w:tcW w:w="2718" w:type="dxa"/>
            <w:vAlign w:val="center"/>
          </w:tcPr>
          <w:p w14:paraId="6912E907"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lastRenderedPageBreak/>
              <w:t>Rhodamine B</w:t>
            </w:r>
          </w:p>
        </w:tc>
        <w:tc>
          <w:tcPr>
            <w:tcW w:w="2718" w:type="dxa"/>
            <w:vAlign w:val="center"/>
          </w:tcPr>
          <w:p w14:paraId="1582B126" w14:textId="1F937AFC"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2447F1">
              <w:rPr>
                <w:rFonts w:ascii="Times New Roman" w:hAnsi="Times New Roman" w:cs="Times New Roman"/>
                <w:sz w:val="24"/>
                <w:szCs w:val="24"/>
              </w:rPr>
              <w:t>.</w:t>
            </w:r>
            <w:r w:rsidRPr="0009217E">
              <w:rPr>
                <w:rFonts w:ascii="Times New Roman" w:hAnsi="Times New Roman" w:cs="Times New Roman"/>
                <w:sz w:val="24"/>
                <w:szCs w:val="24"/>
              </w:rPr>
              <w:t>5</w:t>
            </w:r>
          </w:p>
        </w:tc>
        <w:tc>
          <w:tcPr>
            <w:tcW w:w="2718" w:type="dxa"/>
            <w:vAlign w:val="center"/>
          </w:tcPr>
          <w:p w14:paraId="51D2BF18" w14:textId="74563706"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2447F1">
              <w:rPr>
                <w:rFonts w:ascii="Times New Roman" w:hAnsi="Times New Roman" w:cs="Times New Roman"/>
                <w:sz w:val="24"/>
                <w:szCs w:val="24"/>
              </w:rPr>
              <w:t>.</w:t>
            </w:r>
            <w:r w:rsidRPr="0009217E">
              <w:rPr>
                <w:rFonts w:ascii="Times New Roman" w:hAnsi="Times New Roman" w:cs="Times New Roman"/>
                <w:sz w:val="24"/>
                <w:szCs w:val="24"/>
              </w:rPr>
              <w:t>297</w:t>
            </w:r>
          </w:p>
        </w:tc>
      </w:tr>
      <w:tr w:rsidR="00957C90" w:rsidRPr="0009217E" w14:paraId="299692AA" w14:textId="77777777" w:rsidTr="0009217E">
        <w:tc>
          <w:tcPr>
            <w:tcW w:w="2718" w:type="dxa"/>
            <w:vAlign w:val="center"/>
          </w:tcPr>
          <w:p w14:paraId="36A26AB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0FE489AF" w14:textId="2FF48E4C"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2447F1">
              <w:rPr>
                <w:rFonts w:ascii="Times New Roman" w:hAnsi="Times New Roman" w:cs="Times New Roman"/>
                <w:sz w:val="24"/>
                <w:szCs w:val="24"/>
              </w:rPr>
              <w:t>.</w:t>
            </w:r>
            <w:r w:rsidRPr="0009217E">
              <w:rPr>
                <w:rFonts w:ascii="Times New Roman" w:hAnsi="Times New Roman" w:cs="Times New Roman"/>
                <w:sz w:val="24"/>
                <w:szCs w:val="24"/>
              </w:rPr>
              <w:t>3</w:t>
            </w:r>
          </w:p>
        </w:tc>
        <w:tc>
          <w:tcPr>
            <w:tcW w:w="2718" w:type="dxa"/>
            <w:vAlign w:val="center"/>
          </w:tcPr>
          <w:p w14:paraId="4D82AF94" w14:textId="07B1F1AE"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2447F1">
              <w:rPr>
                <w:rFonts w:ascii="Times New Roman" w:hAnsi="Times New Roman" w:cs="Times New Roman"/>
                <w:sz w:val="24"/>
                <w:szCs w:val="24"/>
              </w:rPr>
              <w:t>.</w:t>
            </w:r>
            <w:r w:rsidRPr="0009217E">
              <w:rPr>
                <w:rFonts w:ascii="Times New Roman" w:hAnsi="Times New Roman" w:cs="Times New Roman"/>
                <w:sz w:val="24"/>
                <w:szCs w:val="24"/>
              </w:rPr>
              <w:t>210</w:t>
            </w:r>
          </w:p>
        </w:tc>
      </w:tr>
      <w:tr w:rsidR="00957C90" w:rsidRPr="0009217E" w14:paraId="16C3B721" w14:textId="77777777" w:rsidTr="0009217E">
        <w:tc>
          <w:tcPr>
            <w:tcW w:w="2718" w:type="dxa"/>
            <w:vAlign w:val="center"/>
          </w:tcPr>
          <w:p w14:paraId="10854BB1"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64B58729" w14:textId="2DEB6175"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2447F1">
              <w:rPr>
                <w:rFonts w:ascii="Times New Roman" w:hAnsi="Times New Roman" w:cs="Times New Roman"/>
                <w:sz w:val="24"/>
                <w:szCs w:val="24"/>
              </w:rPr>
              <w:t>.</w:t>
            </w:r>
            <w:r w:rsidRPr="0009217E">
              <w:rPr>
                <w:rFonts w:ascii="Times New Roman" w:hAnsi="Times New Roman" w:cs="Times New Roman"/>
                <w:sz w:val="24"/>
                <w:szCs w:val="24"/>
              </w:rPr>
              <w:t>1</w:t>
            </w:r>
          </w:p>
        </w:tc>
        <w:tc>
          <w:tcPr>
            <w:tcW w:w="2718" w:type="dxa"/>
            <w:vAlign w:val="center"/>
          </w:tcPr>
          <w:p w14:paraId="230F2323" w14:textId="50E80915"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2447F1">
              <w:rPr>
                <w:rFonts w:ascii="Times New Roman" w:hAnsi="Times New Roman" w:cs="Times New Roman"/>
                <w:sz w:val="24"/>
                <w:szCs w:val="24"/>
              </w:rPr>
              <w:t>.</w:t>
            </w:r>
            <w:r w:rsidRPr="0009217E">
              <w:rPr>
                <w:rFonts w:ascii="Times New Roman" w:hAnsi="Times New Roman" w:cs="Times New Roman"/>
                <w:sz w:val="24"/>
                <w:szCs w:val="24"/>
              </w:rPr>
              <w:t>06</w:t>
            </w:r>
          </w:p>
        </w:tc>
      </w:tr>
      <w:tr w:rsidR="00957C90" w:rsidRPr="0009217E" w14:paraId="16A38149" w14:textId="77777777" w:rsidTr="0009217E">
        <w:tc>
          <w:tcPr>
            <w:tcW w:w="2718" w:type="dxa"/>
            <w:vAlign w:val="center"/>
          </w:tcPr>
          <w:p w14:paraId="6D55366A"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79158102" w14:textId="2CA4A80B"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6B3AD4">
              <w:rPr>
                <w:rFonts w:ascii="Times New Roman" w:hAnsi="Times New Roman" w:cs="Times New Roman"/>
                <w:sz w:val="24"/>
                <w:szCs w:val="24"/>
              </w:rPr>
              <w:t>.</w:t>
            </w:r>
            <w:r w:rsidRPr="0009217E">
              <w:rPr>
                <w:rFonts w:ascii="Times New Roman" w:hAnsi="Times New Roman" w:cs="Times New Roman"/>
                <w:sz w:val="24"/>
                <w:szCs w:val="24"/>
              </w:rPr>
              <w:t>07</w:t>
            </w:r>
          </w:p>
        </w:tc>
        <w:tc>
          <w:tcPr>
            <w:tcW w:w="2718" w:type="dxa"/>
            <w:vAlign w:val="center"/>
          </w:tcPr>
          <w:p w14:paraId="49031759" w14:textId="1FB2658B"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6B3AD4">
              <w:rPr>
                <w:rFonts w:ascii="Times New Roman" w:hAnsi="Times New Roman" w:cs="Times New Roman"/>
                <w:sz w:val="24"/>
                <w:szCs w:val="24"/>
              </w:rPr>
              <w:t>.</w:t>
            </w:r>
            <w:r w:rsidRPr="0009217E">
              <w:rPr>
                <w:rFonts w:ascii="Times New Roman" w:hAnsi="Times New Roman" w:cs="Times New Roman"/>
                <w:sz w:val="24"/>
                <w:szCs w:val="24"/>
              </w:rPr>
              <w:t>040</w:t>
            </w:r>
          </w:p>
        </w:tc>
      </w:tr>
      <w:tr w:rsidR="00957C90" w:rsidRPr="0009217E" w14:paraId="196894EA" w14:textId="77777777" w:rsidTr="0009217E">
        <w:tc>
          <w:tcPr>
            <w:tcW w:w="2718" w:type="dxa"/>
            <w:vAlign w:val="center"/>
          </w:tcPr>
          <w:p w14:paraId="19A379BB"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2F81B4DB" w14:textId="09000C6C"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6B3AD4">
              <w:rPr>
                <w:rFonts w:ascii="Times New Roman" w:hAnsi="Times New Roman" w:cs="Times New Roman"/>
                <w:sz w:val="24"/>
                <w:szCs w:val="24"/>
              </w:rPr>
              <w:t>.</w:t>
            </w:r>
            <w:r w:rsidRPr="0009217E">
              <w:rPr>
                <w:rFonts w:ascii="Times New Roman" w:hAnsi="Times New Roman" w:cs="Times New Roman"/>
                <w:sz w:val="24"/>
                <w:szCs w:val="24"/>
              </w:rPr>
              <w:t>05</w:t>
            </w:r>
          </w:p>
        </w:tc>
        <w:tc>
          <w:tcPr>
            <w:tcW w:w="2718" w:type="dxa"/>
            <w:vAlign w:val="center"/>
          </w:tcPr>
          <w:p w14:paraId="1E03F8B2" w14:textId="6739CA05"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6B3AD4">
              <w:rPr>
                <w:rFonts w:ascii="Times New Roman" w:hAnsi="Times New Roman" w:cs="Times New Roman"/>
                <w:sz w:val="24"/>
                <w:szCs w:val="24"/>
              </w:rPr>
              <w:t>.</w:t>
            </w:r>
            <w:r w:rsidRPr="0009217E">
              <w:rPr>
                <w:rFonts w:ascii="Times New Roman" w:hAnsi="Times New Roman" w:cs="Times New Roman"/>
                <w:sz w:val="24"/>
                <w:szCs w:val="24"/>
              </w:rPr>
              <w:t>034</w:t>
            </w:r>
          </w:p>
        </w:tc>
      </w:tr>
      <w:tr w:rsidR="00957C90" w:rsidRPr="0009217E" w14:paraId="4EB7EDC8" w14:textId="77777777" w:rsidTr="0009217E">
        <w:tc>
          <w:tcPr>
            <w:tcW w:w="2718" w:type="dxa"/>
            <w:vAlign w:val="center"/>
          </w:tcPr>
          <w:p w14:paraId="5C259D1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2A084B28" w14:textId="4B9363BD"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6B3AD4">
              <w:rPr>
                <w:rFonts w:ascii="Times New Roman" w:hAnsi="Times New Roman" w:cs="Times New Roman"/>
                <w:sz w:val="24"/>
                <w:szCs w:val="24"/>
              </w:rPr>
              <w:t>.</w:t>
            </w:r>
            <w:r w:rsidRPr="0009217E">
              <w:rPr>
                <w:rFonts w:ascii="Times New Roman" w:hAnsi="Times New Roman" w:cs="Times New Roman"/>
                <w:sz w:val="24"/>
                <w:szCs w:val="24"/>
              </w:rPr>
              <w:t>03</w:t>
            </w:r>
          </w:p>
        </w:tc>
        <w:tc>
          <w:tcPr>
            <w:tcW w:w="2718" w:type="dxa"/>
            <w:vAlign w:val="center"/>
          </w:tcPr>
          <w:p w14:paraId="1B38022B" w14:textId="60766BE4"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6B3AD4">
              <w:rPr>
                <w:rFonts w:ascii="Times New Roman" w:hAnsi="Times New Roman" w:cs="Times New Roman"/>
                <w:sz w:val="24"/>
                <w:szCs w:val="24"/>
              </w:rPr>
              <w:t>.</w:t>
            </w:r>
            <w:r w:rsidRPr="0009217E">
              <w:rPr>
                <w:rFonts w:ascii="Times New Roman" w:hAnsi="Times New Roman" w:cs="Times New Roman"/>
                <w:sz w:val="24"/>
                <w:szCs w:val="24"/>
              </w:rPr>
              <w:t>025</w:t>
            </w:r>
          </w:p>
        </w:tc>
      </w:tr>
      <w:tr w:rsidR="00957C90" w:rsidRPr="0009217E" w14:paraId="39F970E5" w14:textId="77777777" w:rsidTr="0009217E">
        <w:tc>
          <w:tcPr>
            <w:tcW w:w="2718" w:type="dxa"/>
            <w:vAlign w:val="center"/>
          </w:tcPr>
          <w:p w14:paraId="0129FA69"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42783F13" w14:textId="19053BD5"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6B3AD4">
              <w:rPr>
                <w:rFonts w:ascii="Times New Roman" w:hAnsi="Times New Roman" w:cs="Times New Roman"/>
                <w:sz w:val="24"/>
                <w:szCs w:val="24"/>
              </w:rPr>
              <w:t>.</w:t>
            </w:r>
            <w:r w:rsidRPr="0009217E">
              <w:rPr>
                <w:rFonts w:ascii="Times New Roman" w:hAnsi="Times New Roman" w:cs="Times New Roman"/>
                <w:sz w:val="24"/>
                <w:szCs w:val="24"/>
              </w:rPr>
              <w:t>01</w:t>
            </w:r>
          </w:p>
        </w:tc>
        <w:tc>
          <w:tcPr>
            <w:tcW w:w="2718" w:type="dxa"/>
            <w:vAlign w:val="center"/>
          </w:tcPr>
          <w:p w14:paraId="1A1886D6" w14:textId="7794C8B8"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w:t>
            </w:r>
            <w:r w:rsidR="006B3AD4">
              <w:rPr>
                <w:rFonts w:ascii="Times New Roman" w:hAnsi="Times New Roman" w:cs="Times New Roman"/>
                <w:sz w:val="24"/>
                <w:szCs w:val="24"/>
              </w:rPr>
              <w:t>.</w:t>
            </w:r>
            <w:r w:rsidRPr="0009217E">
              <w:rPr>
                <w:rFonts w:ascii="Times New Roman" w:hAnsi="Times New Roman" w:cs="Times New Roman"/>
                <w:sz w:val="24"/>
                <w:szCs w:val="24"/>
              </w:rPr>
              <w:t>017</w:t>
            </w:r>
          </w:p>
        </w:tc>
      </w:tr>
    </w:tbl>
    <w:p w14:paraId="600BFDA5" w14:textId="4DB492B1" w:rsidR="00957C90" w:rsidRPr="0009217E" w:rsidRDefault="00957C90" w:rsidP="0009217E">
      <w:pPr>
        <w:pStyle w:val="ListParagraph"/>
        <w:spacing w:after="0" w:line="276" w:lineRule="auto"/>
        <w:jc w:val="both"/>
        <w:rPr>
          <w:rFonts w:ascii="Times New Roman" w:hAnsi="Times New Roman" w:cs="Times New Roman"/>
          <w:sz w:val="24"/>
          <w:szCs w:val="24"/>
        </w:rPr>
      </w:pPr>
    </w:p>
    <w:p w14:paraId="236C69C4" w14:textId="11225966" w:rsidR="00957C90" w:rsidRPr="0009217E" w:rsidRDefault="00957C90" w:rsidP="0009217E">
      <w:pPr>
        <w:pStyle w:val="ListParagraph"/>
        <w:spacing w:after="0" w:line="276" w:lineRule="auto"/>
        <w:jc w:val="both"/>
        <w:rPr>
          <w:rFonts w:ascii="Times New Roman" w:hAnsi="Times New Roman" w:cs="Times New Roman"/>
          <w:sz w:val="24"/>
          <w:szCs w:val="24"/>
        </w:rPr>
      </w:pPr>
    </w:p>
    <w:p w14:paraId="7204F5FC" w14:textId="557A2716" w:rsidR="0009217E" w:rsidRDefault="0009217E" w:rsidP="0009217E">
      <w:pPr>
        <w:pStyle w:val="ListParagraph"/>
        <w:keepNext/>
        <w:spacing w:after="0" w:line="276" w:lineRule="auto"/>
        <w:jc w:val="both"/>
      </w:pPr>
      <w:r>
        <w:rPr>
          <w:noProof/>
        </w:rPr>
        <mc:AlternateContent>
          <mc:Choice Requires="wpg">
            <w:drawing>
              <wp:anchor distT="0" distB="0" distL="114300" distR="114300" simplePos="0" relativeHeight="251660288" behindDoc="0" locked="0" layoutInCell="1" allowOverlap="1" wp14:anchorId="4A3A557A" wp14:editId="5DBEECBB">
                <wp:simplePos x="0" y="0"/>
                <wp:positionH relativeFrom="column">
                  <wp:posOffset>457200</wp:posOffset>
                </wp:positionH>
                <wp:positionV relativeFrom="paragraph">
                  <wp:posOffset>0</wp:posOffset>
                </wp:positionV>
                <wp:extent cx="4572000" cy="3065780"/>
                <wp:effectExtent l="0" t="0" r="0" b="1270"/>
                <wp:wrapTopAndBottom/>
                <wp:docPr id="2" name="Group 2"/>
                <wp:cNvGraphicFramePr/>
                <a:graphic xmlns:a="http://schemas.openxmlformats.org/drawingml/2006/main">
                  <a:graphicData uri="http://schemas.microsoft.com/office/word/2010/wordprocessingGroup">
                    <wpg:wgp>
                      <wpg:cNvGrpSpPr/>
                      <wpg:grpSpPr>
                        <a:xfrm>
                          <a:off x="0" y="0"/>
                          <a:ext cx="4572000" cy="3065780"/>
                          <a:chOff x="0" y="0"/>
                          <a:chExt cx="4572000" cy="3065780"/>
                        </a:xfrm>
                      </wpg:grpSpPr>
                      <wpg:graphicFrame>
                        <wpg:cNvPr id="1053" name="Chart 1053">
                          <a:extLst>
                            <a:ext uri="{FF2B5EF4-FFF2-40B4-BE49-F238E27FC236}">
                              <a16:creationId xmlns:a16="http://schemas.microsoft.com/office/drawing/2014/main" id="{D891C369-C257-4F81-9D02-2AD7D3A11694}"/>
                            </a:ext>
                          </a:extLst>
                        </wpg:cNvPr>
                        <wpg:cNvFrPr/>
                        <wpg:xfrm>
                          <a:off x="0" y="0"/>
                          <a:ext cx="4572000" cy="2743200"/>
                        </wpg:xfrm>
                        <a:graphic>
                          <a:graphicData uri="http://schemas.openxmlformats.org/drawingml/2006/chart">
                            <c:chart xmlns:c="http://schemas.openxmlformats.org/drawingml/2006/chart" xmlns:r="http://schemas.openxmlformats.org/officeDocument/2006/relationships" r:id="rId5"/>
                          </a:graphicData>
                        </a:graphic>
                      </wpg:graphicFrame>
                      <wps:wsp>
                        <wps:cNvPr id="1" name="Text Box 1"/>
                        <wps:cNvSpPr txBox="1"/>
                        <wps:spPr>
                          <a:xfrm>
                            <a:off x="0" y="2799080"/>
                            <a:ext cx="4572000" cy="266700"/>
                          </a:xfrm>
                          <a:prstGeom prst="rect">
                            <a:avLst/>
                          </a:prstGeom>
                          <a:solidFill>
                            <a:prstClr val="white"/>
                          </a:solidFill>
                          <a:ln>
                            <a:noFill/>
                          </a:ln>
                        </wps:spPr>
                        <wps:txbx>
                          <w:txbxContent>
                            <w:p w14:paraId="74D7FA07" w14:textId="259DB94A" w:rsidR="0009217E" w:rsidRPr="0009217E" w:rsidRDefault="00BE2963" w:rsidP="0009217E">
                              <w:pPr>
                                <w:pStyle w:val="Caption"/>
                                <w:jc w:val="center"/>
                                <w:rPr>
                                  <w:rFonts w:ascii="Times New Roman" w:hAnsi="Times New Roman" w:cs="Times New Roman"/>
                                  <w:i w:val="0"/>
                                  <w:iCs w:val="0"/>
                                  <w:noProof/>
                                  <w:color w:val="auto"/>
                                  <w:sz w:val="24"/>
                                  <w:szCs w:val="24"/>
                                </w:rPr>
                              </w:pPr>
                              <w:r>
                                <w:rPr>
                                  <w:i w:val="0"/>
                                  <w:iCs w:val="0"/>
                                  <w:color w:val="auto"/>
                                </w:rPr>
                                <w:t xml:space="preserve">Fig </w:t>
                              </w:r>
                              <w:r w:rsidR="0009217E" w:rsidRPr="0009217E">
                                <w:rPr>
                                  <w:i w:val="0"/>
                                  <w:iCs w:val="0"/>
                                  <w:color w:val="auto"/>
                                </w:rPr>
                                <w:fldChar w:fldCharType="begin"/>
                              </w:r>
                              <w:r w:rsidR="0009217E" w:rsidRPr="0009217E">
                                <w:rPr>
                                  <w:i w:val="0"/>
                                  <w:iCs w:val="0"/>
                                  <w:color w:val="auto"/>
                                </w:rPr>
                                <w:instrText xml:space="preserve"> SEQ Gambar \* ARABIC </w:instrText>
                              </w:r>
                              <w:r w:rsidR="0009217E" w:rsidRPr="0009217E">
                                <w:rPr>
                                  <w:i w:val="0"/>
                                  <w:iCs w:val="0"/>
                                  <w:color w:val="auto"/>
                                </w:rPr>
                                <w:fldChar w:fldCharType="separate"/>
                              </w:r>
                              <w:r w:rsidR="0009217E" w:rsidRPr="0009217E">
                                <w:rPr>
                                  <w:i w:val="0"/>
                                  <w:iCs w:val="0"/>
                                  <w:noProof/>
                                  <w:color w:val="auto"/>
                                </w:rPr>
                                <w:t>1</w:t>
                              </w:r>
                              <w:r w:rsidR="0009217E" w:rsidRPr="0009217E">
                                <w:rPr>
                                  <w:i w:val="0"/>
                                  <w:iCs w:val="0"/>
                                  <w:color w:val="auto"/>
                                </w:rPr>
                                <w:fldChar w:fldCharType="end"/>
                              </w:r>
                              <w:r w:rsidR="0009217E" w:rsidRPr="0009217E">
                                <w:rPr>
                                  <w:i w:val="0"/>
                                  <w:iCs w:val="0"/>
                                  <w:color w:val="auto"/>
                                </w:rPr>
                                <w:t xml:space="preserve"> Calibration Curve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4A3A557A" id="Group 2" o:spid="_x0000_s1026" style="position:absolute;left:0;text-align:left;margin-left:36pt;margin-top:0;width:5in;height:241.4pt;z-index:251660288;mso-width-relative:margin" coordsize="45720,30657"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53" o:spid="_x0000_s1027" type="#_x0000_t75" style="position:absolute;left:-60;top:-60;width:45840;height:27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">
                  <v:imagedata r:id="rId6" o:title=""/>
                  <o:lock v:ext="edit" aspectratio="f"/>
                </v:shape>
                <v:shapetype id="_x0000_t202" coordsize="21600,21600" o:spt="202" path="m,l,21600r21600,l21600,xe">
                  <v:stroke joinstyle="miter"/>
                  <v:path gradientshapeok="t" o:connecttype="rect"/>
                </v:shapetype>
                <v:shape id="Text Box 1" o:spid="_x0000_s1028" type="#_x0000_t202" style="position:absolute;top:27990;width:457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74D7FA07" w14:textId="259DB94A" w:rsidR="0009217E" w:rsidRPr="0009217E" w:rsidRDefault="00BE2963" w:rsidP="0009217E">
                        <w:pPr>
                          <w:pStyle w:val="Caption"/>
                          <w:jc w:val="center"/>
                          <w:rPr>
                            <w:rFonts w:ascii="Times New Roman" w:hAnsi="Times New Roman" w:cs="Times New Roman"/>
                            <w:i w:val="0"/>
                            <w:iCs w:val="0"/>
                            <w:noProof/>
                            <w:color w:val="auto"/>
                            <w:sz w:val="24"/>
                            <w:szCs w:val="24"/>
                          </w:rPr>
                        </w:pPr>
                        <w:r>
                          <w:rPr>
                            <w:i w:val="0"/>
                            <w:iCs w:val="0"/>
                            <w:color w:val="auto"/>
                          </w:rPr>
                          <w:t xml:space="preserve">Fig </w:t>
                        </w:r>
                        <w:r w:rsidR="0009217E" w:rsidRPr="0009217E">
                          <w:rPr>
                            <w:i w:val="0"/>
                            <w:iCs w:val="0"/>
                            <w:color w:val="auto"/>
                          </w:rPr>
                          <w:fldChar w:fldCharType="begin"/>
                        </w:r>
                        <w:r w:rsidR="0009217E" w:rsidRPr="0009217E">
                          <w:rPr>
                            <w:i w:val="0"/>
                            <w:iCs w:val="0"/>
                            <w:color w:val="auto"/>
                          </w:rPr>
                          <w:instrText xml:space="preserve"> SEQ Gambar \* ARABIC </w:instrText>
                        </w:r>
                        <w:r w:rsidR="0009217E" w:rsidRPr="0009217E">
                          <w:rPr>
                            <w:i w:val="0"/>
                            <w:iCs w:val="0"/>
                            <w:color w:val="auto"/>
                          </w:rPr>
                          <w:fldChar w:fldCharType="separate"/>
                        </w:r>
                        <w:r w:rsidR="0009217E" w:rsidRPr="0009217E">
                          <w:rPr>
                            <w:i w:val="0"/>
                            <w:iCs w:val="0"/>
                            <w:noProof/>
                            <w:color w:val="auto"/>
                          </w:rPr>
                          <w:t>1</w:t>
                        </w:r>
                        <w:r w:rsidR="0009217E" w:rsidRPr="0009217E">
                          <w:rPr>
                            <w:i w:val="0"/>
                            <w:iCs w:val="0"/>
                            <w:color w:val="auto"/>
                          </w:rPr>
                          <w:fldChar w:fldCharType="end"/>
                        </w:r>
                        <w:r w:rsidR="0009217E" w:rsidRPr="0009217E">
                          <w:rPr>
                            <w:i w:val="0"/>
                            <w:iCs w:val="0"/>
                            <w:color w:val="auto"/>
                          </w:rPr>
                          <w:t xml:space="preserve"> Calibration Curve</w:t>
                        </w:r>
                      </w:p>
                    </w:txbxContent>
                  </v:textbox>
                </v:shape>
                <w10:wrap type="topAndBottom"/>
              </v:group>
            </w:pict>
          </mc:Fallback>
        </mc:AlternateContent>
      </w:r>
    </w:p>
    <w:p w14:paraId="6F9EDF00" w14:textId="28550457" w:rsidR="00D31227" w:rsidRPr="0009217E" w:rsidRDefault="00957C90" w:rsidP="0009217E">
      <w:pPr>
        <w:spacing w:after="0" w:line="276" w:lineRule="auto"/>
        <w:ind w:firstLine="720"/>
        <w:jc w:val="both"/>
        <w:rPr>
          <w:rFonts w:ascii="Times New Roman" w:hAnsi="Times New Roman" w:cs="Times New Roman"/>
          <w:sz w:val="24"/>
          <w:szCs w:val="24"/>
        </w:rPr>
      </w:pPr>
      <w:r w:rsidRPr="0009217E">
        <w:rPr>
          <w:rFonts w:ascii="Times New Roman" w:hAnsi="Times New Roman" w:cs="Times New Roman"/>
          <w:sz w:val="24"/>
          <w:szCs w:val="24"/>
        </w:rPr>
        <w:t>The data shows a linear relationship between concentration and absorbance with the regression equation, y = 0.6186x + 0.0047 with a coefficient of determination R</w:t>
      </w:r>
      <w:r w:rsidRPr="00EF4E00">
        <w:rPr>
          <w:rFonts w:ascii="Times New Roman" w:hAnsi="Times New Roman" w:cs="Times New Roman"/>
          <w:sz w:val="24"/>
          <w:szCs w:val="24"/>
          <w:vertAlign w:val="superscript"/>
        </w:rPr>
        <w:t>2</w:t>
      </w:r>
      <w:r w:rsidRPr="0009217E">
        <w:rPr>
          <w:rFonts w:ascii="Times New Roman" w:hAnsi="Times New Roman" w:cs="Times New Roman"/>
          <w:sz w:val="24"/>
          <w:szCs w:val="24"/>
        </w:rPr>
        <w:t xml:space="preserve"> = 0.9952. </w:t>
      </w:r>
      <w:r w:rsidRPr="00EF4E00">
        <w:rPr>
          <w:rStyle w:val="katex-mathml"/>
          <w:rFonts w:ascii="Times New Roman" w:hAnsi="Times New Roman" w:cs="Times New Roman"/>
          <w:sz w:val="24"/>
          <w:szCs w:val="24"/>
          <w:vertAlign w:val="superscript"/>
        </w:rPr>
        <w:t>The R²</w:t>
      </w:r>
      <w:r w:rsidRPr="0009217E">
        <w:rPr>
          <w:rFonts w:ascii="Times New Roman" w:hAnsi="Times New Roman" w:cs="Times New Roman"/>
          <w:sz w:val="24"/>
          <w:szCs w:val="24"/>
        </w:rPr>
        <w:t xml:space="preserve"> value</w:t>
      </w:r>
      <w:r w:rsidRPr="00EF4E00">
        <w:rPr>
          <w:rStyle w:val="katex-mathml"/>
          <w:rFonts w:ascii="Times New Roman" w:hAnsi="Times New Roman" w:cs="Times New Roman"/>
          <w:sz w:val="24"/>
          <w:szCs w:val="24"/>
          <w:vertAlign w:val="superscript"/>
        </w:rPr>
        <w:t>,</w:t>
      </w:r>
      <w:r w:rsidRPr="0009217E">
        <w:rPr>
          <w:rFonts w:ascii="Times New Roman" w:hAnsi="Times New Roman" w:cs="Times New Roman"/>
          <w:sz w:val="24"/>
          <w:szCs w:val="24"/>
        </w:rPr>
        <w:t>which is very close to 1, indicates that Lambert–Beer's law is well satisfied in the working concentration range, so that the UV–Vis spectrophotometry method used is sufficiently reliable ly to monitor the decrease in RhB concentration during the degradation process by the CuO–clay composite. This regression equation is then used to calculate the remaining RhB concentration (C(</w:t>
      </w:r>
      <w:r w:rsidRPr="00C4141F">
        <w:rPr>
          <w:rFonts w:ascii="Times New Roman" w:hAnsi="Times New Roman" w:cs="Times New Roman"/>
          <w:sz w:val="24"/>
          <w:szCs w:val="24"/>
          <w:vertAlign w:val="subscript"/>
        </w:rPr>
        <w:t>t))</w:t>
      </w:r>
      <w:r w:rsidRPr="0009217E">
        <w:rPr>
          <w:rFonts w:ascii="Times New Roman" w:hAnsi="Times New Roman" w:cs="Times New Roman"/>
          <w:sz w:val="24"/>
          <w:szCs w:val="24"/>
        </w:rPr>
        <w:t>from the absorbance values measured at each contact time.</w:t>
      </w:r>
    </w:p>
    <w:p w14:paraId="38B1B11A" w14:textId="13E3FD74" w:rsidR="00957C90" w:rsidRPr="0009217E" w:rsidRDefault="00957C90" w:rsidP="0009217E">
      <w:pPr>
        <w:pStyle w:val="ListParagraph"/>
        <w:spacing w:after="0" w:line="276" w:lineRule="auto"/>
        <w:jc w:val="both"/>
        <w:rPr>
          <w:rFonts w:ascii="Times New Roman" w:hAnsi="Times New Roman" w:cs="Times New Roman"/>
          <w:sz w:val="24"/>
          <w:szCs w:val="24"/>
        </w:rPr>
      </w:pPr>
    </w:p>
    <w:p w14:paraId="1763118D" w14:textId="2ABB9A8A" w:rsidR="005C732F" w:rsidRPr="006A70A6" w:rsidRDefault="005C732F" w:rsidP="00EF4E00">
      <w:pPr>
        <w:spacing w:after="0" w:line="276" w:lineRule="auto"/>
        <w:jc w:val="both"/>
        <w:rPr>
          <w:rFonts w:ascii="Times New Roman" w:hAnsi="Times New Roman" w:cs="Times New Roman"/>
          <w:b/>
          <w:bCs/>
          <w:sz w:val="24"/>
          <w:szCs w:val="24"/>
        </w:rPr>
      </w:pPr>
      <w:r w:rsidRPr="006A70A6">
        <w:rPr>
          <w:rFonts w:ascii="Times New Roman" w:hAnsi="Times New Roman" w:cs="Times New Roman"/>
          <w:b/>
          <w:bCs/>
          <w:sz w:val="24"/>
          <w:szCs w:val="24"/>
        </w:rPr>
        <w:t>Kinetic Study</w:t>
      </w:r>
    </w:p>
    <w:p w14:paraId="2C7EF7CD" w14:textId="7E2FBD69" w:rsidR="00957C90" w:rsidRPr="00EF4E00" w:rsidRDefault="005C732F"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 xml:space="preserve">The </w:t>
      </w:r>
      <w:r w:rsidR="00EF4E00">
        <w:rPr>
          <w:rFonts w:ascii="Times New Roman" w:hAnsi="Times New Roman" w:cs="Times New Roman"/>
          <w:sz w:val="24"/>
          <w:szCs w:val="24"/>
        </w:rPr>
        <w:t xml:space="preserve">RhB </w:t>
      </w:r>
      <w:r w:rsidRPr="00EF4E00">
        <w:rPr>
          <w:rFonts w:ascii="Times New Roman" w:hAnsi="Times New Roman" w:cs="Times New Roman"/>
          <w:sz w:val="24"/>
          <w:szCs w:val="24"/>
        </w:rPr>
        <w:t xml:space="preserve">degradation study was conducted at an initial concentration of C₀ = 25 ppm using CuO–clay composite </w:t>
      </w:r>
      <w:r w:rsidR="00C4141F">
        <w:rPr>
          <w:rFonts w:ascii="Times New Roman" w:hAnsi="Times New Roman" w:cs="Times New Roman"/>
          <w:sz w:val="24"/>
          <w:szCs w:val="24"/>
        </w:rPr>
        <w:t xml:space="preserve">with </w:t>
      </w:r>
      <w:r w:rsidR="00CE65B7">
        <w:rPr>
          <w:rFonts w:ascii="Times New Roman" w:hAnsi="Times New Roman" w:cs="Times New Roman"/>
          <w:sz w:val="24"/>
          <w:szCs w:val="24"/>
        </w:rPr>
        <w:t xml:space="preserve">UV </w:t>
      </w:r>
      <w:r w:rsidR="00C4141F">
        <w:rPr>
          <w:rFonts w:ascii="Times New Roman" w:hAnsi="Times New Roman" w:cs="Times New Roman"/>
          <w:sz w:val="24"/>
          <w:szCs w:val="24"/>
        </w:rPr>
        <w:t>irradiation</w:t>
      </w:r>
      <w:r w:rsidRPr="00EF4E00">
        <w:rPr>
          <w:rFonts w:ascii="Times New Roman" w:hAnsi="Times New Roman" w:cs="Times New Roman"/>
          <w:sz w:val="24"/>
          <w:szCs w:val="24"/>
        </w:rPr>
        <w:t>. Changes in RhB concentration over contact time are presented in Table</w:t>
      </w:r>
      <w:r w:rsidR="00EF4E00">
        <w:rPr>
          <w:rFonts w:ascii="Times New Roman" w:hAnsi="Times New Roman" w:cs="Times New Roman"/>
          <w:sz w:val="24"/>
          <w:szCs w:val="24"/>
        </w:rPr>
        <w:t xml:space="preserve"> 2</w:t>
      </w:r>
    </w:p>
    <w:p w14:paraId="168C9806" w14:textId="77A64A88" w:rsidR="005C732F" w:rsidRPr="0009217E" w:rsidRDefault="005C732F" w:rsidP="0009217E">
      <w:pPr>
        <w:pStyle w:val="NormalWeb"/>
        <w:spacing w:before="0" w:beforeAutospacing="0" w:after="0" w:afterAutospacing="0" w:line="276" w:lineRule="auto"/>
        <w:contextualSpacing/>
        <w:jc w:val="both"/>
      </w:pPr>
      <w:r w:rsidRPr="0009217E">
        <w:t>Table</w:t>
      </w:r>
      <w:r w:rsidR="00EF4E00">
        <w:t xml:space="preserve"> 2 </w:t>
      </w:r>
      <w:r w:rsidRPr="0009217E">
        <w:t xml:space="preserve">Changes in </w:t>
      </w:r>
      <w:r w:rsidR="00EF4E00">
        <w:t xml:space="preserve">RhB </w:t>
      </w:r>
      <w:r w:rsidRPr="0009217E">
        <w:t>concentration (C₀ = 25 ppm) over contact time with the CuO–clay composite</w:t>
      </w:r>
    </w:p>
    <w:tbl>
      <w:tblPr>
        <w:tblW w:w="566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35"/>
        <w:gridCol w:w="1350"/>
        <w:gridCol w:w="1399"/>
        <w:gridCol w:w="1481"/>
      </w:tblGrid>
      <w:tr w:rsidR="005C732F" w:rsidRPr="005C732F" w14:paraId="334FB3C4" w14:textId="77777777" w:rsidTr="005C732F">
        <w:trPr>
          <w:trHeight w:val="870"/>
          <w:jc w:val="center"/>
        </w:trPr>
        <w:tc>
          <w:tcPr>
            <w:tcW w:w="1435" w:type="dxa"/>
            <w:vAlign w:val="center"/>
            <w:hideMark/>
          </w:tcPr>
          <w:p w14:paraId="40235830" w14:textId="77777777" w:rsidR="005C732F" w:rsidRPr="005C732F" w:rsidRDefault="005C732F" w:rsidP="0009217E">
            <w:pPr>
              <w:spacing w:after="0" w:line="276" w:lineRule="auto"/>
              <w:contextualSpacing/>
              <w:jc w:val="both"/>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lastRenderedPageBreak/>
              <w:t>t (minutes)</w:t>
            </w:r>
          </w:p>
        </w:tc>
        <w:tc>
          <w:tcPr>
            <w:tcW w:w="1350" w:type="dxa"/>
            <w:vAlign w:val="center"/>
            <w:hideMark/>
          </w:tcPr>
          <w:p w14:paraId="26FAFD49" w14:textId="77777777" w:rsidR="005C732F" w:rsidRPr="005C732F" w:rsidRDefault="005C732F" w:rsidP="0009217E">
            <w:pPr>
              <w:spacing w:after="0" w:line="276" w:lineRule="auto"/>
              <w:contextualSpacing/>
              <w:jc w:val="both"/>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C₀ (ppm)</w:t>
            </w:r>
          </w:p>
        </w:tc>
        <w:tc>
          <w:tcPr>
            <w:tcW w:w="1399" w:type="dxa"/>
            <w:vAlign w:val="center"/>
            <w:hideMark/>
          </w:tcPr>
          <w:p w14:paraId="05D396D1" w14:textId="77777777" w:rsidR="005C732F" w:rsidRPr="005C732F" w:rsidRDefault="005C732F" w:rsidP="0009217E">
            <w:pPr>
              <w:spacing w:after="0" w:line="276" w:lineRule="auto"/>
              <w:contextualSpacing/>
              <w:jc w:val="both"/>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Cₜ (ppm)</w:t>
            </w:r>
          </w:p>
        </w:tc>
        <w:tc>
          <w:tcPr>
            <w:tcW w:w="1481" w:type="dxa"/>
            <w:vAlign w:val="center"/>
            <w:hideMark/>
          </w:tcPr>
          <w:p w14:paraId="214D735E" w14:textId="77777777" w:rsidR="005C732F" w:rsidRPr="005C732F" w:rsidRDefault="005C732F" w:rsidP="0009217E">
            <w:pPr>
              <w:spacing w:after="0" w:line="276" w:lineRule="auto"/>
              <w:contextualSpacing/>
              <w:jc w:val="both"/>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 degradation</w:t>
            </w:r>
          </w:p>
        </w:tc>
      </w:tr>
      <w:tr w:rsidR="005C732F" w:rsidRPr="005C732F" w14:paraId="5C55CC1F" w14:textId="77777777" w:rsidTr="005C732F">
        <w:trPr>
          <w:trHeight w:val="290"/>
          <w:jc w:val="center"/>
        </w:trPr>
        <w:tc>
          <w:tcPr>
            <w:tcW w:w="1435" w:type="dxa"/>
            <w:vAlign w:val="center"/>
            <w:hideMark/>
          </w:tcPr>
          <w:p w14:paraId="13B03F25"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60</w:t>
            </w:r>
          </w:p>
        </w:tc>
        <w:tc>
          <w:tcPr>
            <w:tcW w:w="1350" w:type="dxa"/>
            <w:vAlign w:val="center"/>
            <w:hideMark/>
          </w:tcPr>
          <w:p w14:paraId="6B733938"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3E66FDD3" w14:textId="171CC2C3"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w:t>
            </w:r>
            <w:r w:rsidR="002B0D5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532</w:t>
            </w:r>
          </w:p>
        </w:tc>
        <w:tc>
          <w:tcPr>
            <w:tcW w:w="1481" w:type="dxa"/>
            <w:vAlign w:val="center"/>
            <w:hideMark/>
          </w:tcPr>
          <w:p w14:paraId="10245176" w14:textId="6FC98594"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89</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79</w:t>
            </w:r>
          </w:p>
        </w:tc>
      </w:tr>
      <w:tr w:rsidR="005C732F" w:rsidRPr="005C732F" w14:paraId="79B44C7E" w14:textId="77777777" w:rsidTr="005C732F">
        <w:trPr>
          <w:trHeight w:val="290"/>
          <w:jc w:val="center"/>
        </w:trPr>
        <w:tc>
          <w:tcPr>
            <w:tcW w:w="1435" w:type="dxa"/>
            <w:vAlign w:val="center"/>
            <w:hideMark/>
          </w:tcPr>
          <w:p w14:paraId="62849A33"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90</w:t>
            </w:r>
          </w:p>
        </w:tc>
        <w:tc>
          <w:tcPr>
            <w:tcW w:w="1350" w:type="dxa"/>
            <w:vAlign w:val="center"/>
            <w:hideMark/>
          </w:tcPr>
          <w:p w14:paraId="141C87AC"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258D8F9A" w14:textId="07B52029"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9474</w:t>
            </w:r>
          </w:p>
        </w:tc>
        <w:tc>
          <w:tcPr>
            <w:tcW w:w="1481" w:type="dxa"/>
            <w:vAlign w:val="center"/>
            <w:hideMark/>
          </w:tcPr>
          <w:p w14:paraId="42CAD0AD" w14:textId="755CD57F"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96</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21</w:t>
            </w:r>
          </w:p>
        </w:tc>
      </w:tr>
      <w:tr w:rsidR="005C732F" w:rsidRPr="005C732F" w14:paraId="24DE8B13" w14:textId="77777777" w:rsidTr="005C732F">
        <w:trPr>
          <w:trHeight w:val="290"/>
          <w:jc w:val="center"/>
        </w:trPr>
        <w:tc>
          <w:tcPr>
            <w:tcW w:w="1435" w:type="dxa"/>
            <w:vAlign w:val="center"/>
            <w:hideMark/>
          </w:tcPr>
          <w:p w14:paraId="14E78133"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120</w:t>
            </w:r>
          </w:p>
        </w:tc>
        <w:tc>
          <w:tcPr>
            <w:tcW w:w="1350" w:type="dxa"/>
            <w:vAlign w:val="center"/>
            <w:hideMark/>
          </w:tcPr>
          <w:p w14:paraId="10544C16"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0CF79135" w14:textId="61C5B299"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2648</w:t>
            </w:r>
          </w:p>
        </w:tc>
        <w:tc>
          <w:tcPr>
            <w:tcW w:w="1481" w:type="dxa"/>
            <w:vAlign w:val="center"/>
            <w:hideMark/>
          </w:tcPr>
          <w:p w14:paraId="108A4DFD" w14:textId="4E2E41AA"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98</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94</w:t>
            </w:r>
          </w:p>
        </w:tc>
      </w:tr>
      <w:tr w:rsidR="005C732F" w:rsidRPr="005C732F" w14:paraId="1BD66BC9" w14:textId="77777777" w:rsidTr="005C732F">
        <w:trPr>
          <w:trHeight w:val="290"/>
          <w:jc w:val="center"/>
        </w:trPr>
        <w:tc>
          <w:tcPr>
            <w:tcW w:w="1435" w:type="dxa"/>
            <w:vAlign w:val="center"/>
            <w:hideMark/>
          </w:tcPr>
          <w:p w14:paraId="088A192B"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150</w:t>
            </w:r>
          </w:p>
        </w:tc>
        <w:tc>
          <w:tcPr>
            <w:tcW w:w="1350" w:type="dxa"/>
            <w:vAlign w:val="center"/>
            <w:hideMark/>
          </w:tcPr>
          <w:p w14:paraId="34F4421D"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199934EB" w14:textId="4F03B9FD"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0991</w:t>
            </w:r>
          </w:p>
        </w:tc>
        <w:tc>
          <w:tcPr>
            <w:tcW w:w="1481" w:type="dxa"/>
            <w:vAlign w:val="center"/>
            <w:hideMark/>
          </w:tcPr>
          <w:p w14:paraId="258FE1CE" w14:textId="2F7391F9"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99</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60</w:t>
            </w:r>
          </w:p>
        </w:tc>
      </w:tr>
      <w:tr w:rsidR="005C732F" w:rsidRPr="005C732F" w14:paraId="352D7284" w14:textId="77777777" w:rsidTr="005C732F">
        <w:trPr>
          <w:trHeight w:val="290"/>
          <w:jc w:val="center"/>
        </w:trPr>
        <w:tc>
          <w:tcPr>
            <w:tcW w:w="1435" w:type="dxa"/>
            <w:vAlign w:val="center"/>
            <w:hideMark/>
          </w:tcPr>
          <w:p w14:paraId="0BF1D098"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180</w:t>
            </w:r>
          </w:p>
        </w:tc>
        <w:tc>
          <w:tcPr>
            <w:tcW w:w="1350" w:type="dxa"/>
            <w:vAlign w:val="center"/>
            <w:hideMark/>
          </w:tcPr>
          <w:p w14:paraId="56DC1123"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538A5537" w14:textId="589D11EF"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0274</w:t>
            </w:r>
          </w:p>
        </w:tc>
        <w:tc>
          <w:tcPr>
            <w:tcW w:w="1481" w:type="dxa"/>
            <w:vAlign w:val="center"/>
            <w:hideMark/>
          </w:tcPr>
          <w:p w14:paraId="7CF3EF3A" w14:textId="5C2D717C"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99</w:t>
            </w:r>
            <w:r w:rsidR="00CE65B7">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89</w:t>
            </w:r>
          </w:p>
        </w:tc>
      </w:tr>
    </w:tbl>
    <w:p w14:paraId="798CA90F" w14:textId="6FE5AF85" w:rsidR="005C732F" w:rsidRPr="0009217E" w:rsidRDefault="005C732F" w:rsidP="0009217E">
      <w:pPr>
        <w:pStyle w:val="ListParagraph"/>
        <w:spacing w:after="0" w:line="276" w:lineRule="auto"/>
        <w:jc w:val="both"/>
        <w:rPr>
          <w:rFonts w:ascii="Times New Roman" w:hAnsi="Times New Roman" w:cs="Times New Roman"/>
          <w:sz w:val="24"/>
          <w:szCs w:val="24"/>
        </w:rPr>
      </w:pPr>
    </w:p>
    <w:p w14:paraId="7A6DB577" w14:textId="5E3B2118" w:rsidR="00EF4E00" w:rsidRDefault="005C732F"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Table</w:t>
      </w:r>
      <w:r w:rsidR="00EF4E00" w:rsidRPr="00EF4E00">
        <w:rPr>
          <w:rFonts w:ascii="Times New Roman" w:hAnsi="Times New Roman" w:cs="Times New Roman"/>
          <w:sz w:val="24"/>
          <w:szCs w:val="24"/>
        </w:rPr>
        <w:t xml:space="preserve"> 2</w:t>
      </w:r>
      <w:r w:rsidRPr="00EF4E00">
        <w:rPr>
          <w:rFonts w:ascii="Times New Roman" w:hAnsi="Times New Roman" w:cs="Times New Roman"/>
          <w:sz w:val="24"/>
          <w:szCs w:val="24"/>
        </w:rPr>
        <w:t xml:space="preserve"> shows that the decrease in RhB concentration was very significant throughout the contact time period studied. In the first 60 minutes, the RhB concentration dropped from 25 ppm to around 2</w:t>
      </w:r>
      <w:r w:rsidR="002B0D59">
        <w:rPr>
          <w:rFonts w:ascii="Times New Roman" w:hAnsi="Times New Roman" w:cs="Times New Roman"/>
          <w:sz w:val="24"/>
          <w:szCs w:val="24"/>
        </w:rPr>
        <w:t>.</w:t>
      </w:r>
      <w:r w:rsidRPr="00EF4E00">
        <w:rPr>
          <w:rFonts w:ascii="Times New Roman" w:hAnsi="Times New Roman" w:cs="Times New Roman"/>
          <w:sz w:val="24"/>
          <w:szCs w:val="24"/>
        </w:rPr>
        <w:t xml:space="preserve">55 ppm </w:t>
      </w:r>
      <w:r w:rsidR="002B0D59">
        <w:rPr>
          <w:rFonts w:ascii="Times New Roman" w:hAnsi="Times New Roman" w:cs="Times New Roman"/>
          <w:sz w:val="24"/>
          <w:szCs w:val="24"/>
        </w:rPr>
        <w:t xml:space="preserve"> with </w:t>
      </w:r>
      <w:r w:rsidRPr="00EF4E00">
        <w:rPr>
          <w:rFonts w:ascii="Times New Roman" w:hAnsi="Times New Roman" w:cs="Times New Roman"/>
          <w:sz w:val="24"/>
          <w:szCs w:val="24"/>
        </w:rPr>
        <w:t>a reduction efficiency of 89</w:t>
      </w:r>
      <w:r w:rsidR="002B0D59">
        <w:rPr>
          <w:rFonts w:ascii="Times New Roman" w:hAnsi="Times New Roman" w:cs="Times New Roman"/>
          <w:sz w:val="24"/>
          <w:szCs w:val="24"/>
        </w:rPr>
        <w:t>.</w:t>
      </w:r>
      <w:r w:rsidRPr="00EF4E00">
        <w:rPr>
          <w:rFonts w:ascii="Times New Roman" w:hAnsi="Times New Roman" w:cs="Times New Roman"/>
          <w:sz w:val="24"/>
          <w:szCs w:val="24"/>
        </w:rPr>
        <w:t>79%. The decrease continued until 90 minutes with an efficiency of 96.21%, then increased further to 98.94% at 120 minutes. At contact times of 150 and 180 minutes, the RhB concentration approached zero at 0.0991 and 0.0274 ppm, respectively, with a reduction efficiency of 99.60% and 99.89%.</w:t>
      </w:r>
    </w:p>
    <w:p w14:paraId="15A020BE" w14:textId="270D6D61" w:rsidR="00EF4E00" w:rsidRDefault="005C732F"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This pattern shows that the interaction between RhB and the CuO–clay composite is highly effective, especially after 90–120 minutes. The absence of a rebound in RhB concentration during longer contact times indicates that RhB desorption from the composite surface is insignificant within the observation time frame, thus demonstrating that the CuO–clay composite exhibits good stability as an RhB reduction material under the operating conditions used.</w:t>
      </w:r>
    </w:p>
    <w:p w14:paraId="02471A18" w14:textId="7724F536" w:rsidR="005C732F" w:rsidRPr="00EF4E00" w:rsidRDefault="005C732F"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To examine the mechanism of the rate of decrease in RhB concentration, the data in Table</w:t>
      </w:r>
      <w:r w:rsidR="00EF4E00">
        <w:rPr>
          <w:rFonts w:ascii="Times New Roman" w:hAnsi="Times New Roman" w:cs="Times New Roman"/>
          <w:sz w:val="24"/>
          <w:szCs w:val="24"/>
        </w:rPr>
        <w:t xml:space="preserve"> 2 </w:t>
      </w:r>
      <w:r w:rsidRPr="00EF4E00">
        <w:rPr>
          <w:rFonts w:ascii="Times New Roman" w:hAnsi="Times New Roman" w:cs="Times New Roman"/>
          <w:sz w:val="24"/>
          <w:szCs w:val="24"/>
        </w:rPr>
        <w:t xml:space="preserve">were analyzed using first-order and second-order kinetic models. Calculations were based on concentrations C₀ and Cₜ at various times (t). The values </w:t>
      </w:r>
      <w:r w:rsidRPr="00EF4E00">
        <w:rPr>
          <w:rStyle w:val="katex-mathml"/>
          <w:rFonts w:ascii="Times New Roman" w:hAnsi="Times New Roman" w:cs="Times New Roman"/>
          <w:sz w:val="24"/>
          <w:szCs w:val="24"/>
        </w:rPr>
        <w:t>of</w:t>
      </w:r>
      <w:r w:rsidRPr="00EF4E00">
        <w:rPr>
          <w:rFonts w:ascii="Times New Roman" w:hAnsi="Times New Roman" w:cs="Times New Roman"/>
          <w:sz w:val="24"/>
          <w:szCs w:val="24"/>
        </w:rPr>
        <w:t xml:space="preserve"> </w:t>
      </w:r>
      <w:r w:rsidRPr="00EF4E00">
        <w:rPr>
          <w:rStyle w:val="katex-mathml"/>
          <w:rFonts w:ascii="Times New Roman" w:hAnsi="Times New Roman" w:cs="Times New Roman"/>
          <w:sz w:val="24"/>
          <w:szCs w:val="24"/>
        </w:rPr>
        <w:t>ln(C(</w:t>
      </w:r>
      <w:r w:rsidRPr="00EF4E00">
        <w:rPr>
          <w:rStyle w:val="katex-mathml"/>
          <w:rFonts w:ascii="Times New Roman" w:hAnsi="Times New Roman" w:cs="Times New Roman"/>
          <w:sz w:val="24"/>
          <w:szCs w:val="24"/>
          <w:vertAlign w:val="subscript"/>
        </w:rPr>
        <w:t>0)</w:t>
      </w:r>
      <w:r w:rsidRPr="00EF4E00">
        <w:rPr>
          <w:rStyle w:val="katex-mathml"/>
          <w:rFonts w:ascii="Times New Roman" w:hAnsi="Times New Roman" w:cs="Times New Roman"/>
          <w:sz w:val="24"/>
          <w:szCs w:val="24"/>
        </w:rPr>
        <w:t>/C(</w:t>
      </w:r>
      <w:r w:rsidRPr="00EF4E00">
        <w:rPr>
          <w:rStyle w:val="katex-mathml"/>
          <w:rFonts w:ascii="Times New Roman" w:hAnsi="Times New Roman" w:cs="Times New Roman"/>
          <w:sz w:val="24"/>
          <w:szCs w:val="24"/>
          <w:vertAlign w:val="subscript"/>
        </w:rPr>
        <w:t>t)</w:t>
      </w:r>
      <w:r w:rsidRPr="00EF4E00">
        <w:rPr>
          <w:rStyle w:val="katex-mathml"/>
          <w:rFonts w:ascii="Times New Roman" w:hAnsi="Times New Roman" w:cs="Times New Roman"/>
          <w:sz w:val="24"/>
          <w:szCs w:val="24"/>
        </w:rPr>
        <w:t>)ln(C(</w:t>
      </w:r>
      <w:r w:rsidRPr="00EF4E00">
        <w:rPr>
          <w:rStyle w:val="katex-mathml"/>
          <w:rFonts w:ascii="Times New Roman" w:hAnsi="Times New Roman" w:cs="Times New Roman"/>
          <w:sz w:val="24"/>
          <w:szCs w:val="24"/>
          <w:vertAlign w:val="subscript"/>
        </w:rPr>
        <w:t>0)</w:t>
      </w:r>
      <w:r w:rsidRPr="00EF4E00">
        <w:rPr>
          <w:rStyle w:val="katex-mathml"/>
          <w:rFonts w:ascii="Times New Roman" w:hAnsi="Times New Roman" w:cs="Times New Roman"/>
          <w:sz w:val="24"/>
          <w:szCs w:val="24"/>
        </w:rPr>
        <w:t>/C(</w:t>
      </w:r>
      <w:r w:rsidRPr="00EF4E00">
        <w:rPr>
          <w:rStyle w:val="katex-mathml"/>
          <w:rFonts w:ascii="Times New Roman" w:hAnsi="Times New Roman" w:cs="Times New Roman"/>
          <w:sz w:val="24"/>
          <w:szCs w:val="24"/>
          <w:vertAlign w:val="subscript"/>
        </w:rPr>
        <w:t>t))</w:t>
      </w:r>
      <w:r w:rsidRPr="00EF4E00">
        <w:rPr>
          <w:rFonts w:ascii="Times New Roman" w:hAnsi="Times New Roman" w:cs="Times New Roman"/>
          <w:sz w:val="24"/>
          <w:szCs w:val="24"/>
        </w:rPr>
        <w:t>and</w:t>
      </w:r>
      <w:r w:rsidRPr="00EF4E00">
        <w:rPr>
          <w:rStyle w:val="katex-mathml"/>
          <w:rFonts w:ascii="Times New Roman" w:hAnsi="Times New Roman" w:cs="Times New Roman"/>
          <w:sz w:val="24"/>
          <w:szCs w:val="24"/>
        </w:rPr>
        <w:t xml:space="preserve"> 1/C(</w:t>
      </w:r>
      <w:r w:rsidRPr="00EF4E00">
        <w:rPr>
          <w:rStyle w:val="katex-mathml"/>
          <w:rFonts w:ascii="Times New Roman" w:hAnsi="Times New Roman" w:cs="Times New Roman"/>
          <w:sz w:val="24"/>
          <w:szCs w:val="24"/>
          <w:vertAlign w:val="subscript"/>
        </w:rPr>
        <w:t>t)</w:t>
      </w:r>
      <w:r w:rsidRPr="00EF4E00">
        <w:rPr>
          <w:rStyle w:val="vlist-s"/>
          <w:rFonts w:ascii="Times New Roman" w:hAnsi="Times New Roman" w:cs="Times New Roman"/>
          <w:sz w:val="24"/>
          <w:szCs w:val="24"/>
        </w:rPr>
        <w:t>​</w:t>
      </w:r>
      <w:r w:rsidRPr="00EF4E00">
        <w:rPr>
          <w:rFonts w:ascii="Times New Roman" w:hAnsi="Times New Roman" w:cs="Times New Roman"/>
          <w:sz w:val="24"/>
          <w:szCs w:val="24"/>
        </w:rPr>
        <w:t xml:space="preserve"> </w:t>
      </w:r>
      <w:r w:rsidRPr="00EF4E00">
        <w:rPr>
          <w:rStyle w:val="katex-mathml"/>
          <w:rFonts w:ascii="Times New Roman" w:hAnsi="Times New Roman" w:cs="Times New Roman"/>
          <w:sz w:val="24"/>
          <w:szCs w:val="24"/>
        </w:rPr>
        <w:t xml:space="preserve">, </w:t>
      </w:r>
      <w:r w:rsidRPr="00EF4E00">
        <w:rPr>
          <w:rFonts w:ascii="Times New Roman" w:hAnsi="Times New Roman" w:cs="Times New Roman"/>
          <w:sz w:val="24"/>
          <w:szCs w:val="24"/>
        </w:rPr>
        <w:t>which were used to test both models</w:t>
      </w:r>
      <w:r w:rsidR="00EF4E00">
        <w:rPr>
          <w:rFonts w:ascii="Times New Roman" w:hAnsi="Times New Roman" w:cs="Times New Roman"/>
          <w:sz w:val="24"/>
          <w:szCs w:val="24"/>
        </w:rPr>
        <w:t>,</w:t>
      </w:r>
      <w:r w:rsidRPr="00EF4E00">
        <w:rPr>
          <w:rFonts w:ascii="Times New Roman" w:hAnsi="Times New Roman" w:cs="Times New Roman"/>
          <w:sz w:val="24"/>
          <w:szCs w:val="24"/>
        </w:rPr>
        <w:t xml:space="preserve"> are presented in Table 3</w:t>
      </w:r>
      <w:r w:rsidR="00EF4E00">
        <w:rPr>
          <w:rFonts w:ascii="Times New Roman" w:hAnsi="Times New Roman" w:cs="Times New Roman"/>
          <w:sz w:val="24"/>
          <w:szCs w:val="24"/>
        </w:rPr>
        <w:t>.</w:t>
      </w:r>
    </w:p>
    <w:p w14:paraId="028BA8AC" w14:textId="1146DE33" w:rsidR="005C732F" w:rsidRDefault="005C732F" w:rsidP="0009217E">
      <w:pPr>
        <w:pStyle w:val="ListParagraph"/>
        <w:spacing w:after="0" w:line="276" w:lineRule="auto"/>
        <w:jc w:val="both"/>
        <w:rPr>
          <w:rFonts w:ascii="Times New Roman" w:hAnsi="Times New Roman" w:cs="Times New Roman"/>
          <w:sz w:val="24"/>
          <w:szCs w:val="24"/>
        </w:rPr>
      </w:pPr>
    </w:p>
    <w:p w14:paraId="66C71022" w14:textId="7DC2DEBC" w:rsidR="004705A9" w:rsidRDefault="004705A9" w:rsidP="0009217E">
      <w:pPr>
        <w:pStyle w:val="ListParagraph"/>
        <w:spacing w:after="0" w:line="276" w:lineRule="auto"/>
        <w:jc w:val="both"/>
        <w:rPr>
          <w:rFonts w:ascii="Times New Roman" w:hAnsi="Times New Roman" w:cs="Times New Roman"/>
          <w:sz w:val="24"/>
          <w:szCs w:val="24"/>
        </w:rPr>
      </w:pPr>
    </w:p>
    <w:p w14:paraId="37E7D233" w14:textId="5377CAC3" w:rsidR="004705A9" w:rsidRDefault="004705A9" w:rsidP="0009217E">
      <w:pPr>
        <w:pStyle w:val="ListParagraph"/>
        <w:spacing w:after="0" w:line="276" w:lineRule="auto"/>
        <w:jc w:val="both"/>
        <w:rPr>
          <w:rFonts w:ascii="Times New Roman" w:hAnsi="Times New Roman" w:cs="Times New Roman"/>
          <w:sz w:val="24"/>
          <w:szCs w:val="24"/>
        </w:rPr>
      </w:pPr>
    </w:p>
    <w:p w14:paraId="35AA8BAF" w14:textId="6ABD812D" w:rsidR="004705A9" w:rsidRDefault="004705A9" w:rsidP="0009217E">
      <w:pPr>
        <w:pStyle w:val="ListParagraph"/>
        <w:spacing w:after="0" w:line="276" w:lineRule="auto"/>
        <w:jc w:val="both"/>
        <w:rPr>
          <w:rFonts w:ascii="Times New Roman" w:hAnsi="Times New Roman" w:cs="Times New Roman"/>
          <w:sz w:val="24"/>
          <w:szCs w:val="24"/>
        </w:rPr>
      </w:pPr>
    </w:p>
    <w:p w14:paraId="03119BEE" w14:textId="77777777" w:rsidR="004705A9" w:rsidRPr="0009217E" w:rsidRDefault="004705A9" w:rsidP="0009217E">
      <w:pPr>
        <w:pStyle w:val="ListParagraph"/>
        <w:spacing w:after="0" w:line="276" w:lineRule="auto"/>
        <w:jc w:val="both"/>
        <w:rPr>
          <w:rFonts w:ascii="Times New Roman" w:hAnsi="Times New Roman" w:cs="Times New Roman"/>
          <w:sz w:val="24"/>
          <w:szCs w:val="24"/>
        </w:rPr>
      </w:pPr>
    </w:p>
    <w:p w14:paraId="1E74E734" w14:textId="33A65C24" w:rsidR="005C732F" w:rsidRPr="0009217E" w:rsidRDefault="005C732F" w:rsidP="00EF4E00">
      <w:pPr>
        <w:pStyle w:val="ListParagraph"/>
        <w:spacing w:after="0" w:line="276" w:lineRule="auto"/>
        <w:ind w:left="0"/>
        <w:jc w:val="both"/>
        <w:rPr>
          <w:rFonts w:ascii="Times New Roman" w:hAnsi="Times New Roman" w:cs="Times New Roman"/>
          <w:sz w:val="24"/>
          <w:szCs w:val="24"/>
        </w:rPr>
      </w:pPr>
      <w:r w:rsidRPr="0009217E">
        <w:rPr>
          <w:rFonts w:ascii="Times New Roman" w:hAnsi="Times New Roman" w:cs="Times New Roman"/>
          <w:sz w:val="24"/>
          <w:szCs w:val="24"/>
        </w:rPr>
        <w:t>Table</w:t>
      </w:r>
      <w:r w:rsidR="00EF4E00">
        <w:rPr>
          <w:rFonts w:ascii="Times New Roman" w:hAnsi="Times New Roman" w:cs="Times New Roman"/>
          <w:sz w:val="24"/>
          <w:szCs w:val="24"/>
        </w:rPr>
        <w:t xml:space="preserve"> 3 </w:t>
      </w:r>
      <w:r w:rsidRPr="0009217E">
        <w:rPr>
          <w:rFonts w:ascii="Times New Roman" w:hAnsi="Times New Roman" w:cs="Times New Roman"/>
          <w:sz w:val="24"/>
          <w:szCs w:val="24"/>
        </w:rPr>
        <w:t>First-order and second-order kinetic parameters</w:t>
      </w:r>
    </w:p>
    <w:tbl>
      <w:tblPr>
        <w:tblW w:w="70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90"/>
        <w:gridCol w:w="1001"/>
        <w:gridCol w:w="1129"/>
        <w:gridCol w:w="1457"/>
        <w:gridCol w:w="1200"/>
        <w:gridCol w:w="1023"/>
      </w:tblGrid>
      <w:tr w:rsidR="0009217E" w:rsidRPr="005C732F" w14:paraId="1CB6ABD8" w14:textId="77777777" w:rsidTr="00EF4E00">
        <w:trPr>
          <w:trHeight w:val="1160"/>
          <w:jc w:val="center"/>
        </w:trPr>
        <w:tc>
          <w:tcPr>
            <w:tcW w:w="960" w:type="dxa"/>
            <w:vAlign w:val="center"/>
            <w:hideMark/>
          </w:tcPr>
          <w:p w14:paraId="4DCE04FC"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t (minutes)</w:t>
            </w:r>
          </w:p>
        </w:tc>
        <w:tc>
          <w:tcPr>
            <w:tcW w:w="1220" w:type="dxa"/>
            <w:vAlign w:val="center"/>
            <w:hideMark/>
          </w:tcPr>
          <w:p w14:paraId="73A21701"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C₀ (ppm)</w:t>
            </w:r>
          </w:p>
        </w:tc>
        <w:tc>
          <w:tcPr>
            <w:tcW w:w="1480" w:type="dxa"/>
            <w:vAlign w:val="center"/>
            <w:hideMark/>
          </w:tcPr>
          <w:p w14:paraId="2C596AF0"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Cₜ (ppm)</w:t>
            </w:r>
          </w:p>
        </w:tc>
        <w:tc>
          <w:tcPr>
            <w:tcW w:w="960" w:type="dxa"/>
            <w:vAlign w:val="center"/>
            <w:hideMark/>
          </w:tcPr>
          <w:p w14:paraId="7D68507A"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 degradation</w:t>
            </w:r>
          </w:p>
        </w:tc>
        <w:tc>
          <w:tcPr>
            <w:tcW w:w="1320" w:type="dxa"/>
            <w:vAlign w:val="center"/>
            <w:hideMark/>
          </w:tcPr>
          <w:p w14:paraId="25E4499D" w14:textId="546BBA32"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 xml:space="preserve">ln(C₀/Cₜ) </w:t>
            </w:r>
          </w:p>
        </w:tc>
        <w:tc>
          <w:tcPr>
            <w:tcW w:w="1060" w:type="dxa"/>
            <w:vAlign w:val="center"/>
            <w:hideMark/>
          </w:tcPr>
          <w:p w14:paraId="41E8D816" w14:textId="0FAC9FEA"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1/Cₜ</w:t>
            </w:r>
          </w:p>
        </w:tc>
      </w:tr>
      <w:tr w:rsidR="0009217E" w:rsidRPr="005C732F" w14:paraId="6B960B5E" w14:textId="77777777" w:rsidTr="00EF4E00">
        <w:trPr>
          <w:trHeight w:val="290"/>
          <w:jc w:val="center"/>
        </w:trPr>
        <w:tc>
          <w:tcPr>
            <w:tcW w:w="960" w:type="dxa"/>
            <w:vAlign w:val="center"/>
            <w:hideMark/>
          </w:tcPr>
          <w:p w14:paraId="26EB4DDE"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60</w:t>
            </w:r>
          </w:p>
        </w:tc>
        <w:tc>
          <w:tcPr>
            <w:tcW w:w="1220" w:type="dxa"/>
            <w:vAlign w:val="center"/>
            <w:hideMark/>
          </w:tcPr>
          <w:p w14:paraId="2C1713AB"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0C5A4EAE" w14:textId="6F35B133"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532</w:t>
            </w:r>
          </w:p>
        </w:tc>
        <w:tc>
          <w:tcPr>
            <w:tcW w:w="960" w:type="dxa"/>
            <w:vAlign w:val="center"/>
            <w:hideMark/>
          </w:tcPr>
          <w:p w14:paraId="7F892E97" w14:textId="0204EC2F"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89</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79</w:t>
            </w:r>
          </w:p>
        </w:tc>
        <w:tc>
          <w:tcPr>
            <w:tcW w:w="1320" w:type="dxa"/>
            <w:vAlign w:val="center"/>
            <w:hideMark/>
          </w:tcPr>
          <w:p w14:paraId="4CCD5EB3" w14:textId="3F263DFA"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22</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815</w:t>
            </w:r>
          </w:p>
        </w:tc>
        <w:tc>
          <w:tcPr>
            <w:tcW w:w="1060" w:type="dxa"/>
            <w:vAlign w:val="center"/>
            <w:hideMark/>
          </w:tcPr>
          <w:p w14:paraId="7DB6DF00" w14:textId="09E1DCA0"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3916</w:t>
            </w:r>
          </w:p>
        </w:tc>
      </w:tr>
      <w:tr w:rsidR="0009217E" w:rsidRPr="005C732F" w14:paraId="2AF21770" w14:textId="77777777" w:rsidTr="00EF4E00">
        <w:trPr>
          <w:trHeight w:val="290"/>
          <w:jc w:val="center"/>
        </w:trPr>
        <w:tc>
          <w:tcPr>
            <w:tcW w:w="960" w:type="dxa"/>
            <w:vAlign w:val="center"/>
            <w:hideMark/>
          </w:tcPr>
          <w:p w14:paraId="763F0577"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90</w:t>
            </w:r>
          </w:p>
        </w:tc>
        <w:tc>
          <w:tcPr>
            <w:tcW w:w="1220" w:type="dxa"/>
            <w:vAlign w:val="center"/>
            <w:hideMark/>
          </w:tcPr>
          <w:p w14:paraId="6AC18ADB"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1DF8F1AA" w14:textId="03010546"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9474</w:t>
            </w:r>
          </w:p>
        </w:tc>
        <w:tc>
          <w:tcPr>
            <w:tcW w:w="960" w:type="dxa"/>
            <w:vAlign w:val="center"/>
            <w:hideMark/>
          </w:tcPr>
          <w:p w14:paraId="725BD521" w14:textId="2AE06D4E"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96</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21</w:t>
            </w:r>
          </w:p>
        </w:tc>
        <w:tc>
          <w:tcPr>
            <w:tcW w:w="1320" w:type="dxa"/>
            <w:vAlign w:val="center"/>
            <w:hideMark/>
          </w:tcPr>
          <w:p w14:paraId="480C530A" w14:textId="43F8011F"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32</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729</w:t>
            </w:r>
          </w:p>
        </w:tc>
        <w:tc>
          <w:tcPr>
            <w:tcW w:w="1060" w:type="dxa"/>
            <w:vAlign w:val="center"/>
            <w:hideMark/>
          </w:tcPr>
          <w:p w14:paraId="1BDA90CF" w14:textId="0F4DF5F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10</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556</w:t>
            </w:r>
          </w:p>
        </w:tc>
      </w:tr>
      <w:tr w:rsidR="0009217E" w:rsidRPr="005C732F" w14:paraId="6254A8A6" w14:textId="77777777" w:rsidTr="00EF4E00">
        <w:trPr>
          <w:trHeight w:val="290"/>
          <w:jc w:val="center"/>
        </w:trPr>
        <w:tc>
          <w:tcPr>
            <w:tcW w:w="960" w:type="dxa"/>
            <w:vAlign w:val="center"/>
            <w:hideMark/>
          </w:tcPr>
          <w:p w14:paraId="2479ED0B"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120</w:t>
            </w:r>
          </w:p>
        </w:tc>
        <w:tc>
          <w:tcPr>
            <w:tcW w:w="1220" w:type="dxa"/>
            <w:vAlign w:val="center"/>
            <w:hideMark/>
          </w:tcPr>
          <w:p w14:paraId="7487922A"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0FFF46ED" w14:textId="3C9E62EB"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2648</w:t>
            </w:r>
          </w:p>
        </w:tc>
        <w:tc>
          <w:tcPr>
            <w:tcW w:w="960" w:type="dxa"/>
            <w:vAlign w:val="center"/>
            <w:hideMark/>
          </w:tcPr>
          <w:p w14:paraId="4F50BAB4" w14:textId="42AFE379"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98</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94</w:t>
            </w:r>
          </w:p>
        </w:tc>
        <w:tc>
          <w:tcPr>
            <w:tcW w:w="1320" w:type="dxa"/>
            <w:vAlign w:val="center"/>
            <w:hideMark/>
          </w:tcPr>
          <w:p w14:paraId="6717659A" w14:textId="413406AA"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45</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477</w:t>
            </w:r>
          </w:p>
        </w:tc>
        <w:tc>
          <w:tcPr>
            <w:tcW w:w="1060" w:type="dxa"/>
            <w:vAlign w:val="center"/>
            <w:hideMark/>
          </w:tcPr>
          <w:p w14:paraId="07A1B976" w14:textId="3B16D2E8"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37</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764</w:t>
            </w:r>
          </w:p>
        </w:tc>
      </w:tr>
      <w:tr w:rsidR="0009217E" w:rsidRPr="005C732F" w14:paraId="04B9C8DE" w14:textId="77777777" w:rsidTr="00EF4E00">
        <w:trPr>
          <w:trHeight w:val="290"/>
          <w:jc w:val="center"/>
        </w:trPr>
        <w:tc>
          <w:tcPr>
            <w:tcW w:w="960" w:type="dxa"/>
            <w:vAlign w:val="center"/>
            <w:hideMark/>
          </w:tcPr>
          <w:p w14:paraId="64D6DEC4"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150</w:t>
            </w:r>
          </w:p>
        </w:tc>
        <w:tc>
          <w:tcPr>
            <w:tcW w:w="1220" w:type="dxa"/>
            <w:vAlign w:val="center"/>
            <w:hideMark/>
          </w:tcPr>
          <w:p w14:paraId="222CE5B7"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2F754F29" w14:textId="444FD692"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0991</w:t>
            </w:r>
          </w:p>
        </w:tc>
        <w:tc>
          <w:tcPr>
            <w:tcW w:w="960" w:type="dxa"/>
            <w:vAlign w:val="center"/>
            <w:hideMark/>
          </w:tcPr>
          <w:p w14:paraId="426A9BC8" w14:textId="2036E69D"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99</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60</w:t>
            </w:r>
          </w:p>
        </w:tc>
        <w:tc>
          <w:tcPr>
            <w:tcW w:w="1320" w:type="dxa"/>
            <w:vAlign w:val="center"/>
            <w:hideMark/>
          </w:tcPr>
          <w:p w14:paraId="0EE710DD" w14:textId="3EB3C4B8"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55</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305</w:t>
            </w:r>
          </w:p>
        </w:tc>
        <w:tc>
          <w:tcPr>
            <w:tcW w:w="1060" w:type="dxa"/>
            <w:vAlign w:val="center"/>
            <w:hideMark/>
          </w:tcPr>
          <w:p w14:paraId="517EB385" w14:textId="7AA9A934"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100</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898</w:t>
            </w:r>
          </w:p>
        </w:tc>
      </w:tr>
      <w:tr w:rsidR="0009217E" w:rsidRPr="005C732F" w14:paraId="6EF6C625" w14:textId="77777777" w:rsidTr="00EF4E00">
        <w:trPr>
          <w:trHeight w:val="290"/>
          <w:jc w:val="center"/>
        </w:trPr>
        <w:tc>
          <w:tcPr>
            <w:tcW w:w="960" w:type="dxa"/>
            <w:vAlign w:val="center"/>
            <w:hideMark/>
          </w:tcPr>
          <w:p w14:paraId="665B8E10"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180</w:t>
            </w:r>
          </w:p>
        </w:tc>
        <w:tc>
          <w:tcPr>
            <w:tcW w:w="1220" w:type="dxa"/>
            <w:vAlign w:val="center"/>
            <w:hideMark/>
          </w:tcPr>
          <w:p w14:paraId="6165FC76"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2093365A" w14:textId="5DA4AF6F"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0274</w:t>
            </w:r>
          </w:p>
        </w:tc>
        <w:tc>
          <w:tcPr>
            <w:tcW w:w="960" w:type="dxa"/>
            <w:vAlign w:val="center"/>
            <w:hideMark/>
          </w:tcPr>
          <w:p w14:paraId="4A98DB5C" w14:textId="485A7265"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99</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89</w:t>
            </w:r>
          </w:p>
        </w:tc>
        <w:tc>
          <w:tcPr>
            <w:tcW w:w="1320" w:type="dxa"/>
            <w:vAlign w:val="center"/>
            <w:hideMark/>
          </w:tcPr>
          <w:p w14:paraId="652428E5" w14:textId="247B507E"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68</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161</w:t>
            </w:r>
          </w:p>
        </w:tc>
        <w:tc>
          <w:tcPr>
            <w:tcW w:w="1060" w:type="dxa"/>
            <w:vAlign w:val="center"/>
            <w:hideMark/>
          </w:tcPr>
          <w:p w14:paraId="3741B62E" w14:textId="2F6A5E1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364</w:t>
            </w:r>
            <w:r w:rsidR="00643869">
              <w:rPr>
                <w:rFonts w:ascii="Times New Roman" w:eastAsia="Times New Roman" w:hAnsi="Times New Roman" w:cs="Times New Roman"/>
                <w:color w:val="000000"/>
                <w:sz w:val="24"/>
                <w:szCs w:val="24"/>
              </w:rPr>
              <w:t>.</w:t>
            </w:r>
            <w:r w:rsidRPr="005C732F">
              <w:rPr>
                <w:rFonts w:ascii="Times New Roman" w:eastAsia="Times New Roman" w:hAnsi="Times New Roman" w:cs="Times New Roman"/>
                <w:color w:val="000000"/>
                <w:sz w:val="24"/>
                <w:szCs w:val="24"/>
              </w:rPr>
              <w:t>963</w:t>
            </w:r>
          </w:p>
        </w:tc>
      </w:tr>
    </w:tbl>
    <w:p w14:paraId="26256F1F" w14:textId="17F37F7F" w:rsidR="005C732F" w:rsidRPr="0009217E" w:rsidRDefault="005C732F" w:rsidP="0009217E">
      <w:pPr>
        <w:pStyle w:val="ListParagraph"/>
        <w:spacing w:after="0" w:line="276" w:lineRule="auto"/>
        <w:jc w:val="both"/>
        <w:rPr>
          <w:rFonts w:ascii="Times New Roman" w:hAnsi="Times New Roman" w:cs="Times New Roman"/>
          <w:sz w:val="24"/>
          <w:szCs w:val="24"/>
        </w:rPr>
      </w:pPr>
    </w:p>
    <w:p w14:paraId="6F5A6835" w14:textId="6CFFF9D7" w:rsidR="00EF4E00" w:rsidRDefault="00107CB5"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lastRenderedPageBreak/>
        <w:t>From the results of the first-order kinetic model testing</w:t>
      </w:r>
      <w:r w:rsidRPr="00643869">
        <w:rPr>
          <w:rFonts w:ascii="Times New Roman" w:hAnsi="Times New Roman" w:cs="Times New Roman"/>
          <w:sz w:val="24"/>
          <w:szCs w:val="24"/>
          <w:vertAlign w:val="superscript"/>
        </w:rPr>
        <w:t>,</w:t>
      </w:r>
      <w:r w:rsidRPr="00EF4E00">
        <w:rPr>
          <w:rFonts w:ascii="Times New Roman" w:hAnsi="Times New Roman" w:cs="Times New Roman"/>
          <w:sz w:val="24"/>
          <w:szCs w:val="24"/>
        </w:rPr>
        <w:t xml:space="preserve">a k value of 0.0378 </w:t>
      </w:r>
      <w:r w:rsidRPr="00643869">
        <w:rPr>
          <w:rFonts w:ascii="Times New Roman" w:hAnsi="Times New Roman" w:cs="Times New Roman"/>
          <w:sz w:val="24"/>
          <w:szCs w:val="24"/>
          <w:vertAlign w:val="superscript"/>
        </w:rPr>
        <w:t>min⁻¹</w:t>
      </w:r>
      <w:r w:rsidRPr="00EF4E00">
        <w:rPr>
          <w:rFonts w:ascii="Times New Roman" w:hAnsi="Times New Roman" w:cs="Times New Roman"/>
          <w:sz w:val="24"/>
          <w:szCs w:val="24"/>
        </w:rPr>
        <w:t xml:space="preserve">was obtained with an </w:t>
      </w:r>
      <w:r w:rsidRPr="00EF4E00">
        <w:rPr>
          <w:rFonts w:ascii="Times New Roman" w:hAnsi="Times New Roman" w:cs="Times New Roman"/>
          <w:sz w:val="24"/>
          <w:szCs w:val="24"/>
          <w:vertAlign w:val="superscript"/>
        </w:rPr>
        <w:t>R²</w:t>
      </w:r>
      <w:r w:rsidRPr="00EF4E00">
        <w:rPr>
          <w:rFonts w:ascii="Times New Roman" w:hAnsi="Times New Roman" w:cs="Times New Roman"/>
          <w:sz w:val="24"/>
          <w:szCs w:val="24"/>
        </w:rPr>
        <w:t xml:space="preserve">value of 0.998. The very high R² value (close to 1) indicates that the first-order model </w:t>
      </w:r>
      <w:r w:rsidRPr="00EF4E00">
        <w:rPr>
          <w:rStyle w:val="Strong"/>
          <w:rFonts w:ascii="Times New Roman" w:hAnsi="Times New Roman" w:cs="Times New Roman"/>
          <w:b w:val="0"/>
          <w:bCs w:val="0"/>
          <w:sz w:val="24"/>
          <w:szCs w:val="24"/>
        </w:rPr>
        <w:t xml:space="preserve">very well </w:t>
      </w:r>
      <w:r w:rsidRPr="00EF4E00">
        <w:rPr>
          <w:rFonts w:ascii="Times New Roman" w:hAnsi="Times New Roman" w:cs="Times New Roman"/>
          <w:sz w:val="24"/>
          <w:szCs w:val="24"/>
        </w:rPr>
        <w:t xml:space="preserve">describes the decrease in RhB concentration in this system. Physically, this indicates that the rate of RhB degradation/decrease is proportional to the remaining RhB concentration in the liquid phase. </w:t>
      </w:r>
    </w:p>
    <w:p w14:paraId="2C00035F" w14:textId="4DE037E7" w:rsidR="00EF4E00" w:rsidRDefault="00107CB5" w:rsidP="00EF4E00">
      <w:pPr>
        <w:spacing w:after="0" w:line="276" w:lineRule="auto"/>
        <w:ind w:firstLine="720"/>
        <w:jc w:val="both"/>
        <w:rPr>
          <w:rFonts w:ascii="Times New Roman" w:hAnsi="Times New Roman" w:cs="Times New Roman"/>
          <w:sz w:val="24"/>
          <w:szCs w:val="24"/>
        </w:rPr>
      </w:pPr>
      <w:r w:rsidRPr="0009217E">
        <w:rPr>
          <w:rFonts w:ascii="Times New Roman" w:hAnsi="Times New Roman" w:cs="Times New Roman"/>
          <w:sz w:val="24"/>
          <w:szCs w:val="24"/>
        </w:rPr>
        <w:t>In testing using a pseudo-second-order kinetic model, a value of k 0.271 ppm</w:t>
      </w:r>
      <w:r w:rsidRPr="00461302">
        <w:rPr>
          <w:rFonts w:ascii="Times New Roman" w:hAnsi="Times New Roman" w:cs="Times New Roman"/>
          <w:sz w:val="24"/>
          <w:szCs w:val="24"/>
          <w:vertAlign w:val="superscript"/>
        </w:rPr>
        <w:t>-1</w:t>
      </w:r>
      <w:r w:rsidRPr="0009217E">
        <w:rPr>
          <w:rFonts w:ascii="Times New Roman" w:hAnsi="Times New Roman" w:cs="Times New Roman"/>
          <w:sz w:val="24"/>
          <w:szCs w:val="24"/>
        </w:rPr>
        <w:t xml:space="preserve">  min</w:t>
      </w:r>
      <w:r w:rsidRPr="00461302">
        <w:rPr>
          <w:rFonts w:ascii="Times New Roman" w:hAnsi="Times New Roman" w:cs="Times New Roman"/>
          <w:sz w:val="24"/>
          <w:szCs w:val="24"/>
          <w:vertAlign w:val="superscript"/>
        </w:rPr>
        <w:t>-1</w:t>
      </w:r>
      <w:r w:rsidRPr="0009217E">
        <w:rPr>
          <w:rFonts w:ascii="Times New Roman" w:hAnsi="Times New Roman" w:cs="Times New Roman"/>
          <w:sz w:val="24"/>
          <w:szCs w:val="24"/>
        </w:rPr>
        <w:t xml:space="preserve">  with an R</w:t>
      </w:r>
      <w:r w:rsidRPr="00EF4E00">
        <w:rPr>
          <w:rFonts w:ascii="Times New Roman" w:hAnsi="Times New Roman" w:cs="Times New Roman"/>
          <w:sz w:val="24"/>
          <w:szCs w:val="24"/>
          <w:vertAlign w:val="superscript"/>
        </w:rPr>
        <w:t>2</w:t>
      </w:r>
      <w:r w:rsidRPr="0009217E">
        <w:rPr>
          <w:rFonts w:ascii="Times New Roman" w:hAnsi="Times New Roman" w:cs="Times New Roman"/>
          <w:sz w:val="24"/>
          <w:szCs w:val="24"/>
        </w:rPr>
        <w:t xml:space="preserve">value of 0.72 was obtained. The R² value, which is much lower than that of the pseudo-first-order model, indicates that the pseudo-second-order model </w:t>
      </w:r>
      <w:r w:rsidRPr="0009217E">
        <w:rPr>
          <w:rStyle w:val="Strong"/>
          <w:rFonts w:ascii="Times New Roman" w:hAnsi="Times New Roman" w:cs="Times New Roman"/>
          <w:b w:val="0"/>
          <w:bCs w:val="0"/>
          <w:sz w:val="24"/>
          <w:szCs w:val="24"/>
        </w:rPr>
        <w:t xml:space="preserve">is less suitable </w:t>
      </w:r>
      <w:r w:rsidRPr="0009217E">
        <w:rPr>
          <w:rFonts w:ascii="Times New Roman" w:hAnsi="Times New Roman" w:cs="Times New Roman"/>
          <w:sz w:val="24"/>
          <w:szCs w:val="24"/>
        </w:rPr>
        <w:t>for describing the behavior of RhB concentration reduction in this RhB–CuO–clay system.</w:t>
      </w:r>
    </w:p>
    <w:p w14:paraId="2BD7BEBA" w14:textId="77777777" w:rsidR="00EF4E00" w:rsidRDefault="00107CB5"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The excellent fit to the first-order pseudo-model indicates that the rate of RhB concentration decrease depends directly on the RhB concentration in solution, consistent with a degradation/decrease system controlled by a surface process with a single dominant rate step. In the context of CuO–clay composites, clay provides a large surface area and adsorbate sites to concentrate RhB molecules near the surface, while the presence of CuO is thought to modify surface properties and enhance specific interactions with RhB, thereby accelerating the concentration decrease process.</w:t>
      </w:r>
    </w:p>
    <w:p w14:paraId="758464CD" w14:textId="3804E688" w:rsidR="00EF4E00" w:rsidRDefault="00107CB5" w:rsidP="00EF4E00">
      <w:pPr>
        <w:spacing w:after="0" w:line="276" w:lineRule="auto"/>
        <w:ind w:firstLine="720"/>
        <w:jc w:val="both"/>
        <w:rPr>
          <w:rFonts w:ascii="Times New Roman" w:hAnsi="Times New Roman" w:cs="Times New Roman"/>
          <w:sz w:val="24"/>
          <w:szCs w:val="24"/>
        </w:rPr>
      </w:pPr>
      <w:r w:rsidRPr="0009217E">
        <w:rPr>
          <w:rFonts w:ascii="Times New Roman" w:hAnsi="Times New Roman" w:cs="Times New Roman"/>
          <w:sz w:val="24"/>
          <w:szCs w:val="24"/>
        </w:rPr>
        <w:t xml:space="preserve">The very high reduction efficiency (&gt; 99% in 150–180 minutes) at C₀ = 25 ppm indicates that the CuO–clay composite has the potential to be applied as a functional material for treating liquid waste containing RhB in a simple </w:t>
      </w:r>
      <w:r w:rsidRPr="0009217E">
        <w:rPr>
          <w:rStyle w:val="Emphasis"/>
          <w:rFonts w:ascii="Times New Roman" w:hAnsi="Times New Roman" w:cs="Times New Roman"/>
          <w:sz w:val="24"/>
          <w:szCs w:val="24"/>
        </w:rPr>
        <w:t xml:space="preserve">batch </w:t>
      </w:r>
      <w:r w:rsidRPr="0009217E">
        <w:rPr>
          <w:rFonts w:ascii="Times New Roman" w:hAnsi="Times New Roman" w:cs="Times New Roman"/>
          <w:sz w:val="24"/>
          <w:szCs w:val="24"/>
        </w:rPr>
        <w:t>system</w:t>
      </w:r>
      <w:r w:rsidR="00002B2B">
        <w:rPr>
          <w:rFonts w:ascii="Times New Roman" w:hAnsi="Times New Roman" w:cs="Times New Roman"/>
          <w:sz w:val="24"/>
          <w:szCs w:val="24"/>
        </w:rPr>
        <w:t>.</w:t>
      </w:r>
    </w:p>
    <w:p w14:paraId="6BB42D16" w14:textId="77777777" w:rsidR="00EF4E00" w:rsidRDefault="00EF4E00" w:rsidP="00EF4E00">
      <w:pPr>
        <w:spacing w:after="0" w:line="276" w:lineRule="auto"/>
        <w:ind w:firstLine="720"/>
        <w:jc w:val="both"/>
        <w:rPr>
          <w:rFonts w:ascii="Times New Roman" w:hAnsi="Times New Roman" w:cs="Times New Roman"/>
          <w:sz w:val="24"/>
          <w:szCs w:val="24"/>
        </w:rPr>
      </w:pPr>
    </w:p>
    <w:p w14:paraId="01EA3882" w14:textId="11867938" w:rsidR="00EF4E00" w:rsidRPr="006A70A6" w:rsidRDefault="00EF4E00" w:rsidP="00EF4E00">
      <w:pPr>
        <w:pStyle w:val="ListParagraph"/>
        <w:numPr>
          <w:ilvl w:val="0"/>
          <w:numId w:val="1"/>
        </w:numPr>
        <w:spacing w:after="0" w:line="276" w:lineRule="auto"/>
        <w:ind w:left="360"/>
        <w:jc w:val="both"/>
        <w:rPr>
          <w:rFonts w:ascii="Times New Roman" w:hAnsi="Times New Roman" w:cs="Times New Roman"/>
          <w:b/>
          <w:bCs/>
          <w:sz w:val="24"/>
          <w:szCs w:val="24"/>
        </w:rPr>
      </w:pPr>
      <w:r w:rsidRPr="006A70A6">
        <w:rPr>
          <w:rFonts w:ascii="Times New Roman" w:hAnsi="Times New Roman" w:cs="Times New Roman"/>
          <w:b/>
          <w:bCs/>
          <w:sz w:val="24"/>
          <w:szCs w:val="24"/>
        </w:rPr>
        <w:t>Conclusion</w:t>
      </w:r>
    </w:p>
    <w:p w14:paraId="16EE277A" w14:textId="41071F82" w:rsidR="00EE5F25" w:rsidRDefault="00EF4E00" w:rsidP="00EE5F25">
      <w:pPr>
        <w:spacing w:after="0" w:line="276" w:lineRule="auto"/>
        <w:ind w:firstLine="720"/>
        <w:jc w:val="both"/>
        <w:rPr>
          <w:rFonts w:ascii="Times New Roman" w:hAnsi="Times New Roman" w:cs="Times New Roman"/>
          <w:sz w:val="24"/>
          <w:szCs w:val="24"/>
        </w:rPr>
      </w:pPr>
      <w:r w:rsidRPr="00EE5F25">
        <w:rPr>
          <w:rFonts w:ascii="Times New Roman" w:hAnsi="Times New Roman" w:cs="Times New Roman"/>
          <w:sz w:val="24"/>
          <w:szCs w:val="24"/>
        </w:rPr>
        <w:t xml:space="preserve">Based on the results of the study, it can be concluded that the CuO–clay composite is effective in reducing the concentration of RhB dye in a </w:t>
      </w:r>
      <w:r w:rsidRPr="00EE5F25">
        <w:rPr>
          <w:rStyle w:val="Emphasis"/>
          <w:rFonts w:ascii="Times New Roman" w:hAnsi="Times New Roman" w:cs="Times New Roman"/>
          <w:sz w:val="24"/>
          <w:szCs w:val="24"/>
        </w:rPr>
        <w:t xml:space="preserve">batch </w:t>
      </w:r>
      <w:r w:rsidRPr="00EE5F25">
        <w:rPr>
          <w:rFonts w:ascii="Times New Roman" w:hAnsi="Times New Roman" w:cs="Times New Roman"/>
          <w:sz w:val="24"/>
          <w:szCs w:val="24"/>
        </w:rPr>
        <w:t xml:space="preserve">system </w:t>
      </w:r>
      <w:r w:rsidR="008124C3">
        <w:rPr>
          <w:rFonts w:ascii="Times New Roman" w:hAnsi="Times New Roman" w:cs="Times New Roman"/>
          <w:sz w:val="24"/>
          <w:szCs w:val="24"/>
        </w:rPr>
        <w:t>with UV irradiation</w:t>
      </w:r>
      <w:r w:rsidRPr="00EE5F25">
        <w:rPr>
          <w:rFonts w:ascii="Times New Roman" w:hAnsi="Times New Roman" w:cs="Times New Roman"/>
          <w:sz w:val="24"/>
          <w:szCs w:val="24"/>
        </w:rPr>
        <w:t xml:space="preserve">. At an initial RhB concentration of 25 ppm, this composite was able to reduce the concentration to &gt;99% within an </w:t>
      </w:r>
      <w:r w:rsidR="008124C3">
        <w:rPr>
          <w:rFonts w:ascii="Times New Roman" w:hAnsi="Times New Roman" w:cs="Times New Roman"/>
          <w:sz w:val="24"/>
          <w:szCs w:val="24"/>
        </w:rPr>
        <w:t xml:space="preserve">optimum </w:t>
      </w:r>
      <w:r w:rsidRPr="00EE5F25">
        <w:rPr>
          <w:rFonts w:ascii="Times New Roman" w:hAnsi="Times New Roman" w:cs="Times New Roman"/>
          <w:sz w:val="24"/>
          <w:szCs w:val="24"/>
        </w:rPr>
        <w:t>contact time of 180 minutes, with a final concentration of 0.0274 ppm. Kinetic analysis shows that the RhB reduction process follows a pseudo-first-order model with a rate constant k</w:t>
      </w:r>
      <w:r w:rsidRPr="00EE5F25">
        <w:rPr>
          <w:rStyle w:val="katex-mathml"/>
          <w:rFonts w:ascii="Times New Roman" w:hAnsi="Times New Roman" w:cs="Times New Roman"/>
          <w:sz w:val="24"/>
          <w:szCs w:val="24"/>
        </w:rPr>
        <w:t>(</w:t>
      </w:r>
      <w:r w:rsidRPr="00EE5F25">
        <w:rPr>
          <w:rStyle w:val="katex-mathml"/>
          <w:rFonts w:ascii="Times New Roman" w:hAnsi="Times New Roman" w:cs="Times New Roman"/>
          <w:sz w:val="24"/>
          <w:szCs w:val="24"/>
          <w:vertAlign w:val="subscript"/>
        </w:rPr>
        <w:t>1)</w:t>
      </w:r>
      <w:r w:rsidRPr="00EE5F25">
        <w:rPr>
          <w:rStyle w:val="katex-mathml"/>
          <w:rFonts w:ascii="Times New Roman" w:hAnsi="Times New Roman" w:cs="Times New Roman"/>
          <w:sz w:val="24"/>
          <w:szCs w:val="24"/>
        </w:rPr>
        <w:t>= 0.0378 min(</w:t>
      </w:r>
      <w:r w:rsidRPr="00EE5F25">
        <w:rPr>
          <w:rStyle w:val="katex-mathml"/>
          <w:rFonts w:ascii="Times New Roman" w:hAnsi="Times New Roman" w:cs="Times New Roman"/>
          <w:sz w:val="24"/>
          <w:szCs w:val="24"/>
          <w:vertAlign w:val="superscript"/>
        </w:rPr>
        <w:t>−1)</w:t>
      </w:r>
      <w:r w:rsidRPr="00EE5F25">
        <w:rPr>
          <w:rFonts w:ascii="Times New Roman" w:hAnsi="Times New Roman" w:cs="Times New Roman"/>
          <w:sz w:val="24"/>
          <w:szCs w:val="24"/>
        </w:rPr>
        <w:t>and a coefficient of determination R</w:t>
      </w:r>
      <w:r w:rsidRPr="00EE5F25">
        <w:rPr>
          <w:rStyle w:val="katex-mathml"/>
          <w:rFonts w:ascii="Times New Roman" w:hAnsi="Times New Roman" w:cs="Times New Roman"/>
          <w:sz w:val="24"/>
          <w:szCs w:val="24"/>
        </w:rPr>
        <w:t>(</w:t>
      </w:r>
      <w:r w:rsidRPr="00EE5F25">
        <w:rPr>
          <w:rStyle w:val="katex-mathml"/>
          <w:rFonts w:ascii="Times New Roman" w:hAnsi="Times New Roman" w:cs="Times New Roman"/>
          <w:sz w:val="24"/>
          <w:szCs w:val="24"/>
          <w:vertAlign w:val="superscript"/>
        </w:rPr>
        <w:t>2)</w:t>
      </w:r>
      <w:r w:rsidRPr="00EE5F25">
        <w:rPr>
          <w:rStyle w:val="katex-mathml"/>
          <w:rFonts w:ascii="Times New Roman" w:hAnsi="Times New Roman" w:cs="Times New Roman"/>
          <w:sz w:val="24"/>
          <w:szCs w:val="24"/>
        </w:rPr>
        <w:t xml:space="preserve">= 0.998, </w:t>
      </w:r>
      <w:r w:rsidRPr="00EE5F25">
        <w:rPr>
          <w:rFonts w:ascii="Times New Roman" w:hAnsi="Times New Roman" w:cs="Times New Roman"/>
          <w:sz w:val="24"/>
          <w:szCs w:val="24"/>
        </w:rPr>
        <w:t xml:space="preserve">indicating excellent model suitability. These findings indicate that CuO–clay composites have the potential to be developed as functional materials for the simple and effective treatment of RhB-containing wastewater </w:t>
      </w:r>
      <w:proofErr w:type="gramStart"/>
      <w:r w:rsidRPr="00EE5F25">
        <w:rPr>
          <w:rFonts w:ascii="Times New Roman" w:hAnsi="Times New Roman" w:cs="Times New Roman"/>
          <w:sz w:val="24"/>
          <w:szCs w:val="24"/>
        </w:rPr>
        <w:t>( )</w:t>
      </w:r>
      <w:proofErr w:type="gramEnd"/>
      <w:r w:rsidRPr="00EE5F25">
        <w:rPr>
          <w:rFonts w:ascii="Times New Roman" w:hAnsi="Times New Roman" w:cs="Times New Roman"/>
          <w:sz w:val="24"/>
          <w:szCs w:val="24"/>
        </w:rPr>
        <w:t>, with the possibility of further application on a larger scale.</w:t>
      </w:r>
    </w:p>
    <w:p w14:paraId="0E73435A" w14:textId="77777777" w:rsidR="00250A60" w:rsidRDefault="00250A60" w:rsidP="00EE5F25">
      <w:pPr>
        <w:spacing w:after="0" w:line="276" w:lineRule="auto"/>
        <w:ind w:firstLine="720"/>
        <w:jc w:val="both"/>
        <w:rPr>
          <w:rFonts w:ascii="Times New Roman" w:hAnsi="Times New Roman" w:cs="Times New Roman"/>
          <w:sz w:val="24"/>
          <w:szCs w:val="24"/>
        </w:rPr>
      </w:pPr>
    </w:p>
    <w:p w14:paraId="0C4E9B5C" w14:textId="77777777" w:rsidR="00250A60" w:rsidRDefault="00250A60" w:rsidP="00250A60">
      <w:r>
        <w:t>Disclaimer (Artificial intelligence)</w:t>
      </w:r>
    </w:p>
    <w:p w14:paraId="3EAAD8DC" w14:textId="77777777" w:rsidR="00250A60" w:rsidRDefault="00250A60" w:rsidP="00250A60">
      <w:r>
        <w:t xml:space="preserve">Option 1: </w:t>
      </w:r>
    </w:p>
    <w:p w14:paraId="3B4E51DB" w14:textId="77777777" w:rsidR="00250A60" w:rsidRDefault="00250A60" w:rsidP="00250A60">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46A7018B" w14:textId="77777777" w:rsidR="00250A60" w:rsidRDefault="00250A60" w:rsidP="00250A60">
      <w:r>
        <w:t xml:space="preserve">Option 2: </w:t>
      </w:r>
    </w:p>
    <w:p w14:paraId="0FF31A2D" w14:textId="77777777" w:rsidR="00250A60" w:rsidRDefault="00250A60" w:rsidP="00250A60">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14:paraId="7C3FDA4E" w14:textId="77777777" w:rsidR="00250A60" w:rsidRDefault="00250A60" w:rsidP="00250A60">
      <w:r>
        <w:t>Details of the AI usage are given below:</w:t>
      </w:r>
    </w:p>
    <w:p w14:paraId="38A6D7C0" w14:textId="77777777" w:rsidR="00250A60" w:rsidRDefault="00250A60" w:rsidP="00250A60">
      <w:r>
        <w:t>1.</w:t>
      </w:r>
    </w:p>
    <w:p w14:paraId="73AFAC80" w14:textId="77777777" w:rsidR="00250A60" w:rsidRDefault="00250A60" w:rsidP="00250A60">
      <w:r>
        <w:t>2.</w:t>
      </w:r>
    </w:p>
    <w:p w14:paraId="35799CD7" w14:textId="77777777" w:rsidR="00250A60" w:rsidRPr="0053103C" w:rsidRDefault="00250A60" w:rsidP="00250A60">
      <w:r>
        <w:t>3.</w:t>
      </w:r>
    </w:p>
    <w:p w14:paraId="45348E94" w14:textId="77777777" w:rsidR="00250A60" w:rsidRDefault="00250A60" w:rsidP="00EE5F25">
      <w:pPr>
        <w:spacing w:after="0" w:line="276" w:lineRule="auto"/>
        <w:ind w:firstLine="720"/>
        <w:jc w:val="both"/>
        <w:rPr>
          <w:rFonts w:ascii="Times New Roman" w:hAnsi="Times New Roman" w:cs="Times New Roman"/>
          <w:sz w:val="24"/>
          <w:szCs w:val="24"/>
        </w:rPr>
      </w:pPr>
    </w:p>
    <w:p w14:paraId="7F72A3DE" w14:textId="77777777" w:rsidR="00EE5F25" w:rsidRDefault="00EE5F25" w:rsidP="00EE5F25">
      <w:pPr>
        <w:spacing w:after="0" w:line="276" w:lineRule="auto"/>
        <w:ind w:firstLine="720"/>
        <w:jc w:val="both"/>
        <w:rPr>
          <w:rFonts w:ascii="Times New Roman" w:hAnsi="Times New Roman" w:cs="Times New Roman"/>
          <w:sz w:val="24"/>
          <w:szCs w:val="24"/>
        </w:rPr>
      </w:pPr>
    </w:p>
    <w:p w14:paraId="3381E51C" w14:textId="77777777" w:rsidR="00EE5F25" w:rsidRPr="006A70A6" w:rsidRDefault="00EE5F25" w:rsidP="00EE5F25">
      <w:pPr>
        <w:pStyle w:val="ListParagraph"/>
        <w:numPr>
          <w:ilvl w:val="0"/>
          <w:numId w:val="1"/>
        </w:numPr>
        <w:spacing w:after="0" w:line="276" w:lineRule="auto"/>
        <w:ind w:left="360"/>
        <w:jc w:val="both"/>
        <w:rPr>
          <w:rFonts w:ascii="Times New Roman" w:hAnsi="Times New Roman" w:cs="Times New Roman"/>
          <w:b/>
          <w:bCs/>
          <w:sz w:val="24"/>
          <w:szCs w:val="24"/>
        </w:rPr>
      </w:pPr>
      <w:r w:rsidRPr="006A70A6">
        <w:rPr>
          <w:rFonts w:ascii="Times New Roman" w:hAnsi="Times New Roman" w:cs="Times New Roman"/>
          <w:b/>
          <w:bCs/>
          <w:sz w:val="24"/>
          <w:szCs w:val="24"/>
        </w:rPr>
        <w:t>References</w:t>
      </w:r>
    </w:p>
    <w:p w14:paraId="69119740"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fldChar w:fldCharType="begin"/>
      </w:r>
      <w:r w:rsidRPr="00575649">
        <w:rPr>
          <w:rFonts w:ascii="Arial" w:hAnsi="Arial" w:cs="Arial"/>
          <w:sz w:val="24"/>
          <w:szCs w:val="24"/>
          <w:lang w:val="nl-BE"/>
        </w:rPr>
        <w:instrText xml:space="preserve"> ADDIN ZOTERO_BIBL {"uncited":[],"omitted":[],"custom":[]} CSL_BIBLIOGRAPHY </w:instrText>
      </w:r>
      <w:r w:rsidRPr="006A70A6">
        <w:rPr>
          <w:rFonts w:ascii="Arial" w:hAnsi="Arial" w:cs="Arial"/>
          <w:sz w:val="24"/>
          <w:szCs w:val="24"/>
        </w:rPr>
        <w:fldChar w:fldCharType="separate"/>
      </w:r>
      <w:r w:rsidRPr="00575649">
        <w:rPr>
          <w:rFonts w:ascii="Arial" w:hAnsi="Arial" w:cs="Arial"/>
          <w:sz w:val="24"/>
          <w:szCs w:val="24"/>
          <w:lang w:val="nl-BE"/>
        </w:rPr>
        <w:t xml:space="preserve">Akarken, G., Cengiz, U., &amp; Bektaş, T. E. (2024). </w:t>
      </w:r>
      <w:r w:rsidRPr="006A70A6">
        <w:rPr>
          <w:rFonts w:ascii="Arial" w:hAnsi="Arial" w:cs="Arial"/>
          <w:sz w:val="24"/>
          <w:szCs w:val="24"/>
        </w:rPr>
        <w:t xml:space="preserve">Hydrothermal Synthesis of </w:t>
      </w:r>
      <w:proofErr w:type="spellStart"/>
      <w:r w:rsidRPr="006A70A6">
        <w:rPr>
          <w:rFonts w:ascii="Arial" w:hAnsi="Arial" w:cs="Arial"/>
          <w:sz w:val="24"/>
          <w:szCs w:val="24"/>
        </w:rPr>
        <w:t>CuO</w:t>
      </w:r>
      <w:proofErr w:type="spellEnd"/>
      <w:r w:rsidRPr="006A70A6">
        <w:rPr>
          <w:rFonts w:ascii="Arial" w:hAnsi="Arial" w:cs="Arial"/>
          <w:sz w:val="24"/>
          <w:szCs w:val="24"/>
        </w:rPr>
        <w:t xml:space="preserve"> Nanoparticles: Tailoring Morphology and Particle Size Variations for Enhanced Properties. </w:t>
      </w:r>
      <w:r w:rsidRPr="006A70A6">
        <w:rPr>
          <w:rFonts w:ascii="Arial" w:hAnsi="Arial" w:cs="Arial"/>
          <w:i/>
          <w:iCs/>
          <w:sz w:val="24"/>
          <w:szCs w:val="24"/>
        </w:rPr>
        <w:t>Journal of Advanced Research in Natural and Applied Sciences</w:t>
      </w:r>
      <w:r w:rsidRPr="006A70A6">
        <w:rPr>
          <w:rFonts w:ascii="Arial" w:hAnsi="Arial" w:cs="Arial"/>
          <w:sz w:val="24"/>
          <w:szCs w:val="24"/>
        </w:rPr>
        <w:t xml:space="preserve">, </w:t>
      </w:r>
      <w:r w:rsidRPr="006A70A6">
        <w:rPr>
          <w:rFonts w:ascii="Arial" w:hAnsi="Arial" w:cs="Arial"/>
          <w:i/>
          <w:iCs/>
          <w:sz w:val="24"/>
          <w:szCs w:val="24"/>
        </w:rPr>
        <w:t>10</w:t>
      </w:r>
      <w:r w:rsidRPr="006A70A6">
        <w:rPr>
          <w:rFonts w:ascii="Arial" w:hAnsi="Arial" w:cs="Arial"/>
          <w:sz w:val="24"/>
          <w:szCs w:val="24"/>
        </w:rPr>
        <w:t xml:space="preserve"> (2), 329–336. https://doi.org/10.28979/jarnas.1405595</w:t>
      </w:r>
    </w:p>
    <w:p w14:paraId="62E45C32"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Asmare, Z. G., Aragaw, B. A., Atlabachew, M., Dubale, A. A., &amp; Mohammed, K. S. (2025). </w:t>
      </w:r>
      <w:r w:rsidRPr="006A70A6">
        <w:rPr>
          <w:rFonts w:ascii="Arial" w:hAnsi="Arial" w:cs="Arial"/>
          <w:i/>
          <w:iCs/>
          <w:sz w:val="24"/>
          <w:szCs w:val="24"/>
        </w:rPr>
        <w:t>Facile Preparation of a Kaolin-Supported CuO Catalyst and Investigation of Its Catalytic Performance for Methylene Blue Dye Degradation in Aqueous Solution</w:t>
      </w:r>
      <w:r w:rsidRPr="006A70A6">
        <w:rPr>
          <w:rFonts w:ascii="Arial" w:hAnsi="Arial" w:cs="Arial"/>
          <w:sz w:val="24"/>
          <w:szCs w:val="24"/>
        </w:rPr>
        <w:t>. https://doi.org/10.1021/acsomega.5c02923</w:t>
      </w:r>
    </w:p>
    <w:p w14:paraId="6DB1E438"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Beulah, S. S., &amp; Muthukumaran, K. (2020). Methodologies of Removal of Dyes from Wastewater: A Review. </w:t>
      </w:r>
      <w:r w:rsidRPr="006A70A6">
        <w:rPr>
          <w:rFonts w:ascii="Arial" w:hAnsi="Arial" w:cs="Arial"/>
          <w:i/>
          <w:iCs/>
          <w:sz w:val="24"/>
          <w:szCs w:val="24"/>
        </w:rPr>
        <w:t>International Research Journal of Pure and Applied Chemistry</w:t>
      </w:r>
      <w:r w:rsidRPr="006A70A6">
        <w:rPr>
          <w:rFonts w:ascii="Arial" w:hAnsi="Arial" w:cs="Arial"/>
          <w:sz w:val="24"/>
          <w:szCs w:val="24"/>
        </w:rPr>
        <w:t>, 68–78. https://doi.org/10.9734/IRJPAC/2020/V21I1130225</w:t>
      </w:r>
    </w:p>
    <w:p w14:paraId="5C8D346C"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Biswas, B., Labille, J., &amp; Prelot, B. (2020). Clays and modified clays in remediating environmental pollutants. </w:t>
      </w:r>
      <w:r w:rsidRPr="006A70A6">
        <w:rPr>
          <w:rFonts w:ascii="Arial" w:hAnsi="Arial" w:cs="Arial"/>
          <w:i/>
          <w:iCs/>
          <w:sz w:val="24"/>
          <w:szCs w:val="24"/>
        </w:rPr>
        <w:t>Environmental Science and Pollution Research</w:t>
      </w:r>
      <w:r w:rsidRPr="006A70A6">
        <w:rPr>
          <w:rFonts w:ascii="Arial" w:hAnsi="Arial" w:cs="Arial"/>
          <w:sz w:val="24"/>
          <w:szCs w:val="24"/>
        </w:rPr>
        <w:t xml:space="preserve">, </w:t>
      </w:r>
      <w:r w:rsidRPr="006A70A6">
        <w:rPr>
          <w:rFonts w:ascii="Arial" w:hAnsi="Arial" w:cs="Arial"/>
          <w:i/>
          <w:iCs/>
          <w:sz w:val="24"/>
          <w:szCs w:val="24"/>
        </w:rPr>
        <w:t>27</w:t>
      </w:r>
      <w:r w:rsidRPr="006A70A6">
        <w:rPr>
          <w:rFonts w:ascii="Arial" w:hAnsi="Arial" w:cs="Arial"/>
          <w:sz w:val="24"/>
          <w:szCs w:val="24"/>
        </w:rPr>
        <w:t xml:space="preserve"> (31), 38381–38383. https://doi.org/10.1007/S11356-020-09828-4</w:t>
      </w:r>
    </w:p>
    <w:p w14:paraId="30210BA5"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Cheng, Y. Y., &amp; Tsai, T. H. (2017). Pharmacokinetics and Biodistribution of the Illegal Food Colorant Rhodamine B in Rats. </w:t>
      </w:r>
      <w:r w:rsidRPr="006A70A6">
        <w:rPr>
          <w:rFonts w:ascii="Arial" w:hAnsi="Arial" w:cs="Arial"/>
          <w:i/>
          <w:iCs/>
          <w:sz w:val="24"/>
          <w:szCs w:val="24"/>
        </w:rPr>
        <w:t>Journal of Agricultural and Food Chemistry</w:t>
      </w:r>
      <w:r w:rsidRPr="006A70A6">
        <w:rPr>
          <w:rFonts w:ascii="Arial" w:hAnsi="Arial" w:cs="Arial"/>
          <w:sz w:val="24"/>
          <w:szCs w:val="24"/>
        </w:rPr>
        <w:t xml:space="preserve">, </w:t>
      </w:r>
      <w:r w:rsidRPr="006A70A6">
        <w:rPr>
          <w:rFonts w:ascii="Arial" w:hAnsi="Arial" w:cs="Arial"/>
          <w:i/>
          <w:iCs/>
          <w:sz w:val="24"/>
          <w:szCs w:val="24"/>
        </w:rPr>
        <w:t>65</w:t>
      </w:r>
      <w:r w:rsidRPr="006A70A6">
        <w:rPr>
          <w:rFonts w:ascii="Arial" w:hAnsi="Arial" w:cs="Arial"/>
          <w:sz w:val="24"/>
          <w:szCs w:val="24"/>
        </w:rPr>
        <w:t xml:space="preserve"> (5), 1078–1085. https://doi.org/10.1021/ACS.JAFC.6B04975</w:t>
      </w:r>
    </w:p>
    <w:p w14:paraId="7EC88ECE"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Dey, S., &amp; Mandal, B. (2025). A Comprehensive Review on Microbial Bioremediation of Industrial Dye. </w:t>
      </w:r>
      <w:r w:rsidRPr="006A70A6">
        <w:rPr>
          <w:rFonts w:ascii="Arial" w:hAnsi="Arial" w:cs="Arial"/>
          <w:i/>
          <w:iCs/>
          <w:sz w:val="24"/>
          <w:szCs w:val="24"/>
        </w:rPr>
        <w:t>Radinka Journal of Science and Systematic Literature Review</w:t>
      </w:r>
      <w:r w:rsidRPr="006A70A6">
        <w:rPr>
          <w:rFonts w:ascii="Arial" w:hAnsi="Arial" w:cs="Arial"/>
          <w:sz w:val="24"/>
          <w:szCs w:val="24"/>
        </w:rPr>
        <w:t xml:space="preserve">, </w:t>
      </w:r>
      <w:r w:rsidRPr="006A70A6">
        <w:rPr>
          <w:rFonts w:ascii="Arial" w:hAnsi="Arial" w:cs="Arial"/>
          <w:i/>
          <w:iCs/>
          <w:sz w:val="24"/>
          <w:szCs w:val="24"/>
        </w:rPr>
        <w:t>3</w:t>
      </w:r>
      <w:r w:rsidRPr="006A70A6">
        <w:rPr>
          <w:rFonts w:ascii="Arial" w:hAnsi="Arial" w:cs="Arial"/>
          <w:sz w:val="24"/>
          <w:szCs w:val="24"/>
        </w:rPr>
        <w:t xml:space="preserve"> (2), 702–714. https://doi.org/10.56778/rjslr.v3i2.518</w:t>
      </w:r>
    </w:p>
    <w:p w14:paraId="6F1B7B2E"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Ibarra-Rodríguez, L. I., Alfaro Cruz, M. R., Garay-Rodríguez, L. F., Hernández-Majalca, B. C., Domínguez-Arvizu, J. L., López-Ortíz, A., Torres</w:t>
      </w:r>
      <w:r w:rsidRPr="006A70A6">
        <w:rPr>
          <w:rFonts w:ascii="Cambria Math" w:hAnsi="Cambria Math" w:cs="Cambria Math"/>
          <w:sz w:val="24"/>
          <w:szCs w:val="24"/>
        </w:rPr>
        <w:t>‐</w:t>
      </w:r>
      <w:r w:rsidRPr="006A70A6">
        <w:rPr>
          <w:rFonts w:ascii="Arial" w:hAnsi="Arial" w:cs="Arial"/>
          <w:sz w:val="24"/>
          <w:szCs w:val="24"/>
        </w:rPr>
        <w:t xml:space="preserve"> Martínez, L. M., &amp; Collins-Martínez, V. (2023). Photocatalytic reduction of CO2 over Ni-CuxO thin films towards formic acid production. </w:t>
      </w:r>
      <w:r w:rsidRPr="006A70A6">
        <w:rPr>
          <w:rFonts w:ascii="Arial" w:hAnsi="Arial" w:cs="Arial"/>
          <w:i/>
          <w:iCs/>
          <w:sz w:val="24"/>
          <w:szCs w:val="24"/>
        </w:rPr>
        <w:t>Journal of Materials Research and Technology</w:t>
      </w:r>
      <w:r w:rsidRPr="006A70A6">
        <w:rPr>
          <w:rFonts w:ascii="Arial" w:hAnsi="Arial" w:cs="Arial"/>
          <w:sz w:val="24"/>
          <w:szCs w:val="24"/>
        </w:rPr>
        <w:t xml:space="preserve">, </w:t>
      </w:r>
      <w:r w:rsidRPr="006A70A6">
        <w:rPr>
          <w:rFonts w:ascii="Arial" w:hAnsi="Arial" w:cs="Arial"/>
          <w:i/>
          <w:iCs/>
          <w:sz w:val="24"/>
          <w:szCs w:val="24"/>
        </w:rPr>
        <w:t>26</w:t>
      </w:r>
      <w:r w:rsidRPr="006A70A6">
        <w:rPr>
          <w:rFonts w:ascii="Arial" w:hAnsi="Arial" w:cs="Arial"/>
          <w:sz w:val="24"/>
          <w:szCs w:val="24"/>
        </w:rPr>
        <w:t xml:space="preserve"> , 137–149. https://doi.org/10.1016/j.jmrt.2023.07.118</w:t>
      </w:r>
    </w:p>
    <w:p w14:paraId="0C5187C7"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Khan, E. A., Tiwari, N. P., Agnihotri, A., &amp; Awasthi, G. (2025). Bioremediation and advanced research for degradation of dyes. </w:t>
      </w:r>
      <w:r w:rsidRPr="006A70A6">
        <w:rPr>
          <w:rFonts w:ascii="Arial" w:hAnsi="Arial" w:cs="Arial"/>
          <w:i/>
          <w:iCs/>
          <w:sz w:val="24"/>
          <w:szCs w:val="24"/>
        </w:rPr>
        <w:t>International Journal of Biological Innovations</w:t>
      </w:r>
      <w:r w:rsidRPr="006A70A6">
        <w:rPr>
          <w:rFonts w:ascii="Arial" w:hAnsi="Arial" w:cs="Arial"/>
          <w:sz w:val="24"/>
          <w:szCs w:val="24"/>
        </w:rPr>
        <w:t xml:space="preserve">, </w:t>
      </w:r>
      <w:r w:rsidRPr="006A70A6">
        <w:rPr>
          <w:rFonts w:ascii="Arial" w:hAnsi="Arial" w:cs="Arial"/>
          <w:i/>
          <w:iCs/>
          <w:sz w:val="24"/>
          <w:szCs w:val="24"/>
        </w:rPr>
        <w:t>07</w:t>
      </w:r>
      <w:r w:rsidRPr="006A70A6">
        <w:rPr>
          <w:rFonts w:ascii="Arial" w:hAnsi="Arial" w:cs="Arial"/>
          <w:sz w:val="24"/>
          <w:szCs w:val="24"/>
        </w:rPr>
        <w:t xml:space="preserve"> (01), 80–92. https://doi.org/10.46505/ijbi.2025.7110</w:t>
      </w:r>
    </w:p>
    <w:p w14:paraId="2ED29EB5"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lastRenderedPageBreak/>
        <w:t xml:space="preserve">Melville, A. (2022). Fenton Processes in Dye Removal. </w:t>
      </w:r>
      <w:r w:rsidRPr="006A70A6">
        <w:rPr>
          <w:rFonts w:ascii="Arial" w:hAnsi="Arial" w:cs="Arial"/>
          <w:i/>
          <w:iCs/>
          <w:sz w:val="24"/>
          <w:szCs w:val="24"/>
        </w:rPr>
        <w:t>Sustainable Textiles</w:t>
      </w:r>
      <w:r w:rsidRPr="006A70A6">
        <w:rPr>
          <w:rFonts w:ascii="Arial" w:hAnsi="Arial" w:cs="Arial"/>
          <w:sz w:val="24"/>
          <w:szCs w:val="24"/>
        </w:rPr>
        <w:t>, 21–36. https://doi.org/10.1007/978-981-19-0987-0_2</w:t>
      </w:r>
    </w:p>
    <w:p w14:paraId="611F4F2F"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Patel, D. K., Singh, A., Rao, A. S., Singh, R. S., &amp; Sonwani, R. K. (2024). An overview of recent advances in treatment of complex dye-containing wastewater and its techno-economic assessment. </w:t>
      </w:r>
      <w:r w:rsidRPr="006A70A6">
        <w:rPr>
          <w:rFonts w:ascii="Arial" w:hAnsi="Arial" w:cs="Arial"/>
          <w:i/>
          <w:iCs/>
          <w:sz w:val="24"/>
          <w:szCs w:val="24"/>
        </w:rPr>
        <w:t xml:space="preserve">Journal of Environmental </w:t>
      </w:r>
      <w:r w:rsidRPr="006A70A6">
        <w:rPr>
          <w:rFonts w:ascii="Arial" w:hAnsi="Arial" w:cs="Arial"/>
          <w:sz w:val="24"/>
          <w:szCs w:val="24"/>
        </w:rPr>
        <w:t xml:space="preserve">Management, </w:t>
      </w:r>
      <w:r w:rsidRPr="006A70A6">
        <w:rPr>
          <w:rFonts w:ascii="Arial" w:hAnsi="Arial" w:cs="Arial"/>
          <w:i/>
          <w:iCs/>
          <w:sz w:val="24"/>
          <w:szCs w:val="24"/>
        </w:rPr>
        <w:t>370</w:t>
      </w:r>
    </w:p>
    <w:p w14:paraId="092D9837"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Patil, P., P., P. N., S., V., V., P., Almutairi, M., Almutairi, B., Selvaraj, A., Raman, P., &amp; Jesu, A. (2024). </w:t>
      </w:r>
      <w:r w:rsidRPr="006A70A6">
        <w:rPr>
          <w:rFonts w:ascii="Arial" w:hAnsi="Arial" w:cs="Arial"/>
          <w:i/>
          <w:iCs/>
          <w:sz w:val="24"/>
          <w:szCs w:val="24"/>
        </w:rPr>
        <w:t>Rhodamine B, an organic environmental pollutant induces reproductive toxicity in parental and teratogenicity in F1 generation in vivo</w:t>
      </w:r>
      <w:r w:rsidRPr="006A70A6">
        <w:rPr>
          <w:rFonts w:ascii="Arial" w:hAnsi="Arial" w:cs="Arial"/>
          <w:sz w:val="24"/>
          <w:szCs w:val="24"/>
        </w:rPr>
        <w:t>. https://doi.org/10.1016/j.cbpc.2024.109898</w:t>
      </w:r>
    </w:p>
    <w:p w14:paraId="35353D2A" w14:textId="77777777" w:rsidR="006A70A6" w:rsidRPr="00575649" w:rsidRDefault="006A70A6" w:rsidP="006A70A6">
      <w:pPr>
        <w:pStyle w:val="Bibliography"/>
        <w:spacing w:line="276" w:lineRule="auto"/>
        <w:contextualSpacing/>
        <w:jc w:val="both"/>
        <w:rPr>
          <w:rFonts w:ascii="Arial" w:hAnsi="Arial" w:cs="Arial"/>
          <w:sz w:val="24"/>
          <w:szCs w:val="24"/>
          <w:lang w:val="nl-BE"/>
        </w:rPr>
      </w:pPr>
      <w:r w:rsidRPr="006A70A6">
        <w:rPr>
          <w:rFonts w:ascii="Arial" w:hAnsi="Arial" w:cs="Arial"/>
          <w:sz w:val="24"/>
          <w:szCs w:val="24"/>
        </w:rPr>
        <w:t xml:space="preserve">Pratiwi, D. E., Putri, S. E., Side, S., Irfandi, R., Taufiq, M., &amp; Rahman, A. (2025). Optimization of methyl orange dye photodegradation using TiO2/porous ceramics with response surface methodology. </w:t>
      </w:r>
      <w:r w:rsidRPr="00575649">
        <w:rPr>
          <w:rFonts w:ascii="Arial" w:hAnsi="Arial" w:cs="Arial"/>
          <w:i/>
          <w:iCs/>
          <w:sz w:val="24"/>
          <w:szCs w:val="24"/>
          <w:lang w:val="nl-BE"/>
        </w:rPr>
        <w:t>Jurnal Kartika Kimia</w:t>
      </w:r>
      <w:r w:rsidRPr="00575649">
        <w:rPr>
          <w:rFonts w:ascii="Arial" w:hAnsi="Arial" w:cs="Arial"/>
          <w:sz w:val="24"/>
          <w:szCs w:val="24"/>
          <w:lang w:val="nl-BE"/>
        </w:rPr>
        <w:t xml:space="preserve">, </w:t>
      </w:r>
      <w:r w:rsidRPr="00575649">
        <w:rPr>
          <w:rFonts w:ascii="Arial" w:hAnsi="Arial" w:cs="Arial"/>
          <w:i/>
          <w:iCs/>
          <w:sz w:val="24"/>
          <w:szCs w:val="24"/>
          <w:lang w:val="nl-BE"/>
        </w:rPr>
        <w:t>8</w:t>
      </w:r>
      <w:r w:rsidRPr="00575649">
        <w:rPr>
          <w:rFonts w:ascii="Arial" w:hAnsi="Arial" w:cs="Arial"/>
          <w:sz w:val="24"/>
          <w:szCs w:val="24"/>
          <w:lang w:val="nl-BE"/>
        </w:rPr>
        <w:t xml:space="preserve"> (1), 108–118. https://doi.org/10.26874/jkk.v8i1.917</w:t>
      </w:r>
    </w:p>
    <w:p w14:paraId="56783D29" w14:textId="77777777" w:rsidR="006A70A6" w:rsidRPr="006A70A6" w:rsidRDefault="006A70A6" w:rsidP="006A70A6">
      <w:pPr>
        <w:pStyle w:val="Bibliography"/>
        <w:spacing w:line="276" w:lineRule="auto"/>
        <w:contextualSpacing/>
        <w:jc w:val="both"/>
        <w:rPr>
          <w:rFonts w:ascii="Arial" w:hAnsi="Arial" w:cs="Arial"/>
          <w:sz w:val="24"/>
          <w:szCs w:val="24"/>
        </w:rPr>
      </w:pPr>
      <w:r w:rsidRPr="00575649">
        <w:rPr>
          <w:rFonts w:ascii="Arial" w:hAnsi="Arial" w:cs="Arial"/>
          <w:sz w:val="24"/>
          <w:szCs w:val="24"/>
          <w:lang w:val="nl-BE"/>
        </w:rPr>
        <w:t xml:space="preserve">Purba, J. S. (2024). </w:t>
      </w:r>
      <w:r w:rsidRPr="006A70A6">
        <w:rPr>
          <w:rFonts w:ascii="Arial" w:hAnsi="Arial" w:cs="Arial"/>
          <w:sz w:val="24"/>
          <w:szCs w:val="24"/>
        </w:rPr>
        <w:t xml:space="preserve">Jhan </w:t>
      </w:r>
      <w:proofErr w:type="spellStart"/>
      <w:r w:rsidRPr="006A70A6">
        <w:rPr>
          <w:rFonts w:ascii="Arial" w:hAnsi="Arial" w:cs="Arial"/>
          <w:sz w:val="24"/>
          <w:szCs w:val="24"/>
        </w:rPr>
        <w:t>Saberlan</w:t>
      </w:r>
      <w:proofErr w:type="spellEnd"/>
      <w:r w:rsidRPr="006A70A6">
        <w:rPr>
          <w:rFonts w:ascii="Arial" w:hAnsi="Arial" w:cs="Arial"/>
          <w:sz w:val="24"/>
          <w:szCs w:val="24"/>
        </w:rPr>
        <w:t xml:space="preserve"> Purba. </w:t>
      </w:r>
      <w:r w:rsidRPr="006A70A6">
        <w:rPr>
          <w:rFonts w:ascii="Arial" w:hAnsi="Arial" w:cs="Arial"/>
          <w:i/>
          <w:iCs/>
          <w:sz w:val="24"/>
          <w:szCs w:val="24"/>
        </w:rPr>
        <w:t>Journal of Pharmaceutical and Herbal Research</w:t>
      </w:r>
      <w:r w:rsidRPr="006A70A6">
        <w:rPr>
          <w:rFonts w:ascii="Arial" w:hAnsi="Arial" w:cs="Arial"/>
          <w:sz w:val="24"/>
          <w:szCs w:val="24"/>
        </w:rPr>
        <w:t xml:space="preserve">, </w:t>
      </w:r>
      <w:r w:rsidRPr="006A70A6">
        <w:rPr>
          <w:rFonts w:ascii="Arial" w:hAnsi="Arial" w:cs="Arial"/>
          <w:i/>
          <w:iCs/>
          <w:sz w:val="24"/>
          <w:szCs w:val="24"/>
        </w:rPr>
        <w:t>7</w:t>
      </w:r>
      <w:r w:rsidRPr="006A70A6">
        <w:rPr>
          <w:rFonts w:ascii="Arial" w:hAnsi="Arial" w:cs="Arial"/>
          <w:sz w:val="24"/>
          <w:szCs w:val="24"/>
        </w:rPr>
        <w:t xml:space="preserve"> (1), 52–61. https://doi.org/10.36656/jpfh.v7i1.2000</w:t>
      </w:r>
    </w:p>
    <w:p w14:paraId="5DCF43FB" w14:textId="46C511C0"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Putri, S. E., Pratiwi, D. E., Triandi, R., Mardiana, D., &amp; Side, S. (2018). Performance Test of Gelcasted Porous Ceramic as Adsorbent of Azo Dyes. </w:t>
      </w:r>
      <w:r w:rsidRPr="006A70A6">
        <w:rPr>
          <w:rFonts w:ascii="Arial" w:hAnsi="Arial" w:cs="Arial"/>
          <w:i/>
          <w:iCs/>
          <w:sz w:val="24"/>
          <w:szCs w:val="24"/>
        </w:rPr>
        <w:t>Journal of Physics: Conference Series</w:t>
      </w:r>
      <w:r w:rsidRPr="006A70A6">
        <w:rPr>
          <w:rFonts w:ascii="Arial" w:hAnsi="Arial" w:cs="Arial"/>
          <w:sz w:val="24"/>
          <w:szCs w:val="24"/>
        </w:rPr>
        <w:t xml:space="preserve">, </w:t>
      </w:r>
      <w:r w:rsidRPr="006A70A6">
        <w:rPr>
          <w:rFonts w:ascii="Arial" w:hAnsi="Arial" w:cs="Arial"/>
          <w:i/>
          <w:iCs/>
          <w:sz w:val="24"/>
          <w:szCs w:val="24"/>
        </w:rPr>
        <w:t xml:space="preserve"> MXXVIII</w:t>
      </w:r>
      <w:r w:rsidRPr="006A70A6">
        <w:rPr>
          <w:rFonts w:ascii="Arial" w:hAnsi="Arial" w:cs="Arial"/>
          <w:sz w:val="24"/>
          <w:szCs w:val="24"/>
        </w:rPr>
        <w:t>(1).</w:t>
      </w:r>
      <w:r w:rsidR="004705A9" w:rsidRPr="006A70A6">
        <w:rPr>
          <w:rFonts w:ascii="Arial" w:hAnsi="Arial" w:cs="Arial"/>
          <w:sz w:val="24"/>
          <w:szCs w:val="24"/>
        </w:rPr>
        <w:t xml:space="preserve"> https://doi.org/</w:t>
      </w:r>
      <w:r w:rsidR="008C4678" w:rsidRPr="008C4678">
        <w:rPr>
          <w:rFonts w:ascii="Arial" w:hAnsi="Arial" w:cs="Arial"/>
          <w:sz w:val="24"/>
          <w:szCs w:val="24"/>
        </w:rPr>
        <w:t>10.1088/1742-6596/1028/1/01203</w:t>
      </w:r>
    </w:p>
    <w:p w14:paraId="736FD836"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Rajput, A., Shukla, S. K., Kumar, R., Jha, G., Kalia, V., &amp; Mangla, B. (2024). </w:t>
      </w:r>
      <w:r w:rsidRPr="006A70A6">
        <w:rPr>
          <w:rFonts w:ascii="Arial" w:hAnsi="Arial" w:cs="Arial"/>
          <w:i/>
          <w:iCs/>
          <w:sz w:val="24"/>
          <w:szCs w:val="24"/>
        </w:rPr>
        <w:t xml:space="preserve">A Sustainable Catalytic Approach for Wastewater Bodies </w:t>
      </w:r>
      <w:r w:rsidRPr="006A70A6">
        <w:rPr>
          <w:rFonts w:ascii="Arial" w:hAnsi="Arial" w:cs="Arial"/>
          <w:sz w:val="24"/>
          <w:szCs w:val="24"/>
        </w:rPr>
        <w:t>(pp. 353–376). https://doi.org/10.1002/9781119901310.ch13</w:t>
      </w:r>
    </w:p>
    <w:p w14:paraId="24C67C44"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Rosa, S. D., &amp; Okzelia, S. D. (2023). Analysis of Rhodamine B Dye in Lipsticks Circulating in the Setu Bekasi Market. </w:t>
      </w:r>
      <w:r w:rsidRPr="006A70A6">
        <w:rPr>
          <w:rFonts w:ascii="Arial" w:hAnsi="Arial" w:cs="Arial"/>
          <w:i/>
          <w:iCs/>
          <w:sz w:val="24"/>
          <w:szCs w:val="24"/>
        </w:rPr>
        <w:t>Journal of Education and Chemistry (</w:t>
      </w:r>
      <w:r w:rsidRPr="006A70A6">
        <w:rPr>
          <w:rFonts w:ascii="Arial" w:hAnsi="Arial" w:cs="Arial"/>
          <w:sz w:val="24"/>
          <w:szCs w:val="24"/>
        </w:rPr>
        <w:t xml:space="preserve">JEDCHEM, </w:t>
      </w:r>
      <w:r w:rsidRPr="006A70A6">
        <w:rPr>
          <w:rFonts w:ascii="Arial" w:hAnsi="Arial" w:cs="Arial"/>
          <w:i/>
          <w:iCs/>
          <w:sz w:val="24"/>
          <w:szCs w:val="24"/>
        </w:rPr>
        <w:t>5</w:t>
      </w:r>
    </w:p>
    <w:p w14:paraId="6D99FEDD"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Sayahi, N., Othmani, B., Mnif, W., Algarni, Z., Khadhraoui, M., &amp; Ben Rebah, F. (2025). Clay Minerals as Enzyme Carriers for Pollutant Removal from Wastewater: A Comprehensive Review. </w:t>
      </w:r>
      <w:r w:rsidRPr="006A70A6">
        <w:rPr>
          <w:rFonts w:ascii="Arial" w:hAnsi="Arial" w:cs="Arial"/>
          <w:i/>
          <w:iCs/>
          <w:sz w:val="24"/>
          <w:szCs w:val="24"/>
        </w:rPr>
        <w:t>Minerals</w:t>
      </w:r>
      <w:r w:rsidRPr="006A70A6">
        <w:rPr>
          <w:rFonts w:ascii="Arial" w:hAnsi="Arial" w:cs="Arial"/>
          <w:sz w:val="24"/>
          <w:szCs w:val="24"/>
        </w:rPr>
        <w:t xml:space="preserve">, </w:t>
      </w:r>
      <w:r w:rsidRPr="006A70A6">
        <w:rPr>
          <w:rFonts w:ascii="Arial" w:hAnsi="Arial" w:cs="Arial"/>
          <w:i/>
          <w:iCs/>
          <w:sz w:val="24"/>
          <w:szCs w:val="24"/>
        </w:rPr>
        <w:t>15</w:t>
      </w:r>
      <w:r w:rsidRPr="006A70A6">
        <w:rPr>
          <w:rFonts w:ascii="Arial" w:hAnsi="Arial" w:cs="Arial"/>
          <w:sz w:val="24"/>
          <w:szCs w:val="24"/>
        </w:rPr>
        <w:t xml:space="preserve"> (9</w:t>
      </w:r>
    </w:p>
    <w:p w14:paraId="47D34D09"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Scordato, J. (2023). Efficient Removal of Rhodamine B in Wastewater via Activation of Persulfate by MnO2 with Different Morphologies. </w:t>
      </w:r>
      <w:r w:rsidRPr="006A70A6">
        <w:rPr>
          <w:rFonts w:ascii="Arial" w:hAnsi="Arial" w:cs="Arial"/>
          <w:i/>
          <w:iCs/>
          <w:sz w:val="24"/>
          <w:szCs w:val="24"/>
        </w:rPr>
        <w:t>Water</w:t>
      </w:r>
      <w:r w:rsidRPr="006A70A6">
        <w:rPr>
          <w:rFonts w:ascii="Arial" w:hAnsi="Arial" w:cs="Arial"/>
          <w:sz w:val="24"/>
          <w:szCs w:val="24"/>
        </w:rPr>
        <w:t xml:space="preserve">, </w:t>
      </w:r>
      <w:r w:rsidRPr="006A70A6">
        <w:rPr>
          <w:rFonts w:ascii="Arial" w:hAnsi="Arial" w:cs="Arial"/>
          <w:i/>
          <w:iCs/>
          <w:sz w:val="24"/>
          <w:szCs w:val="24"/>
        </w:rPr>
        <w:t>15</w:t>
      </w:r>
      <w:r w:rsidRPr="006A70A6">
        <w:rPr>
          <w:rFonts w:ascii="Arial" w:hAnsi="Arial" w:cs="Arial"/>
          <w:sz w:val="24"/>
          <w:szCs w:val="24"/>
        </w:rPr>
        <w:t xml:space="preserve"> (4), 735. https://doi.org/10.3390/w15040735</w:t>
      </w:r>
    </w:p>
    <w:p w14:paraId="103F29B7"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Side, S., Putri, S. E., Hasri, A. H. M., &amp; Rahman, E. (2023). Preparation and Characterization of CuO/Clay Composite for Methyl Orange Photodegradation. </w:t>
      </w:r>
      <w:r w:rsidRPr="006A70A6">
        <w:rPr>
          <w:rFonts w:ascii="Arial" w:hAnsi="Arial" w:cs="Arial"/>
          <w:i/>
          <w:iCs/>
          <w:sz w:val="24"/>
          <w:szCs w:val="24"/>
        </w:rPr>
        <w:t>E3S Web of Conferences</w:t>
      </w:r>
      <w:r w:rsidRPr="006A70A6">
        <w:rPr>
          <w:rFonts w:ascii="Arial" w:hAnsi="Arial" w:cs="Arial"/>
          <w:sz w:val="24"/>
          <w:szCs w:val="24"/>
        </w:rPr>
        <w:t xml:space="preserve">, </w:t>
      </w:r>
      <w:r w:rsidRPr="006A70A6">
        <w:rPr>
          <w:rFonts w:ascii="Arial" w:hAnsi="Arial" w:cs="Arial"/>
          <w:i/>
          <w:iCs/>
          <w:sz w:val="24"/>
          <w:szCs w:val="24"/>
        </w:rPr>
        <w:t>400</w:t>
      </w:r>
      <w:r w:rsidRPr="006A70A6">
        <w:rPr>
          <w:rFonts w:ascii="Arial" w:hAnsi="Arial" w:cs="Arial"/>
          <w:sz w:val="24"/>
          <w:szCs w:val="24"/>
        </w:rPr>
        <w:t xml:space="preserve"> , 04012. https://doi.org/10.1051/e3sconf/202340004012</w:t>
      </w:r>
    </w:p>
    <w:p w14:paraId="623003FB"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Utami, M., Wang, S., Fajarwati, F. I., &amp; Dewi, T. A. (2023). </w:t>
      </w:r>
      <w:r w:rsidRPr="006A70A6">
        <w:rPr>
          <w:rFonts w:ascii="Arial" w:hAnsi="Arial" w:cs="Arial"/>
          <w:i/>
          <w:iCs/>
          <w:sz w:val="24"/>
          <w:szCs w:val="24"/>
        </w:rPr>
        <w:t>Enhanced Photodegradation of Rhodamine B Using Visible-Light Sensitive N-TiO2/rGO Composite</w:t>
      </w:r>
      <w:r w:rsidRPr="006A70A6">
        <w:rPr>
          <w:rFonts w:ascii="Arial" w:hAnsi="Arial" w:cs="Arial"/>
          <w:sz w:val="24"/>
          <w:szCs w:val="24"/>
        </w:rPr>
        <w:t>. https://doi.org/10.3390/cryst13040588</w:t>
      </w:r>
    </w:p>
    <w:p w14:paraId="67159E5B" w14:textId="77777777" w:rsidR="006A70A6" w:rsidRPr="006A70A6" w:rsidRDefault="006A70A6" w:rsidP="006A70A6">
      <w:pPr>
        <w:pStyle w:val="Bibliography"/>
        <w:spacing w:line="276" w:lineRule="auto"/>
        <w:contextualSpacing/>
        <w:jc w:val="both"/>
        <w:rPr>
          <w:rFonts w:ascii="Arial" w:hAnsi="Arial" w:cs="Arial"/>
          <w:sz w:val="24"/>
          <w:szCs w:val="24"/>
        </w:rPr>
      </w:pPr>
      <w:r w:rsidRPr="00575649">
        <w:rPr>
          <w:rFonts w:ascii="Arial" w:hAnsi="Arial" w:cs="Arial"/>
          <w:sz w:val="24"/>
          <w:szCs w:val="24"/>
          <w:lang w:val="nl-BE"/>
        </w:rPr>
        <w:t xml:space="preserve">Zheng, T., Zhang, Z. Y., Liu, Y., &amp; Zou, L. (2025). </w:t>
      </w:r>
      <w:r w:rsidRPr="006A70A6">
        <w:rPr>
          <w:rFonts w:ascii="Arial" w:hAnsi="Arial" w:cs="Arial"/>
          <w:sz w:val="24"/>
          <w:szCs w:val="24"/>
        </w:rPr>
        <w:t xml:space="preserve">Recent Progress in Catalytically Driven Advanced Oxidation Processes for Wastewater Treatment. </w:t>
      </w:r>
      <w:r w:rsidRPr="006A70A6">
        <w:rPr>
          <w:rFonts w:ascii="Arial" w:hAnsi="Arial" w:cs="Arial"/>
          <w:i/>
          <w:iCs/>
          <w:sz w:val="24"/>
          <w:szCs w:val="24"/>
        </w:rPr>
        <w:t>Catalysts</w:t>
      </w:r>
      <w:r w:rsidRPr="006A70A6">
        <w:rPr>
          <w:rFonts w:ascii="Arial" w:hAnsi="Arial" w:cs="Arial"/>
          <w:sz w:val="24"/>
          <w:szCs w:val="24"/>
        </w:rPr>
        <w:t xml:space="preserve">, </w:t>
      </w:r>
      <w:r w:rsidRPr="006A70A6">
        <w:rPr>
          <w:rFonts w:ascii="Arial" w:hAnsi="Arial" w:cs="Arial"/>
          <w:i/>
          <w:iCs/>
          <w:sz w:val="24"/>
          <w:szCs w:val="24"/>
        </w:rPr>
        <w:t>15</w:t>
      </w:r>
      <w:r w:rsidRPr="006A70A6">
        <w:rPr>
          <w:rFonts w:ascii="Arial" w:hAnsi="Arial" w:cs="Arial"/>
          <w:sz w:val="24"/>
          <w:szCs w:val="24"/>
        </w:rPr>
        <w:t xml:space="preserve"> (8), 761. https://doi.org/10.3390/catal15080761</w:t>
      </w:r>
    </w:p>
    <w:p w14:paraId="35D57FC5" w14:textId="567BFDEB" w:rsidR="00107CB5" w:rsidRPr="006A70A6" w:rsidRDefault="006A70A6" w:rsidP="006A70A6">
      <w:pPr>
        <w:pStyle w:val="ListParagraph"/>
        <w:spacing w:after="0" w:line="276" w:lineRule="auto"/>
        <w:ind w:left="360"/>
        <w:jc w:val="both"/>
        <w:rPr>
          <w:rFonts w:ascii="Arial" w:hAnsi="Arial" w:cs="Arial"/>
          <w:sz w:val="24"/>
          <w:szCs w:val="24"/>
        </w:rPr>
      </w:pPr>
      <w:r w:rsidRPr="006A70A6">
        <w:rPr>
          <w:rFonts w:ascii="Arial" w:hAnsi="Arial" w:cs="Arial"/>
          <w:sz w:val="24"/>
          <w:szCs w:val="24"/>
        </w:rPr>
        <w:fldChar w:fldCharType="end"/>
      </w:r>
      <w:r w:rsidR="00107CB5" w:rsidRPr="006A70A6">
        <w:rPr>
          <w:rFonts w:ascii="Arial" w:hAnsi="Arial" w:cs="Arial"/>
          <w:sz w:val="24"/>
          <w:szCs w:val="24"/>
        </w:rPr>
        <w:br w:type="page"/>
      </w:r>
    </w:p>
    <w:p w14:paraId="672FAAC3" w14:textId="77777777" w:rsidR="00107CB5" w:rsidRPr="006A70A6" w:rsidRDefault="00107CB5" w:rsidP="006A70A6">
      <w:pPr>
        <w:pStyle w:val="ListParagraph"/>
        <w:spacing w:after="0" w:line="276" w:lineRule="auto"/>
        <w:jc w:val="both"/>
        <w:rPr>
          <w:rFonts w:ascii="Arial" w:hAnsi="Arial" w:cs="Arial"/>
          <w:sz w:val="24"/>
          <w:szCs w:val="24"/>
        </w:rPr>
      </w:pPr>
    </w:p>
    <w:sectPr w:rsidR="00107CB5" w:rsidRPr="006A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4E3D"/>
    <w:multiLevelType w:val="hybridMultilevel"/>
    <w:tmpl w:val="68CCBF2E"/>
    <w:lvl w:ilvl="0" w:tplc="2034D3CA">
      <w:start w:val="1"/>
      <w:numFmt w:val="upperLetter"/>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5A6B0635"/>
    <w:multiLevelType w:val="hybridMultilevel"/>
    <w:tmpl w:val="C9B00196"/>
    <w:lvl w:ilvl="0" w:tplc="125A88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45D58"/>
    <w:multiLevelType w:val="hybridMultilevel"/>
    <w:tmpl w:val="AF9A1E08"/>
    <w:lvl w:ilvl="0" w:tplc="52C81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560135">
    <w:abstractNumId w:val="1"/>
  </w:num>
  <w:num w:numId="2" w16cid:durableId="1966353658">
    <w:abstractNumId w:val="2"/>
  </w:num>
  <w:num w:numId="3" w16cid:durableId="121412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61"/>
    <w:rsid w:val="00002B2B"/>
    <w:rsid w:val="00006DE3"/>
    <w:rsid w:val="0007039E"/>
    <w:rsid w:val="0009217E"/>
    <w:rsid w:val="000D1806"/>
    <w:rsid w:val="000F0566"/>
    <w:rsid w:val="00107CB5"/>
    <w:rsid w:val="00125362"/>
    <w:rsid w:val="001C1E74"/>
    <w:rsid w:val="00233DC7"/>
    <w:rsid w:val="002447F1"/>
    <w:rsid w:val="00250A60"/>
    <w:rsid w:val="002B0D59"/>
    <w:rsid w:val="003E1DBE"/>
    <w:rsid w:val="003E6315"/>
    <w:rsid w:val="00435994"/>
    <w:rsid w:val="00461302"/>
    <w:rsid w:val="004705A9"/>
    <w:rsid w:val="004C562B"/>
    <w:rsid w:val="00575649"/>
    <w:rsid w:val="005C732F"/>
    <w:rsid w:val="00643869"/>
    <w:rsid w:val="006541E0"/>
    <w:rsid w:val="006A70A6"/>
    <w:rsid w:val="006B3AD4"/>
    <w:rsid w:val="007A2CAA"/>
    <w:rsid w:val="007D7349"/>
    <w:rsid w:val="008124C3"/>
    <w:rsid w:val="0087474D"/>
    <w:rsid w:val="008C4678"/>
    <w:rsid w:val="00950C77"/>
    <w:rsid w:val="00957C90"/>
    <w:rsid w:val="00987E05"/>
    <w:rsid w:val="00A10F14"/>
    <w:rsid w:val="00AA5861"/>
    <w:rsid w:val="00B502DD"/>
    <w:rsid w:val="00B93D4E"/>
    <w:rsid w:val="00BE2963"/>
    <w:rsid w:val="00C07C48"/>
    <w:rsid w:val="00C108B9"/>
    <w:rsid w:val="00C4141F"/>
    <w:rsid w:val="00CC40EB"/>
    <w:rsid w:val="00CE65B7"/>
    <w:rsid w:val="00D31227"/>
    <w:rsid w:val="00D96208"/>
    <w:rsid w:val="00E5356E"/>
    <w:rsid w:val="00ED58C1"/>
    <w:rsid w:val="00EE5F25"/>
    <w:rsid w:val="00EF4E00"/>
    <w:rsid w:val="00F14B9A"/>
    <w:rsid w:val="00F7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D329"/>
  <w15:chartTrackingRefBased/>
  <w15:docId w15:val="{4DFC2D6C-3874-4DCF-907E-66A7280D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58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5861"/>
    <w:rPr>
      <w:i/>
      <w:iCs/>
    </w:rPr>
  </w:style>
  <w:style w:type="character" w:styleId="Strong">
    <w:name w:val="Strong"/>
    <w:basedOn w:val="DefaultParagraphFont"/>
    <w:uiPriority w:val="22"/>
    <w:qFormat/>
    <w:rsid w:val="00AA5861"/>
    <w:rPr>
      <w:b/>
      <w:bCs/>
    </w:rPr>
  </w:style>
  <w:style w:type="paragraph" w:styleId="ListParagraph">
    <w:name w:val="List Paragraph"/>
    <w:basedOn w:val="Normal"/>
    <w:uiPriority w:val="34"/>
    <w:qFormat/>
    <w:rsid w:val="00AA5861"/>
    <w:pPr>
      <w:ind w:left="720"/>
      <w:contextualSpacing/>
    </w:pPr>
  </w:style>
  <w:style w:type="table" w:styleId="TableGrid">
    <w:name w:val="Table Grid"/>
    <w:basedOn w:val="TableNormal"/>
    <w:uiPriority w:val="39"/>
    <w:rsid w:val="00957C9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957C90"/>
  </w:style>
  <w:style w:type="character" w:customStyle="1" w:styleId="mord">
    <w:name w:val="mord"/>
    <w:basedOn w:val="DefaultParagraphFont"/>
    <w:rsid w:val="00957C90"/>
  </w:style>
  <w:style w:type="character" w:customStyle="1" w:styleId="mop">
    <w:name w:val="mop"/>
    <w:basedOn w:val="DefaultParagraphFont"/>
    <w:rsid w:val="005C732F"/>
  </w:style>
  <w:style w:type="character" w:customStyle="1" w:styleId="mopen">
    <w:name w:val="mopen"/>
    <w:basedOn w:val="DefaultParagraphFont"/>
    <w:rsid w:val="005C732F"/>
  </w:style>
  <w:style w:type="character" w:customStyle="1" w:styleId="vlist-s">
    <w:name w:val="vlist-s"/>
    <w:basedOn w:val="DefaultParagraphFont"/>
    <w:rsid w:val="005C732F"/>
  </w:style>
  <w:style w:type="character" w:customStyle="1" w:styleId="mclose">
    <w:name w:val="mclose"/>
    <w:basedOn w:val="DefaultParagraphFont"/>
    <w:rsid w:val="005C732F"/>
  </w:style>
  <w:style w:type="character" w:customStyle="1" w:styleId="mrel">
    <w:name w:val="mrel"/>
    <w:basedOn w:val="DefaultParagraphFont"/>
    <w:rsid w:val="00107CB5"/>
  </w:style>
  <w:style w:type="character" w:customStyle="1" w:styleId="mspace">
    <w:name w:val="mspace"/>
    <w:basedOn w:val="DefaultParagraphFont"/>
    <w:rsid w:val="00107CB5"/>
  </w:style>
  <w:style w:type="character" w:customStyle="1" w:styleId="mpunct">
    <w:name w:val="mpunct"/>
    <w:basedOn w:val="DefaultParagraphFont"/>
    <w:rsid w:val="00107CB5"/>
  </w:style>
  <w:style w:type="paragraph" w:styleId="Caption">
    <w:name w:val="caption"/>
    <w:basedOn w:val="Normal"/>
    <w:next w:val="Normal"/>
    <w:uiPriority w:val="35"/>
    <w:unhideWhenUsed/>
    <w:qFormat/>
    <w:rsid w:val="0009217E"/>
    <w:pPr>
      <w:spacing w:after="200" w:line="240" w:lineRule="auto"/>
    </w:pPr>
    <w:rPr>
      <w:i/>
      <w:iCs/>
      <w:color w:val="44546A" w:themeColor="text2"/>
      <w:sz w:val="18"/>
      <w:szCs w:val="18"/>
    </w:rPr>
  </w:style>
  <w:style w:type="character" w:styleId="Hyperlink">
    <w:name w:val="Hyperlink"/>
    <w:basedOn w:val="DefaultParagraphFont"/>
    <w:uiPriority w:val="99"/>
    <w:unhideWhenUsed/>
    <w:rsid w:val="00EE5F25"/>
    <w:rPr>
      <w:color w:val="0563C1" w:themeColor="hyperlink"/>
      <w:u w:val="single"/>
    </w:rPr>
  </w:style>
  <w:style w:type="character" w:styleId="UnresolvedMention">
    <w:name w:val="Unresolved Mention"/>
    <w:basedOn w:val="DefaultParagraphFont"/>
    <w:uiPriority w:val="99"/>
    <w:semiHidden/>
    <w:unhideWhenUsed/>
    <w:rsid w:val="00EE5F25"/>
    <w:rPr>
      <w:color w:val="605E5C"/>
      <w:shd w:val="clear" w:color="auto" w:fill="E1DFDD"/>
    </w:rPr>
  </w:style>
  <w:style w:type="paragraph" w:styleId="Bibliography">
    <w:name w:val="Bibliography"/>
    <w:basedOn w:val="Normal"/>
    <w:next w:val="Normal"/>
    <w:uiPriority w:val="37"/>
    <w:unhideWhenUsed/>
    <w:rsid w:val="006A70A6"/>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341">
      <w:bodyDiv w:val="1"/>
      <w:marLeft w:val="0"/>
      <w:marRight w:val="0"/>
      <w:marTop w:val="0"/>
      <w:marBottom w:val="0"/>
      <w:divBdr>
        <w:top w:val="none" w:sz="0" w:space="0" w:color="auto"/>
        <w:left w:val="none" w:sz="0" w:space="0" w:color="auto"/>
        <w:bottom w:val="none" w:sz="0" w:space="0" w:color="auto"/>
        <w:right w:val="none" w:sz="0" w:space="0" w:color="auto"/>
      </w:divBdr>
    </w:div>
    <w:div w:id="140316469">
      <w:bodyDiv w:val="1"/>
      <w:marLeft w:val="0"/>
      <w:marRight w:val="0"/>
      <w:marTop w:val="0"/>
      <w:marBottom w:val="0"/>
      <w:divBdr>
        <w:top w:val="none" w:sz="0" w:space="0" w:color="auto"/>
        <w:left w:val="none" w:sz="0" w:space="0" w:color="auto"/>
        <w:bottom w:val="none" w:sz="0" w:space="0" w:color="auto"/>
        <w:right w:val="none" w:sz="0" w:space="0" w:color="auto"/>
      </w:divBdr>
      <w:divsChild>
        <w:div w:id="1336883744">
          <w:marLeft w:val="0"/>
          <w:marRight w:val="0"/>
          <w:marTop w:val="0"/>
          <w:marBottom w:val="0"/>
          <w:divBdr>
            <w:top w:val="none" w:sz="0" w:space="0" w:color="auto"/>
            <w:left w:val="none" w:sz="0" w:space="0" w:color="auto"/>
            <w:bottom w:val="none" w:sz="0" w:space="0" w:color="auto"/>
            <w:right w:val="none" w:sz="0" w:space="0" w:color="auto"/>
          </w:divBdr>
        </w:div>
      </w:divsChild>
    </w:div>
    <w:div w:id="274604421">
      <w:bodyDiv w:val="1"/>
      <w:marLeft w:val="0"/>
      <w:marRight w:val="0"/>
      <w:marTop w:val="0"/>
      <w:marBottom w:val="0"/>
      <w:divBdr>
        <w:top w:val="none" w:sz="0" w:space="0" w:color="auto"/>
        <w:left w:val="none" w:sz="0" w:space="0" w:color="auto"/>
        <w:bottom w:val="none" w:sz="0" w:space="0" w:color="auto"/>
        <w:right w:val="none" w:sz="0" w:space="0" w:color="auto"/>
      </w:divBdr>
      <w:divsChild>
        <w:div w:id="972757775">
          <w:marLeft w:val="0"/>
          <w:marRight w:val="0"/>
          <w:marTop w:val="0"/>
          <w:marBottom w:val="0"/>
          <w:divBdr>
            <w:top w:val="none" w:sz="0" w:space="0" w:color="auto"/>
            <w:left w:val="none" w:sz="0" w:space="0" w:color="auto"/>
            <w:bottom w:val="none" w:sz="0" w:space="0" w:color="auto"/>
            <w:right w:val="none" w:sz="0" w:space="0" w:color="auto"/>
          </w:divBdr>
        </w:div>
      </w:divsChild>
    </w:div>
    <w:div w:id="289673622">
      <w:bodyDiv w:val="1"/>
      <w:marLeft w:val="0"/>
      <w:marRight w:val="0"/>
      <w:marTop w:val="0"/>
      <w:marBottom w:val="0"/>
      <w:divBdr>
        <w:top w:val="none" w:sz="0" w:space="0" w:color="auto"/>
        <w:left w:val="none" w:sz="0" w:space="0" w:color="auto"/>
        <w:bottom w:val="none" w:sz="0" w:space="0" w:color="auto"/>
        <w:right w:val="none" w:sz="0" w:space="0" w:color="auto"/>
      </w:divBdr>
    </w:div>
    <w:div w:id="565528100">
      <w:bodyDiv w:val="1"/>
      <w:marLeft w:val="0"/>
      <w:marRight w:val="0"/>
      <w:marTop w:val="0"/>
      <w:marBottom w:val="0"/>
      <w:divBdr>
        <w:top w:val="none" w:sz="0" w:space="0" w:color="auto"/>
        <w:left w:val="none" w:sz="0" w:space="0" w:color="auto"/>
        <w:bottom w:val="none" w:sz="0" w:space="0" w:color="auto"/>
        <w:right w:val="none" w:sz="0" w:space="0" w:color="auto"/>
      </w:divBdr>
      <w:divsChild>
        <w:div w:id="945574231">
          <w:marLeft w:val="0"/>
          <w:marRight w:val="0"/>
          <w:marTop w:val="0"/>
          <w:marBottom w:val="0"/>
          <w:divBdr>
            <w:top w:val="none" w:sz="0" w:space="0" w:color="auto"/>
            <w:left w:val="none" w:sz="0" w:space="0" w:color="auto"/>
            <w:bottom w:val="none" w:sz="0" w:space="0" w:color="auto"/>
            <w:right w:val="none" w:sz="0" w:space="0" w:color="auto"/>
          </w:divBdr>
        </w:div>
      </w:divsChild>
    </w:div>
    <w:div w:id="582419897">
      <w:bodyDiv w:val="1"/>
      <w:marLeft w:val="0"/>
      <w:marRight w:val="0"/>
      <w:marTop w:val="0"/>
      <w:marBottom w:val="0"/>
      <w:divBdr>
        <w:top w:val="none" w:sz="0" w:space="0" w:color="auto"/>
        <w:left w:val="none" w:sz="0" w:space="0" w:color="auto"/>
        <w:bottom w:val="none" w:sz="0" w:space="0" w:color="auto"/>
        <w:right w:val="none" w:sz="0" w:space="0" w:color="auto"/>
      </w:divBdr>
      <w:divsChild>
        <w:div w:id="1885406059">
          <w:marLeft w:val="0"/>
          <w:marRight w:val="0"/>
          <w:marTop w:val="0"/>
          <w:marBottom w:val="0"/>
          <w:divBdr>
            <w:top w:val="none" w:sz="0" w:space="0" w:color="auto"/>
            <w:left w:val="none" w:sz="0" w:space="0" w:color="auto"/>
            <w:bottom w:val="none" w:sz="0" w:space="0" w:color="auto"/>
            <w:right w:val="none" w:sz="0" w:space="0" w:color="auto"/>
          </w:divBdr>
        </w:div>
      </w:divsChild>
    </w:div>
    <w:div w:id="600993992">
      <w:bodyDiv w:val="1"/>
      <w:marLeft w:val="0"/>
      <w:marRight w:val="0"/>
      <w:marTop w:val="0"/>
      <w:marBottom w:val="0"/>
      <w:divBdr>
        <w:top w:val="none" w:sz="0" w:space="0" w:color="auto"/>
        <w:left w:val="none" w:sz="0" w:space="0" w:color="auto"/>
        <w:bottom w:val="none" w:sz="0" w:space="0" w:color="auto"/>
        <w:right w:val="none" w:sz="0" w:space="0" w:color="auto"/>
      </w:divBdr>
      <w:divsChild>
        <w:div w:id="422260140">
          <w:marLeft w:val="0"/>
          <w:marRight w:val="0"/>
          <w:marTop w:val="0"/>
          <w:marBottom w:val="0"/>
          <w:divBdr>
            <w:top w:val="none" w:sz="0" w:space="0" w:color="auto"/>
            <w:left w:val="none" w:sz="0" w:space="0" w:color="auto"/>
            <w:bottom w:val="none" w:sz="0" w:space="0" w:color="auto"/>
            <w:right w:val="none" w:sz="0" w:space="0" w:color="auto"/>
          </w:divBdr>
        </w:div>
      </w:divsChild>
    </w:div>
    <w:div w:id="859466894">
      <w:bodyDiv w:val="1"/>
      <w:marLeft w:val="0"/>
      <w:marRight w:val="0"/>
      <w:marTop w:val="0"/>
      <w:marBottom w:val="0"/>
      <w:divBdr>
        <w:top w:val="none" w:sz="0" w:space="0" w:color="auto"/>
        <w:left w:val="none" w:sz="0" w:space="0" w:color="auto"/>
        <w:bottom w:val="none" w:sz="0" w:space="0" w:color="auto"/>
        <w:right w:val="none" w:sz="0" w:space="0" w:color="auto"/>
      </w:divBdr>
      <w:divsChild>
        <w:div w:id="715396155">
          <w:marLeft w:val="0"/>
          <w:marRight w:val="0"/>
          <w:marTop w:val="0"/>
          <w:marBottom w:val="0"/>
          <w:divBdr>
            <w:top w:val="none" w:sz="0" w:space="0" w:color="auto"/>
            <w:left w:val="none" w:sz="0" w:space="0" w:color="auto"/>
            <w:bottom w:val="none" w:sz="0" w:space="0" w:color="auto"/>
            <w:right w:val="none" w:sz="0" w:space="0" w:color="auto"/>
          </w:divBdr>
        </w:div>
      </w:divsChild>
    </w:div>
    <w:div w:id="869950927">
      <w:bodyDiv w:val="1"/>
      <w:marLeft w:val="0"/>
      <w:marRight w:val="0"/>
      <w:marTop w:val="0"/>
      <w:marBottom w:val="0"/>
      <w:divBdr>
        <w:top w:val="none" w:sz="0" w:space="0" w:color="auto"/>
        <w:left w:val="none" w:sz="0" w:space="0" w:color="auto"/>
        <w:bottom w:val="none" w:sz="0" w:space="0" w:color="auto"/>
        <w:right w:val="none" w:sz="0" w:space="0" w:color="auto"/>
      </w:divBdr>
      <w:divsChild>
        <w:div w:id="1931767543">
          <w:marLeft w:val="0"/>
          <w:marRight w:val="0"/>
          <w:marTop w:val="0"/>
          <w:marBottom w:val="0"/>
          <w:divBdr>
            <w:top w:val="none" w:sz="0" w:space="0" w:color="auto"/>
            <w:left w:val="none" w:sz="0" w:space="0" w:color="auto"/>
            <w:bottom w:val="none" w:sz="0" w:space="0" w:color="auto"/>
            <w:right w:val="none" w:sz="0" w:space="0" w:color="auto"/>
          </w:divBdr>
        </w:div>
      </w:divsChild>
    </w:div>
    <w:div w:id="926113308">
      <w:bodyDiv w:val="1"/>
      <w:marLeft w:val="0"/>
      <w:marRight w:val="0"/>
      <w:marTop w:val="0"/>
      <w:marBottom w:val="0"/>
      <w:divBdr>
        <w:top w:val="none" w:sz="0" w:space="0" w:color="auto"/>
        <w:left w:val="none" w:sz="0" w:space="0" w:color="auto"/>
        <w:bottom w:val="none" w:sz="0" w:space="0" w:color="auto"/>
        <w:right w:val="none" w:sz="0" w:space="0" w:color="auto"/>
      </w:divBdr>
      <w:divsChild>
        <w:div w:id="1427769659">
          <w:marLeft w:val="0"/>
          <w:marRight w:val="0"/>
          <w:marTop w:val="0"/>
          <w:marBottom w:val="0"/>
          <w:divBdr>
            <w:top w:val="none" w:sz="0" w:space="0" w:color="auto"/>
            <w:left w:val="none" w:sz="0" w:space="0" w:color="auto"/>
            <w:bottom w:val="none" w:sz="0" w:space="0" w:color="auto"/>
            <w:right w:val="none" w:sz="0" w:space="0" w:color="auto"/>
          </w:divBdr>
        </w:div>
      </w:divsChild>
    </w:div>
    <w:div w:id="976497726">
      <w:bodyDiv w:val="1"/>
      <w:marLeft w:val="0"/>
      <w:marRight w:val="0"/>
      <w:marTop w:val="0"/>
      <w:marBottom w:val="0"/>
      <w:divBdr>
        <w:top w:val="none" w:sz="0" w:space="0" w:color="auto"/>
        <w:left w:val="none" w:sz="0" w:space="0" w:color="auto"/>
        <w:bottom w:val="none" w:sz="0" w:space="0" w:color="auto"/>
        <w:right w:val="none" w:sz="0" w:space="0" w:color="auto"/>
      </w:divBdr>
      <w:divsChild>
        <w:div w:id="648174900">
          <w:marLeft w:val="0"/>
          <w:marRight w:val="0"/>
          <w:marTop w:val="0"/>
          <w:marBottom w:val="0"/>
          <w:divBdr>
            <w:top w:val="none" w:sz="0" w:space="0" w:color="auto"/>
            <w:left w:val="none" w:sz="0" w:space="0" w:color="auto"/>
            <w:bottom w:val="none" w:sz="0" w:space="0" w:color="auto"/>
            <w:right w:val="none" w:sz="0" w:space="0" w:color="auto"/>
          </w:divBdr>
        </w:div>
      </w:divsChild>
    </w:div>
    <w:div w:id="1044058872">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8">
          <w:marLeft w:val="0"/>
          <w:marRight w:val="0"/>
          <w:marTop w:val="0"/>
          <w:marBottom w:val="0"/>
          <w:divBdr>
            <w:top w:val="none" w:sz="0" w:space="0" w:color="auto"/>
            <w:left w:val="none" w:sz="0" w:space="0" w:color="auto"/>
            <w:bottom w:val="none" w:sz="0" w:space="0" w:color="auto"/>
            <w:right w:val="none" w:sz="0" w:space="0" w:color="auto"/>
          </w:divBdr>
        </w:div>
      </w:divsChild>
    </w:div>
    <w:div w:id="1170098144">
      <w:bodyDiv w:val="1"/>
      <w:marLeft w:val="0"/>
      <w:marRight w:val="0"/>
      <w:marTop w:val="0"/>
      <w:marBottom w:val="0"/>
      <w:divBdr>
        <w:top w:val="none" w:sz="0" w:space="0" w:color="auto"/>
        <w:left w:val="none" w:sz="0" w:space="0" w:color="auto"/>
        <w:bottom w:val="none" w:sz="0" w:space="0" w:color="auto"/>
        <w:right w:val="none" w:sz="0" w:space="0" w:color="auto"/>
      </w:divBdr>
      <w:divsChild>
        <w:div w:id="1061900943">
          <w:marLeft w:val="0"/>
          <w:marRight w:val="0"/>
          <w:marTop w:val="0"/>
          <w:marBottom w:val="0"/>
          <w:divBdr>
            <w:top w:val="none" w:sz="0" w:space="0" w:color="auto"/>
            <w:left w:val="none" w:sz="0" w:space="0" w:color="auto"/>
            <w:bottom w:val="none" w:sz="0" w:space="0" w:color="auto"/>
            <w:right w:val="none" w:sz="0" w:space="0" w:color="auto"/>
          </w:divBdr>
        </w:div>
      </w:divsChild>
    </w:div>
    <w:div w:id="1210336768">
      <w:bodyDiv w:val="1"/>
      <w:marLeft w:val="0"/>
      <w:marRight w:val="0"/>
      <w:marTop w:val="0"/>
      <w:marBottom w:val="0"/>
      <w:divBdr>
        <w:top w:val="none" w:sz="0" w:space="0" w:color="auto"/>
        <w:left w:val="none" w:sz="0" w:space="0" w:color="auto"/>
        <w:bottom w:val="none" w:sz="0" w:space="0" w:color="auto"/>
        <w:right w:val="none" w:sz="0" w:space="0" w:color="auto"/>
      </w:divBdr>
    </w:div>
    <w:div w:id="1240366370">
      <w:bodyDiv w:val="1"/>
      <w:marLeft w:val="0"/>
      <w:marRight w:val="0"/>
      <w:marTop w:val="0"/>
      <w:marBottom w:val="0"/>
      <w:divBdr>
        <w:top w:val="none" w:sz="0" w:space="0" w:color="auto"/>
        <w:left w:val="none" w:sz="0" w:space="0" w:color="auto"/>
        <w:bottom w:val="none" w:sz="0" w:space="0" w:color="auto"/>
        <w:right w:val="none" w:sz="0" w:space="0" w:color="auto"/>
      </w:divBdr>
      <w:divsChild>
        <w:div w:id="1517769642">
          <w:marLeft w:val="0"/>
          <w:marRight w:val="0"/>
          <w:marTop w:val="0"/>
          <w:marBottom w:val="0"/>
          <w:divBdr>
            <w:top w:val="none" w:sz="0" w:space="0" w:color="auto"/>
            <w:left w:val="none" w:sz="0" w:space="0" w:color="auto"/>
            <w:bottom w:val="none" w:sz="0" w:space="0" w:color="auto"/>
            <w:right w:val="none" w:sz="0" w:space="0" w:color="auto"/>
          </w:divBdr>
        </w:div>
      </w:divsChild>
    </w:div>
    <w:div w:id="1356734642">
      <w:bodyDiv w:val="1"/>
      <w:marLeft w:val="0"/>
      <w:marRight w:val="0"/>
      <w:marTop w:val="0"/>
      <w:marBottom w:val="0"/>
      <w:divBdr>
        <w:top w:val="none" w:sz="0" w:space="0" w:color="auto"/>
        <w:left w:val="none" w:sz="0" w:space="0" w:color="auto"/>
        <w:bottom w:val="none" w:sz="0" w:space="0" w:color="auto"/>
        <w:right w:val="none" w:sz="0" w:space="0" w:color="auto"/>
      </w:divBdr>
      <w:divsChild>
        <w:div w:id="249051706">
          <w:marLeft w:val="0"/>
          <w:marRight w:val="0"/>
          <w:marTop w:val="0"/>
          <w:marBottom w:val="0"/>
          <w:divBdr>
            <w:top w:val="none" w:sz="0" w:space="0" w:color="auto"/>
            <w:left w:val="none" w:sz="0" w:space="0" w:color="auto"/>
            <w:bottom w:val="none" w:sz="0" w:space="0" w:color="auto"/>
            <w:right w:val="none" w:sz="0" w:space="0" w:color="auto"/>
          </w:divBdr>
        </w:div>
      </w:divsChild>
    </w:div>
    <w:div w:id="1367440351">
      <w:bodyDiv w:val="1"/>
      <w:marLeft w:val="0"/>
      <w:marRight w:val="0"/>
      <w:marTop w:val="0"/>
      <w:marBottom w:val="0"/>
      <w:divBdr>
        <w:top w:val="none" w:sz="0" w:space="0" w:color="auto"/>
        <w:left w:val="none" w:sz="0" w:space="0" w:color="auto"/>
        <w:bottom w:val="none" w:sz="0" w:space="0" w:color="auto"/>
        <w:right w:val="none" w:sz="0" w:space="0" w:color="auto"/>
      </w:divBdr>
      <w:divsChild>
        <w:div w:id="1861894204">
          <w:marLeft w:val="0"/>
          <w:marRight w:val="0"/>
          <w:marTop w:val="0"/>
          <w:marBottom w:val="0"/>
          <w:divBdr>
            <w:top w:val="none" w:sz="0" w:space="0" w:color="auto"/>
            <w:left w:val="none" w:sz="0" w:space="0" w:color="auto"/>
            <w:bottom w:val="none" w:sz="0" w:space="0" w:color="auto"/>
            <w:right w:val="none" w:sz="0" w:space="0" w:color="auto"/>
          </w:divBdr>
        </w:div>
      </w:divsChild>
    </w:div>
    <w:div w:id="1408765979">
      <w:bodyDiv w:val="1"/>
      <w:marLeft w:val="0"/>
      <w:marRight w:val="0"/>
      <w:marTop w:val="0"/>
      <w:marBottom w:val="0"/>
      <w:divBdr>
        <w:top w:val="none" w:sz="0" w:space="0" w:color="auto"/>
        <w:left w:val="none" w:sz="0" w:space="0" w:color="auto"/>
        <w:bottom w:val="none" w:sz="0" w:space="0" w:color="auto"/>
        <w:right w:val="none" w:sz="0" w:space="0" w:color="auto"/>
      </w:divBdr>
      <w:divsChild>
        <w:div w:id="1513303542">
          <w:marLeft w:val="0"/>
          <w:marRight w:val="0"/>
          <w:marTop w:val="0"/>
          <w:marBottom w:val="0"/>
          <w:divBdr>
            <w:top w:val="none" w:sz="0" w:space="0" w:color="auto"/>
            <w:left w:val="none" w:sz="0" w:space="0" w:color="auto"/>
            <w:bottom w:val="none" w:sz="0" w:space="0" w:color="auto"/>
            <w:right w:val="none" w:sz="0" w:space="0" w:color="auto"/>
          </w:divBdr>
        </w:div>
      </w:divsChild>
    </w:div>
    <w:div w:id="1459496573">
      <w:bodyDiv w:val="1"/>
      <w:marLeft w:val="0"/>
      <w:marRight w:val="0"/>
      <w:marTop w:val="0"/>
      <w:marBottom w:val="0"/>
      <w:divBdr>
        <w:top w:val="none" w:sz="0" w:space="0" w:color="auto"/>
        <w:left w:val="none" w:sz="0" w:space="0" w:color="auto"/>
        <w:bottom w:val="none" w:sz="0" w:space="0" w:color="auto"/>
        <w:right w:val="none" w:sz="0" w:space="0" w:color="auto"/>
      </w:divBdr>
      <w:divsChild>
        <w:div w:id="1596746949">
          <w:marLeft w:val="0"/>
          <w:marRight w:val="0"/>
          <w:marTop w:val="0"/>
          <w:marBottom w:val="0"/>
          <w:divBdr>
            <w:top w:val="none" w:sz="0" w:space="0" w:color="auto"/>
            <w:left w:val="none" w:sz="0" w:space="0" w:color="auto"/>
            <w:bottom w:val="none" w:sz="0" w:space="0" w:color="auto"/>
            <w:right w:val="none" w:sz="0" w:space="0" w:color="auto"/>
          </w:divBdr>
        </w:div>
      </w:divsChild>
    </w:div>
    <w:div w:id="1459838080">
      <w:bodyDiv w:val="1"/>
      <w:marLeft w:val="0"/>
      <w:marRight w:val="0"/>
      <w:marTop w:val="0"/>
      <w:marBottom w:val="0"/>
      <w:divBdr>
        <w:top w:val="none" w:sz="0" w:space="0" w:color="auto"/>
        <w:left w:val="none" w:sz="0" w:space="0" w:color="auto"/>
        <w:bottom w:val="none" w:sz="0" w:space="0" w:color="auto"/>
        <w:right w:val="none" w:sz="0" w:space="0" w:color="auto"/>
      </w:divBdr>
      <w:divsChild>
        <w:div w:id="1697269891">
          <w:marLeft w:val="0"/>
          <w:marRight w:val="0"/>
          <w:marTop w:val="0"/>
          <w:marBottom w:val="0"/>
          <w:divBdr>
            <w:top w:val="none" w:sz="0" w:space="0" w:color="auto"/>
            <w:left w:val="none" w:sz="0" w:space="0" w:color="auto"/>
            <w:bottom w:val="none" w:sz="0" w:space="0" w:color="auto"/>
            <w:right w:val="none" w:sz="0" w:space="0" w:color="auto"/>
          </w:divBdr>
        </w:div>
      </w:divsChild>
    </w:div>
    <w:div w:id="1461529087">
      <w:bodyDiv w:val="1"/>
      <w:marLeft w:val="0"/>
      <w:marRight w:val="0"/>
      <w:marTop w:val="0"/>
      <w:marBottom w:val="0"/>
      <w:divBdr>
        <w:top w:val="none" w:sz="0" w:space="0" w:color="auto"/>
        <w:left w:val="none" w:sz="0" w:space="0" w:color="auto"/>
        <w:bottom w:val="none" w:sz="0" w:space="0" w:color="auto"/>
        <w:right w:val="none" w:sz="0" w:space="0" w:color="auto"/>
      </w:divBdr>
    </w:div>
    <w:div w:id="1466853910">
      <w:bodyDiv w:val="1"/>
      <w:marLeft w:val="0"/>
      <w:marRight w:val="0"/>
      <w:marTop w:val="0"/>
      <w:marBottom w:val="0"/>
      <w:divBdr>
        <w:top w:val="none" w:sz="0" w:space="0" w:color="auto"/>
        <w:left w:val="none" w:sz="0" w:space="0" w:color="auto"/>
        <w:bottom w:val="none" w:sz="0" w:space="0" w:color="auto"/>
        <w:right w:val="none" w:sz="0" w:space="0" w:color="auto"/>
      </w:divBdr>
    </w:div>
    <w:div w:id="1954942141">
      <w:bodyDiv w:val="1"/>
      <w:marLeft w:val="0"/>
      <w:marRight w:val="0"/>
      <w:marTop w:val="0"/>
      <w:marBottom w:val="0"/>
      <w:divBdr>
        <w:top w:val="none" w:sz="0" w:space="0" w:color="auto"/>
        <w:left w:val="none" w:sz="0" w:space="0" w:color="auto"/>
        <w:bottom w:val="none" w:sz="0" w:space="0" w:color="auto"/>
        <w:right w:val="none" w:sz="0" w:space="0" w:color="auto"/>
      </w:divBdr>
      <w:divsChild>
        <w:div w:id="264266488">
          <w:marLeft w:val="0"/>
          <w:marRight w:val="0"/>
          <w:marTop w:val="0"/>
          <w:marBottom w:val="0"/>
          <w:divBdr>
            <w:top w:val="none" w:sz="0" w:space="0" w:color="auto"/>
            <w:left w:val="none" w:sz="0" w:space="0" w:color="auto"/>
            <w:bottom w:val="none" w:sz="0" w:space="0" w:color="auto"/>
            <w:right w:val="none" w:sz="0" w:space="0" w:color="auto"/>
          </w:divBdr>
        </w:div>
      </w:divsChild>
    </w:div>
    <w:div w:id="2087989468">
      <w:bodyDiv w:val="1"/>
      <w:marLeft w:val="0"/>
      <w:marRight w:val="0"/>
      <w:marTop w:val="0"/>
      <w:marBottom w:val="0"/>
      <w:divBdr>
        <w:top w:val="none" w:sz="0" w:space="0" w:color="auto"/>
        <w:left w:val="none" w:sz="0" w:space="0" w:color="auto"/>
        <w:bottom w:val="none" w:sz="0" w:space="0" w:color="auto"/>
        <w:right w:val="none" w:sz="0" w:space="0" w:color="auto"/>
      </w:divBdr>
      <w:divsChild>
        <w:div w:id="1045108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cuments\itti\bismillah\2.%20HASIL\lampiran\kurva%20kalibras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D" sz="1400" b="1">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Calibration Curve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trendlineLbl>
          </c:trendline>
          <c:xVal>
            <c:numRef>
              <c:f>Sheet1!$B$4:$B$11</c:f>
              <c:numCache>
                <c:formatCode>General</c:formatCode>
                <c:ptCount val="8"/>
                <c:pt idx="0">
                  <c:v>0.7</c:v>
                </c:pt>
                <c:pt idx="1">
                  <c:v>0.5</c:v>
                </c:pt>
                <c:pt idx="2">
                  <c:v>0.3</c:v>
                </c:pt>
                <c:pt idx="3">
                  <c:v>0.1</c:v>
                </c:pt>
                <c:pt idx="4">
                  <c:v>7.0000000000000007E-2</c:v>
                </c:pt>
                <c:pt idx="5">
                  <c:v>0.05</c:v>
                </c:pt>
                <c:pt idx="6">
                  <c:v>0.03</c:v>
                </c:pt>
                <c:pt idx="7">
                  <c:v>0.01</c:v>
                </c:pt>
              </c:numCache>
            </c:numRef>
          </c:xVal>
          <c:yVal>
            <c:numRef>
              <c:f>Sheet1!$C$4:$C$11</c:f>
              <c:numCache>
                <c:formatCode>General</c:formatCode>
                <c:ptCount val="8"/>
                <c:pt idx="0">
                  <c:v>0.443</c:v>
                </c:pt>
                <c:pt idx="1">
                  <c:v>0.29699999999999999</c:v>
                </c:pt>
                <c:pt idx="2">
                  <c:v>0.21</c:v>
                </c:pt>
                <c:pt idx="3">
                  <c:v>0.06</c:v>
                </c:pt>
                <c:pt idx="4">
                  <c:v>0.04</c:v>
                </c:pt>
                <c:pt idx="5">
                  <c:v>3.4000000000000002E-2</c:v>
                </c:pt>
                <c:pt idx="6">
                  <c:v>2.5000000000000001E-2</c:v>
                </c:pt>
                <c:pt idx="7">
                  <c:v>1.7000000000000001E-2</c:v>
                </c:pt>
              </c:numCache>
            </c:numRef>
          </c:y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1A8D-45A3-919E-8C9EB3995351}"/>
            </c:ext>
          </c:extLst>
        </c:ser>
        <c:dLbls>
          <c:showLegendKey val="0"/>
          <c:showVal val="0"/>
          <c:showCatName val="0"/>
          <c:showSerName val="0"/>
          <c:showPercent val="0"/>
          <c:showBubbleSize val="0"/>
        </c:dLbls>
        <c:axId val="1519712575"/>
        <c:axId val="1213199823"/>
      </c:scatterChart>
      <c:valAx>
        <c:axId val="1519712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b="1">
                    <a:solidFill>
                      <a:sysClr val="windowText" lastClr="000000"/>
                    </a:solidFill>
                    <a:latin typeface="Times New Roman" panose="02020603050405020304" pitchFamily="18" charset="0"/>
                    <a:cs typeface="Times New Roman" panose="02020603050405020304" pitchFamily="18" charset="0"/>
                  </a:rPr>
                  <a:t>Concentration (ppm)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13199823"/>
        <c:crosses val="autoZero"/>
        <c:crossBetween val="midCat"/>
      </c:valAx>
      <c:valAx>
        <c:axId val="12131998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b="1">
                    <a:solidFill>
                      <a:sysClr val="windowText" lastClr="000000"/>
                    </a:solidFill>
                    <a:latin typeface="Times New Roman" panose="02020603050405020304" pitchFamily="18" charset="0"/>
                    <a:cs typeface="Times New Roman" panose="02020603050405020304" pitchFamily="18" charset="0"/>
                  </a:rPr>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19712575"/>
        <c:crosses val="autoZero"/>
        <c:crossBetween val="midCat"/>
      </c:valAx>
      <c:spPr>
        <a:noFill/>
        <a:ln>
          <a:noFill/>
        </a:ln>
        <a:effectLst/>
      </c:spPr>
    </c:plotArea>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tx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5842</Words>
  <Characters>33301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asus221263@outlook.com</dc:creator>
  <cp:keywords>, docId:85EABAEE8B9CBC889E5DA78C69A72F46</cp:keywords>
  <dc:description/>
  <cp:lastModifiedBy>Editor-90</cp:lastModifiedBy>
  <cp:revision>5</cp:revision>
  <dcterms:created xsi:type="dcterms:W3CDTF">2025-11-25T08:25:00Z</dcterms:created>
  <dcterms:modified xsi:type="dcterms:W3CDTF">2025-11-25T10:34:00Z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id="43fxULhF"/&gt;&lt;style id="http://www.zotero.org/styles/apa" locale="en-US" hasBibliography="1" bibliographyStyleHasBeenSet="1"/&gt;&lt;prefs&gt;&lt;pref name="fieldType" value="Field"/&gt;&lt;/prefs&gt;&lt;/data&gt;</vt:lpwstr>
  </property>
</Properties>
</file>