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60E32" w14:textId="77777777" w:rsidR="00CF2134" w:rsidRPr="00CF2134" w:rsidRDefault="00CF2134" w:rsidP="00CF2134">
      <w:pPr>
        <w:pStyle w:val="Author"/>
        <w:rPr>
          <w:rFonts w:ascii="Arial" w:hAnsi="Arial" w:cs="Arial"/>
          <w:bCs/>
          <w:i/>
          <w:iCs/>
          <w:kern w:val="28"/>
          <w:sz w:val="32"/>
          <w:szCs w:val="18"/>
          <w:u w:val="single"/>
        </w:rPr>
      </w:pPr>
      <w:r w:rsidRPr="00CF2134">
        <w:rPr>
          <w:rFonts w:ascii="Arial" w:hAnsi="Arial" w:cs="Arial"/>
          <w:bCs/>
          <w:i/>
          <w:iCs/>
          <w:kern w:val="28"/>
          <w:sz w:val="32"/>
          <w:szCs w:val="18"/>
          <w:u w:val="single"/>
        </w:rPr>
        <w:t xml:space="preserve">Case report </w:t>
      </w:r>
    </w:p>
    <w:p w14:paraId="2F04E64A" w14:textId="77777777" w:rsidR="00CF2134" w:rsidRDefault="00CF2134" w:rsidP="00227F64">
      <w:pPr>
        <w:pStyle w:val="Author"/>
        <w:spacing w:line="240" w:lineRule="auto"/>
        <w:rPr>
          <w:rFonts w:ascii="Arial" w:hAnsi="Arial" w:cs="Arial"/>
          <w:bCs/>
          <w:iCs/>
          <w:kern w:val="28"/>
          <w:sz w:val="36"/>
        </w:rPr>
      </w:pPr>
    </w:p>
    <w:p w14:paraId="3C2B9CF9" w14:textId="08AB4F11" w:rsidR="00227F64" w:rsidRPr="00227F64" w:rsidRDefault="00227F64" w:rsidP="00227F64">
      <w:pPr>
        <w:pStyle w:val="Author"/>
        <w:spacing w:line="240" w:lineRule="auto"/>
        <w:rPr>
          <w:rFonts w:ascii="Arial" w:hAnsi="Arial" w:cs="Arial"/>
          <w:bCs/>
          <w:iCs/>
          <w:kern w:val="28"/>
          <w:sz w:val="36"/>
        </w:rPr>
      </w:pPr>
      <w:r w:rsidRPr="00227F64">
        <w:rPr>
          <w:rFonts w:ascii="Arial" w:hAnsi="Arial" w:cs="Arial"/>
          <w:bCs/>
          <w:iCs/>
          <w:kern w:val="28"/>
          <w:sz w:val="36"/>
        </w:rPr>
        <w:t xml:space="preserve">Successful management of acute </w:t>
      </w:r>
      <w:proofErr w:type="spellStart"/>
      <w:r w:rsidRPr="00227F64">
        <w:rPr>
          <w:rFonts w:ascii="Arial" w:hAnsi="Arial" w:cs="Arial"/>
          <w:bCs/>
          <w:iCs/>
          <w:kern w:val="28"/>
          <w:sz w:val="36"/>
        </w:rPr>
        <w:t>glufosinate</w:t>
      </w:r>
      <w:proofErr w:type="spellEnd"/>
      <w:r w:rsidRPr="00227F64">
        <w:rPr>
          <w:rFonts w:ascii="Arial" w:hAnsi="Arial" w:cs="Arial"/>
          <w:bCs/>
          <w:iCs/>
          <w:kern w:val="28"/>
          <w:sz w:val="36"/>
        </w:rPr>
        <w:t xml:space="preserve"> ammonium(herbicide) toxicity in a non-descriptive dog</w:t>
      </w:r>
    </w:p>
    <w:p w14:paraId="7031C968"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41088987" w14:textId="77777777" w:rsidR="00A258C3" w:rsidRPr="00790ADA" w:rsidRDefault="00A258C3" w:rsidP="00441B6F">
      <w:pPr>
        <w:pStyle w:val="Author"/>
        <w:spacing w:line="240" w:lineRule="auto"/>
        <w:jc w:val="both"/>
        <w:rPr>
          <w:rFonts w:ascii="Arial" w:hAnsi="Arial" w:cs="Arial"/>
          <w:sz w:val="36"/>
        </w:rPr>
      </w:pPr>
    </w:p>
    <w:p w14:paraId="10D01780" w14:textId="6E885060" w:rsidR="0091142B" w:rsidRDefault="0091142B" w:rsidP="00441B6F">
      <w:pPr>
        <w:pStyle w:val="AbstHead"/>
        <w:spacing w:after="0"/>
        <w:jc w:val="both"/>
        <w:rPr>
          <w:rFonts w:ascii="Arial" w:hAnsi="Arial" w:cs="Arial"/>
        </w:rPr>
      </w:pPr>
    </w:p>
    <w:p w14:paraId="0D421A1B" w14:textId="77777777" w:rsidR="0091142B" w:rsidRDefault="0091142B" w:rsidP="00441B6F">
      <w:pPr>
        <w:pStyle w:val="AbstHead"/>
        <w:spacing w:after="0"/>
        <w:jc w:val="both"/>
        <w:rPr>
          <w:rFonts w:ascii="Arial" w:hAnsi="Arial" w:cs="Arial"/>
        </w:rPr>
      </w:pPr>
    </w:p>
    <w:p w14:paraId="596815C3" w14:textId="09DD639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17C0D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CE4D1C4" w14:textId="77777777" w:rsidTr="001E44FE">
        <w:tc>
          <w:tcPr>
            <w:tcW w:w="9576" w:type="dxa"/>
            <w:shd w:val="clear" w:color="auto" w:fill="F2F2F2"/>
          </w:tcPr>
          <w:p w14:paraId="6F4ED51E" w14:textId="77777777" w:rsidR="003E28D9" w:rsidRPr="00DD1015" w:rsidRDefault="003E28D9" w:rsidP="003E28D9">
            <w:pPr>
              <w:widowControl w:val="0"/>
              <w:autoSpaceDE w:val="0"/>
              <w:autoSpaceDN w:val="0"/>
              <w:spacing w:before="182" w:line="259" w:lineRule="auto"/>
              <w:ind w:right="352" w:firstLine="720"/>
              <w:jc w:val="both"/>
              <w:rPr>
                <w:rFonts w:ascii="Arial" w:eastAsia="Calibri" w:hAnsi="Arial" w:cs="Arial"/>
                <w:sz w:val="22"/>
                <w:szCs w:val="22"/>
              </w:rPr>
            </w:pPr>
            <w:r w:rsidRPr="00DD1015">
              <w:rPr>
                <w:rFonts w:ascii="Arial" w:eastAsia="Calibri" w:hAnsi="Arial" w:cs="Arial"/>
                <w:sz w:val="22"/>
                <w:szCs w:val="22"/>
              </w:rPr>
              <w:t>A seven month old, male , mongrel dog weighing eleven and half kilograms was presented to the college hospital</w:t>
            </w:r>
            <w:r w:rsidRPr="00DD1015">
              <w:rPr>
                <w:rFonts w:ascii="Arial" w:eastAsia="Calibri" w:hAnsi="Arial" w:cs="Arial"/>
                <w:spacing w:val="40"/>
                <w:sz w:val="22"/>
                <w:szCs w:val="22"/>
              </w:rPr>
              <w:t xml:space="preserve"> </w:t>
            </w:r>
            <w:r w:rsidRPr="00DD1015">
              <w:rPr>
                <w:rFonts w:ascii="Arial" w:eastAsia="Calibri" w:hAnsi="Arial" w:cs="Arial"/>
                <w:sz w:val="22"/>
                <w:szCs w:val="22"/>
              </w:rPr>
              <w:t xml:space="preserve">under recumbency with signs of </w:t>
            </w:r>
            <w:proofErr w:type="spellStart"/>
            <w:r w:rsidRPr="00DD1015">
              <w:rPr>
                <w:rFonts w:ascii="Arial" w:eastAsia="Calibri" w:hAnsi="Arial" w:cs="Arial"/>
                <w:sz w:val="22"/>
                <w:szCs w:val="22"/>
              </w:rPr>
              <w:t>diarrhoea</w:t>
            </w:r>
            <w:proofErr w:type="spellEnd"/>
            <w:r w:rsidRPr="00DD1015">
              <w:rPr>
                <w:rFonts w:ascii="Arial" w:eastAsia="Calibri" w:hAnsi="Arial" w:cs="Arial"/>
                <w:sz w:val="22"/>
                <w:szCs w:val="22"/>
              </w:rPr>
              <w:t>, shivering, salivation, seizures and hyperesthesia since two hours.</w:t>
            </w:r>
            <w:r w:rsidRPr="00DD1015">
              <w:rPr>
                <w:rFonts w:ascii="Arial" w:eastAsia="Calibri" w:hAnsi="Arial" w:cs="Arial"/>
                <w:spacing w:val="-1"/>
                <w:sz w:val="22"/>
                <w:szCs w:val="22"/>
              </w:rPr>
              <w:t xml:space="preserve"> </w:t>
            </w:r>
            <w:r w:rsidRPr="00DD1015">
              <w:rPr>
                <w:rFonts w:ascii="Arial" w:eastAsia="Calibri" w:hAnsi="Arial" w:cs="Arial"/>
                <w:sz w:val="22"/>
                <w:szCs w:val="22"/>
              </w:rPr>
              <w:t>following</w:t>
            </w:r>
            <w:r w:rsidRPr="00DD1015">
              <w:rPr>
                <w:rFonts w:ascii="Arial" w:eastAsia="Calibri" w:hAnsi="Arial" w:cs="Arial"/>
                <w:spacing w:val="-2"/>
                <w:sz w:val="22"/>
                <w:szCs w:val="22"/>
              </w:rPr>
              <w:t xml:space="preserve"> accidental </w:t>
            </w:r>
            <w:r w:rsidRPr="00DD1015">
              <w:rPr>
                <w:rFonts w:ascii="Arial" w:eastAsia="Calibri" w:hAnsi="Arial" w:cs="Arial"/>
                <w:sz w:val="22"/>
                <w:szCs w:val="22"/>
              </w:rPr>
              <w:t>ingestion</w:t>
            </w:r>
            <w:r w:rsidRPr="00DD1015">
              <w:rPr>
                <w:rFonts w:ascii="Arial" w:eastAsia="Calibri" w:hAnsi="Arial" w:cs="Arial"/>
                <w:spacing w:val="-2"/>
                <w:sz w:val="22"/>
                <w:szCs w:val="22"/>
              </w:rPr>
              <w:t xml:space="preserve"> </w:t>
            </w:r>
            <w:r w:rsidRPr="00DD1015">
              <w:rPr>
                <w:rFonts w:ascii="Arial" w:eastAsia="Calibri" w:hAnsi="Arial" w:cs="Arial"/>
                <w:sz w:val="22"/>
                <w:szCs w:val="22"/>
              </w:rPr>
              <w:t>of</w:t>
            </w:r>
            <w:r w:rsidRPr="00DD1015">
              <w:rPr>
                <w:rFonts w:ascii="Arial" w:eastAsia="Calibri" w:hAnsi="Arial" w:cs="Arial"/>
                <w:spacing w:val="-1"/>
                <w:sz w:val="22"/>
                <w:szCs w:val="22"/>
              </w:rPr>
              <w:t xml:space="preserve"> </w:t>
            </w:r>
            <w:r w:rsidRPr="00DD1015">
              <w:rPr>
                <w:rFonts w:ascii="Arial" w:eastAsia="Calibri" w:hAnsi="Arial" w:cs="Arial"/>
                <w:sz w:val="22"/>
                <w:szCs w:val="22"/>
              </w:rPr>
              <w:t xml:space="preserve">grass treated with </w:t>
            </w:r>
            <w:proofErr w:type="spellStart"/>
            <w:r w:rsidRPr="00DD1015">
              <w:rPr>
                <w:rFonts w:ascii="Arial" w:eastAsia="Calibri" w:hAnsi="Arial" w:cs="Arial"/>
                <w:sz w:val="22"/>
                <w:szCs w:val="22"/>
              </w:rPr>
              <w:t>Glufosinate</w:t>
            </w:r>
            <w:proofErr w:type="spellEnd"/>
            <w:r w:rsidRPr="00DD1015">
              <w:rPr>
                <w:rFonts w:ascii="Arial" w:eastAsia="Calibri" w:hAnsi="Arial" w:cs="Arial"/>
                <w:sz w:val="22"/>
                <w:szCs w:val="22"/>
              </w:rPr>
              <w:t xml:space="preserve"> Ammonium</w:t>
            </w:r>
            <w:r w:rsidRPr="00DD1015">
              <w:rPr>
                <w:rFonts w:ascii="Arial" w:eastAsia="Calibri" w:hAnsi="Arial" w:cs="Arial"/>
                <w:spacing w:val="-4"/>
                <w:sz w:val="22"/>
                <w:szCs w:val="22"/>
              </w:rPr>
              <w:t xml:space="preserve"> </w:t>
            </w:r>
            <w:r w:rsidRPr="00DD1015">
              <w:rPr>
                <w:rFonts w:ascii="Arial" w:eastAsia="Calibri" w:hAnsi="Arial" w:cs="Arial"/>
                <w:sz w:val="22"/>
                <w:szCs w:val="22"/>
              </w:rPr>
              <w:t>13.5%</w:t>
            </w:r>
            <w:r w:rsidRPr="00DD1015">
              <w:rPr>
                <w:rFonts w:ascii="Arial" w:eastAsia="Calibri" w:hAnsi="Arial" w:cs="Arial"/>
                <w:spacing w:val="-1"/>
                <w:sz w:val="22"/>
                <w:szCs w:val="22"/>
              </w:rPr>
              <w:t xml:space="preserve"> </w:t>
            </w:r>
            <w:r w:rsidRPr="00DD1015">
              <w:rPr>
                <w:rFonts w:ascii="Arial" w:eastAsia="Calibri" w:hAnsi="Arial" w:cs="Arial"/>
                <w:sz w:val="22"/>
                <w:szCs w:val="22"/>
              </w:rPr>
              <w:t>w/w</w:t>
            </w:r>
            <w:r w:rsidRPr="00DD1015">
              <w:rPr>
                <w:rFonts w:ascii="Arial" w:eastAsia="Calibri" w:hAnsi="Arial" w:cs="Arial"/>
                <w:spacing w:val="-2"/>
                <w:sz w:val="22"/>
                <w:szCs w:val="22"/>
              </w:rPr>
              <w:t xml:space="preserve"> </w:t>
            </w:r>
            <w:r w:rsidRPr="00DD1015">
              <w:rPr>
                <w:rFonts w:ascii="Arial" w:eastAsia="Calibri" w:hAnsi="Arial" w:cs="Arial"/>
                <w:sz w:val="22"/>
                <w:szCs w:val="22"/>
              </w:rPr>
              <w:t>SL (</w:t>
            </w:r>
            <w:proofErr w:type="spellStart"/>
            <w:r w:rsidRPr="00DD1015">
              <w:rPr>
                <w:rFonts w:ascii="Arial" w:eastAsia="Calibri" w:hAnsi="Arial" w:cs="Arial"/>
                <w:sz w:val="22"/>
                <w:szCs w:val="22"/>
              </w:rPr>
              <w:t>Synkill</w:t>
            </w:r>
            <w:proofErr w:type="spellEnd"/>
            <w:r w:rsidRPr="00DD1015">
              <w:rPr>
                <w:rFonts w:ascii="Arial" w:eastAsia="Calibri" w:hAnsi="Arial" w:cs="Arial"/>
                <w:sz w:val="22"/>
                <w:szCs w:val="22"/>
              </w:rPr>
              <w:t xml:space="preserve">®) twenty four hours ago. Detailed  clinical and physical examinations of the  patient was carried out and emergency therapeutic management was undertaken in the dog by oral administration of activated charcoal @ 2g/kg </w:t>
            </w:r>
            <w:proofErr w:type="spellStart"/>
            <w:r w:rsidRPr="00DD1015">
              <w:rPr>
                <w:rFonts w:ascii="Arial" w:eastAsia="Calibri" w:hAnsi="Arial" w:cs="Arial"/>
                <w:sz w:val="22"/>
                <w:szCs w:val="22"/>
              </w:rPr>
              <w:t>bw</w:t>
            </w:r>
            <w:proofErr w:type="spellEnd"/>
            <w:r w:rsidRPr="00DD1015">
              <w:rPr>
                <w:rFonts w:ascii="Arial" w:eastAsia="Calibri" w:hAnsi="Arial" w:cs="Arial"/>
                <w:sz w:val="22"/>
                <w:szCs w:val="22"/>
              </w:rPr>
              <w:t>,</w:t>
            </w:r>
            <w:r w:rsidRPr="00DD1015" w:rsidDel="001B5140">
              <w:rPr>
                <w:rFonts w:ascii="Arial" w:eastAsia="Calibri" w:hAnsi="Arial" w:cs="Arial"/>
                <w:sz w:val="22"/>
                <w:szCs w:val="22"/>
              </w:rPr>
              <w:t xml:space="preserve"> </w:t>
            </w:r>
            <w:r w:rsidRPr="00DD1015">
              <w:rPr>
                <w:rFonts w:ascii="Arial" w:eastAsia="Calibri" w:hAnsi="Arial" w:cs="Arial"/>
                <w:sz w:val="22"/>
                <w:szCs w:val="22"/>
              </w:rPr>
              <w:t xml:space="preserve">, intramuscular administration of inj. atropine sulphate @ 0.02mg/kg- and </w:t>
            </w:r>
            <w:proofErr w:type="spellStart"/>
            <w:r w:rsidRPr="00DD1015">
              <w:rPr>
                <w:rFonts w:ascii="Arial" w:eastAsia="Calibri" w:hAnsi="Arial" w:cs="Arial"/>
                <w:sz w:val="22"/>
                <w:szCs w:val="22"/>
              </w:rPr>
              <w:t>inj.midazolam</w:t>
            </w:r>
            <w:proofErr w:type="spellEnd"/>
            <w:r w:rsidRPr="00DD1015">
              <w:rPr>
                <w:rFonts w:ascii="Arial" w:eastAsia="Calibri" w:hAnsi="Arial" w:cs="Arial"/>
                <w:sz w:val="22"/>
                <w:szCs w:val="22"/>
              </w:rPr>
              <w:t xml:space="preserve"> @ 1mg/kg along with the supportive medication. . The  dog was  monitored using    electrocardiography and vital parameters. Uneventful recovery was noticed  four hours following therapy.</w:t>
            </w:r>
          </w:p>
          <w:p w14:paraId="3E52E340" w14:textId="77777777" w:rsidR="00505F06" w:rsidRPr="00BA1B01" w:rsidRDefault="00505F06" w:rsidP="00441B6F">
            <w:pPr>
              <w:pStyle w:val="Body"/>
              <w:spacing w:after="0"/>
              <w:rPr>
                <w:rFonts w:ascii="Arial" w:eastAsia="Calibri" w:hAnsi="Arial" w:cs="Arial"/>
                <w:szCs w:val="22"/>
              </w:rPr>
            </w:pPr>
          </w:p>
        </w:tc>
      </w:tr>
    </w:tbl>
    <w:p w14:paraId="414FF291" w14:textId="77777777" w:rsidR="00636EB2" w:rsidRDefault="00636EB2" w:rsidP="00441B6F">
      <w:pPr>
        <w:pStyle w:val="Body"/>
        <w:spacing w:after="0"/>
        <w:rPr>
          <w:rFonts w:ascii="Arial" w:hAnsi="Arial" w:cs="Arial"/>
          <w:i/>
        </w:rPr>
      </w:pPr>
    </w:p>
    <w:p w14:paraId="33197E84" w14:textId="77777777" w:rsidR="003E28D9" w:rsidRPr="003E28D9" w:rsidRDefault="00A24E7E" w:rsidP="003E28D9">
      <w:pPr>
        <w:pStyle w:val="Body"/>
        <w:spacing w:after="0"/>
        <w:rPr>
          <w:rFonts w:ascii="Arial" w:hAnsi="Arial" w:cs="Arial"/>
          <w:i/>
        </w:rPr>
      </w:pPr>
      <w:r>
        <w:rPr>
          <w:rFonts w:ascii="Arial" w:hAnsi="Arial" w:cs="Arial"/>
          <w:i/>
        </w:rPr>
        <w:t xml:space="preserve">Keywords: </w:t>
      </w:r>
      <w:proofErr w:type="spellStart"/>
      <w:r w:rsidR="003E28D9" w:rsidRPr="003E28D9">
        <w:rPr>
          <w:rFonts w:ascii="Arial" w:hAnsi="Arial" w:cs="Arial"/>
          <w:i/>
        </w:rPr>
        <w:t>Glufosinate</w:t>
      </w:r>
      <w:proofErr w:type="spellEnd"/>
      <w:r w:rsidR="003E28D9" w:rsidRPr="003E28D9">
        <w:rPr>
          <w:rFonts w:ascii="Arial" w:hAnsi="Arial" w:cs="Arial"/>
          <w:i/>
        </w:rPr>
        <w:t xml:space="preserve"> ammonium , Dog, poisoning, herbicide, Prolonged QT interval</w:t>
      </w:r>
    </w:p>
    <w:p w14:paraId="74175F9F" w14:textId="77777777" w:rsidR="00790ADA" w:rsidRDefault="00790ADA" w:rsidP="00441B6F">
      <w:pPr>
        <w:pStyle w:val="Body"/>
        <w:spacing w:after="0"/>
        <w:rPr>
          <w:rFonts w:ascii="Arial" w:hAnsi="Arial" w:cs="Arial"/>
          <w:i/>
        </w:rPr>
      </w:pPr>
    </w:p>
    <w:p w14:paraId="4DFBF357" w14:textId="77777777" w:rsidR="00505F06" w:rsidRPr="00A24E7E" w:rsidRDefault="00505F06" w:rsidP="00441B6F">
      <w:pPr>
        <w:pStyle w:val="Body"/>
        <w:spacing w:after="0"/>
        <w:rPr>
          <w:rFonts w:ascii="Arial" w:hAnsi="Arial" w:cs="Arial"/>
          <w:i/>
        </w:rPr>
      </w:pPr>
    </w:p>
    <w:p w14:paraId="55B3219A"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1CF858" w14:textId="77777777" w:rsidR="0061261A" w:rsidRPr="0061261A" w:rsidRDefault="0061261A" w:rsidP="0061261A">
      <w:pPr>
        <w:pStyle w:val="Body"/>
        <w:rPr>
          <w:rFonts w:ascii="Arial" w:hAnsi="Arial" w:cs="Arial"/>
        </w:rPr>
      </w:pPr>
      <w:commentRangeStart w:id="0"/>
      <w:r w:rsidRPr="0061261A">
        <w:rPr>
          <w:rFonts w:ascii="Arial" w:hAnsi="Arial" w:cs="Arial"/>
        </w:rPr>
        <w:t xml:space="preserve">Herbicides are used routinely to control noxious plants and have also been used in warfare and conflict. </w:t>
      </w:r>
      <w:proofErr w:type="spellStart"/>
      <w:r w:rsidRPr="0061261A">
        <w:rPr>
          <w:rFonts w:ascii="Arial" w:hAnsi="Arial" w:cs="Arial"/>
        </w:rPr>
        <w:t>Glufosinate</w:t>
      </w:r>
      <w:proofErr w:type="spellEnd"/>
      <w:r w:rsidRPr="0061261A">
        <w:rPr>
          <w:rFonts w:ascii="Arial" w:hAnsi="Arial" w:cs="Arial"/>
        </w:rPr>
        <w:t xml:space="preserve"> ammonium is a widely used broad-spectrum herbicide, especially in herbicide-tolerant crops  </w:t>
      </w:r>
      <w:proofErr w:type="spellStart"/>
      <w:r w:rsidRPr="0061261A">
        <w:rPr>
          <w:rFonts w:ascii="Arial" w:hAnsi="Arial" w:cs="Arial"/>
        </w:rPr>
        <w:t>Glufosinate</w:t>
      </w:r>
      <w:proofErr w:type="spellEnd"/>
      <w:r w:rsidRPr="0061261A">
        <w:rPr>
          <w:rFonts w:ascii="Arial" w:hAnsi="Arial" w:cs="Arial"/>
        </w:rPr>
        <w:t xml:space="preserve"> is  glutamic acid analogue ( Excitatory neuro transmitter) and this herbicide inhibits glutamine </w:t>
      </w:r>
      <w:proofErr w:type="spellStart"/>
      <w:r w:rsidRPr="0061261A">
        <w:rPr>
          <w:rFonts w:ascii="Arial" w:hAnsi="Arial" w:cs="Arial"/>
        </w:rPr>
        <w:t>synthatase</w:t>
      </w:r>
      <w:proofErr w:type="spellEnd"/>
      <w:r w:rsidRPr="0061261A">
        <w:rPr>
          <w:rFonts w:ascii="Arial" w:hAnsi="Arial" w:cs="Arial"/>
        </w:rPr>
        <w:t xml:space="preserve"> and glutamine </w:t>
      </w:r>
      <w:proofErr w:type="spellStart"/>
      <w:r w:rsidRPr="0061261A">
        <w:rPr>
          <w:rFonts w:ascii="Arial" w:hAnsi="Arial" w:cs="Arial"/>
        </w:rPr>
        <w:t>decorbaxylase</w:t>
      </w:r>
      <w:proofErr w:type="spellEnd"/>
      <w:r w:rsidRPr="0061261A">
        <w:rPr>
          <w:rFonts w:ascii="Arial" w:hAnsi="Arial" w:cs="Arial"/>
        </w:rPr>
        <w:t xml:space="preserve"> </w:t>
      </w:r>
      <w:proofErr w:type="spellStart"/>
      <w:r w:rsidRPr="0061261A">
        <w:rPr>
          <w:rFonts w:ascii="Arial" w:hAnsi="Arial" w:cs="Arial"/>
        </w:rPr>
        <w:t>therby</w:t>
      </w:r>
      <w:proofErr w:type="spellEnd"/>
      <w:r w:rsidRPr="0061261A">
        <w:rPr>
          <w:rFonts w:ascii="Arial" w:hAnsi="Arial" w:cs="Arial"/>
        </w:rPr>
        <w:t xml:space="preserve"> reduces glutamine synthesis, results in CNS signs like convulsions, loss of consciousness, memory loss , respiratory distress and changes in </w:t>
      </w:r>
      <w:proofErr w:type="spellStart"/>
      <w:r w:rsidRPr="0061261A">
        <w:rPr>
          <w:rFonts w:ascii="Arial" w:hAnsi="Arial" w:cs="Arial"/>
        </w:rPr>
        <w:t>haemodynamics</w:t>
      </w:r>
      <w:proofErr w:type="spellEnd"/>
      <w:r w:rsidRPr="0061261A">
        <w:rPr>
          <w:rFonts w:ascii="Arial" w:hAnsi="Arial" w:cs="Arial"/>
        </w:rPr>
        <w:t xml:space="preserve"> may leads to shock and heart failure.      .   </w:t>
      </w:r>
      <w:proofErr w:type="spellStart"/>
      <w:r w:rsidRPr="0061261A">
        <w:rPr>
          <w:rFonts w:ascii="Arial" w:hAnsi="Arial" w:cs="Arial"/>
        </w:rPr>
        <w:t>Glufosinate</w:t>
      </w:r>
      <w:proofErr w:type="spellEnd"/>
      <w:r w:rsidRPr="0061261A">
        <w:rPr>
          <w:rFonts w:ascii="Arial" w:hAnsi="Arial" w:cs="Arial"/>
        </w:rPr>
        <w:t xml:space="preserve"> ammonium is a highly hazardous herbicide associated with reproductive, neurological, and cardiovascular toxicity and </w:t>
      </w:r>
      <w:proofErr w:type="spellStart"/>
      <w:r w:rsidRPr="0061261A">
        <w:rPr>
          <w:rFonts w:ascii="Arial" w:hAnsi="Arial" w:cs="Arial"/>
        </w:rPr>
        <w:t>foetal</w:t>
      </w:r>
      <w:proofErr w:type="spellEnd"/>
      <w:r w:rsidRPr="0061261A">
        <w:rPr>
          <w:rFonts w:ascii="Arial" w:hAnsi="Arial" w:cs="Arial"/>
        </w:rPr>
        <w:t xml:space="preserve"> toxicity(</w:t>
      </w:r>
      <w:proofErr w:type="spellStart"/>
      <w:r w:rsidRPr="0061261A">
        <w:rPr>
          <w:rFonts w:ascii="Arial" w:hAnsi="Arial" w:cs="Arial"/>
        </w:rPr>
        <w:t>Donti</w:t>
      </w:r>
      <w:proofErr w:type="spellEnd"/>
      <w:r w:rsidRPr="0061261A">
        <w:rPr>
          <w:rFonts w:ascii="Arial" w:hAnsi="Arial" w:cs="Arial"/>
        </w:rPr>
        <w:t xml:space="preserve"> and Kumar ,2022; Kim, 2021).</w:t>
      </w:r>
      <w:commentRangeEnd w:id="0"/>
      <w:r w:rsidR="00A22D38">
        <w:rPr>
          <w:rStyle w:val="CommentReference"/>
          <w:rFonts w:ascii="Times New Roman" w:hAnsi="Times New Roman"/>
          <w:lang w:val="nb-NO" w:eastAsia="nb-NO"/>
        </w:rPr>
        <w:commentReference w:id="0"/>
      </w:r>
    </w:p>
    <w:p w14:paraId="76703B48" w14:textId="77777777" w:rsidR="0061261A" w:rsidRPr="0061261A" w:rsidRDefault="0061261A" w:rsidP="0061261A">
      <w:pPr>
        <w:pStyle w:val="Body"/>
        <w:rPr>
          <w:rFonts w:ascii="Arial" w:hAnsi="Arial" w:cs="Arial"/>
        </w:rPr>
      </w:pPr>
      <w:r w:rsidRPr="0061261A">
        <w:rPr>
          <w:rFonts w:ascii="Arial" w:hAnsi="Arial" w:cs="Arial"/>
        </w:rPr>
        <w:t xml:space="preserve">Symptoms following oral exposure include protruding eyes, convulsions, trembling and irregular respiration in rats, convulsions and irregular respiration in mice and trembling, diarrhea, and disequilibrium in dogs. Following dermal exposure, </w:t>
      </w:r>
      <w:proofErr w:type="spellStart"/>
      <w:r w:rsidRPr="0061261A">
        <w:rPr>
          <w:rFonts w:ascii="Arial" w:hAnsi="Arial" w:cs="Arial"/>
        </w:rPr>
        <w:t>symperactivity</w:t>
      </w:r>
      <w:proofErr w:type="spellEnd"/>
      <w:r w:rsidRPr="0061261A">
        <w:rPr>
          <w:rFonts w:ascii="Arial" w:hAnsi="Arial" w:cs="Arial"/>
        </w:rPr>
        <w:t xml:space="preserve">, convulsions, and aggressiveness in rats </w:t>
      </w:r>
      <w:commentRangeStart w:id="1"/>
      <w:r w:rsidRPr="0061261A">
        <w:rPr>
          <w:rFonts w:ascii="Arial" w:hAnsi="Arial" w:cs="Arial"/>
        </w:rPr>
        <w:t xml:space="preserve">( Reference) </w:t>
      </w:r>
      <w:commentRangeEnd w:id="1"/>
      <w:r w:rsidR="00A22D38">
        <w:rPr>
          <w:rStyle w:val="CommentReference"/>
          <w:rFonts w:ascii="Times New Roman" w:hAnsi="Times New Roman"/>
          <w:lang w:val="nb-NO" w:eastAsia="nb-NO"/>
        </w:rPr>
        <w:commentReference w:id="1"/>
      </w:r>
    </w:p>
    <w:p w14:paraId="4A9F27E6" w14:textId="77777777" w:rsidR="0061261A" w:rsidRPr="0061261A" w:rsidRDefault="0061261A" w:rsidP="0061261A">
      <w:pPr>
        <w:pStyle w:val="Body"/>
        <w:rPr>
          <w:rFonts w:ascii="Arial" w:hAnsi="Arial" w:cs="Arial"/>
        </w:rPr>
      </w:pPr>
      <w:commentRangeStart w:id="2"/>
      <w:r w:rsidRPr="0061261A">
        <w:rPr>
          <w:rFonts w:ascii="Arial" w:hAnsi="Arial" w:cs="Arial"/>
        </w:rPr>
        <w:t xml:space="preserve">           Available information on environmental impacts shows harmful effects of </w:t>
      </w:r>
      <w:proofErr w:type="spellStart"/>
      <w:r w:rsidRPr="0061261A">
        <w:rPr>
          <w:rFonts w:ascii="Arial" w:hAnsi="Arial" w:cs="Arial"/>
        </w:rPr>
        <w:t>glufosinate</w:t>
      </w:r>
      <w:proofErr w:type="spellEnd"/>
      <w:r w:rsidRPr="0061261A">
        <w:rPr>
          <w:rFonts w:ascii="Arial" w:hAnsi="Arial" w:cs="Arial"/>
        </w:rPr>
        <w:t xml:space="preserve"> usage on living organisms, high risk to mammals, high toxicity on beneficial insects low to </w:t>
      </w:r>
      <w:r w:rsidRPr="0061261A">
        <w:rPr>
          <w:rFonts w:ascii="Arial" w:hAnsi="Arial" w:cs="Arial"/>
        </w:rPr>
        <w:lastRenderedPageBreak/>
        <w:t xml:space="preserve">moderate risk to aquatic animals, birds, bees, earthworms, other soil non-target macro-organisms and soil micro-organisms reported. Due to its acute and chronic adverse health effects, it has been banned in 29 countries. Though it is registered and approved for use in India, for weed control in tea and cotton </w:t>
      </w:r>
      <w:proofErr w:type="spellStart"/>
      <w:r w:rsidRPr="0061261A">
        <w:rPr>
          <w:rFonts w:ascii="Arial" w:hAnsi="Arial" w:cs="Arial"/>
        </w:rPr>
        <w:t>crops.it,s</w:t>
      </w:r>
      <w:proofErr w:type="spellEnd"/>
      <w:r w:rsidRPr="0061261A">
        <w:rPr>
          <w:rFonts w:ascii="Arial" w:hAnsi="Arial" w:cs="Arial"/>
        </w:rPr>
        <w:t xml:space="preserve"> wider non approved use result in higher exposure to humans and animals, thus increasing likelihood of adverse effects( Donti and Kumar ,2022)  ).</w:t>
      </w:r>
      <w:commentRangeEnd w:id="2"/>
      <w:r w:rsidR="00A22D38">
        <w:rPr>
          <w:rStyle w:val="CommentReference"/>
          <w:rFonts w:ascii="Times New Roman" w:hAnsi="Times New Roman"/>
          <w:lang w:val="nb-NO" w:eastAsia="nb-NO"/>
        </w:rPr>
        <w:commentReference w:id="2"/>
      </w:r>
    </w:p>
    <w:p w14:paraId="56CA8E60" w14:textId="77777777" w:rsidR="00790ADA" w:rsidRDefault="0061261A" w:rsidP="0061261A">
      <w:pPr>
        <w:pStyle w:val="Body"/>
        <w:spacing w:after="0"/>
        <w:rPr>
          <w:rFonts w:ascii="Arial" w:hAnsi="Arial" w:cs="Arial"/>
        </w:rPr>
      </w:pPr>
      <w:commentRangeStart w:id="3"/>
      <w:r w:rsidRPr="0061261A">
        <w:rPr>
          <w:rFonts w:ascii="Arial" w:hAnsi="Arial" w:cs="Arial"/>
        </w:rPr>
        <w:t xml:space="preserve">There is limited literature on acute </w:t>
      </w:r>
      <w:proofErr w:type="spellStart"/>
      <w:r w:rsidRPr="0061261A">
        <w:rPr>
          <w:rFonts w:ascii="Arial" w:hAnsi="Arial" w:cs="Arial"/>
        </w:rPr>
        <w:t>glufosinate</w:t>
      </w:r>
      <w:proofErr w:type="spellEnd"/>
      <w:r w:rsidRPr="0061261A">
        <w:rPr>
          <w:rFonts w:ascii="Arial" w:hAnsi="Arial" w:cs="Arial"/>
        </w:rPr>
        <w:t xml:space="preserve"> toxicity in dogs is , particularly regarding the clinical manifestations and ECG changes . </w:t>
      </w:r>
      <w:commentRangeEnd w:id="3"/>
      <w:r w:rsidR="00A22D38">
        <w:rPr>
          <w:rStyle w:val="CommentReference"/>
          <w:rFonts w:ascii="Times New Roman" w:hAnsi="Times New Roman"/>
          <w:lang w:val="nb-NO" w:eastAsia="nb-NO"/>
        </w:rPr>
        <w:commentReference w:id="3"/>
      </w:r>
      <w:r w:rsidRPr="0061261A">
        <w:rPr>
          <w:rFonts w:ascii="Arial" w:hAnsi="Arial" w:cs="Arial"/>
        </w:rPr>
        <w:t xml:space="preserve">This case report presents an instance of acute </w:t>
      </w:r>
      <w:proofErr w:type="spellStart"/>
      <w:r w:rsidRPr="0061261A">
        <w:rPr>
          <w:rFonts w:ascii="Arial" w:hAnsi="Arial" w:cs="Arial"/>
        </w:rPr>
        <w:t>glufosinate</w:t>
      </w:r>
      <w:proofErr w:type="spellEnd"/>
      <w:r w:rsidRPr="0061261A">
        <w:rPr>
          <w:rFonts w:ascii="Arial" w:hAnsi="Arial" w:cs="Arial"/>
        </w:rPr>
        <w:t xml:space="preserve"> toxicity in a mongrel dog, which exhibited neurotoxic signs along with its clinical management.</w:t>
      </w:r>
    </w:p>
    <w:p w14:paraId="33C4E153" w14:textId="77777777" w:rsidR="00FF4FBD" w:rsidRDefault="00FF4FBD" w:rsidP="0061261A">
      <w:pPr>
        <w:pStyle w:val="Body"/>
        <w:spacing w:after="0"/>
        <w:rPr>
          <w:rFonts w:ascii="Arial" w:hAnsi="Arial" w:cs="Arial"/>
        </w:rPr>
      </w:pPr>
    </w:p>
    <w:p w14:paraId="2D16178D" w14:textId="045C41AB" w:rsidR="00B77893" w:rsidRPr="00B77893" w:rsidRDefault="00B77893" w:rsidP="0061261A">
      <w:pPr>
        <w:pStyle w:val="Body"/>
        <w:spacing w:after="0"/>
        <w:rPr>
          <w:rFonts w:ascii="Arial" w:hAnsi="Arial" w:cs="Arial"/>
          <w:b/>
          <w:bCs/>
        </w:rPr>
      </w:pPr>
      <w:r w:rsidRPr="00B77893">
        <w:rPr>
          <w:rFonts w:ascii="Arial" w:hAnsi="Arial" w:cs="Arial"/>
          <w:b/>
          <w:bCs/>
        </w:rPr>
        <w:t xml:space="preserve">Case presentation </w:t>
      </w:r>
    </w:p>
    <w:p w14:paraId="64E4CC06" w14:textId="77777777" w:rsidR="00B77893" w:rsidRDefault="00B77893" w:rsidP="0061261A">
      <w:pPr>
        <w:pStyle w:val="Body"/>
        <w:spacing w:after="0"/>
        <w:rPr>
          <w:rFonts w:ascii="Arial" w:hAnsi="Arial" w:cs="Arial"/>
        </w:rPr>
      </w:pPr>
      <w:commentRangeStart w:id="4"/>
    </w:p>
    <w:p w14:paraId="23050EF0" w14:textId="5614DC82" w:rsidR="00FF4FBD" w:rsidRPr="00FF4FBD" w:rsidRDefault="00FF4FBD" w:rsidP="00FF4FBD">
      <w:pPr>
        <w:pStyle w:val="Body"/>
        <w:rPr>
          <w:rFonts w:ascii="Arial" w:hAnsi="Arial" w:cs="Arial"/>
        </w:rPr>
      </w:pPr>
      <w:r w:rsidRPr="00FF4FBD">
        <w:rPr>
          <w:rFonts w:ascii="Arial" w:hAnsi="Arial" w:cs="Arial"/>
        </w:rPr>
        <w:t>A seven month old</w:t>
      </w:r>
      <w:r w:rsidR="00D7723B">
        <w:rPr>
          <w:rFonts w:ascii="Arial" w:hAnsi="Arial" w:cs="Arial"/>
        </w:rPr>
        <w:t>, male, mongrel dog weighing 1</w:t>
      </w:r>
      <w:r w:rsidRPr="00FF4FBD">
        <w:rPr>
          <w:rFonts w:ascii="Arial" w:hAnsi="Arial" w:cs="Arial"/>
        </w:rPr>
        <w:t xml:space="preserve">5kg was brought to the Veterinary Clinical Complex, </w:t>
      </w:r>
      <w:proofErr w:type="spellStart"/>
      <w:r w:rsidRPr="00FF4FBD">
        <w:rPr>
          <w:rFonts w:ascii="Arial" w:hAnsi="Arial" w:cs="Arial"/>
        </w:rPr>
        <w:t>Gannavaram</w:t>
      </w:r>
      <w:proofErr w:type="spellEnd"/>
      <w:r w:rsidRPr="00FF4FBD">
        <w:rPr>
          <w:rFonts w:ascii="Arial" w:hAnsi="Arial" w:cs="Arial"/>
        </w:rPr>
        <w:t xml:space="preserve"> with a sudden  onset of recumbency, </w:t>
      </w:r>
      <w:proofErr w:type="spellStart"/>
      <w:r w:rsidRPr="00FF4FBD">
        <w:rPr>
          <w:rFonts w:ascii="Arial" w:hAnsi="Arial" w:cs="Arial"/>
        </w:rPr>
        <w:t>diarrhoea</w:t>
      </w:r>
      <w:proofErr w:type="spellEnd"/>
      <w:r w:rsidRPr="00FF4FBD">
        <w:rPr>
          <w:rFonts w:ascii="Arial" w:hAnsi="Arial" w:cs="Arial"/>
        </w:rPr>
        <w:t xml:space="preserve">, salivation, shivering, seizures and hyperesthesia for the past two hours. As per the owners history and evidences found near the house, the dog accidentally exposed (Ingestion /Inhalation ) to  a small amount of grass that had been sprayed with </w:t>
      </w:r>
      <w:proofErr w:type="spellStart"/>
      <w:r w:rsidRPr="00FF4FBD">
        <w:rPr>
          <w:rFonts w:ascii="Arial" w:hAnsi="Arial" w:cs="Arial"/>
        </w:rPr>
        <w:t>Synkill</w:t>
      </w:r>
      <w:proofErr w:type="spellEnd"/>
      <w:r w:rsidRPr="00FF4FBD">
        <w:rPr>
          <w:rFonts w:ascii="Arial" w:hAnsi="Arial" w:cs="Arial"/>
        </w:rPr>
        <w:t xml:space="preserve">® containing </w:t>
      </w:r>
      <w:proofErr w:type="spellStart"/>
      <w:r w:rsidRPr="00FF4FBD">
        <w:rPr>
          <w:rFonts w:ascii="Arial" w:hAnsi="Arial" w:cs="Arial"/>
        </w:rPr>
        <w:t>Glufosinate</w:t>
      </w:r>
      <w:proofErr w:type="spellEnd"/>
      <w:r w:rsidRPr="00FF4FBD">
        <w:rPr>
          <w:rFonts w:ascii="Arial" w:hAnsi="Arial" w:cs="Arial"/>
        </w:rPr>
        <w:t xml:space="preserve"> Ammonium 13.5% w/w SL</w:t>
      </w:r>
      <w:r w:rsidR="00B82B80">
        <w:rPr>
          <w:rFonts w:ascii="Arial" w:hAnsi="Arial" w:cs="Arial"/>
        </w:rPr>
        <w:t xml:space="preserve"> </w:t>
      </w:r>
      <w:r w:rsidRPr="00FF4FBD">
        <w:rPr>
          <w:rFonts w:ascii="Arial" w:hAnsi="Arial" w:cs="Arial"/>
        </w:rPr>
        <w:t>( Figure</w:t>
      </w:r>
      <w:r w:rsidR="00D7723B">
        <w:rPr>
          <w:rFonts w:ascii="Arial" w:hAnsi="Arial" w:cs="Arial"/>
        </w:rPr>
        <w:t>:</w:t>
      </w:r>
      <w:r w:rsidRPr="00FF4FBD">
        <w:rPr>
          <w:rFonts w:ascii="Arial" w:hAnsi="Arial" w:cs="Arial"/>
        </w:rPr>
        <w:t xml:space="preserve">1) which was applied day ago. Physical examination revealed </w:t>
      </w:r>
      <w:commentRangeStart w:id="5"/>
      <w:r w:rsidRPr="00FF4FBD">
        <w:rPr>
          <w:rFonts w:ascii="Arial" w:hAnsi="Arial" w:cs="Arial"/>
        </w:rPr>
        <w:t>mild pyrexia (104.4°F),</w:t>
      </w:r>
      <w:r w:rsidR="00A22D38">
        <w:rPr>
          <w:rFonts w:ascii="Arial" w:hAnsi="Arial" w:cs="Arial"/>
        </w:rPr>
        <w:t xml:space="preserve"> </w:t>
      </w:r>
      <w:commentRangeEnd w:id="5"/>
      <w:r w:rsidR="00A22D38">
        <w:rPr>
          <w:rStyle w:val="CommentReference"/>
          <w:rFonts w:ascii="Times New Roman" w:hAnsi="Times New Roman"/>
          <w:lang w:val="nb-NO" w:eastAsia="nb-NO"/>
        </w:rPr>
        <w:commentReference w:id="5"/>
      </w:r>
      <w:r w:rsidRPr="00FF4FBD">
        <w:rPr>
          <w:rFonts w:ascii="Arial" w:hAnsi="Arial" w:cs="Arial"/>
        </w:rPr>
        <w:t>tachycardia (142  bpm)  and  tachypnoea (34  breaths  /min)</w:t>
      </w:r>
      <w:r w:rsidR="002A4FC5">
        <w:rPr>
          <w:rFonts w:ascii="Arial" w:hAnsi="Arial" w:cs="Arial"/>
        </w:rPr>
        <w:t xml:space="preserve"> and seizures(</w:t>
      </w:r>
      <w:r w:rsidRPr="00FF4FBD">
        <w:rPr>
          <w:rFonts w:ascii="Arial" w:hAnsi="Arial" w:cs="Arial"/>
        </w:rPr>
        <w:t>.</w:t>
      </w:r>
      <w:commentRangeEnd w:id="4"/>
      <w:r w:rsidR="00646788">
        <w:rPr>
          <w:rStyle w:val="CommentReference"/>
          <w:rFonts w:ascii="Times New Roman" w:hAnsi="Times New Roman"/>
          <w:lang w:val="nb-NO" w:eastAsia="nb-NO"/>
        </w:rPr>
        <w:commentReference w:id="4"/>
      </w:r>
    </w:p>
    <w:p w14:paraId="141AC23D" w14:textId="31C9150A" w:rsidR="00EB6B5B" w:rsidRPr="00EB6B5B" w:rsidRDefault="00EB6B5B" w:rsidP="00EB6B5B">
      <w:pPr>
        <w:pStyle w:val="Body"/>
        <w:rPr>
          <w:rFonts w:ascii="Arial" w:hAnsi="Arial" w:cs="Arial"/>
        </w:rPr>
      </w:pPr>
      <w:r w:rsidRPr="00EB6B5B">
        <w:rPr>
          <w:rFonts w:ascii="Arial" w:hAnsi="Arial" w:cs="Arial"/>
        </w:rPr>
        <w:t>Electrocardiography  displayed wandering base line and slight rise in heart rate(142bpm), prolon</w:t>
      </w:r>
      <w:r w:rsidR="00287AA6">
        <w:rPr>
          <w:rFonts w:ascii="Arial" w:hAnsi="Arial" w:cs="Arial"/>
        </w:rPr>
        <w:t>ged QT interval (0.22 sec)</w:t>
      </w:r>
      <w:r w:rsidR="00646788">
        <w:rPr>
          <w:rFonts w:ascii="Arial" w:hAnsi="Arial" w:cs="Arial"/>
        </w:rPr>
        <w:t xml:space="preserve"> </w:t>
      </w:r>
      <w:r w:rsidR="00287AA6">
        <w:rPr>
          <w:rFonts w:ascii="Arial" w:hAnsi="Arial" w:cs="Arial"/>
        </w:rPr>
        <w:t>(Fig.4</w:t>
      </w:r>
      <w:r w:rsidRPr="00EB6B5B">
        <w:rPr>
          <w:rFonts w:ascii="Arial" w:hAnsi="Arial" w:cs="Arial"/>
        </w:rPr>
        <w:t>).</w:t>
      </w:r>
      <w:r w:rsidR="00B82B80">
        <w:rPr>
          <w:rFonts w:ascii="Arial" w:hAnsi="Arial" w:cs="Arial"/>
        </w:rPr>
        <w:t xml:space="preserve"> </w:t>
      </w:r>
      <w:proofErr w:type="spellStart"/>
      <w:r w:rsidRPr="00EB6B5B">
        <w:rPr>
          <w:rFonts w:ascii="Arial" w:hAnsi="Arial" w:cs="Arial"/>
        </w:rPr>
        <w:t>Faecal</w:t>
      </w:r>
      <w:proofErr w:type="spellEnd"/>
      <w:r w:rsidRPr="00EB6B5B">
        <w:rPr>
          <w:rFonts w:ascii="Arial" w:hAnsi="Arial" w:cs="Arial"/>
        </w:rPr>
        <w:t xml:space="preserve"> sample and wet blood film examination found to be negative for parasitic ova and blood protozoans respectively. The dog was treated immediately with activated charcoal @ 2g/kg </w:t>
      </w:r>
      <w:proofErr w:type="spellStart"/>
      <w:r w:rsidRPr="00EB6B5B">
        <w:rPr>
          <w:rFonts w:ascii="Arial" w:hAnsi="Arial" w:cs="Arial"/>
        </w:rPr>
        <w:t>b.wt</w:t>
      </w:r>
      <w:proofErr w:type="spellEnd"/>
      <w:r w:rsidRPr="00EB6B5B">
        <w:rPr>
          <w:rFonts w:ascii="Arial" w:hAnsi="Arial" w:cs="Arial"/>
        </w:rPr>
        <w:t xml:space="preserve"> orally, </w:t>
      </w:r>
      <w:proofErr w:type="spellStart"/>
      <w:r w:rsidRPr="00EB6B5B">
        <w:rPr>
          <w:rFonts w:ascii="Arial" w:hAnsi="Arial" w:cs="Arial"/>
        </w:rPr>
        <w:t>inj.Atropine</w:t>
      </w:r>
      <w:proofErr w:type="spellEnd"/>
      <w:r w:rsidRPr="00EB6B5B">
        <w:rPr>
          <w:rFonts w:ascii="Arial" w:hAnsi="Arial" w:cs="Arial"/>
        </w:rPr>
        <w:t xml:space="preserve"> sulphate @ 0.02mg/kg </w:t>
      </w:r>
      <w:proofErr w:type="spellStart"/>
      <w:r w:rsidRPr="00EB6B5B">
        <w:rPr>
          <w:rFonts w:ascii="Arial" w:hAnsi="Arial" w:cs="Arial"/>
        </w:rPr>
        <w:t>im</w:t>
      </w:r>
      <w:proofErr w:type="spellEnd"/>
      <w:r w:rsidRPr="00EB6B5B">
        <w:rPr>
          <w:rFonts w:ascii="Arial" w:hAnsi="Arial" w:cs="Arial"/>
        </w:rPr>
        <w:t xml:space="preserve"> and </w:t>
      </w:r>
      <w:proofErr w:type="spellStart"/>
      <w:r w:rsidRPr="00EB6B5B">
        <w:rPr>
          <w:rFonts w:ascii="Arial" w:hAnsi="Arial" w:cs="Arial"/>
        </w:rPr>
        <w:t>inj.Midazolam</w:t>
      </w:r>
      <w:proofErr w:type="spellEnd"/>
      <w:r w:rsidRPr="00EB6B5B">
        <w:rPr>
          <w:rFonts w:ascii="Arial" w:hAnsi="Arial" w:cs="Arial"/>
        </w:rPr>
        <w:t xml:space="preserve"> @ 1mg/kg </w:t>
      </w:r>
      <w:proofErr w:type="spellStart"/>
      <w:r w:rsidRPr="00EB6B5B">
        <w:rPr>
          <w:rFonts w:ascii="Arial" w:hAnsi="Arial" w:cs="Arial"/>
        </w:rPr>
        <w:t>im</w:t>
      </w:r>
      <w:proofErr w:type="spellEnd"/>
      <w:r w:rsidRPr="00EB6B5B">
        <w:rPr>
          <w:rFonts w:ascii="Arial" w:hAnsi="Arial" w:cs="Arial"/>
        </w:rPr>
        <w:t xml:space="preserve"> along with the supportive medication viz.</w:t>
      </w:r>
      <w:r w:rsidR="00B82B80">
        <w:rPr>
          <w:rFonts w:ascii="Arial" w:hAnsi="Arial" w:cs="Arial"/>
        </w:rPr>
        <w:t xml:space="preserve">, Ringers lactate @10ml/kg </w:t>
      </w:r>
      <w:proofErr w:type="spellStart"/>
      <w:r w:rsidR="00B82B80">
        <w:rPr>
          <w:rFonts w:ascii="Arial" w:hAnsi="Arial" w:cs="Arial"/>
        </w:rPr>
        <w:t>bw</w:t>
      </w:r>
      <w:proofErr w:type="spellEnd"/>
      <w:r w:rsidR="00B82B80">
        <w:rPr>
          <w:rFonts w:ascii="Arial" w:hAnsi="Arial" w:cs="Arial"/>
        </w:rPr>
        <w:t xml:space="preserve"> IV</w:t>
      </w:r>
      <w:r w:rsidRPr="00EB6B5B">
        <w:rPr>
          <w:rFonts w:ascii="Arial" w:hAnsi="Arial" w:cs="Arial"/>
        </w:rPr>
        <w:t xml:space="preserve">, </w:t>
      </w:r>
      <w:proofErr w:type="spellStart"/>
      <w:r w:rsidRPr="00EB6B5B">
        <w:rPr>
          <w:rFonts w:ascii="Arial" w:hAnsi="Arial" w:cs="Arial"/>
        </w:rPr>
        <w:t>inj.Neurocare</w:t>
      </w:r>
      <w:proofErr w:type="spellEnd"/>
      <w:r w:rsidRPr="00EB6B5B">
        <w:rPr>
          <w:rFonts w:ascii="Arial" w:hAnsi="Arial" w:cs="Arial"/>
        </w:rPr>
        <w:t xml:space="preserve"> –M 1ml ,IV. The dog was continuously monitored clinically, through ECG and vital parameters. Uneventful recovery was observed showing signs of improvement four hours after therapy</w:t>
      </w:r>
      <w:r w:rsidR="00BE4CE0">
        <w:rPr>
          <w:rFonts w:ascii="Arial" w:hAnsi="Arial" w:cs="Arial"/>
        </w:rPr>
        <w:t xml:space="preserve"> even after 3days of the follow-up</w:t>
      </w:r>
      <w:r w:rsidR="002A4FC5">
        <w:rPr>
          <w:rFonts w:ascii="Arial" w:hAnsi="Arial" w:cs="Arial"/>
        </w:rPr>
        <w:t>(Fig :3)</w:t>
      </w:r>
      <w:r w:rsidRPr="00EB6B5B">
        <w:rPr>
          <w:rFonts w:ascii="Arial" w:hAnsi="Arial" w:cs="Arial"/>
        </w:rPr>
        <w:t>.</w:t>
      </w:r>
      <w:r w:rsidR="00E63AA8">
        <w:rPr>
          <w:rFonts w:ascii="Arial" w:hAnsi="Arial" w:cs="Arial"/>
        </w:rPr>
        <w:t xml:space="preserve"> </w:t>
      </w:r>
      <w:r w:rsidR="00287AA6">
        <w:rPr>
          <w:rFonts w:ascii="Arial" w:hAnsi="Arial" w:cs="Arial"/>
        </w:rPr>
        <w:t xml:space="preserve">Normal </w:t>
      </w:r>
      <w:r w:rsidR="00E63AA8">
        <w:rPr>
          <w:rFonts w:ascii="Arial" w:hAnsi="Arial" w:cs="Arial"/>
        </w:rPr>
        <w:t>ECG tracings</w:t>
      </w:r>
      <w:r w:rsidR="00287AA6">
        <w:rPr>
          <w:rFonts w:ascii="Arial" w:hAnsi="Arial" w:cs="Arial"/>
        </w:rPr>
        <w:t xml:space="preserve"> </w:t>
      </w:r>
      <w:r w:rsidR="00E63AA8">
        <w:rPr>
          <w:rFonts w:ascii="Arial" w:hAnsi="Arial" w:cs="Arial"/>
        </w:rPr>
        <w:t xml:space="preserve"> </w:t>
      </w:r>
      <w:r w:rsidR="00287AA6">
        <w:rPr>
          <w:rFonts w:ascii="Arial" w:hAnsi="Arial" w:cs="Arial"/>
        </w:rPr>
        <w:t xml:space="preserve">were observed post recovery( Fig:5) </w:t>
      </w:r>
      <w:r w:rsidR="00E63AA8">
        <w:rPr>
          <w:rFonts w:ascii="Arial" w:hAnsi="Arial" w:cs="Arial"/>
        </w:rPr>
        <w:t xml:space="preserve"> </w:t>
      </w:r>
    </w:p>
    <w:p w14:paraId="619A68B6" w14:textId="77777777" w:rsidR="00504E09" w:rsidRPr="00504E09" w:rsidRDefault="00504E09" w:rsidP="00EB6B5B">
      <w:pPr>
        <w:pStyle w:val="Body"/>
        <w:rPr>
          <w:rFonts w:ascii="Arial" w:hAnsi="Arial" w:cs="Arial"/>
          <w:b/>
          <w:bCs/>
        </w:rPr>
      </w:pPr>
      <w:r w:rsidRPr="00504E09">
        <w:rPr>
          <w:rFonts w:ascii="Arial" w:hAnsi="Arial" w:cs="Arial"/>
          <w:b/>
          <w:bCs/>
        </w:rPr>
        <w:t>DISCUSSION :</w:t>
      </w:r>
    </w:p>
    <w:p w14:paraId="7BB0040D" w14:textId="47B00FE0" w:rsidR="00EB6B5B" w:rsidRPr="00EB6B5B" w:rsidRDefault="00EB6B5B" w:rsidP="00EB6B5B">
      <w:pPr>
        <w:pStyle w:val="Body"/>
        <w:rPr>
          <w:rFonts w:ascii="Arial" w:hAnsi="Arial" w:cs="Arial"/>
        </w:rPr>
      </w:pPr>
      <w:commentRangeStart w:id="6"/>
      <w:r w:rsidRPr="00EB6B5B">
        <w:rPr>
          <w:rFonts w:ascii="Arial" w:hAnsi="Arial" w:cs="Arial"/>
        </w:rPr>
        <w:t xml:space="preserve">WHO classified </w:t>
      </w:r>
      <w:proofErr w:type="spellStart"/>
      <w:r w:rsidRPr="00EB6B5B">
        <w:rPr>
          <w:rFonts w:ascii="Arial" w:hAnsi="Arial" w:cs="Arial"/>
        </w:rPr>
        <w:t>Glufosinate</w:t>
      </w:r>
      <w:proofErr w:type="spellEnd"/>
      <w:r w:rsidRPr="00EB6B5B">
        <w:rPr>
          <w:rFonts w:ascii="Arial" w:hAnsi="Arial" w:cs="Arial"/>
        </w:rPr>
        <w:t xml:space="preserve"> as class-II moderately hazardous herbicide that can cause acute toxi</w:t>
      </w:r>
      <w:r w:rsidR="0063356D">
        <w:rPr>
          <w:rFonts w:ascii="Arial" w:hAnsi="Arial" w:cs="Arial"/>
        </w:rPr>
        <w:t>city in mammals (DontiandKumar</w:t>
      </w:r>
      <w:r w:rsidRPr="00EB6B5B">
        <w:rPr>
          <w:rFonts w:ascii="Arial" w:hAnsi="Arial" w:cs="Arial"/>
        </w:rPr>
        <w:t xml:space="preserve">,2022). </w:t>
      </w:r>
      <w:proofErr w:type="spellStart"/>
      <w:r w:rsidRPr="00EB6B5B">
        <w:rPr>
          <w:rFonts w:ascii="Arial" w:hAnsi="Arial" w:cs="Arial"/>
        </w:rPr>
        <w:t>Glufosinate</w:t>
      </w:r>
      <w:proofErr w:type="spellEnd"/>
      <w:r w:rsidRPr="00EB6B5B">
        <w:rPr>
          <w:rFonts w:ascii="Arial" w:hAnsi="Arial" w:cs="Arial"/>
        </w:rPr>
        <w:t xml:space="preserve"> (2-amino-4-hydroxymethylphosphinyl butanoic acid) is an analogue of glutamic acid and inhibits glutamate decarboxylase, leading to a decrease in gamma-amino butyric acid (GABA). It exerts a non-selective herbicidal action by inhibiting glutamine synthetase, an important enzyme in amino acid metabolism, nitrogen transformation, and detoxification of ammonia. </w:t>
      </w:r>
      <w:proofErr w:type="spellStart"/>
      <w:r w:rsidRPr="00EB6B5B">
        <w:rPr>
          <w:rFonts w:ascii="Arial" w:hAnsi="Arial" w:cs="Arial"/>
        </w:rPr>
        <w:t>Glucfosinate</w:t>
      </w:r>
      <w:proofErr w:type="spellEnd"/>
      <w:r w:rsidRPr="00EB6B5B">
        <w:rPr>
          <w:rFonts w:ascii="Arial" w:hAnsi="Arial" w:cs="Arial"/>
        </w:rPr>
        <w:t xml:space="preserve"> is light dependent herbicide and its exposure during daylight may leads to severe effects of toxicity(</w:t>
      </w:r>
      <w:proofErr w:type="spellStart"/>
      <w:r w:rsidRPr="00EB6B5B">
        <w:rPr>
          <w:rFonts w:ascii="Arial" w:hAnsi="Arial" w:cs="Arial"/>
        </w:rPr>
        <w:t>Donti</w:t>
      </w:r>
      <w:proofErr w:type="spellEnd"/>
      <w:r w:rsidRPr="00EB6B5B">
        <w:rPr>
          <w:rFonts w:ascii="Arial" w:hAnsi="Arial" w:cs="Arial"/>
        </w:rPr>
        <w:t xml:space="preserve"> and Kumar ,2022).</w:t>
      </w:r>
      <w:proofErr w:type="spellStart"/>
      <w:r w:rsidRPr="00EB6B5B">
        <w:rPr>
          <w:rFonts w:ascii="Arial" w:hAnsi="Arial" w:cs="Arial"/>
        </w:rPr>
        <w:t>Glufosinate</w:t>
      </w:r>
      <w:proofErr w:type="spellEnd"/>
      <w:r w:rsidRPr="00EB6B5B">
        <w:rPr>
          <w:rFonts w:ascii="Arial" w:hAnsi="Arial" w:cs="Arial"/>
        </w:rPr>
        <w:t xml:space="preserve"> is absorbed orally and is excreted renally unchanged (Hori, 2001). Early symptoms after ingestion are mostly gastrointestinal and include oral irritation, nausea, and vomiting and in some human patients reported neurological, cardiovascular and respiratory signs (Lluis </w:t>
      </w:r>
      <w:r w:rsidRPr="00EB6B5B">
        <w:rPr>
          <w:rFonts w:ascii="Arial" w:hAnsi="Arial" w:cs="Arial"/>
          <w:i/>
        </w:rPr>
        <w:t>et al</w:t>
      </w:r>
      <w:r w:rsidRPr="00EB6B5B">
        <w:rPr>
          <w:rFonts w:ascii="Arial" w:hAnsi="Arial" w:cs="Arial"/>
        </w:rPr>
        <w:t>, 2008). Severe acute toxicity signs reported in laboratory animals includes hypersensitivity, irregular respiration, hypersalivation, disequilibrium, ataxia, hyporeflexia, diarrhea (</w:t>
      </w:r>
      <w:proofErr w:type="spellStart"/>
      <w:r w:rsidRPr="00EB6B5B">
        <w:rPr>
          <w:rFonts w:ascii="Arial" w:hAnsi="Arial" w:cs="Arial"/>
        </w:rPr>
        <w:t>Mastumara</w:t>
      </w:r>
      <w:proofErr w:type="spellEnd"/>
      <w:r w:rsidRPr="00EB6B5B">
        <w:rPr>
          <w:rFonts w:ascii="Arial" w:hAnsi="Arial" w:cs="Arial"/>
        </w:rPr>
        <w:t xml:space="preserve"> </w:t>
      </w:r>
      <w:r w:rsidRPr="00EB6B5B">
        <w:rPr>
          <w:rFonts w:ascii="Arial" w:hAnsi="Arial" w:cs="Arial"/>
          <w:i/>
        </w:rPr>
        <w:t>et al</w:t>
      </w:r>
      <w:r w:rsidRPr="00EB6B5B">
        <w:rPr>
          <w:rFonts w:ascii="Arial" w:hAnsi="Arial" w:cs="Arial"/>
        </w:rPr>
        <w:t xml:space="preserve">., 2001; </w:t>
      </w:r>
      <w:proofErr w:type="spellStart"/>
      <w:r w:rsidRPr="00EB6B5B">
        <w:rPr>
          <w:rFonts w:ascii="Arial" w:hAnsi="Arial" w:cs="Arial"/>
        </w:rPr>
        <w:t>Lapouble</w:t>
      </w:r>
      <w:proofErr w:type="spellEnd"/>
      <w:r w:rsidRPr="00EB6B5B">
        <w:rPr>
          <w:rFonts w:ascii="Arial" w:hAnsi="Arial" w:cs="Arial"/>
        </w:rPr>
        <w:t xml:space="preserve"> </w:t>
      </w:r>
      <w:r w:rsidRPr="00EB6B5B">
        <w:rPr>
          <w:rFonts w:ascii="Arial" w:hAnsi="Arial" w:cs="Arial"/>
          <w:i/>
        </w:rPr>
        <w:t>et al.</w:t>
      </w:r>
      <w:r w:rsidRPr="00EB6B5B">
        <w:rPr>
          <w:rFonts w:ascii="Arial" w:hAnsi="Arial" w:cs="Arial"/>
        </w:rPr>
        <w:t>, 2002).</w:t>
      </w:r>
    </w:p>
    <w:p w14:paraId="2A98632E" w14:textId="77777777" w:rsidR="00EB6B5B" w:rsidRPr="00EB6B5B" w:rsidRDefault="00EB6B5B" w:rsidP="00EB6B5B">
      <w:pPr>
        <w:pStyle w:val="Body"/>
        <w:rPr>
          <w:rFonts w:ascii="Arial" w:hAnsi="Arial" w:cs="Arial"/>
        </w:rPr>
      </w:pPr>
      <w:r w:rsidRPr="00EB6B5B">
        <w:rPr>
          <w:rFonts w:ascii="Arial" w:hAnsi="Arial" w:cs="Arial"/>
        </w:rPr>
        <w:t xml:space="preserve">In the present case, gastrointestinal and neurological symptoms were evident soon after ingestion of the grass sprayed with </w:t>
      </w:r>
      <w:proofErr w:type="spellStart"/>
      <w:r w:rsidRPr="00EB6B5B">
        <w:rPr>
          <w:rFonts w:ascii="Arial" w:hAnsi="Arial" w:cs="Arial"/>
        </w:rPr>
        <w:t>glufosinate</w:t>
      </w:r>
      <w:proofErr w:type="spellEnd"/>
      <w:r w:rsidRPr="00EB6B5B">
        <w:rPr>
          <w:rFonts w:ascii="Arial" w:hAnsi="Arial" w:cs="Arial"/>
        </w:rPr>
        <w:t xml:space="preserve">. But the severity of the symptoms was  less and non-fatal could be due to limited consumption, species variability or might have </w:t>
      </w:r>
      <w:r w:rsidRPr="00EB6B5B">
        <w:rPr>
          <w:rFonts w:ascii="Arial" w:hAnsi="Arial" w:cs="Arial"/>
        </w:rPr>
        <w:lastRenderedPageBreak/>
        <w:t xml:space="preserve">consumed limited levels. This finding is endorsed by Kim .,2021 who stated that  toxicity of </w:t>
      </w:r>
      <w:proofErr w:type="spellStart"/>
      <w:r w:rsidRPr="00EB6B5B">
        <w:rPr>
          <w:rFonts w:ascii="Arial" w:hAnsi="Arial" w:cs="Arial"/>
        </w:rPr>
        <w:t>glufosinate</w:t>
      </w:r>
      <w:proofErr w:type="spellEnd"/>
      <w:r w:rsidRPr="00EB6B5B">
        <w:rPr>
          <w:rFonts w:ascii="Arial" w:hAnsi="Arial" w:cs="Arial"/>
        </w:rPr>
        <w:t xml:space="preserve"> </w:t>
      </w:r>
      <w:proofErr w:type="spellStart"/>
      <w:r w:rsidRPr="00EB6B5B">
        <w:rPr>
          <w:rFonts w:ascii="Arial" w:hAnsi="Arial" w:cs="Arial"/>
        </w:rPr>
        <w:t>depnds</w:t>
      </w:r>
      <w:proofErr w:type="spellEnd"/>
      <w:r w:rsidRPr="00EB6B5B">
        <w:rPr>
          <w:rFonts w:ascii="Arial" w:hAnsi="Arial" w:cs="Arial"/>
        </w:rPr>
        <w:t xml:space="preserve"> upon dose , age and comorbidities that leads to various clinical signs ranges from mild gastrointestinal signs to death.      </w:t>
      </w:r>
    </w:p>
    <w:p w14:paraId="3321AA50" w14:textId="2FBCC2E8" w:rsidR="00EB6B5B" w:rsidRPr="00EB6B5B" w:rsidRDefault="00EB6B5B" w:rsidP="00EB6B5B">
      <w:pPr>
        <w:pStyle w:val="Body"/>
        <w:rPr>
          <w:rFonts w:ascii="Arial" w:hAnsi="Arial" w:cs="Arial"/>
        </w:rPr>
      </w:pPr>
      <w:r w:rsidRPr="00EB6B5B">
        <w:rPr>
          <w:rFonts w:ascii="Arial" w:hAnsi="Arial" w:cs="Arial"/>
        </w:rPr>
        <w:t xml:space="preserve">Hemodynamic changes characterized by a decrease in total vascular resistance with an increase or a decrease   cardiac output were observed in human acute oral poisoning with  herbicide containing </w:t>
      </w:r>
      <w:proofErr w:type="spellStart"/>
      <w:r w:rsidRPr="00EB6B5B">
        <w:rPr>
          <w:rFonts w:ascii="Arial" w:hAnsi="Arial" w:cs="Arial"/>
        </w:rPr>
        <w:t>glufosinate</w:t>
      </w:r>
      <w:proofErr w:type="spellEnd"/>
      <w:r w:rsidRPr="00EB6B5B">
        <w:rPr>
          <w:rFonts w:ascii="Arial" w:hAnsi="Arial" w:cs="Arial"/>
        </w:rPr>
        <w:t xml:space="preserve"> and an anionic surfactant .It is cardiotoxic and ECG changes observed with acute toxicity includes bradycardia, prolonged QT interval and these ECG changes attributed to structural </w:t>
      </w:r>
      <w:proofErr w:type="spellStart"/>
      <w:r w:rsidRPr="00EB6B5B">
        <w:rPr>
          <w:rFonts w:ascii="Arial" w:hAnsi="Arial" w:cs="Arial"/>
        </w:rPr>
        <w:t>damge</w:t>
      </w:r>
      <w:proofErr w:type="spellEnd"/>
      <w:r w:rsidRPr="00EB6B5B">
        <w:rPr>
          <w:rFonts w:ascii="Arial" w:hAnsi="Arial" w:cs="Arial"/>
        </w:rPr>
        <w:t xml:space="preserve"> of myocardium and CNS stimulation  (Kim, 2021). In a retrospective study of poisoning, in </w:t>
      </w:r>
      <w:proofErr w:type="spellStart"/>
      <w:r w:rsidRPr="00EB6B5B">
        <w:rPr>
          <w:rFonts w:ascii="Arial" w:hAnsi="Arial" w:cs="Arial"/>
        </w:rPr>
        <w:t>humans,the</w:t>
      </w:r>
      <w:proofErr w:type="spellEnd"/>
      <w:r w:rsidRPr="00EB6B5B">
        <w:rPr>
          <w:rFonts w:ascii="Arial" w:hAnsi="Arial" w:cs="Arial"/>
        </w:rPr>
        <w:t xml:space="preserve"> ECG changes recorded we</w:t>
      </w:r>
      <w:r w:rsidR="00361EB4">
        <w:rPr>
          <w:rFonts w:ascii="Arial" w:hAnsi="Arial" w:cs="Arial"/>
        </w:rPr>
        <w:t>r</w:t>
      </w:r>
      <w:r w:rsidRPr="00EB6B5B">
        <w:rPr>
          <w:rFonts w:ascii="Arial" w:hAnsi="Arial" w:cs="Arial"/>
        </w:rPr>
        <w:t>e prolonged QT interval, arrhythmias, first degree AV conduction block and mostly these changes are dose dependent and survivors will show milder ECG changes when compared to non survivors which are correlating with current observations.</w:t>
      </w:r>
    </w:p>
    <w:p w14:paraId="2D8F874B" w14:textId="77777777" w:rsidR="00EB6B5B" w:rsidRPr="00EB6B5B" w:rsidRDefault="00EB6B5B" w:rsidP="00EB6B5B">
      <w:pPr>
        <w:pStyle w:val="Body"/>
        <w:rPr>
          <w:rFonts w:ascii="Arial" w:hAnsi="Arial" w:cs="Arial"/>
        </w:rPr>
      </w:pPr>
      <w:r w:rsidRPr="00EB6B5B">
        <w:rPr>
          <w:rFonts w:ascii="Arial" w:hAnsi="Arial" w:cs="Arial"/>
        </w:rPr>
        <w:t xml:space="preserve">The diagnosis of </w:t>
      </w:r>
      <w:proofErr w:type="spellStart"/>
      <w:r w:rsidRPr="00EB6B5B">
        <w:rPr>
          <w:rFonts w:ascii="Arial" w:hAnsi="Arial" w:cs="Arial"/>
        </w:rPr>
        <w:t>glufosinate</w:t>
      </w:r>
      <w:proofErr w:type="spellEnd"/>
      <w:r w:rsidRPr="00EB6B5B">
        <w:rPr>
          <w:rFonts w:ascii="Arial" w:hAnsi="Arial" w:cs="Arial"/>
        </w:rPr>
        <w:t xml:space="preserve"> intoxication is based on the history because the quantification of </w:t>
      </w:r>
      <w:proofErr w:type="spellStart"/>
      <w:r w:rsidRPr="00EB6B5B">
        <w:rPr>
          <w:rFonts w:ascii="Arial" w:hAnsi="Arial" w:cs="Arial"/>
        </w:rPr>
        <w:t>glufosinate</w:t>
      </w:r>
      <w:proofErr w:type="spellEnd"/>
      <w:r w:rsidRPr="00EB6B5B">
        <w:rPr>
          <w:rFonts w:ascii="Arial" w:hAnsi="Arial" w:cs="Arial"/>
        </w:rPr>
        <w:t xml:space="preserve"> is complex and not easy in clinical practice. Once ingestion is confirmed, the patient should be admitted to the hospital and closely monitored for neurological, respiratory, and cardiovascular symptoms. Orogastric or nasogastric lavage, along with activated charcoal, may be considered if a toxic dose of </w:t>
      </w:r>
      <w:proofErr w:type="spellStart"/>
      <w:r w:rsidRPr="00EB6B5B">
        <w:rPr>
          <w:rFonts w:ascii="Arial" w:hAnsi="Arial" w:cs="Arial"/>
        </w:rPr>
        <w:t>glufosinate</w:t>
      </w:r>
      <w:proofErr w:type="spellEnd"/>
      <w:r w:rsidRPr="00EB6B5B">
        <w:rPr>
          <w:rFonts w:ascii="Arial" w:hAnsi="Arial" w:cs="Arial"/>
        </w:rPr>
        <w:t xml:space="preserve"> has been ingested.</w:t>
      </w:r>
    </w:p>
    <w:p w14:paraId="764625FA" w14:textId="77777777" w:rsidR="00EB6B5B" w:rsidRDefault="00EB6B5B" w:rsidP="00EB6B5B">
      <w:pPr>
        <w:pStyle w:val="Body"/>
        <w:rPr>
          <w:rFonts w:ascii="Arial" w:hAnsi="Arial" w:cs="Arial"/>
        </w:rPr>
      </w:pPr>
      <w:r w:rsidRPr="00EB6B5B">
        <w:rPr>
          <w:rFonts w:ascii="Arial" w:hAnsi="Arial" w:cs="Arial"/>
        </w:rPr>
        <w:t>The improvement in the present case could be attributed to the prompt treatment and the short time between ingestion and the patient's arrival to the hospital.</w:t>
      </w:r>
      <w:commentRangeEnd w:id="6"/>
      <w:r w:rsidR="00646788">
        <w:rPr>
          <w:rStyle w:val="CommentReference"/>
          <w:rFonts w:ascii="Times New Roman" w:hAnsi="Times New Roman"/>
          <w:lang w:val="nb-NO" w:eastAsia="nb-NO"/>
        </w:rPr>
        <w:commentReference w:id="6"/>
      </w:r>
    </w:p>
    <w:tbl>
      <w:tblPr>
        <w:tblW w:w="9354" w:type="dxa"/>
        <w:tblInd w:w="10" w:type="dxa"/>
        <w:tblLayout w:type="fixed"/>
        <w:tblCellMar>
          <w:left w:w="0" w:type="dxa"/>
          <w:right w:w="0" w:type="dxa"/>
        </w:tblCellMar>
        <w:tblLook w:val="01E0" w:firstRow="1" w:lastRow="1" w:firstColumn="1" w:lastColumn="1" w:noHBand="0" w:noVBand="0"/>
      </w:tblPr>
      <w:tblGrid>
        <w:gridCol w:w="4670"/>
        <w:gridCol w:w="4684"/>
      </w:tblGrid>
      <w:tr w:rsidR="009369FD" w:rsidRPr="00FB16AA" w14:paraId="35004C95" w14:textId="77777777" w:rsidTr="0091142B">
        <w:trPr>
          <w:trHeight w:val="3392"/>
        </w:trPr>
        <w:tc>
          <w:tcPr>
            <w:tcW w:w="4670" w:type="dxa"/>
          </w:tcPr>
          <w:p w14:paraId="2B4CF846" w14:textId="174F2467" w:rsidR="00E03782" w:rsidRDefault="009369FD" w:rsidP="005E34B6">
            <w:pPr>
              <w:pStyle w:val="TableParagraph"/>
              <w:ind w:left="370"/>
              <w:rPr>
                <w:sz w:val="24"/>
                <w:szCs w:val="24"/>
              </w:rPr>
            </w:pPr>
            <w:r w:rsidRPr="00FB16AA">
              <w:rPr>
                <w:noProof/>
                <w:sz w:val="24"/>
                <w:szCs w:val="24"/>
                <w:lang w:val="en-IN" w:eastAsia="en-IN" w:bidi="te-IN"/>
              </w:rPr>
              <w:drawing>
                <wp:inline distT="0" distB="0" distL="0" distR="0" wp14:anchorId="08E45CEE" wp14:editId="000C5B95">
                  <wp:extent cx="2085975" cy="1752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2086390" cy="1752949"/>
                          </a:xfrm>
                          <a:prstGeom prst="rect">
                            <a:avLst/>
                          </a:prstGeom>
                        </pic:spPr>
                      </pic:pic>
                    </a:graphicData>
                  </a:graphic>
                </wp:inline>
              </w:drawing>
            </w:r>
          </w:p>
          <w:p w14:paraId="52343AB7" w14:textId="58362A79" w:rsidR="00E03782" w:rsidRDefault="00E03782" w:rsidP="00E03782"/>
          <w:p w14:paraId="3108473D" w14:textId="77777777" w:rsidR="009369FD" w:rsidRPr="00E03782" w:rsidRDefault="009369FD" w:rsidP="00E03782">
            <w:pPr>
              <w:jc w:val="center"/>
            </w:pPr>
          </w:p>
        </w:tc>
        <w:tc>
          <w:tcPr>
            <w:tcW w:w="4684" w:type="dxa"/>
          </w:tcPr>
          <w:p w14:paraId="42DD5F62" w14:textId="77777777" w:rsidR="009369FD" w:rsidRDefault="009369FD" w:rsidP="005E34B6">
            <w:pPr>
              <w:pStyle w:val="TableParagraph"/>
              <w:ind w:left="0"/>
              <w:rPr>
                <w:b/>
                <w:sz w:val="24"/>
                <w:szCs w:val="24"/>
              </w:rPr>
            </w:pPr>
          </w:p>
          <w:p w14:paraId="41A11728" w14:textId="77777777" w:rsidR="009369FD" w:rsidRDefault="009369FD" w:rsidP="005E34B6">
            <w:pPr>
              <w:pStyle w:val="TableParagraph"/>
              <w:ind w:left="0"/>
              <w:rPr>
                <w:b/>
                <w:sz w:val="24"/>
                <w:szCs w:val="24"/>
              </w:rPr>
            </w:pPr>
          </w:p>
          <w:p w14:paraId="5C022A3A" w14:textId="77777777" w:rsidR="009369FD" w:rsidRDefault="009369FD" w:rsidP="005E34B6">
            <w:pPr>
              <w:pStyle w:val="TableParagraph"/>
              <w:ind w:left="0"/>
              <w:rPr>
                <w:b/>
                <w:sz w:val="24"/>
                <w:szCs w:val="24"/>
              </w:rPr>
            </w:pPr>
          </w:p>
          <w:p w14:paraId="5A1AE4F6" w14:textId="77777777" w:rsidR="009369FD" w:rsidRDefault="009369FD" w:rsidP="005E34B6">
            <w:pPr>
              <w:pStyle w:val="TableParagraph"/>
              <w:ind w:left="0"/>
              <w:rPr>
                <w:b/>
                <w:sz w:val="24"/>
                <w:szCs w:val="24"/>
              </w:rPr>
            </w:pPr>
          </w:p>
          <w:p w14:paraId="54CE8ECD" w14:textId="77777777" w:rsidR="009369FD" w:rsidRDefault="009369FD" w:rsidP="005E34B6">
            <w:pPr>
              <w:pStyle w:val="TableParagraph"/>
              <w:ind w:left="0"/>
              <w:rPr>
                <w:b/>
                <w:sz w:val="24"/>
                <w:szCs w:val="24"/>
              </w:rPr>
            </w:pPr>
          </w:p>
          <w:p w14:paraId="13493BB9" w14:textId="77777777" w:rsidR="009369FD" w:rsidRDefault="009369FD" w:rsidP="005E34B6">
            <w:pPr>
              <w:pStyle w:val="TableParagraph"/>
              <w:ind w:left="0"/>
              <w:rPr>
                <w:b/>
                <w:sz w:val="24"/>
                <w:szCs w:val="24"/>
              </w:rPr>
            </w:pPr>
          </w:p>
          <w:p w14:paraId="7B84D53C" w14:textId="77777777" w:rsidR="009369FD" w:rsidRDefault="009369FD" w:rsidP="005E34B6">
            <w:pPr>
              <w:pStyle w:val="TableParagraph"/>
              <w:ind w:left="0"/>
              <w:rPr>
                <w:b/>
                <w:sz w:val="24"/>
                <w:szCs w:val="24"/>
              </w:rPr>
            </w:pPr>
          </w:p>
          <w:p w14:paraId="31F5655F" w14:textId="77777777" w:rsidR="009369FD" w:rsidRDefault="009369FD" w:rsidP="005E34B6">
            <w:pPr>
              <w:pStyle w:val="TableParagraph"/>
              <w:ind w:left="0"/>
              <w:rPr>
                <w:b/>
                <w:sz w:val="24"/>
                <w:szCs w:val="24"/>
              </w:rPr>
            </w:pPr>
          </w:p>
          <w:p w14:paraId="2E3EA9AE" w14:textId="77777777" w:rsidR="009369FD" w:rsidRPr="00FB16AA" w:rsidRDefault="009369FD" w:rsidP="005E34B6">
            <w:pPr>
              <w:pStyle w:val="TableParagraph"/>
              <w:ind w:left="0"/>
              <w:rPr>
                <w:sz w:val="24"/>
                <w:szCs w:val="24"/>
              </w:rPr>
            </w:pPr>
            <w:r w:rsidRPr="00FB16AA">
              <w:rPr>
                <w:b/>
                <w:sz w:val="24"/>
                <w:szCs w:val="24"/>
              </w:rPr>
              <w:t>Fig.1</w:t>
            </w:r>
            <w:r w:rsidRPr="00FB16AA">
              <w:rPr>
                <w:b/>
                <w:spacing w:val="-3"/>
                <w:sz w:val="24"/>
                <w:szCs w:val="24"/>
              </w:rPr>
              <w:t xml:space="preserve"> </w:t>
            </w:r>
            <w:proofErr w:type="spellStart"/>
            <w:r w:rsidRPr="00FB16AA">
              <w:rPr>
                <w:b/>
                <w:sz w:val="24"/>
                <w:szCs w:val="24"/>
              </w:rPr>
              <w:t>Synkill</w:t>
            </w:r>
            <w:proofErr w:type="spellEnd"/>
            <w:r w:rsidRPr="00FB16AA">
              <w:rPr>
                <w:b/>
                <w:spacing w:val="-4"/>
                <w:sz w:val="24"/>
                <w:szCs w:val="24"/>
              </w:rPr>
              <w:t xml:space="preserve"> </w:t>
            </w:r>
            <w:r w:rsidRPr="00FB16AA">
              <w:rPr>
                <w:b/>
                <w:sz w:val="24"/>
                <w:szCs w:val="24"/>
              </w:rPr>
              <w:t>containing</w:t>
            </w:r>
            <w:r w:rsidRPr="00FB16AA">
              <w:rPr>
                <w:b/>
                <w:spacing w:val="-3"/>
                <w:sz w:val="24"/>
                <w:szCs w:val="24"/>
              </w:rPr>
              <w:t xml:space="preserve"> </w:t>
            </w:r>
            <w:proofErr w:type="spellStart"/>
            <w:r w:rsidRPr="00FB16AA">
              <w:rPr>
                <w:b/>
                <w:sz w:val="24"/>
                <w:szCs w:val="24"/>
              </w:rPr>
              <w:t>Glufosinate</w:t>
            </w:r>
            <w:proofErr w:type="spellEnd"/>
            <w:r w:rsidRPr="00FB16AA">
              <w:rPr>
                <w:b/>
                <w:sz w:val="24"/>
                <w:szCs w:val="24"/>
              </w:rPr>
              <w:t xml:space="preserve"> </w:t>
            </w:r>
            <w:r>
              <w:rPr>
                <w:b/>
                <w:spacing w:val="-2"/>
                <w:sz w:val="24"/>
                <w:szCs w:val="24"/>
              </w:rPr>
              <w:t>ammonium 13.5 % W/</w:t>
            </w:r>
            <w:proofErr w:type="spellStart"/>
            <w:r>
              <w:rPr>
                <w:b/>
                <w:spacing w:val="-2"/>
                <w:sz w:val="24"/>
                <w:szCs w:val="24"/>
              </w:rPr>
              <w:t>wSL</w:t>
            </w:r>
            <w:proofErr w:type="spellEnd"/>
            <w:r>
              <w:rPr>
                <w:b/>
                <w:spacing w:val="-2"/>
                <w:sz w:val="24"/>
                <w:szCs w:val="24"/>
              </w:rPr>
              <w:t xml:space="preserve"> </w:t>
            </w:r>
            <w:proofErr w:type="spellStart"/>
            <w:r>
              <w:rPr>
                <w:b/>
                <w:spacing w:val="-2"/>
                <w:sz w:val="24"/>
                <w:szCs w:val="24"/>
              </w:rPr>
              <w:t>herbicie</w:t>
            </w:r>
            <w:proofErr w:type="spellEnd"/>
          </w:p>
        </w:tc>
      </w:tr>
      <w:tr w:rsidR="0043671F" w:rsidRPr="00FB16AA" w14:paraId="34CF2790" w14:textId="77777777" w:rsidTr="0091142B">
        <w:trPr>
          <w:trHeight w:val="3448"/>
        </w:trPr>
        <w:tc>
          <w:tcPr>
            <w:tcW w:w="4670" w:type="dxa"/>
          </w:tcPr>
          <w:p w14:paraId="5126BD71" w14:textId="2E15F6E5" w:rsidR="00197750" w:rsidRDefault="0043671F" w:rsidP="005E34B6">
            <w:pPr>
              <w:pStyle w:val="TableParagraph"/>
              <w:ind w:left="370"/>
              <w:rPr>
                <w:noProof/>
                <w:sz w:val="24"/>
                <w:szCs w:val="24"/>
                <w:lang w:val="en-IN" w:eastAsia="en-IN" w:bidi="te-IN"/>
              </w:rPr>
            </w:pPr>
            <w:r>
              <w:rPr>
                <w:noProof/>
                <w:sz w:val="24"/>
                <w:szCs w:val="24"/>
                <w:lang w:val="en-IN" w:eastAsia="en-IN" w:bidi="te-IN"/>
              </w:rPr>
              <w:drawing>
                <wp:inline distT="0" distB="0" distL="0" distR="0" wp14:anchorId="24906EA4" wp14:editId="68A19CD5">
                  <wp:extent cx="2853055" cy="2078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3055" cy="2078990"/>
                          </a:xfrm>
                          <a:prstGeom prst="rect">
                            <a:avLst/>
                          </a:prstGeom>
                          <a:noFill/>
                        </pic:spPr>
                      </pic:pic>
                    </a:graphicData>
                  </a:graphic>
                </wp:inline>
              </w:drawing>
            </w:r>
          </w:p>
          <w:p w14:paraId="0126C10D" w14:textId="1F17CBA7" w:rsidR="0043671F" w:rsidRPr="00197750" w:rsidRDefault="0043671F" w:rsidP="00197750">
            <w:pPr>
              <w:tabs>
                <w:tab w:val="left" w:pos="3945"/>
              </w:tabs>
              <w:rPr>
                <w:lang w:val="en-IN" w:eastAsia="en-IN" w:bidi="te-IN"/>
              </w:rPr>
            </w:pPr>
          </w:p>
        </w:tc>
        <w:tc>
          <w:tcPr>
            <w:tcW w:w="4684" w:type="dxa"/>
          </w:tcPr>
          <w:p w14:paraId="563E7303" w14:textId="09C8D132" w:rsidR="0043671F" w:rsidRDefault="00197750" w:rsidP="005E34B6">
            <w:pPr>
              <w:pStyle w:val="TableParagraph"/>
              <w:ind w:left="0"/>
              <w:rPr>
                <w:b/>
                <w:sz w:val="24"/>
                <w:szCs w:val="24"/>
              </w:rPr>
            </w:pPr>
            <w:r>
              <w:rPr>
                <w:b/>
                <w:noProof/>
                <w:sz w:val="24"/>
                <w:szCs w:val="24"/>
                <w:lang w:val="en-IN" w:eastAsia="en-IN" w:bidi="te-IN"/>
              </w:rPr>
              <w:drawing>
                <wp:inline distT="0" distB="0" distL="0" distR="0" wp14:anchorId="49D84AE3" wp14:editId="740F4B4D">
                  <wp:extent cx="2859405" cy="2084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9405" cy="2084705"/>
                          </a:xfrm>
                          <a:prstGeom prst="rect">
                            <a:avLst/>
                          </a:prstGeom>
                          <a:noFill/>
                        </pic:spPr>
                      </pic:pic>
                    </a:graphicData>
                  </a:graphic>
                </wp:inline>
              </w:drawing>
            </w:r>
          </w:p>
        </w:tc>
      </w:tr>
      <w:tr w:rsidR="00E03782" w:rsidRPr="00FB16AA" w14:paraId="2B8DB432" w14:textId="77777777" w:rsidTr="0091142B">
        <w:trPr>
          <w:trHeight w:val="264"/>
        </w:trPr>
        <w:tc>
          <w:tcPr>
            <w:tcW w:w="4670" w:type="dxa"/>
          </w:tcPr>
          <w:p w14:paraId="52CDFBC7" w14:textId="5F80A1C8" w:rsidR="00E03782" w:rsidRDefault="00E03782" w:rsidP="00E03782">
            <w:pPr>
              <w:pStyle w:val="TableParagraph"/>
              <w:ind w:left="0"/>
              <w:rPr>
                <w:noProof/>
                <w:sz w:val="24"/>
                <w:szCs w:val="24"/>
                <w:lang w:val="en-IN" w:eastAsia="en-IN" w:bidi="te-IN"/>
              </w:rPr>
            </w:pPr>
            <w:r>
              <w:rPr>
                <w:b/>
                <w:sz w:val="24"/>
                <w:szCs w:val="24"/>
              </w:rPr>
              <w:lastRenderedPageBreak/>
              <w:t>Fig.2</w:t>
            </w:r>
            <w:r w:rsidRPr="00FB16AA">
              <w:rPr>
                <w:b/>
                <w:sz w:val="24"/>
                <w:szCs w:val="24"/>
              </w:rPr>
              <w:t xml:space="preserve"> Affected</w:t>
            </w:r>
            <w:r w:rsidRPr="00FB16AA">
              <w:rPr>
                <w:b/>
                <w:spacing w:val="-2"/>
                <w:sz w:val="24"/>
                <w:szCs w:val="24"/>
              </w:rPr>
              <w:t xml:space="preserve"> </w:t>
            </w:r>
            <w:r w:rsidRPr="00FB16AA">
              <w:rPr>
                <w:b/>
                <w:sz w:val="24"/>
                <w:szCs w:val="24"/>
              </w:rPr>
              <w:t>dog</w:t>
            </w:r>
            <w:r w:rsidRPr="00FB16AA">
              <w:rPr>
                <w:b/>
                <w:spacing w:val="1"/>
                <w:sz w:val="24"/>
                <w:szCs w:val="24"/>
              </w:rPr>
              <w:t xml:space="preserve"> </w:t>
            </w:r>
            <w:r w:rsidRPr="00FB16AA">
              <w:rPr>
                <w:b/>
                <w:sz w:val="24"/>
                <w:szCs w:val="24"/>
              </w:rPr>
              <w:t>during</w:t>
            </w:r>
            <w:r w:rsidRPr="00FB16AA">
              <w:rPr>
                <w:b/>
                <w:spacing w:val="-5"/>
                <w:sz w:val="24"/>
                <w:szCs w:val="24"/>
              </w:rPr>
              <w:t xml:space="preserve"> </w:t>
            </w:r>
            <w:r w:rsidRPr="00FB16AA">
              <w:rPr>
                <w:b/>
                <w:spacing w:val="-2"/>
                <w:sz w:val="24"/>
                <w:szCs w:val="24"/>
              </w:rPr>
              <w:t>therapy</w:t>
            </w:r>
          </w:p>
        </w:tc>
        <w:tc>
          <w:tcPr>
            <w:tcW w:w="4684" w:type="dxa"/>
          </w:tcPr>
          <w:p w14:paraId="4340E493" w14:textId="64CB5E2E" w:rsidR="00E03782" w:rsidRDefault="00E03782" w:rsidP="00E03782">
            <w:pPr>
              <w:pStyle w:val="TableParagraph"/>
              <w:ind w:left="0"/>
              <w:rPr>
                <w:b/>
                <w:noProof/>
                <w:sz w:val="24"/>
                <w:szCs w:val="24"/>
                <w:lang w:val="en-IN" w:eastAsia="en-IN" w:bidi="te-IN"/>
              </w:rPr>
            </w:pPr>
            <w:r w:rsidRPr="00FB16AA">
              <w:rPr>
                <w:b/>
                <w:sz w:val="24"/>
                <w:szCs w:val="24"/>
              </w:rPr>
              <w:t>Fig.</w:t>
            </w:r>
            <w:r>
              <w:rPr>
                <w:b/>
                <w:sz w:val="24"/>
                <w:szCs w:val="24"/>
              </w:rPr>
              <w:t>3</w:t>
            </w:r>
            <w:r w:rsidRPr="00FB16AA">
              <w:rPr>
                <w:b/>
                <w:spacing w:val="-4"/>
                <w:sz w:val="24"/>
                <w:szCs w:val="24"/>
              </w:rPr>
              <w:t xml:space="preserve"> </w:t>
            </w:r>
            <w:r w:rsidRPr="00FB16AA">
              <w:rPr>
                <w:b/>
                <w:sz w:val="24"/>
                <w:szCs w:val="24"/>
              </w:rPr>
              <w:t>After recovery(after</w:t>
            </w:r>
            <w:r w:rsidRPr="00FB16AA">
              <w:rPr>
                <w:b/>
                <w:spacing w:val="1"/>
                <w:sz w:val="24"/>
                <w:szCs w:val="24"/>
              </w:rPr>
              <w:t xml:space="preserve"> </w:t>
            </w:r>
            <w:r w:rsidRPr="00FB16AA">
              <w:rPr>
                <w:b/>
                <w:sz w:val="24"/>
                <w:szCs w:val="24"/>
              </w:rPr>
              <w:t>3</w:t>
            </w:r>
            <w:r w:rsidRPr="00FB16AA">
              <w:rPr>
                <w:b/>
                <w:spacing w:val="-7"/>
                <w:sz w:val="24"/>
                <w:szCs w:val="24"/>
              </w:rPr>
              <w:t xml:space="preserve"> </w:t>
            </w:r>
            <w:r w:rsidRPr="00FB16AA">
              <w:rPr>
                <w:b/>
                <w:spacing w:val="-2"/>
                <w:sz w:val="24"/>
                <w:szCs w:val="24"/>
              </w:rPr>
              <w:t>days)</w:t>
            </w:r>
          </w:p>
        </w:tc>
      </w:tr>
      <w:tr w:rsidR="009369FD" w:rsidRPr="00FB16AA" w14:paraId="36476010" w14:textId="77777777" w:rsidTr="00632973">
        <w:trPr>
          <w:trHeight w:val="1864"/>
        </w:trPr>
        <w:tc>
          <w:tcPr>
            <w:tcW w:w="9354" w:type="dxa"/>
            <w:gridSpan w:val="2"/>
          </w:tcPr>
          <w:p w14:paraId="6786B7D5" w14:textId="77777777" w:rsidR="009369FD" w:rsidRPr="006B6252" w:rsidRDefault="009369FD" w:rsidP="005E34B6">
            <w:pPr>
              <w:pStyle w:val="TableParagraph"/>
              <w:ind w:left="106"/>
              <w:rPr>
                <w:noProof/>
                <w:lang w:val="en-IN" w:eastAsia="en-IN" w:bidi="te-IN"/>
              </w:rPr>
            </w:pPr>
            <w:r w:rsidRPr="00A72090">
              <w:rPr>
                <w:noProof/>
                <w:lang w:val="en-IN" w:eastAsia="en-IN" w:bidi="te-IN"/>
              </w:rPr>
              <w:drawing>
                <wp:inline distT="0" distB="0" distL="0" distR="0" wp14:anchorId="62CE3694" wp14:editId="11E30DD3">
                  <wp:extent cx="5548209" cy="1116419"/>
                  <wp:effectExtent l="0" t="0" r="0" b="0"/>
                  <wp:docPr id="14" name="Picture 14" descr="F:\Articles CPK\Articles to be write data papers\Glufocinate toxicty Dog Marc25\photo_2025-03-20_14-2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rticles CPK\Articles to be write data papers\Glufocinate toxicty Dog Marc25\photo_2025-03-20_14-25-4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8209" cy="1116419"/>
                          </a:xfrm>
                          <a:prstGeom prst="rect">
                            <a:avLst/>
                          </a:prstGeom>
                          <a:noFill/>
                          <a:ln>
                            <a:noFill/>
                          </a:ln>
                        </pic:spPr>
                      </pic:pic>
                    </a:graphicData>
                  </a:graphic>
                </wp:inline>
              </w:drawing>
            </w:r>
          </w:p>
        </w:tc>
      </w:tr>
      <w:tr w:rsidR="009369FD" w:rsidRPr="00FB16AA" w14:paraId="22DD1C60" w14:textId="77777777" w:rsidTr="00632973">
        <w:trPr>
          <w:trHeight w:val="654"/>
        </w:trPr>
        <w:tc>
          <w:tcPr>
            <w:tcW w:w="9354" w:type="dxa"/>
            <w:gridSpan w:val="2"/>
          </w:tcPr>
          <w:p w14:paraId="6B3D1F0D" w14:textId="2B715D35" w:rsidR="009369FD" w:rsidRPr="00455A5B" w:rsidRDefault="00287AA6" w:rsidP="005E34B6">
            <w:pPr>
              <w:pStyle w:val="TableParagraph"/>
              <w:ind w:right="89"/>
              <w:jc w:val="both"/>
              <w:rPr>
                <w:b/>
                <w:sz w:val="24"/>
                <w:szCs w:val="24"/>
              </w:rPr>
            </w:pPr>
            <w:r>
              <w:rPr>
                <w:b/>
                <w:sz w:val="24"/>
                <w:szCs w:val="24"/>
              </w:rPr>
              <w:t>Fig.4</w:t>
            </w:r>
            <w:r w:rsidR="009369FD" w:rsidRPr="00FB16AA">
              <w:rPr>
                <w:b/>
                <w:sz w:val="24"/>
                <w:szCs w:val="24"/>
              </w:rPr>
              <w:t xml:space="preserve"> ECG –Lead II, 50mm/sec, 10mm/mv showing wandering baseline ( moment artefact due to muscle twitching and seizures),H</w:t>
            </w:r>
            <w:r w:rsidR="009369FD">
              <w:rPr>
                <w:b/>
                <w:sz w:val="24"/>
                <w:szCs w:val="24"/>
              </w:rPr>
              <w:t>R 140 BPM, QT interval(0.22 sec)</w:t>
            </w:r>
          </w:p>
        </w:tc>
      </w:tr>
      <w:tr w:rsidR="009369FD" w:rsidRPr="00FB16AA" w14:paraId="7F618FFA" w14:textId="77777777" w:rsidTr="00632973">
        <w:trPr>
          <w:trHeight w:val="1265"/>
        </w:trPr>
        <w:tc>
          <w:tcPr>
            <w:tcW w:w="9354" w:type="dxa"/>
            <w:gridSpan w:val="2"/>
          </w:tcPr>
          <w:p w14:paraId="17966306" w14:textId="77777777" w:rsidR="009369FD" w:rsidRPr="00FB16AA" w:rsidRDefault="009369FD" w:rsidP="005E34B6">
            <w:pPr>
              <w:pStyle w:val="TableParagraph"/>
              <w:spacing w:before="2" w:line="237" w:lineRule="auto"/>
              <w:rPr>
                <w:b/>
                <w:sz w:val="24"/>
                <w:szCs w:val="24"/>
              </w:rPr>
            </w:pPr>
            <w:r w:rsidRPr="0052782C">
              <w:rPr>
                <w:noProof/>
                <w:lang w:val="en-IN" w:eastAsia="en-IN" w:bidi="te-IN"/>
              </w:rPr>
              <w:drawing>
                <wp:inline distT="0" distB="0" distL="0" distR="0" wp14:anchorId="496E11C9" wp14:editId="1EAD2A0F">
                  <wp:extent cx="5822710" cy="1301750"/>
                  <wp:effectExtent l="0" t="0" r="6985" b="0"/>
                  <wp:docPr id="13" name="Picture 13" descr="F:\Articles CPK\Articles to be write data papers\Glufocinate toxicty Dog Marc25\photo_2025-03-20_14-2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ticles CPK\Articles to be write data papers\Glufocinate toxicty Dog Marc25\photo_2025-03-20_14-25-37.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10550"/>
                          <a:stretch/>
                        </pic:blipFill>
                        <pic:spPr bwMode="auto">
                          <a:xfrm>
                            <a:off x="0" y="0"/>
                            <a:ext cx="5854536" cy="13088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369FD" w:rsidRPr="00FB16AA" w14:paraId="36196FD7" w14:textId="77777777" w:rsidTr="00632973">
        <w:trPr>
          <w:trHeight w:val="339"/>
        </w:trPr>
        <w:tc>
          <w:tcPr>
            <w:tcW w:w="9354" w:type="dxa"/>
            <w:gridSpan w:val="2"/>
          </w:tcPr>
          <w:p w14:paraId="5CDD6FDE" w14:textId="33AB4519" w:rsidR="009369FD" w:rsidRPr="0052782C" w:rsidRDefault="009369FD" w:rsidP="005E34B6">
            <w:pPr>
              <w:pStyle w:val="TableParagraph"/>
              <w:spacing w:before="2" w:line="237" w:lineRule="auto"/>
              <w:rPr>
                <w:noProof/>
                <w:lang w:val="en-IN" w:eastAsia="en-IN" w:bidi="te-IN"/>
              </w:rPr>
            </w:pPr>
            <w:r w:rsidRPr="00FB16AA">
              <w:rPr>
                <w:b/>
                <w:sz w:val="24"/>
                <w:szCs w:val="24"/>
              </w:rPr>
              <w:t>Fig.</w:t>
            </w:r>
            <w:r w:rsidR="00287AA6">
              <w:rPr>
                <w:b/>
                <w:sz w:val="24"/>
                <w:szCs w:val="24"/>
              </w:rPr>
              <w:t>5</w:t>
            </w:r>
            <w:r w:rsidRPr="00FB16AA">
              <w:rPr>
                <w:b/>
                <w:spacing w:val="80"/>
                <w:sz w:val="24"/>
                <w:szCs w:val="24"/>
              </w:rPr>
              <w:t xml:space="preserve"> </w:t>
            </w:r>
            <w:r w:rsidRPr="00FB16AA">
              <w:rPr>
                <w:b/>
                <w:sz w:val="24"/>
                <w:szCs w:val="24"/>
              </w:rPr>
              <w:t>ECG-taken</w:t>
            </w:r>
            <w:r w:rsidRPr="00FB16AA">
              <w:rPr>
                <w:b/>
                <w:spacing w:val="80"/>
                <w:sz w:val="24"/>
                <w:szCs w:val="24"/>
              </w:rPr>
              <w:t xml:space="preserve"> </w:t>
            </w:r>
            <w:r w:rsidRPr="00FB16AA">
              <w:rPr>
                <w:b/>
                <w:sz w:val="24"/>
                <w:szCs w:val="24"/>
              </w:rPr>
              <w:t>4</w:t>
            </w:r>
            <w:r w:rsidRPr="00FB16AA">
              <w:rPr>
                <w:b/>
                <w:spacing w:val="80"/>
                <w:sz w:val="24"/>
                <w:szCs w:val="24"/>
              </w:rPr>
              <w:t xml:space="preserve"> </w:t>
            </w:r>
            <w:proofErr w:type="spellStart"/>
            <w:r w:rsidRPr="00FB16AA">
              <w:rPr>
                <w:b/>
                <w:sz w:val="24"/>
                <w:szCs w:val="24"/>
              </w:rPr>
              <w:t>hrs</w:t>
            </w:r>
            <w:proofErr w:type="spellEnd"/>
            <w:r w:rsidRPr="00FB16AA">
              <w:rPr>
                <w:b/>
                <w:spacing w:val="80"/>
                <w:sz w:val="24"/>
                <w:szCs w:val="24"/>
              </w:rPr>
              <w:t xml:space="preserve"> </w:t>
            </w:r>
            <w:r w:rsidRPr="00FB16AA">
              <w:rPr>
                <w:b/>
                <w:sz w:val="24"/>
                <w:szCs w:val="24"/>
              </w:rPr>
              <w:t>after</w:t>
            </w:r>
            <w:r w:rsidRPr="00FB16AA">
              <w:rPr>
                <w:b/>
                <w:spacing w:val="80"/>
                <w:sz w:val="24"/>
                <w:szCs w:val="24"/>
              </w:rPr>
              <w:t xml:space="preserve"> </w:t>
            </w:r>
            <w:r w:rsidRPr="00FB16AA">
              <w:rPr>
                <w:b/>
                <w:sz w:val="24"/>
                <w:szCs w:val="24"/>
              </w:rPr>
              <w:t>stabilization (midazolam and supportive therapy</w:t>
            </w:r>
            <w:r w:rsidRPr="00FB16AA">
              <w:rPr>
                <w:b/>
                <w:spacing w:val="40"/>
                <w:sz w:val="24"/>
                <w:szCs w:val="24"/>
              </w:rPr>
              <w:t xml:space="preserve"> </w:t>
            </w:r>
            <w:r w:rsidRPr="00FB16AA">
              <w:rPr>
                <w:b/>
                <w:sz w:val="24"/>
                <w:szCs w:val="24"/>
              </w:rPr>
              <w:t>)</w:t>
            </w:r>
          </w:p>
        </w:tc>
      </w:tr>
    </w:tbl>
    <w:p w14:paraId="121D2A4F" w14:textId="77777777" w:rsidR="009369FD" w:rsidRPr="00EB6B5B" w:rsidRDefault="009369FD" w:rsidP="00EB6B5B">
      <w:pPr>
        <w:pStyle w:val="Body"/>
        <w:rPr>
          <w:rFonts w:ascii="Arial" w:hAnsi="Arial" w:cs="Arial"/>
        </w:rPr>
      </w:pPr>
    </w:p>
    <w:p w14:paraId="7C2BF0F0" w14:textId="77777777" w:rsidR="00FF4FBD" w:rsidRDefault="00504E09" w:rsidP="0061261A">
      <w:pPr>
        <w:pStyle w:val="Body"/>
        <w:spacing w:after="0"/>
        <w:rPr>
          <w:rFonts w:ascii="Arial" w:hAnsi="Arial" w:cs="Arial"/>
          <w:b/>
          <w:bCs/>
        </w:rPr>
      </w:pPr>
      <w:r w:rsidRPr="009B59DF">
        <w:rPr>
          <w:rFonts w:ascii="Arial" w:hAnsi="Arial" w:cs="Arial"/>
          <w:b/>
          <w:bCs/>
        </w:rPr>
        <w:t>CONCLUSION :</w:t>
      </w:r>
    </w:p>
    <w:p w14:paraId="7821A45E" w14:textId="77777777" w:rsidR="0091142B" w:rsidRPr="009B59DF" w:rsidRDefault="0091142B" w:rsidP="0061261A">
      <w:pPr>
        <w:pStyle w:val="Body"/>
        <w:spacing w:after="0"/>
        <w:rPr>
          <w:rFonts w:ascii="Arial" w:hAnsi="Arial" w:cs="Arial"/>
          <w:b/>
          <w:bCs/>
        </w:rPr>
      </w:pPr>
    </w:p>
    <w:p w14:paraId="37C2D2D4" w14:textId="386AD4D4" w:rsidR="00790ADA" w:rsidRDefault="00504E09" w:rsidP="009B59DF">
      <w:pPr>
        <w:pStyle w:val="Body"/>
        <w:rPr>
          <w:rFonts w:ascii="Arial" w:hAnsi="Arial" w:cs="Arial"/>
        </w:rPr>
      </w:pPr>
      <w:r w:rsidRPr="00504E09">
        <w:rPr>
          <w:rFonts w:ascii="Arial" w:hAnsi="Arial" w:cs="Arial"/>
        </w:rPr>
        <w:t xml:space="preserve">The absence of a specific antidote for </w:t>
      </w:r>
      <w:proofErr w:type="spellStart"/>
      <w:r w:rsidRPr="00504E09">
        <w:rPr>
          <w:rFonts w:ascii="Arial" w:hAnsi="Arial" w:cs="Arial"/>
        </w:rPr>
        <w:t>glufosinate</w:t>
      </w:r>
      <w:proofErr w:type="spellEnd"/>
      <w:r w:rsidRPr="00504E09">
        <w:rPr>
          <w:rFonts w:ascii="Arial" w:hAnsi="Arial" w:cs="Arial"/>
        </w:rPr>
        <w:t xml:space="preserve"> emphasizes the importance of supportive care, early intervention, and close monitoring to address any complications arising from the poisoning.</w:t>
      </w:r>
    </w:p>
    <w:p w14:paraId="34EB8190" w14:textId="77777777" w:rsidR="00B77893" w:rsidRPr="003A29C6" w:rsidRDefault="00B77893" w:rsidP="00B77893">
      <w:pPr>
        <w:jc w:val="both"/>
        <w:outlineLvl w:val="0"/>
        <w:rPr>
          <w:rFonts w:ascii="Arial" w:hAnsi="Arial" w:cs="Arial"/>
        </w:rPr>
      </w:pPr>
      <w:r w:rsidRPr="003A29C6">
        <w:rPr>
          <w:rFonts w:ascii="Arial" w:hAnsi="Arial" w:cs="Arial"/>
          <w:b/>
          <w:bCs/>
        </w:rPr>
        <w:t>COMPETING INTERESTS DISCLAIMER:</w:t>
      </w:r>
    </w:p>
    <w:p w14:paraId="49D6429C" w14:textId="77777777" w:rsidR="00B77893" w:rsidRDefault="00B77893" w:rsidP="00B77893">
      <w:commentRangeStart w:id="7"/>
      <w:r w:rsidRPr="00A10EDE">
        <w:t>Authors have declared that they have no known competing financial interests OR non-financial interests OR personal relationships that could have appeared to influence the work reported in this paper.</w:t>
      </w:r>
      <w:commentRangeEnd w:id="7"/>
      <w:r w:rsidR="00646788">
        <w:rPr>
          <w:rStyle w:val="CommentReference"/>
          <w:rFonts w:ascii="Times New Roman" w:hAnsi="Times New Roman"/>
          <w:lang w:val="nb-NO" w:eastAsia="nb-NO"/>
        </w:rPr>
        <w:commentReference w:id="7"/>
      </w:r>
    </w:p>
    <w:p w14:paraId="129C768B" w14:textId="77777777" w:rsidR="00B77893" w:rsidRPr="00FB3A86" w:rsidRDefault="00B77893" w:rsidP="009B59DF">
      <w:pPr>
        <w:pStyle w:val="Body"/>
        <w:rPr>
          <w:rFonts w:ascii="Arial" w:hAnsi="Arial" w:cs="Arial"/>
        </w:rPr>
      </w:pPr>
    </w:p>
    <w:p w14:paraId="65452650" w14:textId="77777777" w:rsidR="00790ADA" w:rsidRPr="00FB3A86" w:rsidRDefault="00790ADA" w:rsidP="00441B6F">
      <w:pPr>
        <w:pStyle w:val="ConcHead"/>
        <w:spacing w:after="0"/>
        <w:jc w:val="both"/>
        <w:rPr>
          <w:rFonts w:ascii="Arial" w:hAnsi="Arial" w:cs="Arial"/>
        </w:rPr>
      </w:pPr>
    </w:p>
    <w:p w14:paraId="20E13F7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C4BBA33" w14:textId="77777777" w:rsidR="00790ADA" w:rsidRPr="00FB3A86" w:rsidRDefault="00790ADA" w:rsidP="00441B6F">
      <w:pPr>
        <w:pStyle w:val="ReferHead"/>
        <w:spacing w:after="0"/>
        <w:jc w:val="both"/>
        <w:rPr>
          <w:rFonts w:ascii="Arial" w:hAnsi="Arial" w:cs="Arial"/>
        </w:rPr>
      </w:pPr>
    </w:p>
    <w:p w14:paraId="51D48471" w14:textId="77777777" w:rsidR="00A326A0" w:rsidRPr="00A326A0" w:rsidRDefault="00A326A0" w:rsidP="00A326A0">
      <w:pPr>
        <w:pStyle w:val="Body"/>
        <w:rPr>
          <w:rFonts w:ascii="Arial" w:hAnsi="Arial" w:cs="Arial"/>
        </w:rPr>
      </w:pPr>
      <w:proofErr w:type="spellStart"/>
      <w:r w:rsidRPr="00A326A0">
        <w:rPr>
          <w:rFonts w:ascii="Arial" w:hAnsi="Arial" w:cs="Arial"/>
        </w:rPr>
        <w:t>Hoerlein</w:t>
      </w:r>
      <w:proofErr w:type="spellEnd"/>
      <w:r w:rsidRPr="00A326A0">
        <w:rPr>
          <w:rFonts w:ascii="Arial" w:hAnsi="Arial" w:cs="Arial"/>
        </w:rPr>
        <w:t xml:space="preserve">, G. (1994). </w:t>
      </w:r>
      <w:proofErr w:type="spellStart"/>
      <w:r w:rsidRPr="00A326A0">
        <w:rPr>
          <w:rFonts w:ascii="Arial" w:hAnsi="Arial" w:cs="Arial"/>
        </w:rPr>
        <w:t>Glufosinate</w:t>
      </w:r>
      <w:proofErr w:type="spellEnd"/>
      <w:r w:rsidRPr="00A326A0">
        <w:rPr>
          <w:rFonts w:ascii="Arial" w:hAnsi="Arial" w:cs="Arial"/>
        </w:rPr>
        <w:t xml:space="preserve"> (</w:t>
      </w:r>
      <w:proofErr w:type="spellStart"/>
      <w:r w:rsidRPr="00A326A0">
        <w:rPr>
          <w:rFonts w:ascii="Arial" w:hAnsi="Arial" w:cs="Arial"/>
        </w:rPr>
        <w:t>phosphinothricin</w:t>
      </w:r>
      <w:proofErr w:type="spellEnd"/>
      <w:r w:rsidRPr="00A326A0">
        <w:rPr>
          <w:rFonts w:ascii="Arial" w:hAnsi="Arial" w:cs="Arial"/>
        </w:rPr>
        <w:t xml:space="preserve">), a natural amino acid with unexpected herbicidal properties. Rev. Environ. </w:t>
      </w:r>
      <w:proofErr w:type="spellStart"/>
      <w:r w:rsidRPr="00A326A0">
        <w:rPr>
          <w:rFonts w:ascii="Arial" w:hAnsi="Arial" w:cs="Arial"/>
        </w:rPr>
        <w:t>Contam</w:t>
      </w:r>
      <w:proofErr w:type="spellEnd"/>
      <w:r w:rsidRPr="00A326A0">
        <w:rPr>
          <w:rFonts w:ascii="Arial" w:hAnsi="Arial" w:cs="Arial"/>
        </w:rPr>
        <w:t xml:space="preserve">. </w:t>
      </w:r>
      <w:proofErr w:type="spellStart"/>
      <w:r w:rsidRPr="00A326A0">
        <w:rPr>
          <w:rFonts w:ascii="Arial" w:hAnsi="Arial" w:cs="Arial"/>
        </w:rPr>
        <w:t>Toxicol</w:t>
      </w:r>
      <w:proofErr w:type="spellEnd"/>
      <w:r w:rsidRPr="00A326A0">
        <w:rPr>
          <w:rFonts w:ascii="Arial" w:hAnsi="Arial" w:cs="Arial"/>
        </w:rPr>
        <w:t>. 138:73-145.</w:t>
      </w:r>
    </w:p>
    <w:p w14:paraId="60E9C701" w14:textId="77777777" w:rsidR="00A326A0" w:rsidRPr="00A326A0" w:rsidRDefault="00A326A0" w:rsidP="00A326A0">
      <w:pPr>
        <w:pStyle w:val="Body"/>
        <w:rPr>
          <w:rFonts w:ascii="Arial" w:hAnsi="Arial" w:cs="Arial"/>
        </w:rPr>
      </w:pPr>
      <w:r w:rsidRPr="00A326A0">
        <w:rPr>
          <w:rFonts w:ascii="Arial" w:hAnsi="Arial" w:cs="Arial"/>
        </w:rPr>
        <w:t>U.S. EPA. 1984. Acute oral toxicity of HOE 39866 to the male and female dog.  (In press Sept. 24.)</w:t>
      </w:r>
    </w:p>
    <w:p w14:paraId="0384570C" w14:textId="77777777" w:rsidR="00A326A0" w:rsidRPr="00A326A0" w:rsidRDefault="00A326A0" w:rsidP="00A326A0">
      <w:pPr>
        <w:pStyle w:val="Body"/>
        <w:rPr>
          <w:rFonts w:ascii="Arial" w:hAnsi="Arial" w:cs="Arial"/>
        </w:rPr>
      </w:pPr>
      <w:r w:rsidRPr="00A326A0">
        <w:rPr>
          <w:rFonts w:ascii="Arial" w:hAnsi="Arial" w:cs="Arial"/>
        </w:rPr>
        <w:t xml:space="preserve">Hori, Y., Koyama, K., Fujisawa, M., Nakajima, M., Shimada, K., Hirose, Y., </w:t>
      </w:r>
      <w:r w:rsidRPr="00A326A0">
        <w:rPr>
          <w:rFonts w:ascii="Arial" w:hAnsi="Arial" w:cs="Arial"/>
          <w:i/>
          <w:iCs/>
        </w:rPr>
        <w:t>et al</w:t>
      </w:r>
      <w:r w:rsidRPr="00A326A0">
        <w:rPr>
          <w:rFonts w:ascii="Arial" w:hAnsi="Arial" w:cs="Arial"/>
        </w:rPr>
        <w:t xml:space="preserve">.(2001). Protein binding of </w:t>
      </w:r>
      <w:proofErr w:type="spellStart"/>
      <w:r w:rsidRPr="00A326A0">
        <w:rPr>
          <w:rFonts w:ascii="Arial" w:hAnsi="Arial" w:cs="Arial"/>
        </w:rPr>
        <w:t>glufosinate</w:t>
      </w:r>
      <w:proofErr w:type="spellEnd"/>
      <w:r w:rsidRPr="00A326A0">
        <w:rPr>
          <w:rFonts w:ascii="Arial" w:hAnsi="Arial" w:cs="Arial"/>
        </w:rPr>
        <w:t xml:space="preserve"> and factors affecting it revealed by an equilibrium dialysis technique. J Anal </w:t>
      </w:r>
      <w:proofErr w:type="spellStart"/>
      <w:r w:rsidRPr="00A326A0">
        <w:rPr>
          <w:rFonts w:ascii="Arial" w:hAnsi="Arial" w:cs="Arial"/>
        </w:rPr>
        <w:t>Toxicol</w:t>
      </w:r>
      <w:proofErr w:type="spellEnd"/>
      <w:r w:rsidRPr="00A326A0">
        <w:rPr>
          <w:rFonts w:ascii="Arial" w:hAnsi="Arial" w:cs="Arial"/>
        </w:rPr>
        <w:t>, 25: 439–442.</w:t>
      </w:r>
    </w:p>
    <w:p w14:paraId="070C0722" w14:textId="77777777" w:rsidR="00A326A0" w:rsidRPr="00A326A0" w:rsidRDefault="00A326A0" w:rsidP="00A326A0">
      <w:pPr>
        <w:pStyle w:val="Body"/>
        <w:rPr>
          <w:rFonts w:ascii="Arial" w:hAnsi="Arial" w:cs="Arial"/>
        </w:rPr>
      </w:pPr>
      <w:proofErr w:type="spellStart"/>
      <w:r w:rsidRPr="00A326A0">
        <w:rPr>
          <w:rFonts w:ascii="Arial" w:hAnsi="Arial" w:cs="Arial"/>
        </w:rPr>
        <w:t>Lluís,M</w:t>
      </w:r>
      <w:proofErr w:type="spellEnd"/>
      <w:r w:rsidRPr="00A326A0">
        <w:rPr>
          <w:rFonts w:ascii="Arial" w:hAnsi="Arial" w:cs="Arial"/>
        </w:rPr>
        <w:t xml:space="preserve">., </w:t>
      </w:r>
      <w:proofErr w:type="spellStart"/>
      <w:r w:rsidRPr="00A326A0">
        <w:rPr>
          <w:rFonts w:ascii="Arial" w:hAnsi="Arial" w:cs="Arial"/>
        </w:rPr>
        <w:t>Nogué,S</w:t>
      </w:r>
      <w:proofErr w:type="spellEnd"/>
      <w:r w:rsidRPr="00A326A0">
        <w:rPr>
          <w:rFonts w:ascii="Arial" w:hAnsi="Arial" w:cs="Arial"/>
        </w:rPr>
        <w:t xml:space="preserve">., and </w:t>
      </w:r>
      <w:proofErr w:type="spellStart"/>
      <w:r w:rsidRPr="00A326A0">
        <w:rPr>
          <w:rFonts w:ascii="Arial" w:hAnsi="Arial" w:cs="Arial"/>
        </w:rPr>
        <w:t>Miró,M</w:t>
      </w:r>
      <w:proofErr w:type="spellEnd"/>
      <w:r w:rsidRPr="00A326A0">
        <w:rPr>
          <w:rFonts w:ascii="Arial" w:hAnsi="Arial" w:cs="Arial"/>
        </w:rPr>
        <w:t xml:space="preserve">. (2008). Severe acute poisoning due to a </w:t>
      </w:r>
      <w:proofErr w:type="spellStart"/>
      <w:r w:rsidRPr="00A326A0">
        <w:rPr>
          <w:rFonts w:ascii="Arial" w:hAnsi="Arial" w:cs="Arial"/>
        </w:rPr>
        <w:t>glufosinate</w:t>
      </w:r>
      <w:proofErr w:type="spellEnd"/>
      <w:r w:rsidRPr="00A326A0">
        <w:rPr>
          <w:rFonts w:ascii="Arial" w:hAnsi="Arial" w:cs="Arial"/>
        </w:rPr>
        <w:t xml:space="preserve"> containing preparation without mitochondrial involvement. Human &amp; Experimental Toxicology 27: 519–524</w:t>
      </w:r>
    </w:p>
    <w:p w14:paraId="737A576D" w14:textId="77777777" w:rsidR="00A326A0" w:rsidRPr="00A326A0" w:rsidRDefault="00A326A0" w:rsidP="00A326A0">
      <w:pPr>
        <w:pStyle w:val="Body"/>
        <w:rPr>
          <w:rFonts w:ascii="Arial" w:hAnsi="Arial" w:cs="Arial"/>
        </w:rPr>
      </w:pPr>
      <w:proofErr w:type="spellStart"/>
      <w:r w:rsidRPr="00A326A0">
        <w:rPr>
          <w:rFonts w:ascii="Arial" w:hAnsi="Arial" w:cs="Arial"/>
        </w:rPr>
        <w:lastRenderedPageBreak/>
        <w:t>Donthi</w:t>
      </w:r>
      <w:proofErr w:type="spellEnd"/>
      <w:r w:rsidRPr="00A326A0">
        <w:rPr>
          <w:rFonts w:ascii="Arial" w:hAnsi="Arial" w:cs="Arial"/>
        </w:rPr>
        <w:t xml:space="preserve">, D.N.R., and Kumar, A.D., (2022). </w:t>
      </w:r>
      <w:proofErr w:type="spellStart"/>
      <w:r w:rsidRPr="00A326A0">
        <w:rPr>
          <w:rFonts w:ascii="Arial" w:hAnsi="Arial" w:cs="Arial"/>
        </w:rPr>
        <w:t>Glufosinate</w:t>
      </w:r>
      <w:proofErr w:type="spellEnd"/>
      <w:r w:rsidRPr="00A326A0">
        <w:rPr>
          <w:rFonts w:ascii="Arial" w:hAnsi="Arial" w:cs="Arial"/>
        </w:rPr>
        <w:t xml:space="preserve"> ammonium an overview. </w:t>
      </w:r>
      <w:r w:rsidRPr="00A326A0">
        <w:rPr>
          <w:rFonts w:ascii="Arial" w:hAnsi="Arial" w:cs="Arial"/>
          <w:i/>
        </w:rPr>
        <w:t>India: Pesticide Action Network</w:t>
      </w:r>
      <w:r w:rsidRPr="00A326A0">
        <w:rPr>
          <w:rFonts w:ascii="Arial" w:hAnsi="Arial" w:cs="Arial"/>
        </w:rPr>
        <w:t>.</w:t>
      </w:r>
    </w:p>
    <w:p w14:paraId="3778D3A7" w14:textId="77777777" w:rsidR="00A326A0" w:rsidRPr="00A326A0" w:rsidRDefault="00A326A0" w:rsidP="00A326A0">
      <w:pPr>
        <w:pStyle w:val="Body"/>
        <w:rPr>
          <w:rFonts w:ascii="Arial" w:hAnsi="Arial" w:cs="Arial"/>
        </w:rPr>
      </w:pPr>
      <w:proofErr w:type="spellStart"/>
      <w:r w:rsidRPr="00A326A0">
        <w:rPr>
          <w:rFonts w:ascii="Arial" w:hAnsi="Arial" w:cs="Arial"/>
        </w:rPr>
        <w:t>Lapouble</w:t>
      </w:r>
      <w:proofErr w:type="spellEnd"/>
      <w:r w:rsidRPr="00A326A0">
        <w:rPr>
          <w:rFonts w:ascii="Arial" w:hAnsi="Arial" w:cs="Arial"/>
        </w:rPr>
        <w:t xml:space="preserve">, E., </w:t>
      </w:r>
      <w:proofErr w:type="spellStart"/>
      <w:r w:rsidRPr="00A326A0">
        <w:rPr>
          <w:rFonts w:ascii="Arial" w:hAnsi="Arial" w:cs="Arial"/>
        </w:rPr>
        <w:t>Montécot</w:t>
      </w:r>
      <w:proofErr w:type="spellEnd"/>
      <w:r w:rsidRPr="00A326A0">
        <w:rPr>
          <w:rFonts w:ascii="Arial" w:hAnsi="Arial" w:cs="Arial"/>
        </w:rPr>
        <w:t xml:space="preserve">, C., </w:t>
      </w:r>
      <w:proofErr w:type="spellStart"/>
      <w:r w:rsidRPr="00A326A0">
        <w:rPr>
          <w:rFonts w:ascii="Arial" w:hAnsi="Arial" w:cs="Arial"/>
        </w:rPr>
        <w:t>Sevestre</w:t>
      </w:r>
      <w:proofErr w:type="spellEnd"/>
      <w:r w:rsidRPr="00A326A0">
        <w:rPr>
          <w:rFonts w:ascii="Arial" w:hAnsi="Arial" w:cs="Arial"/>
        </w:rPr>
        <w:t xml:space="preserve">, A. and Pichon, J., (2002). </w:t>
      </w:r>
      <w:proofErr w:type="spellStart"/>
      <w:r w:rsidRPr="00A326A0">
        <w:rPr>
          <w:rFonts w:ascii="Arial" w:hAnsi="Arial" w:cs="Arial"/>
        </w:rPr>
        <w:t>Phosphinothricin</w:t>
      </w:r>
      <w:proofErr w:type="spellEnd"/>
      <w:r w:rsidRPr="00A326A0">
        <w:rPr>
          <w:rFonts w:ascii="Arial" w:hAnsi="Arial" w:cs="Arial"/>
        </w:rPr>
        <w:t xml:space="preserve"> induces epileptic activity via nitric oxide production through NMDA receptor activation in adult mice. </w:t>
      </w:r>
      <w:r w:rsidRPr="00A326A0">
        <w:rPr>
          <w:rFonts w:ascii="Arial" w:hAnsi="Arial" w:cs="Arial"/>
          <w:i/>
        </w:rPr>
        <w:t>Brain research</w:t>
      </w:r>
      <w:r w:rsidRPr="00A326A0">
        <w:rPr>
          <w:rFonts w:ascii="Arial" w:hAnsi="Arial" w:cs="Arial"/>
        </w:rPr>
        <w:t xml:space="preserve">, </w:t>
      </w:r>
      <w:r w:rsidRPr="00A326A0">
        <w:rPr>
          <w:rFonts w:ascii="Arial" w:hAnsi="Arial" w:cs="Arial"/>
          <w:i/>
        </w:rPr>
        <w:t>957</w:t>
      </w:r>
      <w:r w:rsidRPr="00A326A0">
        <w:rPr>
          <w:rFonts w:ascii="Arial" w:hAnsi="Arial" w:cs="Arial"/>
        </w:rPr>
        <w:t>(1), pp.46- 52.</w:t>
      </w:r>
    </w:p>
    <w:p w14:paraId="315C8C9A" w14:textId="77777777" w:rsidR="00A326A0" w:rsidRPr="00A326A0" w:rsidRDefault="00A326A0" w:rsidP="00A326A0">
      <w:pPr>
        <w:pStyle w:val="Body"/>
        <w:rPr>
          <w:rFonts w:ascii="Arial" w:hAnsi="Arial" w:cs="Arial"/>
        </w:rPr>
      </w:pPr>
      <w:r w:rsidRPr="00A326A0">
        <w:rPr>
          <w:rFonts w:ascii="Arial" w:hAnsi="Arial" w:cs="Arial"/>
        </w:rPr>
        <w:t xml:space="preserve">Matsumura, N., Takeuchi, C., </w:t>
      </w:r>
      <w:proofErr w:type="spellStart"/>
      <w:r w:rsidRPr="00A326A0">
        <w:rPr>
          <w:rFonts w:ascii="Arial" w:hAnsi="Arial" w:cs="Arial"/>
        </w:rPr>
        <w:t>Hishikawa</w:t>
      </w:r>
      <w:proofErr w:type="spellEnd"/>
      <w:r w:rsidRPr="00A326A0">
        <w:rPr>
          <w:rFonts w:ascii="Arial" w:hAnsi="Arial" w:cs="Arial"/>
        </w:rPr>
        <w:t xml:space="preserve">, K., Fujii, T. and Nakaki, T.(2001). </w:t>
      </w:r>
      <w:proofErr w:type="spellStart"/>
      <w:r w:rsidRPr="00A326A0">
        <w:rPr>
          <w:rFonts w:ascii="Arial" w:hAnsi="Arial" w:cs="Arial"/>
        </w:rPr>
        <w:t>Glufosinate</w:t>
      </w:r>
      <w:proofErr w:type="spellEnd"/>
      <w:r w:rsidRPr="00A326A0">
        <w:rPr>
          <w:rFonts w:ascii="Arial" w:hAnsi="Arial" w:cs="Arial"/>
        </w:rPr>
        <w:t xml:space="preserve"> ammonium induces convulsion through N-methyl-D-aspartate receptors in mice. </w:t>
      </w:r>
      <w:r w:rsidRPr="00A326A0">
        <w:rPr>
          <w:rFonts w:ascii="Arial" w:hAnsi="Arial" w:cs="Arial"/>
          <w:i/>
        </w:rPr>
        <w:t>Neuroscience letters</w:t>
      </w:r>
      <w:r w:rsidRPr="00A326A0">
        <w:rPr>
          <w:rFonts w:ascii="Arial" w:hAnsi="Arial" w:cs="Arial"/>
        </w:rPr>
        <w:t xml:space="preserve">, </w:t>
      </w:r>
      <w:r w:rsidRPr="00A326A0">
        <w:rPr>
          <w:rFonts w:ascii="Arial" w:hAnsi="Arial" w:cs="Arial"/>
          <w:i/>
        </w:rPr>
        <w:t>304</w:t>
      </w:r>
      <w:r w:rsidRPr="00A326A0">
        <w:rPr>
          <w:rFonts w:ascii="Arial" w:hAnsi="Arial" w:cs="Arial"/>
        </w:rPr>
        <w:t>(1-2), pp.123-125.</w:t>
      </w:r>
    </w:p>
    <w:p w14:paraId="762F5219" w14:textId="6B6AD040" w:rsidR="004D4277" w:rsidRPr="009B59DF" w:rsidRDefault="00A326A0" w:rsidP="009B59DF">
      <w:pPr>
        <w:pStyle w:val="Body"/>
        <w:rPr>
          <w:rFonts w:ascii="Arial" w:hAnsi="Arial" w:cs="Arial"/>
        </w:rPr>
        <w:sectPr w:rsidR="004D4277" w:rsidRPr="009B59DF" w:rsidSect="00BF1584">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2016" w:bottom="2016" w:left="2016" w:header="720" w:footer="1123" w:gutter="0"/>
          <w:cols w:space="720"/>
          <w:docGrid w:linePitch="272"/>
        </w:sectPr>
      </w:pPr>
      <w:r w:rsidRPr="00A326A0">
        <w:rPr>
          <w:rFonts w:ascii="Arial" w:hAnsi="Arial" w:cs="Arial"/>
        </w:rPr>
        <w:t xml:space="preserve">Kim, S.T. (2021). A case of various clinical aspects associated with cardiotoxicity after </w:t>
      </w:r>
      <w:proofErr w:type="spellStart"/>
      <w:r w:rsidRPr="00A326A0">
        <w:rPr>
          <w:rFonts w:ascii="Arial" w:hAnsi="Arial" w:cs="Arial"/>
        </w:rPr>
        <w:t>glufosinate</w:t>
      </w:r>
      <w:proofErr w:type="spellEnd"/>
      <w:r w:rsidRPr="00A326A0">
        <w:rPr>
          <w:rFonts w:ascii="Arial" w:hAnsi="Arial" w:cs="Arial"/>
        </w:rPr>
        <w:t xml:space="preserve"> poisoning. </w:t>
      </w:r>
      <w:r w:rsidRPr="00A326A0">
        <w:rPr>
          <w:rFonts w:ascii="Arial" w:hAnsi="Arial" w:cs="Arial"/>
          <w:i/>
        </w:rPr>
        <w:t>Journal of The Korean Society of Clinical Toxicology</w:t>
      </w:r>
      <w:r w:rsidRPr="00A326A0">
        <w:rPr>
          <w:rFonts w:ascii="Arial" w:hAnsi="Arial" w:cs="Arial"/>
        </w:rPr>
        <w:t xml:space="preserve">, </w:t>
      </w:r>
      <w:r w:rsidRPr="00A326A0">
        <w:rPr>
          <w:rFonts w:ascii="Arial" w:hAnsi="Arial" w:cs="Arial"/>
          <w:i/>
        </w:rPr>
        <w:t>19</w:t>
      </w:r>
      <w:r w:rsidRPr="00A326A0">
        <w:rPr>
          <w:rFonts w:ascii="Arial" w:hAnsi="Arial" w:cs="Arial"/>
        </w:rPr>
        <w:t>(2), pp.133-138.</w:t>
      </w:r>
      <w:r>
        <w:rPr>
          <w:rFonts w:ascii="Arial" w:hAnsi="Arial" w:cs="Arial"/>
          <w:b/>
        </w:rPr>
        <w:t xml:space="preserve">  </w:t>
      </w:r>
      <w:r w:rsidR="009B59DF">
        <w:rPr>
          <w:rFonts w:ascii="Arial" w:hAnsi="Arial" w:cs="Arial"/>
          <w:b/>
        </w:rPr>
        <w:t xml:space="preserve">    </w:t>
      </w:r>
    </w:p>
    <w:p w14:paraId="106D86D1" w14:textId="77777777" w:rsidR="00B01FCD" w:rsidRPr="00FB3A86" w:rsidRDefault="00B01FCD" w:rsidP="00441B6F">
      <w:pPr>
        <w:pStyle w:val="Appendix"/>
        <w:spacing w:after="0"/>
        <w:jc w:val="both"/>
        <w:rPr>
          <w:rFonts w:ascii="Arial" w:hAnsi="Arial" w:cs="Arial"/>
          <w:b w:val="0"/>
        </w:rPr>
      </w:pPr>
    </w:p>
    <w:sectPr w:rsidR="00B01FCD" w:rsidRPr="00FB3A86" w:rsidSect="00BF158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r. Abrar Wani" w:date="2025-10-29T10:06:00Z" w:initials="DAW">
    <w:p w14:paraId="4A39DE07" w14:textId="6331C3D1" w:rsidR="00A22D38" w:rsidRDefault="00A22D38">
      <w:pPr>
        <w:pStyle w:val="CommentText"/>
      </w:pPr>
      <w:r>
        <w:rPr>
          <w:rStyle w:val="CommentReference"/>
        </w:rPr>
        <w:annotationRef/>
      </w:r>
      <w:r>
        <w:rPr>
          <w:rStyle w:val="CommentReference"/>
        </w:rPr>
        <w:t xml:space="preserve">Typographical and grammatical errors detected. </w:t>
      </w:r>
    </w:p>
  </w:comment>
  <w:comment w:id="1" w:author="Dr. Abrar Wani" w:date="2025-10-29T10:07:00Z" w:initials="DAW">
    <w:p w14:paraId="07320EC2" w14:textId="3894CF5C" w:rsidR="00A22D38" w:rsidRDefault="00A22D38">
      <w:pPr>
        <w:pStyle w:val="CommentText"/>
      </w:pPr>
      <w:r>
        <w:rPr>
          <w:rStyle w:val="CommentReference"/>
        </w:rPr>
        <w:annotationRef/>
      </w:r>
      <w:r>
        <w:t>Reference missing</w:t>
      </w:r>
    </w:p>
  </w:comment>
  <w:comment w:id="2" w:author="Dr. Abrar Wani" w:date="2025-10-29T10:09:00Z" w:initials="DAW">
    <w:p w14:paraId="3FE3E014" w14:textId="51A462F8" w:rsidR="00A22D38" w:rsidRDefault="00A22D38">
      <w:pPr>
        <w:pStyle w:val="CommentText"/>
      </w:pPr>
      <w:r>
        <w:rPr>
          <w:rStyle w:val="CommentReference"/>
        </w:rPr>
        <w:annotationRef/>
      </w:r>
      <w:r>
        <w:t xml:space="preserve">Typographical and grammatical erros detected. Needs to be rephrased. </w:t>
      </w:r>
    </w:p>
  </w:comment>
  <w:comment w:id="3" w:author="Dr. Abrar Wani" w:date="2025-10-29T10:10:00Z" w:initials="DAW">
    <w:p w14:paraId="2A759AB6" w14:textId="723E2719" w:rsidR="00A22D38" w:rsidRDefault="00A22D38">
      <w:pPr>
        <w:pStyle w:val="CommentText"/>
      </w:pPr>
      <w:r>
        <w:rPr>
          <w:rStyle w:val="CommentReference"/>
        </w:rPr>
        <w:annotationRef/>
      </w:r>
      <w:r>
        <w:t xml:space="preserve">Grammatically written incorrect. </w:t>
      </w:r>
    </w:p>
  </w:comment>
  <w:comment w:id="5" w:author="Dr. Abrar Wani" w:date="2025-10-29T10:11:00Z" w:initials="DAW">
    <w:p w14:paraId="26423248" w14:textId="1FBAA33B" w:rsidR="00A22D38" w:rsidRDefault="00A22D38">
      <w:pPr>
        <w:pStyle w:val="CommentText"/>
      </w:pPr>
      <w:r>
        <w:rPr>
          <w:rStyle w:val="CommentReference"/>
        </w:rPr>
        <w:annotationRef/>
      </w:r>
      <w:r>
        <w:t xml:space="preserve">104.4 is not mild pyrexia. Remove mild </w:t>
      </w:r>
      <w:r w:rsidR="00646788">
        <w:t xml:space="preserve">from the sentence </w:t>
      </w:r>
    </w:p>
  </w:comment>
  <w:comment w:id="4" w:author="Dr. Abrar Wani" w:date="2025-10-29T10:12:00Z" w:initials="DAW">
    <w:p w14:paraId="64C5A900" w14:textId="29941A7E" w:rsidR="00646788" w:rsidRDefault="00646788">
      <w:pPr>
        <w:pStyle w:val="CommentText"/>
      </w:pPr>
      <w:r>
        <w:rPr>
          <w:rStyle w:val="CommentReference"/>
        </w:rPr>
        <w:annotationRef/>
      </w:r>
      <w:r>
        <w:t xml:space="preserve">Typographical errors. Check and rewrite it again </w:t>
      </w:r>
    </w:p>
  </w:comment>
  <w:comment w:id="6" w:author="Dr. Abrar Wani" w:date="2025-10-29T10:17:00Z" w:initials="DAW">
    <w:p w14:paraId="0A38DC21" w14:textId="496BA4FB" w:rsidR="00646788" w:rsidRDefault="00646788">
      <w:pPr>
        <w:pStyle w:val="CommentText"/>
      </w:pPr>
      <w:r>
        <w:rPr>
          <w:rStyle w:val="CommentReference"/>
        </w:rPr>
        <w:annotationRef/>
      </w:r>
      <w:r>
        <w:t>Some typographical and grammatical mistakes dected. Needs to be revised before publishing.</w:t>
      </w:r>
    </w:p>
  </w:comment>
  <w:comment w:id="7" w:author="Dr. Abrar Wani" w:date="2025-10-29T10:18:00Z" w:initials="DAW">
    <w:p w14:paraId="41A51477" w14:textId="5E9EA8E5" w:rsidR="00646788" w:rsidRDefault="00646788">
      <w:pPr>
        <w:pStyle w:val="CommentText"/>
      </w:pPr>
      <w:r>
        <w:rPr>
          <w:rStyle w:val="CommentReference"/>
        </w:rPr>
        <w:annotationRef/>
      </w:r>
      <w:r>
        <w:t xml:space="preserve">Check for typographical and grammatical mistakes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39DE07" w15:done="0"/>
  <w15:commentEx w15:paraId="07320EC2" w15:done="0"/>
  <w15:commentEx w15:paraId="3FE3E014" w15:done="0"/>
  <w15:commentEx w15:paraId="2A759AB6" w15:done="0"/>
  <w15:commentEx w15:paraId="26423248" w15:done="0"/>
  <w15:commentEx w15:paraId="64C5A900" w15:done="0"/>
  <w15:commentEx w15:paraId="0A38DC21" w15:done="0"/>
  <w15:commentEx w15:paraId="41A514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C65C2" w16cex:dateUtc="2025-10-29T04:36:00Z"/>
  <w16cex:commentExtensible w16cex:durableId="2CAC65EE" w16cex:dateUtc="2025-10-29T04:37:00Z"/>
  <w16cex:commentExtensible w16cex:durableId="2CAC6668" w16cex:dateUtc="2025-10-29T04:39:00Z"/>
  <w16cex:commentExtensible w16cex:durableId="2CAC66AC" w16cex:dateUtc="2025-10-29T04:40:00Z"/>
  <w16cex:commentExtensible w16cex:durableId="2CAC66EA" w16cex:dateUtc="2025-10-29T04:41:00Z"/>
  <w16cex:commentExtensible w16cex:durableId="2CAC670C" w16cex:dateUtc="2025-10-29T04:42:00Z"/>
  <w16cex:commentExtensible w16cex:durableId="2CAC6847" w16cex:dateUtc="2025-10-29T04:47:00Z"/>
  <w16cex:commentExtensible w16cex:durableId="2CAC6882" w16cex:dateUtc="2025-10-29T0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39DE07" w16cid:durableId="2CAC65C2"/>
  <w16cid:commentId w16cid:paraId="07320EC2" w16cid:durableId="2CAC65EE"/>
  <w16cid:commentId w16cid:paraId="3FE3E014" w16cid:durableId="2CAC6668"/>
  <w16cid:commentId w16cid:paraId="2A759AB6" w16cid:durableId="2CAC66AC"/>
  <w16cid:commentId w16cid:paraId="26423248" w16cid:durableId="2CAC66EA"/>
  <w16cid:commentId w16cid:paraId="64C5A900" w16cid:durableId="2CAC670C"/>
  <w16cid:commentId w16cid:paraId="0A38DC21" w16cid:durableId="2CAC6847"/>
  <w16cid:commentId w16cid:paraId="41A51477" w16cid:durableId="2CAC68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A462E" w14:textId="77777777" w:rsidR="00643C2D" w:rsidRDefault="00643C2D" w:rsidP="00C37E61">
      <w:r>
        <w:separator/>
      </w:r>
    </w:p>
  </w:endnote>
  <w:endnote w:type="continuationSeparator" w:id="0">
    <w:p w14:paraId="7BD4C345" w14:textId="77777777" w:rsidR="00643C2D" w:rsidRDefault="00643C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5615" w14:textId="77777777" w:rsidR="00BF1584" w:rsidRDefault="00BF1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913FF"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1B7B" w14:textId="77777777" w:rsidR="00BF1584" w:rsidRDefault="00BF1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9AE3" w14:textId="77777777" w:rsidR="00643C2D" w:rsidRDefault="00643C2D" w:rsidP="00C37E61">
      <w:r>
        <w:separator/>
      </w:r>
    </w:p>
  </w:footnote>
  <w:footnote w:type="continuationSeparator" w:id="0">
    <w:p w14:paraId="75B87688" w14:textId="77777777" w:rsidR="00643C2D" w:rsidRDefault="00643C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7F60" w14:textId="73FF90BD" w:rsidR="00BF1584" w:rsidRDefault="00643C2D">
    <w:pPr>
      <w:pStyle w:val="Header"/>
    </w:pPr>
    <w:r>
      <w:rPr>
        <w:noProof/>
      </w:rPr>
      <w:pict w14:anchorId="7B973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92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904D" w14:textId="5A2F2DDC" w:rsidR="00BF1584" w:rsidRDefault="00643C2D">
    <w:pPr>
      <w:pStyle w:val="Header"/>
    </w:pPr>
    <w:r>
      <w:rPr>
        <w:noProof/>
      </w:rPr>
      <w:pict w14:anchorId="06DCA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92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02AF" w14:textId="206C250D" w:rsidR="00BF1584" w:rsidRDefault="00643C2D">
    <w:pPr>
      <w:pStyle w:val="Header"/>
    </w:pPr>
    <w:r>
      <w:rPr>
        <w:noProof/>
      </w:rPr>
      <w:pict w14:anchorId="3CE7B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9271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B772F"/>
    <w:multiLevelType w:val="hybridMultilevel"/>
    <w:tmpl w:val="18C486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Abrar Wani">
    <w15:presenceInfo w15:providerId="Windows Live" w15:userId="dcd8e5400f989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ADD"/>
    <w:rsid w:val="00030174"/>
    <w:rsid w:val="0004579C"/>
    <w:rsid w:val="000A47FA"/>
    <w:rsid w:val="000A65D3"/>
    <w:rsid w:val="000B1E33"/>
    <w:rsid w:val="000D689F"/>
    <w:rsid w:val="000E7B7B"/>
    <w:rsid w:val="000E7D62"/>
    <w:rsid w:val="00103357"/>
    <w:rsid w:val="00123C9F"/>
    <w:rsid w:val="00126190"/>
    <w:rsid w:val="00130F17"/>
    <w:rsid w:val="001320BF"/>
    <w:rsid w:val="00147B9C"/>
    <w:rsid w:val="00163BC4"/>
    <w:rsid w:val="00191062"/>
    <w:rsid w:val="00192B72"/>
    <w:rsid w:val="00197750"/>
    <w:rsid w:val="001A29D8"/>
    <w:rsid w:val="001A5CAA"/>
    <w:rsid w:val="001B0427"/>
    <w:rsid w:val="001D3A51"/>
    <w:rsid w:val="001E10D2"/>
    <w:rsid w:val="001E25B4"/>
    <w:rsid w:val="001E44FE"/>
    <w:rsid w:val="00200595"/>
    <w:rsid w:val="00204835"/>
    <w:rsid w:val="00227F64"/>
    <w:rsid w:val="00231920"/>
    <w:rsid w:val="0023195C"/>
    <w:rsid w:val="0024282C"/>
    <w:rsid w:val="002460DC"/>
    <w:rsid w:val="00250985"/>
    <w:rsid w:val="002556F6"/>
    <w:rsid w:val="00272C80"/>
    <w:rsid w:val="00272FE3"/>
    <w:rsid w:val="00283105"/>
    <w:rsid w:val="00284C4C"/>
    <w:rsid w:val="00287AA6"/>
    <w:rsid w:val="00287E68"/>
    <w:rsid w:val="00296529"/>
    <w:rsid w:val="002A4FC5"/>
    <w:rsid w:val="002B103C"/>
    <w:rsid w:val="002B27FB"/>
    <w:rsid w:val="002B685A"/>
    <w:rsid w:val="002C57D2"/>
    <w:rsid w:val="002E0D56"/>
    <w:rsid w:val="00312A73"/>
    <w:rsid w:val="00315186"/>
    <w:rsid w:val="0033343E"/>
    <w:rsid w:val="003512C2"/>
    <w:rsid w:val="00361EB4"/>
    <w:rsid w:val="00371FB6"/>
    <w:rsid w:val="003763C1"/>
    <w:rsid w:val="00376BBE"/>
    <w:rsid w:val="0039224F"/>
    <w:rsid w:val="003A43A4"/>
    <w:rsid w:val="003A78CE"/>
    <w:rsid w:val="003A7E18"/>
    <w:rsid w:val="003B070B"/>
    <w:rsid w:val="003C4C86"/>
    <w:rsid w:val="003C6258"/>
    <w:rsid w:val="003E28D9"/>
    <w:rsid w:val="003E2904"/>
    <w:rsid w:val="003F52FD"/>
    <w:rsid w:val="00401927"/>
    <w:rsid w:val="0041027F"/>
    <w:rsid w:val="00412475"/>
    <w:rsid w:val="00423265"/>
    <w:rsid w:val="00423789"/>
    <w:rsid w:val="0043671F"/>
    <w:rsid w:val="00440F43"/>
    <w:rsid w:val="00441B6F"/>
    <w:rsid w:val="00446221"/>
    <w:rsid w:val="00450E62"/>
    <w:rsid w:val="004539DB"/>
    <w:rsid w:val="00471A80"/>
    <w:rsid w:val="00494F86"/>
    <w:rsid w:val="004B2977"/>
    <w:rsid w:val="004D305E"/>
    <w:rsid w:val="004D4277"/>
    <w:rsid w:val="00502516"/>
    <w:rsid w:val="00504E09"/>
    <w:rsid w:val="00505F06"/>
    <w:rsid w:val="00506828"/>
    <w:rsid w:val="0053056E"/>
    <w:rsid w:val="00554FDA"/>
    <w:rsid w:val="005C784C"/>
    <w:rsid w:val="005D17F6"/>
    <w:rsid w:val="005E5539"/>
    <w:rsid w:val="00602BF5"/>
    <w:rsid w:val="0061261A"/>
    <w:rsid w:val="00617FDD"/>
    <w:rsid w:val="00632973"/>
    <w:rsid w:val="0063356D"/>
    <w:rsid w:val="00633614"/>
    <w:rsid w:val="00633F68"/>
    <w:rsid w:val="00636EB2"/>
    <w:rsid w:val="006375B8"/>
    <w:rsid w:val="00643C2D"/>
    <w:rsid w:val="00646788"/>
    <w:rsid w:val="00654244"/>
    <w:rsid w:val="0066510A"/>
    <w:rsid w:val="00673E6E"/>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3453"/>
    <w:rsid w:val="0077749E"/>
    <w:rsid w:val="00790ADA"/>
    <w:rsid w:val="007A1612"/>
    <w:rsid w:val="007D2288"/>
    <w:rsid w:val="007E088F"/>
    <w:rsid w:val="007F7B32"/>
    <w:rsid w:val="00804BC2"/>
    <w:rsid w:val="0081431A"/>
    <w:rsid w:val="0083216F"/>
    <w:rsid w:val="00860000"/>
    <w:rsid w:val="00863BD3"/>
    <w:rsid w:val="008641ED"/>
    <w:rsid w:val="00866D66"/>
    <w:rsid w:val="008671C6"/>
    <w:rsid w:val="00875803"/>
    <w:rsid w:val="008B459E"/>
    <w:rsid w:val="008C413A"/>
    <w:rsid w:val="008E13AE"/>
    <w:rsid w:val="008E1506"/>
    <w:rsid w:val="008E710C"/>
    <w:rsid w:val="008F69D6"/>
    <w:rsid w:val="00902439"/>
    <w:rsid w:val="00902823"/>
    <w:rsid w:val="0091142B"/>
    <w:rsid w:val="00915CA6"/>
    <w:rsid w:val="00927834"/>
    <w:rsid w:val="009369FD"/>
    <w:rsid w:val="00943BEE"/>
    <w:rsid w:val="009500A6"/>
    <w:rsid w:val="00957C18"/>
    <w:rsid w:val="009659BA"/>
    <w:rsid w:val="00983040"/>
    <w:rsid w:val="009B3FB9"/>
    <w:rsid w:val="009B59DF"/>
    <w:rsid w:val="009C2465"/>
    <w:rsid w:val="009D35A0"/>
    <w:rsid w:val="009D7EB7"/>
    <w:rsid w:val="009E048A"/>
    <w:rsid w:val="009E08E9"/>
    <w:rsid w:val="009E3DB9"/>
    <w:rsid w:val="009E6E35"/>
    <w:rsid w:val="009F0EDA"/>
    <w:rsid w:val="00A03B96"/>
    <w:rsid w:val="00A05B19"/>
    <w:rsid w:val="00A1134E"/>
    <w:rsid w:val="00A22D38"/>
    <w:rsid w:val="00A24E7E"/>
    <w:rsid w:val="00A258C3"/>
    <w:rsid w:val="00A326A0"/>
    <w:rsid w:val="00A347C0"/>
    <w:rsid w:val="00A47DA4"/>
    <w:rsid w:val="00A51431"/>
    <w:rsid w:val="00A539AD"/>
    <w:rsid w:val="00A62969"/>
    <w:rsid w:val="00A94063"/>
    <w:rsid w:val="00AA6219"/>
    <w:rsid w:val="00AA74E0"/>
    <w:rsid w:val="00AB703F"/>
    <w:rsid w:val="00AC6BB8"/>
    <w:rsid w:val="00AD06EE"/>
    <w:rsid w:val="00AE008F"/>
    <w:rsid w:val="00B01FCD"/>
    <w:rsid w:val="00B1776C"/>
    <w:rsid w:val="00B52583"/>
    <w:rsid w:val="00B52896"/>
    <w:rsid w:val="00B77893"/>
    <w:rsid w:val="00B82B80"/>
    <w:rsid w:val="00B91293"/>
    <w:rsid w:val="00B95236"/>
    <w:rsid w:val="00B96BD9"/>
    <w:rsid w:val="00BA1B01"/>
    <w:rsid w:val="00BA2641"/>
    <w:rsid w:val="00BB37AA"/>
    <w:rsid w:val="00BC53A0"/>
    <w:rsid w:val="00BD592E"/>
    <w:rsid w:val="00BE4CE0"/>
    <w:rsid w:val="00BE62AD"/>
    <w:rsid w:val="00BF121F"/>
    <w:rsid w:val="00BF1584"/>
    <w:rsid w:val="00BF1F80"/>
    <w:rsid w:val="00C166EF"/>
    <w:rsid w:val="00C17EB0"/>
    <w:rsid w:val="00C27F5F"/>
    <w:rsid w:val="00C30A0F"/>
    <w:rsid w:val="00C37E61"/>
    <w:rsid w:val="00C70F1B"/>
    <w:rsid w:val="00C71A47"/>
    <w:rsid w:val="00C7464C"/>
    <w:rsid w:val="00C85588"/>
    <w:rsid w:val="00CC15BC"/>
    <w:rsid w:val="00CD6755"/>
    <w:rsid w:val="00CD6856"/>
    <w:rsid w:val="00CE0089"/>
    <w:rsid w:val="00CE1623"/>
    <w:rsid w:val="00CE793C"/>
    <w:rsid w:val="00CF193C"/>
    <w:rsid w:val="00CF2134"/>
    <w:rsid w:val="00D173F1"/>
    <w:rsid w:val="00D74CB0"/>
    <w:rsid w:val="00D7723B"/>
    <w:rsid w:val="00D8295D"/>
    <w:rsid w:val="00DC2A65"/>
    <w:rsid w:val="00DD1015"/>
    <w:rsid w:val="00DE15F0"/>
    <w:rsid w:val="00DE5663"/>
    <w:rsid w:val="00DE78AA"/>
    <w:rsid w:val="00E03782"/>
    <w:rsid w:val="00E053D0"/>
    <w:rsid w:val="00E15994"/>
    <w:rsid w:val="00E3114E"/>
    <w:rsid w:val="00E31A70"/>
    <w:rsid w:val="00E35B02"/>
    <w:rsid w:val="00E63AA8"/>
    <w:rsid w:val="00E66496"/>
    <w:rsid w:val="00E66B35"/>
    <w:rsid w:val="00E66E10"/>
    <w:rsid w:val="00E769F6"/>
    <w:rsid w:val="00E8407C"/>
    <w:rsid w:val="00E84F3C"/>
    <w:rsid w:val="00EA012C"/>
    <w:rsid w:val="00EB6B5B"/>
    <w:rsid w:val="00EC6A55"/>
    <w:rsid w:val="00ED0288"/>
    <w:rsid w:val="00ED5D58"/>
    <w:rsid w:val="00EE4519"/>
    <w:rsid w:val="00EE52CB"/>
    <w:rsid w:val="00EF581D"/>
    <w:rsid w:val="00EF7FD8"/>
    <w:rsid w:val="00F06F59"/>
    <w:rsid w:val="00F17988"/>
    <w:rsid w:val="00F21360"/>
    <w:rsid w:val="00F469F0"/>
    <w:rsid w:val="00F53273"/>
    <w:rsid w:val="00F755E4"/>
    <w:rsid w:val="00F77D02"/>
    <w:rsid w:val="00FB3A86"/>
    <w:rsid w:val="00FD36C8"/>
    <w:rsid w:val="00FF4FB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34C6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3E28D9"/>
    <w:pPr>
      <w:spacing w:after="120"/>
    </w:pPr>
  </w:style>
  <w:style w:type="character" w:customStyle="1" w:styleId="BodyTextChar">
    <w:name w:val="Body Text Char"/>
    <w:basedOn w:val="DefaultParagraphFont"/>
    <w:link w:val="BodyText"/>
    <w:semiHidden/>
    <w:rsid w:val="003E28D9"/>
    <w:rPr>
      <w:rFonts w:ascii="Helvetica" w:hAnsi="Helvetica"/>
    </w:rPr>
  </w:style>
  <w:style w:type="paragraph" w:customStyle="1" w:styleId="TableParagraph">
    <w:name w:val="Table Paragraph"/>
    <w:basedOn w:val="Normal"/>
    <w:uiPriority w:val="1"/>
    <w:qFormat/>
    <w:rsid w:val="009369FD"/>
    <w:pPr>
      <w:widowControl w:val="0"/>
      <w:autoSpaceDE w:val="0"/>
      <w:autoSpaceDN w:val="0"/>
      <w:ind w:left="110"/>
    </w:pPr>
    <w:rPr>
      <w:rFonts w:ascii="Times New Roman" w:hAnsi="Times New Roman"/>
      <w:sz w:val="22"/>
      <w:szCs w:val="22"/>
    </w:rPr>
  </w:style>
  <w:style w:type="character" w:styleId="UnresolvedMention">
    <w:name w:val="Unresolved Mention"/>
    <w:basedOn w:val="DefaultParagraphFont"/>
    <w:uiPriority w:val="99"/>
    <w:semiHidden/>
    <w:unhideWhenUsed/>
    <w:rsid w:val="00CF2134"/>
    <w:rPr>
      <w:color w:val="605E5C"/>
      <w:shd w:val="clear" w:color="auto" w:fill="E1DFDD"/>
    </w:rPr>
  </w:style>
  <w:style w:type="paragraph" w:styleId="CommentSubject">
    <w:name w:val="annotation subject"/>
    <w:basedOn w:val="CommentText"/>
    <w:next w:val="CommentText"/>
    <w:link w:val="CommentSubjectChar"/>
    <w:semiHidden/>
    <w:unhideWhenUsed/>
    <w:rsid w:val="00A22D38"/>
    <w:rPr>
      <w:rFonts w:ascii="Helvetica" w:hAnsi="Helvetica"/>
      <w:b/>
      <w:bCs/>
      <w:lang w:val="en-US" w:eastAsia="en-US"/>
    </w:rPr>
  </w:style>
  <w:style w:type="character" w:customStyle="1" w:styleId="CommentSubjectChar">
    <w:name w:val="Comment Subject Char"/>
    <w:basedOn w:val="CommentTextChar"/>
    <w:link w:val="CommentSubject"/>
    <w:semiHidden/>
    <w:rsid w:val="00A22D3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46E3F-4E2F-4927-8E02-A698152F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184</TotalTime>
  <Pages>5</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9738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Abrar Wani</cp:lastModifiedBy>
  <cp:revision>22</cp:revision>
  <cp:lastPrinted>1999-07-06T11:00:00Z</cp:lastPrinted>
  <dcterms:created xsi:type="dcterms:W3CDTF">2014-10-25T14:34:00Z</dcterms:created>
  <dcterms:modified xsi:type="dcterms:W3CDTF">2025-10-29T04:49:00Z</dcterms:modified>
</cp:coreProperties>
</file>