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1332A"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GC-MS based </w:t>
      </w:r>
      <w:commentRangeStart w:id="0"/>
      <w:r>
        <w:rPr>
          <w:rFonts w:ascii="Times New Roman" w:eastAsia="Times New Roman" w:hAnsi="Times New Roman" w:cs="Times New Roman"/>
          <w:b/>
        </w:rPr>
        <w:t>phytochemical profiling and correlation with antioxidant and antidiabetic activities of</w:t>
      </w:r>
      <w:r w:rsidR="0042293B">
        <w:rPr>
          <w:rFonts w:ascii="Times New Roman" w:eastAsia="Times New Roman" w:hAnsi="Times New Roman" w:cs="Times New Roman"/>
          <w:b/>
        </w:rPr>
        <w:t xml:space="preserve"> </w:t>
      </w:r>
      <w:r>
        <w:rPr>
          <w:rFonts w:ascii="Times New Roman" w:eastAsia="Times New Roman" w:hAnsi="Times New Roman" w:cs="Times New Roman"/>
          <w:b/>
          <w:i/>
        </w:rPr>
        <w:t>Terminalia arjuna</w:t>
      </w:r>
      <w:r>
        <w:rPr>
          <w:rFonts w:ascii="Times New Roman" w:eastAsia="Times New Roman" w:hAnsi="Times New Roman" w:cs="Times New Roman"/>
          <w:b/>
        </w:rPr>
        <w:t xml:space="preserve"> (Roxb.) Wight &amp; Arn. </w:t>
      </w:r>
      <w:r w:rsidR="0042293B">
        <w:rPr>
          <w:rFonts w:ascii="Times New Roman" w:eastAsia="Times New Roman" w:hAnsi="Times New Roman" w:cs="Times New Roman"/>
          <w:b/>
        </w:rPr>
        <w:t>leaf extracts</w:t>
      </w:r>
      <w:commentRangeEnd w:id="0"/>
      <w:r w:rsidR="00B4261A">
        <w:rPr>
          <w:rStyle w:val="CommentReference"/>
        </w:rPr>
        <w:commentReference w:id="0"/>
      </w:r>
    </w:p>
    <w:p w14:paraId="4D0B8F9A" w14:textId="752C5098" w:rsidR="00C0140E" w:rsidRDefault="00C0140E">
      <w:pPr>
        <w:pBdr>
          <w:top w:val="nil"/>
          <w:left w:val="nil"/>
          <w:bottom w:val="nil"/>
          <w:right w:val="nil"/>
          <w:between w:val="nil"/>
        </w:pBdr>
        <w:spacing w:before="240" w:line="240" w:lineRule="auto"/>
        <w:jc w:val="both"/>
        <w:rPr>
          <w:rFonts w:ascii="Times New Roman" w:eastAsia="Times New Roman" w:hAnsi="Times New Roman" w:cs="Times New Roman"/>
          <w:color w:val="000000"/>
        </w:rPr>
      </w:pPr>
    </w:p>
    <w:p w14:paraId="401CBAB9" w14:textId="77777777" w:rsidR="003F2AB2" w:rsidRDefault="003F2AB2">
      <w:pPr>
        <w:pBdr>
          <w:top w:val="nil"/>
          <w:left w:val="nil"/>
          <w:bottom w:val="nil"/>
          <w:right w:val="nil"/>
          <w:between w:val="nil"/>
        </w:pBdr>
        <w:spacing w:before="240" w:line="240" w:lineRule="auto"/>
        <w:jc w:val="both"/>
        <w:rPr>
          <w:rFonts w:ascii="Times New Roman" w:eastAsia="Times New Roman" w:hAnsi="Times New Roman" w:cs="Times New Roman"/>
          <w:color w:val="000000"/>
        </w:rPr>
      </w:pPr>
    </w:p>
    <w:p w14:paraId="4F90DF36" w14:textId="77777777" w:rsidR="00C0140E" w:rsidRDefault="00957F0F">
      <w:pPr>
        <w:pBdr>
          <w:top w:val="nil"/>
          <w:left w:val="nil"/>
          <w:bottom w:val="nil"/>
          <w:right w:val="nil"/>
          <w:between w:val="nil"/>
        </w:pBdr>
        <w:spacing w:before="240" w:line="240" w:lineRule="auto"/>
        <w:jc w:val="both"/>
        <w:rPr>
          <w:rFonts w:ascii="Times New Roman" w:eastAsia="Times New Roman" w:hAnsi="Times New Roman" w:cs="Times New Roman"/>
          <w:b/>
          <w:bCs/>
          <w:color w:val="000000"/>
        </w:rPr>
      </w:pPr>
      <w:r w:rsidRPr="00597E1A">
        <w:rPr>
          <w:rFonts w:ascii="Times New Roman" w:eastAsia="Times New Roman" w:hAnsi="Times New Roman" w:cs="Times New Roman"/>
          <w:b/>
          <w:bCs/>
          <w:color w:val="000000"/>
        </w:rPr>
        <w:t>Abstract:</w:t>
      </w:r>
    </w:p>
    <w:p w14:paraId="03CFF369" w14:textId="77777777" w:rsidR="00204F7B" w:rsidRPr="00AC19CA" w:rsidRDefault="00204F7B" w:rsidP="00AC4F33">
      <w:pPr>
        <w:pBdr>
          <w:top w:val="nil"/>
          <w:left w:val="nil"/>
          <w:bottom w:val="nil"/>
          <w:right w:val="nil"/>
          <w:between w:val="nil"/>
        </w:pBdr>
        <w:spacing w:before="240" w:line="480" w:lineRule="auto"/>
        <w:jc w:val="both"/>
        <w:rPr>
          <w:rFonts w:ascii="Times New Roman" w:eastAsia="Times New Roman" w:hAnsi="Times New Roman" w:cs="Times New Roman"/>
          <w:iCs/>
          <w:color w:val="000000"/>
        </w:rPr>
      </w:pPr>
      <w:r w:rsidRPr="00AC19CA">
        <w:rPr>
          <w:rFonts w:ascii="Times New Roman" w:eastAsia="Times New Roman" w:hAnsi="Times New Roman" w:cs="Times New Roman"/>
          <w:i/>
          <w:color w:val="000000"/>
        </w:rPr>
        <w:t>Terminalia arjuna</w:t>
      </w:r>
      <w:r w:rsidRPr="00AC19CA">
        <w:rPr>
          <w:rFonts w:ascii="Times New Roman" w:eastAsia="Times New Roman" w:hAnsi="Times New Roman" w:cs="Times New Roman"/>
          <w:iCs/>
          <w:color w:val="000000"/>
        </w:rPr>
        <w:t xml:space="preserve">, a traditional medicinal plant used for metabolic and cardiovascular disorders, was investigated to validate its potential as a natural antidiabetic agent. The study aimed to generate the phytochemical profiling using </w:t>
      </w:r>
      <w:commentRangeStart w:id="1"/>
      <w:r w:rsidRPr="00AC19CA">
        <w:rPr>
          <w:rFonts w:ascii="Times New Roman" w:eastAsia="Times New Roman" w:hAnsi="Times New Roman" w:cs="Times New Roman"/>
          <w:iCs/>
          <w:color w:val="000000"/>
        </w:rPr>
        <w:t xml:space="preserve">GC-MS </w:t>
      </w:r>
      <w:commentRangeEnd w:id="1"/>
      <w:r w:rsidR="00B4261A">
        <w:rPr>
          <w:rStyle w:val="CommentReference"/>
        </w:rPr>
        <w:commentReference w:id="1"/>
      </w:r>
      <w:r w:rsidRPr="00AC19CA">
        <w:rPr>
          <w:rFonts w:ascii="Times New Roman" w:eastAsia="Times New Roman" w:hAnsi="Times New Roman" w:cs="Times New Roman"/>
          <w:iCs/>
          <w:color w:val="000000"/>
        </w:rPr>
        <w:t xml:space="preserve">and assess its antioxidant and </w:t>
      </w:r>
      <w:commentRangeStart w:id="2"/>
      <w:r w:rsidRPr="00AC19CA">
        <w:rPr>
          <w:rFonts w:ascii="Times New Roman" w:eastAsia="Times New Roman" w:hAnsi="Times New Roman" w:cs="Times New Roman"/>
          <w:iCs/>
          <w:color w:val="000000"/>
        </w:rPr>
        <w:t>α-amylase inhibitory activity of ethanolic (TAE) and acetone (TAA) leaf extracts</w:t>
      </w:r>
      <w:commentRangeEnd w:id="2"/>
      <w:r w:rsidR="00B4261A">
        <w:rPr>
          <w:rStyle w:val="CommentReference"/>
        </w:rPr>
        <w:commentReference w:id="2"/>
      </w:r>
      <w:r w:rsidRPr="00AC19CA">
        <w:rPr>
          <w:rFonts w:ascii="Times New Roman" w:eastAsia="Times New Roman" w:hAnsi="Times New Roman" w:cs="Times New Roman"/>
          <w:iCs/>
          <w:color w:val="000000"/>
        </w:rPr>
        <w:t xml:space="preserve">. </w:t>
      </w:r>
      <w:commentRangeStart w:id="3"/>
      <w:r w:rsidRPr="00AC19CA">
        <w:rPr>
          <w:rFonts w:ascii="Times New Roman" w:eastAsia="Times New Roman" w:hAnsi="Times New Roman" w:cs="Times New Roman"/>
          <w:iCs/>
          <w:color w:val="000000"/>
        </w:rPr>
        <w:t>Both</w:t>
      </w:r>
      <w:commentRangeEnd w:id="3"/>
      <w:r w:rsidR="00B4261A">
        <w:rPr>
          <w:rStyle w:val="CommentReference"/>
        </w:rPr>
        <w:commentReference w:id="3"/>
      </w:r>
      <w:r w:rsidRPr="00AC19CA">
        <w:rPr>
          <w:rFonts w:ascii="Times New Roman" w:eastAsia="Times New Roman" w:hAnsi="Times New Roman" w:cs="Times New Roman"/>
          <w:iCs/>
          <w:color w:val="000000"/>
        </w:rPr>
        <w:t xml:space="preserve"> extracts contained phenolics, flavonoids, tannins, and saponins in preliminary phytochemical screening while GC–MS identified fatty acids, terpenoids, phytol derivatives, and phenolic esters found to be linked to antioxidant and antidiabetic effects. Dose dependent radical scavenging activity (</w:t>
      </w:r>
      <w:commentRangeStart w:id="4"/>
      <w:r w:rsidRPr="00AC19CA">
        <w:rPr>
          <w:rFonts w:ascii="Times New Roman" w:eastAsia="Times New Roman" w:hAnsi="Times New Roman" w:cs="Times New Roman"/>
          <w:iCs/>
          <w:color w:val="000000"/>
        </w:rPr>
        <w:t>DPPH and ABTS as</w:t>
      </w:r>
      <w:commentRangeStart w:id="5"/>
      <w:r w:rsidRPr="00AC19CA">
        <w:rPr>
          <w:rFonts w:ascii="Times New Roman" w:eastAsia="Times New Roman" w:hAnsi="Times New Roman" w:cs="Times New Roman"/>
          <w:iCs/>
          <w:color w:val="000000"/>
        </w:rPr>
        <w:t>says</w:t>
      </w:r>
      <w:commentRangeEnd w:id="4"/>
      <w:r w:rsidR="00B4261A">
        <w:rPr>
          <w:rStyle w:val="CommentReference"/>
        </w:rPr>
        <w:commentReference w:id="4"/>
      </w:r>
      <w:r w:rsidRPr="00AC19CA">
        <w:rPr>
          <w:rFonts w:ascii="Times New Roman" w:eastAsia="Times New Roman" w:hAnsi="Times New Roman" w:cs="Times New Roman"/>
          <w:iCs/>
          <w:color w:val="000000"/>
        </w:rPr>
        <w:t xml:space="preserve">) and α-amylase inhibition were observed, with TAE extract more potent at lower concentrations due to polar phenolics, and TAA stronger at higher concentrations from less polar compounds. </w:t>
      </w:r>
      <w:commentRangeEnd w:id="5"/>
      <w:r w:rsidR="00946298">
        <w:rPr>
          <w:rStyle w:val="CommentReference"/>
        </w:rPr>
        <w:commentReference w:id="5"/>
      </w:r>
      <w:r w:rsidRPr="00AC19CA">
        <w:rPr>
          <w:rFonts w:ascii="Times New Roman" w:eastAsia="Times New Roman" w:hAnsi="Times New Roman" w:cs="Times New Roman"/>
          <w:iCs/>
          <w:color w:val="000000"/>
        </w:rPr>
        <w:t xml:space="preserve">TAE showed greater α-amylase inhibition (IC₅₀ = 79.85 µg/mL) than TAA (IC₅₀ = 82.44 µg/mL), though less effective than </w:t>
      </w:r>
      <w:commentRangeStart w:id="6"/>
      <w:r w:rsidRPr="00AC19CA">
        <w:rPr>
          <w:rFonts w:ascii="Times New Roman" w:eastAsia="Times New Roman" w:hAnsi="Times New Roman" w:cs="Times New Roman"/>
          <w:iCs/>
          <w:color w:val="000000"/>
        </w:rPr>
        <w:t>Acarbose</w:t>
      </w:r>
      <w:commentRangeEnd w:id="6"/>
      <w:r w:rsidR="00946298">
        <w:rPr>
          <w:rStyle w:val="CommentReference"/>
        </w:rPr>
        <w:commentReference w:id="6"/>
      </w:r>
      <w:r w:rsidRPr="00AC19CA">
        <w:rPr>
          <w:rFonts w:ascii="Times New Roman" w:eastAsia="Times New Roman" w:hAnsi="Times New Roman" w:cs="Times New Roman"/>
          <w:iCs/>
          <w:color w:val="000000"/>
        </w:rPr>
        <w:t xml:space="preserve">. Overall, the dual antioxidant and α-amylase inhibitory activities validate the traditional use of </w:t>
      </w:r>
      <w:commentRangeStart w:id="7"/>
      <w:r w:rsidRPr="00AC19CA">
        <w:rPr>
          <w:rFonts w:ascii="Times New Roman" w:eastAsia="Times New Roman" w:hAnsi="Times New Roman" w:cs="Times New Roman"/>
          <w:iCs/>
          <w:color w:val="000000"/>
        </w:rPr>
        <w:t xml:space="preserve">T. arjuna </w:t>
      </w:r>
      <w:commentRangeEnd w:id="7"/>
      <w:r w:rsidR="00946298">
        <w:rPr>
          <w:rStyle w:val="CommentReference"/>
        </w:rPr>
        <w:commentReference w:id="7"/>
      </w:r>
      <w:r w:rsidRPr="00AC19CA">
        <w:rPr>
          <w:rFonts w:ascii="Times New Roman" w:eastAsia="Times New Roman" w:hAnsi="Times New Roman" w:cs="Times New Roman"/>
          <w:iCs/>
          <w:color w:val="000000"/>
        </w:rPr>
        <w:t>leaves and highlight their potential as natural antidiabetic agents.</w:t>
      </w:r>
    </w:p>
    <w:p w14:paraId="5BB9BFFC" w14:textId="77777777" w:rsidR="00C0140E" w:rsidRDefault="00957F0F" w:rsidP="00AC4F33">
      <w:pPr>
        <w:pBdr>
          <w:top w:val="nil"/>
          <w:left w:val="nil"/>
          <w:bottom w:val="nil"/>
          <w:right w:val="nil"/>
          <w:between w:val="nil"/>
        </w:pBdr>
        <w:spacing w:before="240" w:line="480" w:lineRule="auto"/>
        <w:jc w:val="both"/>
        <w:rPr>
          <w:rFonts w:ascii="Times New Roman" w:eastAsia="Times New Roman" w:hAnsi="Times New Roman" w:cs="Times New Roman"/>
          <w:color w:val="000000"/>
        </w:rPr>
      </w:pPr>
      <w:r w:rsidRPr="009E1C55">
        <w:rPr>
          <w:rFonts w:ascii="Times New Roman" w:eastAsia="Times New Roman" w:hAnsi="Times New Roman" w:cs="Times New Roman"/>
          <w:b/>
          <w:bCs/>
          <w:color w:val="000000"/>
        </w:rPr>
        <w:t>Key words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Terminalia arjuna</w:t>
      </w:r>
      <w:r>
        <w:rPr>
          <w:rFonts w:ascii="Times New Roman" w:eastAsia="Times New Roman" w:hAnsi="Times New Roman" w:cs="Times New Roman"/>
          <w:color w:val="000000"/>
        </w:rPr>
        <w:t xml:space="preserve">, </w:t>
      </w:r>
      <w:r w:rsidR="007B091F">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hytochemical profiling, </w:t>
      </w:r>
      <w:commentRangeStart w:id="8"/>
      <w:r>
        <w:rPr>
          <w:rFonts w:ascii="Times New Roman" w:eastAsia="Times New Roman" w:hAnsi="Times New Roman" w:cs="Times New Roman"/>
          <w:color w:val="000000"/>
        </w:rPr>
        <w:t>GC-MS profile</w:t>
      </w:r>
      <w:commentRangeEnd w:id="8"/>
      <w:r w:rsidR="00946298">
        <w:rPr>
          <w:rStyle w:val="CommentReference"/>
        </w:rPr>
        <w:commentReference w:id="8"/>
      </w:r>
      <w:r>
        <w:rPr>
          <w:rFonts w:ascii="Times New Roman" w:eastAsia="Times New Roman" w:hAnsi="Times New Roman" w:cs="Times New Roman"/>
          <w:color w:val="000000"/>
        </w:rPr>
        <w:t>, amylase inhibition, and antioxidant activity</w:t>
      </w:r>
      <w:r w:rsidR="007B091F">
        <w:rPr>
          <w:rFonts w:ascii="Times New Roman" w:eastAsia="Times New Roman" w:hAnsi="Times New Roman" w:cs="Times New Roman"/>
          <w:color w:val="000000"/>
        </w:rPr>
        <w:t>, anti-diabetic activity</w:t>
      </w:r>
    </w:p>
    <w:p w14:paraId="00071346" w14:textId="29342D71" w:rsidR="00D9622B" w:rsidRDefault="00D9622B"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51C0008C" w14:textId="4DE1D30D"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6B6A6B8B" w14:textId="6CAC9AD2"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34BC56B6" w14:textId="77777777" w:rsidR="003F2AB2" w:rsidRDefault="003F2AB2"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p>
    <w:p w14:paraId="2A7B070C" w14:textId="77777777" w:rsidR="00C0140E" w:rsidRPr="004E115E" w:rsidRDefault="004E115E" w:rsidP="004E115E">
      <w:pPr>
        <w:pBdr>
          <w:top w:val="nil"/>
          <w:left w:val="nil"/>
          <w:bottom w:val="nil"/>
          <w:right w:val="nil"/>
          <w:between w:val="nil"/>
        </w:pBdr>
        <w:spacing w:before="240" w:line="240" w:lineRule="auto"/>
        <w:jc w:val="both"/>
        <w:rPr>
          <w:rFonts w:ascii="Times New Roman" w:eastAsia="Times New Roman" w:hAnsi="Times New Roman" w:cs="Times New Roman"/>
          <w:b/>
          <w:color w:val="000000"/>
        </w:rPr>
      </w:pPr>
      <w:r w:rsidRPr="004E115E">
        <w:rPr>
          <w:rFonts w:ascii="Times New Roman" w:eastAsia="Times New Roman" w:hAnsi="Times New Roman" w:cs="Times New Roman"/>
          <w:b/>
          <w:color w:val="000000"/>
        </w:rPr>
        <w:t>1.</w:t>
      </w:r>
      <w:r>
        <w:rPr>
          <w:rFonts w:ascii="Times New Roman" w:eastAsia="Times New Roman" w:hAnsi="Times New Roman" w:cs="Times New Roman"/>
          <w:b/>
          <w:color w:val="000000"/>
        </w:rPr>
        <w:t xml:space="preserve"> </w:t>
      </w:r>
      <w:r w:rsidRPr="004E115E">
        <w:rPr>
          <w:rFonts w:ascii="Times New Roman" w:eastAsia="Times New Roman" w:hAnsi="Times New Roman" w:cs="Times New Roman"/>
          <w:b/>
          <w:color w:val="000000"/>
        </w:rPr>
        <w:t>Introduction</w:t>
      </w:r>
    </w:p>
    <w:p w14:paraId="4CCA2E0D"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Diabetes mellitus, particularly Type 2 diabetes (T2D), represents one of the major public health challenges of the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Characterized by chronic hyperglycemia resulting from impaired insulin secretion, the disease has reached epidemic proportions globally. Currently, an estimated 537 </w:t>
      </w:r>
      <w:r>
        <w:rPr>
          <w:rFonts w:ascii="Times New Roman" w:eastAsia="Times New Roman" w:hAnsi="Times New Roman" w:cs="Times New Roman"/>
          <w:color w:val="000000"/>
        </w:rPr>
        <w:t>million people, accounting for 10.5% of the global population, are affected, with healthcare expenditures reaching nearly $966 billion annually</w:t>
      </w:r>
      <w:r w:rsidR="00D81A0E">
        <w:rPr>
          <w:rFonts w:ascii="Times New Roman" w:eastAsia="Times New Roman" w:hAnsi="Times New Roman" w:cs="Times New Roman"/>
          <w:color w:val="000000"/>
        </w:rPr>
        <w:t xml:space="preserve"> (</w:t>
      </w:r>
      <w:r w:rsidR="00AC19CA" w:rsidRPr="008F1EF3">
        <w:rPr>
          <w:rFonts w:ascii="Times New Roman" w:eastAsia="Times New Roman" w:hAnsi="Times New Roman" w:cs="Times New Roman"/>
        </w:rPr>
        <w:t>Magliano</w:t>
      </w:r>
      <w:r w:rsidR="00AC19CA">
        <w:rPr>
          <w:rFonts w:ascii="Times New Roman" w:eastAsia="Times New Roman" w:hAnsi="Times New Roman" w:cs="Times New Roman"/>
        </w:rPr>
        <w:t xml:space="preserve"> and</w:t>
      </w:r>
      <w:r w:rsidR="00AC19CA" w:rsidRPr="008F1EF3">
        <w:rPr>
          <w:rFonts w:ascii="Times New Roman" w:eastAsia="Times New Roman" w:hAnsi="Times New Roman" w:cs="Times New Roman"/>
        </w:rPr>
        <w:t xml:space="preserve"> Boyko</w:t>
      </w:r>
      <w:r w:rsidR="00AC19CA">
        <w:rPr>
          <w:rFonts w:ascii="Times New Roman" w:eastAsia="Times New Roman" w:hAnsi="Times New Roman" w:cs="Times New Roman"/>
        </w:rPr>
        <w:t>., 2021</w:t>
      </w:r>
      <w:r w:rsidR="00D81A0E">
        <w:rPr>
          <w:rFonts w:ascii="Times New Roman" w:eastAsia="Times New Roman" w:hAnsi="Times New Roman" w:cs="Times New Roman"/>
          <w:color w:val="000000"/>
        </w:rPr>
        <w:t>)</w:t>
      </w:r>
      <w:r w:rsidR="00151E40">
        <w:rPr>
          <w:rFonts w:ascii="Times New Roman" w:eastAsia="Times New Roman" w:hAnsi="Times New Roman" w:cs="Times New Roman"/>
          <w:color w:val="000000"/>
        </w:rPr>
        <w:t>.</w:t>
      </w:r>
      <w:r>
        <w:rPr>
          <w:rFonts w:ascii="Times New Roman" w:eastAsia="Times New Roman" w:hAnsi="Times New Roman" w:cs="Times New Roman"/>
        </w:rPr>
        <w:t xml:space="preserve"> These numbers are predicted to rise to 643 million (11.3%) by 2030 and 783 million (12.2%) by 2045</w:t>
      </w:r>
      <w:r w:rsidR="00D81A0E">
        <w:rPr>
          <w:rFonts w:ascii="Times New Roman" w:eastAsia="Times New Roman" w:hAnsi="Times New Roman" w:cs="Times New Roman"/>
        </w:rPr>
        <w:t xml:space="preserve"> (</w:t>
      </w:r>
      <w:r w:rsidR="00AC19CA" w:rsidRPr="00D56F31">
        <w:rPr>
          <w:rFonts w:ascii="Times New Roman" w:eastAsia="Times New Roman" w:hAnsi="Times New Roman" w:cs="Times New Roman"/>
        </w:rPr>
        <w:t>Hossain</w:t>
      </w:r>
      <w:r w:rsidR="00AC19CA">
        <w:rPr>
          <w:rFonts w:ascii="Times New Roman" w:eastAsia="Times New Roman" w:hAnsi="Times New Roman" w:cs="Times New Roman"/>
        </w:rPr>
        <w:t xml:space="preserve">  </w:t>
      </w:r>
      <w:commentRangeStart w:id="9"/>
      <w:r w:rsidR="00AC19CA">
        <w:rPr>
          <w:rFonts w:ascii="Times New Roman" w:eastAsia="Times New Roman" w:hAnsi="Times New Roman" w:cs="Times New Roman"/>
        </w:rPr>
        <w:t>et al.</w:t>
      </w:r>
      <w:commentRangeEnd w:id="9"/>
      <w:r w:rsidR="00A60F45">
        <w:rPr>
          <w:rStyle w:val="CommentReference"/>
        </w:rPr>
        <w:commentReference w:id="9"/>
      </w:r>
      <w:r w:rsidR="00AC19CA">
        <w:rPr>
          <w:rFonts w:ascii="Times New Roman" w:eastAsia="Times New Roman" w:hAnsi="Times New Roman" w:cs="Times New Roman"/>
        </w:rPr>
        <w:t xml:space="preserve">, </w:t>
      </w:r>
      <w:r w:rsidR="00D81A0E">
        <w:rPr>
          <w:rFonts w:ascii="Times New Roman" w:eastAsia="Times New Roman" w:hAnsi="Times New Roman" w:cs="Times New Roman"/>
        </w:rPr>
        <w:t>2</w:t>
      </w:r>
      <w:r w:rsidR="00AC19CA">
        <w:rPr>
          <w:rFonts w:ascii="Times New Roman" w:eastAsia="Times New Roman" w:hAnsi="Times New Roman" w:cs="Times New Roman"/>
        </w:rPr>
        <w:t>024</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Postprandial hyperglycemia, a T2D, is directly associated with the action of pancreatic α-amylase, an enzyme that hydrolyzes α‑1,4‑glycosidic bonds in starch and glycogen</w:t>
      </w:r>
      <w:r w:rsidR="00D81A0E">
        <w:rPr>
          <w:rFonts w:ascii="Times New Roman" w:eastAsia="Times New Roman" w:hAnsi="Times New Roman" w:cs="Times New Roman"/>
        </w:rPr>
        <w:t xml:space="preserve"> (</w:t>
      </w:r>
      <w:r w:rsidR="00AC19CA" w:rsidRPr="00D56F31">
        <w:rPr>
          <w:rFonts w:ascii="Times New Roman" w:eastAsia="Times New Roman" w:hAnsi="Times New Roman" w:cs="Times New Roman"/>
        </w:rPr>
        <w:t>Hiyoshi</w:t>
      </w:r>
      <w:r w:rsidR="00AC19CA">
        <w:rPr>
          <w:rFonts w:ascii="Times New Roman" w:eastAsia="Times New Roman" w:hAnsi="Times New Roman" w:cs="Times New Roman"/>
        </w:rPr>
        <w:t xml:space="preserve"> et al., 2017</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Excessive α-amylase activity causes hyperglycemia, making enzyme inhibition a key therapeutic strategy for controlling postprandial glucose levels</w:t>
      </w:r>
      <w:r w:rsidR="00D81A0E">
        <w:rPr>
          <w:rFonts w:ascii="Times New Roman" w:eastAsia="Times New Roman" w:hAnsi="Times New Roman" w:cs="Times New Roman"/>
        </w:rPr>
        <w:t xml:space="preserve"> (</w:t>
      </w:r>
      <w:r w:rsidR="00AC19CA" w:rsidRPr="00D56F31">
        <w:rPr>
          <w:rFonts w:ascii="Times New Roman" w:eastAsia="Times New Roman" w:hAnsi="Times New Roman" w:cs="Times New Roman"/>
        </w:rPr>
        <w:t>Abdulkareem</w:t>
      </w:r>
      <w:r w:rsidR="00AC19CA">
        <w:rPr>
          <w:rFonts w:ascii="Times New Roman" w:eastAsia="Times New Roman" w:hAnsi="Times New Roman" w:cs="Times New Roman"/>
        </w:rPr>
        <w:t xml:space="preserve"> et al., 2024</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w:t>
      </w:r>
    </w:p>
    <w:p w14:paraId="03559646"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Medicinal plants have long played a vital role in traditional and modern healthcare, often being preferred over synthetic pharmaceuticals due to their effectiveness, affordability, cultural acceptance and comparatively fewer side effects</w:t>
      </w:r>
      <w:r w:rsidR="00151E40">
        <w:rPr>
          <w:rFonts w:ascii="Times New Roman" w:eastAsia="Times New Roman" w:hAnsi="Times New Roman" w:cs="Times New Roman"/>
        </w:rPr>
        <w:t xml:space="preserve"> </w:t>
      </w:r>
      <w:r w:rsidR="00D81A0E">
        <w:rPr>
          <w:rFonts w:ascii="Times New Roman" w:eastAsia="Times New Roman" w:hAnsi="Times New Roman" w:cs="Times New Roman"/>
        </w:rPr>
        <w:t>(</w:t>
      </w:r>
      <w:r w:rsidR="00AC19CA" w:rsidRPr="00D56F31">
        <w:rPr>
          <w:rFonts w:ascii="Times New Roman" w:eastAsia="Times New Roman" w:hAnsi="Times New Roman" w:cs="Times New Roman"/>
        </w:rPr>
        <w:t>Kashtoh and Baek</w:t>
      </w:r>
      <w:r w:rsidR="00AC19CA">
        <w:rPr>
          <w:rFonts w:ascii="Times New Roman" w:eastAsia="Times New Roman" w:hAnsi="Times New Roman" w:cs="Times New Roman"/>
        </w:rPr>
        <w:t xml:space="preserve">., 2023;  </w:t>
      </w:r>
      <w:r w:rsidR="00AC19CA" w:rsidRPr="00D56F31">
        <w:rPr>
          <w:rFonts w:ascii="Times New Roman" w:eastAsia="Times New Roman" w:hAnsi="Times New Roman" w:cs="Times New Roman"/>
        </w:rPr>
        <w:t>Gulati</w:t>
      </w:r>
      <w:r w:rsidR="00AC19CA">
        <w:rPr>
          <w:rFonts w:ascii="Times New Roman" w:eastAsia="Times New Roman" w:hAnsi="Times New Roman" w:cs="Times New Roman"/>
        </w:rPr>
        <w:t xml:space="preserve"> </w:t>
      </w:r>
      <w:r w:rsidR="00AC19CA" w:rsidRPr="000A636A">
        <w:rPr>
          <w:rFonts w:ascii="Times New Roman" w:eastAsia="Times New Roman" w:hAnsi="Times New Roman" w:cs="Times New Roman"/>
          <w:color w:val="FF0000"/>
        </w:rPr>
        <w:t xml:space="preserve"> et al.,  </w:t>
      </w:r>
      <w:r w:rsidR="00AC19CA">
        <w:rPr>
          <w:rFonts w:ascii="Times New Roman" w:eastAsia="Times New Roman" w:hAnsi="Times New Roman" w:cs="Times New Roman"/>
        </w:rPr>
        <w:t>2012;</w:t>
      </w:r>
      <w:r w:rsidR="00B1357B">
        <w:rPr>
          <w:rFonts w:ascii="Times New Roman" w:eastAsia="Times New Roman" w:hAnsi="Times New Roman" w:cs="Times New Roman"/>
        </w:rPr>
        <w:t xml:space="preserve"> </w:t>
      </w:r>
      <w:r w:rsidR="00B1357B" w:rsidRPr="00D56F31">
        <w:rPr>
          <w:rFonts w:ascii="Times New Roman" w:eastAsia="Times New Roman" w:hAnsi="Times New Roman" w:cs="Times New Roman"/>
        </w:rPr>
        <w:t>Rao</w:t>
      </w:r>
      <w:r w:rsidR="00B1357B">
        <w:rPr>
          <w:rFonts w:ascii="Times New Roman" w:eastAsia="Times New Roman" w:hAnsi="Times New Roman" w:cs="Times New Roman"/>
        </w:rPr>
        <w:t xml:space="preserve"> et al., 2010</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 xml:space="preserve"> For centuries plant-based remedies have been widely used in the developing countries as cost effective alternatives for managing diabetes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Arumugam</w:t>
      </w:r>
      <w:r w:rsidR="00B1357B">
        <w:rPr>
          <w:rFonts w:ascii="Times New Roman" w:eastAsia="Times New Roman" w:hAnsi="Times New Roman" w:cs="Times New Roman"/>
        </w:rPr>
        <w:t xml:space="preserve"> et al., 2013</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and in recent years, there has been growing interest in such approaches in developed nations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Przeo</w:t>
      </w:r>
      <w:r w:rsidR="00B1357B">
        <w:rPr>
          <w:rFonts w:ascii="Times New Roman" w:eastAsia="Times New Roman" w:hAnsi="Times New Roman" w:cs="Times New Roman"/>
        </w:rPr>
        <w:t>r., 2021</w:t>
      </w:r>
      <w:r w:rsidR="00D81A0E">
        <w:rPr>
          <w:rFonts w:ascii="Times New Roman" w:eastAsia="Times New Roman" w:hAnsi="Times New Roman" w:cs="Times New Roman"/>
        </w:rPr>
        <w:t>)</w:t>
      </w:r>
      <w:r w:rsidR="00151E40">
        <w:rPr>
          <w:rFonts w:ascii="Times New Roman" w:eastAsia="Times New Roman" w:hAnsi="Times New Roman" w:cs="Times New Roman"/>
        </w:rPr>
        <w:t xml:space="preserve">. </w:t>
      </w:r>
      <w:r>
        <w:rPr>
          <w:rFonts w:ascii="Times New Roman" w:eastAsia="Times New Roman" w:hAnsi="Times New Roman" w:cs="Times New Roman"/>
        </w:rPr>
        <w:t>These plants are rich sources of diverse phytoconstituents</w:t>
      </w:r>
      <w:commentRangeStart w:id="10"/>
      <w:r>
        <w:rPr>
          <w:rFonts w:ascii="Times New Roman" w:eastAsia="Times New Roman" w:hAnsi="Times New Roman" w:cs="Times New Roman"/>
        </w:rPr>
        <w:t>-</w:t>
      </w:r>
      <w:commentRangeEnd w:id="10"/>
      <w:r w:rsidR="000A636A">
        <w:rPr>
          <w:rStyle w:val="CommentReference"/>
        </w:rPr>
        <w:commentReference w:id="10"/>
      </w:r>
      <w:r>
        <w:rPr>
          <w:rFonts w:ascii="Times New Roman" w:eastAsia="Times New Roman" w:hAnsi="Times New Roman" w:cs="Times New Roman"/>
        </w:rPr>
        <w:t xml:space="preserve"> including terpenoids, saponins, flavonoids, carotenoids, alkaloids, glycosides- that exhibit antidiabetic properties</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Jugran</w:t>
      </w:r>
      <w:r w:rsidR="00B1357B">
        <w:rPr>
          <w:rFonts w:ascii="Times New Roman" w:eastAsia="Times New Roman" w:hAnsi="Times New Roman" w:cs="Times New Roman"/>
        </w:rPr>
        <w:t xml:space="preserve"> et al., 2021</w:t>
      </w:r>
      <w:r w:rsidR="00D81A0E">
        <w:rPr>
          <w:rFonts w:ascii="Times New Roman" w:eastAsia="Times New Roman" w:hAnsi="Times New Roman" w:cs="Times New Roman"/>
        </w:rPr>
        <w:t>)</w:t>
      </w:r>
      <w:r w:rsidR="00151E40">
        <w:rPr>
          <w:rFonts w:ascii="Times New Roman" w:eastAsia="Times New Roman" w:hAnsi="Times New Roman" w:cs="Times New Roman"/>
        </w:rPr>
        <w:t>.</w:t>
      </w:r>
      <w:r>
        <w:rPr>
          <w:rFonts w:ascii="Times New Roman" w:eastAsia="Times New Roman" w:hAnsi="Times New Roman" w:cs="Times New Roman"/>
        </w:rPr>
        <w:t xml:space="preserve"> However, the complexity of plant systems, which act as reservoir of many bioactive compounds, makes it challenging to fully exploit and translate their synergistic health benefits</w:t>
      </w:r>
      <w:r w:rsidR="002250EC">
        <w:rPr>
          <w:rFonts w:ascii="Times New Roman" w:eastAsia="Times New Roman" w:hAnsi="Times New Roman" w:cs="Times New Roman"/>
        </w:rPr>
        <w:t xml:space="preserve"> </w:t>
      </w:r>
      <w:r w:rsidR="00D81A0E">
        <w:rPr>
          <w:rFonts w:ascii="Times New Roman" w:eastAsia="Times New Roman" w:hAnsi="Times New Roman" w:cs="Times New Roman"/>
        </w:rPr>
        <w:t>(</w:t>
      </w:r>
      <w:r w:rsidR="00B1357B" w:rsidRPr="002C2242">
        <w:rPr>
          <w:rFonts w:ascii="Times New Roman" w:eastAsia="Times New Roman" w:hAnsi="Times New Roman" w:cs="Times New Roman"/>
        </w:rPr>
        <w:t>Durazzo</w:t>
      </w:r>
      <w:r w:rsidR="00B1357B">
        <w:rPr>
          <w:rFonts w:ascii="Times New Roman" w:eastAsia="Times New Roman" w:hAnsi="Times New Roman" w:cs="Times New Roman"/>
        </w:rPr>
        <w:t xml:space="preserve"> et al., 2018</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w:t>
      </w:r>
      <w:r w:rsidR="002250EC">
        <w:rPr>
          <w:rFonts w:ascii="Times New Roman" w:eastAsia="Times New Roman" w:hAnsi="Times New Roman" w:cs="Times New Roman"/>
        </w:rPr>
        <w:t xml:space="preserve">It was </w:t>
      </w:r>
      <w:r>
        <w:rPr>
          <w:rFonts w:ascii="Times New Roman" w:eastAsia="Times New Roman" w:hAnsi="Times New Roman" w:cs="Times New Roman"/>
        </w:rPr>
        <w:t xml:space="preserve">reported that antidiabetic metabolites are most frequently found in </w:t>
      </w:r>
      <w:r>
        <w:rPr>
          <w:rFonts w:ascii="Times New Roman" w:eastAsia="Times New Roman" w:hAnsi="Times New Roman" w:cs="Times New Roman"/>
        </w:rPr>
        <w:lastRenderedPageBreak/>
        <w:t>leaves accounting for more than 35% of the analyzed plants, whereas their occurrence in other morphological parts is nearly three times lower (about 10% each)</w:t>
      </w:r>
      <w:r w:rsidR="002250EC">
        <w:rPr>
          <w:rFonts w:ascii="Times New Roman" w:eastAsia="Times New Roman" w:hAnsi="Times New Roman" w:cs="Times New Roman"/>
        </w:rPr>
        <w:t xml:space="preserve"> </w:t>
      </w:r>
      <w:r w:rsidR="00D81A0E">
        <w:rPr>
          <w:rFonts w:ascii="Times New Roman" w:eastAsia="Times New Roman" w:hAnsi="Times New Roman" w:cs="Times New Roman"/>
        </w:rPr>
        <w:t>(</w:t>
      </w:r>
      <w:r w:rsidR="00B1357B" w:rsidRPr="00D56F31">
        <w:rPr>
          <w:rFonts w:ascii="Times New Roman" w:eastAsia="Times New Roman" w:hAnsi="Times New Roman" w:cs="Times New Roman"/>
        </w:rPr>
        <w:t>Chan</w:t>
      </w:r>
      <w:r w:rsidR="00B1357B">
        <w:rPr>
          <w:rFonts w:ascii="Times New Roman" w:eastAsia="Times New Roman" w:hAnsi="Times New Roman" w:cs="Times New Roman"/>
        </w:rPr>
        <w:t xml:space="preserve"> et al., 2012</w:t>
      </w:r>
      <w:r w:rsidR="00D81A0E">
        <w:rPr>
          <w:rFonts w:ascii="Times New Roman" w:eastAsia="Times New Roman" w:hAnsi="Times New Roman" w:cs="Times New Roman"/>
        </w:rPr>
        <w:t>)</w:t>
      </w:r>
      <w:r>
        <w:rPr>
          <w:rFonts w:ascii="Times New Roman" w:eastAsia="Times New Roman" w:hAnsi="Times New Roman" w:cs="Times New Roman"/>
        </w:rPr>
        <w:t>.</w:t>
      </w:r>
    </w:p>
    <w:p w14:paraId="05729DFA"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genus </w:t>
      </w:r>
      <w:r>
        <w:rPr>
          <w:rFonts w:ascii="Times New Roman" w:eastAsia="Times New Roman" w:hAnsi="Times New Roman" w:cs="Times New Roman"/>
          <w:i/>
        </w:rPr>
        <w:t>Terminalia</w:t>
      </w:r>
      <w:r>
        <w:rPr>
          <w:rFonts w:ascii="Times New Roman" w:eastAsia="Times New Roman" w:hAnsi="Times New Roman" w:cs="Times New Roman"/>
        </w:rPr>
        <w:t xml:space="preserve"> (family Combretaceae), comprising more than 250 species distributed across South Asia, Africa, Madagascar, and Australia have long been integrated into traditional medical systems such as Ayurveda, Unani, Tibetan and Chinese medicine</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Zhang</w:t>
      </w:r>
      <w:r w:rsidR="00B1357B">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Among these,</w:t>
      </w:r>
      <w:r>
        <w:rPr>
          <w:rFonts w:ascii="Times New Roman" w:eastAsia="Times New Roman" w:hAnsi="Times New Roman" w:cs="Times New Roman"/>
          <w:i/>
        </w:rPr>
        <w:t xml:space="preserve"> Terminalia arjuna</w:t>
      </w:r>
      <w:r>
        <w:rPr>
          <w:rFonts w:ascii="Times New Roman" w:eastAsia="Times New Roman" w:hAnsi="Times New Roman" w:cs="Times New Roman"/>
        </w:rPr>
        <w:t xml:space="preserve"> (Roxb.) Wight &amp; Arn., commonly known as "Arjuna," is native of India and its bark is highly valued as a cardioprotective agent. Beyond cardiovascular benefits, its bark has been described as astringent, demulcent, expectorant, antidysenteric and used to treat anemia, liver issues, ulcers, myocardial necrosis and atherosclerosis</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Dwivedi and Chopra</w:t>
      </w:r>
      <w:r w:rsidR="00B1357B">
        <w:rPr>
          <w:rFonts w:ascii="Times New Roman" w:eastAsia="Times New Roman" w:hAnsi="Times New Roman" w:cs="Times New Roman"/>
        </w:rPr>
        <w:t>., 2014</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Modern pharmacological studies further support its diverse therapeutic potential, demonstrating antioxidant, antibacterial, anticancer, antiallergic, antifertility, and anti-HIV activities</w:t>
      </w:r>
      <w:r w:rsidR="00D81A0E">
        <w:rPr>
          <w:rFonts w:ascii="Times New Roman" w:eastAsia="Times New Roman" w:hAnsi="Times New Roman" w:cs="Times New Roman"/>
        </w:rPr>
        <w:t xml:space="preserve"> (</w:t>
      </w:r>
      <w:r w:rsidR="00B1357B" w:rsidRPr="00D56F31">
        <w:rPr>
          <w:rFonts w:ascii="Times New Roman" w:eastAsia="Times New Roman" w:hAnsi="Times New Roman" w:cs="Times New Roman"/>
        </w:rPr>
        <w:t>Amalraj and Gopi</w:t>
      </w:r>
      <w:r w:rsidR="00B1357B">
        <w:rPr>
          <w:rFonts w:ascii="Times New Roman" w:eastAsia="Times New Roman" w:hAnsi="Times New Roman" w:cs="Times New Roman"/>
        </w:rPr>
        <w:t xml:space="preserve"> 20</w:t>
      </w:r>
      <w:r w:rsidR="00D81A0E">
        <w:rPr>
          <w:rFonts w:ascii="Times New Roman" w:eastAsia="Times New Roman" w:hAnsi="Times New Roman" w:cs="Times New Roman"/>
        </w:rPr>
        <w:t>1</w:t>
      </w:r>
      <w:r w:rsidR="00B1357B">
        <w:rPr>
          <w:rFonts w:ascii="Times New Roman" w:eastAsia="Times New Roman" w:hAnsi="Times New Roman" w:cs="Times New Roman"/>
        </w:rPr>
        <w:t>7</w:t>
      </w:r>
      <w:r w:rsidR="00D81A0E">
        <w:rPr>
          <w:rFonts w:ascii="Times New Roman" w:eastAsia="Times New Roman" w:hAnsi="Times New Roman" w:cs="Times New Roman"/>
        </w:rPr>
        <w:t>,</w:t>
      </w:r>
      <w:r w:rsidR="00B1357B">
        <w:rPr>
          <w:rFonts w:ascii="Times New Roman" w:eastAsia="Times New Roman" w:hAnsi="Times New Roman" w:cs="Times New Roman"/>
        </w:rPr>
        <w:t xml:space="preserve"> </w:t>
      </w:r>
      <w:r w:rsidR="00B1357B" w:rsidRPr="002C2242">
        <w:rPr>
          <w:rFonts w:ascii="Times New Roman" w:eastAsia="Times New Roman" w:hAnsi="Times New Roman" w:cs="Times New Roman"/>
        </w:rPr>
        <w:t>Kumar</w:t>
      </w:r>
      <w:r w:rsidR="00B1357B">
        <w:rPr>
          <w:rFonts w:ascii="Times New Roman" w:eastAsia="Times New Roman" w:hAnsi="Times New Roman" w:cs="Times New Roman"/>
        </w:rPr>
        <w:t xml:space="preserve"> et al., 2021</w:t>
      </w:r>
      <w:r w:rsidR="00D81A0E">
        <w:rPr>
          <w:rFonts w:ascii="Times New Roman" w:eastAsia="Times New Roman" w:hAnsi="Times New Roman" w:cs="Times New Roman"/>
        </w:rPr>
        <w:t>)</w:t>
      </w:r>
      <w:r w:rsidR="002250EC">
        <w:rPr>
          <w:rFonts w:ascii="Times New Roman" w:eastAsia="Times New Roman" w:hAnsi="Times New Roman" w:cs="Times New Roman"/>
        </w:rPr>
        <w:t>.</w:t>
      </w:r>
    </w:p>
    <w:p w14:paraId="1923292F" w14:textId="77777777" w:rsidR="002250EC"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Oxidative stress is a critical key factor of diabetes, and its complications and plant derived phenolic compounds are well recognized for their strong antioxidant properties, primarily through radical scavenging and donating hydrogen ions, thereby reducing oxidative damage</w:t>
      </w:r>
      <w:r w:rsidR="00D81A0E">
        <w:rPr>
          <w:rFonts w:ascii="Times New Roman" w:eastAsia="Times New Roman" w:hAnsi="Times New Roman" w:cs="Times New Roman"/>
        </w:rPr>
        <w:t xml:space="preserve"> (</w:t>
      </w:r>
      <w:r w:rsidR="00B1357B" w:rsidRPr="002C2242">
        <w:rPr>
          <w:rFonts w:ascii="Times New Roman" w:eastAsia="Times New Roman" w:hAnsi="Times New Roman" w:cs="Times New Roman"/>
        </w:rPr>
        <w:t>Shahid</w:t>
      </w:r>
      <w:r w:rsidR="00B1357B">
        <w:rPr>
          <w:rFonts w:ascii="Times New Roman" w:eastAsia="Times New Roman" w:hAnsi="Times New Roman" w:cs="Times New Roman"/>
        </w:rPr>
        <w:t xml:space="preserve"> et al., 2014; </w:t>
      </w:r>
      <w:r w:rsidR="00B1357B" w:rsidRPr="002956C7">
        <w:rPr>
          <w:rFonts w:ascii="Times New Roman" w:eastAsia="Times New Roman" w:hAnsi="Times New Roman" w:cs="Times New Roman"/>
        </w:rPr>
        <w:t>Shahriar</w:t>
      </w:r>
      <w:r w:rsidR="00B1357B">
        <w:rPr>
          <w:rFonts w:ascii="Times New Roman" w:eastAsia="Times New Roman" w:hAnsi="Times New Roman" w:cs="Times New Roman"/>
        </w:rPr>
        <w:t xml:space="preserve"> et al., 2012; </w:t>
      </w:r>
      <w:r w:rsidR="00B1357B" w:rsidRPr="002C2242">
        <w:rPr>
          <w:rFonts w:ascii="Times New Roman" w:eastAsia="Times New Roman" w:hAnsi="Times New Roman" w:cs="Times New Roman"/>
        </w:rPr>
        <w:t>Singh</w:t>
      </w:r>
      <w:r w:rsidR="00B1357B">
        <w:rPr>
          <w:rFonts w:ascii="Times New Roman" w:eastAsia="Times New Roman" w:hAnsi="Times New Roman" w:cs="Times New Roman"/>
        </w:rPr>
        <w:t xml:space="preserve"> and</w:t>
      </w:r>
      <w:r w:rsidR="00B1357B" w:rsidRPr="002C2242">
        <w:rPr>
          <w:rFonts w:ascii="Times New Roman" w:eastAsia="Times New Roman" w:hAnsi="Times New Roman" w:cs="Times New Roman"/>
        </w:rPr>
        <w:t xml:space="preserve"> Singh</w:t>
      </w:r>
      <w:r w:rsidR="00B1357B">
        <w:rPr>
          <w:rFonts w:ascii="Times New Roman" w:eastAsia="Times New Roman" w:hAnsi="Times New Roman" w:cs="Times New Roman"/>
        </w:rPr>
        <w:t>., 2008</w:t>
      </w:r>
      <w:r w:rsidR="00D81A0E">
        <w:rPr>
          <w:rFonts w:ascii="Times New Roman" w:eastAsia="Times New Roman" w:hAnsi="Times New Roman" w:cs="Times New Roman"/>
        </w:rPr>
        <w:t>)</w:t>
      </w:r>
      <w:r w:rsidR="002250EC">
        <w:rPr>
          <w:rFonts w:ascii="Times New Roman" w:eastAsia="Times New Roman" w:hAnsi="Times New Roman" w:cs="Times New Roman"/>
        </w:rPr>
        <w:t>.</w:t>
      </w:r>
      <w:r>
        <w:rPr>
          <w:rFonts w:ascii="Times New Roman" w:eastAsia="Times New Roman" w:hAnsi="Times New Roman" w:cs="Times New Roman"/>
        </w:rPr>
        <w:t xml:space="preserve"> </w:t>
      </w:r>
    </w:p>
    <w:p w14:paraId="74EFADBD" w14:textId="77777777" w:rsidR="00C0140E" w:rsidRDefault="00957F0F" w:rsidP="00AC4F33">
      <w:pPr>
        <w:spacing w:before="240" w:after="240" w:line="480" w:lineRule="auto"/>
        <w:jc w:val="both"/>
        <w:rPr>
          <w:rFonts w:ascii="Times New Roman" w:eastAsia="Times New Roman" w:hAnsi="Times New Roman" w:cs="Times New Roman"/>
          <w:color w:val="EE0000"/>
        </w:rPr>
      </w:pPr>
      <w:r>
        <w:rPr>
          <w:rFonts w:ascii="Times New Roman" w:eastAsia="Times New Roman" w:hAnsi="Times New Roman" w:cs="Times New Roman"/>
        </w:rPr>
        <w:t xml:space="preserve">The rationale for the present study is that although </w:t>
      </w:r>
      <w:r>
        <w:rPr>
          <w:rFonts w:ascii="Times New Roman" w:eastAsia="Times New Roman" w:hAnsi="Times New Roman" w:cs="Times New Roman"/>
          <w:i/>
        </w:rPr>
        <w:t>T. arjuna</w:t>
      </w:r>
      <w:r>
        <w:rPr>
          <w:rFonts w:ascii="Times New Roman" w:eastAsia="Times New Roman" w:hAnsi="Times New Roman" w:cs="Times New Roman"/>
        </w:rPr>
        <w:t xml:space="preserve"> has been widely studied for its cardioprotective properties, comparatively fewer investigations have focused on its antidiabetic potential </w:t>
      </w:r>
      <w:commentRangeStart w:id="11"/>
      <w:r>
        <w:rPr>
          <w:rFonts w:ascii="Times New Roman" w:eastAsia="Times New Roman" w:hAnsi="Times New Roman" w:cs="Times New Roman"/>
        </w:rPr>
        <w:t xml:space="preserve">via α-amylase inhibition </w:t>
      </w:r>
      <w:commentRangeEnd w:id="11"/>
      <w:r w:rsidR="000A636A">
        <w:rPr>
          <w:rStyle w:val="CommentReference"/>
        </w:rPr>
        <w:commentReference w:id="11"/>
      </w:r>
      <w:r>
        <w:rPr>
          <w:rFonts w:ascii="Times New Roman" w:eastAsia="Times New Roman" w:hAnsi="Times New Roman" w:cs="Times New Roman"/>
        </w:rPr>
        <w:t xml:space="preserve">and the phytochemical basis of its antioxidant activity. Therefore, this work </w:t>
      </w:r>
      <w:commentRangeStart w:id="12"/>
      <w:r>
        <w:rPr>
          <w:rFonts w:ascii="Times New Roman" w:eastAsia="Times New Roman" w:hAnsi="Times New Roman" w:cs="Times New Roman"/>
        </w:rPr>
        <w:t xml:space="preserve">aims </w:t>
      </w:r>
      <w:commentRangeEnd w:id="12"/>
      <w:r w:rsidR="000A636A">
        <w:rPr>
          <w:rStyle w:val="CommentReference"/>
        </w:rPr>
        <w:commentReference w:id="12"/>
      </w:r>
      <w:r>
        <w:rPr>
          <w:rFonts w:ascii="Times New Roman" w:eastAsia="Times New Roman" w:hAnsi="Times New Roman" w:cs="Times New Roman"/>
        </w:rPr>
        <w:t xml:space="preserve">at to evaluate the antioxidant capacity of </w:t>
      </w:r>
      <w:r w:rsidRPr="002250EC">
        <w:rPr>
          <w:rFonts w:ascii="Times New Roman" w:eastAsia="Times New Roman" w:hAnsi="Times New Roman" w:cs="Times New Roman"/>
          <w:i/>
          <w:iCs/>
        </w:rPr>
        <w:t>T. arjuna</w:t>
      </w:r>
      <w:r>
        <w:rPr>
          <w:rFonts w:ascii="Times New Roman" w:eastAsia="Times New Roman" w:hAnsi="Times New Roman" w:cs="Times New Roman"/>
        </w:rPr>
        <w:t xml:space="preserve"> leaf extracts, assess their α-amylase inhibitory activity and characterize their phytochemical constituents using GC-MS to establish a scientific basis for its traditional use in metabolic disorders.</w:t>
      </w:r>
    </w:p>
    <w:p w14:paraId="29E9184F" w14:textId="77777777" w:rsidR="00C0140E" w:rsidRDefault="00957F0F">
      <w:pPr>
        <w:spacing w:before="240" w:after="24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 Materials and Methods</w:t>
      </w:r>
    </w:p>
    <w:p w14:paraId="6E5650DC"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rPr>
        <w:t xml:space="preserve">2.1. </w:t>
      </w:r>
      <w:r w:rsidR="004E115E" w:rsidRPr="004E115E">
        <w:rPr>
          <w:rFonts w:ascii="Times New Roman" w:eastAsia="Times New Roman" w:hAnsi="Times New Roman" w:cs="Times New Roman"/>
          <w:b/>
          <w:bCs/>
        </w:rPr>
        <w:t xml:space="preserve">Collection of </w:t>
      </w:r>
      <w:r w:rsidR="00282E31">
        <w:rPr>
          <w:rFonts w:ascii="Times New Roman" w:eastAsia="Times New Roman" w:hAnsi="Times New Roman" w:cs="Times New Roman"/>
          <w:b/>
          <w:bCs/>
        </w:rPr>
        <w:t>P</w:t>
      </w:r>
      <w:r w:rsidRPr="004E115E">
        <w:rPr>
          <w:rFonts w:ascii="Times New Roman" w:eastAsia="Times New Roman" w:hAnsi="Times New Roman" w:cs="Times New Roman"/>
          <w:b/>
          <w:bCs/>
        </w:rPr>
        <w:t xml:space="preserve">lant </w:t>
      </w:r>
      <w:r w:rsidR="00282E31">
        <w:rPr>
          <w:rFonts w:ascii="Times New Roman" w:eastAsia="Times New Roman" w:hAnsi="Times New Roman" w:cs="Times New Roman"/>
          <w:b/>
          <w:bCs/>
        </w:rPr>
        <w:t>M</w:t>
      </w:r>
      <w:r w:rsidRPr="004E115E">
        <w:rPr>
          <w:rFonts w:ascii="Times New Roman" w:eastAsia="Times New Roman" w:hAnsi="Times New Roman" w:cs="Times New Roman"/>
          <w:b/>
          <w:bCs/>
        </w:rPr>
        <w:t>aterial</w:t>
      </w:r>
      <w:r>
        <w:rPr>
          <w:rFonts w:ascii="Times New Roman" w:eastAsia="Times New Roman" w:hAnsi="Times New Roman" w:cs="Times New Roman"/>
        </w:rPr>
        <w:t xml:space="preserve">: Fresh leaves of </w:t>
      </w:r>
      <w:r>
        <w:rPr>
          <w:rFonts w:ascii="Times New Roman" w:eastAsia="Times New Roman" w:hAnsi="Times New Roman" w:cs="Times New Roman"/>
          <w:i/>
        </w:rPr>
        <w:t>Terminalia arjuna</w:t>
      </w:r>
      <w:r>
        <w:rPr>
          <w:rFonts w:ascii="Times New Roman" w:eastAsia="Times New Roman" w:hAnsi="Times New Roman" w:cs="Times New Roman"/>
        </w:rPr>
        <w:t xml:space="preserve"> (Roxb. ex-DC.) Wight &amp; Arn., </w:t>
      </w:r>
      <w:commentRangeStart w:id="13"/>
      <w:r>
        <w:rPr>
          <w:rFonts w:ascii="Times New Roman" w:eastAsia="Times New Roman" w:hAnsi="Times New Roman" w:cs="Times New Roman"/>
        </w:rPr>
        <w:t>member of the Combretaceae family</w:t>
      </w:r>
      <w:commentRangeEnd w:id="13"/>
      <w:r w:rsidR="000A636A">
        <w:rPr>
          <w:rStyle w:val="CommentReference"/>
        </w:rPr>
        <w:commentReference w:id="13"/>
      </w:r>
      <w:r>
        <w:rPr>
          <w:rFonts w:ascii="Times New Roman" w:eastAsia="Times New Roman" w:hAnsi="Times New Roman" w:cs="Times New Roman"/>
        </w:rPr>
        <w:t>, were collected from Mahim Nature Park, Mumbai. The plant specimen was authenticated at the Blatter Herbarium, Xavier’s College, Mumbai and a voucher specimen (NYD-2744 of N.Y.D</w:t>
      </w:r>
      <w:r>
        <w:rPr>
          <w:rFonts w:ascii="Times New Roman" w:eastAsia="Times New Roman" w:hAnsi="Times New Roman" w:cs="Times New Roman"/>
          <w:color w:val="000000"/>
        </w:rPr>
        <w:t>as) was submitted for reference.</w:t>
      </w:r>
    </w:p>
    <w:p w14:paraId="0068F0AD" w14:textId="77777777" w:rsidR="00C0140E" w:rsidRDefault="00957F0F" w:rsidP="00AC4F33">
      <w:pPr>
        <w:spacing w:before="240" w:line="480" w:lineRule="auto"/>
        <w:jc w:val="both"/>
        <w:rPr>
          <w:rFonts w:ascii="Times New Roman" w:eastAsia="Times New Roman" w:hAnsi="Times New Roman" w:cs="Times New Roman"/>
          <w:color w:val="000000"/>
        </w:rPr>
      </w:pPr>
      <w:r w:rsidRPr="004E115E">
        <w:rPr>
          <w:rFonts w:ascii="Times New Roman" w:eastAsia="Times New Roman" w:hAnsi="Times New Roman" w:cs="Times New Roman"/>
          <w:b/>
          <w:bCs/>
          <w:color w:val="000000"/>
        </w:rPr>
        <w:t xml:space="preserve">2.2. Plant </w:t>
      </w:r>
      <w:r w:rsidR="00282E31">
        <w:rPr>
          <w:rFonts w:ascii="Times New Roman" w:eastAsia="Times New Roman" w:hAnsi="Times New Roman" w:cs="Times New Roman"/>
          <w:b/>
          <w:bCs/>
          <w:color w:val="000000"/>
        </w:rPr>
        <w:t>E</w:t>
      </w:r>
      <w:r w:rsidRPr="004E115E">
        <w:rPr>
          <w:rFonts w:ascii="Times New Roman" w:eastAsia="Times New Roman" w:hAnsi="Times New Roman" w:cs="Times New Roman"/>
          <w:b/>
          <w:bCs/>
          <w:color w:val="000000"/>
        </w:rPr>
        <w:t xml:space="preserve">xtract </w:t>
      </w:r>
      <w:r w:rsidR="00282E31">
        <w:rPr>
          <w:rFonts w:ascii="Times New Roman" w:eastAsia="Times New Roman" w:hAnsi="Times New Roman" w:cs="Times New Roman"/>
          <w:b/>
          <w:bCs/>
          <w:color w:val="000000"/>
        </w:rPr>
        <w:t>P</w:t>
      </w:r>
      <w:r w:rsidRPr="004E115E">
        <w:rPr>
          <w:rFonts w:ascii="Times New Roman" w:eastAsia="Times New Roman" w:hAnsi="Times New Roman" w:cs="Times New Roman"/>
          <w:b/>
          <w:bCs/>
          <w:color w:val="000000"/>
        </w:rPr>
        <w:t>reparation</w:t>
      </w:r>
      <w:r>
        <w:rPr>
          <w:rFonts w:ascii="Times New Roman" w:eastAsia="Times New Roman" w:hAnsi="Times New Roman" w:cs="Times New Roman"/>
          <w:color w:val="000000"/>
        </w:rPr>
        <w:t xml:space="preserve">: The collected leaves were washed, air dried and pulverized into a fine powder. The powdered material was subjected to successive extractions using different organic solvents: </w:t>
      </w:r>
      <w:commentRangeStart w:id="14"/>
      <w:r>
        <w:rPr>
          <w:rFonts w:ascii="Times New Roman" w:eastAsia="Times New Roman" w:hAnsi="Times New Roman" w:cs="Times New Roman"/>
          <w:color w:val="000000"/>
        </w:rPr>
        <w:t>alcohol (95%, 90% and 75%)</w:t>
      </w:r>
      <w:commentRangeEnd w:id="14"/>
      <w:r w:rsidR="000A636A">
        <w:rPr>
          <w:rStyle w:val="CommentReference"/>
        </w:rPr>
        <w:commentReference w:id="14"/>
      </w:r>
      <w:r>
        <w:rPr>
          <w:rFonts w:ascii="Times New Roman" w:eastAsia="Times New Roman" w:hAnsi="Times New Roman" w:cs="Times New Roman"/>
          <w:color w:val="000000"/>
        </w:rPr>
        <w:t xml:space="preserve">, acetone, hexane and ethyl acetate, ethanol, methanol by maceration for 72 hours. The filtrates were collected, and the extractive values were calculated for each solvent. Among the tested solvents, the maximum extractive value was obtained with ethanol (95%) and followed by acetone, </w:t>
      </w:r>
      <w:commentRangeStart w:id="15"/>
      <w:r>
        <w:rPr>
          <w:rFonts w:ascii="Times New Roman" w:eastAsia="Times New Roman" w:hAnsi="Times New Roman" w:cs="Times New Roman"/>
          <w:color w:val="000000"/>
        </w:rPr>
        <w:t xml:space="preserve">which was </w:t>
      </w:r>
      <w:commentRangeEnd w:id="15"/>
      <w:r w:rsidR="000A636A">
        <w:rPr>
          <w:rStyle w:val="CommentReference"/>
        </w:rPr>
        <w:commentReference w:id="15"/>
      </w:r>
      <w:r>
        <w:rPr>
          <w:rFonts w:ascii="Times New Roman" w:eastAsia="Times New Roman" w:hAnsi="Times New Roman" w:cs="Times New Roman"/>
          <w:color w:val="000000"/>
        </w:rPr>
        <w:t xml:space="preserve">thus selected for further analysis.  For large scale extraction, the powdered leaf material was macerated with 95% ethanol and acetone in shaker with continuous agitation for 72 hours. The extract </w:t>
      </w:r>
      <w:r w:rsidR="002250EC">
        <w:rPr>
          <w:rFonts w:ascii="Times New Roman" w:eastAsia="Times New Roman" w:hAnsi="Times New Roman" w:cs="Times New Roman"/>
          <w:color w:val="000000"/>
        </w:rPr>
        <w:t xml:space="preserve">was </w:t>
      </w:r>
      <w:r>
        <w:rPr>
          <w:rFonts w:ascii="Times New Roman" w:eastAsia="Times New Roman" w:hAnsi="Times New Roman" w:cs="Times New Roman"/>
          <w:color w:val="000000"/>
        </w:rPr>
        <w:t xml:space="preserve">concentrated using rotary evaporator to obtain the crude ethanol </w:t>
      </w:r>
      <w:r w:rsidR="00D9622B">
        <w:rPr>
          <w:rFonts w:ascii="Times New Roman" w:eastAsia="Times New Roman" w:hAnsi="Times New Roman" w:cs="Times New Roman"/>
          <w:color w:val="000000"/>
        </w:rPr>
        <w:t xml:space="preserve">(TAE) </w:t>
      </w:r>
      <w:r>
        <w:rPr>
          <w:rFonts w:ascii="Times New Roman" w:eastAsia="Times New Roman" w:hAnsi="Times New Roman" w:cs="Times New Roman"/>
          <w:color w:val="000000"/>
        </w:rPr>
        <w:t>and acetone extract</w:t>
      </w:r>
      <w:r w:rsidR="00D9622B">
        <w:rPr>
          <w:rFonts w:ascii="Times New Roman" w:eastAsia="Times New Roman" w:hAnsi="Times New Roman" w:cs="Times New Roman"/>
          <w:color w:val="000000"/>
        </w:rPr>
        <w:t xml:space="preserve"> (TAA)</w:t>
      </w:r>
      <w:r>
        <w:rPr>
          <w:rFonts w:ascii="Times New Roman" w:eastAsia="Times New Roman" w:hAnsi="Times New Roman" w:cs="Times New Roman"/>
          <w:color w:val="000000"/>
        </w:rPr>
        <w:t>. This extract was subsequently used for GC-MS profiling as well as for biological activity assay</w:t>
      </w:r>
      <w:commentRangeStart w:id="16"/>
      <w:r>
        <w:rPr>
          <w:rFonts w:ascii="Times New Roman" w:eastAsia="Times New Roman" w:hAnsi="Times New Roman" w:cs="Times New Roman"/>
          <w:color w:val="000000"/>
        </w:rPr>
        <w:t xml:space="preserve">s: </w:t>
      </w:r>
      <w:commentRangeEnd w:id="16"/>
      <w:r w:rsidR="000A636A">
        <w:rPr>
          <w:rStyle w:val="CommentReference"/>
        </w:rPr>
        <w:commentReference w:id="16"/>
      </w:r>
      <w:r>
        <w:rPr>
          <w:rFonts w:ascii="Times New Roman" w:eastAsia="Times New Roman" w:hAnsi="Times New Roman" w:cs="Times New Roman"/>
          <w:color w:val="000000"/>
        </w:rPr>
        <w:t xml:space="preserve">alpha amylase inhibition and antioxidant </w:t>
      </w:r>
      <w:commentRangeStart w:id="17"/>
      <w:r>
        <w:rPr>
          <w:rFonts w:ascii="Times New Roman" w:eastAsia="Times New Roman" w:hAnsi="Times New Roman" w:cs="Times New Roman"/>
          <w:color w:val="000000"/>
        </w:rPr>
        <w:t>studies</w:t>
      </w:r>
      <w:commentRangeEnd w:id="17"/>
      <w:r w:rsidR="00124BCB">
        <w:rPr>
          <w:rStyle w:val="CommentReference"/>
        </w:rPr>
        <w:commentReference w:id="17"/>
      </w:r>
      <w:r>
        <w:rPr>
          <w:rFonts w:ascii="Times New Roman" w:eastAsia="Times New Roman" w:hAnsi="Times New Roman" w:cs="Times New Roman"/>
          <w:color w:val="000000"/>
        </w:rPr>
        <w:t xml:space="preserve">. </w:t>
      </w:r>
    </w:p>
    <w:p w14:paraId="54E5CDED"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color w:val="000000"/>
        </w:rPr>
        <w:t xml:space="preserve">2.3 Qualitative </w:t>
      </w:r>
      <w:r w:rsidRPr="004E115E">
        <w:rPr>
          <w:rFonts w:ascii="Times New Roman" w:eastAsia="Times New Roman" w:hAnsi="Times New Roman" w:cs="Times New Roman"/>
          <w:b/>
          <w:bCs/>
        </w:rPr>
        <w:t>Phytochemical Screening</w:t>
      </w:r>
      <w:r>
        <w:rPr>
          <w:rFonts w:ascii="Times New Roman" w:eastAsia="Times New Roman" w:hAnsi="Times New Roman" w:cs="Times New Roman"/>
        </w:rPr>
        <w:t xml:space="preserve">: The screening for various phytochemicals for the extract was performed as </w:t>
      </w:r>
      <w:commentRangeStart w:id="18"/>
      <w:r>
        <w:rPr>
          <w:rFonts w:ascii="Times New Roman" w:eastAsia="Times New Roman" w:hAnsi="Times New Roman" w:cs="Times New Roman"/>
        </w:rPr>
        <w:t xml:space="preserve">per standard procedure </w:t>
      </w:r>
      <w:commentRangeEnd w:id="18"/>
      <w:r w:rsidR="00124BCB">
        <w:rPr>
          <w:rStyle w:val="CommentReference"/>
        </w:rPr>
        <w:commentReference w:id="18"/>
      </w:r>
      <w:r>
        <w:rPr>
          <w:rFonts w:ascii="Times New Roman" w:eastAsia="Times New Roman" w:hAnsi="Times New Roman" w:cs="Times New Roman"/>
        </w:rPr>
        <w:t xml:space="preserve">using the crude extract prepared in ethanol (95%) and acetone. The procedure for the qualitative tests performed are </w:t>
      </w:r>
      <w:commentRangeStart w:id="19"/>
      <w:r>
        <w:rPr>
          <w:rFonts w:ascii="Times New Roman" w:eastAsia="Times New Roman" w:hAnsi="Times New Roman" w:cs="Times New Roman"/>
        </w:rPr>
        <w:t>mentioned in the table no. 1.</w:t>
      </w:r>
      <w:commentRangeEnd w:id="19"/>
      <w:r w:rsidR="00124BCB">
        <w:rPr>
          <w:rStyle w:val="CommentReference"/>
        </w:rPr>
        <w:commentReference w:id="19"/>
      </w:r>
    </w:p>
    <w:p w14:paraId="0F19D5F8" w14:textId="77777777" w:rsidR="00C0140E" w:rsidRDefault="00957F0F" w:rsidP="00AC4F33">
      <w:pPr>
        <w:spacing w:before="240" w:line="480" w:lineRule="auto"/>
        <w:jc w:val="both"/>
        <w:rPr>
          <w:rFonts w:ascii="Times New Roman" w:eastAsia="Times New Roman" w:hAnsi="Times New Roman" w:cs="Times New Roman"/>
        </w:rPr>
      </w:pPr>
      <w:r w:rsidRPr="004E115E">
        <w:rPr>
          <w:rFonts w:ascii="Times New Roman" w:eastAsia="Times New Roman" w:hAnsi="Times New Roman" w:cs="Times New Roman"/>
          <w:b/>
          <w:bCs/>
        </w:rPr>
        <w:t>2.4.</w:t>
      </w:r>
      <w:r w:rsidR="00D9622B">
        <w:rPr>
          <w:rFonts w:ascii="Times New Roman" w:eastAsia="Times New Roman" w:hAnsi="Times New Roman" w:cs="Times New Roman"/>
          <w:b/>
          <w:bCs/>
        </w:rPr>
        <w:t xml:space="preserve"> </w:t>
      </w:r>
      <w:r w:rsidRPr="004E115E">
        <w:rPr>
          <w:rFonts w:ascii="Times New Roman" w:eastAsia="Times New Roman" w:hAnsi="Times New Roman" w:cs="Times New Roman"/>
          <w:b/>
          <w:bCs/>
        </w:rPr>
        <w:t>GC-MS Analysis</w:t>
      </w:r>
      <w:r>
        <w:rPr>
          <w:rFonts w:ascii="Times New Roman" w:eastAsia="Times New Roman" w:hAnsi="Times New Roman" w:cs="Times New Roman"/>
        </w:rPr>
        <w:t xml:space="preserve">: Leaf extracts were analyzed using GC–MS using Shimadzu </w:t>
      </w:r>
      <w:commentRangeStart w:id="20"/>
      <w:r>
        <w:rPr>
          <w:rFonts w:ascii="Times New Roman" w:eastAsia="Times New Roman" w:hAnsi="Times New Roman" w:cs="Times New Roman"/>
        </w:rPr>
        <w:t xml:space="preserve">GCMS‑QP2010 Ultra system </w:t>
      </w:r>
      <w:commentRangeEnd w:id="20"/>
      <w:r w:rsidR="00124BCB">
        <w:rPr>
          <w:rStyle w:val="CommentReference"/>
        </w:rPr>
        <w:commentReference w:id="20"/>
      </w:r>
      <w:r>
        <w:rPr>
          <w:rFonts w:ascii="Times New Roman" w:eastAsia="Times New Roman" w:hAnsi="Times New Roman" w:cs="Times New Roman"/>
        </w:rPr>
        <w:t>following the procedure described by Gupta and Kumar</w:t>
      </w:r>
      <w:r w:rsidR="00D81A0E">
        <w:rPr>
          <w:rFonts w:ascii="Times New Roman" w:eastAsia="Times New Roman" w:hAnsi="Times New Roman" w:cs="Times New Roman"/>
        </w:rPr>
        <w:t xml:space="preserve"> (20</w:t>
      </w:r>
      <w:r w:rsidR="008E45D3">
        <w:rPr>
          <w:rFonts w:ascii="Times New Roman" w:eastAsia="Times New Roman" w:hAnsi="Times New Roman" w:cs="Times New Roman"/>
        </w:rPr>
        <w:t>17</w:t>
      </w:r>
      <w:r w:rsidR="00D81A0E">
        <w:rPr>
          <w:rFonts w:ascii="Times New Roman" w:eastAsia="Times New Roman" w:hAnsi="Times New Roman" w:cs="Times New Roman"/>
        </w:rPr>
        <w:t>)</w:t>
      </w:r>
      <w:r>
        <w:rPr>
          <w:rFonts w:ascii="Times New Roman" w:eastAsia="Times New Roman" w:hAnsi="Times New Roman" w:cs="Times New Roman"/>
        </w:rPr>
        <w:t xml:space="preserve"> with slight modifications. The sample was injected in split mode at an injection temperature of 250 °C. </w:t>
      </w:r>
      <w:r>
        <w:rPr>
          <w:rFonts w:ascii="Times New Roman" w:eastAsia="Times New Roman" w:hAnsi="Times New Roman" w:cs="Times New Roman"/>
        </w:rPr>
        <w:lastRenderedPageBreak/>
        <w:t>The oven temperature was set as follows: an initial hold at 80°C for 2 minutes, followed by a ramp of 5°C/min till 280°C, and a final isothermal hold at 280°C for 5 minutes, giving a total run time of 30 minutes. Mass spectral data was acquired in full scan mode using total ion chromatogram (TIC). The entire analytical run lasted 35 minutes. The obtained mass spectra were compared with reference compounds in the NIST (National Institute of Standards and Technology) Mass Spectral Library for compound identification</w:t>
      </w:r>
      <w:r w:rsidR="00D81A0E">
        <w:rPr>
          <w:rFonts w:ascii="Times New Roman" w:eastAsia="Times New Roman" w:hAnsi="Times New Roman" w:cs="Times New Roman"/>
        </w:rPr>
        <w:t xml:space="preserve"> (</w:t>
      </w:r>
      <w:r w:rsidR="008E45D3" w:rsidRPr="00F95565">
        <w:rPr>
          <w:rFonts w:ascii="Times New Roman" w:eastAsia="Times New Roman" w:hAnsi="Times New Roman" w:cs="Times New Roman"/>
        </w:rPr>
        <w:t>Iheagwam</w:t>
      </w:r>
      <w:r w:rsidR="008E45D3">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8E45D3">
        <w:rPr>
          <w:rFonts w:ascii="Times New Roman" w:eastAsia="Times New Roman" w:hAnsi="Times New Roman" w:cs="Times New Roman"/>
        </w:rPr>
        <w:t xml:space="preserve"> </w:t>
      </w:r>
      <w:r w:rsidR="008E45D3" w:rsidRPr="00F95565">
        <w:rPr>
          <w:rFonts w:ascii="Times New Roman" w:eastAsia="Times New Roman" w:hAnsi="Times New Roman" w:cs="Times New Roman"/>
        </w:rPr>
        <w:t>Gutiérrez-Grijalva</w:t>
      </w:r>
      <w:r w:rsidR="008E45D3">
        <w:rPr>
          <w:rFonts w:ascii="Times New Roman" w:eastAsia="Times New Roman" w:hAnsi="Times New Roman" w:cs="Times New Roman"/>
        </w:rPr>
        <w:t xml:space="preserve"> et al., 2019</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w:t>
      </w:r>
    </w:p>
    <w:p w14:paraId="6D3236ED"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b/>
          <w:bCs/>
        </w:rPr>
        <w:t>2.5. α-Amylase inhibition</w:t>
      </w:r>
      <w:r>
        <w:rPr>
          <w:rFonts w:ascii="Times New Roman" w:eastAsia="Times New Roman" w:hAnsi="Times New Roman" w:cs="Times New Roman"/>
        </w:rPr>
        <w:t xml:space="preserve">: The α-amylase inhibitory activity was evaluated following the method of </w:t>
      </w:r>
      <w:bookmarkStart w:id="21" w:name="_Hlk213104240"/>
      <w:r w:rsidR="00253053">
        <w:rPr>
          <w:rFonts w:ascii="Times New Roman" w:eastAsia="Times New Roman" w:hAnsi="Times New Roman" w:cs="Times New Roman"/>
        </w:rPr>
        <w:t>Saibu et al</w:t>
      </w:r>
      <w:r w:rsidR="00D81A0E">
        <w:rPr>
          <w:rFonts w:ascii="Times New Roman" w:eastAsia="Times New Roman" w:hAnsi="Times New Roman" w:cs="Times New Roman"/>
        </w:rPr>
        <w:t xml:space="preserve"> (</w:t>
      </w:r>
      <w:r w:rsidR="008E45D3">
        <w:rPr>
          <w:rFonts w:ascii="Times New Roman" w:eastAsia="Times New Roman" w:hAnsi="Times New Roman" w:cs="Times New Roman"/>
        </w:rPr>
        <w:t>2016</w:t>
      </w:r>
      <w:r w:rsidR="00D81A0E">
        <w:rPr>
          <w:rFonts w:ascii="Times New Roman" w:eastAsia="Times New Roman" w:hAnsi="Times New Roman" w:cs="Times New Roman"/>
        </w:rPr>
        <w:t>)</w:t>
      </w:r>
      <w:r w:rsidRPr="001837B5">
        <w:rPr>
          <w:rFonts w:ascii="Times New Roman" w:eastAsia="Times New Roman" w:hAnsi="Times New Roman" w:cs="Times New Roman"/>
          <w:color w:val="EE0000"/>
        </w:rPr>
        <w:t xml:space="preserve">. </w:t>
      </w:r>
      <w:bookmarkEnd w:id="21"/>
      <w:r>
        <w:rPr>
          <w:rFonts w:ascii="Times New Roman" w:eastAsia="Times New Roman" w:hAnsi="Times New Roman" w:cs="Times New Roman"/>
        </w:rPr>
        <w:t xml:space="preserve">The reaction mixture contained α-amylase enzyme (1U/1mL) and varying concentrations of </w:t>
      </w:r>
      <w:r>
        <w:rPr>
          <w:rFonts w:ascii="Times New Roman" w:eastAsia="Times New Roman" w:hAnsi="Times New Roman" w:cs="Times New Roman"/>
          <w:i/>
        </w:rPr>
        <w:t>T. arjuna</w:t>
      </w:r>
      <w:r>
        <w:rPr>
          <w:rFonts w:ascii="Times New Roman" w:eastAsia="Times New Roman" w:hAnsi="Times New Roman" w:cs="Times New Roman"/>
        </w:rPr>
        <w:t xml:space="preserve"> extracts prepared in 0.2 M phosphate buffer (pH 7.0). The mixture was incubated at 35°C for 10minutes, after which 500 µL of a 1% soluble starch solution was added. The reaction mixture was again incubated for 10minutes at 35°C and the reaction was terminated by adding 1 mL of dinitrosalicylic acid (DNS) reagent. Absorbance was measured at 504 nm with acarbose serving as positive control. All assays were performed in triplicate. The </w:t>
      </w:r>
      <w:r>
        <w:rPr>
          <w:rFonts w:ascii="Times New Roman" w:eastAsia="Times New Roman" w:hAnsi="Times New Roman" w:cs="Times New Roman"/>
          <w:color w:val="000000"/>
        </w:rPr>
        <w:t>percentage inhibition of α-amylase activity was calculated using the following formula:</w:t>
      </w:r>
    </w:p>
    <w:p w14:paraId="3A7205E7" w14:textId="77777777" w:rsidR="00C0140E" w:rsidRPr="001837B5" w:rsidRDefault="00957F0F" w:rsidP="002D6D94">
      <w:pPr>
        <w:pStyle w:val="NoSpacing"/>
        <w:rPr>
          <w:rFonts w:ascii="Times New Roman" w:hAnsi="Times New Roman" w:cs="Times New Roman"/>
        </w:rPr>
      </w:pPr>
      <w:r w:rsidRPr="001837B5">
        <w:rPr>
          <w:rFonts w:ascii="Times New Roman" w:hAnsi="Times New Roman" w:cs="Times New Roman"/>
        </w:rPr>
        <w:t xml:space="preserve"> % of inhibition: </w:t>
      </w:r>
      <w:r w:rsidR="002D6D94" w:rsidRPr="001837B5">
        <w:rPr>
          <w:rFonts w:ascii="Times New Roman" w:hAnsi="Times New Roman" w:cs="Times New Roman"/>
        </w:rPr>
        <w:t xml:space="preserve">     </w:t>
      </w:r>
      <w:r w:rsidRPr="001837B5">
        <w:rPr>
          <w:rFonts w:ascii="Times New Roman" w:hAnsi="Times New Roman" w:cs="Times New Roman"/>
        </w:rPr>
        <w:t xml:space="preserve">A </w:t>
      </w:r>
      <w:r w:rsidRPr="001837B5">
        <w:rPr>
          <w:rFonts w:ascii="Times New Roman" w:hAnsi="Times New Roman" w:cs="Times New Roman"/>
          <w:i/>
          <w:vertAlign w:val="subscript"/>
        </w:rPr>
        <w:t>control</w:t>
      </w:r>
      <w:r w:rsidRPr="001837B5">
        <w:rPr>
          <w:rFonts w:ascii="Times New Roman" w:hAnsi="Times New Roman" w:cs="Times New Roman"/>
        </w:rPr>
        <w:t xml:space="preserve"> –   A </w:t>
      </w:r>
      <w:r w:rsidRPr="001837B5">
        <w:rPr>
          <w:rFonts w:ascii="Times New Roman" w:hAnsi="Times New Roman" w:cs="Times New Roman"/>
          <w:i/>
          <w:vertAlign w:val="subscript"/>
        </w:rPr>
        <w:t>sample</w:t>
      </w:r>
      <w:r w:rsidRPr="001837B5">
        <w:rPr>
          <w:rFonts w:ascii="Times New Roman" w:hAnsi="Times New Roman" w:cs="Times New Roman"/>
          <w:i/>
        </w:rPr>
        <w:t xml:space="preserve"> </w:t>
      </w:r>
      <w:r w:rsidR="002D6D94" w:rsidRPr="001837B5">
        <w:rPr>
          <w:rFonts w:ascii="Times New Roman" w:hAnsi="Times New Roman" w:cs="Times New Roman"/>
          <w:i/>
        </w:rPr>
        <w:t xml:space="preserve">x </w:t>
      </w:r>
      <w:r w:rsidRPr="001837B5">
        <w:rPr>
          <w:rFonts w:ascii="Times New Roman" w:hAnsi="Times New Roman" w:cs="Times New Roman"/>
        </w:rPr>
        <w:t xml:space="preserve">100           </w:t>
      </w:r>
    </w:p>
    <w:p w14:paraId="435946A9" w14:textId="77777777" w:rsidR="00C0140E" w:rsidRPr="001837B5" w:rsidRDefault="002D6D94" w:rsidP="002D6D94">
      <w:pPr>
        <w:pStyle w:val="NoSpacing"/>
        <w:rPr>
          <w:rFonts w:ascii="Times New Roman" w:hAnsi="Times New Roman" w:cs="Times New Roman"/>
        </w:rPr>
      </w:pPr>
      <w:r w:rsidRPr="001837B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9D6598" wp14:editId="794F5B92">
                <wp:simplePos x="0" y="0"/>
                <wp:positionH relativeFrom="column">
                  <wp:posOffset>1257300</wp:posOffset>
                </wp:positionH>
                <wp:positionV relativeFrom="paragraph">
                  <wp:posOffset>75565</wp:posOffset>
                </wp:positionV>
                <wp:extent cx="1073150" cy="6350"/>
                <wp:effectExtent l="38100" t="38100" r="69850" b="88900"/>
                <wp:wrapNone/>
                <wp:docPr id="239159822" name="Straight Connector 4"/>
                <wp:cNvGraphicFramePr/>
                <a:graphic xmlns:a="http://schemas.openxmlformats.org/drawingml/2006/main">
                  <a:graphicData uri="http://schemas.microsoft.com/office/word/2010/wordprocessingShape">
                    <wps:wsp>
                      <wps:cNvCnPr/>
                      <wps:spPr>
                        <a:xfrm>
                          <a:off x="0" y="0"/>
                          <a:ext cx="1073150" cy="635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E6911E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5.95pt" to="18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" strokecolor="black [3200]">
                <v:shadow on="t" color="black" opacity="24903f" origin=",.5" offset="0,.55556mm"/>
              </v:line>
            </w:pict>
          </mc:Fallback>
        </mc:AlternateContent>
      </w:r>
      <w:r w:rsidRPr="001837B5">
        <w:rPr>
          <w:rFonts w:ascii="Times New Roman" w:hAnsi="Times New Roman" w:cs="Times New Roman"/>
        </w:rPr>
        <w:t xml:space="preserve">                                                                                             </w:t>
      </w:r>
    </w:p>
    <w:p w14:paraId="52F88FC5" w14:textId="77777777" w:rsidR="00C0140E" w:rsidRPr="001837B5" w:rsidRDefault="00957F0F" w:rsidP="002D6D94">
      <w:pPr>
        <w:pStyle w:val="NoSpacing"/>
        <w:rPr>
          <w:rFonts w:ascii="Times New Roman" w:hAnsi="Times New Roman" w:cs="Times New Roman"/>
        </w:rPr>
      </w:pPr>
      <w:r w:rsidRPr="001837B5">
        <w:rPr>
          <w:rFonts w:ascii="Times New Roman" w:hAnsi="Times New Roman" w:cs="Times New Roman"/>
        </w:rPr>
        <w:t xml:space="preserve">                                       A </w:t>
      </w:r>
      <w:r w:rsidRPr="001837B5">
        <w:rPr>
          <w:rFonts w:ascii="Times New Roman" w:hAnsi="Times New Roman" w:cs="Times New Roman"/>
          <w:i/>
          <w:vertAlign w:val="subscript"/>
        </w:rPr>
        <w:t>control</w:t>
      </w:r>
      <w:r w:rsidRPr="001837B5">
        <w:rPr>
          <w:rFonts w:ascii="Times New Roman" w:hAnsi="Times New Roman" w:cs="Times New Roman"/>
          <w:vertAlign w:val="subscript"/>
        </w:rPr>
        <w:t xml:space="preserve"> </w:t>
      </w:r>
      <w:r w:rsidRPr="001837B5">
        <w:rPr>
          <w:rFonts w:ascii="Times New Roman" w:hAnsi="Times New Roman" w:cs="Times New Roman"/>
        </w:rPr>
        <w:t xml:space="preserve"> </w:t>
      </w:r>
    </w:p>
    <w:p w14:paraId="24B05242" w14:textId="77777777" w:rsidR="00C0140E" w:rsidRDefault="00957F0F">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A </w:t>
      </w:r>
      <w:r w:rsidRPr="002D6D94">
        <w:rPr>
          <w:rFonts w:ascii="Times New Roman" w:eastAsia="Times New Roman" w:hAnsi="Times New Roman" w:cs="Times New Roman"/>
          <w:i/>
          <w:vertAlign w:val="subscript"/>
        </w:rPr>
        <w:t>control</w:t>
      </w:r>
      <w:r>
        <w:rPr>
          <w:rFonts w:ascii="Times New Roman" w:eastAsia="Times New Roman" w:hAnsi="Times New Roman" w:cs="Times New Roman"/>
          <w:i/>
        </w:rPr>
        <w:t xml:space="preserve"> </w:t>
      </w:r>
      <w:r>
        <w:rPr>
          <w:rFonts w:ascii="Times New Roman" w:eastAsia="Times New Roman" w:hAnsi="Times New Roman" w:cs="Times New Roman"/>
        </w:rPr>
        <w:t xml:space="preserve">is the absorbance of control and A </w:t>
      </w:r>
      <w:r w:rsidRPr="002D6D94">
        <w:rPr>
          <w:rFonts w:ascii="Times New Roman" w:eastAsia="Times New Roman" w:hAnsi="Times New Roman" w:cs="Times New Roman"/>
          <w:i/>
          <w:vertAlign w:val="subscript"/>
        </w:rPr>
        <w:t>sample</w:t>
      </w:r>
      <w:r w:rsidRPr="002D6D94">
        <w:rPr>
          <w:rFonts w:ascii="Times New Roman" w:eastAsia="Times New Roman" w:hAnsi="Times New Roman" w:cs="Times New Roman"/>
          <w:vertAlign w:val="subscript"/>
        </w:rPr>
        <w:t xml:space="preserve"> </w:t>
      </w:r>
      <w:r>
        <w:rPr>
          <w:rFonts w:ascii="Times New Roman" w:eastAsia="Times New Roman" w:hAnsi="Times New Roman" w:cs="Times New Roman"/>
        </w:rPr>
        <w:t>is the absorbance of test sample.</w:t>
      </w:r>
    </w:p>
    <w:p w14:paraId="1B5071B7" w14:textId="77777777" w:rsidR="00C0140E" w:rsidRDefault="00957F0F">
      <w:pPr>
        <w:spacing w:before="240" w:line="240" w:lineRule="auto"/>
        <w:jc w:val="both"/>
        <w:rPr>
          <w:rFonts w:ascii="Times New Roman" w:eastAsia="Times New Roman" w:hAnsi="Times New Roman" w:cs="Times New Roman"/>
        </w:rPr>
      </w:pPr>
      <w:r w:rsidRPr="004E115E">
        <w:rPr>
          <w:rFonts w:ascii="Times New Roman" w:eastAsia="Times New Roman" w:hAnsi="Times New Roman" w:cs="Times New Roman"/>
          <w:b/>
          <w:bCs/>
        </w:rPr>
        <w:t>2.</w:t>
      </w:r>
      <w:r w:rsidR="001E5490" w:rsidRPr="004E115E">
        <w:rPr>
          <w:rFonts w:ascii="Times New Roman" w:eastAsia="Times New Roman" w:hAnsi="Times New Roman" w:cs="Times New Roman"/>
          <w:b/>
          <w:bCs/>
        </w:rPr>
        <w:t>6</w:t>
      </w:r>
      <w:r w:rsidRPr="004E115E">
        <w:rPr>
          <w:rFonts w:ascii="Times New Roman" w:eastAsia="Times New Roman" w:hAnsi="Times New Roman" w:cs="Times New Roman"/>
          <w:b/>
          <w:bCs/>
        </w:rPr>
        <w:t>. Antioxidant activity</w:t>
      </w:r>
      <w:r>
        <w:rPr>
          <w:rFonts w:ascii="Times New Roman" w:eastAsia="Times New Roman" w:hAnsi="Times New Roman" w:cs="Times New Roman"/>
        </w:rPr>
        <w:t xml:space="preserve">: </w:t>
      </w:r>
    </w:p>
    <w:p w14:paraId="782734BF"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i/>
          <w:iCs/>
        </w:rPr>
        <w:t>2.</w:t>
      </w:r>
      <w:r w:rsidR="001E5490" w:rsidRPr="004E115E">
        <w:rPr>
          <w:rFonts w:ascii="Times New Roman" w:eastAsia="Times New Roman" w:hAnsi="Times New Roman" w:cs="Times New Roman"/>
          <w:i/>
          <w:iCs/>
        </w:rPr>
        <w:t>6</w:t>
      </w:r>
      <w:r w:rsidRPr="004E115E">
        <w:rPr>
          <w:rFonts w:ascii="Times New Roman" w:eastAsia="Times New Roman" w:hAnsi="Times New Roman" w:cs="Times New Roman"/>
          <w:i/>
          <w:iCs/>
        </w:rPr>
        <w:t>.1. ABTS (2,2’-Azino-bis-(3-ethyl) benzothiazoline)-6-sulfonic acid diammonium salt) radical cation scavenging assay:</w:t>
      </w:r>
      <w:r>
        <w:rPr>
          <w:rFonts w:ascii="Times New Roman" w:eastAsia="Times New Roman" w:hAnsi="Times New Roman" w:cs="Times New Roman"/>
        </w:rPr>
        <w:t xml:space="preserve">  The antioxidant activity of leaf extracts was assessed using the ABTS [2,2′-azino-bis (3-ethylbenzothiazoline-6-sulfonic acid)] radical scavenging method</w:t>
      </w:r>
      <w:r w:rsidR="00D81A0E">
        <w:rPr>
          <w:rFonts w:ascii="Times New Roman" w:eastAsia="Times New Roman" w:hAnsi="Times New Roman" w:cs="Times New Roman"/>
        </w:rPr>
        <w:t xml:space="preserve"> (</w:t>
      </w:r>
      <w:r w:rsidR="008E45D3" w:rsidRPr="00253053">
        <w:rPr>
          <w:rFonts w:ascii="Times New Roman" w:eastAsia="Times New Roman" w:hAnsi="Times New Roman" w:cs="Times New Roman"/>
        </w:rPr>
        <w:t>Re</w:t>
      </w:r>
      <w:r w:rsidR="008E45D3">
        <w:rPr>
          <w:rFonts w:ascii="Times New Roman" w:eastAsia="Times New Roman" w:hAnsi="Times New Roman" w:cs="Times New Roman"/>
        </w:rPr>
        <w:t xml:space="preserve"> et al., 1999</w:t>
      </w:r>
      <w:r w:rsidR="00D81A0E">
        <w:rPr>
          <w:rFonts w:ascii="Times New Roman" w:eastAsia="Times New Roman" w:hAnsi="Times New Roman" w:cs="Times New Roman"/>
        </w:rPr>
        <w:t>)</w:t>
      </w:r>
      <w:r w:rsidR="001837B5">
        <w:rPr>
          <w:rFonts w:ascii="Times New Roman" w:eastAsia="Times New Roman" w:hAnsi="Times New Roman" w:cs="Times New Roman"/>
        </w:rPr>
        <w:t>.</w:t>
      </w:r>
      <w:bookmarkStart w:id="22" w:name="_Hlk213104379"/>
      <w:r w:rsidRPr="001837B5">
        <w:rPr>
          <w:rFonts w:ascii="Times New Roman" w:eastAsia="Times New Roman" w:hAnsi="Times New Roman" w:cs="Times New Roman"/>
          <w:color w:val="EE0000"/>
        </w:rPr>
        <w:t xml:space="preserve"> </w:t>
      </w:r>
      <w:bookmarkEnd w:id="22"/>
      <w:r>
        <w:rPr>
          <w:rFonts w:ascii="Times New Roman" w:eastAsia="Times New Roman" w:hAnsi="Times New Roman" w:cs="Times New Roman"/>
        </w:rPr>
        <w:t xml:space="preserve">The </w:t>
      </w:r>
      <w:r>
        <w:rPr>
          <w:rFonts w:ascii="Times New Roman" w:eastAsia="Times New Roman" w:hAnsi="Times New Roman" w:cs="Times New Roman"/>
          <w:color w:val="000000"/>
        </w:rPr>
        <w:t>ABTS⁺</w:t>
      </w:r>
      <w:r>
        <w:rPr>
          <w:rFonts w:ascii="Times New Roman" w:eastAsia="Times New Roman" w:hAnsi="Times New Roman" w:cs="Times New Roman"/>
          <w:color w:val="EE0000"/>
        </w:rPr>
        <w:t xml:space="preserve"> </w:t>
      </w:r>
      <w:r>
        <w:rPr>
          <w:rFonts w:ascii="Times New Roman" w:eastAsia="Times New Roman" w:hAnsi="Times New Roman" w:cs="Times New Roman"/>
        </w:rPr>
        <w:t xml:space="preserve">radical cation was generated by mixing 7 mM ABTS solution with 2.45 mM potassium persulfate in a ratio 1:1 (v/v) and allowing the mixture to stand in the dark at room </w:t>
      </w:r>
      <w:r>
        <w:rPr>
          <w:rFonts w:ascii="Times New Roman" w:eastAsia="Times New Roman" w:hAnsi="Times New Roman" w:cs="Times New Roman"/>
        </w:rPr>
        <w:lastRenderedPageBreak/>
        <w:t>temperature for 12 hours. The resulting ABTS⁺ stock solution was diluted with ethanol (1:10, v/v) to prepare the working solution. For the assay, 1000µL of leaf extract was added to the ABTS⁺ working solution and incubated for 10 minutes. Absorbance was measured at 734 nm. Trolox was used as standard reference and all experiments were performed in triplicate. The percentage of radical scavenging activity was calculated using the following formula:</w:t>
      </w:r>
    </w:p>
    <w:p w14:paraId="131F773B" w14:textId="77777777" w:rsidR="00C0140E" w:rsidRPr="001837B5" w:rsidRDefault="00957F0F" w:rsidP="001E5490">
      <w:pPr>
        <w:pStyle w:val="NoSpacing"/>
        <w:rPr>
          <w:rFonts w:ascii="Times New Roman" w:hAnsi="Times New Roman" w:cs="Times New Roman"/>
        </w:rPr>
      </w:pPr>
      <w:r w:rsidRPr="001837B5">
        <w:rPr>
          <w:rFonts w:ascii="Times New Roman" w:hAnsi="Times New Roman" w:cs="Times New Roman"/>
        </w:rPr>
        <w:t xml:space="preserve">% of radical scavenging activity: A </w:t>
      </w:r>
      <w:r w:rsidRPr="001837B5">
        <w:rPr>
          <w:rFonts w:ascii="Times New Roman" w:hAnsi="Times New Roman" w:cs="Times New Roman"/>
          <w:i/>
          <w:vertAlign w:val="subscript"/>
        </w:rPr>
        <w:t>control</w:t>
      </w:r>
      <w:r w:rsidRPr="001837B5">
        <w:rPr>
          <w:rFonts w:ascii="Times New Roman" w:hAnsi="Times New Roman" w:cs="Times New Roman"/>
        </w:rPr>
        <w:t xml:space="preserve"> –   A </w:t>
      </w:r>
      <w:r w:rsidRPr="001837B5">
        <w:rPr>
          <w:rFonts w:ascii="Times New Roman" w:hAnsi="Times New Roman" w:cs="Times New Roman"/>
          <w:i/>
          <w:vertAlign w:val="subscript"/>
        </w:rPr>
        <w:t>sample</w:t>
      </w:r>
      <w:r w:rsidRPr="001837B5">
        <w:rPr>
          <w:rFonts w:ascii="Times New Roman" w:hAnsi="Times New Roman" w:cs="Times New Roman"/>
          <w:i/>
        </w:rPr>
        <w:t xml:space="preserve"> </w:t>
      </w:r>
      <w:r w:rsidR="001E5490" w:rsidRPr="001837B5">
        <w:rPr>
          <w:rFonts w:ascii="Times New Roman" w:hAnsi="Times New Roman" w:cs="Times New Roman"/>
          <w:i/>
        </w:rPr>
        <w:t xml:space="preserve">    </w:t>
      </w:r>
      <w:r w:rsidRPr="001837B5">
        <w:rPr>
          <w:rFonts w:ascii="Times New Roman" w:hAnsi="Times New Roman" w:cs="Times New Roman"/>
          <w:i/>
        </w:rPr>
        <w:t>x</w:t>
      </w:r>
      <w:r w:rsidR="001E5490" w:rsidRPr="001837B5">
        <w:rPr>
          <w:rFonts w:ascii="Times New Roman" w:hAnsi="Times New Roman" w:cs="Times New Roman"/>
          <w:i/>
        </w:rPr>
        <w:t xml:space="preserve"> </w:t>
      </w:r>
      <w:r w:rsidRPr="001837B5">
        <w:rPr>
          <w:rFonts w:ascii="Times New Roman" w:hAnsi="Times New Roman" w:cs="Times New Roman"/>
        </w:rPr>
        <w:t xml:space="preserve">100           </w:t>
      </w:r>
    </w:p>
    <w:p w14:paraId="392DBF04" w14:textId="77777777" w:rsidR="00C0140E" w:rsidRPr="001837B5" w:rsidRDefault="001E5490" w:rsidP="001E5490">
      <w:pPr>
        <w:pStyle w:val="NoSpacing"/>
        <w:rPr>
          <w:rFonts w:ascii="Times New Roman" w:hAnsi="Times New Roman" w:cs="Times New Roman"/>
        </w:rPr>
      </w:pPr>
      <w:r w:rsidRPr="001837B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478EAB2" wp14:editId="5DD095D7">
                <wp:simplePos x="0" y="0"/>
                <wp:positionH relativeFrom="column">
                  <wp:posOffset>2070100</wp:posOffset>
                </wp:positionH>
                <wp:positionV relativeFrom="paragraph">
                  <wp:posOffset>93980</wp:posOffset>
                </wp:positionV>
                <wp:extent cx="1066800" cy="0"/>
                <wp:effectExtent l="38100" t="38100" r="76200" b="95250"/>
                <wp:wrapNone/>
                <wp:docPr id="1140000075" name="Straight Connector 5"/>
                <wp:cNvGraphicFramePr/>
                <a:graphic xmlns:a="http://schemas.openxmlformats.org/drawingml/2006/main">
                  <a:graphicData uri="http://schemas.microsoft.com/office/word/2010/wordprocessingShape">
                    <wps:wsp>
                      <wps:cNvCnPr/>
                      <wps:spPr>
                        <a:xfrm>
                          <a:off x="0" y="0"/>
                          <a:ext cx="106680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7E45BB98"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3pt,7.4pt" to="24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" strokecolor="black [3200]">
                <v:shadow on="t" color="black" opacity="24903f" origin=",.5" offset="0,.55556mm"/>
              </v:line>
            </w:pict>
          </mc:Fallback>
        </mc:AlternateContent>
      </w:r>
      <w:r w:rsidRPr="001837B5">
        <w:rPr>
          <w:rFonts w:ascii="Times New Roman" w:hAnsi="Times New Roman" w:cs="Times New Roman"/>
        </w:rPr>
        <w:t xml:space="preserve">                                                     </w:t>
      </w:r>
      <w:r w:rsidRPr="001837B5">
        <w:rPr>
          <w:rFonts w:ascii="Times New Roman" w:hAnsi="Times New Roman" w:cs="Times New Roman"/>
          <w:noProof/>
        </w:rPr>
        <mc:AlternateContent>
          <mc:Choice Requires="wps">
            <w:drawing>
              <wp:inline distT="0" distB="0" distL="114300" distR="114300" wp14:anchorId="26113798" wp14:editId="7D8E7790">
                <wp:extent cx="10160" cy="12700"/>
                <wp:effectExtent l="0" t="0" r="0" b="0"/>
                <wp:docPr id="9" name="Straight Arrow Connector 9"/>
                <wp:cNvGraphicFramePr/>
                <a:graphic xmlns:a="http://schemas.openxmlformats.org/drawingml/2006/main">
                  <a:graphicData uri="http://schemas.microsoft.com/office/word/2010/wordprocessingShape">
                    <wps:wsp>
                      <wps:cNvCnPr/>
                      <wps:spPr>
                        <a:xfrm rot="10800000" flipH="1">
                          <a:off x="4390008" y="3774920"/>
                          <a:ext cx="1911985" cy="10160"/>
                        </a:xfrm>
                        <a:prstGeom prst="straightConnector1">
                          <a:avLst/>
                        </a:prstGeom>
                        <a:noFill/>
                        <a:ln w="9525" cap="flat" cmpd="sng">
                          <a:solidFill>
                            <a:schemeClr val="dk1"/>
                          </a:solidFill>
                          <a:prstDash val="solid"/>
                          <a:round/>
                          <a:headEnd type="none" w="sm" len="sm"/>
                          <a:tailEnd type="none" w="sm" len="sm"/>
                        </a:ln>
                      </wps:spPr>
                      <wps:bodyPr/>
                    </wps:wsp>
                  </a:graphicData>
                </a:graphic>
              </wp:inline>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10160" cy="12700"/>
                <wp:effectExtent b="0" l="0" r="0" t="0"/>
                <wp:docPr id="9"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0160" cy="12700"/>
                        </a:xfrm>
                        <a:prstGeom prst="rect"/>
                        <a:ln/>
                      </pic:spPr>
                    </pic:pic>
                  </a:graphicData>
                </a:graphic>
              </wp:inline>
            </w:drawing>
          </mc:Fallback>
        </mc:AlternateContent>
      </w:r>
      <w:r w:rsidRPr="001837B5">
        <w:rPr>
          <w:rFonts w:ascii="Times New Roman" w:hAnsi="Times New Roman" w:cs="Times New Roman"/>
        </w:rPr>
        <w:t xml:space="preserve">                                            </w:t>
      </w:r>
    </w:p>
    <w:p w14:paraId="2B05D937" w14:textId="77777777" w:rsidR="00C0140E" w:rsidRPr="001837B5" w:rsidRDefault="00957F0F" w:rsidP="001E5490">
      <w:pPr>
        <w:pStyle w:val="NoSpacing"/>
        <w:rPr>
          <w:rFonts w:ascii="Times New Roman" w:hAnsi="Times New Roman" w:cs="Times New Roman"/>
        </w:rPr>
      </w:pPr>
      <w:r w:rsidRPr="001837B5">
        <w:rPr>
          <w:rFonts w:ascii="Times New Roman" w:hAnsi="Times New Roman" w:cs="Times New Roman"/>
        </w:rPr>
        <w:t xml:space="preserve">                                                             A </w:t>
      </w:r>
      <w:r w:rsidRPr="001837B5">
        <w:rPr>
          <w:rFonts w:ascii="Times New Roman" w:hAnsi="Times New Roman" w:cs="Times New Roman"/>
          <w:i/>
          <w:vertAlign w:val="subscript"/>
        </w:rPr>
        <w:t>control</w:t>
      </w:r>
      <w:r w:rsidRPr="001837B5">
        <w:rPr>
          <w:rFonts w:ascii="Times New Roman" w:hAnsi="Times New Roman" w:cs="Times New Roman"/>
          <w:vertAlign w:val="subscript"/>
        </w:rPr>
        <w:t xml:space="preserve"> </w:t>
      </w:r>
      <w:r w:rsidRPr="001837B5">
        <w:rPr>
          <w:rFonts w:ascii="Times New Roman" w:hAnsi="Times New Roman" w:cs="Times New Roman"/>
        </w:rPr>
        <w:t xml:space="preserve"> </w:t>
      </w:r>
    </w:p>
    <w:p w14:paraId="1A6AE7E0" w14:textId="77777777" w:rsidR="00C0140E" w:rsidRDefault="00957F0F">
      <w:pPr>
        <w:spacing w:before="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A </w:t>
      </w:r>
      <w:r w:rsidRPr="001E5490">
        <w:rPr>
          <w:rFonts w:ascii="Times New Roman" w:eastAsia="Times New Roman" w:hAnsi="Times New Roman" w:cs="Times New Roman"/>
          <w:i/>
          <w:vertAlign w:val="subscript"/>
        </w:rPr>
        <w:t>control</w:t>
      </w:r>
      <w:r>
        <w:rPr>
          <w:rFonts w:ascii="Times New Roman" w:eastAsia="Times New Roman" w:hAnsi="Times New Roman" w:cs="Times New Roman"/>
          <w:i/>
        </w:rPr>
        <w:t xml:space="preserve"> </w:t>
      </w:r>
      <w:r>
        <w:rPr>
          <w:rFonts w:ascii="Times New Roman" w:eastAsia="Times New Roman" w:hAnsi="Times New Roman" w:cs="Times New Roman"/>
        </w:rPr>
        <w:t xml:space="preserve">is the absorbance of control and A </w:t>
      </w:r>
      <w:r w:rsidRPr="001E5490">
        <w:rPr>
          <w:rFonts w:ascii="Times New Roman" w:eastAsia="Times New Roman" w:hAnsi="Times New Roman" w:cs="Times New Roman"/>
          <w:i/>
          <w:vertAlign w:val="subscript"/>
        </w:rPr>
        <w:t>sample</w:t>
      </w:r>
      <w:r w:rsidRPr="001E5490">
        <w:rPr>
          <w:rFonts w:ascii="Times New Roman" w:eastAsia="Times New Roman" w:hAnsi="Times New Roman" w:cs="Times New Roman"/>
          <w:vertAlign w:val="subscript"/>
        </w:rPr>
        <w:t xml:space="preserve"> </w:t>
      </w:r>
      <w:r>
        <w:rPr>
          <w:rFonts w:ascii="Times New Roman" w:eastAsia="Times New Roman" w:hAnsi="Times New Roman" w:cs="Times New Roman"/>
        </w:rPr>
        <w:t>is the absorbance of test sample.</w:t>
      </w:r>
    </w:p>
    <w:p w14:paraId="124E4E80" w14:textId="77777777" w:rsidR="00C0140E" w:rsidRDefault="00957F0F" w:rsidP="00AC4F33">
      <w:pPr>
        <w:spacing w:before="240" w:line="480" w:lineRule="auto"/>
        <w:jc w:val="both"/>
        <w:rPr>
          <w:rFonts w:ascii="Times New Roman" w:eastAsia="Times New Roman" w:hAnsi="Times New Roman" w:cs="Times New Roman"/>
          <w:color w:val="EE0000"/>
        </w:rPr>
      </w:pPr>
      <w:r w:rsidRPr="004E115E">
        <w:rPr>
          <w:rFonts w:ascii="Times New Roman" w:eastAsia="Times New Roman" w:hAnsi="Times New Roman" w:cs="Times New Roman"/>
          <w:i/>
          <w:iCs/>
        </w:rPr>
        <w:t>2.</w:t>
      </w:r>
      <w:r w:rsidR="001E5490" w:rsidRPr="004E115E">
        <w:rPr>
          <w:rFonts w:ascii="Times New Roman" w:eastAsia="Times New Roman" w:hAnsi="Times New Roman" w:cs="Times New Roman"/>
          <w:i/>
          <w:iCs/>
        </w:rPr>
        <w:t>6</w:t>
      </w:r>
      <w:r w:rsidRPr="004E115E">
        <w:rPr>
          <w:rFonts w:ascii="Times New Roman" w:eastAsia="Times New Roman" w:hAnsi="Times New Roman" w:cs="Times New Roman"/>
          <w:i/>
          <w:iCs/>
        </w:rPr>
        <w:t>.2. DPPH (1,1-diphenyl-2-picrylhydrazyl) free radical scavenging assay:</w:t>
      </w:r>
      <w:r>
        <w:rPr>
          <w:rFonts w:ascii="Times New Roman" w:eastAsia="Times New Roman" w:hAnsi="Times New Roman" w:cs="Times New Roman"/>
        </w:rPr>
        <w:t xml:space="preserve"> The free radical scavenging activity was conducted using the protocol described by Brand-Williams</w:t>
      </w:r>
      <w:r w:rsidR="00D81A0E">
        <w:rPr>
          <w:rFonts w:ascii="Times New Roman" w:eastAsia="Times New Roman" w:hAnsi="Times New Roman" w:cs="Times New Roman"/>
        </w:rPr>
        <w:t xml:space="preserve"> (</w:t>
      </w:r>
      <w:r w:rsidR="008E45D3" w:rsidRPr="00D56F31">
        <w:rPr>
          <w:rFonts w:ascii="Times New Roman" w:eastAsia="Times New Roman" w:hAnsi="Times New Roman" w:cs="Times New Roman"/>
        </w:rPr>
        <w:t>Brand-Williams</w:t>
      </w:r>
      <w:r w:rsidR="008E45D3">
        <w:rPr>
          <w:rFonts w:ascii="Times New Roman" w:eastAsia="Times New Roman" w:hAnsi="Times New Roman" w:cs="Times New Roman"/>
        </w:rPr>
        <w:t xml:space="preserve"> et al., 1995</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A 0.1 mM DPPH solution was prepared in methanol and was mixed with 1000 µL of </w:t>
      </w:r>
      <w:r>
        <w:rPr>
          <w:rFonts w:ascii="Times New Roman" w:eastAsia="Times New Roman" w:hAnsi="Times New Roman" w:cs="Times New Roman"/>
          <w:i/>
        </w:rPr>
        <w:t>T. arjuna</w:t>
      </w:r>
      <w:r>
        <w:rPr>
          <w:rFonts w:ascii="Times New Roman" w:eastAsia="Times New Roman" w:hAnsi="Times New Roman" w:cs="Times New Roman"/>
        </w:rPr>
        <w:t xml:space="preserve"> extract at varying concentrations. The reaction mixture was kept in dark for 30 minutes at room temperature. Absorbance was recorded at 734 nm with ascorbic acid serving as positive control. All experiments were performed in triplicate. The percentage of radical scavenging activity was calculated using the formula</w:t>
      </w:r>
      <w:r w:rsidR="001E5490">
        <w:rPr>
          <w:rFonts w:ascii="Times New Roman" w:eastAsia="Times New Roman" w:hAnsi="Times New Roman" w:cs="Times New Roman"/>
        </w:rPr>
        <w:t xml:space="preserve"> as mentioned for ABTS assay.</w:t>
      </w:r>
    </w:p>
    <w:p w14:paraId="61263AF9" w14:textId="77777777" w:rsidR="00C0140E" w:rsidRDefault="00957F0F" w:rsidP="00AC4F33">
      <w:pPr>
        <w:spacing w:before="240" w:after="240" w:line="480" w:lineRule="auto"/>
        <w:jc w:val="both"/>
        <w:rPr>
          <w:rFonts w:ascii="Times New Roman" w:eastAsia="Times New Roman" w:hAnsi="Times New Roman" w:cs="Times New Roman"/>
        </w:rPr>
      </w:pPr>
      <w:r w:rsidRPr="004E115E">
        <w:rPr>
          <w:rFonts w:ascii="Times New Roman" w:eastAsia="Times New Roman" w:hAnsi="Times New Roman" w:cs="Times New Roman"/>
          <w:b/>
          <w:bCs/>
        </w:rPr>
        <w:t>3.Statistical analysis:</w:t>
      </w:r>
      <w:r>
        <w:rPr>
          <w:rFonts w:ascii="Times New Roman" w:eastAsia="Times New Roman" w:hAnsi="Times New Roman" w:cs="Times New Roman"/>
        </w:rPr>
        <w:t xml:space="preserve"> Data were expressed as mean ± standard error of mean (SEM) from three independent replicates. Statistical significance was determined using one-way analysis of variance (ANOVA), with differences considered significant at p&lt; 0.05.</w:t>
      </w:r>
    </w:p>
    <w:p w14:paraId="12B13E52"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4. Results</w:t>
      </w:r>
    </w:p>
    <w:p w14:paraId="34B09DCA" w14:textId="77777777" w:rsidR="00C0140E" w:rsidRPr="004E115E" w:rsidRDefault="00957F0F">
      <w:pPr>
        <w:spacing w:before="240" w:line="240" w:lineRule="auto"/>
        <w:jc w:val="both"/>
        <w:rPr>
          <w:rFonts w:ascii="Times New Roman" w:eastAsia="Times New Roman" w:hAnsi="Times New Roman" w:cs="Times New Roman"/>
          <w:b/>
          <w:bCs/>
        </w:rPr>
      </w:pPr>
      <w:r w:rsidRPr="004E115E">
        <w:rPr>
          <w:rFonts w:ascii="Times New Roman" w:eastAsia="Times New Roman" w:hAnsi="Times New Roman" w:cs="Times New Roman"/>
          <w:b/>
          <w:bCs/>
        </w:rPr>
        <w:t>4.1. Determination of extractive values</w:t>
      </w:r>
    </w:p>
    <w:p w14:paraId="76A22B97"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extractive values presented in the </w:t>
      </w:r>
      <w:r>
        <w:rPr>
          <w:rFonts w:ascii="Times New Roman" w:eastAsia="Times New Roman" w:hAnsi="Times New Roman" w:cs="Times New Roman"/>
          <w:color w:val="000000"/>
        </w:rPr>
        <w:t>table</w:t>
      </w:r>
      <w:r w:rsidR="00FE142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1 </w:t>
      </w:r>
      <w:r>
        <w:rPr>
          <w:rFonts w:ascii="Times New Roman" w:eastAsia="Times New Roman" w:hAnsi="Times New Roman" w:cs="Times New Roman"/>
        </w:rPr>
        <w:t xml:space="preserve">indicated that </w:t>
      </w:r>
      <w:r>
        <w:rPr>
          <w:rFonts w:ascii="Times New Roman" w:eastAsia="Times New Roman" w:hAnsi="Times New Roman" w:cs="Times New Roman"/>
          <w:i/>
        </w:rPr>
        <w:t>T. arjuna</w:t>
      </w:r>
      <w:r>
        <w:rPr>
          <w:rFonts w:ascii="Times New Roman" w:eastAsia="Times New Roman" w:hAnsi="Times New Roman" w:cs="Times New Roman"/>
        </w:rPr>
        <w:t xml:space="preserve"> leaf powder showed the highest yield with acetone and ethanol (approximately 65%), followed by ethyl acetate (45%), hexane (34%), and methanol (13%). These findings suggest the efficiency of polar solvents, </w:t>
      </w:r>
      <w:r>
        <w:rPr>
          <w:rFonts w:ascii="Times New Roman" w:eastAsia="Times New Roman" w:hAnsi="Times New Roman" w:cs="Times New Roman"/>
        </w:rPr>
        <w:lastRenderedPageBreak/>
        <w:t xml:space="preserve">particularly ethanol and acetone, in extracting phytoconstituents from </w:t>
      </w:r>
      <w:r>
        <w:rPr>
          <w:rFonts w:ascii="Times New Roman" w:eastAsia="Times New Roman" w:hAnsi="Times New Roman" w:cs="Times New Roman"/>
          <w:i/>
        </w:rPr>
        <w:t>T. arjuna</w:t>
      </w:r>
      <w:r>
        <w:rPr>
          <w:rFonts w:ascii="Times New Roman" w:eastAsia="Times New Roman" w:hAnsi="Times New Roman" w:cs="Times New Roman"/>
        </w:rPr>
        <w:t xml:space="preserve"> leaves. The comparatively higher yields obtained with these solvents suggest their suitability for recovering bioactive metabolites.</w:t>
      </w:r>
    </w:p>
    <w:p w14:paraId="466F3E8F" w14:textId="77777777" w:rsidR="00C0140E" w:rsidRPr="001837B5" w:rsidRDefault="00957F0F">
      <w:pPr>
        <w:spacing w:before="240" w:after="240" w:line="240" w:lineRule="auto"/>
        <w:jc w:val="both"/>
        <w:rPr>
          <w:rFonts w:ascii="Times New Roman" w:eastAsia="Times New Roman" w:hAnsi="Times New Roman" w:cs="Times New Roman"/>
          <w:bCs/>
        </w:rPr>
      </w:pPr>
      <w:r w:rsidRPr="00525488">
        <w:rPr>
          <w:rFonts w:ascii="Times New Roman" w:eastAsia="Times New Roman" w:hAnsi="Times New Roman" w:cs="Times New Roman"/>
          <w:b/>
        </w:rPr>
        <w:t>Table 1</w:t>
      </w:r>
      <w:r w:rsidRPr="001837B5">
        <w:rPr>
          <w:rFonts w:ascii="Times New Roman" w:eastAsia="Times New Roman" w:hAnsi="Times New Roman" w:cs="Times New Roman"/>
          <w:bCs/>
        </w:rPr>
        <w:t>: Extractive value</w:t>
      </w:r>
      <w:r w:rsidR="00525488">
        <w:rPr>
          <w:rFonts w:ascii="Times New Roman" w:eastAsia="Times New Roman" w:hAnsi="Times New Roman" w:cs="Times New Roman"/>
          <w:bCs/>
        </w:rPr>
        <w:t>s</w:t>
      </w:r>
      <w:r w:rsidRPr="001837B5">
        <w:rPr>
          <w:rFonts w:ascii="Times New Roman" w:eastAsia="Times New Roman" w:hAnsi="Times New Roman" w:cs="Times New Roman"/>
          <w:bCs/>
        </w:rPr>
        <w:t xml:space="preserve"> for </w:t>
      </w:r>
      <w:r w:rsidRPr="001837B5">
        <w:rPr>
          <w:rFonts w:ascii="Times New Roman" w:eastAsia="Times New Roman" w:hAnsi="Times New Roman" w:cs="Times New Roman"/>
          <w:bCs/>
          <w:i/>
          <w:iCs/>
        </w:rPr>
        <w:t>T.</w:t>
      </w:r>
      <w:r w:rsidR="001E5490" w:rsidRPr="001837B5">
        <w:rPr>
          <w:rFonts w:ascii="Times New Roman" w:eastAsia="Times New Roman" w:hAnsi="Times New Roman" w:cs="Times New Roman"/>
          <w:bCs/>
          <w:i/>
          <w:iCs/>
        </w:rPr>
        <w:t xml:space="preserve"> </w:t>
      </w:r>
      <w:r w:rsidRPr="001837B5">
        <w:rPr>
          <w:rFonts w:ascii="Times New Roman" w:eastAsia="Times New Roman" w:hAnsi="Times New Roman" w:cs="Times New Roman"/>
          <w:bCs/>
          <w:i/>
          <w:iCs/>
        </w:rPr>
        <w:t>arjuna</w:t>
      </w:r>
      <w:r w:rsidRPr="001837B5">
        <w:rPr>
          <w:rFonts w:ascii="Times New Roman" w:eastAsia="Times New Roman" w:hAnsi="Times New Roman" w:cs="Times New Roman"/>
          <w:bCs/>
        </w:rPr>
        <w:t xml:space="preserve"> leaf powder </w:t>
      </w:r>
    </w:p>
    <w:tbl>
      <w:tblPr>
        <w:tblStyle w:val="a9"/>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8"/>
        <w:gridCol w:w="1282"/>
        <w:gridCol w:w="1560"/>
        <w:gridCol w:w="1560"/>
        <w:gridCol w:w="1560"/>
        <w:gridCol w:w="1560"/>
      </w:tblGrid>
      <w:tr w:rsidR="00C0140E" w14:paraId="02304D7C" w14:textId="77777777" w:rsidTr="001E5490">
        <w:trPr>
          <w:trHeight w:val="300"/>
        </w:trPr>
        <w:tc>
          <w:tcPr>
            <w:tcW w:w="1838" w:type="dxa"/>
          </w:tcPr>
          <w:p w14:paraId="34BFD3C9"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S</w:t>
            </w:r>
            <w:r w:rsidR="001E5490">
              <w:rPr>
                <w:rFonts w:ascii="Times New Roman" w:eastAsia="Times New Roman" w:hAnsi="Times New Roman" w:cs="Times New Roman"/>
              </w:rPr>
              <w:t>olvent</w:t>
            </w:r>
          </w:p>
        </w:tc>
        <w:tc>
          <w:tcPr>
            <w:tcW w:w="1282" w:type="dxa"/>
          </w:tcPr>
          <w:p w14:paraId="3E2C85B6"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Ethyl acetate</w:t>
            </w:r>
          </w:p>
        </w:tc>
        <w:tc>
          <w:tcPr>
            <w:tcW w:w="1560" w:type="dxa"/>
          </w:tcPr>
          <w:p w14:paraId="4D1259BA"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Hexane</w:t>
            </w:r>
          </w:p>
        </w:tc>
        <w:tc>
          <w:tcPr>
            <w:tcW w:w="1560" w:type="dxa"/>
          </w:tcPr>
          <w:p w14:paraId="540920C4"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Acetone</w:t>
            </w:r>
          </w:p>
        </w:tc>
        <w:tc>
          <w:tcPr>
            <w:tcW w:w="1560" w:type="dxa"/>
          </w:tcPr>
          <w:p w14:paraId="7D3AE421"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Ethanol</w:t>
            </w:r>
          </w:p>
        </w:tc>
        <w:tc>
          <w:tcPr>
            <w:tcW w:w="1560" w:type="dxa"/>
          </w:tcPr>
          <w:p w14:paraId="574EB987" w14:textId="77777777" w:rsidR="00C0140E" w:rsidRDefault="001E5490">
            <w:pPr>
              <w:rPr>
                <w:rFonts w:ascii="Times New Roman" w:eastAsia="Times New Roman" w:hAnsi="Times New Roman" w:cs="Times New Roman"/>
              </w:rPr>
            </w:pPr>
            <w:r>
              <w:rPr>
                <w:rFonts w:ascii="Times New Roman" w:eastAsia="Times New Roman" w:hAnsi="Times New Roman" w:cs="Times New Roman"/>
              </w:rPr>
              <w:t>Methanol</w:t>
            </w:r>
          </w:p>
        </w:tc>
      </w:tr>
      <w:tr w:rsidR="00C0140E" w14:paraId="1AD7BD7B" w14:textId="77777777" w:rsidTr="001E5490">
        <w:trPr>
          <w:trHeight w:val="300"/>
        </w:trPr>
        <w:tc>
          <w:tcPr>
            <w:tcW w:w="1838" w:type="dxa"/>
          </w:tcPr>
          <w:p w14:paraId="12192E92"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E</w:t>
            </w:r>
            <w:r w:rsidR="001E5490">
              <w:rPr>
                <w:rFonts w:ascii="Times New Roman" w:eastAsia="Times New Roman" w:hAnsi="Times New Roman" w:cs="Times New Roman"/>
              </w:rPr>
              <w:t>xtractive values</w:t>
            </w:r>
          </w:p>
        </w:tc>
        <w:tc>
          <w:tcPr>
            <w:tcW w:w="1282" w:type="dxa"/>
          </w:tcPr>
          <w:p w14:paraId="6B1C4412"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45%</w:t>
            </w:r>
          </w:p>
        </w:tc>
        <w:tc>
          <w:tcPr>
            <w:tcW w:w="1560" w:type="dxa"/>
          </w:tcPr>
          <w:p w14:paraId="366C5DC0"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34%</w:t>
            </w:r>
          </w:p>
        </w:tc>
        <w:tc>
          <w:tcPr>
            <w:tcW w:w="1560" w:type="dxa"/>
          </w:tcPr>
          <w:p w14:paraId="76556849"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65%</w:t>
            </w:r>
          </w:p>
        </w:tc>
        <w:tc>
          <w:tcPr>
            <w:tcW w:w="1560" w:type="dxa"/>
          </w:tcPr>
          <w:p w14:paraId="458EBB0B"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65%</w:t>
            </w:r>
          </w:p>
        </w:tc>
        <w:tc>
          <w:tcPr>
            <w:tcW w:w="1560" w:type="dxa"/>
          </w:tcPr>
          <w:p w14:paraId="0FAA7F06" w14:textId="77777777" w:rsidR="00C0140E" w:rsidRDefault="00957F0F">
            <w:pPr>
              <w:rPr>
                <w:rFonts w:ascii="Times New Roman" w:eastAsia="Times New Roman" w:hAnsi="Times New Roman" w:cs="Times New Roman"/>
              </w:rPr>
            </w:pPr>
            <w:r>
              <w:rPr>
                <w:rFonts w:ascii="Times New Roman" w:eastAsia="Times New Roman" w:hAnsi="Times New Roman" w:cs="Times New Roman"/>
              </w:rPr>
              <w:t>13%</w:t>
            </w:r>
          </w:p>
        </w:tc>
      </w:tr>
    </w:tbl>
    <w:p w14:paraId="618CE947" w14:textId="77777777" w:rsidR="00C0140E" w:rsidRPr="004E115E" w:rsidRDefault="00957F0F">
      <w:pPr>
        <w:spacing w:before="240" w:line="240" w:lineRule="auto"/>
        <w:jc w:val="both"/>
        <w:rPr>
          <w:rFonts w:ascii="Times New Roman" w:eastAsia="Times New Roman" w:hAnsi="Times New Roman" w:cs="Times New Roman"/>
          <w:b/>
          <w:bCs/>
        </w:rPr>
      </w:pPr>
      <w:r w:rsidRPr="004E115E">
        <w:rPr>
          <w:rFonts w:ascii="Times New Roman" w:eastAsia="Times New Roman" w:hAnsi="Times New Roman" w:cs="Times New Roman"/>
          <w:b/>
          <w:bCs/>
        </w:rPr>
        <w:t>4.2. Preliminary Phytochemical screening</w:t>
      </w:r>
    </w:p>
    <w:p w14:paraId="75DE4193"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Phytochemical screening at the preliminary level revealed the presence of various bioactive constituents, including phenols, tannins, alkaloids, carbohydrates, flavonoids, and other secondary metabolites (</w:t>
      </w:r>
      <w:r>
        <w:rPr>
          <w:rFonts w:ascii="Times New Roman" w:eastAsia="Times New Roman" w:hAnsi="Times New Roman" w:cs="Times New Roman"/>
          <w:color w:val="000000"/>
        </w:rPr>
        <w:t>table 2)</w:t>
      </w:r>
      <w:r>
        <w:rPr>
          <w:rFonts w:ascii="Times New Roman" w:eastAsia="Times New Roman" w:hAnsi="Times New Roman" w:cs="Times New Roman"/>
        </w:rPr>
        <w:t>. These compounds are widely recognized for their diverse physiological and pharmacological activities such as anti-inflammatory, antibacterial, antidiabetic, and antioxidant properties</w:t>
      </w:r>
      <w:r w:rsidR="001837B5">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D56F31">
        <w:rPr>
          <w:rFonts w:ascii="Times New Roman" w:eastAsia="Times New Roman" w:hAnsi="Times New Roman" w:cs="Times New Roman"/>
        </w:rPr>
        <w:t>Orhan</w:t>
      </w:r>
      <w:r w:rsidR="007E29FD">
        <w:rPr>
          <w:rFonts w:ascii="Times New Roman" w:eastAsia="Times New Roman" w:hAnsi="Times New Roman" w:cs="Times New Roman"/>
        </w:rPr>
        <w:t xml:space="preserve"> et al., 2012; </w:t>
      </w:r>
      <w:r w:rsidR="007E29FD" w:rsidRPr="002C2242">
        <w:rPr>
          <w:rFonts w:ascii="Times New Roman" w:eastAsia="Times New Roman" w:hAnsi="Times New Roman" w:cs="Times New Roman"/>
        </w:rPr>
        <w:t>Singh</w:t>
      </w:r>
      <w:r w:rsidR="007E29FD">
        <w:rPr>
          <w:rFonts w:ascii="Times New Roman" w:eastAsia="Times New Roman" w:hAnsi="Times New Roman" w:cs="Times New Roman"/>
        </w:rPr>
        <w:t xml:space="preserve"> and</w:t>
      </w:r>
      <w:r w:rsidR="007E29FD" w:rsidRPr="002C2242">
        <w:rPr>
          <w:rFonts w:ascii="Times New Roman" w:eastAsia="Times New Roman" w:hAnsi="Times New Roman" w:cs="Times New Roman"/>
        </w:rPr>
        <w:t xml:space="preserve"> Singh</w:t>
      </w:r>
      <w:r w:rsidR="007E29FD">
        <w:rPr>
          <w:rFonts w:ascii="Times New Roman" w:eastAsia="Times New Roman" w:hAnsi="Times New Roman" w:cs="Times New Roman"/>
        </w:rPr>
        <w:t>., 2008</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w:t>
      </w:r>
    </w:p>
    <w:p w14:paraId="6A869D1C" w14:textId="77777777" w:rsidR="00C0140E" w:rsidRPr="001837B5" w:rsidRDefault="00957F0F">
      <w:pPr>
        <w:rPr>
          <w:rFonts w:ascii="Times New Roman" w:eastAsia="Times New Roman" w:hAnsi="Times New Roman" w:cs="Times New Roman"/>
          <w:bCs/>
          <w:color w:val="000000"/>
        </w:rPr>
      </w:pPr>
      <w:r w:rsidRPr="00F3494F">
        <w:rPr>
          <w:rFonts w:ascii="Times New Roman" w:eastAsia="Times New Roman" w:hAnsi="Times New Roman" w:cs="Times New Roman"/>
          <w:b/>
          <w:color w:val="000000"/>
        </w:rPr>
        <w:t>Table 2</w:t>
      </w:r>
      <w:r w:rsidRPr="001837B5">
        <w:rPr>
          <w:rFonts w:ascii="Times New Roman" w:eastAsia="Times New Roman" w:hAnsi="Times New Roman" w:cs="Times New Roman"/>
          <w:bCs/>
          <w:color w:val="000000"/>
        </w:rPr>
        <w:t>: Phytochemical screening of TAA and TAE</w:t>
      </w:r>
      <w:r w:rsidR="00F3494F">
        <w:rPr>
          <w:rFonts w:ascii="Times New Roman" w:eastAsia="Times New Roman" w:hAnsi="Times New Roman" w:cs="Times New Roman"/>
          <w:bCs/>
          <w:color w:val="000000"/>
        </w:rPr>
        <w:t xml:space="preserve"> extracts</w:t>
      </w:r>
    </w:p>
    <w:tbl>
      <w:tblPr>
        <w:tblStyle w:val="aa"/>
        <w:tblW w:w="9288"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843"/>
        <w:gridCol w:w="2835"/>
        <w:gridCol w:w="3544"/>
        <w:gridCol w:w="992"/>
        <w:gridCol w:w="1074"/>
      </w:tblGrid>
      <w:tr w:rsidR="00C0140E" w14:paraId="35893ED8" w14:textId="77777777" w:rsidTr="004E115E">
        <w:trPr>
          <w:trHeight w:val="293"/>
        </w:trPr>
        <w:tc>
          <w:tcPr>
            <w:tcW w:w="843" w:type="dxa"/>
            <w:tcMar>
              <w:left w:w="105" w:type="dxa"/>
              <w:right w:w="105" w:type="dxa"/>
            </w:tcMar>
          </w:tcPr>
          <w:p w14:paraId="49462CFD"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w:t>
            </w:r>
            <w:r w:rsidR="004E115E">
              <w:rPr>
                <w:rFonts w:ascii="Times New Roman" w:eastAsia="Times New Roman" w:hAnsi="Times New Roman" w:cs="Times New Roman"/>
                <w:color w:val="000000"/>
              </w:rPr>
              <w:t>N</w:t>
            </w:r>
            <w:r>
              <w:rPr>
                <w:rFonts w:ascii="Times New Roman" w:eastAsia="Times New Roman" w:hAnsi="Times New Roman" w:cs="Times New Roman"/>
                <w:color w:val="000000"/>
              </w:rPr>
              <w:t>o</w:t>
            </w:r>
            <w:r w:rsidR="004E115E">
              <w:rPr>
                <w:rFonts w:ascii="Times New Roman" w:eastAsia="Times New Roman" w:hAnsi="Times New Roman" w:cs="Times New Roman"/>
                <w:color w:val="000000"/>
              </w:rPr>
              <w:t>.</w:t>
            </w:r>
          </w:p>
        </w:tc>
        <w:tc>
          <w:tcPr>
            <w:tcW w:w="2835" w:type="dxa"/>
            <w:tcMar>
              <w:left w:w="105" w:type="dxa"/>
              <w:right w:w="105" w:type="dxa"/>
            </w:tcMar>
          </w:tcPr>
          <w:p w14:paraId="2438BC6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Preliminary Qualitative Analysis</w:t>
            </w:r>
          </w:p>
        </w:tc>
        <w:tc>
          <w:tcPr>
            <w:tcW w:w="3544" w:type="dxa"/>
            <w:tcMar>
              <w:left w:w="105" w:type="dxa"/>
              <w:right w:w="105" w:type="dxa"/>
            </w:tcMar>
          </w:tcPr>
          <w:p w14:paraId="2F9FA03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Constituents</w:t>
            </w:r>
          </w:p>
        </w:tc>
        <w:tc>
          <w:tcPr>
            <w:tcW w:w="992" w:type="dxa"/>
            <w:tcMar>
              <w:left w:w="105" w:type="dxa"/>
              <w:right w:w="105" w:type="dxa"/>
            </w:tcMar>
          </w:tcPr>
          <w:p w14:paraId="19D33D8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TAA</w:t>
            </w:r>
          </w:p>
        </w:tc>
        <w:tc>
          <w:tcPr>
            <w:tcW w:w="1074" w:type="dxa"/>
            <w:tcMar>
              <w:left w:w="105" w:type="dxa"/>
              <w:right w:w="105" w:type="dxa"/>
            </w:tcMar>
          </w:tcPr>
          <w:p w14:paraId="57ECE13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TAE</w:t>
            </w:r>
          </w:p>
        </w:tc>
      </w:tr>
      <w:tr w:rsidR="00C0140E" w14:paraId="4BE68B4F" w14:textId="77777777" w:rsidTr="004E115E">
        <w:trPr>
          <w:trHeight w:val="293"/>
        </w:trPr>
        <w:tc>
          <w:tcPr>
            <w:tcW w:w="843" w:type="dxa"/>
            <w:tcMar>
              <w:left w:w="105" w:type="dxa"/>
              <w:right w:w="105" w:type="dxa"/>
            </w:tcMar>
          </w:tcPr>
          <w:p w14:paraId="6D3CB6F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35" w:type="dxa"/>
            <w:tcMar>
              <w:left w:w="105" w:type="dxa"/>
              <w:right w:w="105" w:type="dxa"/>
            </w:tcMar>
          </w:tcPr>
          <w:p w14:paraId="4D43FB0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Mayer’ s test</w:t>
            </w:r>
          </w:p>
        </w:tc>
        <w:tc>
          <w:tcPr>
            <w:tcW w:w="3544" w:type="dxa"/>
            <w:tcMar>
              <w:left w:w="105" w:type="dxa"/>
              <w:right w:w="105" w:type="dxa"/>
            </w:tcMar>
          </w:tcPr>
          <w:p w14:paraId="4402C29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992" w:type="dxa"/>
            <w:tcMar>
              <w:left w:w="105" w:type="dxa"/>
              <w:right w:w="105" w:type="dxa"/>
            </w:tcMar>
          </w:tcPr>
          <w:p w14:paraId="38F0F74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F4B040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3F99A0AD" w14:textId="77777777" w:rsidTr="004E115E">
        <w:trPr>
          <w:trHeight w:val="293"/>
        </w:trPr>
        <w:tc>
          <w:tcPr>
            <w:tcW w:w="843" w:type="dxa"/>
            <w:tcMar>
              <w:left w:w="105" w:type="dxa"/>
              <w:right w:w="105" w:type="dxa"/>
            </w:tcMar>
          </w:tcPr>
          <w:p w14:paraId="667B3ED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35" w:type="dxa"/>
            <w:tcMar>
              <w:left w:w="105" w:type="dxa"/>
              <w:right w:w="105" w:type="dxa"/>
            </w:tcMar>
          </w:tcPr>
          <w:p w14:paraId="2125F86D"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Wagner’s test</w:t>
            </w:r>
          </w:p>
        </w:tc>
        <w:tc>
          <w:tcPr>
            <w:tcW w:w="3544" w:type="dxa"/>
            <w:tcMar>
              <w:left w:w="105" w:type="dxa"/>
              <w:right w:w="105" w:type="dxa"/>
            </w:tcMar>
          </w:tcPr>
          <w:p w14:paraId="48B823E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992" w:type="dxa"/>
            <w:tcMar>
              <w:left w:w="105" w:type="dxa"/>
              <w:right w:w="105" w:type="dxa"/>
            </w:tcMar>
          </w:tcPr>
          <w:p w14:paraId="5B46E2A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97243A3"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39A466C8" w14:textId="77777777" w:rsidTr="004E115E">
        <w:trPr>
          <w:trHeight w:val="293"/>
        </w:trPr>
        <w:tc>
          <w:tcPr>
            <w:tcW w:w="843" w:type="dxa"/>
            <w:tcMar>
              <w:left w:w="105" w:type="dxa"/>
              <w:right w:w="105" w:type="dxa"/>
            </w:tcMar>
          </w:tcPr>
          <w:p w14:paraId="03B5EC3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835" w:type="dxa"/>
            <w:tcMar>
              <w:left w:w="105" w:type="dxa"/>
              <w:right w:w="105" w:type="dxa"/>
            </w:tcMar>
          </w:tcPr>
          <w:p w14:paraId="7534760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Ninhydrin test</w:t>
            </w:r>
          </w:p>
        </w:tc>
        <w:tc>
          <w:tcPr>
            <w:tcW w:w="3544" w:type="dxa"/>
            <w:tcMar>
              <w:left w:w="105" w:type="dxa"/>
              <w:right w:w="105" w:type="dxa"/>
            </w:tcMar>
          </w:tcPr>
          <w:p w14:paraId="78A138F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Amino acids</w:t>
            </w:r>
          </w:p>
        </w:tc>
        <w:tc>
          <w:tcPr>
            <w:tcW w:w="992" w:type="dxa"/>
            <w:tcMar>
              <w:left w:w="105" w:type="dxa"/>
              <w:right w:w="105" w:type="dxa"/>
            </w:tcMar>
          </w:tcPr>
          <w:p w14:paraId="5C136C1E"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02795A2"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3BCB4F3" w14:textId="77777777" w:rsidTr="004E115E">
        <w:trPr>
          <w:trHeight w:val="293"/>
        </w:trPr>
        <w:tc>
          <w:tcPr>
            <w:tcW w:w="843" w:type="dxa"/>
            <w:tcMar>
              <w:left w:w="105" w:type="dxa"/>
              <w:right w:w="105" w:type="dxa"/>
            </w:tcMar>
          </w:tcPr>
          <w:p w14:paraId="7307D51A"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835" w:type="dxa"/>
            <w:tcMar>
              <w:left w:w="105" w:type="dxa"/>
              <w:right w:w="105" w:type="dxa"/>
            </w:tcMar>
          </w:tcPr>
          <w:p w14:paraId="0E874D7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Molish’ s test</w:t>
            </w:r>
          </w:p>
        </w:tc>
        <w:tc>
          <w:tcPr>
            <w:tcW w:w="3544" w:type="dxa"/>
            <w:tcMar>
              <w:left w:w="105" w:type="dxa"/>
              <w:right w:w="105" w:type="dxa"/>
            </w:tcMar>
          </w:tcPr>
          <w:p w14:paraId="77B3B45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Carbohydrates</w:t>
            </w:r>
          </w:p>
        </w:tc>
        <w:tc>
          <w:tcPr>
            <w:tcW w:w="992" w:type="dxa"/>
            <w:tcMar>
              <w:left w:w="105" w:type="dxa"/>
              <w:right w:w="105" w:type="dxa"/>
            </w:tcMar>
          </w:tcPr>
          <w:p w14:paraId="441AF70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5982A339"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3D66D48" w14:textId="77777777" w:rsidTr="004E115E">
        <w:trPr>
          <w:trHeight w:val="293"/>
        </w:trPr>
        <w:tc>
          <w:tcPr>
            <w:tcW w:w="843" w:type="dxa"/>
            <w:tcMar>
              <w:left w:w="105" w:type="dxa"/>
              <w:right w:w="105" w:type="dxa"/>
            </w:tcMar>
          </w:tcPr>
          <w:p w14:paraId="79768FB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35" w:type="dxa"/>
            <w:tcMar>
              <w:left w:w="105" w:type="dxa"/>
              <w:right w:w="105" w:type="dxa"/>
            </w:tcMar>
          </w:tcPr>
          <w:p w14:paraId="547342B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Benedict’ s test</w:t>
            </w:r>
          </w:p>
        </w:tc>
        <w:tc>
          <w:tcPr>
            <w:tcW w:w="3544" w:type="dxa"/>
            <w:tcMar>
              <w:left w:w="105" w:type="dxa"/>
              <w:right w:w="105" w:type="dxa"/>
            </w:tcMar>
          </w:tcPr>
          <w:p w14:paraId="64D3DA1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Carbohydrates</w:t>
            </w:r>
          </w:p>
        </w:tc>
        <w:tc>
          <w:tcPr>
            <w:tcW w:w="992" w:type="dxa"/>
            <w:tcMar>
              <w:left w:w="105" w:type="dxa"/>
              <w:right w:w="105" w:type="dxa"/>
            </w:tcMar>
          </w:tcPr>
          <w:p w14:paraId="2E61D21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9C55EE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EECCC68" w14:textId="77777777" w:rsidTr="004E115E">
        <w:trPr>
          <w:trHeight w:val="293"/>
        </w:trPr>
        <w:tc>
          <w:tcPr>
            <w:tcW w:w="843" w:type="dxa"/>
            <w:tcMar>
              <w:left w:w="105" w:type="dxa"/>
              <w:right w:w="105" w:type="dxa"/>
            </w:tcMar>
          </w:tcPr>
          <w:p w14:paraId="742B20D2"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835" w:type="dxa"/>
            <w:tcMar>
              <w:left w:w="105" w:type="dxa"/>
              <w:right w:w="105" w:type="dxa"/>
            </w:tcMar>
          </w:tcPr>
          <w:p w14:paraId="359704F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Spot test</w:t>
            </w:r>
          </w:p>
        </w:tc>
        <w:tc>
          <w:tcPr>
            <w:tcW w:w="3544" w:type="dxa"/>
            <w:tcMar>
              <w:left w:w="105" w:type="dxa"/>
              <w:right w:w="105" w:type="dxa"/>
            </w:tcMar>
          </w:tcPr>
          <w:p w14:paraId="7DA52D5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Fixed oils</w:t>
            </w:r>
          </w:p>
        </w:tc>
        <w:tc>
          <w:tcPr>
            <w:tcW w:w="992" w:type="dxa"/>
            <w:tcMar>
              <w:left w:w="105" w:type="dxa"/>
              <w:right w:w="105" w:type="dxa"/>
            </w:tcMar>
          </w:tcPr>
          <w:p w14:paraId="44C9981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4DC3513"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472924B6" w14:textId="77777777" w:rsidTr="004E115E">
        <w:trPr>
          <w:trHeight w:val="293"/>
        </w:trPr>
        <w:tc>
          <w:tcPr>
            <w:tcW w:w="843" w:type="dxa"/>
            <w:tcMar>
              <w:left w:w="105" w:type="dxa"/>
              <w:right w:w="105" w:type="dxa"/>
            </w:tcMar>
          </w:tcPr>
          <w:p w14:paraId="2D6A7598"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835" w:type="dxa"/>
            <w:tcMar>
              <w:left w:w="105" w:type="dxa"/>
              <w:right w:w="105" w:type="dxa"/>
            </w:tcMar>
          </w:tcPr>
          <w:p w14:paraId="682E0A74"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Borntrager’s test</w:t>
            </w:r>
          </w:p>
        </w:tc>
        <w:tc>
          <w:tcPr>
            <w:tcW w:w="3544" w:type="dxa"/>
            <w:tcMar>
              <w:left w:w="105" w:type="dxa"/>
              <w:right w:w="105" w:type="dxa"/>
            </w:tcMar>
          </w:tcPr>
          <w:p w14:paraId="4953F3D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Glycosides</w:t>
            </w:r>
          </w:p>
        </w:tc>
        <w:tc>
          <w:tcPr>
            <w:tcW w:w="992" w:type="dxa"/>
            <w:tcMar>
              <w:left w:w="105" w:type="dxa"/>
              <w:right w:w="105" w:type="dxa"/>
            </w:tcMar>
          </w:tcPr>
          <w:p w14:paraId="34BF1218"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125EE0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179CFB0F" w14:textId="77777777" w:rsidTr="004E115E">
        <w:trPr>
          <w:trHeight w:val="293"/>
        </w:trPr>
        <w:tc>
          <w:tcPr>
            <w:tcW w:w="843" w:type="dxa"/>
            <w:tcMar>
              <w:left w:w="105" w:type="dxa"/>
              <w:right w:w="105" w:type="dxa"/>
            </w:tcMar>
          </w:tcPr>
          <w:p w14:paraId="10722D5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835" w:type="dxa"/>
            <w:tcMar>
              <w:left w:w="105" w:type="dxa"/>
              <w:right w:w="105" w:type="dxa"/>
            </w:tcMar>
          </w:tcPr>
          <w:p w14:paraId="07431B0F"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Ferric Chloride test</w:t>
            </w:r>
          </w:p>
        </w:tc>
        <w:tc>
          <w:tcPr>
            <w:tcW w:w="3544" w:type="dxa"/>
            <w:tcMar>
              <w:left w:w="105" w:type="dxa"/>
              <w:right w:w="105" w:type="dxa"/>
            </w:tcMar>
          </w:tcPr>
          <w:p w14:paraId="3471D2D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0DB3158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A4E443F"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8CE00A9" w14:textId="77777777" w:rsidTr="004E115E">
        <w:trPr>
          <w:trHeight w:val="293"/>
        </w:trPr>
        <w:tc>
          <w:tcPr>
            <w:tcW w:w="843" w:type="dxa"/>
            <w:tcMar>
              <w:left w:w="105" w:type="dxa"/>
              <w:right w:w="105" w:type="dxa"/>
            </w:tcMar>
          </w:tcPr>
          <w:p w14:paraId="7C581D93"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835" w:type="dxa"/>
            <w:tcMar>
              <w:left w:w="105" w:type="dxa"/>
              <w:right w:w="105" w:type="dxa"/>
            </w:tcMar>
          </w:tcPr>
          <w:p w14:paraId="5B739A4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Gelatine test</w:t>
            </w:r>
          </w:p>
        </w:tc>
        <w:tc>
          <w:tcPr>
            <w:tcW w:w="3544" w:type="dxa"/>
            <w:tcMar>
              <w:left w:w="105" w:type="dxa"/>
              <w:right w:w="105" w:type="dxa"/>
            </w:tcMar>
          </w:tcPr>
          <w:p w14:paraId="7CF22B4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7173E177"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059D90F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C68AF35" w14:textId="77777777" w:rsidTr="004E115E">
        <w:trPr>
          <w:trHeight w:val="293"/>
        </w:trPr>
        <w:tc>
          <w:tcPr>
            <w:tcW w:w="843" w:type="dxa"/>
            <w:tcMar>
              <w:left w:w="105" w:type="dxa"/>
              <w:right w:w="105" w:type="dxa"/>
            </w:tcMar>
          </w:tcPr>
          <w:p w14:paraId="61FC131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35" w:type="dxa"/>
            <w:tcMar>
              <w:left w:w="105" w:type="dxa"/>
              <w:right w:w="105" w:type="dxa"/>
            </w:tcMar>
          </w:tcPr>
          <w:p w14:paraId="1E74F59B"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Lead acetate test</w:t>
            </w:r>
          </w:p>
        </w:tc>
        <w:tc>
          <w:tcPr>
            <w:tcW w:w="3544" w:type="dxa"/>
            <w:tcMar>
              <w:left w:w="105" w:type="dxa"/>
              <w:right w:w="105" w:type="dxa"/>
            </w:tcMar>
          </w:tcPr>
          <w:p w14:paraId="07FF0125"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5CDBA701"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71A2C4E6"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7843834" w14:textId="77777777" w:rsidTr="004E115E">
        <w:trPr>
          <w:trHeight w:val="293"/>
        </w:trPr>
        <w:tc>
          <w:tcPr>
            <w:tcW w:w="843" w:type="dxa"/>
            <w:tcMar>
              <w:left w:w="105" w:type="dxa"/>
              <w:right w:w="105" w:type="dxa"/>
            </w:tcMar>
          </w:tcPr>
          <w:p w14:paraId="27163D47"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835" w:type="dxa"/>
            <w:tcMar>
              <w:left w:w="105" w:type="dxa"/>
              <w:right w:w="105" w:type="dxa"/>
            </w:tcMar>
          </w:tcPr>
          <w:p w14:paraId="1B39890A"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Alkaline reagent test</w:t>
            </w:r>
          </w:p>
        </w:tc>
        <w:tc>
          <w:tcPr>
            <w:tcW w:w="3544" w:type="dxa"/>
            <w:tcMar>
              <w:left w:w="105" w:type="dxa"/>
              <w:right w:w="105" w:type="dxa"/>
            </w:tcMar>
          </w:tcPr>
          <w:p w14:paraId="094AF99C"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Phenolic compounds and Tannins</w:t>
            </w:r>
          </w:p>
        </w:tc>
        <w:tc>
          <w:tcPr>
            <w:tcW w:w="992" w:type="dxa"/>
            <w:tcMar>
              <w:left w:w="105" w:type="dxa"/>
              <w:right w:w="105" w:type="dxa"/>
            </w:tcMar>
          </w:tcPr>
          <w:p w14:paraId="1C569942"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1424CAC"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70B07DBE" w14:textId="77777777" w:rsidTr="004E115E">
        <w:trPr>
          <w:trHeight w:val="293"/>
        </w:trPr>
        <w:tc>
          <w:tcPr>
            <w:tcW w:w="843" w:type="dxa"/>
            <w:tcMar>
              <w:left w:w="105" w:type="dxa"/>
              <w:right w:w="105" w:type="dxa"/>
            </w:tcMar>
          </w:tcPr>
          <w:p w14:paraId="166CF4F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835" w:type="dxa"/>
            <w:tcMar>
              <w:left w:w="105" w:type="dxa"/>
              <w:right w:w="105" w:type="dxa"/>
            </w:tcMar>
          </w:tcPr>
          <w:p w14:paraId="6CFD710E"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Millon’s test</w:t>
            </w:r>
          </w:p>
        </w:tc>
        <w:tc>
          <w:tcPr>
            <w:tcW w:w="3544" w:type="dxa"/>
            <w:tcMar>
              <w:left w:w="105" w:type="dxa"/>
              <w:right w:w="105" w:type="dxa"/>
            </w:tcMar>
          </w:tcPr>
          <w:p w14:paraId="51E7061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Proteins</w:t>
            </w:r>
          </w:p>
        </w:tc>
        <w:tc>
          <w:tcPr>
            <w:tcW w:w="992" w:type="dxa"/>
            <w:tcMar>
              <w:left w:w="105" w:type="dxa"/>
              <w:right w:w="105" w:type="dxa"/>
            </w:tcMar>
          </w:tcPr>
          <w:p w14:paraId="26E0AE3E"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148941DD"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2BD316EB" w14:textId="77777777" w:rsidTr="004E115E">
        <w:trPr>
          <w:trHeight w:val="293"/>
        </w:trPr>
        <w:tc>
          <w:tcPr>
            <w:tcW w:w="843" w:type="dxa"/>
            <w:tcMar>
              <w:left w:w="105" w:type="dxa"/>
              <w:right w:w="105" w:type="dxa"/>
            </w:tcMar>
          </w:tcPr>
          <w:p w14:paraId="3DD4E6A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835" w:type="dxa"/>
            <w:tcMar>
              <w:left w:w="105" w:type="dxa"/>
              <w:right w:w="105" w:type="dxa"/>
            </w:tcMar>
          </w:tcPr>
          <w:p w14:paraId="2BA13543"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Biuret test</w:t>
            </w:r>
          </w:p>
        </w:tc>
        <w:tc>
          <w:tcPr>
            <w:tcW w:w="3544" w:type="dxa"/>
            <w:tcMar>
              <w:left w:w="105" w:type="dxa"/>
              <w:right w:w="105" w:type="dxa"/>
            </w:tcMar>
          </w:tcPr>
          <w:p w14:paraId="628525B4"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Proteins</w:t>
            </w:r>
          </w:p>
        </w:tc>
        <w:tc>
          <w:tcPr>
            <w:tcW w:w="992" w:type="dxa"/>
            <w:tcMar>
              <w:left w:w="105" w:type="dxa"/>
              <w:right w:w="105" w:type="dxa"/>
            </w:tcMar>
          </w:tcPr>
          <w:p w14:paraId="2904467B"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2410993A"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BB16378" w14:textId="77777777" w:rsidTr="004E115E">
        <w:trPr>
          <w:trHeight w:val="293"/>
        </w:trPr>
        <w:tc>
          <w:tcPr>
            <w:tcW w:w="843" w:type="dxa"/>
            <w:tcMar>
              <w:left w:w="105" w:type="dxa"/>
              <w:right w:w="105" w:type="dxa"/>
            </w:tcMar>
          </w:tcPr>
          <w:p w14:paraId="5C230ED6"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35" w:type="dxa"/>
            <w:tcMar>
              <w:left w:w="105" w:type="dxa"/>
              <w:right w:w="105" w:type="dxa"/>
            </w:tcMar>
          </w:tcPr>
          <w:p w14:paraId="47FCFCEF"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Test for Saponins</w:t>
            </w:r>
          </w:p>
        </w:tc>
        <w:tc>
          <w:tcPr>
            <w:tcW w:w="3544" w:type="dxa"/>
            <w:tcMar>
              <w:left w:w="105" w:type="dxa"/>
              <w:right w:w="105" w:type="dxa"/>
            </w:tcMar>
          </w:tcPr>
          <w:p w14:paraId="4F804AD1"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Saponins</w:t>
            </w:r>
          </w:p>
        </w:tc>
        <w:tc>
          <w:tcPr>
            <w:tcW w:w="992" w:type="dxa"/>
            <w:tcMar>
              <w:left w:w="105" w:type="dxa"/>
              <w:right w:w="105" w:type="dxa"/>
            </w:tcMar>
          </w:tcPr>
          <w:p w14:paraId="07C326A5"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64AE3EF0"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0140E" w14:paraId="00F1D193" w14:textId="77777777" w:rsidTr="004E115E">
        <w:trPr>
          <w:trHeight w:val="293"/>
        </w:trPr>
        <w:tc>
          <w:tcPr>
            <w:tcW w:w="843" w:type="dxa"/>
            <w:tcMar>
              <w:left w:w="105" w:type="dxa"/>
              <w:right w:w="105" w:type="dxa"/>
            </w:tcMar>
          </w:tcPr>
          <w:p w14:paraId="2F41A3C0"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835" w:type="dxa"/>
            <w:tcMar>
              <w:left w:w="105" w:type="dxa"/>
              <w:right w:w="105" w:type="dxa"/>
            </w:tcMar>
          </w:tcPr>
          <w:p w14:paraId="0433B639" w14:textId="77777777" w:rsidR="00C0140E" w:rsidRDefault="00957F0F" w:rsidP="004E115E">
            <w:pPr>
              <w:rPr>
                <w:rFonts w:ascii="Times New Roman" w:eastAsia="Times New Roman" w:hAnsi="Times New Roman" w:cs="Times New Roman"/>
                <w:color w:val="000000"/>
              </w:rPr>
            </w:pPr>
            <w:r>
              <w:rPr>
                <w:rFonts w:ascii="Times New Roman" w:eastAsia="Times New Roman" w:hAnsi="Times New Roman" w:cs="Times New Roman"/>
                <w:color w:val="000000"/>
              </w:rPr>
              <w:t>Test for gum and Mucilage</w:t>
            </w:r>
          </w:p>
        </w:tc>
        <w:tc>
          <w:tcPr>
            <w:tcW w:w="3544" w:type="dxa"/>
            <w:tcMar>
              <w:left w:w="105" w:type="dxa"/>
              <w:right w:w="105" w:type="dxa"/>
            </w:tcMar>
          </w:tcPr>
          <w:p w14:paraId="4EE26865" w14:textId="77777777" w:rsidR="00C0140E" w:rsidRDefault="004E115E" w:rsidP="004E115E">
            <w:pPr>
              <w:rPr>
                <w:rFonts w:ascii="Times New Roman" w:eastAsia="Times New Roman" w:hAnsi="Times New Roman" w:cs="Times New Roman"/>
                <w:color w:val="000000"/>
              </w:rPr>
            </w:pPr>
            <w:r>
              <w:rPr>
                <w:rFonts w:ascii="Times New Roman" w:eastAsia="Times New Roman" w:hAnsi="Times New Roman" w:cs="Times New Roman"/>
                <w:color w:val="000000"/>
              </w:rPr>
              <w:t>Gums and mucilage</w:t>
            </w:r>
          </w:p>
        </w:tc>
        <w:tc>
          <w:tcPr>
            <w:tcW w:w="992" w:type="dxa"/>
            <w:tcMar>
              <w:left w:w="105" w:type="dxa"/>
              <w:right w:w="105" w:type="dxa"/>
            </w:tcMar>
          </w:tcPr>
          <w:p w14:paraId="5ECBD3AA"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74" w:type="dxa"/>
            <w:tcMar>
              <w:left w:w="105" w:type="dxa"/>
              <w:right w:w="105" w:type="dxa"/>
            </w:tcMar>
          </w:tcPr>
          <w:p w14:paraId="4C840CF4" w14:textId="77777777" w:rsidR="00C0140E" w:rsidRDefault="00957F0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14:paraId="58019B37" w14:textId="77777777" w:rsidR="004E115E" w:rsidRPr="00F3494F" w:rsidRDefault="004E115E" w:rsidP="004E115E">
      <w:pPr>
        <w:pStyle w:val="NoSpacing"/>
        <w:rPr>
          <w:rFonts w:ascii="Times New Roman" w:hAnsi="Times New Roman" w:cs="Times New Roman"/>
        </w:rPr>
      </w:pPr>
      <w:r w:rsidRPr="00F3494F">
        <w:rPr>
          <w:rFonts w:ascii="Times New Roman" w:hAnsi="Times New Roman" w:cs="Times New Roman"/>
        </w:rPr>
        <w:lastRenderedPageBreak/>
        <w:t xml:space="preserve">                   </w:t>
      </w:r>
      <w:r w:rsidR="00F3494F" w:rsidRPr="00F3494F">
        <w:rPr>
          <w:rFonts w:ascii="Times New Roman" w:hAnsi="Times New Roman" w:cs="Times New Roman"/>
        </w:rPr>
        <w:t>Presence (+), Absence (-)</w:t>
      </w:r>
    </w:p>
    <w:p w14:paraId="50AC6A44" w14:textId="77777777" w:rsidR="00C0140E" w:rsidRPr="00F3494F" w:rsidRDefault="00957F0F">
      <w:pPr>
        <w:spacing w:before="240" w:after="240" w:line="240" w:lineRule="auto"/>
        <w:jc w:val="both"/>
        <w:rPr>
          <w:rFonts w:ascii="Times New Roman" w:eastAsia="Times New Roman" w:hAnsi="Times New Roman" w:cs="Times New Roman"/>
          <w:b/>
          <w:bCs/>
        </w:rPr>
      </w:pPr>
      <w:r w:rsidRPr="00F3494F">
        <w:rPr>
          <w:rFonts w:ascii="Times New Roman" w:eastAsia="Times New Roman" w:hAnsi="Times New Roman" w:cs="Times New Roman"/>
          <w:b/>
          <w:bCs/>
        </w:rPr>
        <w:t>4.3. GC-MS analysis</w:t>
      </w:r>
    </w:p>
    <w:p w14:paraId="01759D7B"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GC-MS analysis of TAA and TAE extracts were performed to identify bioactive phytoconstituents potentially responsible for the plant's antidiabetic effects. Compounds were identified through comparison of their mass spectra with the NIST database, and categorized into phenolic compounds, fatty acids and their esters, diterpenes, quinones, </w:t>
      </w:r>
      <w:r>
        <w:rPr>
          <w:rFonts w:ascii="Times New Roman" w:eastAsia="Times New Roman" w:hAnsi="Times New Roman" w:cs="Times New Roman"/>
          <w:color w:val="000000"/>
        </w:rPr>
        <w:t>glutarimide</w:t>
      </w:r>
      <w:r>
        <w:rPr>
          <w:rFonts w:ascii="Times New Roman" w:eastAsia="Times New Roman" w:hAnsi="Times New Roman" w:cs="Times New Roman"/>
        </w:rPr>
        <w:t>s, and polyunsaturated or monounsaturated fatty acids (PUFAs and MUFAs). A literature survey was conducted to evaluate the reported antidiabetic relevance of these compounds.</w:t>
      </w:r>
    </w:p>
    <w:p w14:paraId="182724F1"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 total of fifteen major constituents were detected in the TAA extract (</w:t>
      </w:r>
      <w:r>
        <w:rPr>
          <w:rFonts w:ascii="Times New Roman" w:eastAsia="Times New Roman" w:hAnsi="Times New Roman" w:cs="Times New Roman"/>
          <w:color w:val="000000"/>
        </w:rPr>
        <w:t>table 3</w:t>
      </w:r>
      <w:r>
        <w:rPr>
          <w:rFonts w:ascii="Times New Roman" w:eastAsia="Times New Roman" w:hAnsi="Times New Roman" w:cs="Times New Roman"/>
        </w:rPr>
        <w:t>). Among them, phenol, 2,4-bis(1,1-dimethylethyl)- (0.23%) was noticeable for its ability to block α-glucosidase activity and decrease postprandial glucose absorption</w:t>
      </w:r>
      <w:r w:rsidR="00D81A0E">
        <w:rPr>
          <w:rFonts w:ascii="Times New Roman" w:eastAsia="Times New Roman" w:hAnsi="Times New Roman" w:cs="Times New Roman"/>
        </w:rPr>
        <w:t xml:space="preserve"> (</w:t>
      </w:r>
      <w:r w:rsidR="007E29FD" w:rsidRPr="00D56F31">
        <w:rPr>
          <w:rFonts w:ascii="Times New Roman" w:eastAsia="Times New Roman" w:hAnsi="Times New Roman" w:cs="Times New Roman"/>
        </w:rPr>
        <w:t>Hossain</w:t>
      </w:r>
      <w:r w:rsidR="007E29FD">
        <w:rPr>
          <w:rFonts w:ascii="Times New Roman" w:eastAsia="Times New Roman" w:hAnsi="Times New Roman" w:cs="Times New Roman"/>
        </w:rPr>
        <w:t xml:space="preserve"> et al., 2024</w:t>
      </w:r>
      <w:r w:rsidR="00D81A0E">
        <w:rPr>
          <w:rFonts w:ascii="Times New Roman" w:eastAsia="Times New Roman" w:hAnsi="Times New Roman" w:cs="Times New Roman"/>
        </w:rPr>
        <w:t>)</w:t>
      </w:r>
      <w:r w:rsidR="001837B5">
        <w:rPr>
          <w:rFonts w:ascii="Times New Roman" w:eastAsia="Times New Roman" w:hAnsi="Times New Roman" w:cs="Times New Roman"/>
        </w:rPr>
        <w:t>.</w:t>
      </w:r>
      <w:r>
        <w:rPr>
          <w:rFonts w:ascii="Times New Roman" w:eastAsia="Times New Roman" w:hAnsi="Times New Roman" w:cs="Times New Roman"/>
        </w:rPr>
        <w:t xml:space="preserve"> Diterpenes such as phytol acetate (1.94%) and phytol (3.54%) have been associated with activation of Peroxisome proliferator-activated receptor alpha (PPAR‑α), enhancing lipid metabolism and insulin sensitivity</w:t>
      </w:r>
      <w:r w:rsidR="007706FD">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D56F31">
        <w:rPr>
          <w:rFonts w:ascii="Times New Roman" w:eastAsia="Times New Roman" w:hAnsi="Times New Roman" w:cs="Times New Roman"/>
        </w:rPr>
        <w:t>Kang</w:t>
      </w:r>
      <w:r w:rsidR="007E29FD">
        <w:rPr>
          <w:rFonts w:ascii="Times New Roman" w:eastAsia="Times New Roman" w:hAnsi="Times New Roman" w:cs="Times New Roman"/>
        </w:rPr>
        <w:t xml:space="preserve"> et al., 2013; </w:t>
      </w:r>
      <w:r w:rsidR="007E29FD" w:rsidRPr="0051034D">
        <w:rPr>
          <w:rFonts w:ascii="Times New Roman" w:eastAsia="Times New Roman" w:hAnsi="Times New Roman" w:cs="Times New Roman"/>
        </w:rPr>
        <w:t>Zhang</w:t>
      </w:r>
      <w:r w:rsidR="007E29FD">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sidR="007706FD">
        <w:rPr>
          <w:rFonts w:ascii="Times New Roman" w:eastAsia="Times New Roman" w:hAnsi="Times New Roman" w:cs="Times New Roman"/>
        </w:rPr>
        <w:t xml:space="preserve"> </w:t>
      </w:r>
      <w:r>
        <w:rPr>
          <w:rFonts w:ascii="Times New Roman" w:eastAsia="Times New Roman" w:hAnsi="Times New Roman" w:cs="Times New Roman"/>
        </w:rPr>
        <w:t xml:space="preserve"> The extract was largely composed of fatty acids, including n-Hexadecanoic acid (13.12%), Octadecanoic acid (10.38%), and cis-Vaccenic acid (31.40%), which are linked to improve insulin responsiveness, modulation of lipid metabolism, and anti-inflammatory activities</w:t>
      </w:r>
      <w:r w:rsidR="00D81A0E">
        <w:rPr>
          <w:rFonts w:ascii="Times New Roman" w:eastAsia="Times New Roman" w:hAnsi="Times New Roman" w:cs="Times New Roman"/>
        </w:rPr>
        <w:t xml:space="preserve"> (</w:t>
      </w:r>
      <w:r w:rsidR="007E29FD" w:rsidRPr="0051034D">
        <w:rPr>
          <w:rFonts w:ascii="Times New Roman" w:eastAsia="Times New Roman" w:hAnsi="Times New Roman" w:cs="Times New Roman"/>
        </w:rPr>
        <w:t>Sayeed</w:t>
      </w:r>
      <w:r w:rsidR="007E29FD">
        <w:rPr>
          <w:rFonts w:ascii="Times New Roman" w:eastAsia="Times New Roman" w:hAnsi="Times New Roman" w:cs="Times New Roman"/>
        </w:rPr>
        <w:t xml:space="preserve"> et al., 2015; </w:t>
      </w:r>
      <w:r w:rsidR="007E29FD" w:rsidRPr="002C2242">
        <w:rPr>
          <w:rFonts w:ascii="Times New Roman" w:eastAsia="Times New Roman" w:hAnsi="Times New Roman" w:cs="Times New Roman"/>
        </w:rPr>
        <w:t>Wen</w:t>
      </w:r>
      <w:r w:rsidR="007E29FD">
        <w:rPr>
          <w:rFonts w:ascii="Times New Roman" w:eastAsia="Times New Roman" w:hAnsi="Times New Roman" w:cs="Times New Roman"/>
        </w:rPr>
        <w:t xml:space="preserve"> et al., 2025</w:t>
      </w:r>
      <w:r w:rsidR="00D81A0E">
        <w:rPr>
          <w:rFonts w:ascii="Times New Roman" w:eastAsia="Times New Roman" w:hAnsi="Times New Roman" w:cs="Times New Roman"/>
        </w:rPr>
        <w:t>)</w:t>
      </w:r>
      <w:r w:rsidR="007706FD">
        <w:rPr>
          <w:rFonts w:ascii="Times New Roman" w:eastAsia="Times New Roman" w:hAnsi="Times New Roman" w:cs="Times New Roman"/>
        </w:rPr>
        <w:t>.</w:t>
      </w:r>
      <w:r>
        <w:rPr>
          <w:rFonts w:ascii="Times New Roman" w:eastAsia="Times New Roman" w:hAnsi="Times New Roman" w:cs="Times New Roman"/>
        </w:rPr>
        <w:t xml:space="preserve"> Furthermore, glutarimide, N-(2-octyl)- (0.65%), was identified as a metabolite reported to exert hypoglycemic activity</w:t>
      </w:r>
      <w:r w:rsidR="00D81A0E">
        <w:rPr>
          <w:rFonts w:ascii="Times New Roman" w:eastAsia="Times New Roman" w:hAnsi="Times New Roman" w:cs="Times New Roman"/>
        </w:rPr>
        <w:t xml:space="preserve"> (</w:t>
      </w:r>
      <w:r w:rsidR="007E29FD" w:rsidRPr="002C2242">
        <w:rPr>
          <w:rFonts w:ascii="Times New Roman" w:eastAsia="Times New Roman" w:hAnsi="Times New Roman" w:cs="Times New Roman"/>
        </w:rPr>
        <w:t>Sangeetha</w:t>
      </w:r>
      <w:r w:rsidR="007E29FD">
        <w:rPr>
          <w:rFonts w:ascii="Times New Roman" w:eastAsia="Times New Roman" w:hAnsi="Times New Roman" w:cs="Times New Roman"/>
        </w:rPr>
        <w:t>.,  2014</w:t>
      </w:r>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w:t>
      </w:r>
    </w:p>
    <w:p w14:paraId="30C1004E"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A total of 12 major constituents were identified with a distinct profile in TAE extract (</w:t>
      </w:r>
      <w:r>
        <w:rPr>
          <w:rFonts w:ascii="Times New Roman" w:eastAsia="Times New Roman" w:hAnsi="Times New Roman" w:cs="Times New Roman"/>
          <w:color w:val="000000"/>
        </w:rPr>
        <w:t>table 4</w:t>
      </w:r>
      <w:r>
        <w:rPr>
          <w:rFonts w:ascii="Times New Roman" w:eastAsia="Times New Roman" w:hAnsi="Times New Roman" w:cs="Times New Roman"/>
        </w:rPr>
        <w:t>). Cis-vaccenic acid (11.12%) and n-hexadecanoic acid (9.10%) were predominant fatty acids in TAE extract that are known to improve insulin sensitivity and cholesterol management</w:t>
      </w:r>
      <w:r w:rsidR="00FF3301">
        <w:rPr>
          <w:rFonts w:ascii="Times New Roman" w:eastAsia="Times New Roman" w:hAnsi="Times New Roman" w:cs="Times New Roman"/>
        </w:rPr>
        <w:t xml:space="preserve"> </w:t>
      </w:r>
      <w:r>
        <w:rPr>
          <w:rFonts w:ascii="Times New Roman" w:eastAsia="Times New Roman" w:hAnsi="Times New Roman" w:cs="Times New Roman"/>
        </w:rPr>
        <w:t xml:space="preserve"> in TAA extracts</w:t>
      </w:r>
      <w:r w:rsidR="00FF3301">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51034D">
        <w:rPr>
          <w:rFonts w:ascii="Times New Roman" w:eastAsia="Times New Roman" w:hAnsi="Times New Roman" w:cs="Times New Roman"/>
        </w:rPr>
        <w:t>Sayeed</w:t>
      </w:r>
      <w:r w:rsidR="007E29FD">
        <w:rPr>
          <w:rFonts w:ascii="Times New Roman" w:eastAsia="Times New Roman" w:hAnsi="Times New Roman" w:cs="Times New Roman"/>
        </w:rPr>
        <w:t xml:space="preserve"> et al., 2015</w:t>
      </w:r>
      <w:r w:rsidR="00D81A0E">
        <w:rPr>
          <w:rFonts w:ascii="Times New Roman" w:eastAsia="Times New Roman" w:hAnsi="Times New Roman" w:cs="Times New Roman"/>
        </w:rPr>
        <w:t>)</w:t>
      </w:r>
      <w:r>
        <w:rPr>
          <w:rFonts w:ascii="Times New Roman" w:eastAsia="Times New Roman" w:hAnsi="Times New Roman" w:cs="Times New Roman"/>
        </w:rPr>
        <w:t xml:space="preserve">. Diterpenes like phytol acetate (2.63%) and phytol (0.85%) were </w:t>
      </w:r>
      <w:r>
        <w:rPr>
          <w:rFonts w:ascii="Times New Roman" w:eastAsia="Times New Roman" w:hAnsi="Times New Roman" w:cs="Times New Roman"/>
        </w:rPr>
        <w:lastRenderedPageBreak/>
        <w:t>consistently present supporting their contribution to metabolic regulation</w:t>
      </w:r>
      <w:r w:rsidR="00D81A0E">
        <w:rPr>
          <w:rFonts w:ascii="Times New Roman" w:eastAsia="Times New Roman" w:hAnsi="Times New Roman" w:cs="Times New Roman"/>
        </w:rPr>
        <w:t xml:space="preserve"> (</w:t>
      </w:r>
      <w:r w:rsidR="007E29FD" w:rsidRPr="00D56F31">
        <w:rPr>
          <w:rFonts w:ascii="Times New Roman" w:eastAsia="Times New Roman" w:hAnsi="Times New Roman" w:cs="Times New Roman"/>
        </w:rPr>
        <w:t>Kang</w:t>
      </w:r>
      <w:r w:rsidR="007E29FD">
        <w:rPr>
          <w:rFonts w:ascii="Times New Roman" w:eastAsia="Times New Roman" w:hAnsi="Times New Roman" w:cs="Times New Roman"/>
        </w:rPr>
        <w:t xml:space="preserve">  et al., 2013</w:t>
      </w:r>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Additionally, 9,12-Octadecadienoic acid (Z,Z)- (3.21%) and its methyl ester form (2.57%) were detected, both recognized for their strong antioxidant capacity and insulin enhancing effects</w:t>
      </w:r>
      <w:r w:rsidR="00FF3301">
        <w:rPr>
          <w:rFonts w:ascii="Times New Roman" w:eastAsia="Times New Roman" w:hAnsi="Times New Roman" w:cs="Times New Roman"/>
        </w:rPr>
        <w:t xml:space="preserve"> </w:t>
      </w:r>
      <w:r w:rsidR="00D81A0E">
        <w:rPr>
          <w:rFonts w:ascii="Times New Roman" w:eastAsia="Times New Roman" w:hAnsi="Times New Roman" w:cs="Times New Roman"/>
        </w:rPr>
        <w:t>(</w:t>
      </w:r>
      <w:r w:rsidR="007E29FD" w:rsidRPr="0051034D">
        <w:rPr>
          <w:rFonts w:ascii="Times New Roman" w:eastAsia="Times New Roman" w:hAnsi="Times New Roman" w:cs="Times New Roman"/>
        </w:rPr>
        <w:t>Kim</w:t>
      </w:r>
      <w:r w:rsidR="007E29FD">
        <w:rPr>
          <w:rFonts w:ascii="Times New Roman" w:eastAsia="Times New Roman" w:hAnsi="Times New Roman" w:cs="Times New Roman"/>
        </w:rPr>
        <w:t xml:space="preserve">  et al., 2010; </w:t>
      </w:r>
      <w:r w:rsidR="007E29FD" w:rsidRPr="0051034D">
        <w:rPr>
          <w:rFonts w:ascii="Times New Roman" w:eastAsia="Times New Roman" w:hAnsi="Times New Roman" w:cs="Times New Roman"/>
        </w:rPr>
        <w:t>Alarcón-Aguilar</w:t>
      </w:r>
      <w:r w:rsidR="007E29FD">
        <w:rPr>
          <w:rFonts w:ascii="Times New Roman" w:eastAsia="Times New Roman" w:hAnsi="Times New Roman" w:cs="Times New Roman"/>
        </w:rPr>
        <w:t xml:space="preserve">  et al., 2002</w:t>
      </w:r>
      <w:r w:rsidR="00D81A0E">
        <w:rPr>
          <w:rFonts w:ascii="Times New Roman" w:eastAsia="Times New Roman" w:hAnsi="Times New Roman" w:cs="Times New Roman"/>
        </w:rPr>
        <w:t>)</w:t>
      </w:r>
      <w:r w:rsidR="00FF3301">
        <w:rPr>
          <w:rFonts w:ascii="Times New Roman" w:eastAsia="Times New Roman" w:hAnsi="Times New Roman" w:cs="Times New Roman"/>
        </w:rPr>
        <w:t>.</w:t>
      </w:r>
      <w:r>
        <w:rPr>
          <w:rFonts w:ascii="Times New Roman" w:eastAsia="Times New Roman" w:hAnsi="Times New Roman" w:cs="Times New Roman"/>
        </w:rPr>
        <w:t xml:space="preserve"> The presence of glutarimide, N-(3-pentyl)- (0.23%), further confirmed the presence of this bioactive class in both solvent extracts.</w:t>
      </w:r>
    </w:p>
    <w:p w14:paraId="77356BA3"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Overall, the GC–MS profiling revealed that both extracts of leaf samples of </w:t>
      </w:r>
      <w:r>
        <w:rPr>
          <w:rFonts w:ascii="Times New Roman" w:eastAsia="Times New Roman" w:hAnsi="Times New Roman" w:cs="Times New Roman"/>
          <w:i/>
        </w:rPr>
        <w:t>T. arjuna</w:t>
      </w:r>
      <w:r>
        <w:rPr>
          <w:rFonts w:ascii="Times New Roman" w:eastAsia="Times New Roman" w:hAnsi="Times New Roman" w:cs="Times New Roman"/>
        </w:rPr>
        <w:t>, are rich in bioactive compounds with established antidiabetic and antioxidant activities. These findings suggest that the extracts exert beneficial effects on glucose metabolism and oxidative stress through the synergistic action of multiple bioactive compounds.</w:t>
      </w:r>
    </w:p>
    <w:p w14:paraId="576F56B8" w14:textId="77777777" w:rsidR="00C0140E" w:rsidRPr="00F3494F" w:rsidRDefault="00957F0F" w:rsidP="00F3494F">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 xml:space="preserve">Table 3: </w:t>
      </w:r>
      <w:r w:rsidRPr="00F3494F">
        <w:rPr>
          <w:rFonts w:ascii="Times New Roman" w:eastAsia="Times New Roman" w:hAnsi="Times New Roman" w:cs="Times New Roman"/>
          <w:bCs/>
        </w:rPr>
        <w:t xml:space="preserve">Major phytoconstituents </w:t>
      </w:r>
      <w:r w:rsidR="00FE1429">
        <w:rPr>
          <w:rFonts w:ascii="Times New Roman" w:eastAsia="Times New Roman" w:hAnsi="Times New Roman" w:cs="Times New Roman"/>
          <w:bCs/>
        </w:rPr>
        <w:t xml:space="preserve">with </w:t>
      </w:r>
      <w:r w:rsidRPr="00F3494F">
        <w:rPr>
          <w:rFonts w:ascii="Times New Roman" w:eastAsia="Times New Roman" w:hAnsi="Times New Roman" w:cs="Times New Roman"/>
          <w:bCs/>
        </w:rPr>
        <w:t xml:space="preserve">antidiabetic potential identified using GC-MS </w:t>
      </w:r>
      <w:r w:rsidR="00FE1429">
        <w:rPr>
          <w:rFonts w:ascii="Times New Roman" w:eastAsia="Times New Roman" w:hAnsi="Times New Roman" w:cs="Times New Roman"/>
          <w:bCs/>
        </w:rPr>
        <w:t xml:space="preserve">profile of </w:t>
      </w:r>
      <w:r w:rsidRPr="00F3494F">
        <w:rPr>
          <w:rFonts w:ascii="Times New Roman" w:eastAsia="Times New Roman" w:hAnsi="Times New Roman" w:cs="Times New Roman"/>
          <w:bCs/>
        </w:rPr>
        <w:t>TAA extracts</w:t>
      </w:r>
      <w:r>
        <w:rPr>
          <w:rFonts w:ascii="Times New Roman" w:eastAsia="Times New Roman" w:hAnsi="Times New Roman" w:cs="Times New Roman"/>
          <w:b/>
        </w:rPr>
        <w:t xml:space="preserve"> </w:t>
      </w:r>
    </w:p>
    <w:tbl>
      <w:tblPr>
        <w:tblStyle w:val="ab"/>
        <w:tblW w:w="92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3"/>
        <w:gridCol w:w="833"/>
        <w:gridCol w:w="2035"/>
        <w:gridCol w:w="1134"/>
        <w:gridCol w:w="1843"/>
        <w:gridCol w:w="2560"/>
      </w:tblGrid>
      <w:tr w:rsidR="002563D6" w14:paraId="03FD488C" w14:textId="77777777" w:rsidTr="007E29FD">
        <w:trPr>
          <w:trHeight w:val="300"/>
        </w:trPr>
        <w:tc>
          <w:tcPr>
            <w:tcW w:w="813" w:type="dxa"/>
          </w:tcPr>
          <w:p w14:paraId="655EB4D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 No</w:t>
            </w:r>
          </w:p>
        </w:tc>
        <w:tc>
          <w:tcPr>
            <w:tcW w:w="833" w:type="dxa"/>
          </w:tcPr>
          <w:p w14:paraId="7D4DBBA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Peak</w:t>
            </w:r>
          </w:p>
        </w:tc>
        <w:tc>
          <w:tcPr>
            <w:tcW w:w="2035" w:type="dxa"/>
          </w:tcPr>
          <w:p w14:paraId="2A25046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Compound Name</w:t>
            </w:r>
          </w:p>
        </w:tc>
        <w:tc>
          <w:tcPr>
            <w:tcW w:w="1134" w:type="dxa"/>
          </w:tcPr>
          <w:p w14:paraId="6926E4A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Area %</w:t>
            </w:r>
          </w:p>
        </w:tc>
        <w:tc>
          <w:tcPr>
            <w:tcW w:w="1843" w:type="dxa"/>
          </w:tcPr>
          <w:p w14:paraId="141F5AA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w:t>
            </w:r>
          </w:p>
        </w:tc>
        <w:tc>
          <w:tcPr>
            <w:tcW w:w="2560" w:type="dxa"/>
          </w:tcPr>
          <w:p w14:paraId="11E4723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Antidiabetic Potential</w:t>
            </w:r>
          </w:p>
        </w:tc>
      </w:tr>
      <w:tr w:rsidR="002563D6" w14:paraId="5BDD7223" w14:textId="77777777" w:rsidTr="007E29FD">
        <w:trPr>
          <w:trHeight w:val="300"/>
        </w:trPr>
        <w:tc>
          <w:tcPr>
            <w:tcW w:w="813" w:type="dxa"/>
          </w:tcPr>
          <w:p w14:paraId="26D4E3A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33" w:type="dxa"/>
          </w:tcPr>
          <w:p w14:paraId="502F1BE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35" w:type="dxa"/>
          </w:tcPr>
          <w:p w14:paraId="3A4DF4F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 2,4-bis(1,1-dimethylethyl)-</w:t>
            </w:r>
          </w:p>
        </w:tc>
        <w:tc>
          <w:tcPr>
            <w:tcW w:w="1134" w:type="dxa"/>
          </w:tcPr>
          <w:p w14:paraId="5BBA5F5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843" w:type="dxa"/>
          </w:tcPr>
          <w:p w14:paraId="17E9A49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Phenolic antioxidant</w:t>
            </w:r>
          </w:p>
        </w:tc>
        <w:tc>
          <w:tcPr>
            <w:tcW w:w="2560" w:type="dxa"/>
          </w:tcPr>
          <w:p w14:paraId="795C0FF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Inhibits α-glucosidase </w:t>
            </w:r>
            <w:r w:rsidR="00D81A0E">
              <w:rPr>
                <w:rFonts w:ascii="Times New Roman" w:eastAsia="Times New Roman" w:hAnsi="Times New Roman" w:cs="Times New Roman"/>
                <w:color w:val="000000"/>
              </w:rPr>
              <w:t>(</w:t>
            </w:r>
            <w:r w:rsidR="007E29FD" w:rsidRPr="00D56F31">
              <w:rPr>
                <w:rFonts w:ascii="Times New Roman" w:eastAsia="Times New Roman" w:hAnsi="Times New Roman" w:cs="Times New Roman"/>
              </w:rPr>
              <w:t>Hossain</w:t>
            </w:r>
            <w:r w:rsidR="007E29FD">
              <w:rPr>
                <w:rFonts w:ascii="Times New Roman" w:eastAsia="Times New Roman" w:hAnsi="Times New Roman" w:cs="Times New Roman"/>
                <w:color w:val="000000"/>
              </w:rPr>
              <w:t xml:space="preserve"> et al., 2024</w:t>
            </w:r>
            <w:r w:rsidR="00D81A0E">
              <w:rPr>
                <w:rFonts w:ascii="Times New Roman" w:eastAsia="Times New Roman" w:hAnsi="Times New Roman" w:cs="Times New Roman"/>
                <w:color w:val="000000"/>
              </w:rPr>
              <w:t>)</w:t>
            </w:r>
          </w:p>
        </w:tc>
      </w:tr>
      <w:tr w:rsidR="002563D6" w14:paraId="3078353D" w14:textId="77777777" w:rsidTr="007E29FD">
        <w:trPr>
          <w:trHeight w:val="300"/>
        </w:trPr>
        <w:tc>
          <w:tcPr>
            <w:tcW w:w="813" w:type="dxa"/>
          </w:tcPr>
          <w:p w14:paraId="597088D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33" w:type="dxa"/>
          </w:tcPr>
          <w:p w14:paraId="4D3EC86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035" w:type="dxa"/>
          </w:tcPr>
          <w:p w14:paraId="7C9AA32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 acetate</w:t>
            </w:r>
          </w:p>
        </w:tc>
        <w:tc>
          <w:tcPr>
            <w:tcW w:w="1134" w:type="dxa"/>
          </w:tcPr>
          <w:p w14:paraId="5373096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1.94</w:t>
            </w:r>
          </w:p>
        </w:tc>
        <w:tc>
          <w:tcPr>
            <w:tcW w:w="1843" w:type="dxa"/>
          </w:tcPr>
          <w:p w14:paraId="7F3CB19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ester</w:t>
            </w:r>
          </w:p>
        </w:tc>
        <w:tc>
          <w:tcPr>
            <w:tcW w:w="2560" w:type="dxa"/>
          </w:tcPr>
          <w:p w14:paraId="56770E9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improve insulin sensitivity</w:t>
            </w:r>
            <w:r w:rsidR="00D81A0E">
              <w:rPr>
                <w:rFonts w:ascii="Times New Roman" w:eastAsia="Times New Roman" w:hAnsi="Times New Roman" w:cs="Times New Roman"/>
                <w:color w:val="000000"/>
              </w:rPr>
              <w:t xml:space="preserve"> (</w:t>
            </w:r>
            <w:r w:rsidR="007E29FD" w:rsidRPr="00D56F31">
              <w:rPr>
                <w:rFonts w:ascii="Times New Roman" w:eastAsia="Times New Roman" w:hAnsi="Times New Roman" w:cs="Times New Roman"/>
              </w:rPr>
              <w:t>Kang</w:t>
            </w:r>
            <w:r w:rsidR="007E29FD">
              <w:rPr>
                <w:rFonts w:ascii="Times New Roman" w:eastAsia="Times New Roman" w:hAnsi="Times New Roman" w:cs="Times New Roman"/>
                <w:color w:val="000000"/>
              </w:rPr>
              <w:t xml:space="preserve"> et al., 2013</w:t>
            </w:r>
            <w:r w:rsidR="00D81A0E">
              <w:rPr>
                <w:rFonts w:ascii="Times New Roman" w:eastAsia="Times New Roman" w:hAnsi="Times New Roman" w:cs="Times New Roman"/>
                <w:color w:val="000000"/>
              </w:rPr>
              <w:t>)</w:t>
            </w:r>
          </w:p>
        </w:tc>
      </w:tr>
      <w:tr w:rsidR="002563D6" w14:paraId="76DD5524" w14:textId="77777777" w:rsidTr="007E29FD">
        <w:trPr>
          <w:trHeight w:val="525"/>
        </w:trPr>
        <w:tc>
          <w:tcPr>
            <w:tcW w:w="813" w:type="dxa"/>
          </w:tcPr>
          <w:p w14:paraId="0E9F325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33" w:type="dxa"/>
          </w:tcPr>
          <w:p w14:paraId="0C5AEA8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035" w:type="dxa"/>
          </w:tcPr>
          <w:p w14:paraId="16E41C5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3,7,11,15-Tetramethyl-2-hexadecen-1-ol</w:t>
            </w:r>
          </w:p>
        </w:tc>
        <w:tc>
          <w:tcPr>
            <w:tcW w:w="1134" w:type="dxa"/>
          </w:tcPr>
          <w:p w14:paraId="4820845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0.33</w:t>
            </w:r>
          </w:p>
        </w:tc>
        <w:tc>
          <w:tcPr>
            <w:tcW w:w="1843" w:type="dxa"/>
          </w:tcPr>
          <w:p w14:paraId="2281905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560" w:type="dxa"/>
          </w:tcPr>
          <w:p w14:paraId="5F8B1CD1"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PPAR-α activation </w:t>
            </w:r>
            <w:r w:rsidR="00D81A0E">
              <w:rPr>
                <w:rFonts w:ascii="Times New Roman" w:eastAsia="Times New Roman" w:hAnsi="Times New Roman" w:cs="Times New Roman"/>
                <w:color w:val="000000"/>
              </w:rPr>
              <w:t xml:space="preserve"> (</w:t>
            </w:r>
            <w:r w:rsidR="007E29FD" w:rsidRPr="0051034D">
              <w:rPr>
                <w:rFonts w:ascii="Times New Roman" w:eastAsia="Times New Roman" w:hAnsi="Times New Roman" w:cs="Times New Roman"/>
              </w:rPr>
              <w:t>Zhang</w:t>
            </w:r>
            <w:r w:rsidR="007E29FD">
              <w:rPr>
                <w:rFonts w:ascii="Times New Roman" w:eastAsia="Times New Roman" w:hAnsi="Times New Roman" w:cs="Times New Roman"/>
                <w:color w:val="000000"/>
              </w:rPr>
              <w:t xml:space="preserve"> et al., 2011</w:t>
            </w:r>
            <w:r w:rsidR="00D81A0E">
              <w:rPr>
                <w:rFonts w:ascii="Times New Roman" w:eastAsia="Times New Roman" w:hAnsi="Times New Roman" w:cs="Times New Roman"/>
                <w:color w:val="000000"/>
              </w:rPr>
              <w:t>)</w:t>
            </w:r>
          </w:p>
        </w:tc>
      </w:tr>
      <w:tr w:rsidR="002563D6" w14:paraId="336F7B28" w14:textId="77777777" w:rsidTr="007E29FD">
        <w:trPr>
          <w:trHeight w:val="300"/>
        </w:trPr>
        <w:tc>
          <w:tcPr>
            <w:tcW w:w="813" w:type="dxa"/>
          </w:tcPr>
          <w:p w14:paraId="2418306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33" w:type="dxa"/>
          </w:tcPr>
          <w:p w14:paraId="4F05AFA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035" w:type="dxa"/>
          </w:tcPr>
          <w:p w14:paraId="2830FB3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w:t>
            </w:r>
          </w:p>
        </w:tc>
        <w:tc>
          <w:tcPr>
            <w:tcW w:w="1134" w:type="dxa"/>
          </w:tcPr>
          <w:p w14:paraId="7A21C9B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3.54</w:t>
            </w:r>
          </w:p>
        </w:tc>
        <w:tc>
          <w:tcPr>
            <w:tcW w:w="1843" w:type="dxa"/>
          </w:tcPr>
          <w:p w14:paraId="7D434FE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560" w:type="dxa"/>
          </w:tcPr>
          <w:p w14:paraId="1A5E6C5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PPAR-α activation </w:t>
            </w:r>
            <w:r w:rsidR="00D81A0E">
              <w:rPr>
                <w:rFonts w:ascii="Times New Roman" w:eastAsia="Times New Roman" w:hAnsi="Times New Roman" w:cs="Times New Roman"/>
                <w:color w:val="000000"/>
              </w:rPr>
              <w:t>(</w:t>
            </w:r>
            <w:r w:rsidR="007E29FD" w:rsidRPr="00D56F31">
              <w:rPr>
                <w:rFonts w:ascii="Times New Roman" w:eastAsia="Times New Roman" w:hAnsi="Times New Roman" w:cs="Times New Roman"/>
              </w:rPr>
              <w:t>Kang</w:t>
            </w:r>
            <w:r w:rsidR="007E29FD">
              <w:rPr>
                <w:rFonts w:ascii="Times New Roman" w:eastAsia="Times New Roman" w:hAnsi="Times New Roman" w:cs="Times New Roman"/>
                <w:color w:val="000000"/>
              </w:rPr>
              <w:t xml:space="preserve"> et al., 2013</w:t>
            </w:r>
            <w:r w:rsidR="00D81A0E">
              <w:rPr>
                <w:rFonts w:ascii="Times New Roman" w:eastAsia="Times New Roman" w:hAnsi="Times New Roman" w:cs="Times New Roman"/>
                <w:color w:val="000000"/>
              </w:rPr>
              <w:t>)</w:t>
            </w:r>
          </w:p>
        </w:tc>
      </w:tr>
      <w:tr w:rsidR="002563D6" w14:paraId="3AB4B9A3" w14:textId="77777777" w:rsidTr="007E29FD">
        <w:trPr>
          <w:trHeight w:val="300"/>
        </w:trPr>
        <w:tc>
          <w:tcPr>
            <w:tcW w:w="813" w:type="dxa"/>
          </w:tcPr>
          <w:p w14:paraId="56D48BC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33" w:type="dxa"/>
          </w:tcPr>
          <w:p w14:paraId="3303B18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035" w:type="dxa"/>
          </w:tcPr>
          <w:p w14:paraId="2FBF610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7,9-Di-tert-butyl-1-oxaspiro(...)diene-2,8-dione</w:t>
            </w:r>
          </w:p>
        </w:tc>
        <w:tc>
          <w:tcPr>
            <w:tcW w:w="1134" w:type="dxa"/>
          </w:tcPr>
          <w:p w14:paraId="5BF9946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2.13</w:t>
            </w:r>
          </w:p>
        </w:tc>
        <w:tc>
          <w:tcPr>
            <w:tcW w:w="1843" w:type="dxa"/>
          </w:tcPr>
          <w:p w14:paraId="10BFAF0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Quinone derivative</w:t>
            </w:r>
          </w:p>
        </w:tc>
        <w:tc>
          <w:tcPr>
            <w:tcW w:w="2560" w:type="dxa"/>
          </w:tcPr>
          <w:p w14:paraId="24AA777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ROS modulation</w:t>
            </w:r>
            <w:r w:rsidR="00D81A0E">
              <w:rPr>
                <w:rFonts w:ascii="Times New Roman" w:eastAsia="Times New Roman" w:hAnsi="Times New Roman" w:cs="Times New Roman"/>
                <w:color w:val="000000"/>
              </w:rPr>
              <w:t xml:space="preserve"> (</w:t>
            </w:r>
            <w:r w:rsidR="007E29FD" w:rsidRPr="00D56F31">
              <w:rPr>
                <w:rFonts w:ascii="Times New Roman" w:eastAsia="Times New Roman" w:hAnsi="Times New Roman" w:cs="Times New Roman"/>
              </w:rPr>
              <w:t>Gupta</w:t>
            </w:r>
            <w:r w:rsidR="007E29FD">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2563D6" w14:paraId="6B4E7476" w14:textId="77777777" w:rsidTr="007E29FD">
        <w:trPr>
          <w:trHeight w:val="300"/>
        </w:trPr>
        <w:tc>
          <w:tcPr>
            <w:tcW w:w="813" w:type="dxa"/>
          </w:tcPr>
          <w:p w14:paraId="424273A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33" w:type="dxa"/>
          </w:tcPr>
          <w:p w14:paraId="0A5C053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035" w:type="dxa"/>
          </w:tcPr>
          <w:p w14:paraId="0741F61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n-Hexadecanoic acid</w:t>
            </w:r>
          </w:p>
        </w:tc>
        <w:tc>
          <w:tcPr>
            <w:tcW w:w="1134" w:type="dxa"/>
          </w:tcPr>
          <w:p w14:paraId="088B812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13.12</w:t>
            </w:r>
          </w:p>
        </w:tc>
        <w:tc>
          <w:tcPr>
            <w:tcW w:w="1843" w:type="dxa"/>
          </w:tcPr>
          <w:p w14:paraId="6AE6FE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w:t>
            </w:r>
          </w:p>
        </w:tc>
        <w:tc>
          <w:tcPr>
            <w:tcW w:w="2560" w:type="dxa"/>
          </w:tcPr>
          <w:p w14:paraId="3AC9D072"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Lipid metabolism</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Sayeed</w:t>
            </w:r>
            <w:r w:rsidR="00F91C6A">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2563D6" w14:paraId="4220EDA0" w14:textId="77777777" w:rsidTr="007E29FD">
        <w:trPr>
          <w:trHeight w:val="300"/>
        </w:trPr>
        <w:tc>
          <w:tcPr>
            <w:tcW w:w="813" w:type="dxa"/>
          </w:tcPr>
          <w:p w14:paraId="3BD6C4E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33" w:type="dxa"/>
          </w:tcPr>
          <w:p w14:paraId="394CE3C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035" w:type="dxa"/>
          </w:tcPr>
          <w:p w14:paraId="55CC226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Hexadecanoic acid, ethyl ester</w:t>
            </w:r>
          </w:p>
        </w:tc>
        <w:tc>
          <w:tcPr>
            <w:tcW w:w="1134" w:type="dxa"/>
          </w:tcPr>
          <w:p w14:paraId="1351086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1.49</w:t>
            </w:r>
          </w:p>
        </w:tc>
        <w:tc>
          <w:tcPr>
            <w:tcW w:w="1843" w:type="dxa"/>
          </w:tcPr>
          <w:p w14:paraId="26BC7E0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560" w:type="dxa"/>
          </w:tcPr>
          <w:p w14:paraId="283CDE1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Mild hypoglycemic activity</w:t>
            </w:r>
            <w:r w:rsidR="00D81A0E">
              <w:rPr>
                <w:rFonts w:ascii="Times New Roman" w:eastAsia="Times New Roman" w:hAnsi="Times New Roman" w:cs="Times New Roman"/>
                <w:color w:val="000000"/>
              </w:rPr>
              <w:t xml:space="preserve"> (</w:t>
            </w:r>
            <w:r w:rsidR="00F91C6A" w:rsidRPr="00303A35">
              <w:rPr>
                <w:rFonts w:ascii="Times New Roman" w:eastAsia="Times New Roman" w:hAnsi="Times New Roman" w:cs="Times New Roman"/>
              </w:rPr>
              <w:t>Subash-Babu</w:t>
            </w:r>
            <w:r w:rsidR="00F91C6A">
              <w:rPr>
                <w:rFonts w:ascii="Times New Roman" w:eastAsia="Times New Roman" w:hAnsi="Times New Roman" w:cs="Times New Roman"/>
                <w:color w:val="000000"/>
              </w:rPr>
              <w:t xml:space="preserve"> et al., 2014</w:t>
            </w:r>
            <w:r w:rsidR="00D81A0E">
              <w:rPr>
                <w:rFonts w:ascii="Times New Roman" w:eastAsia="Times New Roman" w:hAnsi="Times New Roman" w:cs="Times New Roman"/>
                <w:color w:val="000000"/>
              </w:rPr>
              <w:t>)</w:t>
            </w:r>
          </w:p>
        </w:tc>
      </w:tr>
      <w:tr w:rsidR="002563D6" w14:paraId="2CF19567" w14:textId="77777777" w:rsidTr="007E29FD">
        <w:trPr>
          <w:trHeight w:val="300"/>
        </w:trPr>
        <w:tc>
          <w:tcPr>
            <w:tcW w:w="813" w:type="dxa"/>
          </w:tcPr>
          <w:p w14:paraId="0448E1B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w:t>
            </w:r>
          </w:p>
        </w:tc>
        <w:tc>
          <w:tcPr>
            <w:tcW w:w="833" w:type="dxa"/>
          </w:tcPr>
          <w:p w14:paraId="7B0864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035" w:type="dxa"/>
          </w:tcPr>
          <w:p w14:paraId="0C0FEA3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Linoleic acid ethyl ester</w:t>
            </w:r>
          </w:p>
        </w:tc>
        <w:tc>
          <w:tcPr>
            <w:tcW w:w="1134" w:type="dxa"/>
          </w:tcPr>
          <w:p w14:paraId="5998D61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0.26</w:t>
            </w:r>
          </w:p>
        </w:tc>
        <w:tc>
          <w:tcPr>
            <w:tcW w:w="1843" w:type="dxa"/>
          </w:tcPr>
          <w:p w14:paraId="5759D3D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 ester</w:t>
            </w:r>
          </w:p>
        </w:tc>
        <w:tc>
          <w:tcPr>
            <w:tcW w:w="2560" w:type="dxa"/>
          </w:tcPr>
          <w:p w14:paraId="2C21EF9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Alarcón-Aguilar</w:t>
            </w:r>
            <w:r w:rsidR="00F91C6A">
              <w:rPr>
                <w:rFonts w:ascii="Times New Roman" w:eastAsia="Times New Roman" w:hAnsi="Times New Roman" w:cs="Times New Roman"/>
                <w:color w:val="000000"/>
              </w:rPr>
              <w:t xml:space="preserve"> et al., 2002</w:t>
            </w:r>
            <w:r w:rsidR="00D81A0E">
              <w:rPr>
                <w:rFonts w:ascii="Times New Roman" w:eastAsia="Times New Roman" w:hAnsi="Times New Roman" w:cs="Times New Roman"/>
                <w:color w:val="000000"/>
              </w:rPr>
              <w:t>)</w:t>
            </w:r>
          </w:p>
        </w:tc>
      </w:tr>
      <w:tr w:rsidR="002563D6" w14:paraId="66E48461" w14:textId="77777777" w:rsidTr="007E29FD">
        <w:trPr>
          <w:trHeight w:val="300"/>
        </w:trPr>
        <w:tc>
          <w:tcPr>
            <w:tcW w:w="813" w:type="dxa"/>
          </w:tcPr>
          <w:p w14:paraId="4AFD5B92"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33" w:type="dxa"/>
          </w:tcPr>
          <w:p w14:paraId="74AED0F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035" w:type="dxa"/>
          </w:tcPr>
          <w:p w14:paraId="7194A21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cis-Vaccenic acid</w:t>
            </w:r>
          </w:p>
        </w:tc>
        <w:tc>
          <w:tcPr>
            <w:tcW w:w="1134" w:type="dxa"/>
          </w:tcPr>
          <w:p w14:paraId="6E1C773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31.40</w:t>
            </w:r>
          </w:p>
        </w:tc>
        <w:tc>
          <w:tcPr>
            <w:tcW w:w="1843" w:type="dxa"/>
          </w:tcPr>
          <w:p w14:paraId="5516983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560" w:type="dxa"/>
          </w:tcPr>
          <w:p w14:paraId="5ED9DC4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Improves insulin response </w:t>
            </w:r>
            <w:r w:rsidR="00D81A0E">
              <w:rPr>
                <w:rFonts w:ascii="Times New Roman" w:eastAsia="Times New Roman" w:hAnsi="Times New Roman" w:cs="Times New Roman"/>
                <w:color w:val="000000"/>
              </w:rPr>
              <w:t xml:space="preserve"> (</w:t>
            </w:r>
            <w:r w:rsidR="00F91C6A" w:rsidRPr="002C2242">
              <w:rPr>
                <w:rFonts w:ascii="Times New Roman" w:eastAsia="Times New Roman" w:hAnsi="Times New Roman" w:cs="Times New Roman"/>
              </w:rPr>
              <w:t>Wen</w:t>
            </w:r>
            <w:r w:rsidR="00F91C6A">
              <w:rPr>
                <w:rFonts w:ascii="Times New Roman" w:eastAsia="Times New Roman" w:hAnsi="Times New Roman" w:cs="Times New Roman"/>
              </w:rPr>
              <w:t xml:space="preserve"> et al., 2025</w:t>
            </w:r>
            <w:r w:rsidR="00D81A0E">
              <w:rPr>
                <w:rFonts w:ascii="Times New Roman" w:eastAsia="Times New Roman" w:hAnsi="Times New Roman" w:cs="Times New Roman"/>
                <w:color w:val="000000"/>
              </w:rPr>
              <w:t>)</w:t>
            </w:r>
          </w:p>
        </w:tc>
      </w:tr>
      <w:tr w:rsidR="002563D6" w14:paraId="67CED63A" w14:textId="77777777" w:rsidTr="007E29FD">
        <w:trPr>
          <w:trHeight w:val="300"/>
        </w:trPr>
        <w:tc>
          <w:tcPr>
            <w:tcW w:w="813" w:type="dxa"/>
          </w:tcPr>
          <w:p w14:paraId="67B76F5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33" w:type="dxa"/>
          </w:tcPr>
          <w:p w14:paraId="0337C20A"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035" w:type="dxa"/>
          </w:tcPr>
          <w:p w14:paraId="0D1BB42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cis-11-Eicosenoic acid</w:t>
            </w:r>
          </w:p>
        </w:tc>
        <w:tc>
          <w:tcPr>
            <w:tcW w:w="1134" w:type="dxa"/>
          </w:tcPr>
          <w:p w14:paraId="7ADB10B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8.28</w:t>
            </w:r>
          </w:p>
        </w:tc>
        <w:tc>
          <w:tcPr>
            <w:tcW w:w="1843" w:type="dxa"/>
          </w:tcPr>
          <w:p w14:paraId="411C1C93"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560" w:type="dxa"/>
          </w:tcPr>
          <w:p w14:paraId="6E810CA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Insulin-sensitizer </w:t>
            </w:r>
            <w:r w:rsidR="00D81A0E">
              <w:rPr>
                <w:rFonts w:ascii="Times New Roman" w:eastAsia="Times New Roman" w:hAnsi="Times New Roman" w:cs="Times New Roman"/>
                <w:color w:val="000000"/>
              </w:rPr>
              <w:t>(</w:t>
            </w:r>
            <w:r w:rsidR="00F91C6A" w:rsidRPr="002C2242">
              <w:rPr>
                <w:rFonts w:ascii="Times New Roman" w:eastAsia="Times New Roman" w:hAnsi="Times New Roman" w:cs="Times New Roman"/>
              </w:rPr>
              <w:t>Noh</w:t>
            </w:r>
            <w:r w:rsidR="00F91C6A">
              <w:rPr>
                <w:rFonts w:ascii="Times New Roman" w:eastAsia="Times New Roman" w:hAnsi="Times New Roman" w:cs="Times New Roman"/>
                <w:color w:val="000000"/>
              </w:rPr>
              <w:t xml:space="preserve">  et al., 2025</w:t>
            </w:r>
            <w:r w:rsidR="00D81A0E">
              <w:rPr>
                <w:rFonts w:ascii="Times New Roman" w:eastAsia="Times New Roman" w:hAnsi="Times New Roman" w:cs="Times New Roman"/>
                <w:color w:val="000000"/>
              </w:rPr>
              <w:t>)</w:t>
            </w:r>
          </w:p>
        </w:tc>
      </w:tr>
      <w:tr w:rsidR="002563D6" w14:paraId="23A332A4" w14:textId="77777777" w:rsidTr="007E29FD">
        <w:trPr>
          <w:trHeight w:val="300"/>
        </w:trPr>
        <w:tc>
          <w:tcPr>
            <w:tcW w:w="813" w:type="dxa"/>
          </w:tcPr>
          <w:p w14:paraId="04FD699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833" w:type="dxa"/>
          </w:tcPr>
          <w:p w14:paraId="08C82BEF"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035" w:type="dxa"/>
          </w:tcPr>
          <w:p w14:paraId="024A292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Ethyl oleate</w:t>
            </w:r>
          </w:p>
        </w:tc>
        <w:tc>
          <w:tcPr>
            <w:tcW w:w="1134" w:type="dxa"/>
          </w:tcPr>
          <w:p w14:paraId="7219488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2.54</w:t>
            </w:r>
          </w:p>
        </w:tc>
        <w:tc>
          <w:tcPr>
            <w:tcW w:w="1843" w:type="dxa"/>
          </w:tcPr>
          <w:p w14:paraId="4F0160C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560" w:type="dxa"/>
          </w:tcPr>
          <w:p w14:paraId="02EB9AE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Improves glucose tolerance </w:t>
            </w:r>
            <w:r w:rsidR="00D81A0E">
              <w:rPr>
                <w:rFonts w:ascii="Times New Roman" w:eastAsia="Times New Roman" w:hAnsi="Times New Roman" w:cs="Times New Roman"/>
                <w:color w:val="000000"/>
              </w:rPr>
              <w:t>(</w:t>
            </w:r>
            <w:r w:rsidR="00F91C6A" w:rsidRPr="0026395D">
              <w:rPr>
                <w:rFonts w:ascii="Times New Roman" w:eastAsia="Times New Roman" w:hAnsi="Times New Roman" w:cs="Times New Roman"/>
              </w:rPr>
              <w:t>Liu</w:t>
            </w:r>
            <w:r w:rsidR="00F91C6A">
              <w:rPr>
                <w:rFonts w:ascii="Times New Roman" w:eastAsia="Times New Roman" w:hAnsi="Times New Roman" w:cs="Times New Roman"/>
                <w:color w:val="000000"/>
              </w:rPr>
              <w:t xml:space="preserve">  et al., 2024</w:t>
            </w:r>
            <w:r w:rsidR="00D81A0E">
              <w:rPr>
                <w:rFonts w:ascii="Times New Roman" w:eastAsia="Times New Roman" w:hAnsi="Times New Roman" w:cs="Times New Roman"/>
                <w:color w:val="000000"/>
              </w:rPr>
              <w:t>)</w:t>
            </w:r>
          </w:p>
        </w:tc>
      </w:tr>
      <w:tr w:rsidR="002563D6" w14:paraId="41B20271" w14:textId="77777777" w:rsidTr="007E29FD">
        <w:trPr>
          <w:trHeight w:val="300"/>
        </w:trPr>
        <w:tc>
          <w:tcPr>
            <w:tcW w:w="813" w:type="dxa"/>
          </w:tcPr>
          <w:p w14:paraId="46DA8E6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833" w:type="dxa"/>
          </w:tcPr>
          <w:p w14:paraId="4996DC11"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035" w:type="dxa"/>
          </w:tcPr>
          <w:p w14:paraId="3B85444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w:t>
            </w:r>
          </w:p>
        </w:tc>
        <w:tc>
          <w:tcPr>
            <w:tcW w:w="1134" w:type="dxa"/>
          </w:tcPr>
          <w:p w14:paraId="029A2CC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10.38</w:t>
            </w:r>
          </w:p>
        </w:tc>
        <w:tc>
          <w:tcPr>
            <w:tcW w:w="1843" w:type="dxa"/>
          </w:tcPr>
          <w:p w14:paraId="6FB5340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w:t>
            </w:r>
          </w:p>
        </w:tc>
        <w:tc>
          <w:tcPr>
            <w:tcW w:w="2560" w:type="dxa"/>
          </w:tcPr>
          <w:p w14:paraId="1599A094"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Neutral to weak activity</w:t>
            </w:r>
            <w:r w:rsidR="00D81A0E">
              <w:rPr>
                <w:rFonts w:ascii="Times New Roman" w:eastAsia="Times New Roman" w:hAnsi="Times New Roman" w:cs="Times New Roman"/>
                <w:color w:val="000000"/>
              </w:rPr>
              <w:t xml:space="preserve"> (</w:t>
            </w:r>
            <w:r w:rsidR="00F91C6A" w:rsidRPr="0026395D">
              <w:rPr>
                <w:rFonts w:ascii="Times New Roman" w:eastAsia="Times New Roman" w:hAnsi="Times New Roman" w:cs="Times New Roman"/>
              </w:rPr>
              <w:t>Igarashi</w:t>
            </w:r>
            <w:r w:rsidR="00F91C6A">
              <w:rPr>
                <w:rFonts w:ascii="Times New Roman" w:eastAsia="Times New Roman" w:hAnsi="Times New Roman" w:cs="Times New Roman"/>
                <w:color w:val="000000"/>
              </w:rPr>
              <w:t xml:space="preserve">  et al., 2007</w:t>
            </w:r>
            <w:r w:rsidR="00D81A0E">
              <w:rPr>
                <w:rFonts w:ascii="Times New Roman" w:eastAsia="Times New Roman" w:hAnsi="Times New Roman" w:cs="Times New Roman"/>
                <w:color w:val="000000"/>
              </w:rPr>
              <w:t>)</w:t>
            </w:r>
          </w:p>
        </w:tc>
      </w:tr>
      <w:tr w:rsidR="002563D6" w14:paraId="69E73842" w14:textId="77777777" w:rsidTr="007E29FD">
        <w:trPr>
          <w:trHeight w:val="300"/>
        </w:trPr>
        <w:tc>
          <w:tcPr>
            <w:tcW w:w="813" w:type="dxa"/>
          </w:tcPr>
          <w:p w14:paraId="65147720"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33" w:type="dxa"/>
          </w:tcPr>
          <w:p w14:paraId="5D2AEAC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2035" w:type="dxa"/>
          </w:tcPr>
          <w:p w14:paraId="527EB50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 ethyl ester</w:t>
            </w:r>
          </w:p>
        </w:tc>
        <w:tc>
          <w:tcPr>
            <w:tcW w:w="1134" w:type="dxa"/>
          </w:tcPr>
          <w:p w14:paraId="61F4BA38"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4.74</w:t>
            </w:r>
          </w:p>
        </w:tc>
        <w:tc>
          <w:tcPr>
            <w:tcW w:w="1843" w:type="dxa"/>
          </w:tcPr>
          <w:p w14:paraId="0498D1E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 ester</w:t>
            </w:r>
          </w:p>
        </w:tc>
        <w:tc>
          <w:tcPr>
            <w:tcW w:w="2560" w:type="dxa"/>
          </w:tcPr>
          <w:p w14:paraId="75B989C5"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Similar to stearic acid</w:t>
            </w:r>
            <w:r w:rsidR="00D81A0E">
              <w:rPr>
                <w:rFonts w:ascii="Times New Roman" w:eastAsia="Times New Roman" w:hAnsi="Times New Roman" w:cs="Times New Roman"/>
                <w:color w:val="000000"/>
              </w:rPr>
              <w:t xml:space="preserve"> (</w:t>
            </w:r>
            <w:r w:rsidR="00F91C6A" w:rsidRPr="0026395D">
              <w:rPr>
                <w:rFonts w:ascii="Times New Roman" w:eastAsia="Times New Roman" w:hAnsi="Times New Roman" w:cs="Times New Roman"/>
              </w:rPr>
              <w:t>Vessby</w:t>
            </w:r>
            <w:r w:rsidR="00F91C6A">
              <w:rPr>
                <w:rFonts w:ascii="Times New Roman" w:eastAsia="Times New Roman" w:hAnsi="Times New Roman" w:cs="Times New Roman"/>
                <w:color w:val="000000"/>
              </w:rPr>
              <w:t>, 2000</w:t>
            </w:r>
            <w:r w:rsidR="00D81A0E">
              <w:rPr>
                <w:rFonts w:ascii="Times New Roman" w:eastAsia="Times New Roman" w:hAnsi="Times New Roman" w:cs="Times New Roman"/>
                <w:color w:val="000000"/>
              </w:rPr>
              <w:t>)</w:t>
            </w:r>
          </w:p>
        </w:tc>
      </w:tr>
      <w:tr w:rsidR="002563D6" w14:paraId="70A892C2" w14:textId="77777777" w:rsidTr="007E29FD">
        <w:trPr>
          <w:trHeight w:val="300"/>
        </w:trPr>
        <w:tc>
          <w:tcPr>
            <w:tcW w:w="813" w:type="dxa"/>
          </w:tcPr>
          <w:p w14:paraId="6666392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33" w:type="dxa"/>
          </w:tcPr>
          <w:p w14:paraId="7AAC878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2035" w:type="dxa"/>
          </w:tcPr>
          <w:p w14:paraId="47D9375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w:t>
            </w:r>
          </w:p>
        </w:tc>
        <w:tc>
          <w:tcPr>
            <w:tcW w:w="1134" w:type="dxa"/>
          </w:tcPr>
          <w:p w14:paraId="732DD076"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1843" w:type="dxa"/>
          </w:tcPr>
          <w:p w14:paraId="3FA32B5D"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w:t>
            </w:r>
          </w:p>
        </w:tc>
        <w:tc>
          <w:tcPr>
            <w:tcW w:w="2560" w:type="dxa"/>
          </w:tcPr>
          <w:p w14:paraId="71C3693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Kim</w:t>
            </w:r>
            <w:r w:rsidR="00F91C6A">
              <w:rPr>
                <w:rFonts w:ascii="Times New Roman" w:eastAsia="Times New Roman" w:hAnsi="Times New Roman" w:cs="Times New Roman"/>
                <w:color w:val="000000"/>
              </w:rPr>
              <w:t xml:space="preserve">  et al., 2010</w:t>
            </w:r>
            <w:r w:rsidR="00D81A0E">
              <w:rPr>
                <w:rFonts w:ascii="Times New Roman" w:eastAsia="Times New Roman" w:hAnsi="Times New Roman" w:cs="Times New Roman"/>
                <w:color w:val="000000"/>
              </w:rPr>
              <w:t>)</w:t>
            </w:r>
          </w:p>
        </w:tc>
      </w:tr>
      <w:tr w:rsidR="002563D6" w14:paraId="1B4D82A6" w14:textId="77777777" w:rsidTr="007E29FD">
        <w:trPr>
          <w:trHeight w:val="300"/>
        </w:trPr>
        <w:tc>
          <w:tcPr>
            <w:tcW w:w="813" w:type="dxa"/>
          </w:tcPr>
          <w:p w14:paraId="0E1321C7"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833" w:type="dxa"/>
          </w:tcPr>
          <w:p w14:paraId="0F03882B"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2035" w:type="dxa"/>
          </w:tcPr>
          <w:p w14:paraId="158B87E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Glutarimide, N-(2-octyl)-</w:t>
            </w:r>
          </w:p>
        </w:tc>
        <w:tc>
          <w:tcPr>
            <w:tcW w:w="1134" w:type="dxa"/>
          </w:tcPr>
          <w:p w14:paraId="24EA72AE"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0.65</w:t>
            </w:r>
          </w:p>
        </w:tc>
        <w:tc>
          <w:tcPr>
            <w:tcW w:w="1843" w:type="dxa"/>
          </w:tcPr>
          <w:p w14:paraId="513E400C"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Glutarimide derivative</w:t>
            </w:r>
          </w:p>
        </w:tc>
        <w:tc>
          <w:tcPr>
            <w:tcW w:w="2560" w:type="dxa"/>
          </w:tcPr>
          <w:p w14:paraId="5C2BE719" w14:textId="77777777" w:rsidR="002563D6" w:rsidRDefault="002563D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Possible hypoglycemic </w:t>
            </w:r>
            <w:r w:rsidR="00D81A0E">
              <w:rPr>
                <w:rFonts w:ascii="Times New Roman" w:eastAsia="Times New Roman" w:hAnsi="Times New Roman" w:cs="Times New Roman"/>
                <w:color w:val="000000"/>
              </w:rPr>
              <w:t>(</w:t>
            </w:r>
            <w:r w:rsidR="00F91C6A" w:rsidRPr="002C2242">
              <w:rPr>
                <w:rFonts w:ascii="Times New Roman" w:eastAsia="Times New Roman" w:hAnsi="Times New Roman" w:cs="Times New Roman"/>
              </w:rPr>
              <w:t>Sangeetha</w:t>
            </w:r>
            <w:r w:rsidR="00F91C6A">
              <w:rPr>
                <w:rFonts w:ascii="Times New Roman" w:eastAsia="Times New Roman" w:hAnsi="Times New Roman" w:cs="Times New Roman"/>
                <w:color w:val="000000"/>
              </w:rPr>
              <w:t>, 2014</w:t>
            </w:r>
            <w:r w:rsidR="00D81A0E">
              <w:rPr>
                <w:rFonts w:ascii="Times New Roman" w:eastAsia="Times New Roman" w:hAnsi="Times New Roman" w:cs="Times New Roman"/>
                <w:color w:val="000000"/>
              </w:rPr>
              <w:t>)</w:t>
            </w:r>
          </w:p>
        </w:tc>
      </w:tr>
    </w:tbl>
    <w:p w14:paraId="0799E89C" w14:textId="77777777" w:rsidR="00C0140E" w:rsidRDefault="00957F0F">
      <w:pPr>
        <w:spacing w:before="240" w:line="240" w:lineRule="auto"/>
        <w:rPr>
          <w:rFonts w:ascii="Times New Roman" w:eastAsia="Times New Roman" w:hAnsi="Times New Roman" w:cs="Times New Roman"/>
          <w:b/>
        </w:rPr>
      </w:pPr>
      <w:r>
        <w:rPr>
          <w:rFonts w:ascii="Times New Roman" w:eastAsia="Times New Roman" w:hAnsi="Times New Roman" w:cs="Times New Roman"/>
          <w:b/>
        </w:rPr>
        <w:t xml:space="preserve">Table 4: </w:t>
      </w:r>
      <w:r w:rsidRPr="00F3494F">
        <w:rPr>
          <w:rFonts w:ascii="Times New Roman" w:eastAsia="Times New Roman" w:hAnsi="Times New Roman" w:cs="Times New Roman"/>
          <w:bCs/>
        </w:rPr>
        <w:t xml:space="preserve">Major phytoconstituents </w:t>
      </w:r>
      <w:r w:rsidR="00FE1429">
        <w:rPr>
          <w:rFonts w:ascii="Times New Roman" w:eastAsia="Times New Roman" w:hAnsi="Times New Roman" w:cs="Times New Roman"/>
          <w:bCs/>
        </w:rPr>
        <w:t xml:space="preserve">with </w:t>
      </w:r>
      <w:r w:rsidRPr="00F3494F">
        <w:rPr>
          <w:rFonts w:ascii="Times New Roman" w:eastAsia="Times New Roman" w:hAnsi="Times New Roman" w:cs="Times New Roman"/>
          <w:bCs/>
        </w:rPr>
        <w:t xml:space="preserve">antidiabetic potential identified using GC-MS </w:t>
      </w:r>
      <w:r w:rsidR="00FE1429">
        <w:rPr>
          <w:rFonts w:ascii="Times New Roman" w:eastAsia="Times New Roman" w:hAnsi="Times New Roman" w:cs="Times New Roman"/>
          <w:bCs/>
        </w:rPr>
        <w:t xml:space="preserve">of </w:t>
      </w:r>
      <w:r w:rsidRPr="00F3494F">
        <w:rPr>
          <w:rFonts w:ascii="Times New Roman" w:eastAsia="Times New Roman" w:hAnsi="Times New Roman" w:cs="Times New Roman"/>
          <w:bCs/>
        </w:rPr>
        <w:t>TAE extracts</w:t>
      </w: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6"/>
        <w:gridCol w:w="709"/>
        <w:gridCol w:w="2551"/>
        <w:gridCol w:w="992"/>
        <w:gridCol w:w="1985"/>
        <w:gridCol w:w="2693"/>
      </w:tblGrid>
      <w:tr w:rsidR="0031541C" w14:paraId="3C0FE28E" w14:textId="77777777" w:rsidTr="00F91C6A">
        <w:trPr>
          <w:trHeight w:val="300"/>
        </w:trPr>
        <w:tc>
          <w:tcPr>
            <w:tcW w:w="846" w:type="dxa"/>
          </w:tcPr>
          <w:p w14:paraId="367D550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 No.</w:t>
            </w:r>
          </w:p>
        </w:tc>
        <w:tc>
          <w:tcPr>
            <w:tcW w:w="709" w:type="dxa"/>
          </w:tcPr>
          <w:p w14:paraId="0133DBC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Peak No.</w:t>
            </w:r>
          </w:p>
        </w:tc>
        <w:tc>
          <w:tcPr>
            <w:tcW w:w="2551" w:type="dxa"/>
          </w:tcPr>
          <w:p w14:paraId="3D82A91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Compound Name</w:t>
            </w:r>
          </w:p>
        </w:tc>
        <w:tc>
          <w:tcPr>
            <w:tcW w:w="992" w:type="dxa"/>
          </w:tcPr>
          <w:p w14:paraId="589DF51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Area %</w:t>
            </w:r>
          </w:p>
        </w:tc>
        <w:tc>
          <w:tcPr>
            <w:tcW w:w="1985" w:type="dxa"/>
          </w:tcPr>
          <w:p w14:paraId="3ECFF32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w:t>
            </w:r>
          </w:p>
        </w:tc>
        <w:tc>
          <w:tcPr>
            <w:tcW w:w="2693" w:type="dxa"/>
          </w:tcPr>
          <w:p w14:paraId="4AAF244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Antidiabetic Potential</w:t>
            </w:r>
          </w:p>
        </w:tc>
      </w:tr>
      <w:tr w:rsidR="0031541C" w14:paraId="0249A2BA" w14:textId="77777777" w:rsidTr="00F91C6A">
        <w:trPr>
          <w:trHeight w:val="300"/>
        </w:trPr>
        <w:tc>
          <w:tcPr>
            <w:tcW w:w="846" w:type="dxa"/>
          </w:tcPr>
          <w:p w14:paraId="487339D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Pr>
          <w:p w14:paraId="077F38F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551" w:type="dxa"/>
          </w:tcPr>
          <w:p w14:paraId="36B9FEC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 2,4-bis(1,1-dimethylethyl)-</w:t>
            </w:r>
          </w:p>
        </w:tc>
        <w:tc>
          <w:tcPr>
            <w:tcW w:w="992" w:type="dxa"/>
          </w:tcPr>
          <w:p w14:paraId="186EF87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1985" w:type="dxa"/>
          </w:tcPr>
          <w:p w14:paraId="743F02E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Phenolic antioxidant</w:t>
            </w:r>
          </w:p>
        </w:tc>
        <w:tc>
          <w:tcPr>
            <w:tcW w:w="2693" w:type="dxa"/>
          </w:tcPr>
          <w:p w14:paraId="306087E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Inhibits α-glucosidase </w:t>
            </w:r>
            <w:r w:rsidR="00D81A0E">
              <w:rPr>
                <w:rFonts w:ascii="Times New Roman" w:eastAsia="Times New Roman" w:hAnsi="Times New Roman" w:cs="Times New Roman"/>
                <w:color w:val="000000"/>
              </w:rPr>
              <w:t>(</w:t>
            </w:r>
            <w:r w:rsidR="00F91C6A" w:rsidRPr="00D56F31">
              <w:rPr>
                <w:rFonts w:ascii="Times New Roman" w:eastAsia="Times New Roman" w:hAnsi="Times New Roman" w:cs="Times New Roman"/>
              </w:rPr>
              <w:t>Hossain</w:t>
            </w:r>
            <w:r w:rsidR="00F91C6A">
              <w:rPr>
                <w:rFonts w:ascii="Times New Roman" w:eastAsia="Times New Roman" w:hAnsi="Times New Roman" w:cs="Times New Roman"/>
                <w:color w:val="000000"/>
              </w:rPr>
              <w:t xml:space="preserve"> et al., 2024</w:t>
            </w:r>
            <w:r w:rsidR="00D81A0E">
              <w:rPr>
                <w:rFonts w:ascii="Times New Roman" w:eastAsia="Times New Roman" w:hAnsi="Times New Roman" w:cs="Times New Roman"/>
                <w:color w:val="000000"/>
              </w:rPr>
              <w:t>)</w:t>
            </w:r>
          </w:p>
        </w:tc>
      </w:tr>
      <w:tr w:rsidR="0031541C" w14:paraId="69EDA1CA" w14:textId="77777777" w:rsidTr="00F91C6A">
        <w:trPr>
          <w:trHeight w:val="300"/>
        </w:trPr>
        <w:tc>
          <w:tcPr>
            <w:tcW w:w="846" w:type="dxa"/>
          </w:tcPr>
          <w:p w14:paraId="5DF460D5"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Pr>
          <w:p w14:paraId="0333AC1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551" w:type="dxa"/>
          </w:tcPr>
          <w:p w14:paraId="705EB21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 acetate</w:t>
            </w:r>
          </w:p>
        </w:tc>
        <w:tc>
          <w:tcPr>
            <w:tcW w:w="992" w:type="dxa"/>
          </w:tcPr>
          <w:p w14:paraId="7BE4241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2.63</w:t>
            </w:r>
          </w:p>
        </w:tc>
        <w:tc>
          <w:tcPr>
            <w:tcW w:w="1985" w:type="dxa"/>
          </w:tcPr>
          <w:p w14:paraId="7A491BD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ester</w:t>
            </w:r>
          </w:p>
        </w:tc>
        <w:tc>
          <w:tcPr>
            <w:tcW w:w="2693" w:type="dxa"/>
          </w:tcPr>
          <w:p w14:paraId="61BEA5D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 improve insulin sensitivity</w:t>
            </w:r>
            <w:r w:rsidR="00D81A0E">
              <w:rPr>
                <w:rFonts w:ascii="Times New Roman" w:eastAsia="Times New Roman" w:hAnsi="Times New Roman" w:cs="Times New Roman"/>
                <w:color w:val="000000"/>
              </w:rPr>
              <w:t xml:space="preserve"> (</w:t>
            </w:r>
            <w:r w:rsidR="00F91C6A" w:rsidRPr="00D56F31">
              <w:rPr>
                <w:rFonts w:ascii="Times New Roman" w:eastAsia="Times New Roman" w:hAnsi="Times New Roman" w:cs="Times New Roman"/>
              </w:rPr>
              <w:t>Kang</w:t>
            </w:r>
            <w:r w:rsidR="00F91C6A">
              <w:rPr>
                <w:rFonts w:ascii="Times New Roman" w:eastAsia="Times New Roman" w:hAnsi="Times New Roman" w:cs="Times New Roman"/>
                <w:color w:val="000000"/>
              </w:rPr>
              <w:t xml:space="preserve"> et al., 2013)</w:t>
            </w:r>
            <w:r w:rsidR="00D81A0E">
              <w:rPr>
                <w:rFonts w:ascii="Times New Roman" w:eastAsia="Times New Roman" w:hAnsi="Times New Roman" w:cs="Times New Roman"/>
                <w:color w:val="000000"/>
              </w:rPr>
              <w:t>)</w:t>
            </w:r>
          </w:p>
        </w:tc>
      </w:tr>
      <w:tr w:rsidR="0031541C" w14:paraId="031A1E51" w14:textId="77777777" w:rsidTr="00F91C6A">
        <w:trPr>
          <w:trHeight w:val="300"/>
        </w:trPr>
        <w:tc>
          <w:tcPr>
            <w:tcW w:w="846" w:type="dxa"/>
          </w:tcPr>
          <w:p w14:paraId="5C64BD6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Pr>
          <w:p w14:paraId="1FC36F1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551" w:type="dxa"/>
          </w:tcPr>
          <w:p w14:paraId="2789883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3,7,11,15-Tetramethyl-2-hexadecen-1-ol</w:t>
            </w:r>
          </w:p>
        </w:tc>
        <w:tc>
          <w:tcPr>
            <w:tcW w:w="992" w:type="dxa"/>
          </w:tcPr>
          <w:p w14:paraId="623A9A8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0.95</w:t>
            </w:r>
          </w:p>
        </w:tc>
        <w:tc>
          <w:tcPr>
            <w:tcW w:w="1985" w:type="dxa"/>
          </w:tcPr>
          <w:p w14:paraId="7D4778B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693" w:type="dxa"/>
          </w:tcPr>
          <w:p w14:paraId="39EE395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PPAR-α activation</w:t>
            </w:r>
            <w:r w:rsidR="00D81A0E">
              <w:rPr>
                <w:rFonts w:ascii="Times New Roman" w:eastAsia="Times New Roman" w:hAnsi="Times New Roman" w:cs="Times New Roman"/>
                <w:color w:val="000000"/>
              </w:rPr>
              <w:t xml:space="preserve"> (</w:t>
            </w:r>
            <w:r w:rsidR="00F91C6A" w:rsidRPr="0051034D">
              <w:rPr>
                <w:rFonts w:ascii="Times New Roman" w:eastAsia="Times New Roman" w:hAnsi="Times New Roman" w:cs="Times New Roman"/>
              </w:rPr>
              <w:t>Zhang</w:t>
            </w:r>
            <w:r w:rsidR="00F91C6A">
              <w:rPr>
                <w:rFonts w:ascii="Times New Roman" w:eastAsia="Times New Roman" w:hAnsi="Times New Roman" w:cs="Times New Roman"/>
                <w:color w:val="000000"/>
              </w:rPr>
              <w:t xml:space="preserve"> et al., 2011</w:t>
            </w:r>
            <w:r w:rsidR="00D81A0E">
              <w:rPr>
                <w:rFonts w:ascii="Times New Roman" w:eastAsia="Times New Roman" w:hAnsi="Times New Roman" w:cs="Times New Roman"/>
                <w:color w:val="000000"/>
              </w:rPr>
              <w:t>)</w:t>
            </w:r>
          </w:p>
        </w:tc>
      </w:tr>
      <w:tr w:rsidR="0031541C" w14:paraId="503D1A61" w14:textId="77777777" w:rsidTr="00F91C6A">
        <w:trPr>
          <w:trHeight w:val="300"/>
        </w:trPr>
        <w:tc>
          <w:tcPr>
            <w:tcW w:w="846" w:type="dxa"/>
          </w:tcPr>
          <w:p w14:paraId="1C09B1E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Pr>
          <w:p w14:paraId="3AFA2E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2551" w:type="dxa"/>
          </w:tcPr>
          <w:p w14:paraId="2ADAB25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Phytol</w:t>
            </w:r>
          </w:p>
        </w:tc>
        <w:tc>
          <w:tcPr>
            <w:tcW w:w="992" w:type="dxa"/>
          </w:tcPr>
          <w:p w14:paraId="22F7CE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0.85</w:t>
            </w:r>
          </w:p>
        </w:tc>
        <w:tc>
          <w:tcPr>
            <w:tcW w:w="1985" w:type="dxa"/>
          </w:tcPr>
          <w:p w14:paraId="17BDC97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Diterpene alcohol</w:t>
            </w:r>
          </w:p>
        </w:tc>
        <w:tc>
          <w:tcPr>
            <w:tcW w:w="2693" w:type="dxa"/>
          </w:tcPr>
          <w:p w14:paraId="66E73DD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PPAR-α activation</w:t>
            </w:r>
            <w:r w:rsidR="00D81A0E">
              <w:rPr>
                <w:rFonts w:ascii="Times New Roman" w:eastAsia="Times New Roman" w:hAnsi="Times New Roman" w:cs="Times New Roman"/>
                <w:color w:val="000000"/>
              </w:rPr>
              <w:t xml:space="preserve"> (</w:t>
            </w:r>
            <w:r w:rsidR="00F91C6A" w:rsidRPr="00D56F31">
              <w:rPr>
                <w:rFonts w:ascii="Times New Roman" w:eastAsia="Times New Roman" w:hAnsi="Times New Roman" w:cs="Times New Roman"/>
              </w:rPr>
              <w:t>Kang</w:t>
            </w:r>
            <w:r w:rsidR="00F91C6A">
              <w:rPr>
                <w:rFonts w:ascii="Times New Roman" w:eastAsia="Times New Roman" w:hAnsi="Times New Roman" w:cs="Times New Roman"/>
                <w:color w:val="000000"/>
              </w:rPr>
              <w:t xml:space="preserve"> et al., 2013)</w:t>
            </w:r>
          </w:p>
        </w:tc>
      </w:tr>
      <w:tr w:rsidR="0031541C" w14:paraId="18A9F9F4" w14:textId="77777777" w:rsidTr="00F91C6A">
        <w:trPr>
          <w:trHeight w:val="300"/>
        </w:trPr>
        <w:tc>
          <w:tcPr>
            <w:tcW w:w="846" w:type="dxa"/>
          </w:tcPr>
          <w:p w14:paraId="5329E5E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Pr>
          <w:p w14:paraId="0966F4D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551" w:type="dxa"/>
          </w:tcPr>
          <w:p w14:paraId="4DCBAEF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7,9-Di-tert-butyl-1-oxaspiro(...)diene-2,8-dione</w:t>
            </w:r>
          </w:p>
        </w:tc>
        <w:tc>
          <w:tcPr>
            <w:tcW w:w="992" w:type="dxa"/>
          </w:tcPr>
          <w:p w14:paraId="1A04829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1.05</w:t>
            </w:r>
          </w:p>
        </w:tc>
        <w:tc>
          <w:tcPr>
            <w:tcW w:w="1985" w:type="dxa"/>
          </w:tcPr>
          <w:p w14:paraId="3A139A0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Quinone derivative</w:t>
            </w:r>
          </w:p>
        </w:tc>
        <w:tc>
          <w:tcPr>
            <w:tcW w:w="2693" w:type="dxa"/>
          </w:tcPr>
          <w:p w14:paraId="1D09B67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ROS modulation</w:t>
            </w:r>
            <w:r w:rsidR="00D81A0E">
              <w:rPr>
                <w:rFonts w:ascii="Times New Roman" w:eastAsia="Times New Roman" w:hAnsi="Times New Roman" w:cs="Times New Roman"/>
                <w:color w:val="000000"/>
              </w:rPr>
              <w:t xml:space="preserve"> (</w:t>
            </w:r>
            <w:r w:rsidR="00F91C6A" w:rsidRPr="00D56F31">
              <w:rPr>
                <w:rFonts w:ascii="Times New Roman" w:eastAsia="Times New Roman" w:hAnsi="Times New Roman" w:cs="Times New Roman"/>
              </w:rPr>
              <w:t>Gupta</w:t>
            </w:r>
            <w:r w:rsidR="00F91C6A">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31541C" w14:paraId="56263AC4" w14:textId="77777777" w:rsidTr="00F91C6A">
        <w:trPr>
          <w:trHeight w:val="300"/>
        </w:trPr>
        <w:tc>
          <w:tcPr>
            <w:tcW w:w="846" w:type="dxa"/>
          </w:tcPr>
          <w:p w14:paraId="4BE6CFB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Pr>
          <w:p w14:paraId="70BC9E83"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2551" w:type="dxa"/>
          </w:tcPr>
          <w:p w14:paraId="0F19F66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n-Hexadecanoic acid</w:t>
            </w:r>
          </w:p>
        </w:tc>
        <w:tc>
          <w:tcPr>
            <w:tcW w:w="992" w:type="dxa"/>
          </w:tcPr>
          <w:p w14:paraId="720EE67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9.10</w:t>
            </w:r>
          </w:p>
        </w:tc>
        <w:tc>
          <w:tcPr>
            <w:tcW w:w="1985" w:type="dxa"/>
          </w:tcPr>
          <w:p w14:paraId="40AD737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w:t>
            </w:r>
          </w:p>
        </w:tc>
        <w:tc>
          <w:tcPr>
            <w:tcW w:w="2693" w:type="dxa"/>
          </w:tcPr>
          <w:p w14:paraId="5934B590"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Lipid metabolism</w:t>
            </w:r>
            <w:r w:rsidR="00D81A0E">
              <w:rPr>
                <w:rFonts w:ascii="Times New Roman" w:eastAsia="Times New Roman" w:hAnsi="Times New Roman" w:cs="Times New Roman"/>
                <w:color w:val="000000"/>
              </w:rPr>
              <w:t xml:space="preserve"> (</w:t>
            </w:r>
            <w:r w:rsidR="005E449A" w:rsidRPr="0051034D">
              <w:rPr>
                <w:rFonts w:ascii="Times New Roman" w:eastAsia="Times New Roman" w:hAnsi="Times New Roman" w:cs="Times New Roman"/>
              </w:rPr>
              <w:t>Sayeed</w:t>
            </w:r>
            <w:r w:rsidR="005E449A">
              <w:rPr>
                <w:rFonts w:ascii="Times New Roman" w:eastAsia="Times New Roman" w:hAnsi="Times New Roman" w:cs="Times New Roman"/>
                <w:color w:val="000000"/>
              </w:rPr>
              <w:t xml:space="preserve"> et al., 2015</w:t>
            </w:r>
            <w:r w:rsidR="00D81A0E">
              <w:rPr>
                <w:rFonts w:ascii="Times New Roman" w:eastAsia="Times New Roman" w:hAnsi="Times New Roman" w:cs="Times New Roman"/>
                <w:color w:val="000000"/>
              </w:rPr>
              <w:t>)</w:t>
            </w:r>
          </w:p>
        </w:tc>
      </w:tr>
      <w:tr w:rsidR="0031541C" w14:paraId="789FA7A1" w14:textId="77777777" w:rsidTr="00F91C6A">
        <w:trPr>
          <w:trHeight w:val="300"/>
        </w:trPr>
        <w:tc>
          <w:tcPr>
            <w:tcW w:w="846" w:type="dxa"/>
          </w:tcPr>
          <w:p w14:paraId="13A948C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Pr>
          <w:p w14:paraId="605A7A8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551" w:type="dxa"/>
          </w:tcPr>
          <w:p w14:paraId="0A1C2EC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Hexadecenoic acid, methyl ester</w:t>
            </w:r>
          </w:p>
        </w:tc>
        <w:tc>
          <w:tcPr>
            <w:tcW w:w="992" w:type="dxa"/>
          </w:tcPr>
          <w:p w14:paraId="763BE4B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5.89</w:t>
            </w:r>
          </w:p>
        </w:tc>
        <w:tc>
          <w:tcPr>
            <w:tcW w:w="1985" w:type="dxa"/>
          </w:tcPr>
          <w:p w14:paraId="72C2C29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Fatty acid ester</w:t>
            </w:r>
          </w:p>
        </w:tc>
        <w:tc>
          <w:tcPr>
            <w:tcW w:w="2693" w:type="dxa"/>
          </w:tcPr>
          <w:p w14:paraId="34B0AB1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Mild hypoglycemic activity</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303A35">
              <w:rPr>
                <w:rFonts w:ascii="Times New Roman" w:eastAsia="Times New Roman" w:hAnsi="Times New Roman" w:cs="Times New Roman"/>
              </w:rPr>
              <w:t>Subash-Babu</w:t>
            </w:r>
            <w:r w:rsidR="005E449A">
              <w:rPr>
                <w:rFonts w:ascii="Times New Roman" w:eastAsia="Times New Roman" w:hAnsi="Times New Roman" w:cs="Times New Roman"/>
                <w:color w:val="000000"/>
              </w:rPr>
              <w:t xml:space="preserve"> et al., 2014)</w:t>
            </w:r>
            <w:r w:rsidR="00D81A0E">
              <w:rPr>
                <w:rFonts w:ascii="Times New Roman" w:eastAsia="Times New Roman" w:hAnsi="Times New Roman" w:cs="Times New Roman"/>
                <w:color w:val="000000"/>
              </w:rPr>
              <w:t>)</w:t>
            </w:r>
          </w:p>
        </w:tc>
      </w:tr>
      <w:tr w:rsidR="0031541C" w14:paraId="155C6536" w14:textId="77777777" w:rsidTr="00F91C6A">
        <w:trPr>
          <w:trHeight w:val="300"/>
        </w:trPr>
        <w:tc>
          <w:tcPr>
            <w:tcW w:w="846" w:type="dxa"/>
          </w:tcPr>
          <w:p w14:paraId="1FEEC06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Pr>
          <w:p w14:paraId="25570A8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2551" w:type="dxa"/>
          </w:tcPr>
          <w:p w14:paraId="173AB25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 methyl ester</w:t>
            </w:r>
          </w:p>
        </w:tc>
        <w:tc>
          <w:tcPr>
            <w:tcW w:w="992" w:type="dxa"/>
          </w:tcPr>
          <w:p w14:paraId="41D92F7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2.57</w:t>
            </w:r>
          </w:p>
        </w:tc>
        <w:tc>
          <w:tcPr>
            <w:tcW w:w="1985" w:type="dxa"/>
          </w:tcPr>
          <w:p w14:paraId="43FDC87C"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 ester</w:t>
            </w:r>
          </w:p>
        </w:tc>
        <w:tc>
          <w:tcPr>
            <w:tcW w:w="2693" w:type="dxa"/>
          </w:tcPr>
          <w:p w14:paraId="7A010CF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Enhances insulin sensitivity</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51034D">
              <w:rPr>
                <w:rFonts w:ascii="Times New Roman" w:eastAsia="Times New Roman" w:hAnsi="Times New Roman" w:cs="Times New Roman"/>
              </w:rPr>
              <w:t>Alarcón-Aguilar</w:t>
            </w:r>
            <w:r w:rsidR="005E449A">
              <w:rPr>
                <w:rFonts w:ascii="Times New Roman" w:eastAsia="Times New Roman" w:hAnsi="Times New Roman" w:cs="Times New Roman"/>
                <w:color w:val="000000"/>
              </w:rPr>
              <w:t xml:space="preserve"> et al., 2002)</w:t>
            </w:r>
          </w:p>
        </w:tc>
      </w:tr>
      <w:tr w:rsidR="0031541C" w14:paraId="6C37C291" w14:textId="77777777" w:rsidTr="00F91C6A">
        <w:trPr>
          <w:trHeight w:val="300"/>
        </w:trPr>
        <w:tc>
          <w:tcPr>
            <w:tcW w:w="846" w:type="dxa"/>
          </w:tcPr>
          <w:p w14:paraId="14A382B1"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w:t>
            </w:r>
          </w:p>
        </w:tc>
        <w:tc>
          <w:tcPr>
            <w:tcW w:w="709" w:type="dxa"/>
          </w:tcPr>
          <w:p w14:paraId="5FD96B0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2551" w:type="dxa"/>
          </w:tcPr>
          <w:p w14:paraId="32EB1A1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9,12-Octadecadienoic acid (Z, Z)-</w:t>
            </w:r>
          </w:p>
        </w:tc>
        <w:tc>
          <w:tcPr>
            <w:tcW w:w="992" w:type="dxa"/>
          </w:tcPr>
          <w:p w14:paraId="0054F9E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3.21</w:t>
            </w:r>
          </w:p>
        </w:tc>
        <w:tc>
          <w:tcPr>
            <w:tcW w:w="1985" w:type="dxa"/>
          </w:tcPr>
          <w:p w14:paraId="57044EC3"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PUFA</w:t>
            </w:r>
          </w:p>
        </w:tc>
        <w:tc>
          <w:tcPr>
            <w:tcW w:w="2693" w:type="dxa"/>
          </w:tcPr>
          <w:p w14:paraId="5B4E76F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Enhances insulin sensitivity </w:t>
            </w:r>
            <w:r w:rsidR="00D81A0E">
              <w:rPr>
                <w:rFonts w:ascii="Times New Roman" w:eastAsia="Times New Roman" w:hAnsi="Times New Roman" w:cs="Times New Roman"/>
                <w:color w:val="000000"/>
              </w:rPr>
              <w:t>(</w:t>
            </w:r>
            <w:r w:rsidR="005E449A" w:rsidRPr="0051034D">
              <w:rPr>
                <w:rFonts w:ascii="Times New Roman" w:eastAsia="Times New Roman" w:hAnsi="Times New Roman" w:cs="Times New Roman"/>
              </w:rPr>
              <w:t>Kim</w:t>
            </w:r>
            <w:r w:rsidR="005E449A">
              <w:rPr>
                <w:rFonts w:ascii="Times New Roman" w:eastAsia="Times New Roman" w:hAnsi="Times New Roman" w:cs="Times New Roman"/>
                <w:color w:val="000000"/>
              </w:rPr>
              <w:t xml:space="preserve">  et al., 2010)</w:t>
            </w:r>
          </w:p>
        </w:tc>
      </w:tr>
      <w:tr w:rsidR="0031541C" w14:paraId="78D52EF4" w14:textId="77777777" w:rsidTr="00F91C6A">
        <w:trPr>
          <w:trHeight w:val="300"/>
        </w:trPr>
        <w:tc>
          <w:tcPr>
            <w:tcW w:w="846" w:type="dxa"/>
          </w:tcPr>
          <w:p w14:paraId="32301BC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Pr>
          <w:p w14:paraId="7AA678BB"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2551" w:type="dxa"/>
          </w:tcPr>
          <w:p w14:paraId="5F729D2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cis-Vaccenic acid</w:t>
            </w:r>
          </w:p>
        </w:tc>
        <w:tc>
          <w:tcPr>
            <w:tcW w:w="992" w:type="dxa"/>
          </w:tcPr>
          <w:p w14:paraId="4B041838"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11.12</w:t>
            </w:r>
          </w:p>
        </w:tc>
        <w:tc>
          <w:tcPr>
            <w:tcW w:w="1985" w:type="dxa"/>
          </w:tcPr>
          <w:p w14:paraId="7721EC84"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MUFA</w:t>
            </w:r>
          </w:p>
        </w:tc>
        <w:tc>
          <w:tcPr>
            <w:tcW w:w="2693" w:type="dxa"/>
          </w:tcPr>
          <w:p w14:paraId="6B7B6B6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Improves insulin </w:t>
            </w:r>
            <w:commentRangeStart w:id="23"/>
            <w:r>
              <w:rPr>
                <w:rFonts w:ascii="Times New Roman" w:eastAsia="Times New Roman" w:hAnsi="Times New Roman" w:cs="Times New Roman"/>
                <w:color w:val="000000"/>
              </w:rPr>
              <w:t>response</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2C2242">
              <w:rPr>
                <w:rFonts w:ascii="Times New Roman" w:eastAsia="Times New Roman" w:hAnsi="Times New Roman" w:cs="Times New Roman"/>
              </w:rPr>
              <w:t>Wen</w:t>
            </w:r>
            <w:r w:rsidR="005E449A">
              <w:rPr>
                <w:rFonts w:ascii="Times New Roman" w:eastAsia="Times New Roman" w:hAnsi="Times New Roman" w:cs="Times New Roman"/>
              </w:rPr>
              <w:t xml:space="preserve"> et al., 2025</w:t>
            </w:r>
            <w:r w:rsidR="005E449A">
              <w:rPr>
                <w:rFonts w:ascii="Times New Roman" w:eastAsia="Times New Roman" w:hAnsi="Times New Roman" w:cs="Times New Roman"/>
                <w:color w:val="000000"/>
              </w:rPr>
              <w:t>)</w:t>
            </w:r>
            <w:commentRangeEnd w:id="23"/>
            <w:r w:rsidR="00124BCB">
              <w:rPr>
                <w:rStyle w:val="CommentReference"/>
              </w:rPr>
              <w:commentReference w:id="23"/>
            </w:r>
          </w:p>
        </w:tc>
      </w:tr>
      <w:tr w:rsidR="0031541C" w14:paraId="2EED1848" w14:textId="77777777" w:rsidTr="00F91C6A">
        <w:trPr>
          <w:trHeight w:val="300"/>
        </w:trPr>
        <w:tc>
          <w:tcPr>
            <w:tcW w:w="846" w:type="dxa"/>
          </w:tcPr>
          <w:p w14:paraId="2577384F"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09" w:type="dxa"/>
          </w:tcPr>
          <w:p w14:paraId="69B7F74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2551" w:type="dxa"/>
          </w:tcPr>
          <w:p w14:paraId="5197458D"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Octadecanoic acid</w:t>
            </w:r>
          </w:p>
        </w:tc>
        <w:tc>
          <w:tcPr>
            <w:tcW w:w="992" w:type="dxa"/>
          </w:tcPr>
          <w:p w14:paraId="33540060"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3.31</w:t>
            </w:r>
          </w:p>
        </w:tc>
        <w:tc>
          <w:tcPr>
            <w:tcW w:w="1985" w:type="dxa"/>
          </w:tcPr>
          <w:p w14:paraId="389F27A9"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Saturated fatty acid</w:t>
            </w:r>
          </w:p>
        </w:tc>
        <w:tc>
          <w:tcPr>
            <w:tcW w:w="2693" w:type="dxa"/>
          </w:tcPr>
          <w:p w14:paraId="4CC14E7E"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Neutral to weak activity</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26395D">
              <w:rPr>
                <w:rFonts w:ascii="Times New Roman" w:eastAsia="Times New Roman" w:hAnsi="Times New Roman" w:cs="Times New Roman"/>
              </w:rPr>
              <w:t>Igarashi</w:t>
            </w:r>
            <w:r w:rsidR="005E449A">
              <w:rPr>
                <w:rFonts w:ascii="Times New Roman" w:eastAsia="Times New Roman" w:hAnsi="Times New Roman" w:cs="Times New Roman"/>
                <w:color w:val="000000"/>
              </w:rPr>
              <w:t xml:space="preserve">  et al., 2007)</w:t>
            </w:r>
          </w:p>
        </w:tc>
      </w:tr>
      <w:tr w:rsidR="0031541C" w14:paraId="67C53070" w14:textId="77777777" w:rsidTr="00F91C6A">
        <w:trPr>
          <w:trHeight w:val="300"/>
        </w:trPr>
        <w:tc>
          <w:tcPr>
            <w:tcW w:w="846" w:type="dxa"/>
          </w:tcPr>
          <w:p w14:paraId="58C95A3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9" w:type="dxa"/>
          </w:tcPr>
          <w:p w14:paraId="3F961A6A"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2551" w:type="dxa"/>
          </w:tcPr>
          <w:p w14:paraId="7C801DB6"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Glutarimide, N-(3-pentyl)-</w:t>
            </w:r>
          </w:p>
        </w:tc>
        <w:tc>
          <w:tcPr>
            <w:tcW w:w="992" w:type="dxa"/>
          </w:tcPr>
          <w:p w14:paraId="5A00BAB7"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985" w:type="dxa"/>
          </w:tcPr>
          <w:p w14:paraId="6907D206"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Glutarimide derivative</w:t>
            </w:r>
          </w:p>
        </w:tc>
        <w:tc>
          <w:tcPr>
            <w:tcW w:w="2693" w:type="dxa"/>
          </w:tcPr>
          <w:p w14:paraId="6C111E52" w14:textId="77777777" w:rsidR="0031541C" w:rsidRDefault="0031541C">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Possible hypoglycemic</w:t>
            </w:r>
            <w:r w:rsidR="00D81A0E">
              <w:rPr>
                <w:rFonts w:ascii="Times New Roman" w:eastAsia="Times New Roman" w:hAnsi="Times New Roman" w:cs="Times New Roman"/>
                <w:color w:val="000000"/>
              </w:rPr>
              <w:t xml:space="preserve"> (</w:t>
            </w:r>
            <w:r w:rsidR="005E449A">
              <w:rPr>
                <w:rFonts w:ascii="Times New Roman" w:eastAsia="Times New Roman" w:hAnsi="Times New Roman" w:cs="Times New Roman"/>
                <w:color w:val="000000"/>
              </w:rPr>
              <w:t>(</w:t>
            </w:r>
            <w:r w:rsidR="005E449A" w:rsidRPr="002C2242">
              <w:rPr>
                <w:rFonts w:ascii="Times New Roman" w:eastAsia="Times New Roman" w:hAnsi="Times New Roman" w:cs="Times New Roman"/>
              </w:rPr>
              <w:t>Sangeetha</w:t>
            </w:r>
            <w:r w:rsidR="005E449A">
              <w:rPr>
                <w:rFonts w:ascii="Times New Roman" w:eastAsia="Times New Roman" w:hAnsi="Times New Roman" w:cs="Times New Roman"/>
                <w:color w:val="000000"/>
              </w:rPr>
              <w:t>, 2014)</w:t>
            </w:r>
          </w:p>
        </w:tc>
      </w:tr>
    </w:tbl>
    <w:p w14:paraId="12E0343F" w14:textId="77777777" w:rsidR="00C0140E" w:rsidRDefault="00957F0F" w:rsidP="00AC4F33">
      <w:pPr>
        <w:spacing w:before="240" w:line="480" w:lineRule="auto"/>
        <w:jc w:val="both"/>
        <w:rPr>
          <w:rFonts w:ascii="Times New Roman" w:eastAsia="Times New Roman" w:hAnsi="Times New Roman" w:cs="Times New Roman"/>
          <w:color w:val="000000"/>
        </w:rPr>
      </w:pPr>
      <w:r w:rsidRPr="00F3494F">
        <w:rPr>
          <w:rFonts w:ascii="Times New Roman" w:eastAsia="Times New Roman" w:hAnsi="Times New Roman" w:cs="Times New Roman"/>
          <w:b/>
          <w:bCs/>
        </w:rPr>
        <w:t>4.4. α-Amylase inhibition: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inhibitory activity of </w:t>
      </w:r>
      <w:r>
        <w:rPr>
          <w:rFonts w:ascii="Times New Roman" w:eastAsia="Times New Roman" w:hAnsi="Times New Roman" w:cs="Times New Roman"/>
          <w:i/>
          <w:color w:val="000000"/>
        </w:rPr>
        <w:t>T. arjuna</w:t>
      </w:r>
      <w:r>
        <w:rPr>
          <w:rFonts w:ascii="Times New Roman" w:eastAsia="Times New Roman" w:hAnsi="Times New Roman" w:cs="Times New Roman"/>
          <w:color w:val="000000"/>
        </w:rPr>
        <w:t xml:space="preserve"> extracts—TAA (acetone) and TAE (ethanol)—was evaluated against the α-amylase with the concentration ranging from 100–500 µg/mL (table 5). Both extracts showed significant dose dependent inhibition indicating their ability to modulate carbohydrate digestion. Among the two, TAE demonstrated higher α-amylase inhibition with a lower IC₅₀ value (79.85 µg/mL) </w:t>
      </w:r>
      <w:r>
        <w:rPr>
          <w:rFonts w:ascii="Times New Roman" w:eastAsia="Times New Roman" w:hAnsi="Times New Roman" w:cs="Times New Roman"/>
        </w:rPr>
        <w:t>compared to TAA (82.44 µg/mL)</w:t>
      </w:r>
      <w:r>
        <w:rPr>
          <w:rFonts w:ascii="Times New Roman" w:eastAsia="Times New Roman" w:hAnsi="Times New Roman" w:cs="Times New Roman"/>
          <w:color w:val="000000"/>
        </w:rPr>
        <w:t xml:space="preserve"> indicating slightly better potency. Acarbose, a known α-amylase inhibitor, was used as a positive control, exhibited the highest inhibitory effect with the lowest IC₅₀ value (69.99 µg/mL), thereby validating the experimental assay.</w:t>
      </w:r>
    </w:p>
    <w:p w14:paraId="3E411C85" w14:textId="77777777" w:rsidR="00C0140E" w:rsidRDefault="00957F0F">
      <w:p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2EFE6AB" w14:textId="77777777" w:rsidR="00C0140E" w:rsidRPr="00FE1429" w:rsidRDefault="00957F0F" w:rsidP="00FE1429">
      <w:pPr>
        <w:pStyle w:val="NoSpacing"/>
        <w:rPr>
          <w:rFonts w:ascii="Times New Roman" w:hAnsi="Times New Roman" w:cs="Times New Roman"/>
          <w:b/>
        </w:rPr>
      </w:pPr>
      <w:r w:rsidRPr="00FE1429">
        <w:rPr>
          <w:rFonts w:ascii="Times New Roman" w:hAnsi="Times New Roman" w:cs="Times New Roman"/>
          <w:b/>
        </w:rPr>
        <w:t xml:space="preserve">Table 5: </w:t>
      </w:r>
      <w:r w:rsidRPr="00FE1429">
        <w:rPr>
          <w:rFonts w:ascii="Times New Roman" w:hAnsi="Times New Roman" w:cs="Times New Roman"/>
        </w:rPr>
        <w:t xml:space="preserve">Inhibitory activity of </w:t>
      </w:r>
      <w:r w:rsidR="00FE1429" w:rsidRPr="00FE1429">
        <w:rPr>
          <w:rFonts w:ascii="Times New Roman" w:hAnsi="Times New Roman" w:cs="Times New Roman"/>
        </w:rPr>
        <w:t xml:space="preserve">TAA and TAE </w:t>
      </w:r>
      <w:r w:rsidRPr="00FE1429">
        <w:rPr>
          <w:rFonts w:ascii="Times New Roman" w:hAnsi="Times New Roman" w:cs="Times New Roman"/>
        </w:rPr>
        <w:t>extract</w:t>
      </w:r>
      <w:r w:rsidR="00FE1429" w:rsidRPr="00FE1429">
        <w:rPr>
          <w:rFonts w:ascii="Times New Roman" w:hAnsi="Times New Roman" w:cs="Times New Roman"/>
        </w:rPr>
        <w:t>s</w:t>
      </w:r>
      <w:r w:rsidRPr="00FE1429">
        <w:rPr>
          <w:rFonts w:ascii="Times New Roman" w:hAnsi="Times New Roman" w:cs="Times New Roman"/>
        </w:rPr>
        <w:t xml:space="preserve"> on α-amylase</w:t>
      </w:r>
      <w:r w:rsidRPr="00FE1429">
        <w:rPr>
          <w:rFonts w:ascii="Times New Roman" w:hAnsi="Times New Roman" w:cs="Times New Roman"/>
          <w:b/>
        </w:rPr>
        <w:t xml:space="preserve"> </w:t>
      </w:r>
      <w:r w:rsidR="00FE1429" w:rsidRPr="00FE1429">
        <w:rPr>
          <w:rFonts w:ascii="Times New Roman" w:hAnsi="Times New Roman" w:cs="Times New Roman"/>
        </w:rPr>
        <w:t>activity</w:t>
      </w:r>
    </w:p>
    <w:p w14:paraId="28710B7C" w14:textId="77777777" w:rsidR="00C0140E" w:rsidRDefault="00C0140E" w:rsidP="00FE1429">
      <w:pPr>
        <w:pStyle w:val="NoSpacing"/>
        <w:rPr>
          <w:vertAlign w:val="subscript"/>
        </w:rPr>
      </w:pPr>
    </w:p>
    <w:tbl>
      <w:tblPr>
        <w:tblStyle w:val="af2"/>
        <w:tblW w:w="8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5"/>
        <w:gridCol w:w="1755"/>
        <w:gridCol w:w="2205"/>
        <w:gridCol w:w="2220"/>
      </w:tblGrid>
      <w:tr w:rsidR="00C0140E" w14:paraId="436C86A2" w14:textId="77777777">
        <w:trPr>
          <w:trHeight w:val="300"/>
          <w:jc w:val="center"/>
        </w:trPr>
        <w:tc>
          <w:tcPr>
            <w:tcW w:w="2025" w:type="dxa"/>
          </w:tcPr>
          <w:p w14:paraId="13D253F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Concentration (ug/ml)</w:t>
            </w:r>
          </w:p>
        </w:tc>
        <w:tc>
          <w:tcPr>
            <w:tcW w:w="1755" w:type="dxa"/>
          </w:tcPr>
          <w:p w14:paraId="06EBDBE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Control</w:t>
            </w:r>
          </w:p>
          <w:p w14:paraId="215F4CF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Acarbose</w:t>
            </w:r>
            <w:commentRangeStart w:id="24"/>
            <w:r>
              <w:rPr>
                <w:rFonts w:ascii="Times New Roman" w:eastAsia="Times New Roman" w:hAnsi="Times New Roman" w:cs="Times New Roman"/>
                <w:color w:val="000000"/>
              </w:rPr>
              <w:t>*</w:t>
            </w:r>
            <w:commentRangeEnd w:id="24"/>
            <w:r w:rsidR="00124BCB">
              <w:rPr>
                <w:rStyle w:val="CommentReference"/>
              </w:rPr>
              <w:commentReference w:id="24"/>
            </w:r>
          </w:p>
        </w:tc>
        <w:tc>
          <w:tcPr>
            <w:tcW w:w="2205" w:type="dxa"/>
          </w:tcPr>
          <w:p w14:paraId="601752E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TAA</w:t>
            </w:r>
          </w:p>
          <w:p w14:paraId="79D34459"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Extract*</w:t>
            </w:r>
          </w:p>
        </w:tc>
        <w:tc>
          <w:tcPr>
            <w:tcW w:w="2220" w:type="dxa"/>
          </w:tcPr>
          <w:p w14:paraId="38F1F68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TAE</w:t>
            </w:r>
          </w:p>
          <w:p w14:paraId="358B7DF9"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Extract*</w:t>
            </w:r>
          </w:p>
        </w:tc>
      </w:tr>
      <w:tr w:rsidR="00C0140E" w14:paraId="2331F72D" w14:textId="77777777">
        <w:trPr>
          <w:trHeight w:val="300"/>
          <w:jc w:val="center"/>
        </w:trPr>
        <w:tc>
          <w:tcPr>
            <w:tcW w:w="2025" w:type="dxa"/>
          </w:tcPr>
          <w:p w14:paraId="3575D22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755" w:type="dxa"/>
          </w:tcPr>
          <w:p w14:paraId="040B680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86.823 ± 1.160</w:t>
            </w:r>
          </w:p>
        </w:tc>
        <w:tc>
          <w:tcPr>
            <w:tcW w:w="2205" w:type="dxa"/>
          </w:tcPr>
          <w:p w14:paraId="44A289D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62.666 ± 0.754</w:t>
            </w:r>
          </w:p>
        </w:tc>
        <w:tc>
          <w:tcPr>
            <w:tcW w:w="2220" w:type="dxa"/>
          </w:tcPr>
          <w:p w14:paraId="2A8DF66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82.127 ± 2.570</w:t>
            </w:r>
          </w:p>
        </w:tc>
      </w:tr>
      <w:tr w:rsidR="00C0140E" w14:paraId="7C3716F8" w14:textId="77777777">
        <w:trPr>
          <w:trHeight w:val="300"/>
          <w:jc w:val="center"/>
        </w:trPr>
        <w:tc>
          <w:tcPr>
            <w:tcW w:w="2025" w:type="dxa"/>
          </w:tcPr>
          <w:p w14:paraId="4EE45090"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755" w:type="dxa"/>
          </w:tcPr>
          <w:p w14:paraId="27F38EA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92.078 ± 0.220</w:t>
            </w:r>
          </w:p>
        </w:tc>
        <w:tc>
          <w:tcPr>
            <w:tcW w:w="2205" w:type="dxa"/>
          </w:tcPr>
          <w:p w14:paraId="45B3D36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78.989 ± 0.544</w:t>
            </w:r>
          </w:p>
        </w:tc>
        <w:tc>
          <w:tcPr>
            <w:tcW w:w="2220" w:type="dxa"/>
          </w:tcPr>
          <w:p w14:paraId="1EC1647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91.262 ± 0.960</w:t>
            </w:r>
          </w:p>
        </w:tc>
      </w:tr>
      <w:tr w:rsidR="00C0140E" w14:paraId="084ECEAE" w14:textId="77777777">
        <w:trPr>
          <w:trHeight w:val="300"/>
          <w:jc w:val="center"/>
        </w:trPr>
        <w:tc>
          <w:tcPr>
            <w:tcW w:w="2025" w:type="dxa"/>
          </w:tcPr>
          <w:p w14:paraId="687912B7"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300</w:t>
            </w:r>
          </w:p>
        </w:tc>
        <w:tc>
          <w:tcPr>
            <w:tcW w:w="1755" w:type="dxa"/>
          </w:tcPr>
          <w:p w14:paraId="07CFE29B"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90.744 ± 1.396</w:t>
            </w:r>
          </w:p>
        </w:tc>
        <w:tc>
          <w:tcPr>
            <w:tcW w:w="2205" w:type="dxa"/>
          </w:tcPr>
          <w:p w14:paraId="4D350BE8"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72.862 ± 1.059</w:t>
            </w:r>
          </w:p>
        </w:tc>
        <w:tc>
          <w:tcPr>
            <w:tcW w:w="2220" w:type="dxa"/>
          </w:tcPr>
          <w:p w14:paraId="07169495"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91.282 ± 1.806</w:t>
            </w:r>
          </w:p>
        </w:tc>
      </w:tr>
      <w:tr w:rsidR="00C0140E" w14:paraId="428EFEAA" w14:textId="77777777">
        <w:trPr>
          <w:trHeight w:val="300"/>
          <w:jc w:val="center"/>
        </w:trPr>
        <w:tc>
          <w:tcPr>
            <w:tcW w:w="2025" w:type="dxa"/>
          </w:tcPr>
          <w:p w14:paraId="525BA5AD"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1755" w:type="dxa"/>
          </w:tcPr>
          <w:p w14:paraId="20EFCE18"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87.389 ± 1.464</w:t>
            </w:r>
          </w:p>
        </w:tc>
        <w:tc>
          <w:tcPr>
            <w:tcW w:w="2205" w:type="dxa"/>
          </w:tcPr>
          <w:p w14:paraId="2AC225F1"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69.022 ± 2.639</w:t>
            </w:r>
          </w:p>
        </w:tc>
        <w:tc>
          <w:tcPr>
            <w:tcW w:w="2220" w:type="dxa"/>
          </w:tcPr>
          <w:p w14:paraId="7536635E"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90.790 ± 1.980</w:t>
            </w:r>
          </w:p>
        </w:tc>
      </w:tr>
      <w:tr w:rsidR="00C0140E" w14:paraId="128D7F55" w14:textId="77777777">
        <w:trPr>
          <w:trHeight w:val="300"/>
          <w:jc w:val="center"/>
        </w:trPr>
        <w:tc>
          <w:tcPr>
            <w:tcW w:w="2025" w:type="dxa"/>
          </w:tcPr>
          <w:p w14:paraId="02CCA0CB"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1755" w:type="dxa"/>
          </w:tcPr>
          <w:p w14:paraId="7F4147D6"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86.741 ± 1.538</w:t>
            </w:r>
          </w:p>
        </w:tc>
        <w:tc>
          <w:tcPr>
            <w:tcW w:w="2205" w:type="dxa"/>
          </w:tcPr>
          <w:p w14:paraId="066DD083"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65.699 ± 2.163</w:t>
            </w:r>
          </w:p>
        </w:tc>
        <w:tc>
          <w:tcPr>
            <w:tcW w:w="2220" w:type="dxa"/>
          </w:tcPr>
          <w:p w14:paraId="3DE4EE0F"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89.642 ± 1.263</w:t>
            </w:r>
          </w:p>
        </w:tc>
      </w:tr>
      <w:tr w:rsidR="00C0140E" w14:paraId="70DA4970" w14:textId="77777777">
        <w:trPr>
          <w:trHeight w:val="300"/>
          <w:jc w:val="center"/>
        </w:trPr>
        <w:tc>
          <w:tcPr>
            <w:tcW w:w="2025" w:type="dxa"/>
          </w:tcPr>
          <w:p w14:paraId="595A971A"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IC50</w:t>
            </w:r>
          </w:p>
        </w:tc>
        <w:tc>
          <w:tcPr>
            <w:tcW w:w="1755" w:type="dxa"/>
          </w:tcPr>
          <w:p w14:paraId="03639545"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69.99 ug/ml</w:t>
            </w:r>
          </w:p>
        </w:tc>
        <w:tc>
          <w:tcPr>
            <w:tcW w:w="2205" w:type="dxa"/>
          </w:tcPr>
          <w:p w14:paraId="1E621CDC"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82.44 ug/ml </w:t>
            </w:r>
          </w:p>
        </w:tc>
        <w:tc>
          <w:tcPr>
            <w:tcW w:w="2220" w:type="dxa"/>
          </w:tcPr>
          <w:p w14:paraId="34F9DE84" w14:textId="77777777" w:rsidR="00C0140E" w:rsidRDefault="00957F0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79.85 ug/ml</w:t>
            </w:r>
          </w:p>
        </w:tc>
      </w:tr>
    </w:tbl>
    <w:p w14:paraId="01404594" w14:textId="77777777" w:rsidR="00C0140E" w:rsidRDefault="00957F0F">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FE1429">
        <w:rPr>
          <w:rFonts w:ascii="Times New Roman" w:eastAsia="Times New Roman" w:hAnsi="Times New Roman" w:cs="Times New Roman"/>
          <w:color w:val="000000"/>
          <w:sz w:val="22"/>
          <w:szCs w:val="22"/>
        </w:rPr>
        <w:t xml:space="preserve">*Data values are represented as mean ± SD (n=3), </w:t>
      </w:r>
      <w:commentRangeStart w:id="25"/>
      <w:r w:rsidRPr="00FE1429">
        <w:rPr>
          <w:rFonts w:ascii="Times New Roman" w:eastAsia="Times New Roman" w:hAnsi="Times New Roman" w:cs="Times New Roman"/>
          <w:color w:val="000000"/>
          <w:sz w:val="22"/>
          <w:szCs w:val="22"/>
        </w:rPr>
        <w:t>Significantly different (P&lt;0.05</w:t>
      </w:r>
      <w:commentRangeEnd w:id="25"/>
      <w:r w:rsidR="00766795">
        <w:rPr>
          <w:rStyle w:val="CommentReference"/>
        </w:rPr>
        <w:commentReference w:id="25"/>
      </w:r>
      <w:r w:rsidRPr="00FE1429">
        <w:rPr>
          <w:rFonts w:ascii="Times New Roman" w:eastAsia="Times New Roman" w:hAnsi="Times New Roman" w:cs="Times New Roman"/>
          <w:color w:val="000000"/>
          <w:sz w:val="22"/>
          <w:szCs w:val="22"/>
        </w:rPr>
        <w:t>)</w:t>
      </w:r>
    </w:p>
    <w:p w14:paraId="19B9E3DC" w14:textId="77777777" w:rsidR="00C0140E" w:rsidRPr="00F3494F" w:rsidRDefault="00957F0F">
      <w:pPr>
        <w:spacing w:before="240" w:line="240" w:lineRule="auto"/>
        <w:jc w:val="both"/>
        <w:rPr>
          <w:rFonts w:ascii="Times New Roman" w:eastAsia="Times New Roman" w:hAnsi="Times New Roman" w:cs="Times New Roman"/>
          <w:b/>
          <w:bCs/>
        </w:rPr>
      </w:pPr>
      <w:r w:rsidRPr="00F3494F">
        <w:rPr>
          <w:rFonts w:ascii="Times New Roman" w:eastAsia="Times New Roman" w:hAnsi="Times New Roman" w:cs="Times New Roman"/>
          <w:b/>
          <w:bCs/>
        </w:rPr>
        <w:t>4.5. Antioxidant activity:</w:t>
      </w:r>
    </w:p>
    <w:p w14:paraId="0B671F08" w14:textId="77777777" w:rsidR="00C0140E" w:rsidRDefault="00957F0F" w:rsidP="00AC4F33">
      <w:pPr>
        <w:spacing w:before="240" w:line="480" w:lineRule="auto"/>
        <w:jc w:val="both"/>
        <w:rPr>
          <w:rFonts w:ascii="Times New Roman" w:eastAsia="Times New Roman" w:hAnsi="Times New Roman" w:cs="Times New Roman"/>
          <w:vertAlign w:val="subscript"/>
        </w:rPr>
      </w:pPr>
      <w:r w:rsidRPr="00F3494F">
        <w:rPr>
          <w:rFonts w:ascii="Times New Roman" w:eastAsia="Times New Roman" w:hAnsi="Times New Roman" w:cs="Times New Roman"/>
          <w:i/>
          <w:iCs/>
        </w:rPr>
        <w:t>4.5.1. ABTS radical cation scavenging assay:</w:t>
      </w:r>
      <w:r>
        <w:rPr>
          <w:rFonts w:ascii="Times New Roman" w:eastAsia="Times New Roman" w:hAnsi="Times New Roman" w:cs="Times New Roman"/>
        </w:rPr>
        <w:t xml:space="preserve"> At lower concentrations (100–300 µg/mL), the TAE extracts demonstrated significantly higher ABTS radical scavenging capacity than TAA extracts </w:t>
      </w:r>
      <w:r>
        <w:rPr>
          <w:rFonts w:ascii="Times New Roman" w:eastAsia="Times New Roman" w:hAnsi="Times New Roman" w:cs="Times New Roman"/>
          <w:color w:val="000000"/>
        </w:rPr>
        <w:lastRenderedPageBreak/>
        <w:t xml:space="preserve">(Figure </w:t>
      </w:r>
      <w:r w:rsidR="00FE1429">
        <w:rPr>
          <w:rFonts w:ascii="Times New Roman" w:eastAsia="Times New Roman" w:hAnsi="Times New Roman" w:cs="Times New Roman"/>
          <w:color w:val="000000"/>
        </w:rPr>
        <w:t>1</w:t>
      </w:r>
      <w:r>
        <w:rPr>
          <w:rFonts w:ascii="Times New Roman" w:eastAsia="Times New Roman" w:hAnsi="Times New Roman" w:cs="Times New Roman"/>
        </w:rPr>
        <w:t>), likely due to the presence of more polar phenolic constituents in the ethanolic fraction, which are known to act as efficient electron donors and radical scavengers</w:t>
      </w:r>
      <w:r w:rsidR="00D81A0E">
        <w:rPr>
          <w:rFonts w:ascii="Times New Roman" w:eastAsia="Times New Roman" w:hAnsi="Times New Roman" w:cs="Times New Roman"/>
        </w:rPr>
        <w:t xml:space="preserve"> (</w:t>
      </w:r>
      <w:r w:rsidR="005E449A" w:rsidRPr="002C2242">
        <w:rPr>
          <w:rFonts w:ascii="Times New Roman" w:eastAsia="Times New Roman" w:hAnsi="Times New Roman" w:cs="Times New Roman"/>
        </w:rPr>
        <w:t>Singh</w:t>
      </w:r>
      <w:r w:rsidR="005E449A">
        <w:rPr>
          <w:rFonts w:ascii="Times New Roman" w:eastAsia="Times New Roman" w:hAnsi="Times New Roman" w:cs="Times New Roman"/>
        </w:rPr>
        <w:t xml:space="preserve"> and</w:t>
      </w:r>
      <w:r w:rsidR="005E449A" w:rsidRPr="002C2242">
        <w:rPr>
          <w:rFonts w:ascii="Times New Roman" w:eastAsia="Times New Roman" w:hAnsi="Times New Roman" w:cs="Times New Roman"/>
        </w:rPr>
        <w:t xml:space="preserve"> Singh, </w:t>
      </w:r>
      <w:r w:rsidR="005E449A">
        <w:rPr>
          <w:rFonts w:ascii="Times New Roman" w:eastAsia="Times New Roman" w:hAnsi="Times New Roman" w:cs="Times New Roman"/>
        </w:rPr>
        <w:t xml:space="preserve"> 2008</w:t>
      </w:r>
      <w:r w:rsidR="00D81A0E">
        <w:rPr>
          <w:rFonts w:ascii="Times New Roman" w:eastAsia="Times New Roman" w:hAnsi="Times New Roman" w:cs="Times New Roman"/>
        </w:rPr>
        <w:t>,</w:t>
      </w:r>
      <w:r w:rsidR="005E449A">
        <w:rPr>
          <w:rFonts w:ascii="Times New Roman" w:eastAsia="Times New Roman" w:hAnsi="Times New Roman" w:cs="Times New Roman"/>
        </w:rPr>
        <w:t xml:space="preserve"> </w:t>
      </w:r>
      <w:r w:rsidR="005E449A" w:rsidRPr="00D56F31">
        <w:rPr>
          <w:rFonts w:ascii="Times New Roman" w:eastAsia="Times New Roman" w:hAnsi="Times New Roman" w:cs="Times New Roman"/>
        </w:rPr>
        <w:t>Chew</w:t>
      </w:r>
      <w:r w:rsidR="005E449A">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Pr>
          <w:rFonts w:ascii="Times New Roman" w:eastAsia="Times New Roman" w:hAnsi="Times New Roman" w:cs="Times New Roman"/>
        </w:rPr>
        <w:t xml:space="preserve">. However, at higher concentrations (400–500 µg/mL), the TAA extract marginally better activity than TAE extract, possibly due to slower-acting or less polar antioxidant constituents that become more effective at elevated doses. Trolox, used as the reference antioxidant, displayed the highest scavenging activity at all concentrations tested, thereby validating the sensitivity of the assay system. These results are consistent with previous findings on </w:t>
      </w:r>
      <w:r>
        <w:rPr>
          <w:rFonts w:ascii="Times New Roman" w:eastAsia="Times New Roman" w:hAnsi="Times New Roman" w:cs="Times New Roman"/>
          <w:i/>
        </w:rPr>
        <w:t>T. arjuna</w:t>
      </w:r>
      <w:r>
        <w:rPr>
          <w:rFonts w:ascii="Times New Roman" w:eastAsia="Times New Roman" w:hAnsi="Times New Roman" w:cs="Times New Roman"/>
        </w:rPr>
        <w:t xml:space="preserve"> extracts exhibiting notable radical-scavenging properties attributable to their rich phytochemical content</w:t>
      </w:r>
      <w:r w:rsidR="0031541C">
        <w:rPr>
          <w:rFonts w:ascii="Times New Roman" w:eastAsia="Times New Roman" w:hAnsi="Times New Roman" w:cs="Times New Roman"/>
        </w:rPr>
        <w:t xml:space="preserve"> </w:t>
      </w:r>
      <w:r w:rsidR="00D81A0E">
        <w:rPr>
          <w:rFonts w:ascii="Times New Roman" w:eastAsia="Times New Roman" w:hAnsi="Times New Roman" w:cs="Times New Roman"/>
        </w:rPr>
        <w:t xml:space="preserve"> (</w:t>
      </w:r>
      <w:r w:rsidR="005E449A" w:rsidRPr="00D56F31">
        <w:rPr>
          <w:rFonts w:ascii="Times New Roman" w:eastAsia="Times New Roman" w:hAnsi="Times New Roman" w:cs="Times New Roman"/>
        </w:rPr>
        <w:t>Amalraj and Gopi</w:t>
      </w:r>
      <w:r w:rsidR="005E449A">
        <w:rPr>
          <w:rFonts w:ascii="Times New Roman" w:eastAsia="Times New Roman" w:hAnsi="Times New Roman" w:cs="Times New Roman"/>
        </w:rPr>
        <w:t>, 20</w:t>
      </w:r>
      <w:r w:rsidR="00D81A0E">
        <w:rPr>
          <w:rFonts w:ascii="Times New Roman" w:eastAsia="Times New Roman" w:hAnsi="Times New Roman" w:cs="Times New Roman"/>
        </w:rPr>
        <w:t>1</w:t>
      </w:r>
      <w:r w:rsidR="005E449A">
        <w:rPr>
          <w:rFonts w:ascii="Times New Roman" w:eastAsia="Times New Roman" w:hAnsi="Times New Roman" w:cs="Times New Roman"/>
        </w:rPr>
        <w:t>7</w:t>
      </w:r>
      <w:r w:rsidR="00D81A0E">
        <w:rPr>
          <w:rFonts w:ascii="Times New Roman" w:eastAsia="Times New Roman" w:hAnsi="Times New Roman" w:cs="Times New Roman"/>
        </w:rPr>
        <w:t xml:space="preserve">, </w:t>
      </w:r>
      <w:r w:rsidR="005E449A" w:rsidRPr="002956C7">
        <w:rPr>
          <w:rFonts w:ascii="Times New Roman" w:eastAsia="Times New Roman" w:hAnsi="Times New Roman" w:cs="Times New Roman"/>
        </w:rPr>
        <w:t>Shahriar</w:t>
      </w:r>
      <w:r w:rsidR="005E449A">
        <w:rPr>
          <w:rFonts w:ascii="Times New Roman" w:eastAsia="Times New Roman" w:hAnsi="Times New Roman" w:cs="Times New Roman"/>
        </w:rPr>
        <w:t xml:space="preserve"> et al., 2012</w:t>
      </w:r>
      <w:r w:rsidR="00D81A0E">
        <w:rPr>
          <w:rFonts w:ascii="Times New Roman" w:eastAsia="Times New Roman" w:hAnsi="Times New Roman" w:cs="Times New Roman"/>
        </w:rPr>
        <w:t>)</w:t>
      </w:r>
      <w:r>
        <w:rPr>
          <w:rFonts w:ascii="Times New Roman" w:eastAsia="Times New Roman" w:hAnsi="Times New Roman" w:cs="Times New Roman"/>
        </w:rPr>
        <w:t xml:space="preserve">. </w:t>
      </w:r>
    </w:p>
    <w:p w14:paraId="0E1E260D" w14:textId="77777777" w:rsidR="00C0140E" w:rsidRDefault="00957F0F">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2350AF">
        <w:rPr>
          <w:rFonts w:ascii="Times New Roman" w:eastAsia="Times New Roman" w:hAnsi="Times New Roman" w:cs="Times New Roman"/>
          <w:noProof/>
        </w:rPr>
        <w:drawing>
          <wp:inline distT="0" distB="0" distL="0" distR="0" wp14:anchorId="5D8DDC1A" wp14:editId="2641B6FA">
            <wp:extent cx="3790950" cy="2076450"/>
            <wp:effectExtent l="0" t="0" r="0" b="0"/>
            <wp:docPr id="1529672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72007" name="Picture 1529672007"/>
                    <pic:cNvPicPr/>
                  </pic:nvPicPr>
                  <pic:blipFill>
                    <a:blip r:embed="rId13">
                      <a:extLst>
                        <a:ext uri="{28A0092B-C50C-407E-A947-70E740481C1C}">
                          <a14:useLocalDpi xmlns:a14="http://schemas.microsoft.com/office/drawing/2010/main" val="0"/>
                        </a:ext>
                      </a:extLst>
                    </a:blip>
                    <a:stretch>
                      <a:fillRect/>
                    </a:stretch>
                  </pic:blipFill>
                  <pic:spPr>
                    <a:xfrm>
                      <a:off x="0" y="0"/>
                      <a:ext cx="3790950" cy="2076450"/>
                    </a:xfrm>
                    <a:prstGeom prst="rect">
                      <a:avLst/>
                    </a:prstGeom>
                  </pic:spPr>
                </pic:pic>
              </a:graphicData>
            </a:graphic>
          </wp:inline>
        </w:drawing>
      </w:r>
      <w:r>
        <w:rPr>
          <w:rFonts w:ascii="Times New Roman" w:eastAsia="Times New Roman" w:hAnsi="Times New Roman" w:cs="Times New Roman"/>
        </w:rPr>
        <w:t xml:space="preserve">             </w:t>
      </w:r>
    </w:p>
    <w:p w14:paraId="35A67C08" w14:textId="77777777" w:rsidR="00C0140E" w:rsidRDefault="00957F0F">
      <w:pPr>
        <w:spacing w:before="24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Figure </w:t>
      </w:r>
      <w:r w:rsidR="00FE1429">
        <w:rPr>
          <w:rFonts w:ascii="Times New Roman" w:eastAsia="Times New Roman" w:hAnsi="Times New Roman" w:cs="Times New Roman"/>
          <w:b/>
        </w:rPr>
        <w:t>1</w:t>
      </w:r>
      <w:r>
        <w:rPr>
          <w:rFonts w:ascii="Times New Roman" w:eastAsia="Times New Roman" w:hAnsi="Times New Roman" w:cs="Times New Roman"/>
          <w:b/>
        </w:rPr>
        <w:t xml:space="preserve">: </w:t>
      </w:r>
      <w:r w:rsidR="003729A1" w:rsidRPr="003729A1">
        <w:rPr>
          <w:rFonts w:ascii="Times New Roman" w:eastAsia="Times New Roman" w:hAnsi="Times New Roman" w:cs="Times New Roman"/>
          <w:bCs/>
        </w:rPr>
        <w:t>ABTS antioxidant assay in TAA and TAM extracts</w:t>
      </w:r>
      <w:r w:rsidR="003729A1">
        <w:rPr>
          <w:rFonts w:ascii="Times New Roman" w:eastAsia="Times New Roman" w:hAnsi="Times New Roman" w:cs="Times New Roman"/>
          <w:b/>
          <w:i/>
        </w:rPr>
        <w:t xml:space="preserve"> </w:t>
      </w:r>
      <w:r>
        <w:rPr>
          <w:rFonts w:ascii="Times New Roman" w:eastAsia="Times New Roman" w:hAnsi="Times New Roman" w:cs="Times New Roman"/>
          <w:b/>
        </w:rPr>
        <w:t xml:space="preserve"> </w:t>
      </w:r>
    </w:p>
    <w:p w14:paraId="4EF0FCAF" w14:textId="77777777" w:rsidR="00C0140E" w:rsidRDefault="00766795">
      <w:pPr>
        <w:spacing w:before="240" w:after="0" w:line="240" w:lineRule="auto"/>
        <w:jc w:val="center"/>
        <w:rPr>
          <w:rFonts w:ascii="Times New Roman" w:eastAsia="Times New Roman" w:hAnsi="Times New Roman" w:cs="Times New Roman"/>
        </w:rPr>
      </w:pPr>
      <w:commentRangeStart w:id="26"/>
      <w:commentRangeEnd w:id="26"/>
      <w:r>
        <w:rPr>
          <w:rStyle w:val="CommentReference"/>
        </w:rPr>
        <w:commentReference w:id="26"/>
      </w:r>
    </w:p>
    <w:p w14:paraId="0E1AA988" w14:textId="77777777" w:rsidR="00C0140E" w:rsidRDefault="00957F0F" w:rsidP="00AC4F33">
      <w:pPr>
        <w:spacing w:before="240" w:after="0" w:line="480" w:lineRule="auto"/>
        <w:jc w:val="both"/>
        <w:rPr>
          <w:rFonts w:ascii="Times New Roman" w:eastAsia="Times New Roman" w:hAnsi="Times New Roman" w:cs="Times New Roman"/>
        </w:rPr>
      </w:pPr>
      <w:r w:rsidRPr="00F3494F">
        <w:rPr>
          <w:rFonts w:ascii="Times New Roman" w:eastAsia="Times New Roman" w:hAnsi="Times New Roman" w:cs="Times New Roman"/>
          <w:i/>
          <w:iCs/>
        </w:rPr>
        <w:t>4.5.2. DPPH free radical scavenging assay:</w:t>
      </w:r>
      <w:r>
        <w:rPr>
          <w:rFonts w:ascii="Times New Roman" w:eastAsia="Times New Roman" w:hAnsi="Times New Roman" w:cs="Times New Roman"/>
        </w:rPr>
        <w:t xml:space="preserve"> Both extracts demonstrated a progressive increase in scavenging activity with increasing concentrations (100 to 500 µg/mL), demonstrating a dose-dependent antioxidant response (</w:t>
      </w:r>
      <w:r>
        <w:rPr>
          <w:rFonts w:ascii="Times New Roman" w:eastAsia="Times New Roman" w:hAnsi="Times New Roman" w:cs="Times New Roman"/>
          <w:color w:val="000000"/>
        </w:rPr>
        <w:t xml:space="preserve">figure </w:t>
      </w:r>
      <w:r w:rsidR="003729A1">
        <w:rPr>
          <w:rFonts w:ascii="Times New Roman" w:eastAsia="Times New Roman" w:hAnsi="Times New Roman" w:cs="Times New Roman"/>
          <w:color w:val="000000"/>
        </w:rPr>
        <w:t>2</w:t>
      </w:r>
      <w:r>
        <w:rPr>
          <w:rFonts w:ascii="Times New Roman" w:eastAsia="Times New Roman" w:hAnsi="Times New Roman" w:cs="Times New Roman"/>
        </w:rPr>
        <w:t xml:space="preserve">). Across all concentrations tested, the ethanolic extract </w:t>
      </w:r>
      <w:commentRangeStart w:id="27"/>
      <w:r>
        <w:rPr>
          <w:rFonts w:ascii="Times New Roman" w:eastAsia="Times New Roman" w:hAnsi="Times New Roman" w:cs="Times New Roman"/>
        </w:rPr>
        <w:t xml:space="preserve">showed stronger </w:t>
      </w:r>
      <w:commentRangeEnd w:id="27"/>
      <w:r w:rsidR="00766795">
        <w:rPr>
          <w:rStyle w:val="CommentReference"/>
        </w:rPr>
        <w:commentReference w:id="27"/>
      </w:r>
      <w:r>
        <w:rPr>
          <w:rFonts w:ascii="Times New Roman" w:eastAsia="Times New Roman" w:hAnsi="Times New Roman" w:cs="Times New Roman"/>
        </w:rPr>
        <w:t>radical scavenging activity than acetone extract due to its higher content of polar phenolic compounds capable of readily donating hydrogen atoms</w:t>
      </w:r>
      <w:r w:rsidR="0031541C">
        <w:rPr>
          <w:rFonts w:ascii="Times New Roman" w:eastAsia="Times New Roman" w:hAnsi="Times New Roman" w:cs="Times New Roman"/>
        </w:rPr>
        <w:t xml:space="preserve"> </w:t>
      </w:r>
      <w:r w:rsidR="00D81A0E">
        <w:rPr>
          <w:rFonts w:ascii="Times New Roman" w:eastAsia="Times New Roman" w:hAnsi="Times New Roman" w:cs="Times New Roman"/>
        </w:rPr>
        <w:t>(</w:t>
      </w:r>
      <w:r w:rsidR="005E449A" w:rsidRPr="002C2242">
        <w:rPr>
          <w:rFonts w:ascii="Times New Roman" w:eastAsia="Times New Roman" w:hAnsi="Times New Roman" w:cs="Times New Roman"/>
        </w:rPr>
        <w:t>Singh</w:t>
      </w:r>
      <w:r w:rsidR="005E449A">
        <w:rPr>
          <w:rFonts w:ascii="Times New Roman" w:eastAsia="Times New Roman" w:hAnsi="Times New Roman" w:cs="Times New Roman"/>
        </w:rPr>
        <w:t xml:space="preserve"> and</w:t>
      </w:r>
      <w:r w:rsidR="005E449A" w:rsidRPr="002C2242">
        <w:rPr>
          <w:rFonts w:ascii="Times New Roman" w:eastAsia="Times New Roman" w:hAnsi="Times New Roman" w:cs="Times New Roman"/>
        </w:rPr>
        <w:t xml:space="preserve"> Singh</w:t>
      </w:r>
      <w:r w:rsidR="005E449A">
        <w:rPr>
          <w:rFonts w:ascii="Times New Roman" w:eastAsia="Times New Roman" w:hAnsi="Times New Roman" w:cs="Times New Roman"/>
        </w:rPr>
        <w:t xml:space="preserve">, 2008; </w:t>
      </w:r>
      <w:r w:rsidR="005E449A" w:rsidRPr="00D56F31">
        <w:rPr>
          <w:rFonts w:ascii="Times New Roman" w:eastAsia="Times New Roman" w:hAnsi="Times New Roman" w:cs="Times New Roman"/>
        </w:rPr>
        <w:t>Chew</w:t>
      </w:r>
      <w:r w:rsidR="005E449A">
        <w:rPr>
          <w:rFonts w:ascii="Times New Roman" w:eastAsia="Times New Roman" w:hAnsi="Times New Roman" w:cs="Times New Roman"/>
        </w:rPr>
        <w:t xml:space="preserve"> et al 2011</w:t>
      </w:r>
      <w:r w:rsidR="00D81A0E">
        <w:rPr>
          <w:rFonts w:ascii="Times New Roman" w:eastAsia="Times New Roman" w:hAnsi="Times New Roman" w:cs="Times New Roman"/>
        </w:rPr>
        <w:t>)</w:t>
      </w:r>
      <w:r>
        <w:rPr>
          <w:rFonts w:ascii="Times New Roman" w:eastAsia="Times New Roman" w:hAnsi="Times New Roman" w:cs="Times New Roman"/>
        </w:rPr>
        <w:t xml:space="preserve">. Ascorbic acid, used as the standard reference antioxidant compound, exhibited higher </w:t>
      </w:r>
      <w:r>
        <w:rPr>
          <w:rFonts w:ascii="Times New Roman" w:eastAsia="Times New Roman" w:hAnsi="Times New Roman" w:cs="Times New Roman"/>
        </w:rPr>
        <w:lastRenderedPageBreak/>
        <w:t xml:space="preserve">scavenging activity at concentrations, thereby validating the assay. These observations are in aligned with previous reports indicating </w:t>
      </w:r>
      <w:r>
        <w:rPr>
          <w:rFonts w:ascii="Times New Roman" w:eastAsia="Times New Roman" w:hAnsi="Times New Roman" w:cs="Times New Roman"/>
          <w:i/>
        </w:rPr>
        <w:t>T. arjuna</w:t>
      </w:r>
      <w:r>
        <w:rPr>
          <w:rFonts w:ascii="Times New Roman" w:eastAsia="Times New Roman" w:hAnsi="Times New Roman" w:cs="Times New Roman"/>
        </w:rPr>
        <w:t xml:space="preserve"> extracts possess modest yet significant antioxidant activity, particularly in ethanol-based fractions</w:t>
      </w:r>
      <w:r w:rsidR="0031541C">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2C2242">
        <w:rPr>
          <w:rFonts w:ascii="Times New Roman" w:eastAsia="Times New Roman" w:hAnsi="Times New Roman" w:cs="Times New Roman"/>
        </w:rPr>
        <w:t>Shahid Chatha</w:t>
      </w:r>
      <w:r w:rsidR="005E449A">
        <w:rPr>
          <w:rFonts w:ascii="Times New Roman" w:eastAsia="Times New Roman" w:hAnsi="Times New Roman" w:cs="Times New Roman"/>
        </w:rPr>
        <w:t xml:space="preserve"> et al 2014</w:t>
      </w:r>
      <w:r w:rsidR="00BB4221">
        <w:rPr>
          <w:rFonts w:ascii="Times New Roman" w:eastAsia="Times New Roman" w:hAnsi="Times New Roman" w:cs="Times New Roman"/>
        </w:rPr>
        <w:t xml:space="preserve">, </w:t>
      </w:r>
      <w:r w:rsidR="005E449A" w:rsidRPr="002956C7">
        <w:rPr>
          <w:rFonts w:ascii="Times New Roman" w:eastAsia="Times New Roman" w:hAnsi="Times New Roman" w:cs="Times New Roman"/>
        </w:rPr>
        <w:t>Shahriar</w:t>
      </w:r>
      <w:r w:rsidR="005E449A">
        <w:rPr>
          <w:rFonts w:ascii="Times New Roman" w:eastAsia="Times New Roman" w:hAnsi="Times New Roman" w:cs="Times New Roman"/>
        </w:rPr>
        <w:t xml:space="preserve"> et al., 2012</w:t>
      </w:r>
      <w:r w:rsidR="00BB4221">
        <w:rPr>
          <w:rFonts w:ascii="Times New Roman" w:eastAsia="Times New Roman" w:hAnsi="Times New Roman" w:cs="Times New Roman"/>
        </w:rPr>
        <w:t>)</w:t>
      </w:r>
      <w:r w:rsidR="0031541C">
        <w:rPr>
          <w:rFonts w:ascii="Times New Roman" w:eastAsia="Times New Roman" w:hAnsi="Times New Roman" w:cs="Times New Roman"/>
        </w:rPr>
        <w:t>.</w:t>
      </w:r>
      <w:r>
        <w:rPr>
          <w:rFonts w:ascii="Times New Roman" w:eastAsia="Times New Roman" w:hAnsi="Times New Roman" w:cs="Times New Roman"/>
        </w:rPr>
        <w:t xml:space="preserve"> </w:t>
      </w:r>
    </w:p>
    <w:p w14:paraId="2FE685B9" w14:textId="77777777" w:rsidR="00C0140E" w:rsidRDefault="002350AF">
      <w:pPr>
        <w:spacing w:before="24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2154D04" wp14:editId="46387522">
            <wp:extent cx="3933825" cy="2333625"/>
            <wp:effectExtent l="0" t="0" r="9525" b="9525"/>
            <wp:docPr id="175103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3714" name="Picture 175103714"/>
                    <pic:cNvPicPr/>
                  </pic:nvPicPr>
                  <pic:blipFill>
                    <a:blip r:embed="rId14">
                      <a:extLst>
                        <a:ext uri="{28A0092B-C50C-407E-A947-70E740481C1C}">
                          <a14:useLocalDpi xmlns:a14="http://schemas.microsoft.com/office/drawing/2010/main" val="0"/>
                        </a:ext>
                      </a:extLst>
                    </a:blip>
                    <a:stretch>
                      <a:fillRect/>
                    </a:stretch>
                  </pic:blipFill>
                  <pic:spPr>
                    <a:xfrm>
                      <a:off x="0" y="0"/>
                      <a:ext cx="3933825" cy="2333625"/>
                    </a:xfrm>
                    <a:prstGeom prst="rect">
                      <a:avLst/>
                    </a:prstGeom>
                  </pic:spPr>
                </pic:pic>
              </a:graphicData>
            </a:graphic>
          </wp:inline>
        </w:drawing>
      </w:r>
    </w:p>
    <w:p w14:paraId="39A4D057" w14:textId="77777777" w:rsidR="00C0140E" w:rsidRDefault="00957F0F">
      <w:pPr>
        <w:spacing w:before="240" w:line="240" w:lineRule="auto"/>
        <w:rPr>
          <w:rFonts w:ascii="Times New Roman" w:eastAsia="Times New Roman" w:hAnsi="Times New Roman" w:cs="Times New Roman"/>
          <w:b/>
        </w:rPr>
      </w:pPr>
      <w:r>
        <w:rPr>
          <w:rFonts w:ascii="Times New Roman" w:eastAsia="Times New Roman" w:hAnsi="Times New Roman" w:cs="Times New Roman"/>
          <w:b/>
        </w:rPr>
        <w:t xml:space="preserve">Figure </w:t>
      </w:r>
      <w:r w:rsidR="003729A1">
        <w:rPr>
          <w:rFonts w:ascii="Times New Roman" w:eastAsia="Times New Roman" w:hAnsi="Times New Roman" w:cs="Times New Roman"/>
          <w:b/>
        </w:rPr>
        <w:t>2</w:t>
      </w:r>
      <w:r>
        <w:rPr>
          <w:rFonts w:ascii="Times New Roman" w:eastAsia="Times New Roman" w:hAnsi="Times New Roman" w:cs="Times New Roman"/>
          <w:b/>
        </w:rPr>
        <w:t xml:space="preserve">: </w:t>
      </w:r>
      <w:commentRangeStart w:id="28"/>
      <w:r w:rsidR="003729A1" w:rsidRPr="003729A1">
        <w:rPr>
          <w:rFonts w:ascii="Times New Roman" w:eastAsia="Times New Roman" w:hAnsi="Times New Roman" w:cs="Times New Roman"/>
          <w:bCs/>
        </w:rPr>
        <w:t xml:space="preserve">DPPH antioxidant assay in TAA and TAM </w:t>
      </w:r>
      <w:r w:rsidRPr="003729A1">
        <w:rPr>
          <w:rFonts w:ascii="Times New Roman" w:eastAsia="Times New Roman" w:hAnsi="Times New Roman" w:cs="Times New Roman"/>
          <w:bCs/>
        </w:rPr>
        <w:t>extracts</w:t>
      </w:r>
      <w:r>
        <w:rPr>
          <w:rFonts w:ascii="Times New Roman" w:eastAsia="Times New Roman" w:hAnsi="Times New Roman" w:cs="Times New Roman"/>
          <w:b/>
        </w:rPr>
        <w:t xml:space="preserve"> </w:t>
      </w:r>
      <w:commentRangeEnd w:id="28"/>
      <w:r w:rsidR="00766795">
        <w:rPr>
          <w:rStyle w:val="CommentReference"/>
        </w:rPr>
        <w:commentReference w:id="28"/>
      </w:r>
    </w:p>
    <w:p w14:paraId="02D9740C" w14:textId="77777777" w:rsidR="00C0140E" w:rsidRDefault="00C0140E">
      <w:pPr>
        <w:pBdr>
          <w:top w:val="nil"/>
          <w:left w:val="nil"/>
          <w:bottom w:val="nil"/>
          <w:right w:val="nil"/>
          <w:between w:val="nil"/>
        </w:pBdr>
        <w:spacing w:after="0" w:line="240" w:lineRule="auto"/>
        <w:rPr>
          <w:rFonts w:ascii="Times New Roman" w:eastAsia="Times New Roman" w:hAnsi="Times New Roman" w:cs="Times New Roman"/>
          <w:color w:val="000000"/>
        </w:rPr>
      </w:pPr>
    </w:p>
    <w:p w14:paraId="6B45AD0D" w14:textId="77777777" w:rsidR="00C0140E" w:rsidRDefault="00957F0F">
      <w:pPr>
        <w:spacing w:before="240" w:line="240" w:lineRule="auto"/>
        <w:jc w:val="both"/>
        <w:rPr>
          <w:rFonts w:ascii="Times New Roman" w:eastAsia="Times New Roman" w:hAnsi="Times New Roman" w:cs="Times New Roman"/>
          <w:b/>
        </w:rPr>
      </w:pPr>
      <w:r>
        <w:rPr>
          <w:rFonts w:ascii="Times New Roman" w:eastAsia="Times New Roman" w:hAnsi="Times New Roman" w:cs="Times New Roman"/>
          <w:b/>
        </w:rPr>
        <w:t>5. Discussion</w:t>
      </w:r>
    </w:p>
    <w:p w14:paraId="6B0CAA82" w14:textId="77777777" w:rsidR="00C0140E" w:rsidRDefault="00957F0F" w:rsidP="00AC4F33">
      <w:pPr>
        <w:spacing w:before="240" w:line="480" w:lineRule="auto"/>
        <w:jc w:val="both"/>
        <w:rPr>
          <w:rFonts w:ascii="Times New Roman" w:eastAsia="Times New Roman" w:hAnsi="Times New Roman" w:cs="Times New Roman"/>
        </w:rPr>
      </w:pPr>
      <w:r>
        <w:rPr>
          <w:rFonts w:ascii="Times New Roman" w:eastAsia="Times New Roman" w:hAnsi="Times New Roman" w:cs="Times New Roman"/>
        </w:rPr>
        <w:t>Inhibition α-amylase is a well-established strategy for managing Type 2 diabetes, as it helps by reducing postprandial hyperglycemia</w:t>
      </w:r>
      <w:r w:rsidR="008568C2">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8F1EF3">
        <w:rPr>
          <w:rFonts w:ascii="Times New Roman" w:eastAsia="Times New Roman" w:hAnsi="Times New Roman" w:cs="Times New Roman"/>
        </w:rPr>
        <w:t>Sabiu</w:t>
      </w:r>
      <w:r w:rsidR="005E449A">
        <w:rPr>
          <w:rFonts w:ascii="Times New Roman" w:eastAsia="Times New Roman" w:hAnsi="Times New Roman" w:cs="Times New Roman"/>
        </w:rPr>
        <w:t xml:space="preserve"> et al., 2016; </w:t>
      </w:r>
      <w:r w:rsidR="005E449A" w:rsidRPr="00562584">
        <w:rPr>
          <w:rFonts w:ascii="Times New Roman" w:eastAsia="Times New Roman" w:hAnsi="Times New Roman" w:cs="Times New Roman"/>
        </w:rPr>
        <w:t>Agarwal and Gupta</w:t>
      </w:r>
      <w:r w:rsidR="00BB5143">
        <w:rPr>
          <w:rFonts w:ascii="Times New Roman" w:eastAsia="Times New Roman" w:hAnsi="Times New Roman" w:cs="Times New Roman"/>
        </w:rPr>
        <w:t>, 2016</w:t>
      </w:r>
      <w:r w:rsidR="00BB4221">
        <w:rPr>
          <w:rFonts w:ascii="Times New Roman" w:eastAsia="Times New Roman" w:hAnsi="Times New Roman" w:cs="Times New Roman"/>
        </w:rPr>
        <w:t>).</w:t>
      </w:r>
      <w:r>
        <w:rPr>
          <w:rFonts w:ascii="Times New Roman" w:eastAsia="Times New Roman" w:hAnsi="Times New Roman" w:cs="Times New Roman"/>
        </w:rPr>
        <w:t xml:space="preserve"> In recent years, plant-derived α-amylase inhibitors have gained significant attention because of their dual antioxidant benefits, lower toxicity, and cost-effectiveness compared to synthetic drugs such Acarbose</w:t>
      </w:r>
      <w:r w:rsidR="008568C2">
        <w:rPr>
          <w:rFonts w:ascii="Times New Roman" w:eastAsia="Times New Roman" w:hAnsi="Times New Roman" w:cs="Times New Roman"/>
        </w:rPr>
        <w:t xml:space="preserve"> </w:t>
      </w:r>
      <w:r w:rsidR="00BB4221">
        <w:rPr>
          <w:rFonts w:ascii="Times New Roman" w:eastAsia="Times New Roman" w:hAnsi="Times New Roman" w:cs="Times New Roman"/>
        </w:rPr>
        <w:t>(</w:t>
      </w:r>
      <w:r w:rsidR="005E449A" w:rsidRPr="00F95565">
        <w:rPr>
          <w:rFonts w:ascii="Times New Roman" w:eastAsia="Times New Roman" w:hAnsi="Times New Roman" w:cs="Times New Roman"/>
        </w:rPr>
        <w:t>Iheagwam</w:t>
      </w:r>
      <w:r w:rsidR="005E449A">
        <w:rPr>
          <w:rFonts w:ascii="Times New Roman" w:eastAsia="Times New Roman" w:hAnsi="Times New Roman" w:cs="Times New Roman"/>
        </w:rPr>
        <w:t xml:space="preserve"> et al ., 2019; </w:t>
      </w:r>
      <w:r w:rsidR="005E449A" w:rsidRPr="00F95565">
        <w:rPr>
          <w:rFonts w:ascii="Times New Roman" w:eastAsia="Times New Roman" w:hAnsi="Times New Roman" w:cs="Times New Roman"/>
        </w:rPr>
        <w:t>Gutiérrez-Grijalva</w:t>
      </w:r>
      <w:r w:rsidR="005E449A">
        <w:rPr>
          <w:rFonts w:ascii="Times New Roman" w:eastAsia="Times New Roman" w:hAnsi="Times New Roman" w:cs="Times New Roman"/>
        </w:rPr>
        <w:t xml:space="preserve"> et al., 2019</w:t>
      </w:r>
      <w:r w:rsidR="00BB4221">
        <w:rPr>
          <w:rFonts w:ascii="Times New Roman" w:eastAsia="Times New Roman" w:hAnsi="Times New Roman" w:cs="Times New Roman"/>
        </w:rPr>
        <w:t>)</w:t>
      </w:r>
      <w:r w:rsidR="008568C2">
        <w:rPr>
          <w:rFonts w:ascii="Times New Roman" w:eastAsia="Times New Roman" w:hAnsi="Times New Roman" w:cs="Times New Roman"/>
        </w:rPr>
        <w:t>.</w:t>
      </w:r>
      <w:r>
        <w:rPr>
          <w:rFonts w:ascii="Times New Roman" w:eastAsia="Times New Roman" w:hAnsi="Times New Roman" w:cs="Times New Roman"/>
        </w:rPr>
        <w:t xml:space="preserve"> </w:t>
      </w:r>
    </w:p>
    <w:p w14:paraId="5FF62573" w14:textId="77777777" w:rsidR="0047032F"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In this study, both TAA</w:t>
      </w:r>
      <w:r w:rsidR="00D9622B">
        <w:rPr>
          <w:rFonts w:ascii="Times New Roman" w:eastAsia="Times New Roman" w:hAnsi="Times New Roman" w:cs="Times New Roman"/>
        </w:rPr>
        <w:t xml:space="preserve"> </w:t>
      </w:r>
      <w:r>
        <w:rPr>
          <w:rFonts w:ascii="Times New Roman" w:eastAsia="Times New Roman" w:hAnsi="Times New Roman" w:cs="Times New Roman"/>
        </w:rPr>
        <w:t xml:space="preserve">and TAE extracts showed concentration dependent α-amylase inhibition, with TAE showing an IC₅₀ as 79.85 µg/mL and TAA an IC₅₀ of 82.44 µg/mL. Although less effective than acarbose (IC₅₀ = 69.99 µg/mL), the ethanolic extract demonstrated slightly stronger activity than the acetone extract.  </w:t>
      </w:r>
      <w:r>
        <w:rPr>
          <w:rFonts w:ascii="Times New Roman" w:eastAsia="Times New Roman" w:hAnsi="Times New Roman" w:cs="Times New Roman"/>
          <w:color w:val="000000"/>
        </w:rPr>
        <w:t xml:space="preserve">This difference may be due to the higher polarity of ethanol, </w:t>
      </w:r>
      <w:r>
        <w:rPr>
          <w:rFonts w:ascii="Times New Roman" w:eastAsia="Times New Roman" w:hAnsi="Times New Roman" w:cs="Times New Roman"/>
          <w:color w:val="000000"/>
        </w:rPr>
        <w:lastRenderedPageBreak/>
        <w:t>which can extract a greater proportion of bioactive polar phytochemicals such as flavonoids, tannins, or phenolic acids</w:t>
      </w:r>
      <w:r w:rsidR="00BB514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compounds well known for α-amylase inhibitory activity. These findings are consistent with </w:t>
      </w:r>
      <w:r>
        <w:rPr>
          <w:rFonts w:ascii="Times New Roman" w:eastAsia="Times New Roman" w:hAnsi="Times New Roman" w:cs="Times New Roman"/>
        </w:rPr>
        <w:t>earlier studies on the plant’s antidiabetic potential</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w:t>
      </w:r>
      <w:r w:rsidR="00BB5143" w:rsidRPr="0051034D">
        <w:rPr>
          <w:rFonts w:ascii="Times New Roman" w:eastAsia="Times New Roman" w:hAnsi="Times New Roman" w:cs="Times New Roman"/>
        </w:rPr>
        <w:t>Sayeed</w:t>
      </w:r>
      <w:r w:rsidR="00BB5143">
        <w:rPr>
          <w:rFonts w:ascii="Times New Roman" w:eastAsia="Times New Roman" w:hAnsi="Times New Roman" w:cs="Times New Roman"/>
        </w:rPr>
        <w:t xml:space="preserve"> et al 2015</w:t>
      </w:r>
      <w:r w:rsidR="00BB4221">
        <w:rPr>
          <w:rFonts w:ascii="Times New Roman" w:eastAsia="Times New Roman" w:hAnsi="Times New Roman" w:cs="Times New Roman"/>
        </w:rPr>
        <w:t xml:space="preserve">, </w:t>
      </w:r>
      <w:r w:rsidR="00BB5143" w:rsidRPr="00562584">
        <w:rPr>
          <w:rFonts w:ascii="Times New Roman" w:eastAsia="Times New Roman" w:hAnsi="Times New Roman" w:cs="Times New Roman"/>
        </w:rPr>
        <w:t>Gupta and Chaphalkar</w:t>
      </w:r>
      <w:r w:rsidR="00BB5143">
        <w:rPr>
          <w:rFonts w:ascii="Times New Roman" w:eastAsia="Times New Roman" w:hAnsi="Times New Roman" w:cs="Times New Roman"/>
        </w:rPr>
        <w:t>, 2016</w:t>
      </w:r>
      <w:r w:rsidR="00BB4221">
        <w:rPr>
          <w:rFonts w:ascii="Times New Roman" w:eastAsia="Times New Roman" w:hAnsi="Times New Roman" w:cs="Times New Roman"/>
        </w:rPr>
        <w:t>)</w:t>
      </w:r>
      <w:r w:rsidR="0047032F">
        <w:rPr>
          <w:rFonts w:ascii="Times New Roman" w:eastAsia="Times New Roman" w:hAnsi="Times New Roman" w:cs="Times New Roman"/>
        </w:rPr>
        <w:t>.</w:t>
      </w:r>
      <w:r>
        <w:rPr>
          <w:rFonts w:ascii="Times New Roman" w:eastAsia="Times New Roman" w:hAnsi="Times New Roman" w:cs="Times New Roman"/>
        </w:rPr>
        <w:t xml:space="preserve"> </w:t>
      </w:r>
    </w:p>
    <w:p w14:paraId="0107A019"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Antioxidant assays (DPPH and ABTS) further demonstrated notable concentration-dependent radical scavenging activity of both extracts. </w:t>
      </w:r>
      <w:commentRangeStart w:id="29"/>
      <w:r>
        <w:rPr>
          <w:rFonts w:ascii="Times New Roman" w:eastAsia="Times New Roman" w:hAnsi="Times New Roman" w:cs="Times New Roman"/>
        </w:rPr>
        <w:t>TAE showed greater activity at lower concentrations due to abundant polar phenolics, wher</w:t>
      </w:r>
      <w:commentRangeEnd w:id="29"/>
      <w:r w:rsidR="00D929BA">
        <w:rPr>
          <w:rStyle w:val="CommentReference"/>
        </w:rPr>
        <w:commentReference w:id="29"/>
      </w:r>
      <w:r>
        <w:rPr>
          <w:rFonts w:ascii="Times New Roman" w:eastAsia="Times New Roman" w:hAnsi="Times New Roman" w:cs="Times New Roman"/>
        </w:rPr>
        <w:t xml:space="preserve">eas </w:t>
      </w:r>
      <w:commentRangeStart w:id="30"/>
      <w:r>
        <w:rPr>
          <w:rFonts w:ascii="Times New Roman" w:eastAsia="Times New Roman" w:hAnsi="Times New Roman" w:cs="Times New Roman"/>
        </w:rPr>
        <w:t>TAA performed marginally better</w:t>
      </w:r>
      <w:commentRangeEnd w:id="30"/>
      <w:r w:rsidR="00D929BA">
        <w:rPr>
          <w:rStyle w:val="CommentReference"/>
        </w:rPr>
        <w:commentReference w:id="30"/>
      </w:r>
      <w:r>
        <w:rPr>
          <w:rFonts w:ascii="Times New Roman" w:eastAsia="Times New Roman" w:hAnsi="Times New Roman" w:cs="Times New Roman"/>
        </w:rPr>
        <w:t xml:space="preserve"> at higher concentrations (400–500 µg/mL), due to less polar antioxidants. Standards (Trolox, ascorbic acid) confirmed assay reliability. These results align with previous studies attributing the antioxidant activity of </w:t>
      </w:r>
      <w:r>
        <w:rPr>
          <w:rFonts w:ascii="Times New Roman" w:eastAsia="Times New Roman" w:hAnsi="Times New Roman" w:cs="Times New Roman"/>
          <w:i/>
        </w:rPr>
        <w:t>T. arjuna</w:t>
      </w:r>
      <w:r>
        <w:rPr>
          <w:rFonts w:ascii="Times New Roman" w:eastAsia="Times New Roman" w:hAnsi="Times New Roman" w:cs="Times New Roman"/>
        </w:rPr>
        <w:t xml:space="preserve"> to polyphenolic constituents</w:t>
      </w:r>
      <w:r w:rsidR="00BB4221">
        <w:rPr>
          <w:rFonts w:ascii="Times New Roman" w:eastAsia="Times New Roman" w:hAnsi="Times New Roman" w:cs="Times New Roman"/>
        </w:rPr>
        <w:t xml:space="preserve"> (</w:t>
      </w:r>
      <w:r w:rsidR="00BB5143" w:rsidRPr="002C2242">
        <w:rPr>
          <w:rFonts w:ascii="Times New Roman" w:eastAsia="Times New Roman" w:hAnsi="Times New Roman" w:cs="Times New Roman"/>
        </w:rPr>
        <w:t>Shahid Chatha</w:t>
      </w:r>
      <w:r w:rsidR="00BB5143">
        <w:rPr>
          <w:rFonts w:ascii="Times New Roman" w:eastAsia="Times New Roman" w:hAnsi="Times New Roman" w:cs="Times New Roman"/>
        </w:rPr>
        <w:t>, 2014;</w:t>
      </w:r>
      <w:r w:rsidR="00BB4221">
        <w:rPr>
          <w:rFonts w:ascii="Times New Roman" w:eastAsia="Times New Roman" w:hAnsi="Times New Roman" w:cs="Times New Roman"/>
        </w:rPr>
        <w:t xml:space="preserve"> </w:t>
      </w:r>
      <w:r w:rsidR="00BB5143" w:rsidRPr="00E44539">
        <w:rPr>
          <w:rFonts w:ascii="Times New Roman" w:eastAsia="Times New Roman" w:hAnsi="Times New Roman" w:cs="Times New Roman"/>
        </w:rPr>
        <w:t>Kulisic</w:t>
      </w:r>
      <w:r w:rsidR="00BB5143">
        <w:rPr>
          <w:rFonts w:ascii="Times New Roman" w:eastAsia="Times New Roman" w:hAnsi="Times New Roman" w:cs="Times New Roman"/>
        </w:rPr>
        <w:t xml:space="preserve"> et al., 2004</w:t>
      </w:r>
      <w:r w:rsidR="00BB4221">
        <w:rPr>
          <w:rFonts w:ascii="Times New Roman" w:eastAsia="Times New Roman" w:hAnsi="Times New Roman" w:cs="Times New Roman"/>
        </w:rPr>
        <w:t xml:space="preserve">, </w:t>
      </w:r>
      <w:r w:rsidR="00BB5143" w:rsidRPr="0026395D">
        <w:rPr>
          <w:rFonts w:ascii="Times New Roman" w:eastAsia="Times New Roman" w:hAnsi="Times New Roman" w:cs="Times New Roman"/>
        </w:rPr>
        <w:t>Letelier</w:t>
      </w:r>
      <w:r w:rsidR="00BB5143">
        <w:rPr>
          <w:rFonts w:ascii="Times New Roman" w:eastAsia="Times New Roman" w:hAnsi="Times New Roman" w:cs="Times New Roman"/>
        </w:rPr>
        <w:t xml:space="preserve">  et al 2008</w:t>
      </w:r>
      <w:r w:rsidR="00BB4221">
        <w:rPr>
          <w:rFonts w:ascii="Times New Roman" w:eastAsia="Times New Roman" w:hAnsi="Times New Roman" w:cs="Times New Roman"/>
        </w:rPr>
        <w:t>)</w:t>
      </w:r>
      <w:r>
        <w:rPr>
          <w:rFonts w:ascii="Times New Roman" w:eastAsia="Times New Roman" w:hAnsi="Times New Roman" w:cs="Times New Roman"/>
        </w:rPr>
        <w:t xml:space="preserve"> </w:t>
      </w:r>
      <w:r w:rsidR="0047032F">
        <w:rPr>
          <w:rFonts w:ascii="Times New Roman" w:eastAsia="Times New Roman" w:hAnsi="Times New Roman" w:cs="Times New Roman"/>
        </w:rPr>
        <w:t>.</w:t>
      </w:r>
    </w:p>
    <w:p w14:paraId="1C95811A" w14:textId="77777777" w:rsidR="00C0140E" w:rsidRDefault="00957F0F" w:rsidP="00AC4F33">
      <w:pP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rPr>
        <w:t>GC-MS analysis revealed diverse phytochemicals, including fatty acids (hexadecanoic acid and vaccenic acid), phytol, phytol acetate and phenolic esters</w:t>
      </w:r>
      <w:r w:rsidR="00BB5143">
        <w:rPr>
          <w:rFonts w:ascii="Times New Roman" w:eastAsia="Times New Roman" w:hAnsi="Times New Roman" w:cs="Times New Roman"/>
        </w:rPr>
        <w:t xml:space="preserve"> c</w:t>
      </w:r>
      <w:r>
        <w:rPr>
          <w:rFonts w:ascii="Times New Roman" w:eastAsia="Times New Roman" w:hAnsi="Times New Roman" w:cs="Times New Roman"/>
        </w:rPr>
        <w:t>ompounds known to improve insulin sensitivity, glucose uptake and oxidative stress responses</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 xml:space="preserve"> (</w:t>
      </w:r>
      <w:r w:rsidR="00BB5143" w:rsidRPr="00D56F31">
        <w:rPr>
          <w:rFonts w:ascii="Times New Roman" w:eastAsia="Times New Roman" w:hAnsi="Times New Roman" w:cs="Times New Roman"/>
        </w:rPr>
        <w:t>Amalraj and Gopi</w:t>
      </w:r>
      <w:r w:rsidR="00BB5143">
        <w:rPr>
          <w:rFonts w:ascii="Times New Roman" w:eastAsia="Times New Roman" w:hAnsi="Times New Roman" w:cs="Times New Roman"/>
        </w:rPr>
        <w:t>, 2017;</w:t>
      </w:r>
      <w:r w:rsidR="00BB4221">
        <w:rPr>
          <w:rFonts w:ascii="Times New Roman" w:eastAsia="Times New Roman" w:hAnsi="Times New Roman" w:cs="Times New Roman"/>
        </w:rPr>
        <w:t xml:space="preserve"> </w:t>
      </w:r>
      <w:r w:rsidR="00BB5143" w:rsidRPr="00D56F31">
        <w:rPr>
          <w:rFonts w:ascii="Times New Roman" w:eastAsia="Times New Roman" w:hAnsi="Times New Roman" w:cs="Times New Roman"/>
        </w:rPr>
        <w:t>Kang</w:t>
      </w:r>
      <w:r w:rsidR="00BB5143">
        <w:rPr>
          <w:rFonts w:ascii="Times New Roman" w:eastAsia="Times New Roman" w:hAnsi="Times New Roman" w:cs="Times New Roman"/>
        </w:rPr>
        <w:t xml:space="preserve"> et al., 2013</w:t>
      </w:r>
      <w:r w:rsidR="00BB4221">
        <w:rPr>
          <w:rFonts w:ascii="Times New Roman" w:eastAsia="Times New Roman" w:hAnsi="Times New Roman" w:cs="Times New Roman"/>
        </w:rPr>
        <w:t>)</w:t>
      </w:r>
      <w:r w:rsidR="0047032F">
        <w:rPr>
          <w:rFonts w:ascii="Times New Roman" w:eastAsia="Times New Roman" w:hAnsi="Times New Roman" w:cs="Times New Roman"/>
        </w:rPr>
        <w:t>.</w:t>
      </w:r>
      <w:r>
        <w:rPr>
          <w:rFonts w:ascii="Times New Roman" w:eastAsia="Times New Roman" w:hAnsi="Times New Roman" w:cs="Times New Roman"/>
        </w:rPr>
        <w:t xml:space="preserve"> TAA contained more long chain of fatty acids and MUFAs (such as 9,12-octadecadienoic acids, diterpenes) enhancing lipid metabolism and glucose absorption</w:t>
      </w:r>
      <w:r w:rsidR="0047032F">
        <w:rPr>
          <w:rFonts w:ascii="Times New Roman" w:eastAsia="Times New Roman" w:hAnsi="Times New Roman" w:cs="Times New Roman"/>
        </w:rPr>
        <w:t xml:space="preserve"> </w:t>
      </w:r>
      <w:r w:rsidR="00BB4221">
        <w:rPr>
          <w:rFonts w:ascii="Times New Roman" w:eastAsia="Times New Roman" w:hAnsi="Times New Roman" w:cs="Times New Roman"/>
        </w:rPr>
        <w:t>(</w:t>
      </w:r>
      <w:r w:rsidR="00BB5143" w:rsidRPr="0051034D">
        <w:rPr>
          <w:rFonts w:ascii="Times New Roman" w:eastAsia="Times New Roman" w:hAnsi="Times New Roman" w:cs="Times New Roman"/>
        </w:rPr>
        <w:t>Kim</w:t>
      </w:r>
      <w:r w:rsidR="00BB5143">
        <w:rPr>
          <w:rFonts w:ascii="Times New Roman" w:eastAsia="Times New Roman" w:hAnsi="Times New Roman" w:cs="Times New Roman"/>
        </w:rPr>
        <w:t xml:space="preserve"> et al.,  2010; </w:t>
      </w:r>
      <w:r w:rsidR="00BB5143" w:rsidRPr="0026395D">
        <w:rPr>
          <w:rFonts w:ascii="Times New Roman" w:eastAsia="Times New Roman" w:hAnsi="Times New Roman" w:cs="Times New Roman"/>
        </w:rPr>
        <w:t>Hossain</w:t>
      </w:r>
      <w:r w:rsidR="00BB5143">
        <w:rPr>
          <w:rFonts w:ascii="Times New Roman" w:eastAsia="Times New Roman" w:hAnsi="Times New Roman" w:cs="Times New Roman"/>
        </w:rPr>
        <w:t xml:space="preserve"> et al., 2020</w:t>
      </w:r>
      <w:r w:rsidR="00BB4221">
        <w:rPr>
          <w:rFonts w:ascii="Times New Roman" w:eastAsia="Times New Roman" w:hAnsi="Times New Roman" w:cs="Times New Roman"/>
        </w:rPr>
        <w:t>)</w:t>
      </w:r>
      <w:r>
        <w:rPr>
          <w:rFonts w:ascii="Times New Roman" w:eastAsia="Times New Roman" w:hAnsi="Times New Roman" w:cs="Times New Roman"/>
        </w:rPr>
        <w:t xml:space="preserve"> while TAE was richer in PUFAs and esters correlating with stronger </w:t>
      </w:r>
      <w:r>
        <w:rPr>
          <w:rFonts w:ascii="Times New Roman" w:eastAsia="Times New Roman" w:hAnsi="Times New Roman" w:cs="Times New Roman"/>
          <w:color w:val="000000"/>
        </w:rPr>
        <w:t>α-amylase inhibition</w:t>
      </w:r>
      <w:r w:rsidR="0047032F">
        <w:rPr>
          <w:rFonts w:ascii="Times New Roman" w:eastAsia="Times New Roman" w:hAnsi="Times New Roman" w:cs="Times New Roman"/>
          <w:color w:val="000000"/>
        </w:rPr>
        <w:t xml:space="preserve"> </w:t>
      </w:r>
      <w:r w:rsidR="00BB4221">
        <w:rPr>
          <w:rFonts w:ascii="Times New Roman" w:eastAsia="Times New Roman" w:hAnsi="Times New Roman" w:cs="Times New Roman"/>
          <w:color w:val="000000"/>
        </w:rPr>
        <w:t>(</w:t>
      </w:r>
      <w:r w:rsidR="00BB5143" w:rsidRPr="002C2242">
        <w:rPr>
          <w:rFonts w:ascii="Times New Roman" w:eastAsia="Times New Roman" w:hAnsi="Times New Roman" w:cs="Times New Roman"/>
        </w:rPr>
        <w:t>Singh</w:t>
      </w:r>
      <w:r w:rsidR="00BB5143">
        <w:rPr>
          <w:rFonts w:ascii="Times New Roman" w:eastAsia="Times New Roman" w:hAnsi="Times New Roman" w:cs="Times New Roman"/>
        </w:rPr>
        <w:t xml:space="preserve"> and</w:t>
      </w:r>
      <w:r w:rsidR="00BB5143" w:rsidRPr="002C2242">
        <w:rPr>
          <w:rFonts w:ascii="Times New Roman" w:eastAsia="Times New Roman" w:hAnsi="Times New Roman" w:cs="Times New Roman"/>
        </w:rPr>
        <w:t xml:space="preserve"> Singh</w:t>
      </w:r>
      <w:r w:rsidR="00BB5143">
        <w:rPr>
          <w:rFonts w:ascii="Times New Roman" w:eastAsia="Times New Roman" w:hAnsi="Times New Roman" w:cs="Times New Roman"/>
        </w:rPr>
        <w:t>,</w:t>
      </w:r>
      <w:r w:rsidR="00BB5143">
        <w:rPr>
          <w:rFonts w:ascii="Times New Roman" w:eastAsia="Times New Roman" w:hAnsi="Times New Roman" w:cs="Times New Roman"/>
          <w:color w:val="000000"/>
        </w:rPr>
        <w:t xml:space="preserve"> 2008</w:t>
      </w:r>
      <w:r w:rsidR="00BB4221">
        <w:rPr>
          <w:rFonts w:ascii="Times New Roman" w:eastAsia="Times New Roman" w:hAnsi="Times New Roman" w:cs="Times New Roman"/>
          <w:color w:val="000000"/>
        </w:rPr>
        <w:t xml:space="preserve">, </w:t>
      </w:r>
      <w:r w:rsidR="00BB5143" w:rsidRPr="00D56F31">
        <w:rPr>
          <w:rFonts w:ascii="Times New Roman" w:eastAsia="Times New Roman" w:hAnsi="Times New Roman" w:cs="Times New Roman"/>
        </w:rPr>
        <w:t>Orhan</w:t>
      </w:r>
      <w:r w:rsidR="00BB5143">
        <w:rPr>
          <w:rFonts w:ascii="Times New Roman" w:eastAsia="Times New Roman" w:hAnsi="Times New Roman" w:cs="Times New Roman"/>
          <w:color w:val="000000"/>
        </w:rPr>
        <w:t xml:space="preserve"> et al 2012</w:t>
      </w:r>
      <w:r w:rsidR="00BB4221">
        <w:rPr>
          <w:rFonts w:ascii="Times New Roman" w:eastAsia="Times New Roman" w:hAnsi="Times New Roman" w:cs="Times New Roman"/>
          <w:color w:val="000000"/>
        </w:rPr>
        <w:t>)</w:t>
      </w:r>
      <w:r w:rsidR="0047032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presence of cis-vaccenic acid and glutarimide derivatives further supports their metabolic benefits.</w:t>
      </w:r>
    </w:p>
    <w:p w14:paraId="2E8687C2" w14:textId="77777777" w:rsidR="00C0140E" w:rsidRDefault="00957F0F" w:rsidP="00AC4F33">
      <w:pP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the leaf extracts of </w:t>
      </w:r>
      <w:r>
        <w:rPr>
          <w:rFonts w:ascii="Times New Roman" w:eastAsia="Times New Roman" w:hAnsi="Times New Roman" w:cs="Times New Roman"/>
          <w:i/>
          <w:color w:val="000000"/>
        </w:rPr>
        <w:t>T. arjuna</w:t>
      </w:r>
      <w:r>
        <w:rPr>
          <w:rFonts w:ascii="Times New Roman" w:eastAsia="Times New Roman" w:hAnsi="Times New Roman" w:cs="Times New Roman"/>
          <w:color w:val="000000"/>
        </w:rPr>
        <w:t xml:space="preserve"> extracts </w:t>
      </w:r>
      <w:commentRangeStart w:id="31"/>
      <w:r>
        <w:rPr>
          <w:rFonts w:ascii="Times New Roman" w:eastAsia="Times New Roman" w:hAnsi="Times New Roman" w:cs="Times New Roman"/>
          <w:color w:val="000000"/>
        </w:rPr>
        <w:t>display</w:t>
      </w:r>
      <w:commentRangeEnd w:id="31"/>
      <w:r w:rsidR="00D929BA">
        <w:rPr>
          <w:rStyle w:val="CommentReference"/>
        </w:rPr>
        <w:commentReference w:id="31"/>
      </w:r>
      <w:r>
        <w:rPr>
          <w:rFonts w:ascii="Times New Roman" w:eastAsia="Times New Roman" w:hAnsi="Times New Roman" w:cs="Times New Roman"/>
          <w:color w:val="000000"/>
        </w:rPr>
        <w:t xml:space="preserve"> dual antioxidant and α-amylase inhibitory activities, strengthened by </w:t>
      </w:r>
      <w:commentRangeStart w:id="32"/>
      <w:r>
        <w:rPr>
          <w:rFonts w:ascii="Times New Roman" w:eastAsia="Times New Roman" w:hAnsi="Times New Roman" w:cs="Times New Roman"/>
          <w:color w:val="000000"/>
        </w:rPr>
        <w:t>complex</w:t>
      </w:r>
      <w:commentRangeEnd w:id="32"/>
      <w:r w:rsidR="00D929BA">
        <w:rPr>
          <w:rStyle w:val="CommentReference"/>
        </w:rPr>
        <w:commentReference w:id="32"/>
      </w:r>
      <w:r>
        <w:rPr>
          <w:rFonts w:ascii="Times New Roman" w:eastAsia="Times New Roman" w:hAnsi="Times New Roman" w:cs="Times New Roman"/>
          <w:color w:val="000000"/>
        </w:rPr>
        <w:t xml:space="preserve"> phytochemical profile. These findings validate its traditional </w:t>
      </w:r>
      <w:r>
        <w:rPr>
          <w:rFonts w:ascii="Times New Roman" w:eastAsia="Times New Roman" w:hAnsi="Times New Roman" w:cs="Times New Roman"/>
          <w:color w:val="000000"/>
        </w:rPr>
        <w:lastRenderedPageBreak/>
        <w:t xml:space="preserve">use in diabetes management and highlight its potential natural source of antioxidant and antidiabetic agents, necessitating further in vivo and bioavailability studies. </w:t>
      </w:r>
    </w:p>
    <w:p w14:paraId="7A12DD20" w14:textId="77777777" w:rsidR="00C0140E" w:rsidRDefault="00957F0F" w:rsidP="00AC4F33">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6. Conclusion</w:t>
      </w:r>
      <w:r w:rsidR="00F1238E">
        <w:rPr>
          <w:rFonts w:ascii="Times New Roman" w:eastAsia="Times New Roman" w:hAnsi="Times New Roman" w:cs="Times New Roman"/>
          <w:b/>
        </w:rPr>
        <w:t>:</w:t>
      </w:r>
    </w:p>
    <w:p w14:paraId="40BA0D4C" w14:textId="77777777" w:rsidR="00C0140E" w:rsidRDefault="00957F0F" w:rsidP="00AC4F33">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findings of this study provide strong evidence for the antioxidant and antidiabetic potential of </w:t>
      </w:r>
      <w:r>
        <w:rPr>
          <w:rFonts w:ascii="Times New Roman" w:eastAsia="Times New Roman" w:hAnsi="Times New Roman" w:cs="Times New Roman"/>
          <w:i/>
        </w:rPr>
        <w:t>Terminalia arjuna</w:t>
      </w:r>
      <w:r>
        <w:rPr>
          <w:rFonts w:ascii="Times New Roman" w:eastAsia="Times New Roman" w:hAnsi="Times New Roman" w:cs="Times New Roman"/>
        </w:rPr>
        <w:t xml:space="preserve"> leaf extracts, </w:t>
      </w:r>
      <w:commentRangeStart w:id="33"/>
      <w:r>
        <w:rPr>
          <w:rFonts w:ascii="Times New Roman" w:eastAsia="Times New Roman" w:hAnsi="Times New Roman" w:cs="Times New Roman"/>
        </w:rPr>
        <w:t xml:space="preserve">with the ethanolic extract (TAE) showing distinguished activity. </w:t>
      </w:r>
      <w:commentRangeEnd w:id="33"/>
      <w:r w:rsidR="00D929BA">
        <w:rPr>
          <w:rStyle w:val="CommentReference"/>
        </w:rPr>
        <w:commentReference w:id="33"/>
      </w:r>
      <w:commentRangeStart w:id="34"/>
      <w:r>
        <w:rPr>
          <w:rFonts w:ascii="Times New Roman" w:eastAsia="Times New Roman" w:hAnsi="Times New Roman" w:cs="Times New Roman"/>
        </w:rPr>
        <w:t xml:space="preserve">GC-MS analysis revealed the presence of phenolic derivatives, phytol, and fatty acids which likely act synergistically to inhibit key enzymes by binding to their active sites thereby slowing carbohydrate metabolism. </w:t>
      </w:r>
      <w:commentRangeEnd w:id="34"/>
      <w:r w:rsidR="00D929BA">
        <w:rPr>
          <w:rStyle w:val="CommentReference"/>
        </w:rPr>
        <w:commentReference w:id="34"/>
      </w:r>
      <w:r>
        <w:rPr>
          <w:rFonts w:ascii="Times New Roman" w:eastAsia="Times New Roman" w:hAnsi="Times New Roman" w:cs="Times New Roman"/>
        </w:rPr>
        <w:t xml:space="preserve">The antioxidant capacity, confirmed through ABTS and DPPH radical scavenging assays, further emphasizes the efficacy of these extracts. Thus, these results suggest that </w:t>
      </w:r>
      <w:r w:rsidR="00D9622B">
        <w:rPr>
          <w:rFonts w:ascii="Times New Roman" w:eastAsia="Times New Roman" w:hAnsi="Times New Roman" w:cs="Times New Roman"/>
        </w:rPr>
        <w:t xml:space="preserve">both extracts </w:t>
      </w:r>
      <w:r>
        <w:rPr>
          <w:rFonts w:ascii="Times New Roman" w:eastAsia="Times New Roman" w:hAnsi="Times New Roman" w:cs="Times New Roman"/>
        </w:rPr>
        <w:t xml:space="preserve">can act as a promising dual-purpose therapeutic agent of mitigating oxidative stress and regulating postprandial blood sugar levels. Nonetheless, further work involving isolation and characterization of individual phytochemicals, along with </w:t>
      </w:r>
      <w:r>
        <w:rPr>
          <w:rFonts w:ascii="Times New Roman" w:eastAsia="Times New Roman" w:hAnsi="Times New Roman" w:cs="Times New Roman"/>
          <w:i/>
        </w:rPr>
        <w:t>in vivo</w:t>
      </w:r>
      <w:r>
        <w:rPr>
          <w:rFonts w:ascii="Times New Roman" w:eastAsia="Times New Roman" w:hAnsi="Times New Roman" w:cs="Times New Roman"/>
        </w:rPr>
        <w:t xml:space="preserve"> validation, is essential to fully elucidate their pharmacological potential and mechanism of action.</w:t>
      </w:r>
    </w:p>
    <w:p w14:paraId="2EC56633" w14:textId="77777777" w:rsidR="00DC26C2" w:rsidRDefault="00DC26C2">
      <w:pPr>
        <w:spacing w:before="240" w:after="240" w:line="240" w:lineRule="auto"/>
        <w:jc w:val="both"/>
        <w:rPr>
          <w:rFonts w:ascii="Times New Roman" w:eastAsia="Times New Roman" w:hAnsi="Times New Roman" w:cs="Times New Roman"/>
        </w:rPr>
      </w:pPr>
    </w:p>
    <w:p w14:paraId="65EE8792" w14:textId="77777777" w:rsidR="00C0140E" w:rsidRDefault="00F16953">
      <w:pPr>
        <w:spacing w:before="240" w:line="240" w:lineRule="auto"/>
        <w:jc w:val="both"/>
        <w:rPr>
          <w:rFonts w:ascii="Times New Roman" w:eastAsia="Times New Roman" w:hAnsi="Times New Roman" w:cs="Times New Roman"/>
          <w:b/>
        </w:rPr>
      </w:pPr>
      <w:bookmarkStart w:id="35" w:name="_Hlk213963490"/>
      <w:commentRangeStart w:id="36"/>
      <w:r>
        <w:rPr>
          <w:rFonts w:ascii="Times New Roman" w:eastAsia="Times New Roman" w:hAnsi="Times New Roman" w:cs="Times New Roman"/>
          <w:b/>
        </w:rPr>
        <w:t>8</w:t>
      </w:r>
      <w:r w:rsidR="00DC26C2">
        <w:rPr>
          <w:rFonts w:ascii="Times New Roman" w:eastAsia="Times New Roman" w:hAnsi="Times New Roman" w:cs="Times New Roman"/>
          <w:b/>
        </w:rPr>
        <w:t>.  References</w:t>
      </w:r>
      <w:r w:rsidR="00D31DA7">
        <w:rPr>
          <w:rFonts w:ascii="Times New Roman" w:eastAsia="Times New Roman" w:hAnsi="Times New Roman" w:cs="Times New Roman"/>
          <w:b/>
        </w:rPr>
        <w:t>:</w:t>
      </w:r>
      <w:commentRangeEnd w:id="36"/>
      <w:r w:rsidR="00D929BA">
        <w:rPr>
          <w:rStyle w:val="CommentReference"/>
        </w:rPr>
        <w:commentReference w:id="36"/>
      </w:r>
    </w:p>
    <w:p w14:paraId="0AD3CC1A" w14:textId="77777777" w:rsidR="00792848" w:rsidRPr="00D56F31" w:rsidRDefault="008F1EF3" w:rsidP="00AC4F33">
      <w:pPr>
        <w:pStyle w:val="ListParagraph"/>
        <w:numPr>
          <w:ilvl w:val="0"/>
          <w:numId w:val="1"/>
        </w:numPr>
        <w:spacing w:line="480" w:lineRule="auto"/>
        <w:ind w:left="357" w:hanging="357"/>
        <w:rPr>
          <w:rFonts w:ascii="Times New Roman" w:eastAsia="Times New Roman" w:hAnsi="Times New Roman" w:cs="Times New Roman"/>
        </w:rPr>
      </w:pPr>
      <w:r w:rsidRPr="008F1EF3">
        <w:rPr>
          <w:rFonts w:ascii="Times New Roman" w:eastAsia="Times New Roman" w:hAnsi="Times New Roman" w:cs="Times New Roman"/>
          <w:lang w:val="en"/>
        </w:rPr>
        <w:t>Magliano, D. J., &amp; Boyko, E. J. (2021). IDF diabetes atlas.</w:t>
      </w:r>
    </w:p>
    <w:p w14:paraId="7A49AFAC"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Hossain, M.J., Al-Mamun, M., and Islam, M.R. (2024). Diabetes mellitus, the fastest growing global public health concern: Early detection should be focused. Health Sci. Rep., 7(3):e2004.</w:t>
      </w:r>
    </w:p>
    <w:p w14:paraId="77E55C75"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Hiyoshi, T., Fujiwara, M., and Yao, Z. (2017). Postprandial hyperglycemia and postprandial hypertriglyceridemia in type 2 diabetes. J. Biomed. Res., 33(1):1–16.</w:t>
      </w:r>
    </w:p>
    <w:p w14:paraId="3518E1D3"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Abdulkareem, M.A., Owolabi, B.A., Saheed, E.S., et al. (2024). Genetic factors and the role of pancreatic amylase in the pathogenesis of type 2 diabetes. Egypt. J. Med. Hum. Genet., 25:33.</w:t>
      </w:r>
    </w:p>
    <w:p w14:paraId="169C3618"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lastRenderedPageBreak/>
        <w:t>Kashtoh, H., and Baek, S.H. (2023). Natural phytochemicals as therapeutic agents for metabolic disorders: A review. Phytomedicine, 115:154783.</w:t>
      </w:r>
    </w:p>
    <w:p w14:paraId="01D3F36A" w14:textId="77777777" w:rsidR="00792848" w:rsidRPr="00D56F31" w:rsidRDefault="00792848" w:rsidP="00AC4F33">
      <w:pPr>
        <w:pStyle w:val="ListParagraph"/>
        <w:numPr>
          <w:ilvl w:val="0"/>
          <w:numId w:val="1"/>
        </w:numPr>
        <w:spacing w:line="480" w:lineRule="auto"/>
        <w:ind w:left="357" w:hanging="357"/>
        <w:rPr>
          <w:rFonts w:ascii="Times New Roman" w:eastAsia="Times New Roman" w:hAnsi="Times New Roman" w:cs="Times New Roman"/>
        </w:rPr>
      </w:pPr>
      <w:r w:rsidRPr="00D56F31">
        <w:rPr>
          <w:rFonts w:ascii="Times New Roman" w:eastAsia="Times New Roman" w:hAnsi="Times New Roman" w:cs="Times New Roman"/>
        </w:rPr>
        <w:t>Gulati, V., Harding, I.H., and Palombo, E.A. (2012). Enzyme inhibitory and antioxidant activities of traditional medicinal plants: Potential application in the management of hyperglycemia. BMC Complement. Altern. Med., 12:77.</w:t>
      </w:r>
    </w:p>
    <w:p w14:paraId="3B2DE1EE"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Rao, M.U., Sreenivasulu, M., Chengaiah, B., Reddy, K.J., and Chetty, C.M. (2010). Herbal medicines for diabetes mellitus: A review. Int. J. PharmTech Res., 2(3):1883–1892.</w:t>
      </w:r>
    </w:p>
    <w:p w14:paraId="6A4138AF"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Arumugam, G., Manjula, P., and Paari, N. (2013). Anti-diabetic medicinal plants used for diabetes mellitus: A review. J. Acute Dis., 2(3):196–200.</w:t>
      </w:r>
    </w:p>
    <w:p w14:paraId="63287E85" w14:textId="77777777" w:rsidR="00792848" w:rsidRPr="00D56F31"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Przeor, M. (2023). Some common medicinal plants with antidiabetic activity, known and available in Europe (A mini-review). Pharmaceuticals, 16(1):65.</w:t>
      </w:r>
    </w:p>
    <w:p w14:paraId="238A9234"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Jugran, A. K., Rawat, S., Devkota, H. P., Bhatt, I. D., &amp; Rawal, R. S. (2021). Diabetes and plant‐derived natural products: From ethnopharmacological approaches to their potential for modern drug discovery and development. Phytotherapy Research, </w:t>
      </w:r>
      <w:r w:rsidRPr="002C2242">
        <w:rPr>
          <w:rFonts w:ascii="Times New Roman" w:eastAsia="Times New Roman" w:hAnsi="Times New Roman" w:cs="Times New Roman"/>
          <w:i/>
          <w:iCs/>
          <w:lang w:val="en"/>
        </w:rPr>
        <w:t>35</w:t>
      </w:r>
      <w:r w:rsidRPr="002C2242">
        <w:rPr>
          <w:rFonts w:ascii="Times New Roman" w:eastAsia="Times New Roman" w:hAnsi="Times New Roman" w:cs="Times New Roman"/>
          <w:lang w:val="en"/>
        </w:rPr>
        <w:t xml:space="preserve">(1), 223-245. </w:t>
      </w:r>
    </w:p>
    <w:p w14:paraId="16179F39"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Durazzo, A., D’Addezio, L., Camilli, E., Piccinelli, R., Turrini, A., Marletta, L., et al. (2018). From plant compounds to botanicals and back: A current snapshot. Molecules, 23(7):1844.</w:t>
      </w:r>
    </w:p>
    <w:p w14:paraId="23440861"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Chan, C.H., Ngoh, G.C., and Yusoff, R. (2012). A brief review on anti-diabetic plants: Global distribution, active ingredients, extraction techniques and acting mechanisms. Pharmacogn. Rev., 6(11):22–28.</w:t>
      </w:r>
    </w:p>
    <w:p w14:paraId="04022D56"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 xml:space="preserve">Zhang, X. R., Kaunda, J. S., Zhu, H. T., Wang, D., Yang, C. R., &amp; Zhang, Y. J. (2019). The genus Terminalia (Combretaceae): An ethnopharmacological, phytochemical and pharmacological review. Natural products and bioprospecting, 9(6), 357-392. </w:t>
      </w:r>
    </w:p>
    <w:p w14:paraId="6291E347"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Dwivedi, S., and Chopra, D. (2014). Revisiting Terminalia arjuna - An ancient cardiovascular drug. J. Tradit. Complement. Med., 4(4):224–231.</w:t>
      </w:r>
    </w:p>
    <w:p w14:paraId="11C90CFD"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Amalraj, A., and Gopi, S. (2017). Medicinal properties of Terminalia arjuna (Roxb.) Wight &amp; Arn.: A review. J. Tradit. Complement. Med., 7(1):65–78.</w:t>
      </w:r>
    </w:p>
    <w:p w14:paraId="6903F27E"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lastRenderedPageBreak/>
        <w:t>Kumar, V., Chandel, S. R., Guleria, S., Sharma, N., Sourirajan, A., Khosla, P. K., &amp; Dev, K. (2021). Comparative analysis of phytochemicals, antimicrobial and antioxidant activity of different species of Terminalia from Himachal Pradesh, India. </w:t>
      </w:r>
      <w:r w:rsidRPr="002C2242">
        <w:rPr>
          <w:rFonts w:ascii="Times New Roman" w:eastAsia="Times New Roman" w:hAnsi="Times New Roman" w:cs="Times New Roman"/>
          <w:i/>
          <w:iCs/>
          <w:lang w:val="en"/>
        </w:rPr>
        <w:t>Vegetos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34</w:t>
      </w:r>
      <w:r w:rsidRPr="002C2242">
        <w:rPr>
          <w:rFonts w:ascii="Times New Roman" w:eastAsia="Times New Roman" w:hAnsi="Times New Roman" w:cs="Times New Roman"/>
          <w:lang w:val="en"/>
        </w:rPr>
        <w:t xml:space="preserve">(3), 528-539. </w:t>
      </w:r>
    </w:p>
    <w:p w14:paraId="577AA889"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Shahid Chatha, S.A., Hussain, A.I., Asad, R., Majeed, M., and Aslam, N. (2014). Bioactive components and antioxidant properties of Terminalia arjuna L. extracts. J. Food Process. Technol., 5(298):2–9.</w:t>
      </w:r>
    </w:p>
    <w:p w14:paraId="17A064AB" w14:textId="77777777" w:rsidR="00792848" w:rsidRPr="002956C7"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956C7">
        <w:rPr>
          <w:rFonts w:ascii="Times New Roman" w:eastAsia="Times New Roman" w:hAnsi="Times New Roman" w:cs="Times New Roman"/>
        </w:rPr>
        <w:t>Shahriar, M., Kabir, M.S., Dewan, S.M.R., and Bhuiyan, M.A. (2012). Comparative antioxidant activity of ethanolic extract of Terminalia arjuna Roxb. bark. Int. Curr. Pharm. J., 1(4):84–90.</w:t>
      </w:r>
    </w:p>
    <w:p w14:paraId="7F429FE0" w14:textId="77777777" w:rsidR="00792848" w:rsidRPr="002956C7"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 xml:space="preserve">Singh, S., &amp; Singh, R. P. (2008). In vitro methods of assay of antioxidants: an overview. Food reviews international, 24(4), 392-415. </w:t>
      </w:r>
    </w:p>
    <w:p w14:paraId="39FC5793" w14:textId="77777777" w:rsidR="00792848" w:rsidRPr="002956C7"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956C7">
        <w:rPr>
          <w:rFonts w:ascii="Times New Roman" w:eastAsia="Times New Roman" w:hAnsi="Times New Roman" w:cs="Times New Roman"/>
        </w:rPr>
        <w:t>Gupta, D., and Kumar, M. (2017). Evaluation of in vitro antimicrobial potential and GC-MS analysis of Camellia sinensis and Terminalia arjuna. Biotechnol. Rep., 13:19–25.</w:t>
      </w:r>
    </w:p>
    <w:p w14:paraId="20B87E57" w14:textId="77777777" w:rsidR="00792848" w:rsidRPr="00F9556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F95565">
        <w:rPr>
          <w:rFonts w:ascii="Times New Roman" w:eastAsia="Times New Roman" w:hAnsi="Times New Roman" w:cs="Times New Roman"/>
        </w:rPr>
        <w:t>Iheagwam, F.N., Israel, E.N., Kayode, K.O., De Campos, O.C., Ogunlana, O.O., and Chinedu, S.N. (2019). GC–MS analysis and inhibitory evaluation of Terminalia catappa leaf extracts on major enzymes linked to diabetes. Evid. Based Complement. Altern. Med., 2019:6316231.</w:t>
      </w:r>
    </w:p>
    <w:p w14:paraId="60D3A493" w14:textId="77777777" w:rsidR="00792848" w:rsidRPr="00F9556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F95565">
        <w:rPr>
          <w:rFonts w:ascii="Times New Roman" w:eastAsia="Times New Roman" w:hAnsi="Times New Roman" w:cs="Times New Roman"/>
        </w:rPr>
        <w:t>Gutiérrez-Grijalva, E.P., Picos-Salas, M.A., Leyva-López, N., Criollo-Mendoza, M.S., Vazquez-Olivo, G., and Heredia, J.B. (2019). Flavonoids and phenolic acids from oregano: Occurrence, biological activity and health benefits. Plants, 8(2):37.</w:t>
      </w:r>
    </w:p>
    <w:p w14:paraId="325D747E" w14:textId="77777777" w:rsidR="00792848" w:rsidRPr="008F1EF3" w:rsidRDefault="00253053"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8F1EF3">
        <w:rPr>
          <w:rFonts w:ascii="Times New Roman" w:eastAsia="Times New Roman" w:hAnsi="Times New Roman" w:cs="Times New Roman"/>
          <w:lang w:val="en"/>
        </w:rPr>
        <w:t>Sabiu, S., O’Neill, F. H., &amp; Ashafa, A. O. T. (2016). The purview of phytotherapy in the management of kidney disorders: a systematic review on Nigeria and South Africa. </w:t>
      </w:r>
      <w:r w:rsidRPr="002C2242">
        <w:rPr>
          <w:rFonts w:ascii="Times New Roman" w:eastAsia="Times New Roman" w:hAnsi="Times New Roman" w:cs="Times New Roman"/>
          <w:lang w:val="en"/>
        </w:rPr>
        <w:t>African Journal of Traditional, Complementary and Alternative Medicines,</w:t>
      </w:r>
      <w:r w:rsidRPr="008F1EF3">
        <w:rPr>
          <w:rFonts w:ascii="Times New Roman" w:eastAsia="Times New Roman" w:hAnsi="Times New Roman" w:cs="Times New Roman"/>
          <w:lang w:val="en"/>
        </w:rPr>
        <w:t> </w:t>
      </w:r>
      <w:r w:rsidRPr="008F1EF3">
        <w:rPr>
          <w:rFonts w:ascii="Times New Roman" w:eastAsia="Times New Roman" w:hAnsi="Times New Roman" w:cs="Times New Roman"/>
          <w:i/>
          <w:iCs/>
          <w:lang w:val="en"/>
        </w:rPr>
        <w:t>13</w:t>
      </w:r>
      <w:r w:rsidRPr="008F1EF3">
        <w:rPr>
          <w:rFonts w:ascii="Times New Roman" w:eastAsia="Times New Roman" w:hAnsi="Times New Roman" w:cs="Times New Roman"/>
          <w:lang w:val="en"/>
        </w:rPr>
        <w:t>(5), 38-47.</w:t>
      </w:r>
    </w:p>
    <w:p w14:paraId="464ADE7D" w14:textId="77777777" w:rsidR="00792848" w:rsidRPr="00F95565" w:rsidRDefault="00253053"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53053">
        <w:rPr>
          <w:rFonts w:ascii="Times New Roman" w:eastAsia="Times New Roman" w:hAnsi="Times New Roman" w:cs="Times New Roman"/>
          <w:lang w:val="en"/>
        </w:rPr>
        <w:t>Re, R., Pellegrini, N., Proteggente, A., Pannala, A., Yang, M., &amp; Rice-Evans, C. (1999). Antioxidant activity applying an improved ABTS radical cation decolorization assay. </w:t>
      </w:r>
      <w:r w:rsidRPr="002C2242">
        <w:rPr>
          <w:rFonts w:ascii="Times New Roman" w:eastAsia="Times New Roman" w:hAnsi="Times New Roman" w:cs="Times New Roman"/>
          <w:lang w:val="en"/>
        </w:rPr>
        <w:t>Free radical biology and medicine, 2</w:t>
      </w:r>
      <w:r w:rsidRPr="00253053">
        <w:rPr>
          <w:rFonts w:ascii="Times New Roman" w:eastAsia="Times New Roman" w:hAnsi="Times New Roman" w:cs="Times New Roman"/>
          <w:i/>
          <w:iCs/>
          <w:lang w:val="en"/>
        </w:rPr>
        <w:t>6</w:t>
      </w:r>
      <w:r w:rsidRPr="00253053">
        <w:rPr>
          <w:rFonts w:ascii="Times New Roman" w:eastAsia="Times New Roman" w:hAnsi="Times New Roman" w:cs="Times New Roman"/>
          <w:lang w:val="en"/>
        </w:rPr>
        <w:t>(9-10), 1231-1237.</w:t>
      </w:r>
    </w:p>
    <w:p w14:paraId="41463DA6"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Brand-Williams, W., Cuvelier, M.E., and Berset, C. (1995). Use of a free radical method to evaluate antioxidant activity. LWT-Food Sci. Technol., 28(1):25–30.</w:t>
      </w:r>
    </w:p>
    <w:p w14:paraId="3EB7D3C9"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lastRenderedPageBreak/>
        <w:t>Orhan, D.D., Ozcelik, B., Hosbas, S., and Vural, M. (2012). Assessment of antioxidant, antibacterial, antimycobacterial, and antifungal activities of some plants used as folk remedies in Turkey. Turk. J. Biol., 36(6):672–685.</w:t>
      </w:r>
    </w:p>
    <w:p w14:paraId="2D448EA0"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Kang, S., Park, Y., and Chung, H. (2013). Phytol suppresses hepatic gluconeogenesis and adipocyte differentiation by activating AMPK and modulating PPAR expression. Bioorg. Med. Chem. Lett., 23(18):5052–5057.</w:t>
      </w:r>
    </w:p>
    <w:p w14:paraId="3A206A57"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Zhang, Y., Wang, H., Li, J., and Jin, S. (2011). Phytol enhances glucose uptake in L6 myotubes via activation of the AMPK pathway. Phytother. Res., 25(10):1475–1481.</w:t>
      </w:r>
    </w:p>
    <w:p w14:paraId="089C59C2"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Sayeed, A., Yunus, M., and Ahmad, M. (2015). Fatty acids as antidiabetic agents: A review. BMC Complement. Med. Ther., 15:65.</w:t>
      </w:r>
    </w:p>
    <w:p w14:paraId="712C2C42"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t>Wen, Y., Zhang, R., Xie, J., Wan, A., Mei, S., Xie, J., ... &amp; Wang, G. (2025). Cis-vaccenic acid exhibits an anti-obesity effect by regulating food intake and lipid metabolism in mammals. </w:t>
      </w:r>
      <w:r w:rsidRPr="002C2242">
        <w:rPr>
          <w:rFonts w:ascii="Times New Roman" w:eastAsia="Times New Roman" w:hAnsi="Times New Roman" w:cs="Times New Roman"/>
          <w:i/>
          <w:iCs/>
          <w:lang w:val="en"/>
        </w:rPr>
        <w:t>Journal of Functional Foods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131</w:t>
      </w:r>
      <w:r w:rsidRPr="002C2242">
        <w:rPr>
          <w:rFonts w:ascii="Times New Roman" w:eastAsia="Times New Roman" w:hAnsi="Times New Roman" w:cs="Times New Roman"/>
          <w:lang w:val="en"/>
        </w:rPr>
        <w:t xml:space="preserve">, 106958. </w:t>
      </w:r>
    </w:p>
    <w:p w14:paraId="46AAD670" w14:textId="77777777" w:rsidR="00792848" w:rsidRPr="002C2242"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rPr>
        <w:t>Sangeetha, R. (2014). Hypoglycemic effects of glutarimide derivatives: An in vitro evaluation. Asian J. Pharm. Sci., 9(4):234–241.</w:t>
      </w:r>
    </w:p>
    <w:p w14:paraId="22F16746"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Kim, M.J., Bae, G.S., Jo, I.J., Choi, S.B., and Lee, Y.J. (2010). Antidiabetic effect of linoleic acid on glucose metabolism in high-fat diet-fed mice. J. Med. Food, 13(2):447–454.</w:t>
      </w:r>
    </w:p>
    <w:p w14:paraId="2213A114" w14:textId="77777777" w:rsidR="00792848" w:rsidRPr="0051034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1034D">
        <w:rPr>
          <w:rFonts w:ascii="Times New Roman" w:eastAsia="Times New Roman" w:hAnsi="Times New Roman" w:cs="Times New Roman"/>
        </w:rPr>
        <w:t>Alarcón-Aguilar, F.J., Roman-Ramos, R., Pérez-Gutierrez, S., and Reyes-Chilpa, R. (2002). Effect of a methanol extract of Boursiera lycioides on blood glucose levels of normoglycemic and streptozotocin-induced diabetic mice. J. Ethnopharmacol., 80(2–3):225–229.</w:t>
      </w:r>
    </w:p>
    <w:p w14:paraId="66173C07"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Gupta, P., Kumar, M., and Singh, R. (2015). Antioxidant and ROS-modulatory activity of spiroquinone derivatives. Redox Biol., 6:124–131.</w:t>
      </w:r>
    </w:p>
    <w:p w14:paraId="2466C87D" w14:textId="77777777" w:rsidR="00792848" w:rsidRPr="00303A35"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303A35">
        <w:rPr>
          <w:rFonts w:ascii="Times New Roman" w:eastAsia="Times New Roman" w:hAnsi="Times New Roman" w:cs="Times New Roman"/>
        </w:rPr>
        <w:t>Subash-Babu, P., Alshatwi, A.A., and Ignacimuthu, S. (2014). Evaluation of anti-diabetic activity of hexadecenoic acid esters from Terminalia bellerica. J. Ethnopharmacol., 153(3):747–753.</w:t>
      </w:r>
    </w:p>
    <w:p w14:paraId="16262520" w14:textId="77777777" w:rsidR="002C2242" w:rsidRPr="002C2242" w:rsidRDefault="002C2242"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C2242">
        <w:rPr>
          <w:rFonts w:ascii="Times New Roman" w:eastAsia="Times New Roman" w:hAnsi="Times New Roman" w:cs="Times New Roman"/>
          <w:lang w:val="en"/>
        </w:rPr>
        <w:lastRenderedPageBreak/>
        <w:t>Noh, H. J., Eom, J. I., Park, S. J., Shin, C. H., Kim, S. M., Pan, C. H., &amp; Lee, J. K. (2025). Synergistic Anti-Obesity Effects of Lactiplantibacillus plantarum Q180 and Phaeodactylum tricornutum (CKDB-322) in High-Fat-Diet-Induced Obese Mice. </w:t>
      </w:r>
      <w:r w:rsidRPr="0026395D">
        <w:rPr>
          <w:rFonts w:ascii="Times New Roman" w:eastAsia="Times New Roman" w:hAnsi="Times New Roman" w:cs="Times New Roman"/>
          <w:lang w:val="en"/>
        </w:rPr>
        <w:t>International Journal of Molecular Sciences,</w:t>
      </w:r>
      <w:r w:rsidRPr="002C2242">
        <w:rPr>
          <w:rFonts w:ascii="Times New Roman" w:eastAsia="Times New Roman" w:hAnsi="Times New Roman" w:cs="Times New Roman"/>
          <w:lang w:val="en"/>
        </w:rPr>
        <w:t> </w:t>
      </w:r>
      <w:r w:rsidRPr="002C2242">
        <w:rPr>
          <w:rFonts w:ascii="Times New Roman" w:eastAsia="Times New Roman" w:hAnsi="Times New Roman" w:cs="Times New Roman"/>
          <w:i/>
          <w:iCs/>
          <w:lang w:val="en"/>
        </w:rPr>
        <w:t>26</w:t>
      </w:r>
      <w:r w:rsidRPr="002C2242">
        <w:rPr>
          <w:rFonts w:ascii="Times New Roman" w:eastAsia="Times New Roman" w:hAnsi="Times New Roman" w:cs="Times New Roman"/>
          <w:lang w:val="en"/>
        </w:rPr>
        <w:t xml:space="preserve">(16), 7991. </w:t>
      </w:r>
    </w:p>
    <w:p w14:paraId="506AFB90" w14:textId="77777777" w:rsidR="00792848" w:rsidRPr="002C2242"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Liu, W., Zhu, M., Liu, J., Su, S., Zeng, X., Fu, F., ... &amp; Chen, Y. (2024). Comparison of the effects of monounsaturated fatty acids and polyunsaturated fatty acids on the lipotoxicity of islets. Frontiers in Endocrinology, </w:t>
      </w:r>
      <w:r w:rsidRPr="0026395D">
        <w:rPr>
          <w:rFonts w:ascii="Times New Roman" w:eastAsia="Times New Roman" w:hAnsi="Times New Roman" w:cs="Times New Roman"/>
          <w:i/>
          <w:iCs/>
          <w:lang w:val="en"/>
        </w:rPr>
        <w:t>15</w:t>
      </w:r>
      <w:r w:rsidRPr="0026395D">
        <w:rPr>
          <w:rFonts w:ascii="Times New Roman" w:eastAsia="Times New Roman" w:hAnsi="Times New Roman" w:cs="Times New Roman"/>
          <w:lang w:val="en"/>
        </w:rPr>
        <w:t xml:space="preserve">, 1368853. </w:t>
      </w:r>
    </w:p>
    <w:p w14:paraId="3341B355" w14:textId="77777777" w:rsidR="00792848"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Igarashi, K., Honma, K., Yoshinari, O., Nanjo, F., &amp; Hara, Y. (2007). Effects of dietary catechins on glucose tolerance, blood pressure and oxidative status in Goto-Kakizaki rats. Journal of nutritional science and vitaminology, </w:t>
      </w:r>
      <w:r w:rsidRPr="0026395D">
        <w:rPr>
          <w:rFonts w:ascii="Times New Roman" w:eastAsia="Times New Roman" w:hAnsi="Times New Roman" w:cs="Times New Roman"/>
          <w:i/>
          <w:iCs/>
          <w:lang w:val="en"/>
        </w:rPr>
        <w:t>53</w:t>
      </w:r>
      <w:r w:rsidRPr="0026395D">
        <w:rPr>
          <w:rFonts w:ascii="Times New Roman" w:eastAsia="Times New Roman" w:hAnsi="Times New Roman" w:cs="Times New Roman"/>
          <w:lang w:val="en"/>
        </w:rPr>
        <w:t xml:space="preserve">(6), 496-500. </w:t>
      </w:r>
    </w:p>
    <w:p w14:paraId="7A898C8E" w14:textId="77777777" w:rsidR="00792848" w:rsidRPr="00303A35"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Vessby, B. (2000). Dietary fat and insulin action in humans. British journal of nutrition, 83(S1), S91-S96.</w:t>
      </w:r>
    </w:p>
    <w:p w14:paraId="09E22B23" w14:textId="77777777" w:rsidR="00792848"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D56F31">
        <w:rPr>
          <w:rFonts w:ascii="Times New Roman" w:eastAsia="Times New Roman" w:hAnsi="Times New Roman" w:cs="Times New Roman"/>
        </w:rPr>
        <w:t>Chew, Y.L., Chan, E.W., Tan, P.L., Lim, Y.Y., Stanslas, J., and Goh, J.K. (2011). Assessment of phytochemical content, polyphenolic composition, antioxidant and antibacterial activities of Leguminosae medicinal plants in Peninsular Malaysia. BMC Complement. Altern. Med., 11:12.</w:t>
      </w:r>
    </w:p>
    <w:p w14:paraId="449D8175" w14:textId="77777777" w:rsidR="00792848" w:rsidRPr="00562584"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62584">
        <w:rPr>
          <w:rFonts w:ascii="Times New Roman" w:eastAsia="Times New Roman" w:hAnsi="Times New Roman" w:cs="Times New Roman"/>
        </w:rPr>
        <w:t>Agarwal, P., and Gupta, R. (2016). Alpha-amylase inhibition can treat diabetes mellitus. Res. Rev. J. Med. Health Sci., 5(4):1–8.</w:t>
      </w:r>
    </w:p>
    <w:p w14:paraId="697C31A1" w14:textId="77777777" w:rsidR="00792848" w:rsidRPr="00562584"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562584">
        <w:rPr>
          <w:rFonts w:ascii="Times New Roman" w:eastAsia="Times New Roman" w:hAnsi="Times New Roman" w:cs="Times New Roman"/>
        </w:rPr>
        <w:t>Gupta, A., and Chaphalkar, S.R. (2016). Haemolytic activities and anti-diabetic effect of Terminalia arjuna and Emblica officinalis. Eur. J. Pharm. Med. Res., 3(6):334–338.</w:t>
      </w:r>
    </w:p>
    <w:p w14:paraId="5C88DC4E" w14:textId="77777777" w:rsidR="00792848" w:rsidRPr="00E44539"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E44539">
        <w:rPr>
          <w:rFonts w:ascii="Times New Roman" w:eastAsia="Times New Roman" w:hAnsi="Times New Roman" w:cs="Times New Roman"/>
        </w:rPr>
        <w:t>Kulisic, T., Radonic, A., Katalinic, V., and Milos, M. (2004). Use of different methods for testing antioxidative activity of oregano essential oil. Food Chem., 85(4):633–640.</w:t>
      </w:r>
    </w:p>
    <w:p w14:paraId="09788EFB" w14:textId="77777777" w:rsidR="0026395D" w:rsidRPr="0026395D" w:rsidRDefault="0026395D"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lang w:val="en"/>
        </w:rPr>
        <w:t>Letelier, M. E., Molina-Berríos, A., Cortés-Troncoso, J., Jara-Sandoval, J., Holst, M., Palma, K., ... &amp; González-Lira, V. (2008). DPPH and oxygen free radicals as pro-oxidant of biomolecules. Toxicology in vitro, </w:t>
      </w:r>
      <w:r w:rsidRPr="0026395D">
        <w:rPr>
          <w:rFonts w:ascii="Times New Roman" w:eastAsia="Times New Roman" w:hAnsi="Times New Roman" w:cs="Times New Roman"/>
          <w:i/>
          <w:iCs/>
          <w:lang w:val="en"/>
        </w:rPr>
        <w:t>22</w:t>
      </w:r>
      <w:r w:rsidRPr="0026395D">
        <w:rPr>
          <w:rFonts w:ascii="Times New Roman" w:eastAsia="Times New Roman" w:hAnsi="Times New Roman" w:cs="Times New Roman"/>
          <w:lang w:val="en"/>
        </w:rPr>
        <w:t xml:space="preserve">(2), 279-286. </w:t>
      </w:r>
    </w:p>
    <w:p w14:paraId="7111E336" w14:textId="77777777" w:rsidR="00792848" w:rsidRPr="0026395D" w:rsidRDefault="00792848" w:rsidP="00AC4F33">
      <w:pPr>
        <w:pStyle w:val="ListParagraph"/>
        <w:numPr>
          <w:ilvl w:val="0"/>
          <w:numId w:val="1"/>
        </w:numPr>
        <w:spacing w:before="240" w:after="240" w:line="480" w:lineRule="auto"/>
        <w:ind w:left="357" w:hanging="357"/>
        <w:jc w:val="both"/>
        <w:rPr>
          <w:rFonts w:ascii="Times New Roman" w:eastAsia="Times New Roman" w:hAnsi="Times New Roman" w:cs="Times New Roman"/>
        </w:rPr>
      </w:pPr>
      <w:r w:rsidRPr="0026395D">
        <w:rPr>
          <w:rFonts w:ascii="Times New Roman" w:eastAsia="Times New Roman" w:hAnsi="Times New Roman" w:cs="Times New Roman"/>
        </w:rPr>
        <w:t>Hossain, M.A., Shah, M.D., Gnanaraj, C., and Iqbal, M. (2020). Chemical composition and anti-diabetic activity of the essential oil of Cymbopogon citratus. Molecules, 25(9):2183.</w:t>
      </w:r>
    </w:p>
    <w:bookmarkEnd w:id="35"/>
    <w:p w14:paraId="56467904" w14:textId="77777777" w:rsidR="00792848" w:rsidRDefault="00792848">
      <w:pPr>
        <w:spacing w:before="240" w:line="240" w:lineRule="auto"/>
        <w:jc w:val="both"/>
        <w:rPr>
          <w:rFonts w:ascii="Times New Roman" w:eastAsia="Times New Roman" w:hAnsi="Times New Roman" w:cs="Times New Roman"/>
          <w:b/>
        </w:rPr>
      </w:pPr>
    </w:p>
    <w:sectPr w:rsidR="0079284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bukun, Osebhahiemen" w:date="2025-11-14T09:52:00Z" w:initials="IO">
    <w:p w14:paraId="33E9FD10" w14:textId="7FB994D4" w:rsidR="00B4261A" w:rsidRDefault="00B4261A">
      <w:pPr>
        <w:pStyle w:val="CommentText"/>
      </w:pPr>
      <w:r>
        <w:rPr>
          <w:rStyle w:val="CommentReference"/>
        </w:rPr>
        <w:annotationRef/>
      </w:r>
      <w:r>
        <w:t xml:space="preserve">Please modify the title to </w:t>
      </w:r>
      <w:r>
        <w:rPr>
          <w:rFonts w:ascii="Times New Roman" w:eastAsia="Times New Roman" w:hAnsi="Times New Roman" w:cs="Times New Roman"/>
          <w:b/>
        </w:rPr>
        <w:t>P</w:t>
      </w:r>
      <w:r>
        <w:rPr>
          <w:rFonts w:ascii="Times New Roman" w:eastAsia="Times New Roman" w:hAnsi="Times New Roman" w:cs="Times New Roman"/>
          <w:b/>
        </w:rPr>
        <w:t>hytochemical profiling and</w:t>
      </w:r>
      <w:r>
        <w:rPr>
          <w:rFonts w:ascii="Times New Roman" w:eastAsia="Times New Roman" w:hAnsi="Times New Roman" w:cs="Times New Roman"/>
          <w:b/>
        </w:rPr>
        <w:t xml:space="preserve"> its</w:t>
      </w:r>
      <w:r>
        <w:rPr>
          <w:rFonts w:ascii="Times New Roman" w:eastAsia="Times New Roman" w:hAnsi="Times New Roman" w:cs="Times New Roman"/>
          <w:b/>
        </w:rPr>
        <w:t xml:space="preserve"> correlation with antioxidant and antidiabetic activities of </w:t>
      </w:r>
      <w:r>
        <w:rPr>
          <w:rFonts w:ascii="Times New Roman" w:eastAsia="Times New Roman" w:hAnsi="Times New Roman" w:cs="Times New Roman"/>
          <w:b/>
          <w:i/>
        </w:rPr>
        <w:t>Terminalia arjuna</w:t>
      </w:r>
      <w:r>
        <w:rPr>
          <w:rFonts w:ascii="Times New Roman" w:eastAsia="Times New Roman" w:hAnsi="Times New Roman" w:cs="Times New Roman"/>
          <w:b/>
        </w:rPr>
        <w:t xml:space="preserve"> (Roxb.) Wight &amp; Arn. leaf extracts</w:t>
      </w:r>
    </w:p>
  </w:comment>
  <w:comment w:id="1" w:author="Ibukun, Osebhahiemen" w:date="2025-11-14T09:54:00Z" w:initials="IO">
    <w:p w14:paraId="0D8F84A7" w14:textId="15E2D95E" w:rsidR="00B4261A" w:rsidRDefault="00B4261A">
      <w:pPr>
        <w:pStyle w:val="CommentText"/>
      </w:pPr>
      <w:r>
        <w:rPr>
          <w:rStyle w:val="CommentReference"/>
        </w:rPr>
        <w:annotationRef/>
      </w:r>
      <w:r>
        <w:t>Write it in full and abbrev. In bracket when it appears first in the document</w:t>
      </w:r>
    </w:p>
  </w:comment>
  <w:comment w:id="2" w:author="Ibukun, Osebhahiemen" w:date="2025-11-14T09:56:00Z" w:initials="IO">
    <w:p w14:paraId="1054ED75" w14:textId="4D07025F" w:rsidR="00B4261A" w:rsidRDefault="00B4261A">
      <w:pPr>
        <w:pStyle w:val="CommentText"/>
      </w:pPr>
      <w:r>
        <w:rPr>
          <w:rStyle w:val="CommentReference"/>
        </w:rPr>
        <w:annotationRef/>
      </w:r>
      <w:r>
        <w:t>What are those analyses for? Kindly replace with that . i.e antidiabetic property</w:t>
      </w:r>
    </w:p>
  </w:comment>
  <w:comment w:id="3" w:author="Ibukun, Osebhahiemen" w:date="2025-11-14T09:57:00Z" w:initials="IO">
    <w:p w14:paraId="20F2CFC1" w14:textId="18E15F75" w:rsidR="00B4261A" w:rsidRDefault="00B4261A">
      <w:pPr>
        <w:pStyle w:val="CommentText"/>
      </w:pPr>
      <w:r>
        <w:rPr>
          <w:rStyle w:val="CommentReference"/>
        </w:rPr>
        <w:annotationRef/>
      </w:r>
      <w:r>
        <w:t>Results showed that both</w:t>
      </w:r>
    </w:p>
  </w:comment>
  <w:comment w:id="4" w:author="Ibukun, Osebhahiemen" w:date="2025-11-14T10:00:00Z" w:initials="IO">
    <w:p w14:paraId="1917DB75" w14:textId="19E67270" w:rsidR="00B4261A" w:rsidRDefault="00B4261A">
      <w:pPr>
        <w:pStyle w:val="CommentText"/>
      </w:pPr>
      <w:r>
        <w:rPr>
          <w:rStyle w:val="CommentReference"/>
        </w:rPr>
        <w:annotationRef/>
      </w:r>
      <w:r>
        <w:t>Again, please write them in full and abbrev. In bracket</w:t>
      </w:r>
    </w:p>
  </w:comment>
  <w:comment w:id="5" w:author="Ibukun, Osebhahiemen" w:date="2025-11-14T10:02:00Z" w:initials="IO">
    <w:p w14:paraId="1F921E00" w14:textId="20C474CA" w:rsidR="00946298" w:rsidRDefault="00946298">
      <w:pPr>
        <w:pStyle w:val="CommentText"/>
      </w:pPr>
      <w:r>
        <w:rPr>
          <w:rStyle w:val="CommentReference"/>
        </w:rPr>
        <w:annotationRef/>
      </w:r>
      <w:r>
        <w:t>It is better to justify why TAE is more potent at the discussion section rather than abstract</w:t>
      </w:r>
    </w:p>
  </w:comment>
  <w:comment w:id="6" w:author="Ibukun, Osebhahiemen" w:date="2025-11-14T10:04:00Z" w:initials="IO">
    <w:p w14:paraId="2BC1324A" w14:textId="548C8DDF" w:rsidR="00946298" w:rsidRDefault="00946298">
      <w:pPr>
        <w:pStyle w:val="CommentText"/>
      </w:pPr>
      <w:r>
        <w:rPr>
          <w:rStyle w:val="CommentReference"/>
        </w:rPr>
        <w:annotationRef/>
      </w:r>
      <w:r>
        <w:t>Kindly specify hat this is? A standard?</w:t>
      </w:r>
    </w:p>
  </w:comment>
  <w:comment w:id="7" w:author="Ibukun, Osebhahiemen" w:date="2025-11-14T10:05:00Z" w:initials="IO">
    <w:p w14:paraId="2F2B8BDD" w14:textId="4DD08495" w:rsidR="00946298" w:rsidRDefault="00946298">
      <w:pPr>
        <w:pStyle w:val="CommentText"/>
      </w:pPr>
      <w:r>
        <w:rPr>
          <w:rStyle w:val="CommentReference"/>
        </w:rPr>
        <w:annotationRef/>
      </w:r>
      <w:r>
        <w:t xml:space="preserve">In italics </w:t>
      </w:r>
    </w:p>
  </w:comment>
  <w:comment w:id="8" w:author="Ibukun, Osebhahiemen" w:date="2025-11-14T10:11:00Z" w:initials="IO">
    <w:p w14:paraId="537B2DBB" w14:textId="2D3EDD12" w:rsidR="00946298" w:rsidRDefault="00946298">
      <w:pPr>
        <w:pStyle w:val="CommentText"/>
      </w:pPr>
      <w:r>
        <w:rPr>
          <w:rStyle w:val="CommentReference"/>
        </w:rPr>
        <w:annotationRef/>
      </w:r>
      <w:r>
        <w:t>May remove or replace this keyword</w:t>
      </w:r>
    </w:p>
  </w:comment>
  <w:comment w:id="9" w:author="Ibukun, Osebhahiemen" w:date="2025-11-14T10:13:00Z" w:initials="IO">
    <w:p w14:paraId="6F99BE3D" w14:textId="272EB3EE" w:rsidR="00A60F45" w:rsidRDefault="00A60F45">
      <w:pPr>
        <w:pStyle w:val="CommentText"/>
      </w:pPr>
      <w:r>
        <w:rPr>
          <w:rStyle w:val="CommentReference"/>
        </w:rPr>
        <w:annotationRef/>
      </w:r>
      <w:r>
        <w:t>Kindly find out how the et al is written as per journal guidelines</w:t>
      </w:r>
    </w:p>
  </w:comment>
  <w:comment w:id="10" w:author="Ibukun, Osebhahiemen" w:date="2025-11-14T10:23:00Z" w:initials="IO">
    <w:p w14:paraId="4A1C9563" w14:textId="588BF5D2" w:rsidR="000A636A" w:rsidRDefault="000A636A">
      <w:pPr>
        <w:pStyle w:val="CommentText"/>
      </w:pPr>
      <w:r>
        <w:rPr>
          <w:rStyle w:val="CommentReference"/>
        </w:rPr>
        <w:annotationRef/>
      </w:r>
      <w:r>
        <w:t>Such as</w:t>
      </w:r>
    </w:p>
  </w:comment>
  <w:comment w:id="11" w:author="Ibukun, Osebhahiemen" w:date="2025-11-14T10:25:00Z" w:initials="IO">
    <w:p w14:paraId="0C626304" w14:textId="186A46C8" w:rsidR="000A636A" w:rsidRDefault="000A636A">
      <w:pPr>
        <w:pStyle w:val="CommentText"/>
      </w:pPr>
      <w:r>
        <w:rPr>
          <w:rStyle w:val="CommentReference"/>
        </w:rPr>
        <w:annotationRef/>
      </w:r>
      <w:r>
        <w:t>Kindly delete</w:t>
      </w:r>
    </w:p>
  </w:comment>
  <w:comment w:id="12" w:author="Ibukun, Osebhahiemen" w:date="2025-11-14T10:25:00Z" w:initials="IO">
    <w:p w14:paraId="402A175C" w14:textId="19B1B994" w:rsidR="000A636A" w:rsidRDefault="000A636A">
      <w:pPr>
        <w:pStyle w:val="CommentText"/>
      </w:pPr>
      <w:r>
        <w:rPr>
          <w:rStyle w:val="CommentReference"/>
        </w:rPr>
        <w:annotationRef/>
      </w:r>
      <w:r>
        <w:t xml:space="preserve">Was aimed at evaluating </w:t>
      </w:r>
    </w:p>
  </w:comment>
  <w:comment w:id="13" w:author="Ibukun, Osebhahiemen" w:date="2025-11-14T10:29:00Z" w:initials="IO">
    <w:p w14:paraId="52290F92" w14:textId="0E13AE35" w:rsidR="000A636A" w:rsidRDefault="000A636A">
      <w:pPr>
        <w:pStyle w:val="CommentText"/>
      </w:pPr>
      <w:r>
        <w:rPr>
          <w:rStyle w:val="CommentReference"/>
        </w:rPr>
        <w:annotationRef/>
      </w:r>
      <w:r>
        <w:t>Kindly delete</w:t>
      </w:r>
    </w:p>
  </w:comment>
  <w:comment w:id="14" w:author="Ibukun, Osebhahiemen" w:date="2025-11-14T10:30:00Z" w:initials="IO">
    <w:p w14:paraId="240EDFFA" w14:textId="30D0BE36" w:rsidR="000A636A" w:rsidRDefault="000A636A">
      <w:pPr>
        <w:pStyle w:val="CommentText"/>
      </w:pPr>
      <w:r>
        <w:rPr>
          <w:rStyle w:val="CommentReference"/>
        </w:rPr>
        <w:annotationRef/>
      </w:r>
      <w:r>
        <w:t>Kindly specify the type of alcohol used  or might be a repetition of the proceeding methanol and ethanol?</w:t>
      </w:r>
    </w:p>
  </w:comment>
  <w:comment w:id="15" w:author="Ibukun, Osebhahiemen" w:date="2025-11-14T10:31:00Z" w:initials="IO">
    <w:p w14:paraId="531DF37C" w14:textId="4DE7E1D1" w:rsidR="000A636A" w:rsidRDefault="000A636A">
      <w:pPr>
        <w:pStyle w:val="CommentText"/>
      </w:pPr>
      <w:r>
        <w:rPr>
          <w:rStyle w:val="CommentReference"/>
        </w:rPr>
        <w:annotationRef/>
      </w:r>
      <w:r>
        <w:t>Were both selected , kindly specify</w:t>
      </w:r>
    </w:p>
  </w:comment>
  <w:comment w:id="16" w:author="Ibukun, Osebhahiemen" w:date="2025-11-14T10:32:00Z" w:initials="IO">
    <w:p w14:paraId="53CEDF3F" w14:textId="67382505" w:rsidR="000A636A" w:rsidRDefault="000A636A">
      <w:pPr>
        <w:pStyle w:val="CommentText"/>
      </w:pPr>
      <w:r>
        <w:rPr>
          <w:rStyle w:val="CommentReference"/>
        </w:rPr>
        <w:annotationRef/>
      </w:r>
      <w:r>
        <w:t>Kindly replace with bracket</w:t>
      </w:r>
    </w:p>
  </w:comment>
  <w:comment w:id="17" w:author="Ibukun, Osebhahiemen" w:date="2025-11-14T10:38:00Z" w:initials="IO">
    <w:p w14:paraId="6B94E508" w14:textId="41F92FB8" w:rsidR="00124BCB" w:rsidRDefault="00124BCB">
      <w:pPr>
        <w:pStyle w:val="CommentText"/>
      </w:pPr>
      <w:r>
        <w:rPr>
          <w:rStyle w:val="CommentReference"/>
        </w:rPr>
        <w:annotationRef/>
      </w:r>
      <w:r>
        <w:t>Kindly include the formula used to calculate the extractive values</w:t>
      </w:r>
    </w:p>
  </w:comment>
  <w:comment w:id="18" w:author="Ibukun, Osebhahiemen" w:date="2025-11-14T10:35:00Z" w:initials="IO">
    <w:p w14:paraId="4EAB0D8D" w14:textId="0AD9BB4D" w:rsidR="00124BCB" w:rsidRDefault="00124BCB">
      <w:pPr>
        <w:pStyle w:val="CommentText"/>
      </w:pPr>
      <w:r>
        <w:rPr>
          <w:rStyle w:val="CommentReference"/>
        </w:rPr>
        <w:annotationRef/>
      </w:r>
      <w:r>
        <w:t>Reference</w:t>
      </w:r>
    </w:p>
  </w:comment>
  <w:comment w:id="19" w:author="Ibukun, Osebhahiemen" w:date="2025-11-14T10:35:00Z" w:initials="IO">
    <w:p w14:paraId="5DF31D50" w14:textId="54F25EC0" w:rsidR="00124BCB" w:rsidRDefault="00124BCB">
      <w:pPr>
        <w:pStyle w:val="CommentText"/>
      </w:pPr>
      <w:r>
        <w:rPr>
          <w:rStyle w:val="CommentReference"/>
        </w:rPr>
        <w:annotationRef/>
      </w:r>
      <w:r>
        <w:t>Presented in table 1</w:t>
      </w:r>
    </w:p>
  </w:comment>
  <w:comment w:id="20" w:author="Ibukun, Osebhahiemen" w:date="2025-11-14T10:36:00Z" w:initials="IO">
    <w:p w14:paraId="7129D998" w14:textId="68504C88" w:rsidR="00124BCB" w:rsidRDefault="00124BCB">
      <w:pPr>
        <w:pStyle w:val="CommentText"/>
      </w:pPr>
      <w:r>
        <w:rPr>
          <w:rStyle w:val="CommentReference"/>
        </w:rPr>
        <w:annotationRef/>
      </w:r>
      <w:r>
        <w:t>Country of manufacture</w:t>
      </w:r>
    </w:p>
  </w:comment>
  <w:comment w:id="23" w:author="Ibukun, Osebhahiemen" w:date="2025-11-14T10:41:00Z" w:initials="IO">
    <w:p w14:paraId="0FA87100" w14:textId="200C23DF" w:rsidR="00124BCB" w:rsidRDefault="00124BCB">
      <w:pPr>
        <w:pStyle w:val="CommentText"/>
      </w:pPr>
      <w:r>
        <w:rPr>
          <w:rStyle w:val="CommentReference"/>
        </w:rPr>
        <w:annotationRef/>
      </w:r>
      <w:r>
        <w:t>Please check for extra brackets</w:t>
      </w:r>
    </w:p>
  </w:comment>
  <w:comment w:id="24" w:author="Ibukun, Osebhahiemen" w:date="2025-11-14T10:42:00Z" w:initials="IO">
    <w:p w14:paraId="0CC8E4B4" w14:textId="5788F296" w:rsidR="00124BCB" w:rsidRDefault="00124BCB">
      <w:pPr>
        <w:pStyle w:val="CommentText"/>
      </w:pPr>
      <w:r>
        <w:rPr>
          <w:rStyle w:val="CommentReference"/>
        </w:rPr>
        <w:annotationRef/>
      </w:r>
      <w:r>
        <w:t>Kindly delete all asteriks</w:t>
      </w:r>
    </w:p>
  </w:comment>
  <w:comment w:id="25" w:author="Ibukun, Osebhahiemen" w:date="2025-11-14T10:43:00Z" w:initials="IO">
    <w:p w14:paraId="08839E2D" w14:textId="2281EB0C" w:rsidR="00766795" w:rsidRDefault="00766795">
      <w:pPr>
        <w:pStyle w:val="CommentText"/>
      </w:pPr>
      <w:r>
        <w:rPr>
          <w:rStyle w:val="CommentReference"/>
        </w:rPr>
        <w:annotationRef/>
      </w:r>
      <w:r>
        <w:t>Kindly indicate statistical difference using letters or symbols across same row</w:t>
      </w:r>
    </w:p>
  </w:comment>
  <w:comment w:id="26" w:author="Ibukun, Osebhahiemen" w:date="2025-11-14T10:45:00Z" w:initials="IO">
    <w:p w14:paraId="3D3A43EB" w14:textId="77777777" w:rsidR="00766795" w:rsidRDefault="00766795">
      <w:pPr>
        <w:pStyle w:val="CommentText"/>
      </w:pPr>
      <w:r>
        <w:rPr>
          <w:rStyle w:val="CommentReference"/>
        </w:rPr>
        <w:annotationRef/>
      </w:r>
      <w:r>
        <w:t xml:space="preserve">Please indicate if values are presented as MEAN and SD or SEM, also show the SD or SEM as error bars on the graph. </w:t>
      </w:r>
    </w:p>
    <w:p w14:paraId="3892069E" w14:textId="77777777" w:rsidR="00766795" w:rsidRDefault="00766795">
      <w:pPr>
        <w:pStyle w:val="CommentText"/>
      </w:pPr>
      <w:r>
        <w:t>What does march to june imply on the graph?</w:t>
      </w:r>
    </w:p>
    <w:p w14:paraId="16DC23E9" w14:textId="77777777" w:rsidR="00766795" w:rsidRDefault="00766795">
      <w:pPr>
        <w:pStyle w:val="CommentText"/>
      </w:pPr>
      <w:r>
        <w:t>Please remove the gridlines from the graph</w:t>
      </w:r>
    </w:p>
    <w:p w14:paraId="6A5752BB" w14:textId="77777777" w:rsidR="00766795" w:rsidRDefault="00766795">
      <w:pPr>
        <w:pStyle w:val="CommentText"/>
      </w:pPr>
      <w:r>
        <w:t>Kindly specify the unit of the concentration of standards or extracts</w:t>
      </w:r>
    </w:p>
    <w:p w14:paraId="6D22E354" w14:textId="311674E7" w:rsidR="00766795" w:rsidRDefault="00766795">
      <w:pPr>
        <w:pStyle w:val="CommentText"/>
      </w:pPr>
      <w:r>
        <w:t>Kindly indicate if there is a significant difference between the extracts and standard at each concentration, or you may calculate IC50 and check the significant difference between their IC50 values</w:t>
      </w:r>
    </w:p>
  </w:comment>
  <w:comment w:id="27" w:author="Ibukun, Osebhahiemen" w:date="2025-11-14T10:51:00Z" w:initials="IO">
    <w:p w14:paraId="458F9E74" w14:textId="33DF2801" w:rsidR="00766795" w:rsidRDefault="00766795">
      <w:pPr>
        <w:pStyle w:val="CommentText"/>
      </w:pPr>
      <w:r>
        <w:rPr>
          <w:rStyle w:val="CommentReference"/>
        </w:rPr>
        <w:annotationRef/>
      </w:r>
      <w:r>
        <w:t>Kindly indicate if this was statistically significant using the comments I made on the previous graph</w:t>
      </w:r>
    </w:p>
  </w:comment>
  <w:comment w:id="28" w:author="Ibukun, Osebhahiemen" w:date="2025-11-14T10:51:00Z" w:initials="IO">
    <w:p w14:paraId="5F471ACB" w14:textId="77777777" w:rsidR="00766795" w:rsidRDefault="00766795">
      <w:pPr>
        <w:pStyle w:val="CommentText"/>
      </w:pPr>
      <w:r>
        <w:rPr>
          <w:rStyle w:val="CommentReference"/>
        </w:rPr>
        <w:annotationRef/>
      </w:r>
      <w:r>
        <w:t>DPPH Radical Scavenging activity of TAA and TAM extracts.</w:t>
      </w:r>
    </w:p>
    <w:p w14:paraId="130E84E9" w14:textId="6DFCB550" w:rsidR="00766795" w:rsidRDefault="00766795">
      <w:pPr>
        <w:pStyle w:val="CommentText"/>
      </w:pPr>
      <w:r>
        <w:t>Also, kindly refer to my comments on the previous graph and adjust this accordingly</w:t>
      </w:r>
    </w:p>
  </w:comment>
  <w:comment w:id="29" w:author="Ibukun, Osebhahiemen" w:date="2025-11-14T10:54:00Z" w:initials="IO">
    <w:p w14:paraId="69414858" w14:textId="0038E8EF" w:rsidR="00D929BA" w:rsidRDefault="00D929BA">
      <w:pPr>
        <w:pStyle w:val="CommentText"/>
      </w:pPr>
      <w:r>
        <w:rPr>
          <w:rStyle w:val="CommentReference"/>
        </w:rPr>
        <w:annotationRef/>
      </w:r>
      <w:r>
        <w:t>Kindly justify this statistically using comments I made on the graphs</w:t>
      </w:r>
    </w:p>
  </w:comment>
  <w:comment w:id="30" w:author="Ibukun, Osebhahiemen" w:date="2025-11-14T10:53:00Z" w:initials="IO">
    <w:p w14:paraId="019CB4E3" w14:textId="26B783A0" w:rsidR="00D929BA" w:rsidRDefault="00D929BA">
      <w:pPr>
        <w:pStyle w:val="CommentText"/>
      </w:pPr>
      <w:r>
        <w:rPr>
          <w:rStyle w:val="CommentReference"/>
        </w:rPr>
        <w:annotationRef/>
      </w:r>
      <w:r>
        <w:t>Kindly write this using scientific language in terms of radical scavenging activity</w:t>
      </w:r>
    </w:p>
  </w:comment>
  <w:comment w:id="31" w:author="Ibukun, Osebhahiemen" w:date="2025-11-14T10:55:00Z" w:initials="IO">
    <w:p w14:paraId="224CCD34" w14:textId="30DAB314" w:rsidR="00D929BA" w:rsidRDefault="00D929BA">
      <w:pPr>
        <w:pStyle w:val="CommentText"/>
      </w:pPr>
      <w:r>
        <w:rPr>
          <w:rStyle w:val="CommentReference"/>
        </w:rPr>
        <w:annotationRef/>
      </w:r>
      <w:r>
        <w:t>showed</w:t>
      </w:r>
    </w:p>
  </w:comment>
  <w:comment w:id="32" w:author="Ibukun, Osebhahiemen" w:date="2025-11-14T10:56:00Z" w:initials="IO">
    <w:p w14:paraId="5114C8E0" w14:textId="31537CE6" w:rsidR="00D929BA" w:rsidRDefault="00D929BA">
      <w:pPr>
        <w:pStyle w:val="CommentText"/>
      </w:pPr>
      <w:r>
        <w:rPr>
          <w:rStyle w:val="CommentReference"/>
        </w:rPr>
        <w:annotationRef/>
      </w:r>
      <w:r>
        <w:t>kindly delete</w:t>
      </w:r>
    </w:p>
  </w:comment>
  <w:comment w:id="33" w:author="Ibukun, Osebhahiemen" w:date="2025-11-14T10:56:00Z" w:initials="IO">
    <w:p w14:paraId="6AEB4736" w14:textId="2377C6B8" w:rsidR="00D929BA" w:rsidRDefault="00D929BA">
      <w:pPr>
        <w:pStyle w:val="CommentText"/>
      </w:pPr>
      <w:r>
        <w:rPr>
          <w:rStyle w:val="CommentReference"/>
        </w:rPr>
        <w:annotationRef/>
      </w:r>
      <w:r>
        <w:t>kindly delete</w:t>
      </w:r>
    </w:p>
  </w:comment>
  <w:comment w:id="34" w:author="Ibukun, Osebhahiemen" w:date="2025-11-14T10:57:00Z" w:initials="IO">
    <w:p w14:paraId="450F3358" w14:textId="00757751" w:rsidR="00D929BA" w:rsidRDefault="00D929BA">
      <w:pPr>
        <w:pStyle w:val="CommentText"/>
      </w:pPr>
      <w:r>
        <w:rPr>
          <w:rStyle w:val="CommentReference"/>
        </w:rPr>
        <w:annotationRef/>
      </w:r>
      <w:r>
        <w:t>what enzymes? Please move this explanation to the discussion section. Please keep the GC-MS in the conclusion section simple</w:t>
      </w:r>
    </w:p>
  </w:comment>
  <w:comment w:id="36" w:author="Ibukun, Osebhahiemen" w:date="2025-11-14T10:58:00Z" w:initials="IO">
    <w:p w14:paraId="66E3E518" w14:textId="77777777" w:rsidR="00D929BA" w:rsidRDefault="00D929BA">
      <w:pPr>
        <w:pStyle w:val="CommentText"/>
      </w:pPr>
      <w:r>
        <w:rPr>
          <w:rStyle w:val="CommentReference"/>
        </w:rPr>
        <w:annotationRef/>
      </w:r>
      <w:r>
        <w:t>8?</w:t>
      </w:r>
    </w:p>
    <w:p w14:paraId="356F08D6" w14:textId="7913639E" w:rsidR="00D929BA" w:rsidRDefault="00D929BA">
      <w:pPr>
        <w:pStyle w:val="CommentText"/>
      </w:pPr>
      <w:r>
        <w:t>Kindly format the references as per Journal guideliens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9FD10" w15:done="0"/>
  <w15:commentEx w15:paraId="0D8F84A7" w15:done="0"/>
  <w15:commentEx w15:paraId="1054ED75" w15:done="0"/>
  <w15:commentEx w15:paraId="20F2CFC1" w15:done="0"/>
  <w15:commentEx w15:paraId="1917DB75" w15:done="0"/>
  <w15:commentEx w15:paraId="1F921E00" w15:done="0"/>
  <w15:commentEx w15:paraId="2BC1324A" w15:done="0"/>
  <w15:commentEx w15:paraId="2F2B8BDD" w15:done="0"/>
  <w15:commentEx w15:paraId="537B2DBB" w15:done="0"/>
  <w15:commentEx w15:paraId="6F99BE3D" w15:done="0"/>
  <w15:commentEx w15:paraId="4A1C9563" w15:done="0"/>
  <w15:commentEx w15:paraId="0C626304" w15:done="0"/>
  <w15:commentEx w15:paraId="402A175C" w15:done="0"/>
  <w15:commentEx w15:paraId="52290F92" w15:done="0"/>
  <w15:commentEx w15:paraId="240EDFFA" w15:done="0"/>
  <w15:commentEx w15:paraId="531DF37C" w15:done="0"/>
  <w15:commentEx w15:paraId="53CEDF3F" w15:done="0"/>
  <w15:commentEx w15:paraId="6B94E508" w15:done="0"/>
  <w15:commentEx w15:paraId="4EAB0D8D" w15:done="0"/>
  <w15:commentEx w15:paraId="5DF31D50" w15:done="0"/>
  <w15:commentEx w15:paraId="7129D998" w15:done="0"/>
  <w15:commentEx w15:paraId="0FA87100" w15:done="0"/>
  <w15:commentEx w15:paraId="0CC8E4B4" w15:done="0"/>
  <w15:commentEx w15:paraId="08839E2D" w15:done="0"/>
  <w15:commentEx w15:paraId="6D22E354" w15:done="0"/>
  <w15:commentEx w15:paraId="458F9E74" w15:done="0"/>
  <w15:commentEx w15:paraId="130E84E9" w15:done="0"/>
  <w15:commentEx w15:paraId="69414858" w15:done="0"/>
  <w15:commentEx w15:paraId="019CB4E3" w15:done="0"/>
  <w15:commentEx w15:paraId="224CCD34" w15:done="0"/>
  <w15:commentEx w15:paraId="5114C8E0" w15:done="0"/>
  <w15:commentEx w15:paraId="6AEB4736" w15:done="0"/>
  <w15:commentEx w15:paraId="450F3358" w15:done="0"/>
  <w15:commentEx w15:paraId="356F08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C17A67" w16cex:dateUtc="2025-11-14T15:52:00Z"/>
  <w16cex:commentExtensible w16cex:durableId="2CC17ABE" w16cex:dateUtc="2025-11-14T15:54:00Z"/>
  <w16cex:commentExtensible w16cex:durableId="2CC17B58" w16cex:dateUtc="2025-11-14T15:56:00Z"/>
  <w16cex:commentExtensible w16cex:durableId="2CC17BA3" w16cex:dateUtc="2025-11-14T15:57:00Z"/>
  <w16cex:commentExtensible w16cex:durableId="2CC17C4C" w16cex:dateUtc="2025-11-14T16:00:00Z"/>
  <w16cex:commentExtensible w16cex:durableId="2CC17CCF" w16cex:dateUtc="2025-11-14T16:02:00Z"/>
  <w16cex:commentExtensible w16cex:durableId="2CC17D2F" w16cex:dateUtc="2025-11-14T16:04:00Z"/>
  <w16cex:commentExtensible w16cex:durableId="2CC17D4E" w16cex:dateUtc="2025-11-14T16:05:00Z"/>
  <w16cex:commentExtensible w16cex:durableId="2CC17EE7" w16cex:dateUtc="2025-11-14T16:11:00Z"/>
  <w16cex:commentExtensible w16cex:durableId="2CC17F45" w16cex:dateUtc="2025-11-14T16:13:00Z"/>
  <w16cex:commentExtensible w16cex:durableId="2CC18197" w16cex:dateUtc="2025-11-14T16:23:00Z"/>
  <w16cex:commentExtensible w16cex:durableId="2CC18223" w16cex:dateUtc="2025-11-14T16:25:00Z"/>
  <w16cex:commentExtensible w16cex:durableId="2CC18237" w16cex:dateUtc="2025-11-14T16:25:00Z"/>
  <w16cex:commentExtensible w16cex:durableId="2CC1830F" w16cex:dateUtc="2025-11-14T16:29:00Z"/>
  <w16cex:commentExtensible w16cex:durableId="2CC18348" w16cex:dateUtc="2025-11-14T16:30:00Z"/>
  <w16cex:commentExtensible w16cex:durableId="2CC18395" w16cex:dateUtc="2025-11-14T16:31:00Z"/>
  <w16cex:commentExtensible w16cex:durableId="2CC183B3" w16cex:dateUtc="2025-11-14T16:32:00Z"/>
  <w16cex:commentExtensible w16cex:durableId="2CC18533" w16cex:dateUtc="2025-11-14T16:38:00Z"/>
  <w16cex:commentExtensible w16cex:durableId="2CC18471" w16cex:dateUtc="2025-11-14T16:35:00Z"/>
  <w16cex:commentExtensible w16cex:durableId="2CC1847F" w16cex:dateUtc="2025-11-14T16:35:00Z"/>
  <w16cex:commentExtensible w16cex:durableId="2CC18493" w16cex:dateUtc="2025-11-14T16:36:00Z"/>
  <w16cex:commentExtensible w16cex:durableId="2CC185E3" w16cex:dateUtc="2025-11-14T16:41:00Z"/>
  <w16cex:commentExtensible w16cex:durableId="2CC18622" w16cex:dateUtc="2025-11-14T16:42:00Z"/>
  <w16cex:commentExtensible w16cex:durableId="2CC1866B" w16cex:dateUtc="2025-11-14T16:43:00Z"/>
  <w16cex:commentExtensible w16cex:durableId="2CC186B3" w16cex:dateUtc="2025-11-14T16:45:00Z"/>
  <w16cex:commentExtensible w16cex:durableId="2CC18821" w16cex:dateUtc="2025-11-14T16:51:00Z"/>
  <w16cex:commentExtensible w16cex:durableId="2CC18846" w16cex:dateUtc="2025-11-14T16:51:00Z"/>
  <w16cex:commentExtensible w16cex:durableId="2CC188F3" w16cex:dateUtc="2025-11-14T16:54:00Z"/>
  <w16cex:commentExtensible w16cex:durableId="2CC188A5" w16cex:dateUtc="2025-11-14T16:53:00Z"/>
  <w16cex:commentExtensible w16cex:durableId="2CC18936" w16cex:dateUtc="2025-11-14T16:55:00Z"/>
  <w16cex:commentExtensible w16cex:durableId="2CC18945" w16cex:dateUtc="2025-11-14T16:56:00Z"/>
  <w16cex:commentExtensible w16cex:durableId="2CC1896B" w16cex:dateUtc="2025-11-14T16:56:00Z"/>
  <w16cex:commentExtensible w16cex:durableId="2CC18991" w16cex:dateUtc="2025-11-14T16:57:00Z"/>
  <w16cex:commentExtensible w16cex:durableId="2CC189D9" w16cex:dateUtc="2025-11-14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9FD10" w16cid:durableId="2CC17A67"/>
  <w16cid:commentId w16cid:paraId="0D8F84A7" w16cid:durableId="2CC17ABE"/>
  <w16cid:commentId w16cid:paraId="1054ED75" w16cid:durableId="2CC17B58"/>
  <w16cid:commentId w16cid:paraId="20F2CFC1" w16cid:durableId="2CC17BA3"/>
  <w16cid:commentId w16cid:paraId="1917DB75" w16cid:durableId="2CC17C4C"/>
  <w16cid:commentId w16cid:paraId="1F921E00" w16cid:durableId="2CC17CCF"/>
  <w16cid:commentId w16cid:paraId="2BC1324A" w16cid:durableId="2CC17D2F"/>
  <w16cid:commentId w16cid:paraId="2F2B8BDD" w16cid:durableId="2CC17D4E"/>
  <w16cid:commentId w16cid:paraId="537B2DBB" w16cid:durableId="2CC17EE7"/>
  <w16cid:commentId w16cid:paraId="6F99BE3D" w16cid:durableId="2CC17F45"/>
  <w16cid:commentId w16cid:paraId="4A1C9563" w16cid:durableId="2CC18197"/>
  <w16cid:commentId w16cid:paraId="0C626304" w16cid:durableId="2CC18223"/>
  <w16cid:commentId w16cid:paraId="402A175C" w16cid:durableId="2CC18237"/>
  <w16cid:commentId w16cid:paraId="52290F92" w16cid:durableId="2CC1830F"/>
  <w16cid:commentId w16cid:paraId="240EDFFA" w16cid:durableId="2CC18348"/>
  <w16cid:commentId w16cid:paraId="531DF37C" w16cid:durableId="2CC18395"/>
  <w16cid:commentId w16cid:paraId="53CEDF3F" w16cid:durableId="2CC183B3"/>
  <w16cid:commentId w16cid:paraId="6B94E508" w16cid:durableId="2CC18533"/>
  <w16cid:commentId w16cid:paraId="4EAB0D8D" w16cid:durableId="2CC18471"/>
  <w16cid:commentId w16cid:paraId="5DF31D50" w16cid:durableId="2CC1847F"/>
  <w16cid:commentId w16cid:paraId="7129D998" w16cid:durableId="2CC18493"/>
  <w16cid:commentId w16cid:paraId="0FA87100" w16cid:durableId="2CC185E3"/>
  <w16cid:commentId w16cid:paraId="0CC8E4B4" w16cid:durableId="2CC18622"/>
  <w16cid:commentId w16cid:paraId="08839E2D" w16cid:durableId="2CC1866B"/>
  <w16cid:commentId w16cid:paraId="6D22E354" w16cid:durableId="2CC186B3"/>
  <w16cid:commentId w16cid:paraId="458F9E74" w16cid:durableId="2CC18821"/>
  <w16cid:commentId w16cid:paraId="130E84E9" w16cid:durableId="2CC18846"/>
  <w16cid:commentId w16cid:paraId="69414858" w16cid:durableId="2CC188F3"/>
  <w16cid:commentId w16cid:paraId="019CB4E3" w16cid:durableId="2CC188A5"/>
  <w16cid:commentId w16cid:paraId="224CCD34" w16cid:durableId="2CC18936"/>
  <w16cid:commentId w16cid:paraId="5114C8E0" w16cid:durableId="2CC18945"/>
  <w16cid:commentId w16cid:paraId="6AEB4736" w16cid:durableId="2CC1896B"/>
  <w16cid:commentId w16cid:paraId="450F3358" w16cid:durableId="2CC18991"/>
  <w16cid:commentId w16cid:paraId="356F08D6" w16cid:durableId="2CC189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BFAAE" w14:textId="77777777" w:rsidR="00C24DAD" w:rsidRDefault="00C24DAD">
      <w:pPr>
        <w:spacing w:after="0" w:line="240" w:lineRule="auto"/>
      </w:pPr>
      <w:r>
        <w:separator/>
      </w:r>
    </w:p>
  </w:endnote>
  <w:endnote w:type="continuationSeparator" w:id="0">
    <w:p w14:paraId="7F897B40" w14:textId="77777777" w:rsidR="00C24DAD" w:rsidRDefault="00C24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241FA1A-1D38-45AE-81C9-9642D40CB241}"/>
    <w:embedBold r:id="rId2" w:fontKey="{1F45E6E8-CF07-47CA-8B4B-B2358AA4B83B}"/>
    <w:embedItalic r:id="rId3" w:fontKey="{852CEF2D-AEF2-4233-96D4-C1D9AC2504B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4" w:fontKey="{020E1BFE-C47F-4828-8473-4B2E65D699F8}"/>
  </w:font>
  <w:font w:name="Cambria">
    <w:panose1 w:val="02040503050406030204"/>
    <w:charset w:val="00"/>
    <w:family w:val="roman"/>
    <w:pitch w:val="variable"/>
    <w:sig w:usb0="E00006FF" w:usb1="420024FF" w:usb2="02000000" w:usb3="00000000" w:csb0="0000019F" w:csb1="00000000"/>
    <w:embedRegular r:id="rId5" w:fontKey="{7B2AAEE3-639E-44C5-B57D-95B5E8D3B1B3}"/>
  </w:font>
  <w:font w:name="Calibri">
    <w:panose1 w:val="020F0502020204030204"/>
    <w:charset w:val="00"/>
    <w:family w:val="swiss"/>
    <w:pitch w:val="variable"/>
    <w:sig w:usb0="E4002EFF" w:usb1="C000247B" w:usb2="00000009" w:usb3="00000000" w:csb0="000001FF" w:csb1="00000000"/>
    <w:embedRegular r:id="rId6" w:fontKey="{04D70BEB-B16A-4251-8A96-CEB6062C6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285B" w14:textId="77777777" w:rsidR="003F2AB2" w:rsidRDefault="003F2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BDE9" w14:textId="77777777" w:rsidR="00C0140E" w:rsidRDefault="00C014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C00B" w14:textId="77777777" w:rsidR="003F2AB2" w:rsidRDefault="003F2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EFCB" w14:textId="77777777" w:rsidR="00C24DAD" w:rsidRDefault="00C24DAD">
      <w:pPr>
        <w:spacing w:after="0" w:line="240" w:lineRule="auto"/>
      </w:pPr>
      <w:r>
        <w:separator/>
      </w:r>
    </w:p>
  </w:footnote>
  <w:footnote w:type="continuationSeparator" w:id="0">
    <w:p w14:paraId="055EDEC1" w14:textId="77777777" w:rsidR="00C24DAD" w:rsidRDefault="00C24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DC8B" w14:textId="56A454A6" w:rsidR="003F2AB2" w:rsidRDefault="00C24DAD">
    <w:pPr>
      <w:pStyle w:val="Header"/>
    </w:pPr>
    <w:r>
      <w:rPr>
        <w:noProof/>
      </w:rPr>
      <w:pict w14:anchorId="1E705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719E" w14:textId="6DC89282" w:rsidR="00C0140E" w:rsidRDefault="00C24DAD">
    <w:r>
      <w:rPr>
        <w:noProof/>
      </w:rPr>
      <w:pict w14:anchorId="4E13E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E8AD" w14:textId="4CF408D7" w:rsidR="003F2AB2" w:rsidRDefault="00C24DAD">
    <w:pPr>
      <w:pStyle w:val="Header"/>
    </w:pPr>
    <w:r>
      <w:rPr>
        <w:noProof/>
      </w:rPr>
      <w:pict w14:anchorId="1A9B2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33057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45270"/>
    <w:multiLevelType w:val="hybridMultilevel"/>
    <w:tmpl w:val="91E4519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A521E97"/>
    <w:multiLevelType w:val="hybridMultilevel"/>
    <w:tmpl w:val="51CED0C2"/>
    <w:lvl w:ilvl="0" w:tplc="558A094E">
      <w:start w:val="1"/>
      <w:numFmt w:val="decimal"/>
      <w:lvlText w:val="%1."/>
      <w:lvlJc w:val="left"/>
      <w:pPr>
        <w:ind w:left="360" w:hanging="360"/>
      </w:pPr>
      <w:rPr>
        <w:rFonts w:eastAsia="Apto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546F692F"/>
    <w:multiLevelType w:val="hybridMultilevel"/>
    <w:tmpl w:val="62AA73D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bukun, Osebhahiemen">
    <w15:presenceInfo w15:providerId="None" w15:userId="Ibukun, Osebhahie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40E"/>
    <w:rsid w:val="000451CA"/>
    <w:rsid w:val="000A636A"/>
    <w:rsid w:val="000D4459"/>
    <w:rsid w:val="000F7279"/>
    <w:rsid w:val="00124BCB"/>
    <w:rsid w:val="00151E40"/>
    <w:rsid w:val="00171C9E"/>
    <w:rsid w:val="001837B5"/>
    <w:rsid w:val="001D5B4A"/>
    <w:rsid w:val="001E5490"/>
    <w:rsid w:val="00204F7B"/>
    <w:rsid w:val="00217A2E"/>
    <w:rsid w:val="00220EFA"/>
    <w:rsid w:val="002250EC"/>
    <w:rsid w:val="002350AF"/>
    <w:rsid w:val="00253053"/>
    <w:rsid w:val="002563D6"/>
    <w:rsid w:val="0026395D"/>
    <w:rsid w:val="00282E31"/>
    <w:rsid w:val="002C2242"/>
    <w:rsid w:val="002C7214"/>
    <w:rsid w:val="002D6D94"/>
    <w:rsid w:val="003059C7"/>
    <w:rsid w:val="0031541C"/>
    <w:rsid w:val="003729A1"/>
    <w:rsid w:val="003F2AB2"/>
    <w:rsid w:val="0042293B"/>
    <w:rsid w:val="0044777A"/>
    <w:rsid w:val="00450249"/>
    <w:rsid w:val="0047032F"/>
    <w:rsid w:val="004714E1"/>
    <w:rsid w:val="004829E1"/>
    <w:rsid w:val="004A6A8C"/>
    <w:rsid w:val="004E115E"/>
    <w:rsid w:val="004E20E3"/>
    <w:rsid w:val="004E4DDD"/>
    <w:rsid w:val="00525488"/>
    <w:rsid w:val="0058490D"/>
    <w:rsid w:val="005920CB"/>
    <w:rsid w:val="00597E1A"/>
    <w:rsid w:val="005E449A"/>
    <w:rsid w:val="00662165"/>
    <w:rsid w:val="00706A82"/>
    <w:rsid w:val="00735A02"/>
    <w:rsid w:val="00766795"/>
    <w:rsid w:val="007706FD"/>
    <w:rsid w:val="00792848"/>
    <w:rsid w:val="007B091F"/>
    <w:rsid w:val="007E29FD"/>
    <w:rsid w:val="0082443A"/>
    <w:rsid w:val="008568C2"/>
    <w:rsid w:val="00876B65"/>
    <w:rsid w:val="008D25DA"/>
    <w:rsid w:val="008E147A"/>
    <w:rsid w:val="008E45D3"/>
    <w:rsid w:val="008F1EF3"/>
    <w:rsid w:val="00915A0A"/>
    <w:rsid w:val="009207F0"/>
    <w:rsid w:val="00931219"/>
    <w:rsid w:val="00946298"/>
    <w:rsid w:val="00957F0F"/>
    <w:rsid w:val="0097674F"/>
    <w:rsid w:val="009E1C55"/>
    <w:rsid w:val="00A1769F"/>
    <w:rsid w:val="00A23097"/>
    <w:rsid w:val="00A2368C"/>
    <w:rsid w:val="00A573A6"/>
    <w:rsid w:val="00A60F45"/>
    <w:rsid w:val="00AC19CA"/>
    <w:rsid w:val="00AC4F33"/>
    <w:rsid w:val="00AE6C66"/>
    <w:rsid w:val="00B1357B"/>
    <w:rsid w:val="00B242A4"/>
    <w:rsid w:val="00B4261A"/>
    <w:rsid w:val="00B655C9"/>
    <w:rsid w:val="00B71A0B"/>
    <w:rsid w:val="00B85082"/>
    <w:rsid w:val="00B87D11"/>
    <w:rsid w:val="00BB4221"/>
    <w:rsid w:val="00BB5143"/>
    <w:rsid w:val="00C0140E"/>
    <w:rsid w:val="00C24DAD"/>
    <w:rsid w:val="00C300E1"/>
    <w:rsid w:val="00CB4447"/>
    <w:rsid w:val="00CB524E"/>
    <w:rsid w:val="00D31DA7"/>
    <w:rsid w:val="00D766C5"/>
    <w:rsid w:val="00D81A0E"/>
    <w:rsid w:val="00D929BA"/>
    <w:rsid w:val="00D9622B"/>
    <w:rsid w:val="00DC26C2"/>
    <w:rsid w:val="00E50CFD"/>
    <w:rsid w:val="00E86D70"/>
    <w:rsid w:val="00F043D8"/>
    <w:rsid w:val="00F1238E"/>
    <w:rsid w:val="00F16953"/>
    <w:rsid w:val="00F3494F"/>
    <w:rsid w:val="00F91C6A"/>
    <w:rsid w:val="00FE1429"/>
    <w:rsid w:val="00FF33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E21294"/>
  <w15:docId w15:val="{04556306-4B9F-4AB6-A20B-6B2063A1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IN"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color w:val="595959"/>
      <w:sz w:val="28"/>
      <w:szCs w:val="28"/>
    </w:r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108" w:type="dxa"/>
        <w:bottom w:w="0" w:type="dxa"/>
        <w:right w:w="108"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97E1A"/>
    <w:rPr>
      <w:color w:val="0000FF" w:themeColor="hyperlink"/>
      <w:u w:val="single"/>
    </w:rPr>
  </w:style>
  <w:style w:type="character" w:styleId="UnresolvedMention">
    <w:name w:val="Unresolved Mention"/>
    <w:basedOn w:val="DefaultParagraphFont"/>
    <w:uiPriority w:val="99"/>
    <w:semiHidden/>
    <w:unhideWhenUsed/>
    <w:rsid w:val="00597E1A"/>
    <w:rPr>
      <w:color w:val="605E5C"/>
      <w:shd w:val="clear" w:color="auto" w:fill="E1DFDD"/>
    </w:rPr>
  </w:style>
  <w:style w:type="paragraph" w:styleId="NoSpacing">
    <w:name w:val="No Spacing"/>
    <w:uiPriority w:val="1"/>
    <w:qFormat/>
    <w:rsid w:val="002D6D94"/>
    <w:pPr>
      <w:spacing w:after="0" w:line="240" w:lineRule="auto"/>
    </w:pPr>
  </w:style>
  <w:style w:type="paragraph" w:styleId="ListParagraph">
    <w:name w:val="List Paragraph"/>
    <w:basedOn w:val="Normal"/>
    <w:uiPriority w:val="34"/>
    <w:qFormat/>
    <w:rsid w:val="00792848"/>
    <w:pPr>
      <w:spacing w:line="259" w:lineRule="auto"/>
      <w:ind w:left="720"/>
      <w:contextualSpacing/>
    </w:pPr>
    <w:rPr>
      <w:rFonts w:asciiTheme="minorHAnsi" w:eastAsiaTheme="minorHAnsi" w:hAnsiTheme="minorHAnsi" w:cstheme="minorBidi"/>
      <w:kern w:val="2"/>
      <w:sz w:val="22"/>
      <w:szCs w:val="22"/>
      <w:lang w:val="en-IN" w:eastAsia="en-US"/>
      <w14:ligatures w14:val="standardContextual"/>
    </w:rPr>
  </w:style>
  <w:style w:type="paragraph" w:styleId="Header">
    <w:name w:val="header"/>
    <w:basedOn w:val="Normal"/>
    <w:link w:val="HeaderChar"/>
    <w:uiPriority w:val="99"/>
    <w:unhideWhenUsed/>
    <w:rsid w:val="003F2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AB2"/>
  </w:style>
  <w:style w:type="paragraph" w:styleId="Footer">
    <w:name w:val="footer"/>
    <w:basedOn w:val="Normal"/>
    <w:link w:val="FooterChar"/>
    <w:uiPriority w:val="99"/>
    <w:unhideWhenUsed/>
    <w:rsid w:val="003F2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AB2"/>
  </w:style>
  <w:style w:type="character" w:styleId="CommentReference">
    <w:name w:val="annotation reference"/>
    <w:basedOn w:val="DefaultParagraphFont"/>
    <w:uiPriority w:val="99"/>
    <w:semiHidden/>
    <w:unhideWhenUsed/>
    <w:rsid w:val="00B4261A"/>
    <w:rPr>
      <w:sz w:val="16"/>
      <w:szCs w:val="16"/>
    </w:rPr>
  </w:style>
  <w:style w:type="paragraph" w:styleId="CommentText">
    <w:name w:val="annotation text"/>
    <w:basedOn w:val="Normal"/>
    <w:link w:val="CommentTextChar"/>
    <w:uiPriority w:val="99"/>
    <w:semiHidden/>
    <w:unhideWhenUsed/>
    <w:rsid w:val="00B4261A"/>
    <w:pPr>
      <w:spacing w:line="240" w:lineRule="auto"/>
    </w:pPr>
    <w:rPr>
      <w:sz w:val="20"/>
      <w:szCs w:val="20"/>
    </w:rPr>
  </w:style>
  <w:style w:type="character" w:customStyle="1" w:styleId="CommentTextChar">
    <w:name w:val="Comment Text Char"/>
    <w:basedOn w:val="DefaultParagraphFont"/>
    <w:link w:val="CommentText"/>
    <w:uiPriority w:val="99"/>
    <w:semiHidden/>
    <w:rsid w:val="00B4261A"/>
    <w:rPr>
      <w:sz w:val="20"/>
      <w:szCs w:val="20"/>
    </w:rPr>
  </w:style>
  <w:style w:type="paragraph" w:styleId="CommentSubject">
    <w:name w:val="annotation subject"/>
    <w:basedOn w:val="CommentText"/>
    <w:next w:val="CommentText"/>
    <w:link w:val="CommentSubjectChar"/>
    <w:uiPriority w:val="99"/>
    <w:semiHidden/>
    <w:unhideWhenUsed/>
    <w:rsid w:val="00B4261A"/>
    <w:rPr>
      <w:b/>
      <w:bCs/>
    </w:rPr>
  </w:style>
  <w:style w:type="character" w:customStyle="1" w:styleId="CommentSubjectChar">
    <w:name w:val="Comment Subject Char"/>
    <w:basedOn w:val="CommentTextChar"/>
    <w:link w:val="CommentSubject"/>
    <w:uiPriority w:val="99"/>
    <w:semiHidden/>
    <w:rsid w:val="00B426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mTXQbUuwQB8/3nSXCcdzlgz9Tw==">CgMxLjA4AHIhMWFzOXBrVThlNGtmclZDWm91bHdLbmg0OVhUaUpIUHRK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20</Pages>
  <Words>5188</Words>
  <Characters>29577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Ibukun, Osebhahiemen</cp:lastModifiedBy>
  <cp:revision>5</cp:revision>
  <dcterms:created xsi:type="dcterms:W3CDTF">2025-11-13T17:25:00Z</dcterms:created>
  <dcterms:modified xsi:type="dcterms:W3CDTF">2025-11-14T16:59:00Z</dcterms:modified>
</cp:coreProperties>
</file>