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89B39" w14:textId="37A5ED42" w:rsidR="00B600B2" w:rsidRDefault="00B600B2" w:rsidP="00B600B2">
      <w:pPr>
        <w:jc w:val="center"/>
        <w:rPr>
          <w:rFonts w:ascii="Arial" w:hAnsi="Arial" w:cs="Arial"/>
          <w:b/>
          <w:bCs/>
          <w:sz w:val="28"/>
          <w:szCs w:val="28"/>
        </w:rPr>
      </w:pPr>
      <w:bookmarkStart w:id="0" w:name="_Hlk212804347"/>
      <w:r w:rsidRPr="00FA13DC">
        <w:rPr>
          <w:rFonts w:ascii="Arial" w:hAnsi="Arial" w:cs="Arial"/>
          <w:b/>
          <w:bCs/>
          <w:sz w:val="28"/>
          <w:szCs w:val="28"/>
        </w:rPr>
        <w:t>SCREENING OF TOMATO, BRINJAL AND CHILLI GENOTYPES FOR PHOTOSYNTHETIC EFFICIENCY AND PRODUCTIVITY USING NON-DESTRUCTIVE PHYSIOLOGICAL TOOLS</w:t>
      </w:r>
    </w:p>
    <w:bookmarkEnd w:id="0"/>
    <w:p w14:paraId="29334502" w14:textId="77777777" w:rsidR="00592988" w:rsidRDefault="00592988" w:rsidP="004A4860">
      <w:pPr>
        <w:spacing w:line="360" w:lineRule="auto"/>
        <w:rPr>
          <w:rFonts w:ascii="Arial" w:hAnsi="Arial" w:cs="Arial"/>
          <w:b/>
          <w:bCs/>
          <w:lang w:val="en-US"/>
        </w:rPr>
      </w:pPr>
    </w:p>
    <w:p w14:paraId="1FF7C061" w14:textId="7E65F9F6" w:rsidR="00D66BB3" w:rsidRPr="004A4860" w:rsidRDefault="00D66BB3" w:rsidP="004A4860">
      <w:pPr>
        <w:spacing w:line="360" w:lineRule="auto"/>
        <w:rPr>
          <w:rFonts w:ascii="Arial" w:hAnsi="Arial" w:cs="Arial"/>
          <w:b/>
          <w:bCs/>
          <w:sz w:val="24"/>
          <w:szCs w:val="24"/>
        </w:rPr>
      </w:pPr>
      <w:bookmarkStart w:id="1" w:name="_GoBack"/>
      <w:bookmarkEnd w:id="1"/>
      <w:r w:rsidRPr="00FA13DC">
        <w:rPr>
          <w:rFonts w:ascii="Arial" w:hAnsi="Arial" w:cs="Arial"/>
          <w:b/>
          <w:bCs/>
          <w:lang w:val="en-US"/>
        </w:rPr>
        <w:t>ABSTRACT</w:t>
      </w:r>
    </w:p>
    <w:p w14:paraId="53758CA6" w14:textId="47BE8894" w:rsidR="00264B66" w:rsidRPr="00FA13DC" w:rsidRDefault="00D66BB3" w:rsidP="00FA13DC">
      <w:pPr>
        <w:ind w:firstLine="720"/>
        <w:jc w:val="both"/>
        <w:rPr>
          <w:rFonts w:ascii="Arial" w:hAnsi="Arial" w:cs="Arial"/>
          <w:sz w:val="20"/>
          <w:szCs w:val="20"/>
          <w:lang w:val="en-US"/>
        </w:rPr>
      </w:pPr>
      <w:r w:rsidRPr="00FA13DC">
        <w:rPr>
          <w:rFonts w:ascii="Arial" w:hAnsi="Arial" w:cs="Arial"/>
          <w:sz w:val="20"/>
          <w:szCs w:val="20"/>
          <w:lang w:val="en-US"/>
        </w:rPr>
        <w:t xml:space="preserve">The present study evaluated the physiological performance of different genotypes in three crops such as tomato, brinjal and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with the aim of screening crop genotypes for improved physiological efficiency and productivity by using portable equipment for photosynthesis and chlorophyll measurement. Photosynthetic rate was measured using a portable photosynthetic system (PPS meter with an Infrared Gas Analyzer, IRGA), photosynthetic efficiency was measured using the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ratio with a fluorometer and chlorophyll content was approximated with the CCM chlorophyll content meter</w:t>
      </w:r>
      <w:r w:rsidR="00874064" w:rsidRPr="00FA13DC">
        <w:rPr>
          <w:rFonts w:ascii="Arial" w:hAnsi="Arial" w:cs="Arial"/>
          <w:sz w:val="20"/>
          <w:szCs w:val="20"/>
          <w:lang w:val="en-US"/>
        </w:rPr>
        <w:t>.</w:t>
      </w:r>
      <w:r w:rsidR="008872BA" w:rsidRPr="00FA13DC">
        <w:rPr>
          <w:rFonts w:ascii="Arial" w:hAnsi="Arial" w:cs="Arial"/>
          <w:sz w:val="20"/>
          <w:szCs w:val="20"/>
          <w:lang w:val="en-US"/>
        </w:rPr>
        <w:t xml:space="preserve"> Tomato</w:t>
      </w:r>
      <w:r w:rsidRPr="00FA13DC">
        <w:rPr>
          <w:rFonts w:ascii="Arial" w:hAnsi="Arial" w:cs="Arial"/>
          <w:sz w:val="20"/>
          <w:szCs w:val="20"/>
          <w:lang w:val="en-US"/>
        </w:rPr>
        <w:t xml:space="preserve"> had higher overall physiological efficiency for the three parameters. The study shows the potential of the integration of IRGA-based photosynthetic systems, chlorophyll fluorescence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w:t>
      </w:r>
      <w:r w:rsidR="00F40A0C" w:rsidRPr="00FA13DC">
        <w:rPr>
          <w:rFonts w:ascii="Arial" w:hAnsi="Arial" w:cs="Arial"/>
          <w:sz w:val="20"/>
          <w:szCs w:val="20"/>
          <w:lang w:val="en-US"/>
        </w:rPr>
        <w:t xml:space="preserve"> </w:t>
      </w:r>
      <w:r w:rsidRPr="00FA13DC">
        <w:rPr>
          <w:rFonts w:ascii="Arial" w:hAnsi="Arial" w:cs="Arial"/>
          <w:sz w:val="20"/>
          <w:szCs w:val="20"/>
          <w:lang w:val="en-US"/>
        </w:rPr>
        <w:t>and CCM meters to screen crop genotypes for improved physiological efficiency and productivity.</w:t>
      </w:r>
    </w:p>
    <w:p w14:paraId="52C10AE0" w14:textId="5451E364" w:rsidR="00D66BB3" w:rsidRPr="00FA13DC" w:rsidRDefault="00264B66" w:rsidP="00FA13DC">
      <w:pPr>
        <w:rPr>
          <w:rFonts w:ascii="Arial" w:hAnsi="Arial" w:cs="Arial"/>
          <w:b/>
          <w:bCs/>
          <w:lang w:val="en-US"/>
        </w:rPr>
      </w:pPr>
      <w:r w:rsidRPr="00FA13DC">
        <w:rPr>
          <w:rFonts w:ascii="Arial" w:hAnsi="Arial" w:cs="Arial"/>
          <w:b/>
          <w:bCs/>
          <w:lang w:val="en-US"/>
        </w:rPr>
        <w:t>1.</w:t>
      </w:r>
      <w:r w:rsidR="00D66BB3" w:rsidRPr="00FA13DC">
        <w:rPr>
          <w:rFonts w:ascii="Arial" w:hAnsi="Arial" w:cs="Arial"/>
          <w:b/>
          <w:bCs/>
          <w:lang w:val="en-US"/>
        </w:rPr>
        <w:t>INTRODUCTION</w:t>
      </w:r>
    </w:p>
    <w:p w14:paraId="2CA5691E" w14:textId="77777777" w:rsidR="00F417F8" w:rsidRPr="00FA13DC" w:rsidRDefault="00F417F8" w:rsidP="00F417F8">
      <w:pPr>
        <w:ind w:firstLine="720"/>
        <w:jc w:val="both"/>
        <w:rPr>
          <w:rFonts w:ascii="Arial" w:hAnsi="Arial" w:cs="Arial"/>
          <w:sz w:val="20"/>
          <w:szCs w:val="20"/>
        </w:rPr>
      </w:pPr>
      <w:r w:rsidRPr="00FA13DC">
        <w:rPr>
          <w:rFonts w:ascii="Arial" w:hAnsi="Arial" w:cs="Arial"/>
          <w:sz w:val="20"/>
          <w:szCs w:val="20"/>
        </w:rPr>
        <w:t xml:space="preserve">Photosynthesis is the main physiological process responsible for plant growth, development and productivity. It is the primary mechanism by which plants trap light energy and convert it into chemical energy, which ultimately leads to crop yield and global food security [1,2]. With its importance, accurate measurement of photosynthetic characteristics is critical in crop physiology and breeding programs [3]. Traditional methods for measuring photosynthetic traits are time-consuming, destructive and </w:t>
      </w:r>
      <w:proofErr w:type="spellStart"/>
      <w:r w:rsidRPr="00FA13DC">
        <w:rPr>
          <w:rFonts w:ascii="Arial" w:hAnsi="Arial" w:cs="Arial"/>
          <w:sz w:val="20"/>
          <w:szCs w:val="20"/>
        </w:rPr>
        <w:t>labor-intensive</w:t>
      </w:r>
      <w:proofErr w:type="spellEnd"/>
      <w:r w:rsidRPr="00FA13DC">
        <w:rPr>
          <w:rFonts w:ascii="Arial" w:hAnsi="Arial" w:cs="Arial"/>
          <w:sz w:val="20"/>
          <w:szCs w:val="20"/>
        </w:rPr>
        <w:t>, which limit their applicability for large-scale genotypic screening [4].</w:t>
      </w:r>
    </w:p>
    <w:p w14:paraId="60BE72DF"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The invention of portable photosynthetic systems (PPS meters), chlorophyll fluorescence methods and chlorophyll content meters has revolutionized crop physiology by enabling rapid, accurate and non-destructive field measurements [5].</w:t>
      </w:r>
    </w:p>
    <w:p w14:paraId="0549C017"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 xml:space="preserve">Portable photosynthetic systems, combined with Infrared Gas </w:t>
      </w:r>
      <w:proofErr w:type="spellStart"/>
      <w:r w:rsidRPr="00FA13DC">
        <w:rPr>
          <w:rFonts w:ascii="Arial" w:hAnsi="Arial" w:cs="Arial"/>
          <w:sz w:val="20"/>
          <w:szCs w:val="20"/>
        </w:rPr>
        <w:t>Analyzers</w:t>
      </w:r>
      <w:proofErr w:type="spellEnd"/>
      <w:r w:rsidRPr="00FA13DC">
        <w:rPr>
          <w:rFonts w:ascii="Arial" w:hAnsi="Arial" w:cs="Arial"/>
          <w:sz w:val="20"/>
          <w:szCs w:val="20"/>
        </w:rPr>
        <w:t xml:space="preserve"> (IRGA), provide direct information on carbon assimilation parameters such as net photosynthetic rate, stomatal conductance, transpiration rate and leaf temperature [6,7]. These measurements give real-time indications of carbon assimilation efficiency, which are directly linked to plant growth performance under both normal and stressed conditions [8].</w:t>
      </w:r>
    </w:p>
    <w:p w14:paraId="795AD51E"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Chlorophyll fluorescence methods, particularly the maximum quantum yield of Photosystem II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are excellent indicators of photosynthetic efficiency and plant stress responses [9]. The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ratio reflects the functional integrity of the photosynthetic apparatus and thus serves as a powerful screening tool for identifying tolerant and sensitive genotypes [10]. Similarly, measurement of chlorophyll content using CCM meters provides an estimate of the pigment pool, which correlates with photosynthetic capacity, leaf nitrogen status and plant </w:t>
      </w:r>
      <w:proofErr w:type="spellStart"/>
      <w:r w:rsidRPr="00FA13DC">
        <w:rPr>
          <w:rFonts w:ascii="Arial" w:hAnsi="Arial" w:cs="Arial"/>
          <w:sz w:val="20"/>
          <w:szCs w:val="20"/>
        </w:rPr>
        <w:t>vigor</w:t>
      </w:r>
      <w:proofErr w:type="spellEnd"/>
      <w:r w:rsidRPr="00FA13DC">
        <w:rPr>
          <w:rFonts w:ascii="Arial" w:hAnsi="Arial" w:cs="Arial"/>
          <w:sz w:val="20"/>
          <w:szCs w:val="20"/>
        </w:rPr>
        <w:t xml:space="preserve"> [11,12].</w:t>
      </w:r>
    </w:p>
    <w:p w14:paraId="2CAEEAE4" w14:textId="77777777" w:rsidR="00F417F8" w:rsidRPr="00FA13DC" w:rsidRDefault="00F417F8" w:rsidP="006518F1">
      <w:pPr>
        <w:ind w:firstLine="720"/>
        <w:jc w:val="both"/>
        <w:rPr>
          <w:rFonts w:ascii="Arial" w:hAnsi="Arial" w:cs="Arial"/>
          <w:sz w:val="20"/>
          <w:szCs w:val="20"/>
        </w:rPr>
      </w:pPr>
      <w:r w:rsidRPr="00FA13DC">
        <w:rPr>
          <w:rFonts w:ascii="Arial" w:hAnsi="Arial" w:cs="Arial"/>
          <w:sz w:val="20"/>
          <w:szCs w:val="20"/>
        </w:rPr>
        <w:t>By integrating these physiological tools, researchers can build a comprehensive profile of a genotype’s performance in light capture, carbon assimilation and energy conversion. This approach facilitates the identification of high-performing genotypes with enhanced physiological efficiency, thereby accelerating breeding programs aimed at improving productivity and stress tolerance [13,14]. The current study explored tomato, brinjal and chilli genotypes using PPS (IRGA-based gas exchange system), chlorophyll fluorescence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and CCM chlorophyll content meters to identify high-performing genotypes for yield potential and stress tolerance.</w:t>
      </w:r>
    </w:p>
    <w:p w14:paraId="65C003D5" w14:textId="1B0D0559" w:rsidR="00C6762A" w:rsidRPr="00FA13DC" w:rsidRDefault="00264B66" w:rsidP="00FA13DC">
      <w:pPr>
        <w:rPr>
          <w:rFonts w:ascii="Arial" w:hAnsi="Arial" w:cs="Arial"/>
          <w:b/>
          <w:bCs/>
          <w:lang w:val="en-US"/>
        </w:rPr>
      </w:pPr>
      <w:r w:rsidRPr="00FA13DC">
        <w:rPr>
          <w:rFonts w:ascii="Arial" w:hAnsi="Arial" w:cs="Arial"/>
          <w:b/>
          <w:bCs/>
          <w:lang w:val="en-US"/>
        </w:rPr>
        <w:t>2.</w:t>
      </w:r>
      <w:r w:rsidR="00C6762A" w:rsidRPr="00FA13DC">
        <w:rPr>
          <w:rFonts w:ascii="Arial" w:hAnsi="Arial" w:cs="Arial"/>
          <w:b/>
          <w:bCs/>
          <w:lang w:val="en-US"/>
        </w:rPr>
        <w:t>MATERIALS AND METHODS</w:t>
      </w:r>
    </w:p>
    <w:p w14:paraId="4F55B5F4" w14:textId="77777777" w:rsidR="00756CF0" w:rsidRPr="00FA13DC" w:rsidRDefault="00756CF0" w:rsidP="00FA13DC">
      <w:pPr>
        <w:rPr>
          <w:rFonts w:ascii="Arial" w:hAnsi="Arial" w:cs="Arial"/>
          <w:b/>
          <w:bCs/>
        </w:rPr>
      </w:pPr>
      <w:r w:rsidRPr="00FA13DC">
        <w:rPr>
          <w:rFonts w:ascii="Arial" w:hAnsi="Arial" w:cs="Arial"/>
          <w:b/>
          <w:bCs/>
        </w:rPr>
        <w:t>2.1. Chlorophyll content index</w:t>
      </w:r>
    </w:p>
    <w:p w14:paraId="26322749" w14:textId="77777777" w:rsidR="00756CF0" w:rsidRPr="00FA13DC" w:rsidRDefault="00756CF0" w:rsidP="00756CF0">
      <w:pPr>
        <w:ind w:firstLine="720"/>
        <w:jc w:val="both"/>
        <w:rPr>
          <w:rFonts w:ascii="Arial" w:hAnsi="Arial" w:cs="Arial"/>
          <w:sz w:val="20"/>
          <w:szCs w:val="20"/>
        </w:rPr>
      </w:pPr>
      <w:r w:rsidRPr="00FA13DC">
        <w:rPr>
          <w:rFonts w:ascii="Arial" w:hAnsi="Arial" w:cs="Arial"/>
          <w:sz w:val="20"/>
          <w:szCs w:val="20"/>
        </w:rPr>
        <w:t>Chlorophyll content index is a relative measure of leaf chlorophyll content that was recorded from the third leaves of the plants using a portable chlorophyll content meter (CCM 200 plus – Opti-</w:t>
      </w:r>
      <w:r w:rsidRPr="00FA13DC">
        <w:rPr>
          <w:rFonts w:ascii="Arial" w:hAnsi="Arial" w:cs="Arial"/>
          <w:sz w:val="20"/>
          <w:szCs w:val="20"/>
        </w:rPr>
        <w:lastRenderedPageBreak/>
        <w:t>sciences) on the 14th day post-salinization [11]. The meter uses precision LED technology to detect energy absorbed in the red band, while infrared band absorbance is applied to measure and adjust for leaf thickness, providing a relative measure of chlorophyll content [12].</w:t>
      </w:r>
    </w:p>
    <w:p w14:paraId="6D19E698" w14:textId="77777777" w:rsidR="00756CF0" w:rsidRPr="00FA13DC" w:rsidRDefault="00756CF0" w:rsidP="00FA13DC">
      <w:pPr>
        <w:rPr>
          <w:rFonts w:ascii="Arial" w:hAnsi="Arial" w:cs="Arial"/>
          <w:b/>
          <w:bCs/>
        </w:rPr>
      </w:pPr>
      <w:r w:rsidRPr="00FA13DC">
        <w:rPr>
          <w:rFonts w:ascii="Arial" w:hAnsi="Arial" w:cs="Arial"/>
          <w:b/>
          <w:bCs/>
        </w:rPr>
        <w:t>2.2. Chlorophyll fluorescence (</w:t>
      </w:r>
      <w:proofErr w:type="spellStart"/>
      <w:r w:rsidRPr="00FA13DC">
        <w:rPr>
          <w:rFonts w:ascii="Arial" w:hAnsi="Arial" w:cs="Arial"/>
          <w:b/>
          <w:bCs/>
        </w:rPr>
        <w:t>Fv</w:t>
      </w:r>
      <w:proofErr w:type="spellEnd"/>
      <w:r w:rsidRPr="00FA13DC">
        <w:rPr>
          <w:rFonts w:ascii="Arial" w:hAnsi="Arial" w:cs="Arial"/>
          <w:b/>
          <w:bCs/>
        </w:rPr>
        <w:t>/</w:t>
      </w:r>
      <w:proofErr w:type="spellStart"/>
      <w:r w:rsidRPr="00FA13DC">
        <w:rPr>
          <w:rFonts w:ascii="Arial" w:hAnsi="Arial" w:cs="Arial"/>
          <w:b/>
          <w:bCs/>
        </w:rPr>
        <w:t>Fm</w:t>
      </w:r>
      <w:proofErr w:type="spellEnd"/>
      <w:r w:rsidRPr="00FA13DC">
        <w:rPr>
          <w:rFonts w:ascii="Arial" w:hAnsi="Arial" w:cs="Arial"/>
          <w:b/>
          <w:bCs/>
        </w:rPr>
        <w:t>)</w:t>
      </w:r>
    </w:p>
    <w:p w14:paraId="15B05593" w14:textId="77777777" w:rsidR="00756CF0" w:rsidRPr="00FA13DC" w:rsidRDefault="00756CF0" w:rsidP="00756CF0">
      <w:pPr>
        <w:ind w:firstLine="720"/>
        <w:jc w:val="both"/>
        <w:rPr>
          <w:rFonts w:ascii="Arial" w:hAnsi="Arial" w:cs="Arial"/>
          <w:sz w:val="20"/>
          <w:szCs w:val="20"/>
        </w:rPr>
      </w:pPr>
      <w:r w:rsidRPr="00FA13DC">
        <w:rPr>
          <w:rFonts w:ascii="Arial" w:hAnsi="Arial" w:cs="Arial"/>
          <w:sz w:val="20"/>
          <w:szCs w:val="20"/>
        </w:rPr>
        <w:t xml:space="preserve">Measurements of chlorophyll fluorescence were taken using a fluorometer (OSP1, Opti-Sciences, USA) following the procedure of Lu and Zhang (1999) [15]. Measurements were carried out between 9:00 and 12:00 hours on intact leaves that had been dark adapted for 30 minutes [9]. The Fo (minimum fluorescence) was measured when all PSII reaction centres were open, using modulated light of very low intensity (&lt; 0.1 </w:t>
      </w:r>
      <w:proofErr w:type="spellStart"/>
      <w:r w:rsidRPr="00FA13DC">
        <w:rPr>
          <w:rFonts w:ascii="Arial" w:hAnsi="Arial" w:cs="Arial"/>
          <w:sz w:val="20"/>
          <w:szCs w:val="20"/>
        </w:rPr>
        <w:t>μmol</w:t>
      </w:r>
      <w:proofErr w:type="spellEnd"/>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[16]. To determine the maximal fluorescence (Fm), a saturating pulse of 8000 </w:t>
      </w:r>
      <w:proofErr w:type="spellStart"/>
      <w:r w:rsidRPr="00FA13DC">
        <w:rPr>
          <w:rFonts w:ascii="Arial" w:hAnsi="Arial" w:cs="Arial"/>
          <w:sz w:val="20"/>
          <w:szCs w:val="20"/>
        </w:rPr>
        <w:t>μmol</w:t>
      </w:r>
      <w:proofErr w:type="spellEnd"/>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for 0.8 s was applied to dark-adapted leaves so that all PSII centres were closed [17]. From these parameters, the maximal photochemical efficiency of PSII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 (</w:t>
      </w:r>
      <w:proofErr w:type="spellStart"/>
      <w:r w:rsidRPr="00FA13DC">
        <w:rPr>
          <w:rFonts w:ascii="Arial" w:hAnsi="Arial" w:cs="Arial"/>
          <w:sz w:val="20"/>
          <w:szCs w:val="20"/>
        </w:rPr>
        <w:t>Fm</w:t>
      </w:r>
      <w:proofErr w:type="spellEnd"/>
      <w:r w:rsidRPr="00FA13DC">
        <w:rPr>
          <w:rFonts w:ascii="Arial" w:hAnsi="Arial" w:cs="Arial"/>
          <w:sz w:val="20"/>
          <w:szCs w:val="20"/>
        </w:rPr>
        <w:t>–</w:t>
      </w:r>
      <w:proofErr w:type="spellStart"/>
      <w:r w:rsidRPr="00FA13DC">
        <w:rPr>
          <w:rFonts w:ascii="Arial" w:hAnsi="Arial" w:cs="Arial"/>
          <w:sz w:val="20"/>
          <w:szCs w:val="20"/>
        </w:rPr>
        <w:t>Fo</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was calculated as described by van Kooten and Snell (1990) [18].</w:t>
      </w:r>
    </w:p>
    <w:p w14:paraId="28CFA1B9" w14:textId="77777777" w:rsidR="00756CF0" w:rsidRPr="00FA13DC" w:rsidRDefault="00756CF0" w:rsidP="00FA13DC">
      <w:pPr>
        <w:rPr>
          <w:rFonts w:ascii="Arial" w:hAnsi="Arial" w:cs="Arial"/>
          <w:b/>
          <w:bCs/>
        </w:rPr>
      </w:pPr>
      <w:r w:rsidRPr="00FA13DC">
        <w:rPr>
          <w:rFonts w:ascii="Arial" w:hAnsi="Arial" w:cs="Arial"/>
          <w:b/>
          <w:bCs/>
        </w:rPr>
        <w:t>2.3. Gaseous exchange parameters</w:t>
      </w:r>
    </w:p>
    <w:p w14:paraId="407C0E53" w14:textId="77777777" w:rsidR="00756CF0" w:rsidRPr="00FA13DC" w:rsidRDefault="00756CF0" w:rsidP="00756CF0">
      <w:pPr>
        <w:ind w:firstLine="720"/>
        <w:jc w:val="both"/>
        <w:rPr>
          <w:rFonts w:ascii="Arial" w:hAnsi="Arial" w:cs="Arial"/>
          <w:sz w:val="20"/>
          <w:szCs w:val="20"/>
        </w:rPr>
      </w:pPr>
      <w:r w:rsidRPr="00FA13DC">
        <w:rPr>
          <w:rFonts w:ascii="Arial" w:hAnsi="Arial" w:cs="Arial"/>
          <w:sz w:val="20"/>
          <w:szCs w:val="20"/>
        </w:rPr>
        <w:t>Photosynthesis, stomatal conductance, transpiration rate and leaf temperature were measured on the top fully expanded leaves after 18 days of stress using a portable photosynthesis system (</w:t>
      </w:r>
      <w:proofErr w:type="spellStart"/>
      <w:r w:rsidRPr="00FA13DC">
        <w:rPr>
          <w:rFonts w:ascii="Arial" w:hAnsi="Arial" w:cs="Arial"/>
          <w:sz w:val="20"/>
          <w:szCs w:val="20"/>
        </w:rPr>
        <w:t>LCpro</w:t>
      </w:r>
      <w:proofErr w:type="spellEnd"/>
      <w:r w:rsidRPr="00FA13DC">
        <w:rPr>
          <w:rFonts w:ascii="Arial" w:hAnsi="Arial" w:cs="Arial"/>
          <w:sz w:val="20"/>
          <w:szCs w:val="20"/>
        </w:rPr>
        <w:t>-SD, ADC Bioscientific Ltd, UK) [7]. Measurements were conducted on leaves enclosed in a 6 cm² chamber at a constant flow rate of 500 ml min</w:t>
      </w:r>
      <w:r w:rsidRPr="00FA13DC">
        <w:rPr>
          <w:rFonts w:ascii="Cambria Math" w:hAnsi="Cambria Math" w:cs="Cambria Math"/>
          <w:sz w:val="20"/>
          <w:szCs w:val="20"/>
        </w:rPr>
        <w:t>⁻</w:t>
      </w:r>
      <w:r w:rsidRPr="00FA13DC">
        <w:rPr>
          <w:rFonts w:ascii="Arial" w:hAnsi="Arial" w:cs="Arial"/>
          <w:sz w:val="20"/>
          <w:szCs w:val="20"/>
        </w:rPr>
        <w:t>¹ and CO</w:t>
      </w:r>
      <w:r w:rsidRPr="00FA13DC">
        <w:rPr>
          <w:rFonts w:ascii="Cambria Math" w:hAnsi="Cambria Math" w:cs="Cambria Math"/>
          <w:sz w:val="20"/>
          <w:szCs w:val="20"/>
        </w:rPr>
        <w:t>₂</w:t>
      </w:r>
      <w:r w:rsidRPr="00FA13DC">
        <w:rPr>
          <w:rFonts w:ascii="Arial" w:hAnsi="Arial" w:cs="Arial"/>
          <w:sz w:val="20"/>
          <w:szCs w:val="20"/>
        </w:rPr>
        <w:t xml:space="preserve"> concentration of 380 µmol mol</w:t>
      </w:r>
      <w:r w:rsidRPr="00FA13DC">
        <w:rPr>
          <w:rFonts w:ascii="Cambria Math" w:hAnsi="Cambria Math" w:cs="Cambria Math"/>
          <w:sz w:val="20"/>
          <w:szCs w:val="20"/>
        </w:rPr>
        <w:t>⁻</w:t>
      </w:r>
      <w:r w:rsidRPr="00FA13DC">
        <w:rPr>
          <w:rFonts w:ascii="Arial" w:hAnsi="Arial" w:cs="Arial"/>
          <w:sz w:val="20"/>
          <w:szCs w:val="20"/>
        </w:rPr>
        <w:t>¹ under photosynthetically active radiation (PAR) of 1000 µmol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[6]. Observations were taken between 10:00 am and 12:00 pm [8].</w:t>
      </w:r>
    </w:p>
    <w:p w14:paraId="03DDA180" w14:textId="398A15D7" w:rsidR="005F5805" w:rsidRPr="00FA13DC" w:rsidRDefault="005F5805" w:rsidP="00F417F8">
      <w:pPr>
        <w:ind w:firstLine="720"/>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96"/>
        <w:gridCol w:w="2674"/>
      </w:tblGrid>
      <w:tr w:rsidR="00C6762A" w:rsidRPr="00FA13DC" w14:paraId="419D9A29" w14:textId="77777777">
        <w:trPr>
          <w:jc w:val="center"/>
        </w:trPr>
        <w:tc>
          <w:tcPr>
            <w:tcW w:w="2628" w:type="dxa"/>
            <w:hideMark/>
          </w:tcPr>
          <w:p w14:paraId="3CBFB1C5" w14:textId="77777777" w:rsidR="00C6762A" w:rsidRPr="00FA13DC" w:rsidRDefault="00C6762A" w:rsidP="00C6762A">
            <w:pPr>
              <w:spacing w:after="160" w:line="259" w:lineRule="auto"/>
              <w:rPr>
                <w:rFonts w:ascii="Arial" w:hAnsi="Arial" w:cs="Arial"/>
                <w:sz w:val="20"/>
                <w:szCs w:val="20"/>
                <w:vertAlign w:val="superscript"/>
                <w:lang w:val="en-US"/>
              </w:rPr>
            </w:pPr>
            <w:r w:rsidRPr="00FA13DC">
              <w:rPr>
                <w:rFonts w:ascii="Arial" w:hAnsi="Arial" w:cs="Arial"/>
                <w:b/>
                <w:sz w:val="20"/>
                <w:szCs w:val="20"/>
                <w:lang w:val="en-US"/>
              </w:rPr>
              <w:t>Photosynthetic rate</w:t>
            </w:r>
            <w:r w:rsidRPr="00FA13DC">
              <w:rPr>
                <w:rFonts w:ascii="Arial" w:hAnsi="Arial" w:cs="Arial"/>
                <w:b/>
                <w:sz w:val="20"/>
                <w:szCs w:val="20"/>
                <w:lang w:val="en-US"/>
              </w:rPr>
              <w:tab/>
              <w:t xml:space="preserve">    </w:t>
            </w:r>
          </w:p>
        </w:tc>
        <w:tc>
          <w:tcPr>
            <w:tcW w:w="296" w:type="dxa"/>
            <w:hideMark/>
          </w:tcPr>
          <w:p w14:paraId="2113981A"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07BEE681"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sz w:val="20"/>
                <w:szCs w:val="20"/>
                <w:lang w:val="en-US"/>
              </w:rPr>
              <w:t>µmol CO</w:t>
            </w:r>
            <w:r w:rsidRPr="00FA13DC">
              <w:rPr>
                <w:rFonts w:ascii="Arial" w:hAnsi="Arial" w:cs="Arial"/>
                <w:sz w:val="20"/>
                <w:szCs w:val="20"/>
                <w:vertAlign w:val="subscript"/>
                <w:lang w:val="en-US"/>
              </w:rPr>
              <w:t>2</w:t>
            </w:r>
            <w:r w:rsidRPr="00FA13DC">
              <w:rPr>
                <w:rFonts w:ascii="Arial" w:hAnsi="Arial" w:cs="Arial"/>
                <w:sz w:val="20"/>
                <w:szCs w:val="20"/>
                <w:lang w:val="en-US"/>
              </w:rPr>
              <w:t xml:space="preserve">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09E3F48C" w14:textId="77777777">
        <w:trPr>
          <w:jc w:val="center"/>
        </w:trPr>
        <w:tc>
          <w:tcPr>
            <w:tcW w:w="2628" w:type="dxa"/>
            <w:hideMark/>
          </w:tcPr>
          <w:p w14:paraId="562FF2AE"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b/>
                <w:sz w:val="20"/>
                <w:szCs w:val="20"/>
                <w:lang w:val="en-US"/>
              </w:rPr>
              <w:t>Transpiration rate</w:t>
            </w:r>
            <w:r w:rsidRPr="00FA13DC">
              <w:rPr>
                <w:rFonts w:ascii="Arial" w:hAnsi="Arial" w:cs="Arial"/>
                <w:b/>
                <w:sz w:val="20"/>
                <w:szCs w:val="20"/>
                <w:lang w:val="en-US"/>
              </w:rPr>
              <w:tab/>
              <w:t xml:space="preserve">    </w:t>
            </w:r>
          </w:p>
        </w:tc>
        <w:tc>
          <w:tcPr>
            <w:tcW w:w="296" w:type="dxa"/>
            <w:hideMark/>
          </w:tcPr>
          <w:p w14:paraId="087DEA9C"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619E1DA4"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sz w:val="20"/>
                <w:szCs w:val="20"/>
                <w:lang w:val="en-US"/>
              </w:rPr>
              <w:t>mmol H</w:t>
            </w:r>
            <w:r w:rsidRPr="00FA13DC">
              <w:rPr>
                <w:rFonts w:ascii="Arial" w:hAnsi="Arial" w:cs="Arial"/>
                <w:sz w:val="20"/>
                <w:szCs w:val="20"/>
                <w:vertAlign w:val="subscript"/>
                <w:lang w:val="en-US"/>
              </w:rPr>
              <w:t>2</w:t>
            </w:r>
            <w:r w:rsidRPr="00FA13DC">
              <w:rPr>
                <w:rFonts w:ascii="Arial" w:hAnsi="Arial" w:cs="Arial"/>
                <w:sz w:val="20"/>
                <w:szCs w:val="20"/>
                <w:lang w:val="en-US"/>
              </w:rPr>
              <w:t>O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50C080D4" w14:textId="77777777">
        <w:trPr>
          <w:jc w:val="center"/>
        </w:trPr>
        <w:tc>
          <w:tcPr>
            <w:tcW w:w="2628" w:type="dxa"/>
            <w:hideMark/>
          </w:tcPr>
          <w:p w14:paraId="09295BC8" w14:textId="77777777" w:rsidR="00C6762A" w:rsidRPr="00FA13DC" w:rsidRDefault="00C6762A" w:rsidP="00C6762A">
            <w:pPr>
              <w:spacing w:after="160" w:line="259" w:lineRule="auto"/>
              <w:rPr>
                <w:rFonts w:ascii="Arial" w:hAnsi="Arial" w:cs="Arial"/>
                <w:sz w:val="20"/>
                <w:szCs w:val="20"/>
                <w:vertAlign w:val="superscript"/>
                <w:lang w:val="en-US"/>
              </w:rPr>
            </w:pPr>
            <w:r w:rsidRPr="00FA13DC">
              <w:rPr>
                <w:rFonts w:ascii="Arial" w:hAnsi="Arial" w:cs="Arial"/>
                <w:b/>
                <w:sz w:val="20"/>
                <w:szCs w:val="20"/>
                <w:lang w:val="en-US"/>
              </w:rPr>
              <w:t xml:space="preserve">Stomatal conductance  </w:t>
            </w:r>
          </w:p>
        </w:tc>
        <w:tc>
          <w:tcPr>
            <w:tcW w:w="296" w:type="dxa"/>
            <w:hideMark/>
          </w:tcPr>
          <w:p w14:paraId="12B2AE9F" w14:textId="77777777" w:rsidR="00C6762A" w:rsidRPr="00FA13DC" w:rsidRDefault="00C6762A" w:rsidP="00C6762A">
            <w:pPr>
              <w:spacing w:after="160" w:line="259" w:lineRule="auto"/>
              <w:rPr>
                <w:rFonts w:ascii="Arial" w:hAnsi="Arial" w:cs="Arial"/>
                <w:b/>
                <w:sz w:val="20"/>
                <w:szCs w:val="20"/>
                <w:lang w:val="en-US"/>
              </w:rPr>
            </w:pPr>
            <w:r w:rsidRPr="00FA13DC">
              <w:rPr>
                <w:rFonts w:ascii="Arial" w:hAnsi="Arial" w:cs="Arial"/>
                <w:b/>
                <w:sz w:val="20"/>
                <w:szCs w:val="20"/>
                <w:lang w:val="en-US"/>
              </w:rPr>
              <w:t>:</w:t>
            </w:r>
          </w:p>
        </w:tc>
        <w:tc>
          <w:tcPr>
            <w:tcW w:w="2674" w:type="dxa"/>
            <w:hideMark/>
          </w:tcPr>
          <w:p w14:paraId="6BE1CE9E" w14:textId="77777777" w:rsidR="00C6762A" w:rsidRPr="00FA13DC" w:rsidRDefault="00C6762A" w:rsidP="00C6762A">
            <w:pPr>
              <w:spacing w:after="160" w:line="259" w:lineRule="auto"/>
              <w:rPr>
                <w:rFonts w:ascii="Arial" w:hAnsi="Arial" w:cs="Arial"/>
                <w:sz w:val="20"/>
                <w:szCs w:val="20"/>
                <w:lang w:val="en-US"/>
              </w:rPr>
            </w:pPr>
            <w:r w:rsidRPr="00FA13DC">
              <w:rPr>
                <w:rFonts w:ascii="Arial" w:hAnsi="Arial" w:cs="Arial"/>
                <w:sz w:val="20"/>
                <w:szCs w:val="20"/>
                <w:lang w:val="en-US"/>
              </w:rPr>
              <w:t>µmol m</w:t>
            </w:r>
            <w:r w:rsidRPr="00FA13DC">
              <w:rPr>
                <w:rFonts w:ascii="Arial" w:hAnsi="Arial" w:cs="Arial"/>
                <w:sz w:val="20"/>
                <w:szCs w:val="20"/>
                <w:vertAlign w:val="superscript"/>
                <w:lang w:val="en-US"/>
              </w:rPr>
              <w:t>-2</w:t>
            </w:r>
            <w:r w:rsidRPr="00FA13DC">
              <w:rPr>
                <w:rFonts w:ascii="Arial" w:hAnsi="Arial" w:cs="Arial"/>
                <w:sz w:val="20"/>
                <w:szCs w:val="20"/>
                <w:lang w:val="en-US"/>
              </w:rPr>
              <w:t>s</w:t>
            </w:r>
            <w:r w:rsidRPr="00FA13DC">
              <w:rPr>
                <w:rFonts w:ascii="Arial" w:hAnsi="Arial" w:cs="Arial"/>
                <w:sz w:val="20"/>
                <w:szCs w:val="20"/>
                <w:vertAlign w:val="superscript"/>
                <w:lang w:val="en-US"/>
              </w:rPr>
              <w:t>-1</w:t>
            </w:r>
          </w:p>
        </w:tc>
      </w:tr>
      <w:tr w:rsidR="00C6762A" w:rsidRPr="00FA13DC" w14:paraId="440C352D" w14:textId="77777777">
        <w:trPr>
          <w:jc w:val="center"/>
        </w:trPr>
        <w:tc>
          <w:tcPr>
            <w:tcW w:w="2628" w:type="dxa"/>
            <w:hideMark/>
          </w:tcPr>
          <w:p w14:paraId="041B218E" w14:textId="77777777" w:rsidR="00C6762A" w:rsidRPr="00FA13DC" w:rsidRDefault="00C6762A" w:rsidP="00C6762A">
            <w:pPr>
              <w:spacing w:after="160" w:line="259" w:lineRule="auto"/>
              <w:rPr>
                <w:rFonts w:ascii="Arial" w:hAnsi="Arial" w:cs="Arial"/>
                <w:bCs/>
                <w:sz w:val="20"/>
                <w:szCs w:val="20"/>
                <w:lang w:val="en-US"/>
              </w:rPr>
            </w:pPr>
            <w:r w:rsidRPr="00FA13DC">
              <w:rPr>
                <w:rFonts w:ascii="Arial" w:hAnsi="Arial" w:cs="Arial"/>
                <w:b/>
                <w:bCs/>
                <w:sz w:val="20"/>
                <w:szCs w:val="20"/>
                <w:lang w:val="en-US"/>
              </w:rPr>
              <w:t>Leaf temperature</w:t>
            </w:r>
            <w:r w:rsidRPr="00FA13DC">
              <w:rPr>
                <w:rFonts w:ascii="Arial" w:hAnsi="Arial" w:cs="Arial"/>
                <w:b/>
                <w:bCs/>
                <w:sz w:val="20"/>
                <w:szCs w:val="20"/>
                <w:lang w:val="en-US"/>
              </w:rPr>
              <w:tab/>
              <w:t xml:space="preserve">     </w:t>
            </w:r>
          </w:p>
        </w:tc>
        <w:tc>
          <w:tcPr>
            <w:tcW w:w="296" w:type="dxa"/>
            <w:hideMark/>
          </w:tcPr>
          <w:p w14:paraId="1FE30494" w14:textId="77777777" w:rsidR="00C6762A" w:rsidRPr="00FA13DC" w:rsidRDefault="00C6762A" w:rsidP="00C6762A">
            <w:pPr>
              <w:spacing w:after="160" w:line="259" w:lineRule="auto"/>
              <w:rPr>
                <w:rFonts w:ascii="Arial" w:hAnsi="Arial" w:cs="Arial"/>
                <w:b/>
                <w:bCs/>
                <w:sz w:val="20"/>
                <w:szCs w:val="20"/>
                <w:lang w:val="en-US"/>
              </w:rPr>
            </w:pPr>
            <w:r w:rsidRPr="00FA13DC">
              <w:rPr>
                <w:rFonts w:ascii="Arial" w:hAnsi="Arial" w:cs="Arial"/>
                <w:b/>
                <w:bCs/>
                <w:sz w:val="20"/>
                <w:szCs w:val="20"/>
                <w:lang w:val="en-US"/>
              </w:rPr>
              <w:t>:</w:t>
            </w:r>
          </w:p>
        </w:tc>
        <w:tc>
          <w:tcPr>
            <w:tcW w:w="2674" w:type="dxa"/>
            <w:hideMark/>
          </w:tcPr>
          <w:p w14:paraId="633359E3" w14:textId="77777777" w:rsidR="00C6762A" w:rsidRPr="00FA13DC" w:rsidRDefault="00C6762A" w:rsidP="00C6762A">
            <w:pPr>
              <w:spacing w:after="160" w:line="259" w:lineRule="auto"/>
              <w:rPr>
                <w:rFonts w:ascii="Arial" w:hAnsi="Arial" w:cs="Arial"/>
                <w:bCs/>
                <w:sz w:val="20"/>
                <w:szCs w:val="20"/>
                <w:lang w:val="en-US"/>
              </w:rPr>
            </w:pPr>
            <w:r w:rsidRPr="00FA13DC">
              <w:rPr>
                <w:rFonts w:ascii="Arial" w:hAnsi="Arial" w:cs="Arial"/>
                <w:bCs/>
                <w:sz w:val="20"/>
                <w:szCs w:val="20"/>
                <w:lang w:val="en-US"/>
              </w:rPr>
              <w:t>°C</w:t>
            </w:r>
          </w:p>
        </w:tc>
      </w:tr>
    </w:tbl>
    <w:p w14:paraId="75989582" w14:textId="6125DABF" w:rsidR="00C6762A" w:rsidRPr="00FA13DC" w:rsidRDefault="00264B66" w:rsidP="00FA13DC">
      <w:pPr>
        <w:rPr>
          <w:rFonts w:ascii="Arial" w:hAnsi="Arial" w:cs="Arial"/>
          <w:b/>
          <w:bCs/>
          <w:lang w:val="en-US"/>
        </w:rPr>
      </w:pPr>
      <w:r w:rsidRPr="00FA13DC">
        <w:rPr>
          <w:rFonts w:ascii="Arial" w:hAnsi="Arial" w:cs="Arial"/>
          <w:b/>
          <w:bCs/>
          <w:lang w:val="en-US"/>
        </w:rPr>
        <w:t xml:space="preserve">3. </w:t>
      </w:r>
      <w:r w:rsidR="00C6762A" w:rsidRPr="00FA13DC">
        <w:rPr>
          <w:rFonts w:ascii="Arial" w:hAnsi="Arial" w:cs="Arial"/>
          <w:b/>
          <w:bCs/>
          <w:lang w:val="en-US"/>
        </w:rPr>
        <w:t>RESULT</w:t>
      </w:r>
      <w:r w:rsidRPr="00FA13DC">
        <w:rPr>
          <w:rFonts w:ascii="Arial" w:hAnsi="Arial" w:cs="Arial"/>
          <w:b/>
          <w:bCs/>
          <w:lang w:val="en-US"/>
        </w:rPr>
        <w:t>S</w:t>
      </w:r>
    </w:p>
    <w:p w14:paraId="140BFBE3" w14:textId="76C53538" w:rsidR="000A391E" w:rsidRPr="00FA13DC" w:rsidRDefault="000A391E" w:rsidP="00FA13DC">
      <w:pPr>
        <w:rPr>
          <w:rFonts w:ascii="Arial" w:hAnsi="Arial" w:cs="Arial"/>
          <w:b/>
          <w:bCs/>
          <w:lang w:val="en-US"/>
        </w:rPr>
      </w:pPr>
      <w:r w:rsidRPr="00FA13DC">
        <w:rPr>
          <w:rFonts w:ascii="Arial" w:hAnsi="Arial" w:cs="Arial"/>
          <w:b/>
          <w:bCs/>
          <w:lang w:val="en-US"/>
        </w:rPr>
        <w:t>3.1.  Portable Photosynthetic Meter</w:t>
      </w:r>
    </w:p>
    <w:p w14:paraId="69C0191B" w14:textId="5272D30B" w:rsidR="00FA13DC" w:rsidRDefault="000A391E" w:rsidP="00FA13DC">
      <w:pPr>
        <w:spacing w:line="360" w:lineRule="auto"/>
        <w:ind w:firstLine="720"/>
        <w:jc w:val="both"/>
        <w:rPr>
          <w:rFonts w:ascii="Arial" w:hAnsi="Arial" w:cs="Arial"/>
          <w:sz w:val="20"/>
          <w:szCs w:val="20"/>
          <w:lang w:val="en-US"/>
        </w:rPr>
      </w:pPr>
      <w:r w:rsidRPr="00FA13DC">
        <w:rPr>
          <w:rFonts w:ascii="Arial" w:hAnsi="Arial" w:cs="Arial"/>
          <w:sz w:val="20"/>
          <w:szCs w:val="20"/>
        </w:rPr>
        <w:t>The study revealed variation in photosynthetic traits among the crops and genotypes (Table 1). In tomato, Shivam recorded the highest photosynthetic rate of 18.71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and transpiration rate of 8.86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with stomatal conductance of 0.82 and leaf temperature of 31.33°C, indicating high productivity but greater water loss. In contrast, COTH-1 showed a lower photosynthetic rate of 12.90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transpiration rate of 8.53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stomatal conductance of 0.80, and temperature of 31.03°C, suggesting moderate performance. In brinjal, VRM-1 exhibited a photosynthetic rate of 13.51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low stomatal conductance (0.43), transpiration (4.86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and higher temperature (32.60°C), while Thar Rachit showed similar trends with photosynthesis of 12.34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conductance 0.41, transpiration 4.55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and temperature 31.86°C, reflecting a water-conserving strategy. In chilli, Arka Swetha maintained a photosynthetic rate of 16.23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stomatal conductance of 0.20, transpiration of 8.79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and temperature of 32.40°C, while Arka Meghna recorded 15.85 µmol CO</w:t>
      </w:r>
      <w:r w:rsidRPr="00FA13DC">
        <w:rPr>
          <w:rFonts w:ascii="Cambria Math" w:hAnsi="Cambria Math" w:cs="Cambria Math"/>
          <w:sz w:val="20"/>
          <w:szCs w:val="20"/>
        </w:rPr>
        <w:t>₂</w:t>
      </w:r>
      <w:r w:rsidRPr="00FA13DC">
        <w:rPr>
          <w:rFonts w:ascii="Arial" w:hAnsi="Arial" w:cs="Arial"/>
          <w:sz w:val="20"/>
          <w:szCs w:val="20"/>
        </w:rPr>
        <w:t xml:space="preserve">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¹, conductance 0.20, transpiration 8.71 mmol H</w:t>
      </w:r>
      <w:r w:rsidRPr="00FA13DC">
        <w:rPr>
          <w:rFonts w:ascii="Cambria Math" w:hAnsi="Cambria Math" w:cs="Cambria Math"/>
          <w:sz w:val="20"/>
          <w:szCs w:val="20"/>
        </w:rPr>
        <w:t>₂</w:t>
      </w:r>
      <w:r w:rsidRPr="00FA13DC">
        <w:rPr>
          <w:rFonts w:ascii="Arial" w:hAnsi="Arial" w:cs="Arial"/>
          <w:sz w:val="20"/>
          <w:szCs w:val="20"/>
        </w:rPr>
        <w:t>O m</w:t>
      </w:r>
      <w:r w:rsidRPr="00FA13DC">
        <w:rPr>
          <w:rFonts w:ascii="Cambria Math" w:hAnsi="Cambria Math" w:cs="Cambria Math"/>
          <w:sz w:val="20"/>
          <w:szCs w:val="20"/>
        </w:rPr>
        <w:t>⁻</w:t>
      </w:r>
      <w:r w:rsidRPr="00FA13DC">
        <w:rPr>
          <w:rFonts w:ascii="Arial" w:hAnsi="Arial" w:cs="Arial"/>
          <w:sz w:val="20"/>
          <w:szCs w:val="20"/>
        </w:rPr>
        <w:t>² s</w:t>
      </w:r>
      <w:r w:rsidRPr="00FA13DC">
        <w:rPr>
          <w:rFonts w:ascii="Cambria Math" w:hAnsi="Cambria Math" w:cs="Cambria Math"/>
          <w:sz w:val="20"/>
          <w:szCs w:val="20"/>
        </w:rPr>
        <w:t>⁻</w:t>
      </w:r>
      <w:r w:rsidRPr="00FA13DC">
        <w:rPr>
          <w:rFonts w:ascii="Arial" w:hAnsi="Arial" w:cs="Arial"/>
          <w:sz w:val="20"/>
          <w:szCs w:val="20"/>
        </w:rPr>
        <w:t xml:space="preserve">¹, and temperature 32.30°C, indicating better water-use efficiency. Overall, tomato (Shivam) showed high productivity but </w:t>
      </w:r>
      <w:r w:rsidR="004864BE" w:rsidRPr="00FA13DC">
        <w:rPr>
          <w:rFonts w:ascii="Arial" w:hAnsi="Arial" w:cs="Arial"/>
          <w:sz w:val="20"/>
          <w:szCs w:val="20"/>
        </w:rPr>
        <w:t>high-water</w:t>
      </w:r>
      <w:r w:rsidRPr="00FA13DC">
        <w:rPr>
          <w:rFonts w:ascii="Arial" w:hAnsi="Arial" w:cs="Arial"/>
          <w:sz w:val="20"/>
          <w:szCs w:val="20"/>
        </w:rPr>
        <w:t xml:space="preserve"> demand, brinjal conserved water with reduced photosynthesis, and chilli combined efficient photosynthesis with moderate water use.</w:t>
      </w:r>
    </w:p>
    <w:p w14:paraId="611F2F58" w14:textId="231EA581" w:rsidR="003C5CD6" w:rsidRPr="00FA13DC" w:rsidRDefault="00022675" w:rsidP="00FA13DC">
      <w:pPr>
        <w:spacing w:line="360" w:lineRule="auto"/>
        <w:ind w:firstLine="720"/>
        <w:jc w:val="both"/>
        <w:rPr>
          <w:rFonts w:ascii="Arial" w:hAnsi="Arial" w:cs="Arial"/>
          <w:lang w:val="en-US"/>
        </w:rPr>
      </w:pPr>
      <w:r w:rsidRPr="00FA13DC">
        <w:rPr>
          <w:rFonts w:ascii="Arial" w:hAnsi="Arial" w:cs="Arial"/>
          <w:b/>
          <w:bCs/>
          <w:lang w:val="en-US"/>
        </w:rPr>
        <w:lastRenderedPageBreak/>
        <w:t>TABLE 1</w:t>
      </w:r>
      <w:r w:rsidR="00120BD8" w:rsidRPr="00FA13DC">
        <w:rPr>
          <w:rFonts w:ascii="Arial" w:hAnsi="Arial" w:cs="Arial"/>
          <w:b/>
          <w:bCs/>
          <w:lang w:val="en-US"/>
        </w:rPr>
        <w:t>- Observations taken using Portable Photosynthetic Meter</w:t>
      </w:r>
    </w:p>
    <w:tbl>
      <w:tblPr>
        <w:tblStyle w:val="TableGrid"/>
        <w:tblW w:w="9067" w:type="dxa"/>
        <w:jc w:val="center"/>
        <w:tblLayout w:type="fixed"/>
        <w:tblLook w:val="04A0" w:firstRow="1" w:lastRow="0" w:firstColumn="1" w:lastColumn="0" w:noHBand="0" w:noVBand="1"/>
      </w:tblPr>
      <w:tblGrid>
        <w:gridCol w:w="426"/>
        <w:gridCol w:w="804"/>
        <w:gridCol w:w="1175"/>
        <w:gridCol w:w="1559"/>
        <w:gridCol w:w="1843"/>
        <w:gridCol w:w="1701"/>
        <w:gridCol w:w="1559"/>
      </w:tblGrid>
      <w:tr w:rsidR="00AB7662" w:rsidRPr="00D310DA" w14:paraId="54CE7E2C" w14:textId="7863166A" w:rsidTr="00E92247">
        <w:trPr>
          <w:trHeight w:val="808"/>
          <w:jc w:val="center"/>
        </w:trPr>
        <w:tc>
          <w:tcPr>
            <w:tcW w:w="426" w:type="dxa"/>
          </w:tcPr>
          <w:p w14:paraId="72E2562C" w14:textId="77777777" w:rsidR="00AB7662" w:rsidRPr="00D310DA" w:rsidRDefault="00AB7662" w:rsidP="00AB7662">
            <w:pPr>
              <w:rPr>
                <w:rFonts w:ascii="Arial" w:hAnsi="Arial" w:cs="Arial"/>
                <w:b/>
                <w:bCs/>
                <w:sz w:val="14"/>
                <w:szCs w:val="14"/>
                <w:lang w:val="en-US"/>
              </w:rPr>
            </w:pPr>
          </w:p>
          <w:p w14:paraId="69814CD3" w14:textId="41E46ACF" w:rsidR="00AB7662" w:rsidRPr="00D310DA" w:rsidRDefault="00AB7662" w:rsidP="00AB7662">
            <w:pPr>
              <w:rPr>
                <w:rFonts w:ascii="Arial" w:hAnsi="Arial" w:cs="Arial"/>
                <w:b/>
                <w:bCs/>
                <w:sz w:val="14"/>
                <w:szCs w:val="14"/>
                <w:lang w:val="en-US"/>
              </w:rPr>
            </w:pPr>
            <w:r w:rsidRPr="00D310DA">
              <w:rPr>
                <w:rFonts w:ascii="Arial" w:hAnsi="Arial" w:cs="Arial"/>
                <w:b/>
                <w:bCs/>
                <w:sz w:val="14"/>
                <w:szCs w:val="14"/>
                <w:lang w:val="en-US"/>
              </w:rPr>
              <w:t>S No.</w:t>
            </w:r>
          </w:p>
        </w:tc>
        <w:tc>
          <w:tcPr>
            <w:tcW w:w="804" w:type="dxa"/>
          </w:tcPr>
          <w:p w14:paraId="4ABDB048" w14:textId="77777777" w:rsidR="00AB7662" w:rsidRPr="00D310DA" w:rsidRDefault="00AB7662" w:rsidP="00AB7662">
            <w:pPr>
              <w:jc w:val="center"/>
              <w:rPr>
                <w:rFonts w:ascii="Arial" w:hAnsi="Arial" w:cs="Arial"/>
                <w:b/>
                <w:bCs/>
                <w:sz w:val="14"/>
                <w:szCs w:val="14"/>
                <w:lang w:val="en-US"/>
              </w:rPr>
            </w:pPr>
          </w:p>
          <w:p w14:paraId="206D2E92" w14:textId="31169778" w:rsidR="00AB7662" w:rsidRPr="00D310DA" w:rsidRDefault="00AB7662" w:rsidP="00AB7662">
            <w:pPr>
              <w:jc w:val="center"/>
              <w:rPr>
                <w:rFonts w:ascii="Arial" w:hAnsi="Arial" w:cs="Arial"/>
                <w:b/>
                <w:bCs/>
                <w:sz w:val="14"/>
                <w:szCs w:val="14"/>
                <w:lang w:val="en-US"/>
              </w:rPr>
            </w:pPr>
            <w:r w:rsidRPr="00D310DA">
              <w:rPr>
                <w:rFonts w:ascii="Arial" w:hAnsi="Arial" w:cs="Arial"/>
                <w:b/>
                <w:bCs/>
                <w:sz w:val="14"/>
                <w:szCs w:val="14"/>
                <w:lang w:val="en-US"/>
              </w:rPr>
              <w:t>CROPS</w:t>
            </w:r>
          </w:p>
        </w:tc>
        <w:tc>
          <w:tcPr>
            <w:tcW w:w="1175" w:type="dxa"/>
          </w:tcPr>
          <w:p w14:paraId="014A3340" w14:textId="77777777" w:rsidR="00AB7662" w:rsidRPr="00D310DA" w:rsidRDefault="00AB7662" w:rsidP="00AB7662">
            <w:pPr>
              <w:jc w:val="center"/>
              <w:rPr>
                <w:rFonts w:ascii="Arial" w:hAnsi="Arial" w:cs="Arial"/>
                <w:b/>
                <w:bCs/>
                <w:sz w:val="14"/>
                <w:szCs w:val="14"/>
                <w:lang w:val="en-US"/>
              </w:rPr>
            </w:pPr>
          </w:p>
          <w:p w14:paraId="17A04A71" w14:textId="6A20A441" w:rsidR="00AB7662" w:rsidRPr="00D310DA" w:rsidRDefault="00AB7662" w:rsidP="00AB7662">
            <w:pPr>
              <w:jc w:val="center"/>
              <w:rPr>
                <w:rFonts w:ascii="Arial" w:hAnsi="Arial" w:cs="Arial"/>
                <w:b/>
                <w:bCs/>
                <w:sz w:val="14"/>
                <w:szCs w:val="14"/>
                <w:lang w:val="en-US"/>
              </w:rPr>
            </w:pPr>
            <w:r w:rsidRPr="00D310DA">
              <w:rPr>
                <w:rFonts w:ascii="Arial" w:hAnsi="Arial" w:cs="Arial"/>
                <w:b/>
                <w:bCs/>
                <w:sz w:val="14"/>
                <w:szCs w:val="14"/>
                <w:lang w:val="en-US"/>
              </w:rPr>
              <w:t>GENOTYPES</w:t>
            </w:r>
          </w:p>
        </w:tc>
        <w:tc>
          <w:tcPr>
            <w:tcW w:w="1559" w:type="dxa"/>
          </w:tcPr>
          <w:p w14:paraId="1D67F582" w14:textId="77777777" w:rsidR="00AB7662" w:rsidRPr="00D310DA" w:rsidRDefault="00AB7662" w:rsidP="00AB7662">
            <w:pPr>
              <w:jc w:val="center"/>
              <w:rPr>
                <w:rFonts w:ascii="Arial" w:hAnsi="Arial" w:cs="Arial"/>
                <w:b/>
                <w:bCs/>
                <w:sz w:val="14"/>
                <w:szCs w:val="14"/>
              </w:rPr>
            </w:pPr>
          </w:p>
          <w:p w14:paraId="38422D3B"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PHOTOSYNTHETIC</w:t>
            </w:r>
          </w:p>
          <w:p w14:paraId="5DCE0254"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RATE</w:t>
            </w:r>
          </w:p>
          <w:p w14:paraId="4B9ADBAE" w14:textId="433C3ECF"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(µmol CO</w:t>
            </w:r>
            <w:r w:rsidRPr="00D310DA">
              <w:rPr>
                <w:rFonts w:ascii="Arial" w:hAnsi="Arial" w:cs="Arial"/>
                <w:b/>
                <w:bCs/>
                <w:sz w:val="14"/>
                <w:szCs w:val="14"/>
                <w:vertAlign w:val="subscript"/>
              </w:rPr>
              <w:t xml:space="preserve">2 </w:t>
            </w:r>
            <w:r w:rsidRPr="00D310DA">
              <w:rPr>
                <w:rFonts w:ascii="Arial" w:hAnsi="Arial" w:cs="Arial"/>
                <w:b/>
                <w:bCs/>
                <w:sz w:val="14"/>
                <w:szCs w:val="14"/>
              </w:rPr>
              <w:t>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tc>
        <w:tc>
          <w:tcPr>
            <w:tcW w:w="1843" w:type="dxa"/>
          </w:tcPr>
          <w:p w14:paraId="20EBFF43" w14:textId="77777777" w:rsidR="00AB7662" w:rsidRPr="00D310DA" w:rsidRDefault="00AB7662" w:rsidP="00AB7662">
            <w:pPr>
              <w:jc w:val="center"/>
              <w:rPr>
                <w:rFonts w:ascii="Arial" w:hAnsi="Arial" w:cs="Arial"/>
                <w:b/>
                <w:bCs/>
                <w:sz w:val="14"/>
                <w:szCs w:val="14"/>
              </w:rPr>
            </w:pPr>
          </w:p>
          <w:p w14:paraId="61021E6C" w14:textId="099B2BCD"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STOMATAL CONDUCTANCE</w:t>
            </w:r>
          </w:p>
          <w:p w14:paraId="3C08B750" w14:textId="29561058"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(µmol CO</w:t>
            </w:r>
            <w:r w:rsidRPr="00D310DA">
              <w:rPr>
                <w:rFonts w:ascii="Arial" w:hAnsi="Arial" w:cs="Arial"/>
                <w:b/>
                <w:bCs/>
                <w:sz w:val="14"/>
                <w:szCs w:val="14"/>
                <w:vertAlign w:val="subscript"/>
              </w:rPr>
              <w:t xml:space="preserve">2 </w:t>
            </w:r>
            <w:r w:rsidRPr="00D310DA">
              <w:rPr>
                <w:rFonts w:ascii="Arial" w:hAnsi="Arial" w:cs="Arial"/>
                <w:b/>
                <w:bCs/>
                <w:sz w:val="14"/>
                <w:szCs w:val="14"/>
              </w:rPr>
              <w:t>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tc>
        <w:tc>
          <w:tcPr>
            <w:tcW w:w="1701" w:type="dxa"/>
          </w:tcPr>
          <w:p w14:paraId="2AA305BA" w14:textId="77777777" w:rsidR="00AB7662" w:rsidRPr="00D310DA" w:rsidRDefault="00AB7662" w:rsidP="00AB7662">
            <w:pPr>
              <w:jc w:val="center"/>
              <w:rPr>
                <w:rFonts w:ascii="Arial" w:hAnsi="Arial" w:cs="Arial"/>
                <w:b/>
                <w:bCs/>
                <w:sz w:val="14"/>
                <w:szCs w:val="14"/>
              </w:rPr>
            </w:pPr>
          </w:p>
          <w:p w14:paraId="5749AD39" w14:textId="18AC7220"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TRANSPIRATION RATE</w:t>
            </w:r>
          </w:p>
          <w:p w14:paraId="408755D3"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(m mol H</w:t>
            </w:r>
            <w:r w:rsidRPr="00D310DA">
              <w:rPr>
                <w:rFonts w:ascii="Arial" w:hAnsi="Arial" w:cs="Arial"/>
                <w:b/>
                <w:bCs/>
                <w:sz w:val="14"/>
                <w:szCs w:val="14"/>
                <w:vertAlign w:val="subscript"/>
              </w:rPr>
              <w:t>2</w:t>
            </w:r>
            <w:r w:rsidRPr="00D310DA">
              <w:rPr>
                <w:rFonts w:ascii="Arial" w:hAnsi="Arial" w:cs="Arial"/>
                <w:b/>
                <w:bCs/>
                <w:sz w:val="14"/>
                <w:szCs w:val="14"/>
              </w:rPr>
              <w:t>O m</w:t>
            </w:r>
            <w:r w:rsidRPr="00D310DA">
              <w:rPr>
                <w:rFonts w:ascii="Arial" w:hAnsi="Arial" w:cs="Arial"/>
                <w:b/>
                <w:bCs/>
                <w:sz w:val="14"/>
                <w:szCs w:val="14"/>
                <w:vertAlign w:val="superscript"/>
              </w:rPr>
              <w:t xml:space="preserve">-2 </w:t>
            </w:r>
            <w:r w:rsidRPr="00D310DA">
              <w:rPr>
                <w:rFonts w:ascii="Arial" w:hAnsi="Arial" w:cs="Arial"/>
                <w:b/>
                <w:bCs/>
                <w:sz w:val="14"/>
                <w:szCs w:val="14"/>
              </w:rPr>
              <w:t>s</w:t>
            </w:r>
            <w:r w:rsidRPr="00D310DA">
              <w:rPr>
                <w:rFonts w:ascii="Arial" w:hAnsi="Arial" w:cs="Arial"/>
                <w:b/>
                <w:bCs/>
                <w:sz w:val="14"/>
                <w:szCs w:val="14"/>
                <w:vertAlign w:val="superscript"/>
              </w:rPr>
              <w:t>-1</w:t>
            </w:r>
            <w:r w:rsidRPr="00D310DA">
              <w:rPr>
                <w:rFonts w:ascii="Arial" w:hAnsi="Arial" w:cs="Arial"/>
                <w:b/>
                <w:bCs/>
                <w:sz w:val="14"/>
                <w:szCs w:val="14"/>
              </w:rPr>
              <w:t>)</w:t>
            </w:r>
          </w:p>
          <w:p w14:paraId="66023C9F" w14:textId="77777777" w:rsidR="00AB7662" w:rsidRPr="00D310DA" w:rsidRDefault="00AB7662" w:rsidP="00AB7662">
            <w:pPr>
              <w:rPr>
                <w:rFonts w:ascii="Arial" w:hAnsi="Arial" w:cs="Arial"/>
                <w:b/>
                <w:bCs/>
                <w:sz w:val="14"/>
                <w:szCs w:val="14"/>
              </w:rPr>
            </w:pPr>
          </w:p>
        </w:tc>
        <w:tc>
          <w:tcPr>
            <w:tcW w:w="1559" w:type="dxa"/>
          </w:tcPr>
          <w:p w14:paraId="2467EBA9" w14:textId="77777777" w:rsidR="00AB7662" w:rsidRPr="00D310DA" w:rsidRDefault="00AB7662" w:rsidP="00AB7662">
            <w:pPr>
              <w:jc w:val="center"/>
              <w:rPr>
                <w:rFonts w:ascii="Arial" w:hAnsi="Arial" w:cs="Arial"/>
                <w:b/>
                <w:bCs/>
                <w:sz w:val="14"/>
                <w:szCs w:val="14"/>
              </w:rPr>
            </w:pPr>
          </w:p>
          <w:p w14:paraId="41C87921" w14:textId="77777777"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TEMPERATURE</w:t>
            </w:r>
          </w:p>
          <w:p w14:paraId="0C5FD4BA" w14:textId="42DBAC72" w:rsidR="00AB7662" w:rsidRPr="00D310DA" w:rsidRDefault="00AB7662" w:rsidP="00AB7662">
            <w:pPr>
              <w:jc w:val="center"/>
              <w:rPr>
                <w:rFonts w:ascii="Arial" w:hAnsi="Arial" w:cs="Arial"/>
                <w:b/>
                <w:bCs/>
                <w:sz w:val="14"/>
                <w:szCs w:val="14"/>
              </w:rPr>
            </w:pPr>
            <w:r w:rsidRPr="00D310DA">
              <w:rPr>
                <w:rFonts w:ascii="Arial" w:hAnsi="Arial" w:cs="Arial"/>
                <w:b/>
                <w:bCs/>
                <w:sz w:val="14"/>
                <w:szCs w:val="14"/>
              </w:rPr>
              <w:t>(°C)</w:t>
            </w:r>
          </w:p>
        </w:tc>
      </w:tr>
      <w:tr w:rsidR="00AB7662" w:rsidRPr="00D310DA" w14:paraId="352CB893" w14:textId="53708C8E" w:rsidTr="00E92247">
        <w:trPr>
          <w:trHeight w:val="340"/>
          <w:jc w:val="center"/>
        </w:trPr>
        <w:tc>
          <w:tcPr>
            <w:tcW w:w="426" w:type="dxa"/>
            <w:vMerge w:val="restart"/>
          </w:tcPr>
          <w:p w14:paraId="08153556" w14:textId="77777777" w:rsidR="00AB7662" w:rsidRPr="00D310DA" w:rsidRDefault="00AB7662" w:rsidP="00AB7662">
            <w:pPr>
              <w:rPr>
                <w:rFonts w:ascii="Arial" w:hAnsi="Arial" w:cs="Arial"/>
                <w:sz w:val="14"/>
                <w:szCs w:val="14"/>
                <w:lang w:val="en-US"/>
              </w:rPr>
            </w:pPr>
          </w:p>
          <w:p w14:paraId="6AFF0414" w14:textId="1A5F6C85"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1.</w:t>
            </w:r>
          </w:p>
        </w:tc>
        <w:tc>
          <w:tcPr>
            <w:tcW w:w="804" w:type="dxa"/>
            <w:vMerge w:val="restart"/>
          </w:tcPr>
          <w:p w14:paraId="68AA119B" w14:textId="77777777" w:rsidR="00AB7662" w:rsidRPr="00D310DA" w:rsidRDefault="00AB7662" w:rsidP="00AB7662">
            <w:pPr>
              <w:rPr>
                <w:rFonts w:ascii="Arial" w:hAnsi="Arial" w:cs="Arial"/>
                <w:sz w:val="14"/>
                <w:szCs w:val="14"/>
                <w:lang w:val="en-US"/>
              </w:rPr>
            </w:pPr>
          </w:p>
          <w:p w14:paraId="544C5100" w14:textId="72C8CF02"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TOMATO</w:t>
            </w:r>
          </w:p>
        </w:tc>
        <w:tc>
          <w:tcPr>
            <w:tcW w:w="1175" w:type="dxa"/>
          </w:tcPr>
          <w:p w14:paraId="0ECC4FD5" w14:textId="047A9DAF"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Shivam</w:t>
            </w:r>
          </w:p>
        </w:tc>
        <w:tc>
          <w:tcPr>
            <w:tcW w:w="1559" w:type="dxa"/>
          </w:tcPr>
          <w:p w14:paraId="53865D54" w14:textId="12E44C33"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8.20</w:t>
            </w:r>
          </w:p>
        </w:tc>
        <w:tc>
          <w:tcPr>
            <w:tcW w:w="1843" w:type="dxa"/>
          </w:tcPr>
          <w:p w14:paraId="3A8203E8" w14:textId="15FAE6C8"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0.74</w:t>
            </w:r>
          </w:p>
        </w:tc>
        <w:tc>
          <w:tcPr>
            <w:tcW w:w="1701" w:type="dxa"/>
          </w:tcPr>
          <w:p w14:paraId="6BD2D35F" w14:textId="6B2C0B3C"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8.60</w:t>
            </w:r>
          </w:p>
        </w:tc>
        <w:tc>
          <w:tcPr>
            <w:tcW w:w="1559" w:type="dxa"/>
          </w:tcPr>
          <w:p w14:paraId="1FCD0B24" w14:textId="2F9F378F"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31.33</w:t>
            </w:r>
          </w:p>
        </w:tc>
      </w:tr>
      <w:tr w:rsidR="00AB7662" w:rsidRPr="00D310DA" w14:paraId="04E646B4" w14:textId="1831189B" w:rsidTr="00E92247">
        <w:trPr>
          <w:trHeight w:val="340"/>
          <w:jc w:val="center"/>
        </w:trPr>
        <w:tc>
          <w:tcPr>
            <w:tcW w:w="426" w:type="dxa"/>
            <w:vMerge/>
          </w:tcPr>
          <w:p w14:paraId="4845C8F4" w14:textId="77777777" w:rsidR="00AB7662" w:rsidRPr="00D310DA" w:rsidRDefault="00AB7662" w:rsidP="00AB7662">
            <w:pPr>
              <w:rPr>
                <w:rFonts w:ascii="Arial" w:hAnsi="Arial" w:cs="Arial"/>
                <w:sz w:val="14"/>
                <w:szCs w:val="14"/>
                <w:lang w:val="en-US"/>
              </w:rPr>
            </w:pPr>
          </w:p>
        </w:tc>
        <w:tc>
          <w:tcPr>
            <w:tcW w:w="804" w:type="dxa"/>
            <w:vMerge/>
          </w:tcPr>
          <w:p w14:paraId="383B22F7" w14:textId="77777777" w:rsidR="00AB7662" w:rsidRPr="00D310DA" w:rsidRDefault="00AB7662" w:rsidP="00AB7662">
            <w:pPr>
              <w:rPr>
                <w:rFonts w:ascii="Arial" w:hAnsi="Arial" w:cs="Arial"/>
                <w:sz w:val="14"/>
                <w:szCs w:val="14"/>
                <w:lang w:val="en-US"/>
              </w:rPr>
            </w:pPr>
          </w:p>
        </w:tc>
        <w:tc>
          <w:tcPr>
            <w:tcW w:w="1175" w:type="dxa"/>
          </w:tcPr>
          <w:p w14:paraId="4FB92DE7" w14:textId="03DFEEDD"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COTH-1</w:t>
            </w:r>
          </w:p>
        </w:tc>
        <w:tc>
          <w:tcPr>
            <w:tcW w:w="1559" w:type="dxa"/>
          </w:tcPr>
          <w:p w14:paraId="62937B93" w14:textId="5B4BEDB5"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8.00</w:t>
            </w:r>
          </w:p>
        </w:tc>
        <w:tc>
          <w:tcPr>
            <w:tcW w:w="1843" w:type="dxa"/>
          </w:tcPr>
          <w:p w14:paraId="34120F79" w14:textId="55744299"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0.65</w:t>
            </w:r>
          </w:p>
        </w:tc>
        <w:tc>
          <w:tcPr>
            <w:tcW w:w="1701" w:type="dxa"/>
          </w:tcPr>
          <w:p w14:paraId="3A2136C8" w14:textId="13B7DD88"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8.39</w:t>
            </w:r>
          </w:p>
        </w:tc>
        <w:tc>
          <w:tcPr>
            <w:tcW w:w="1559" w:type="dxa"/>
          </w:tcPr>
          <w:p w14:paraId="2E89B273" w14:textId="0A2342A4"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31.03</w:t>
            </w:r>
          </w:p>
        </w:tc>
      </w:tr>
      <w:tr w:rsidR="00AB7662" w:rsidRPr="00D310DA" w14:paraId="142FE9F8" w14:textId="738FABD5" w:rsidTr="00E92247">
        <w:trPr>
          <w:trHeight w:val="340"/>
          <w:jc w:val="center"/>
        </w:trPr>
        <w:tc>
          <w:tcPr>
            <w:tcW w:w="426" w:type="dxa"/>
            <w:vMerge w:val="restart"/>
          </w:tcPr>
          <w:p w14:paraId="0ABE78F9" w14:textId="77777777" w:rsidR="00AB7662" w:rsidRPr="00D310DA" w:rsidRDefault="00AB7662" w:rsidP="00AB7662">
            <w:pPr>
              <w:rPr>
                <w:rFonts w:ascii="Arial" w:hAnsi="Arial" w:cs="Arial"/>
                <w:sz w:val="14"/>
                <w:szCs w:val="14"/>
                <w:lang w:val="en-US"/>
              </w:rPr>
            </w:pPr>
          </w:p>
          <w:p w14:paraId="421D690B" w14:textId="7DE3BDA6"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2.</w:t>
            </w:r>
          </w:p>
        </w:tc>
        <w:tc>
          <w:tcPr>
            <w:tcW w:w="804" w:type="dxa"/>
            <w:vMerge w:val="restart"/>
          </w:tcPr>
          <w:p w14:paraId="5B5F605C" w14:textId="77777777" w:rsidR="00AB7662" w:rsidRPr="00D310DA" w:rsidRDefault="00AB7662" w:rsidP="00AB7662">
            <w:pPr>
              <w:rPr>
                <w:rFonts w:ascii="Arial" w:hAnsi="Arial" w:cs="Arial"/>
                <w:sz w:val="14"/>
                <w:szCs w:val="14"/>
                <w:lang w:val="en-US"/>
              </w:rPr>
            </w:pPr>
          </w:p>
          <w:p w14:paraId="7D53B192" w14:textId="782C6D05"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BRINJAL</w:t>
            </w:r>
          </w:p>
        </w:tc>
        <w:tc>
          <w:tcPr>
            <w:tcW w:w="1175" w:type="dxa"/>
          </w:tcPr>
          <w:p w14:paraId="0ED0216F" w14:textId="5A553CFC"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VRM-1</w:t>
            </w:r>
          </w:p>
        </w:tc>
        <w:tc>
          <w:tcPr>
            <w:tcW w:w="1559" w:type="dxa"/>
          </w:tcPr>
          <w:p w14:paraId="356E3666" w14:textId="0AEB26E7"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3.76</w:t>
            </w:r>
          </w:p>
        </w:tc>
        <w:tc>
          <w:tcPr>
            <w:tcW w:w="1843" w:type="dxa"/>
          </w:tcPr>
          <w:p w14:paraId="7448F84D" w14:textId="682BCD68"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0.43</w:t>
            </w:r>
          </w:p>
        </w:tc>
        <w:tc>
          <w:tcPr>
            <w:tcW w:w="1701" w:type="dxa"/>
          </w:tcPr>
          <w:p w14:paraId="44AF4DA2" w14:textId="0FBA7111"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4.58</w:t>
            </w:r>
          </w:p>
        </w:tc>
        <w:tc>
          <w:tcPr>
            <w:tcW w:w="1559" w:type="dxa"/>
          </w:tcPr>
          <w:p w14:paraId="69C00436" w14:textId="05C05151"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32.60</w:t>
            </w:r>
          </w:p>
        </w:tc>
      </w:tr>
      <w:tr w:rsidR="00AB7662" w:rsidRPr="00D310DA" w14:paraId="24760A79" w14:textId="066E72F2" w:rsidTr="00E92247">
        <w:trPr>
          <w:trHeight w:val="340"/>
          <w:jc w:val="center"/>
        </w:trPr>
        <w:tc>
          <w:tcPr>
            <w:tcW w:w="426" w:type="dxa"/>
            <w:vMerge/>
          </w:tcPr>
          <w:p w14:paraId="483FB1A8" w14:textId="77777777" w:rsidR="00AB7662" w:rsidRPr="00D310DA" w:rsidRDefault="00AB7662" w:rsidP="00AB7662">
            <w:pPr>
              <w:rPr>
                <w:rFonts w:ascii="Arial" w:hAnsi="Arial" w:cs="Arial"/>
                <w:sz w:val="14"/>
                <w:szCs w:val="14"/>
                <w:lang w:val="en-US"/>
              </w:rPr>
            </w:pPr>
          </w:p>
        </w:tc>
        <w:tc>
          <w:tcPr>
            <w:tcW w:w="804" w:type="dxa"/>
            <w:vMerge/>
          </w:tcPr>
          <w:p w14:paraId="4E8F5957" w14:textId="77777777" w:rsidR="00AB7662" w:rsidRPr="00D310DA" w:rsidRDefault="00AB7662" w:rsidP="00AB7662">
            <w:pPr>
              <w:rPr>
                <w:rFonts w:ascii="Arial" w:hAnsi="Arial" w:cs="Arial"/>
                <w:sz w:val="14"/>
                <w:szCs w:val="14"/>
                <w:lang w:val="en-US"/>
              </w:rPr>
            </w:pPr>
          </w:p>
        </w:tc>
        <w:tc>
          <w:tcPr>
            <w:tcW w:w="1175" w:type="dxa"/>
          </w:tcPr>
          <w:p w14:paraId="6C633A3E" w14:textId="52F57E18"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Thar Rachit</w:t>
            </w:r>
          </w:p>
        </w:tc>
        <w:tc>
          <w:tcPr>
            <w:tcW w:w="1559" w:type="dxa"/>
          </w:tcPr>
          <w:p w14:paraId="38D4D12A" w14:textId="7A401FD7"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3.54</w:t>
            </w:r>
          </w:p>
        </w:tc>
        <w:tc>
          <w:tcPr>
            <w:tcW w:w="1843" w:type="dxa"/>
          </w:tcPr>
          <w:p w14:paraId="4810D5CE" w14:textId="73740936"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0.35</w:t>
            </w:r>
          </w:p>
        </w:tc>
        <w:tc>
          <w:tcPr>
            <w:tcW w:w="1701" w:type="dxa"/>
          </w:tcPr>
          <w:p w14:paraId="4567DDEA" w14:textId="7E9057AA"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4.18</w:t>
            </w:r>
          </w:p>
        </w:tc>
        <w:tc>
          <w:tcPr>
            <w:tcW w:w="1559" w:type="dxa"/>
          </w:tcPr>
          <w:p w14:paraId="563C73E5" w14:textId="3DFC4BB2"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31.86</w:t>
            </w:r>
          </w:p>
        </w:tc>
      </w:tr>
      <w:tr w:rsidR="00AB7662" w:rsidRPr="00D310DA" w14:paraId="25171408" w14:textId="68370B0E" w:rsidTr="00E92247">
        <w:trPr>
          <w:trHeight w:val="340"/>
          <w:jc w:val="center"/>
        </w:trPr>
        <w:tc>
          <w:tcPr>
            <w:tcW w:w="426" w:type="dxa"/>
            <w:vMerge w:val="restart"/>
          </w:tcPr>
          <w:p w14:paraId="14F98C49" w14:textId="77777777" w:rsidR="00AB7662" w:rsidRPr="00D310DA" w:rsidRDefault="00AB7662" w:rsidP="00AB7662">
            <w:pPr>
              <w:rPr>
                <w:rFonts w:ascii="Arial" w:hAnsi="Arial" w:cs="Arial"/>
                <w:sz w:val="14"/>
                <w:szCs w:val="14"/>
                <w:lang w:val="en-US"/>
              </w:rPr>
            </w:pPr>
          </w:p>
          <w:p w14:paraId="58681131" w14:textId="1FD2ADF4"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3.</w:t>
            </w:r>
          </w:p>
        </w:tc>
        <w:tc>
          <w:tcPr>
            <w:tcW w:w="804" w:type="dxa"/>
            <w:vMerge w:val="restart"/>
          </w:tcPr>
          <w:p w14:paraId="331C8BF5" w14:textId="77777777" w:rsidR="00AB7662" w:rsidRPr="00D310DA" w:rsidRDefault="00AB7662" w:rsidP="00AB7662">
            <w:pPr>
              <w:rPr>
                <w:rFonts w:ascii="Arial" w:hAnsi="Arial" w:cs="Arial"/>
                <w:sz w:val="14"/>
                <w:szCs w:val="14"/>
                <w:lang w:val="en-US"/>
              </w:rPr>
            </w:pPr>
          </w:p>
          <w:p w14:paraId="2B6862D6" w14:textId="750099E3"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CHILLI</w:t>
            </w:r>
          </w:p>
        </w:tc>
        <w:tc>
          <w:tcPr>
            <w:tcW w:w="1175" w:type="dxa"/>
          </w:tcPr>
          <w:p w14:paraId="5EA48402" w14:textId="05A6C9F2"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Arka Swetha</w:t>
            </w:r>
          </w:p>
        </w:tc>
        <w:tc>
          <w:tcPr>
            <w:tcW w:w="1559" w:type="dxa"/>
          </w:tcPr>
          <w:p w14:paraId="71B7BF7B" w14:textId="09127697"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8.30</w:t>
            </w:r>
          </w:p>
        </w:tc>
        <w:tc>
          <w:tcPr>
            <w:tcW w:w="1843" w:type="dxa"/>
          </w:tcPr>
          <w:p w14:paraId="679113D5" w14:textId="4592552D"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0.19</w:t>
            </w:r>
          </w:p>
        </w:tc>
        <w:tc>
          <w:tcPr>
            <w:tcW w:w="1701" w:type="dxa"/>
          </w:tcPr>
          <w:p w14:paraId="285FF97F" w14:textId="02800155"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8.67</w:t>
            </w:r>
          </w:p>
        </w:tc>
        <w:tc>
          <w:tcPr>
            <w:tcW w:w="1559" w:type="dxa"/>
          </w:tcPr>
          <w:p w14:paraId="22B00363" w14:textId="12F0B925"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32.4</w:t>
            </w:r>
          </w:p>
        </w:tc>
      </w:tr>
      <w:tr w:rsidR="00AB7662" w:rsidRPr="00D310DA" w14:paraId="7623B740" w14:textId="557EA4A3" w:rsidTr="00E92247">
        <w:trPr>
          <w:trHeight w:val="340"/>
          <w:jc w:val="center"/>
        </w:trPr>
        <w:tc>
          <w:tcPr>
            <w:tcW w:w="426" w:type="dxa"/>
            <w:vMerge/>
          </w:tcPr>
          <w:p w14:paraId="029CA0E4" w14:textId="77777777" w:rsidR="00AB7662" w:rsidRPr="00D310DA" w:rsidRDefault="00AB7662" w:rsidP="00AB7662">
            <w:pPr>
              <w:rPr>
                <w:rFonts w:ascii="Arial" w:hAnsi="Arial" w:cs="Arial"/>
                <w:sz w:val="14"/>
                <w:szCs w:val="14"/>
                <w:lang w:val="en-US"/>
              </w:rPr>
            </w:pPr>
          </w:p>
        </w:tc>
        <w:tc>
          <w:tcPr>
            <w:tcW w:w="804" w:type="dxa"/>
            <w:vMerge/>
          </w:tcPr>
          <w:p w14:paraId="4DD4EBF2" w14:textId="77777777" w:rsidR="00AB7662" w:rsidRPr="00D310DA" w:rsidRDefault="00AB7662" w:rsidP="00AB7662">
            <w:pPr>
              <w:rPr>
                <w:rFonts w:ascii="Arial" w:hAnsi="Arial" w:cs="Arial"/>
                <w:sz w:val="14"/>
                <w:szCs w:val="14"/>
                <w:lang w:val="en-US"/>
              </w:rPr>
            </w:pPr>
          </w:p>
        </w:tc>
        <w:tc>
          <w:tcPr>
            <w:tcW w:w="1175" w:type="dxa"/>
          </w:tcPr>
          <w:p w14:paraId="7C6C87B1" w14:textId="75688FD8" w:rsidR="00AB7662" w:rsidRPr="00D310DA" w:rsidRDefault="00AB7662" w:rsidP="00AB7662">
            <w:pPr>
              <w:rPr>
                <w:rFonts w:ascii="Arial" w:hAnsi="Arial" w:cs="Arial"/>
                <w:sz w:val="14"/>
                <w:szCs w:val="14"/>
                <w:lang w:val="en-US"/>
              </w:rPr>
            </w:pPr>
            <w:r w:rsidRPr="00D310DA">
              <w:rPr>
                <w:rFonts w:ascii="Arial" w:hAnsi="Arial" w:cs="Arial"/>
                <w:sz w:val="14"/>
                <w:szCs w:val="14"/>
                <w:lang w:val="en-US"/>
              </w:rPr>
              <w:t>Arka Meghna</w:t>
            </w:r>
          </w:p>
        </w:tc>
        <w:tc>
          <w:tcPr>
            <w:tcW w:w="1559" w:type="dxa"/>
          </w:tcPr>
          <w:p w14:paraId="0F502495" w14:textId="245C3F85"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8.30</w:t>
            </w:r>
          </w:p>
        </w:tc>
        <w:tc>
          <w:tcPr>
            <w:tcW w:w="1843" w:type="dxa"/>
          </w:tcPr>
          <w:p w14:paraId="3C5FA5A8" w14:textId="19DA833B"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0.19</w:t>
            </w:r>
          </w:p>
        </w:tc>
        <w:tc>
          <w:tcPr>
            <w:tcW w:w="1701" w:type="dxa"/>
          </w:tcPr>
          <w:p w14:paraId="04657D21" w14:textId="03BFD500"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8.51</w:t>
            </w:r>
          </w:p>
        </w:tc>
        <w:tc>
          <w:tcPr>
            <w:tcW w:w="1559" w:type="dxa"/>
          </w:tcPr>
          <w:p w14:paraId="767ED97A" w14:textId="37FB6CE0" w:rsidR="00AB7662" w:rsidRPr="00D310DA" w:rsidRDefault="00AB7662" w:rsidP="00AB7662">
            <w:pPr>
              <w:jc w:val="center"/>
              <w:rPr>
                <w:rFonts w:ascii="Arial" w:hAnsi="Arial" w:cs="Arial"/>
                <w:sz w:val="14"/>
                <w:szCs w:val="14"/>
                <w:lang w:val="en-US"/>
              </w:rPr>
            </w:pPr>
            <w:r w:rsidRPr="00D310DA">
              <w:rPr>
                <w:rFonts w:ascii="Arial" w:hAnsi="Arial" w:cs="Arial"/>
                <w:sz w:val="14"/>
                <w:szCs w:val="14"/>
                <w:lang w:val="en-US"/>
              </w:rPr>
              <w:t>32.3</w:t>
            </w:r>
          </w:p>
        </w:tc>
      </w:tr>
    </w:tbl>
    <w:p w14:paraId="1C2BC9F6" w14:textId="77777777" w:rsidR="000A391E" w:rsidRPr="00FA13DC" w:rsidRDefault="000A391E" w:rsidP="00FA13DC">
      <w:pPr>
        <w:rPr>
          <w:rFonts w:ascii="Arial" w:hAnsi="Arial" w:cs="Arial"/>
          <w:b/>
          <w:bCs/>
          <w:lang w:val="en-US"/>
        </w:rPr>
      </w:pPr>
    </w:p>
    <w:p w14:paraId="268AD0BF" w14:textId="40266635" w:rsidR="000A391E" w:rsidRPr="00FA13DC" w:rsidRDefault="000A391E" w:rsidP="00FA13DC">
      <w:pPr>
        <w:rPr>
          <w:rFonts w:ascii="Arial" w:hAnsi="Arial" w:cs="Arial"/>
          <w:b/>
          <w:bCs/>
          <w:lang w:val="en-US"/>
        </w:rPr>
      </w:pPr>
      <w:r w:rsidRPr="00FA13DC">
        <w:rPr>
          <w:rFonts w:ascii="Arial" w:hAnsi="Arial" w:cs="Arial"/>
          <w:b/>
          <w:bCs/>
          <w:lang w:val="en-US"/>
        </w:rPr>
        <w:t xml:space="preserve">3.2. </w:t>
      </w:r>
      <w:proofErr w:type="spellStart"/>
      <w:r w:rsidRPr="00FA13DC">
        <w:rPr>
          <w:rFonts w:ascii="Arial" w:hAnsi="Arial" w:cs="Arial"/>
          <w:b/>
          <w:bCs/>
          <w:lang w:val="en-US"/>
        </w:rPr>
        <w:t>Fv</w:t>
      </w:r>
      <w:proofErr w:type="spellEnd"/>
      <w:r w:rsidRPr="00FA13DC">
        <w:rPr>
          <w:rFonts w:ascii="Arial" w:hAnsi="Arial" w:cs="Arial"/>
          <w:b/>
          <w:bCs/>
          <w:lang w:val="en-US"/>
        </w:rPr>
        <w:t>/</w:t>
      </w:r>
      <w:proofErr w:type="spellStart"/>
      <w:r w:rsidRPr="00FA13DC">
        <w:rPr>
          <w:rFonts w:ascii="Arial" w:hAnsi="Arial" w:cs="Arial"/>
          <w:b/>
          <w:bCs/>
          <w:lang w:val="en-US"/>
        </w:rPr>
        <w:t>Fm</w:t>
      </w:r>
      <w:proofErr w:type="spellEnd"/>
      <w:r w:rsidRPr="00FA13DC">
        <w:rPr>
          <w:rFonts w:ascii="Arial" w:hAnsi="Arial" w:cs="Arial"/>
          <w:b/>
          <w:bCs/>
          <w:lang w:val="en-US"/>
        </w:rPr>
        <w:t xml:space="preserve"> Ratio</w:t>
      </w:r>
    </w:p>
    <w:p w14:paraId="36770119" w14:textId="0AF79057" w:rsidR="000A391E" w:rsidRPr="00FA13DC" w:rsidRDefault="000A391E" w:rsidP="000A391E">
      <w:pPr>
        <w:ind w:right="-46" w:firstLine="720"/>
        <w:jc w:val="both"/>
        <w:rPr>
          <w:rFonts w:ascii="Arial" w:hAnsi="Arial" w:cs="Arial"/>
          <w:sz w:val="20"/>
          <w:szCs w:val="20"/>
          <w:lang w:val="en-US"/>
        </w:rPr>
      </w:pP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a parameter of the maximum photosystem II quantum efficiency, also varied between genotypes (</w:t>
      </w:r>
      <w:r w:rsidR="00D310DA">
        <w:rPr>
          <w:rFonts w:ascii="Arial" w:hAnsi="Arial" w:cs="Arial"/>
          <w:sz w:val="20"/>
          <w:szCs w:val="20"/>
          <w:lang w:val="en-US"/>
        </w:rPr>
        <w:t>Fig.1.</w:t>
      </w:r>
      <w:r w:rsidRPr="00FA13DC">
        <w:rPr>
          <w:rFonts w:ascii="Arial" w:hAnsi="Arial" w:cs="Arial"/>
          <w:sz w:val="20"/>
          <w:szCs w:val="20"/>
          <w:lang w:val="en-US"/>
        </w:rPr>
        <w:t xml:space="preserve">). Shivam possessed the highest mean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value of 0.810 preceded by COTH-1 (0.777) in tomato. In brinjal, VRM-1 contained the highest value (0.790) a little higher than that of Thar Rachit (0.783).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Swetha yielded the maximum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(0.719), while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Meghna was less efficient (0.704).</w:t>
      </w:r>
    </w:p>
    <w:p w14:paraId="31BDFA73" w14:textId="015398FE" w:rsidR="00037BF6" w:rsidRDefault="000A391E" w:rsidP="00D310DA">
      <w:pPr>
        <w:ind w:firstLine="720"/>
        <w:jc w:val="both"/>
        <w:rPr>
          <w:rFonts w:ascii="Arial" w:hAnsi="Arial" w:cs="Arial"/>
          <w:sz w:val="20"/>
          <w:szCs w:val="20"/>
          <w:lang w:val="en-US"/>
        </w:rPr>
      </w:pPr>
      <w:r w:rsidRPr="00FA13DC">
        <w:rPr>
          <w:rFonts w:ascii="Arial" w:hAnsi="Arial" w:cs="Arial"/>
          <w:sz w:val="20"/>
          <w:szCs w:val="20"/>
          <w:lang w:val="en-US"/>
        </w:rPr>
        <w:t xml:space="preserve">Among the three crops, Shivam (tomato, 0.810) recorded the highest value of </w:t>
      </w:r>
      <w:proofErr w:type="spellStart"/>
      <w:r w:rsidRPr="00FA13DC">
        <w:rPr>
          <w:rFonts w:ascii="Arial" w:hAnsi="Arial" w:cs="Arial"/>
          <w:sz w:val="20"/>
          <w:szCs w:val="20"/>
          <w:lang w:val="en-US"/>
        </w:rPr>
        <w:t>Fv</w:t>
      </w:r>
      <w:proofErr w:type="spellEnd"/>
      <w:r w:rsidRPr="00FA13DC">
        <w:rPr>
          <w:rFonts w:ascii="Arial" w:hAnsi="Arial" w:cs="Arial"/>
          <w:sz w:val="20"/>
          <w:szCs w:val="20"/>
          <w:lang w:val="en-US"/>
        </w:rPr>
        <w:t>/</w:t>
      </w:r>
      <w:proofErr w:type="spellStart"/>
      <w:r w:rsidRPr="00FA13DC">
        <w:rPr>
          <w:rFonts w:ascii="Arial" w:hAnsi="Arial" w:cs="Arial"/>
          <w:sz w:val="20"/>
          <w:szCs w:val="20"/>
          <w:lang w:val="en-US"/>
        </w:rPr>
        <w:t>Fm</w:t>
      </w:r>
      <w:proofErr w:type="spellEnd"/>
      <w:r w:rsidRPr="00FA13DC">
        <w:rPr>
          <w:rFonts w:ascii="Arial" w:hAnsi="Arial" w:cs="Arial"/>
          <w:sz w:val="20"/>
          <w:szCs w:val="20"/>
          <w:lang w:val="en-US"/>
        </w:rPr>
        <w:t xml:space="preserve">, indicating greater photochemical efficiency of PSII. Brinjal genotypes recorded comparatively greater values (0.790–0.783), while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genotypes recorded comparatively low efficiency (0.719–0.704).</w:t>
      </w:r>
    </w:p>
    <w:p w14:paraId="6A26B84D" w14:textId="6D407014" w:rsidR="006518F1" w:rsidRPr="00D310DA" w:rsidRDefault="004A4860" w:rsidP="00D310DA">
      <w:pPr>
        <w:ind w:firstLine="720"/>
        <w:jc w:val="both"/>
        <w:rPr>
          <w:rFonts w:ascii="Arial" w:hAnsi="Arial" w:cs="Arial"/>
          <w:sz w:val="20"/>
          <w:szCs w:val="20"/>
          <w:lang w:val="en-US"/>
        </w:rPr>
      </w:pPr>
      <w:r>
        <w:rPr>
          <w:noProof/>
        </w:rPr>
        <w:drawing>
          <wp:inline distT="0" distB="0" distL="0" distR="0" wp14:anchorId="5C1896E4" wp14:editId="7D530CBD">
            <wp:extent cx="4518660" cy="2700020"/>
            <wp:effectExtent l="0" t="0" r="15240" b="5080"/>
            <wp:docPr id="78696104" name="Chart 1">
              <a:extLst xmlns:a="http://schemas.openxmlformats.org/drawingml/2006/main">
                <a:ext uri="{FF2B5EF4-FFF2-40B4-BE49-F238E27FC236}">
                  <a16:creationId xmlns:a16="http://schemas.microsoft.com/office/drawing/2014/main" id="{7B92F5AB-FD77-61F5-CA99-5B7296147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22C95E" w14:textId="1A1FF895" w:rsidR="00E35057" w:rsidRDefault="00E35057" w:rsidP="00E35057">
      <w:pPr>
        <w:jc w:val="center"/>
        <w:rPr>
          <w:rFonts w:ascii="Arial" w:hAnsi="Arial" w:cs="Arial"/>
          <w:b/>
          <w:bCs/>
          <w:lang w:val="en-US"/>
        </w:rPr>
      </w:pPr>
    </w:p>
    <w:p w14:paraId="2711F43B" w14:textId="5E663066" w:rsidR="00D310DA" w:rsidRPr="00FA13DC" w:rsidRDefault="00D310DA" w:rsidP="00D310DA">
      <w:pPr>
        <w:jc w:val="center"/>
        <w:rPr>
          <w:rFonts w:ascii="Arial" w:hAnsi="Arial" w:cs="Arial"/>
          <w:b/>
          <w:bCs/>
          <w:sz w:val="20"/>
          <w:szCs w:val="20"/>
          <w:lang w:val="en-US"/>
        </w:rPr>
      </w:pPr>
      <w:r>
        <w:rPr>
          <w:rFonts w:ascii="Arial" w:hAnsi="Arial" w:cs="Arial"/>
          <w:b/>
          <w:bCs/>
          <w:lang w:val="en-US"/>
        </w:rPr>
        <w:t xml:space="preserve">Fig.1. </w:t>
      </w:r>
      <w:r w:rsidRPr="00FA13DC">
        <w:rPr>
          <w:rFonts w:ascii="Arial" w:hAnsi="Arial" w:cs="Arial"/>
          <w:b/>
          <w:bCs/>
          <w:lang w:val="en-US"/>
        </w:rPr>
        <w:t>Observations taken using chlorophyll fluorometer</w:t>
      </w:r>
    </w:p>
    <w:p w14:paraId="3973B5CB" w14:textId="77777777" w:rsidR="00D310DA" w:rsidRDefault="00D310DA" w:rsidP="00E35057">
      <w:pPr>
        <w:jc w:val="center"/>
        <w:rPr>
          <w:rFonts w:ascii="Arial" w:hAnsi="Arial" w:cs="Arial"/>
          <w:b/>
          <w:bCs/>
          <w:lang w:val="en-US"/>
        </w:rPr>
      </w:pPr>
    </w:p>
    <w:p w14:paraId="296CE271" w14:textId="4569AD1B" w:rsidR="000A391E" w:rsidRPr="00FA13DC" w:rsidRDefault="000A391E" w:rsidP="006518F1">
      <w:pPr>
        <w:rPr>
          <w:rFonts w:ascii="Arial" w:hAnsi="Arial" w:cs="Arial"/>
          <w:b/>
          <w:bCs/>
          <w:lang w:val="en-US"/>
        </w:rPr>
      </w:pPr>
      <w:r w:rsidRPr="00FA13DC">
        <w:rPr>
          <w:rFonts w:ascii="Arial" w:hAnsi="Arial" w:cs="Arial"/>
          <w:b/>
          <w:bCs/>
          <w:lang w:val="en-US"/>
        </w:rPr>
        <w:t>3.3. Chlorophyll Content Meter (CCM)</w:t>
      </w:r>
    </w:p>
    <w:p w14:paraId="5137D1BB" w14:textId="3A8C14E2" w:rsidR="000A391E" w:rsidRPr="00FA13DC" w:rsidRDefault="000A391E" w:rsidP="000A391E">
      <w:pPr>
        <w:ind w:firstLine="720"/>
        <w:jc w:val="both"/>
        <w:rPr>
          <w:rFonts w:ascii="Arial" w:hAnsi="Arial" w:cs="Arial"/>
          <w:sz w:val="20"/>
          <w:szCs w:val="20"/>
          <w:lang w:val="en-US"/>
        </w:rPr>
      </w:pPr>
      <w:r w:rsidRPr="00FA13DC">
        <w:rPr>
          <w:rFonts w:ascii="Arial" w:hAnsi="Arial" w:cs="Arial"/>
          <w:sz w:val="20"/>
          <w:szCs w:val="20"/>
          <w:lang w:val="en-US"/>
        </w:rPr>
        <w:t>Chlorophyll density, as measured by the chlorophyll content meter, varied significantly between genotypes within each crop (</w:t>
      </w:r>
      <w:r w:rsidR="006518F1">
        <w:rPr>
          <w:rFonts w:ascii="Arial" w:hAnsi="Arial" w:cs="Arial"/>
          <w:sz w:val="20"/>
          <w:szCs w:val="20"/>
          <w:lang w:val="en-US"/>
        </w:rPr>
        <w:t>Fig.2.</w:t>
      </w:r>
      <w:r w:rsidRPr="00FA13DC">
        <w:rPr>
          <w:rFonts w:ascii="Arial" w:hAnsi="Arial" w:cs="Arial"/>
          <w:sz w:val="20"/>
          <w:szCs w:val="20"/>
          <w:lang w:val="en-US"/>
        </w:rPr>
        <w:t xml:space="preserve">). Shivam tomato genotype had the highest value of mean CCM (38.07), and then came COTH-1 (37.42). Highest mean value was accumulated by VRM-1 (44.50) in </w:t>
      </w:r>
      <w:r w:rsidRPr="00FA13DC">
        <w:rPr>
          <w:rFonts w:ascii="Arial" w:hAnsi="Arial" w:cs="Arial"/>
          <w:sz w:val="20"/>
          <w:szCs w:val="20"/>
          <w:lang w:val="en-US"/>
        </w:rPr>
        <w:lastRenderedPageBreak/>
        <w:t xml:space="preserve">brinjal followed closely by Thar Rachit (44.41). Highest CCM (46.73) was recorded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by </w:t>
      </w:r>
      <w:proofErr w:type="spellStart"/>
      <w:r w:rsidRPr="00FA13DC">
        <w:rPr>
          <w:rFonts w:ascii="Arial" w:hAnsi="Arial" w:cs="Arial"/>
          <w:sz w:val="20"/>
          <w:szCs w:val="20"/>
          <w:lang w:val="en-US"/>
        </w:rPr>
        <w:t>Arka</w:t>
      </w:r>
      <w:proofErr w:type="spellEnd"/>
      <w:r w:rsidRPr="00FA13DC">
        <w:rPr>
          <w:rFonts w:ascii="Arial" w:hAnsi="Arial" w:cs="Arial"/>
          <w:sz w:val="20"/>
          <w:szCs w:val="20"/>
          <w:lang w:val="en-US"/>
        </w:rPr>
        <w:t xml:space="preserve"> Swetha, while Arka Meghna had less mean (39.76).</w:t>
      </w:r>
    </w:p>
    <w:p w14:paraId="10EA81E1" w14:textId="02E1DEDC" w:rsidR="009E0086" w:rsidRPr="00D310DA" w:rsidRDefault="000A391E" w:rsidP="00D310DA">
      <w:pPr>
        <w:ind w:firstLine="720"/>
        <w:jc w:val="both"/>
        <w:rPr>
          <w:rFonts w:ascii="Arial" w:hAnsi="Arial" w:cs="Arial"/>
          <w:sz w:val="20"/>
          <w:szCs w:val="20"/>
          <w:lang w:val="en-US"/>
        </w:rPr>
      </w:pPr>
      <w:r w:rsidRPr="00FA13DC">
        <w:rPr>
          <w:rFonts w:ascii="Arial" w:hAnsi="Arial" w:cs="Arial"/>
          <w:sz w:val="20"/>
          <w:szCs w:val="20"/>
          <w:lang w:val="en-US"/>
        </w:rPr>
        <w:t xml:space="preserve">Comparing the three crops on the basis of mean CCM values,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(46.73 in best genotype) had higher chlorophyll content, which was followed by brinjal (44.50) and tomato (38.07). Higher chlorophyll content in </w:t>
      </w:r>
      <w:proofErr w:type="spellStart"/>
      <w:r w:rsidRPr="00FA13DC">
        <w:rPr>
          <w:rFonts w:ascii="Arial" w:hAnsi="Arial" w:cs="Arial"/>
          <w:sz w:val="20"/>
          <w:szCs w:val="20"/>
          <w:lang w:val="en-US"/>
        </w:rPr>
        <w:t>chilli</w:t>
      </w:r>
      <w:proofErr w:type="spellEnd"/>
      <w:r w:rsidRPr="00FA13DC">
        <w:rPr>
          <w:rFonts w:ascii="Arial" w:hAnsi="Arial" w:cs="Arial"/>
          <w:sz w:val="20"/>
          <w:szCs w:val="20"/>
          <w:lang w:val="en-US"/>
        </w:rPr>
        <w:t xml:space="preserve"> can be attributed on the basis of its morphological parameters of the leaf and intrinsic varietal photosynthetic efficiency, which are the parameters responsible for higher pigment accumulation.</w:t>
      </w:r>
    </w:p>
    <w:p w14:paraId="564D6316" w14:textId="3265721E" w:rsidR="00BD519E" w:rsidRDefault="006518F1" w:rsidP="00D310DA">
      <w:pPr>
        <w:jc w:val="center"/>
        <w:rPr>
          <w:rFonts w:ascii="Arial" w:hAnsi="Arial" w:cs="Arial"/>
          <w:b/>
          <w:bCs/>
          <w:sz w:val="20"/>
          <w:szCs w:val="20"/>
          <w:lang w:val="en-US"/>
        </w:rPr>
      </w:pPr>
      <w:r>
        <w:rPr>
          <w:noProof/>
        </w:rPr>
        <mc:AlternateContent>
          <mc:Choice Requires="wps">
            <w:drawing>
              <wp:anchor distT="0" distB="0" distL="114300" distR="114300" simplePos="0" relativeHeight="251663360" behindDoc="0" locked="0" layoutInCell="1" allowOverlap="1" wp14:anchorId="6175CD6F" wp14:editId="19CE6672">
                <wp:simplePos x="0" y="0"/>
                <wp:positionH relativeFrom="column">
                  <wp:posOffset>3879850</wp:posOffset>
                </wp:positionH>
                <wp:positionV relativeFrom="paragraph">
                  <wp:posOffset>6985</wp:posOffset>
                </wp:positionV>
                <wp:extent cx="775970" cy="275590"/>
                <wp:effectExtent l="0" t="0" r="24130" b="10160"/>
                <wp:wrapNone/>
                <wp:docPr id="2112286801" name="Text Box 1"/>
                <wp:cNvGraphicFramePr/>
                <a:graphic xmlns:a="http://schemas.openxmlformats.org/drawingml/2006/main">
                  <a:graphicData uri="http://schemas.microsoft.com/office/word/2010/wordprocessingShape">
                    <wps:wsp>
                      <wps:cNvSpPr txBox="1"/>
                      <wps:spPr>
                        <a:xfrm>
                          <a:off x="0" y="0"/>
                          <a:ext cx="775970" cy="275590"/>
                        </a:xfrm>
                        <a:prstGeom prst="rect">
                          <a:avLst/>
                        </a:prstGeom>
                        <a:solidFill>
                          <a:schemeClr val="lt1"/>
                        </a:solidFill>
                        <a:ln w="6350">
                          <a:solidFill>
                            <a:prstClr val="black"/>
                          </a:solidFill>
                        </a:ln>
                      </wps:spPr>
                      <wps:txbx>
                        <w:txbxContent>
                          <w:p w14:paraId="6F983425" w14:textId="1CD6CA72" w:rsidR="006518F1" w:rsidRPr="006518F1" w:rsidRDefault="006518F1" w:rsidP="006518F1">
                            <w:pPr>
                              <w:jc w:val="center"/>
                              <w:rPr>
                                <w:lang w:val="en-US"/>
                              </w:rPr>
                            </w:pPr>
                            <w:r>
                              <w:rPr>
                                <w:lang w:val="en-US"/>
                              </w:rPr>
                              <w:t>CHILLI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75CD6F" id="_x0000_s1029" type="#_x0000_t202" style="position:absolute;left:0;text-align:left;margin-left:305.5pt;margin-top:.55pt;width:61.1pt;height:21.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" fillcolor="white [3201]" strokeweight=".5pt">
                <v:textbox>
                  <w:txbxContent>
                    <w:p w14:paraId="6F983425" w14:textId="1CD6CA72" w:rsidR="006518F1" w:rsidRPr="006518F1" w:rsidRDefault="006518F1" w:rsidP="006518F1">
                      <w:pPr>
                        <w:jc w:val="center"/>
                        <w:rPr>
                          <w:lang w:val="en-US"/>
                        </w:rPr>
                      </w:pPr>
                      <w:r>
                        <w:rPr>
                          <w:lang w:val="en-US"/>
                        </w:rPr>
                        <w:t>CHILLI</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0274960" wp14:editId="3F3E2F73">
                <wp:simplePos x="0" y="0"/>
                <wp:positionH relativeFrom="column">
                  <wp:posOffset>2595880</wp:posOffset>
                </wp:positionH>
                <wp:positionV relativeFrom="paragraph">
                  <wp:posOffset>6985</wp:posOffset>
                </wp:positionV>
                <wp:extent cx="775970" cy="275590"/>
                <wp:effectExtent l="0" t="0" r="24130" b="10160"/>
                <wp:wrapNone/>
                <wp:docPr id="1808339075" name="Text Box 1"/>
                <wp:cNvGraphicFramePr/>
                <a:graphic xmlns:a="http://schemas.openxmlformats.org/drawingml/2006/main">
                  <a:graphicData uri="http://schemas.microsoft.com/office/word/2010/wordprocessingShape">
                    <wps:wsp>
                      <wps:cNvSpPr txBox="1"/>
                      <wps:spPr>
                        <a:xfrm>
                          <a:off x="0" y="0"/>
                          <a:ext cx="775970" cy="275590"/>
                        </a:xfrm>
                        <a:prstGeom prst="rect">
                          <a:avLst/>
                        </a:prstGeom>
                        <a:solidFill>
                          <a:schemeClr val="lt1"/>
                        </a:solidFill>
                        <a:ln w="6350">
                          <a:solidFill>
                            <a:prstClr val="black"/>
                          </a:solidFill>
                        </a:ln>
                      </wps:spPr>
                      <wps:txbx>
                        <w:txbxContent>
                          <w:p w14:paraId="3BCAA255" w14:textId="7CA3FE67" w:rsidR="006518F1" w:rsidRPr="006518F1" w:rsidRDefault="006518F1" w:rsidP="006518F1">
                            <w:pPr>
                              <w:jc w:val="center"/>
                              <w:rPr>
                                <w:lang w:val="en-US"/>
                              </w:rPr>
                            </w:pPr>
                            <w:r>
                              <w:rPr>
                                <w:lang w:val="en-US"/>
                              </w:rPr>
                              <w:t>BRINJAL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274960" id="_x0000_s1030" type="#_x0000_t202" style="position:absolute;left:0;text-align:left;margin-left:204.4pt;margin-top:.55pt;width:61.1pt;height:2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" fillcolor="white [3201]" strokeweight=".5pt">
                <v:textbox>
                  <w:txbxContent>
                    <w:p w14:paraId="3BCAA255" w14:textId="7CA3FE67" w:rsidR="006518F1" w:rsidRPr="006518F1" w:rsidRDefault="006518F1" w:rsidP="006518F1">
                      <w:pPr>
                        <w:jc w:val="center"/>
                        <w:rPr>
                          <w:lang w:val="en-US"/>
                        </w:rPr>
                      </w:pPr>
                      <w:r>
                        <w:rPr>
                          <w:lang w:val="en-US"/>
                        </w:rPr>
                        <w:t>BRINJAL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DFA83E" wp14:editId="3148F8C6">
                <wp:simplePos x="0" y="0"/>
                <wp:positionH relativeFrom="column">
                  <wp:posOffset>1249944</wp:posOffset>
                </wp:positionH>
                <wp:positionV relativeFrom="paragraph">
                  <wp:posOffset>7189</wp:posOffset>
                </wp:positionV>
                <wp:extent cx="776378" cy="276045"/>
                <wp:effectExtent l="0" t="0" r="24130" b="10160"/>
                <wp:wrapNone/>
                <wp:docPr id="1623880759" name="Text Box 1"/>
                <wp:cNvGraphicFramePr/>
                <a:graphic xmlns:a="http://schemas.openxmlformats.org/drawingml/2006/main">
                  <a:graphicData uri="http://schemas.microsoft.com/office/word/2010/wordprocessingShape">
                    <wps:wsp>
                      <wps:cNvSpPr txBox="1"/>
                      <wps:spPr>
                        <a:xfrm>
                          <a:off x="0" y="0"/>
                          <a:ext cx="776378" cy="276045"/>
                        </a:xfrm>
                        <a:prstGeom prst="rect">
                          <a:avLst/>
                        </a:prstGeom>
                        <a:solidFill>
                          <a:schemeClr val="lt1"/>
                        </a:solidFill>
                        <a:ln w="6350">
                          <a:solidFill>
                            <a:prstClr val="black"/>
                          </a:solidFill>
                        </a:ln>
                      </wps:spPr>
                      <wps:txbx>
                        <w:txbxContent>
                          <w:p w14:paraId="26A2AA44" w14:textId="1C31CE26" w:rsidR="006518F1" w:rsidRPr="006518F1" w:rsidRDefault="006518F1" w:rsidP="006518F1">
                            <w:pPr>
                              <w:jc w:val="center"/>
                              <w:rPr>
                                <w:lang w:val="en-US"/>
                              </w:rPr>
                            </w:pPr>
                            <w:r>
                              <w:rPr>
                                <w:lang w:val="en-US"/>
                              </w:rPr>
                              <w:t>TOMATO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DFA83E" id="_x0000_s1031" type="#_x0000_t202" style="position:absolute;left:0;text-align:left;margin-left:98.4pt;margin-top:.55pt;width:61.1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" fillcolor="white [3201]" strokeweight=".5pt">
                <v:textbox>
                  <w:txbxContent>
                    <w:p w14:paraId="26A2AA44" w14:textId="1C31CE26" w:rsidR="006518F1" w:rsidRPr="006518F1" w:rsidRDefault="006518F1" w:rsidP="006518F1">
                      <w:pPr>
                        <w:jc w:val="center"/>
                        <w:rPr>
                          <w:lang w:val="en-US"/>
                        </w:rPr>
                      </w:pPr>
                      <w:r>
                        <w:rPr>
                          <w:lang w:val="en-US"/>
                        </w:rPr>
                        <w:t>TOMATO</w:t>
                      </w:r>
                    </w:p>
                  </w:txbxContent>
                </v:textbox>
              </v:shape>
            </w:pict>
          </mc:Fallback>
        </mc:AlternateContent>
      </w:r>
      <w:r w:rsidR="00D310DA">
        <w:rPr>
          <w:noProof/>
        </w:rPr>
        <w:drawing>
          <wp:inline distT="0" distB="0" distL="0" distR="0" wp14:anchorId="78E13926" wp14:editId="64D09298">
            <wp:extent cx="4572000" cy="2743200"/>
            <wp:effectExtent l="0" t="0" r="0" b="0"/>
            <wp:docPr id="1639192514" name="Chart 1">
              <a:extLst xmlns:a="http://schemas.openxmlformats.org/drawingml/2006/main">
                <a:ext uri="{FF2B5EF4-FFF2-40B4-BE49-F238E27FC236}">
                  <a16:creationId xmlns:a16="http://schemas.microsoft.com/office/drawing/2014/main" id="{5B781CB4-36D5-19F9-F580-EF5449D723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3EF06B" w14:textId="679909C5" w:rsidR="00D310DA" w:rsidRPr="00FA13DC" w:rsidRDefault="00D310DA" w:rsidP="00D310DA">
      <w:pPr>
        <w:jc w:val="center"/>
        <w:rPr>
          <w:rFonts w:ascii="Arial" w:hAnsi="Arial" w:cs="Arial"/>
          <w:b/>
          <w:bCs/>
          <w:lang w:val="en-US"/>
        </w:rPr>
      </w:pPr>
      <w:r>
        <w:rPr>
          <w:rFonts w:ascii="Arial" w:hAnsi="Arial" w:cs="Arial"/>
          <w:b/>
          <w:bCs/>
          <w:lang w:val="en-US"/>
        </w:rPr>
        <w:t>Fig.2.</w:t>
      </w:r>
      <w:r w:rsidRPr="00FA13DC">
        <w:rPr>
          <w:rFonts w:ascii="Arial" w:hAnsi="Arial" w:cs="Arial"/>
          <w:b/>
          <w:bCs/>
          <w:lang w:val="en-US"/>
        </w:rPr>
        <w:t>Observations taken using Chlorophyll Content Meter</w:t>
      </w:r>
    </w:p>
    <w:p w14:paraId="6CD4D6BD" w14:textId="77777777" w:rsidR="00D310DA" w:rsidRPr="00FA13DC" w:rsidRDefault="00D310DA" w:rsidP="00D310DA">
      <w:pPr>
        <w:jc w:val="center"/>
        <w:rPr>
          <w:rFonts w:ascii="Arial" w:hAnsi="Arial" w:cs="Arial"/>
          <w:b/>
          <w:bCs/>
          <w:sz w:val="20"/>
          <w:szCs w:val="20"/>
          <w:lang w:val="en-US"/>
        </w:rPr>
      </w:pPr>
    </w:p>
    <w:p w14:paraId="74FF4667" w14:textId="10660463" w:rsidR="00C6762A" w:rsidRPr="00FA13DC" w:rsidRDefault="00264B66" w:rsidP="00FA13DC">
      <w:pPr>
        <w:rPr>
          <w:rFonts w:ascii="Arial" w:hAnsi="Arial" w:cs="Arial"/>
          <w:lang w:val="en-US"/>
        </w:rPr>
      </w:pPr>
      <w:r w:rsidRPr="00FA13DC">
        <w:rPr>
          <w:rFonts w:ascii="Arial" w:hAnsi="Arial" w:cs="Arial"/>
          <w:b/>
          <w:bCs/>
          <w:lang w:val="en-US"/>
        </w:rPr>
        <w:t>4.</w:t>
      </w:r>
      <w:r w:rsidR="00120BD8" w:rsidRPr="00FA13DC">
        <w:rPr>
          <w:rFonts w:ascii="Arial" w:hAnsi="Arial" w:cs="Arial"/>
          <w:b/>
          <w:bCs/>
          <w:lang w:val="en-US"/>
        </w:rPr>
        <w:t>D</w:t>
      </w:r>
      <w:r w:rsidRPr="00FA13DC">
        <w:rPr>
          <w:rFonts w:ascii="Arial" w:hAnsi="Arial" w:cs="Arial"/>
          <w:b/>
          <w:bCs/>
          <w:lang w:val="en-US"/>
        </w:rPr>
        <w:t>ISCUSSION:</w:t>
      </w:r>
    </w:p>
    <w:p w14:paraId="1BAC99D7" w14:textId="77777777" w:rsidR="00756CF0" w:rsidRPr="00FA13DC" w:rsidRDefault="00756CF0" w:rsidP="00756CF0">
      <w:pPr>
        <w:jc w:val="both"/>
        <w:rPr>
          <w:rFonts w:ascii="Arial" w:hAnsi="Arial" w:cs="Arial"/>
          <w:b/>
          <w:bCs/>
        </w:rPr>
      </w:pPr>
      <w:r w:rsidRPr="00FA13DC">
        <w:rPr>
          <w:rFonts w:ascii="Arial" w:hAnsi="Arial" w:cs="Arial"/>
          <w:b/>
          <w:bCs/>
        </w:rPr>
        <w:t>4.1. Overall Performance</w:t>
      </w:r>
    </w:p>
    <w:p w14:paraId="4796A106"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Integration of both CCM and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data showed that chilli possessed the maximum chlorophyll content but lower PSII efficiency compared to tomato and brinjal [11,13]. Tomato genotype </w:t>
      </w:r>
      <w:proofErr w:type="spellStart"/>
      <w:r w:rsidRPr="00FA13DC">
        <w:rPr>
          <w:rFonts w:ascii="Arial" w:hAnsi="Arial" w:cs="Arial"/>
          <w:sz w:val="20"/>
          <w:szCs w:val="20"/>
        </w:rPr>
        <w:t>Shivam</w:t>
      </w:r>
      <w:proofErr w:type="spellEnd"/>
      <w:r w:rsidRPr="00FA13DC">
        <w:rPr>
          <w:rFonts w:ascii="Arial" w:hAnsi="Arial" w:cs="Arial"/>
          <w:sz w:val="20"/>
          <w:szCs w:val="20"/>
        </w:rPr>
        <w:t xml:space="preserve"> exhibited high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indicating greater photosynthetic efficiency, while brinjal genotype VRM-1 showed a good balance between high CCM and comparatively high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[18].</w:t>
      </w:r>
    </w:p>
    <w:p w14:paraId="78AC4DCD"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From a physiological perspective, optimal genotype performance by crop was: tomato – Shivam (maximum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brinjal – VRM-1 (highest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and chilli – Arka Swetha (highest CCM &amp;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Although chilli possessed the highest pigment pool for light capture, tomato was more efficient in utilizing absorbed light energy, and brinjal showed intermediate performance [9,10,11].</w:t>
      </w:r>
    </w:p>
    <w:p w14:paraId="05319D86"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The results emphasize the physiological performance of tomato, brinjal and chilli genotypes for stress tolerance. Tomato variety ‘Shivam’ had higher net photosynthetic rates and positive stomatal conductance, indicating greater effectiveness in carbon assimilation [7]. This is consistent with earlier reports of tomato’s photosynthetic superiority under optimal growth conditions [19]. Higher photosynthetic capacity is directly linked to enhanced biomass accumulation and yield potential [2,13]. Brinjal and chilli genotypes, however, exhibited relatively moderate rates of carbon assimilation, which may be due to species-specific differences in leaf anatomy, mesophyll conductance and stomatal regulation [8,20].</w:t>
      </w:r>
    </w:p>
    <w:p w14:paraId="5B74CE75"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Chlorophyll fluorescence analysis also supported the superior physiological efficiency in tomato. The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value, a measure of maximum quantum efficiency of PSII, was highest in tomato genotype Shivam (0.810), suggesting a highly efficient photosynthetic apparatus [9]. Brinjal genotypes (e.g., VRM-1) also showed relatively high values, while chilli genotypes, especially Arka Meghna, recorded lower photochemical efficiency, indicating possible stress susceptibility [15,16].</w:t>
      </w:r>
    </w:p>
    <w:p w14:paraId="2B2141DC" w14:textId="77777777" w:rsidR="00756CF0" w:rsidRPr="00FA13DC" w:rsidRDefault="00756CF0" w:rsidP="00756CF0">
      <w:pPr>
        <w:jc w:val="both"/>
        <w:rPr>
          <w:rFonts w:ascii="Arial" w:hAnsi="Arial" w:cs="Arial"/>
          <w:sz w:val="20"/>
          <w:szCs w:val="20"/>
        </w:rPr>
      </w:pPr>
      <w:r w:rsidRPr="00FA13DC">
        <w:rPr>
          <w:rFonts w:ascii="Arial" w:hAnsi="Arial" w:cs="Arial"/>
          <w:sz w:val="20"/>
          <w:szCs w:val="20"/>
        </w:rPr>
        <w:lastRenderedPageBreak/>
        <w:t xml:space="preserve">Chlorophyll content, as measured by CCM, showed chilli genotypes (Arka Swetha) with maximum values, followed by brinjal and tomato. Although a high pigment pool enhances light capture, this did not translate into improved photosynthetic efficiency in chilli [11]. This highlights the physiological principle that higher chlorophyll content alone does not guarantee superior photosynthesis, as effective utilization of absorbed energy (through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and gas exchange traits) determines overall efficiency [12,21]. Tomato, despite its relatively lower chlorophyll content, performed better in PSII efficiency and carbon fixation, reflecting a more optimized balance between pigment accumulation and energy use [13].</w:t>
      </w:r>
    </w:p>
    <w:p w14:paraId="35E86938"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The integrated evaluation of gas exchange, chlorophyll fluorescence and chlorophyll content confirmed tomato genotypes (especially Shivam) as physiologically superior, while brinjal genotypes (VRM-1) showed balanced performance, and chilli genotypes, despite high pigment levels, were less efficient. This demonstrates the importance of integrated screening strategies rather than relying on single parameters [5,14].</w:t>
      </w:r>
    </w:p>
    <w:p w14:paraId="30194A15" w14:textId="77777777" w:rsidR="00756CF0" w:rsidRPr="006518F1" w:rsidRDefault="00756CF0" w:rsidP="00756CF0">
      <w:pPr>
        <w:jc w:val="both"/>
        <w:rPr>
          <w:rFonts w:ascii="Arial" w:hAnsi="Arial" w:cs="Arial"/>
          <w:b/>
          <w:bCs/>
        </w:rPr>
      </w:pPr>
      <w:r w:rsidRPr="006518F1">
        <w:rPr>
          <w:rFonts w:ascii="Arial" w:hAnsi="Arial" w:cs="Arial"/>
          <w:b/>
          <w:bCs/>
        </w:rPr>
        <w:t>4.2. Implications for Crop Improvement</w:t>
      </w:r>
    </w:p>
    <w:p w14:paraId="553BDF12"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 xml:space="preserve">From a crop improvement perspective, tomato genotype Shivam is a strong candidate for breeding programs aimed at enhancing photosynthetic efficiency and yield [19]. Brinjal genotypes with balanced chlorophyll and </w:t>
      </w:r>
      <w:proofErr w:type="spellStart"/>
      <w:r w:rsidRPr="00FA13DC">
        <w:rPr>
          <w:rFonts w:ascii="Arial" w:hAnsi="Arial" w:cs="Arial"/>
          <w:sz w:val="20"/>
          <w:szCs w:val="20"/>
        </w:rPr>
        <w:t>Fv</w:t>
      </w:r>
      <w:proofErr w:type="spellEnd"/>
      <w:r w:rsidRPr="00FA13DC">
        <w:rPr>
          <w:rFonts w:ascii="Arial" w:hAnsi="Arial" w:cs="Arial"/>
          <w:sz w:val="20"/>
          <w:szCs w:val="20"/>
        </w:rPr>
        <w:t>/</w:t>
      </w:r>
      <w:proofErr w:type="spellStart"/>
      <w:r w:rsidRPr="00FA13DC">
        <w:rPr>
          <w:rFonts w:ascii="Arial" w:hAnsi="Arial" w:cs="Arial"/>
          <w:sz w:val="20"/>
          <w:szCs w:val="20"/>
        </w:rPr>
        <w:t>Fm</w:t>
      </w:r>
      <w:proofErr w:type="spellEnd"/>
      <w:r w:rsidRPr="00FA13DC">
        <w:rPr>
          <w:rFonts w:ascii="Arial" w:hAnsi="Arial" w:cs="Arial"/>
          <w:sz w:val="20"/>
          <w:szCs w:val="20"/>
        </w:rPr>
        <w:t xml:space="preserve"> values may serve as stable donors of physiological resilience [20]. Chilli genotypes, despite high pigment content, require strategies to improve energy use efficiency and stress tolerance before their full potential can be realized [21].</w:t>
      </w:r>
    </w:p>
    <w:p w14:paraId="74E98E67" w14:textId="77777777" w:rsidR="00756CF0" w:rsidRPr="00FA13DC" w:rsidRDefault="00756CF0" w:rsidP="006518F1">
      <w:pPr>
        <w:ind w:firstLine="720"/>
        <w:jc w:val="both"/>
        <w:rPr>
          <w:rFonts w:ascii="Arial" w:hAnsi="Arial" w:cs="Arial"/>
          <w:sz w:val="20"/>
          <w:szCs w:val="20"/>
        </w:rPr>
      </w:pPr>
      <w:r w:rsidRPr="00FA13DC">
        <w:rPr>
          <w:rFonts w:ascii="Arial" w:hAnsi="Arial" w:cs="Arial"/>
          <w:sz w:val="20"/>
          <w:szCs w:val="20"/>
        </w:rPr>
        <w:t>The results underscore the value of current physiological technologies (IRGA-based systems, chlorophyll fluorescence, CCM meters) for genotypic screening [5,7]. Multi-parameter assessment provides complementary insights into carbon assimilation, energy conversion and pigment status, ensuring precise identification of elite genotypes under climate variability [13,22]. Future research should evaluate these genotypes under diverse stress conditions (drought, salinity, high temperature) to confirm resilience and reinforce breeding pipelines for climate-resilient, high-yielding crop varieties [23].</w:t>
      </w:r>
    </w:p>
    <w:p w14:paraId="735F258D" w14:textId="4E62D9A8" w:rsidR="00F417F8" w:rsidRPr="00FA13DC" w:rsidRDefault="00FA13DC" w:rsidP="00FA13DC">
      <w:pPr>
        <w:rPr>
          <w:rFonts w:ascii="Arial" w:hAnsi="Arial" w:cs="Arial"/>
        </w:rPr>
      </w:pPr>
      <w:r w:rsidRPr="00FA13DC">
        <w:rPr>
          <w:rFonts w:ascii="Arial" w:hAnsi="Arial" w:cs="Arial"/>
          <w:b/>
          <w:bCs/>
        </w:rPr>
        <w:t>REFERENCES</w:t>
      </w:r>
    </w:p>
    <w:p w14:paraId="243099D8" w14:textId="2A054C5F"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Baker, N. R. (2008). Chlorophyll fluorescence: A probe of photosynthesis in vivo. </w:t>
      </w:r>
      <w:r w:rsidRPr="00FA13DC">
        <w:rPr>
          <w:rFonts w:ascii="Arial" w:hAnsi="Arial" w:cs="Arial"/>
          <w:i/>
          <w:iCs/>
          <w:sz w:val="20"/>
          <w:szCs w:val="20"/>
        </w:rPr>
        <w:t>Annual Review of Plant Biology, 59</w:t>
      </w:r>
      <w:r w:rsidRPr="00FA13DC">
        <w:rPr>
          <w:rFonts w:ascii="Arial" w:hAnsi="Arial" w:cs="Arial"/>
          <w:sz w:val="20"/>
          <w:szCs w:val="20"/>
        </w:rPr>
        <w:t xml:space="preserve">, 89–113. </w:t>
      </w:r>
    </w:p>
    <w:p w14:paraId="778AC49D" w14:textId="284F9B6D" w:rsidR="00F417F8" w:rsidRPr="00FA13DC" w:rsidRDefault="00F417F8"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xml:space="preserve">, J., Bota, J., Loreto, F., </w:t>
      </w:r>
      <w:proofErr w:type="spellStart"/>
      <w:r w:rsidRPr="00FA13DC">
        <w:rPr>
          <w:rFonts w:ascii="Arial" w:hAnsi="Arial" w:cs="Arial"/>
          <w:sz w:val="20"/>
          <w:szCs w:val="20"/>
        </w:rPr>
        <w:t>Cornic</w:t>
      </w:r>
      <w:proofErr w:type="spellEnd"/>
      <w:r w:rsidRPr="00FA13DC">
        <w:rPr>
          <w:rFonts w:ascii="Arial" w:hAnsi="Arial" w:cs="Arial"/>
          <w:sz w:val="20"/>
          <w:szCs w:val="20"/>
        </w:rPr>
        <w:t xml:space="preserve">, G., &amp; Sharkey, T. D. (2004). Diffusive and metabolic limitations to photosynthesis under drought and salinity in C3 plants. </w:t>
      </w:r>
      <w:r w:rsidRPr="00FA13DC">
        <w:rPr>
          <w:rFonts w:ascii="Arial" w:hAnsi="Arial" w:cs="Arial"/>
          <w:i/>
          <w:iCs/>
          <w:sz w:val="20"/>
          <w:szCs w:val="20"/>
        </w:rPr>
        <w:t>Plant Biology, 6</w:t>
      </w:r>
      <w:r w:rsidRPr="00FA13DC">
        <w:rPr>
          <w:rFonts w:ascii="Arial" w:hAnsi="Arial" w:cs="Arial"/>
          <w:sz w:val="20"/>
          <w:szCs w:val="20"/>
        </w:rPr>
        <w:t xml:space="preserve">(3), 269–279. </w:t>
      </w:r>
    </w:p>
    <w:p w14:paraId="21A5B060" w14:textId="110A6B72" w:rsidR="00F417F8" w:rsidRPr="00FA13DC" w:rsidRDefault="00F417F8"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xml:space="preserve">, J., Ribas-Carbó, M., Diaz-Espejo, A., </w:t>
      </w:r>
      <w:proofErr w:type="spellStart"/>
      <w:r w:rsidRPr="00FA13DC">
        <w:rPr>
          <w:rFonts w:ascii="Arial" w:hAnsi="Arial" w:cs="Arial"/>
          <w:sz w:val="20"/>
          <w:szCs w:val="20"/>
        </w:rPr>
        <w:t>Galmés</w:t>
      </w:r>
      <w:proofErr w:type="spellEnd"/>
      <w:r w:rsidRPr="00FA13DC">
        <w:rPr>
          <w:rFonts w:ascii="Arial" w:hAnsi="Arial" w:cs="Arial"/>
          <w:sz w:val="20"/>
          <w:szCs w:val="20"/>
        </w:rPr>
        <w:t>, J., &amp; Medrano, H. (2008). Mesophyll conductance to CO</w:t>
      </w:r>
      <w:r w:rsidRPr="00FA13DC">
        <w:rPr>
          <w:rFonts w:ascii="Cambria Math" w:hAnsi="Cambria Math" w:cs="Cambria Math"/>
          <w:sz w:val="20"/>
          <w:szCs w:val="20"/>
        </w:rPr>
        <w:t>₂</w:t>
      </w:r>
      <w:r w:rsidRPr="00FA13DC">
        <w:rPr>
          <w:rFonts w:ascii="Arial" w:hAnsi="Arial" w:cs="Arial"/>
          <w:sz w:val="20"/>
          <w:szCs w:val="20"/>
        </w:rPr>
        <w:t xml:space="preserve">: Current knowledge and future prospects. </w:t>
      </w:r>
      <w:r w:rsidRPr="00FA13DC">
        <w:rPr>
          <w:rFonts w:ascii="Arial" w:hAnsi="Arial" w:cs="Arial"/>
          <w:i/>
          <w:iCs/>
          <w:sz w:val="20"/>
          <w:szCs w:val="20"/>
        </w:rPr>
        <w:t>Plant, Cell &amp; Environment, 31</w:t>
      </w:r>
      <w:r w:rsidRPr="00FA13DC">
        <w:rPr>
          <w:rFonts w:ascii="Arial" w:hAnsi="Arial" w:cs="Arial"/>
          <w:sz w:val="20"/>
          <w:szCs w:val="20"/>
        </w:rPr>
        <w:t>(5), 602–621</w:t>
      </w:r>
    </w:p>
    <w:p w14:paraId="6C6C17BB" w14:textId="00E69C42" w:rsidR="00F417F8" w:rsidRPr="00FA13DC" w:rsidRDefault="00F417F8"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Flexas</w:t>
      </w:r>
      <w:proofErr w:type="spellEnd"/>
      <w:r w:rsidRPr="00FA13DC">
        <w:rPr>
          <w:rFonts w:ascii="Arial" w:hAnsi="Arial" w:cs="Arial"/>
          <w:sz w:val="20"/>
          <w:szCs w:val="20"/>
        </w:rPr>
        <w:t>, J., et al. (2012). Mesophyll diffusion conductance to CO</w:t>
      </w:r>
      <w:r w:rsidRPr="00FA13DC">
        <w:rPr>
          <w:rFonts w:ascii="Cambria Math" w:hAnsi="Cambria Math" w:cs="Cambria Math"/>
          <w:sz w:val="20"/>
          <w:szCs w:val="20"/>
        </w:rPr>
        <w:t>₂</w:t>
      </w:r>
      <w:r w:rsidRPr="00FA13DC">
        <w:rPr>
          <w:rFonts w:ascii="Arial" w:hAnsi="Arial" w:cs="Arial"/>
          <w:sz w:val="20"/>
          <w:szCs w:val="20"/>
        </w:rPr>
        <w:t xml:space="preserve">: An unappreciated central player in photosynthesis. </w:t>
      </w:r>
      <w:r w:rsidRPr="00FA13DC">
        <w:rPr>
          <w:rFonts w:ascii="Arial" w:hAnsi="Arial" w:cs="Arial"/>
          <w:i/>
          <w:iCs/>
          <w:sz w:val="20"/>
          <w:szCs w:val="20"/>
        </w:rPr>
        <w:t>Plant Science, 193-194</w:t>
      </w:r>
      <w:r w:rsidRPr="00FA13DC">
        <w:rPr>
          <w:rFonts w:ascii="Arial" w:hAnsi="Arial" w:cs="Arial"/>
          <w:sz w:val="20"/>
          <w:szCs w:val="20"/>
        </w:rPr>
        <w:t xml:space="preserve">, 70–84. </w:t>
      </w:r>
    </w:p>
    <w:p w14:paraId="09D75E5E" w14:textId="131E1966"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Ling, Q., Huang, W., &amp; Jarvis, P. (2011). Use of a SPAD-502 meter to measure leaf chlorophyll concentration in Arabidopsis thaliana. </w:t>
      </w:r>
      <w:r w:rsidRPr="00FA13DC">
        <w:rPr>
          <w:rFonts w:ascii="Arial" w:hAnsi="Arial" w:cs="Arial"/>
          <w:i/>
          <w:iCs/>
          <w:sz w:val="20"/>
          <w:szCs w:val="20"/>
        </w:rPr>
        <w:t>Photosynthesis Research, 107</w:t>
      </w:r>
      <w:r w:rsidRPr="00FA13DC">
        <w:rPr>
          <w:rFonts w:ascii="Arial" w:hAnsi="Arial" w:cs="Arial"/>
          <w:sz w:val="20"/>
          <w:szCs w:val="20"/>
        </w:rPr>
        <w:t xml:space="preserve">(2), 209–214. </w:t>
      </w:r>
    </w:p>
    <w:p w14:paraId="264BF253" w14:textId="376AB13C"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Long, S. P., &amp; Bernacchi, C. J. (2003). Gas exchange measurements, what can they tell us about the underlying limitations to photosynthesis? </w:t>
      </w:r>
      <w:r w:rsidRPr="00FA13DC">
        <w:rPr>
          <w:rFonts w:ascii="Arial" w:hAnsi="Arial" w:cs="Arial"/>
          <w:i/>
          <w:iCs/>
          <w:sz w:val="20"/>
          <w:szCs w:val="20"/>
        </w:rPr>
        <w:t>Procedures and Sources of Error</w:t>
      </w:r>
      <w:r w:rsidRPr="00FA13DC">
        <w:rPr>
          <w:rFonts w:ascii="Arial" w:hAnsi="Arial" w:cs="Arial"/>
          <w:sz w:val="20"/>
          <w:szCs w:val="20"/>
        </w:rPr>
        <w:t xml:space="preserve">. </w:t>
      </w:r>
      <w:r w:rsidRPr="00FA13DC">
        <w:rPr>
          <w:rFonts w:ascii="Arial" w:hAnsi="Arial" w:cs="Arial"/>
          <w:i/>
          <w:iCs/>
          <w:sz w:val="20"/>
          <w:szCs w:val="20"/>
        </w:rPr>
        <w:t>Journal of Experimental Botany, 54</w:t>
      </w:r>
      <w:r w:rsidRPr="00FA13DC">
        <w:rPr>
          <w:rFonts w:ascii="Arial" w:hAnsi="Arial" w:cs="Arial"/>
          <w:sz w:val="20"/>
          <w:szCs w:val="20"/>
        </w:rPr>
        <w:t xml:space="preserve">(392), 2393–2401. </w:t>
      </w:r>
    </w:p>
    <w:p w14:paraId="4A9C1A24" w14:textId="04C1264A"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Long, S. P., Zhu, X. G., Naidu, S. L., &amp; Ort, D. R. (2006). Can improvement in photosynthesis increase crop yields? </w:t>
      </w:r>
      <w:r w:rsidRPr="00FA13DC">
        <w:rPr>
          <w:rFonts w:ascii="Arial" w:hAnsi="Arial" w:cs="Arial"/>
          <w:i/>
          <w:iCs/>
          <w:sz w:val="20"/>
          <w:szCs w:val="20"/>
        </w:rPr>
        <w:t>Plant, Cell &amp; Environment, 29</w:t>
      </w:r>
      <w:r w:rsidRPr="00FA13DC">
        <w:rPr>
          <w:rFonts w:ascii="Arial" w:hAnsi="Arial" w:cs="Arial"/>
          <w:sz w:val="20"/>
          <w:szCs w:val="20"/>
        </w:rPr>
        <w:t xml:space="preserve">(3), 315–330. </w:t>
      </w:r>
    </w:p>
    <w:p w14:paraId="61A3B590" w14:textId="7D384465"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Maxwell, K., &amp; Johnson, G. N. (2000). Chlorophyll fluorescence—A practical guide. </w:t>
      </w:r>
      <w:r w:rsidRPr="00FA13DC">
        <w:rPr>
          <w:rFonts w:ascii="Arial" w:hAnsi="Arial" w:cs="Arial"/>
          <w:i/>
          <w:iCs/>
          <w:sz w:val="20"/>
          <w:szCs w:val="20"/>
        </w:rPr>
        <w:t>Journal of Experimental Botany, 51</w:t>
      </w:r>
      <w:r w:rsidRPr="00FA13DC">
        <w:rPr>
          <w:rFonts w:ascii="Arial" w:hAnsi="Arial" w:cs="Arial"/>
          <w:sz w:val="20"/>
          <w:szCs w:val="20"/>
        </w:rPr>
        <w:t xml:space="preserve">(345), 659–668. </w:t>
      </w:r>
    </w:p>
    <w:p w14:paraId="60793106" w14:textId="72A4CD73"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Murchie, E. H., Pinto, M., &amp; Horton, P. (2009). Agriculture and the new challenges for photosynthesis research. </w:t>
      </w:r>
      <w:r w:rsidRPr="00FA13DC">
        <w:rPr>
          <w:rFonts w:ascii="Arial" w:hAnsi="Arial" w:cs="Arial"/>
          <w:i/>
          <w:iCs/>
          <w:sz w:val="20"/>
          <w:szCs w:val="20"/>
        </w:rPr>
        <w:t>New Phytologist, 181</w:t>
      </w:r>
      <w:r w:rsidRPr="00FA13DC">
        <w:rPr>
          <w:rFonts w:ascii="Arial" w:hAnsi="Arial" w:cs="Arial"/>
          <w:sz w:val="20"/>
          <w:szCs w:val="20"/>
        </w:rPr>
        <w:t xml:space="preserve">(3), 532–552. </w:t>
      </w:r>
    </w:p>
    <w:p w14:paraId="245A999C" w14:textId="1D706DFD"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Parry, M. A., Reynolds, M., Salvucci, M. E., Raines, C., </w:t>
      </w:r>
      <w:proofErr w:type="spellStart"/>
      <w:r w:rsidRPr="00FA13DC">
        <w:rPr>
          <w:rFonts w:ascii="Arial" w:hAnsi="Arial" w:cs="Arial"/>
          <w:sz w:val="20"/>
          <w:szCs w:val="20"/>
        </w:rPr>
        <w:t>Andralojc</w:t>
      </w:r>
      <w:proofErr w:type="spellEnd"/>
      <w:r w:rsidRPr="00FA13DC">
        <w:rPr>
          <w:rFonts w:ascii="Arial" w:hAnsi="Arial" w:cs="Arial"/>
          <w:sz w:val="20"/>
          <w:szCs w:val="20"/>
        </w:rPr>
        <w:t xml:space="preserve">, P. J., Zhu, X. G., ... &amp; Ort, D. R. (2011). Raising yield potential of wheat. II. Increasing photosynthetic capacity and efficiency. </w:t>
      </w:r>
      <w:r w:rsidRPr="00FA13DC">
        <w:rPr>
          <w:rFonts w:ascii="Arial" w:hAnsi="Arial" w:cs="Arial"/>
          <w:i/>
          <w:iCs/>
          <w:sz w:val="20"/>
          <w:szCs w:val="20"/>
        </w:rPr>
        <w:t>Journal of Experimental Botany, 62</w:t>
      </w:r>
      <w:r w:rsidRPr="00FA13DC">
        <w:rPr>
          <w:rFonts w:ascii="Arial" w:hAnsi="Arial" w:cs="Arial"/>
          <w:sz w:val="20"/>
          <w:szCs w:val="20"/>
        </w:rPr>
        <w:t xml:space="preserve">(2), 453–467. </w:t>
      </w:r>
    </w:p>
    <w:p w14:paraId="42C3B4C3" w14:textId="7BB65052"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lastRenderedPageBreak/>
        <w:t xml:space="preserve">Rascher, U., Liebig, M., &amp; Lüttge, U. (2000). Evaluation of instant light-response curves of chlorophyll fluorescence parameters obtained with a portable chlorophyll fluorometer on site in the field. </w:t>
      </w:r>
      <w:r w:rsidRPr="00FA13DC">
        <w:rPr>
          <w:rFonts w:ascii="Arial" w:hAnsi="Arial" w:cs="Arial"/>
          <w:i/>
          <w:iCs/>
          <w:sz w:val="20"/>
          <w:szCs w:val="20"/>
        </w:rPr>
        <w:t>Plant, Cell &amp; Environment, 23</w:t>
      </w:r>
      <w:r w:rsidRPr="00FA13DC">
        <w:rPr>
          <w:rFonts w:ascii="Arial" w:hAnsi="Arial" w:cs="Arial"/>
          <w:sz w:val="20"/>
          <w:szCs w:val="20"/>
        </w:rPr>
        <w:t xml:space="preserve">(12), 1397–1405. </w:t>
      </w:r>
    </w:p>
    <w:p w14:paraId="68FA746E" w14:textId="1C344CBB"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Richardson, A. D., Duigan, S. P., &amp; Berlyn, G. P. (2002). An evaluation of </w:t>
      </w:r>
      <w:proofErr w:type="spellStart"/>
      <w:r w:rsidRPr="00FA13DC">
        <w:rPr>
          <w:rFonts w:ascii="Arial" w:hAnsi="Arial" w:cs="Arial"/>
          <w:sz w:val="20"/>
          <w:szCs w:val="20"/>
        </w:rPr>
        <w:t>noninvasive</w:t>
      </w:r>
      <w:proofErr w:type="spellEnd"/>
      <w:r w:rsidRPr="00FA13DC">
        <w:rPr>
          <w:rFonts w:ascii="Arial" w:hAnsi="Arial" w:cs="Arial"/>
          <w:sz w:val="20"/>
          <w:szCs w:val="20"/>
        </w:rPr>
        <w:t xml:space="preserve"> methods to estimate foliar chlorophyll content. </w:t>
      </w:r>
      <w:r w:rsidRPr="00FA13DC">
        <w:rPr>
          <w:rFonts w:ascii="Arial" w:hAnsi="Arial" w:cs="Arial"/>
          <w:i/>
          <w:iCs/>
          <w:sz w:val="20"/>
          <w:szCs w:val="20"/>
        </w:rPr>
        <w:t>New Phytologist, 153</w:t>
      </w:r>
      <w:r w:rsidRPr="00FA13DC">
        <w:rPr>
          <w:rFonts w:ascii="Arial" w:hAnsi="Arial" w:cs="Arial"/>
          <w:sz w:val="20"/>
          <w:szCs w:val="20"/>
        </w:rPr>
        <w:t xml:space="preserve">(1), 185–194. </w:t>
      </w:r>
    </w:p>
    <w:p w14:paraId="6B5186C3" w14:textId="77777777"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Taiz, L., &amp; Zeiger, E. (2015). </w:t>
      </w:r>
      <w:r w:rsidRPr="00FA13DC">
        <w:rPr>
          <w:rFonts w:ascii="Arial" w:hAnsi="Arial" w:cs="Arial"/>
          <w:i/>
          <w:iCs/>
          <w:sz w:val="20"/>
          <w:szCs w:val="20"/>
        </w:rPr>
        <w:t>Plant Physiology and Development</w:t>
      </w:r>
      <w:r w:rsidRPr="00FA13DC">
        <w:rPr>
          <w:rFonts w:ascii="Arial" w:hAnsi="Arial" w:cs="Arial"/>
          <w:sz w:val="20"/>
          <w:szCs w:val="20"/>
        </w:rPr>
        <w:t xml:space="preserve"> (6th ed.). Sinauer Associates.</w:t>
      </w:r>
    </w:p>
    <w:p w14:paraId="31ABC8C6" w14:textId="20D3E66E"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von </w:t>
      </w:r>
      <w:proofErr w:type="spellStart"/>
      <w:r w:rsidRPr="00FA13DC">
        <w:rPr>
          <w:rFonts w:ascii="Arial" w:hAnsi="Arial" w:cs="Arial"/>
          <w:sz w:val="20"/>
          <w:szCs w:val="20"/>
        </w:rPr>
        <w:t>Caemmerer</w:t>
      </w:r>
      <w:proofErr w:type="spellEnd"/>
      <w:r w:rsidRPr="00FA13DC">
        <w:rPr>
          <w:rFonts w:ascii="Arial" w:hAnsi="Arial" w:cs="Arial"/>
          <w:sz w:val="20"/>
          <w:szCs w:val="20"/>
        </w:rPr>
        <w:t xml:space="preserve">, S., &amp; Farquhar, G. D. (1981). Some relationships between the biochemistry of photosynthesis and the gas exchange of leaves. </w:t>
      </w:r>
      <w:r w:rsidRPr="00FA13DC">
        <w:rPr>
          <w:rFonts w:ascii="Arial" w:hAnsi="Arial" w:cs="Arial"/>
          <w:i/>
          <w:iCs/>
          <w:sz w:val="20"/>
          <w:szCs w:val="20"/>
        </w:rPr>
        <w:t>Planta, 153</w:t>
      </w:r>
      <w:r w:rsidRPr="00FA13DC">
        <w:rPr>
          <w:rFonts w:ascii="Arial" w:hAnsi="Arial" w:cs="Arial"/>
          <w:sz w:val="20"/>
          <w:szCs w:val="20"/>
        </w:rPr>
        <w:t xml:space="preserve">(4), 376–387. </w:t>
      </w:r>
    </w:p>
    <w:p w14:paraId="264216FE" w14:textId="4D4F7131" w:rsidR="00F417F8" w:rsidRPr="00FA13DC" w:rsidRDefault="00F417F8"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Zhu, X. G., Long, S. P., &amp; Ort, D. R. (2010). Improving photosynthetic efficiency for greater yield. </w:t>
      </w:r>
      <w:r w:rsidRPr="00FA13DC">
        <w:rPr>
          <w:rFonts w:ascii="Arial" w:hAnsi="Arial" w:cs="Arial"/>
          <w:i/>
          <w:iCs/>
          <w:sz w:val="20"/>
          <w:szCs w:val="20"/>
        </w:rPr>
        <w:t>Annual Review of Plant Biology, 61</w:t>
      </w:r>
      <w:r w:rsidRPr="00FA13DC">
        <w:rPr>
          <w:rFonts w:ascii="Arial" w:hAnsi="Arial" w:cs="Arial"/>
          <w:sz w:val="20"/>
          <w:szCs w:val="20"/>
        </w:rPr>
        <w:t xml:space="preserve">, 235–261. </w:t>
      </w:r>
    </w:p>
    <w:p w14:paraId="2D7316FA" w14:textId="089D9E5A"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Lu, C., &amp; Zhang, J. (1999). Effects of water stress on photosystem II photochemistry and its thermostability in wheat plants. </w:t>
      </w:r>
      <w:r w:rsidRPr="00FA13DC">
        <w:rPr>
          <w:rFonts w:ascii="Arial" w:hAnsi="Arial" w:cs="Arial"/>
          <w:i/>
          <w:iCs/>
          <w:sz w:val="20"/>
          <w:szCs w:val="20"/>
        </w:rPr>
        <w:t>Journal of Experimental Botany, 50</w:t>
      </w:r>
      <w:r w:rsidRPr="00FA13DC">
        <w:rPr>
          <w:rFonts w:ascii="Arial" w:hAnsi="Arial" w:cs="Arial"/>
          <w:sz w:val="20"/>
          <w:szCs w:val="20"/>
        </w:rPr>
        <w:t xml:space="preserve">(336), 1199–1206. </w:t>
      </w:r>
    </w:p>
    <w:p w14:paraId="33453675" w14:textId="3F38A886"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Roháček, K. (2002). Chlorophyll fluorescence parameters: The definitions, photosynthetic meaning, and mutual relationships. </w:t>
      </w:r>
      <w:proofErr w:type="spellStart"/>
      <w:r w:rsidRPr="00FA13DC">
        <w:rPr>
          <w:rFonts w:ascii="Arial" w:hAnsi="Arial" w:cs="Arial"/>
          <w:i/>
          <w:iCs/>
          <w:sz w:val="20"/>
          <w:szCs w:val="20"/>
        </w:rPr>
        <w:t>Photosynthetica</w:t>
      </w:r>
      <w:proofErr w:type="spellEnd"/>
      <w:r w:rsidRPr="00FA13DC">
        <w:rPr>
          <w:rFonts w:ascii="Arial" w:hAnsi="Arial" w:cs="Arial"/>
          <w:i/>
          <w:iCs/>
          <w:sz w:val="20"/>
          <w:szCs w:val="20"/>
        </w:rPr>
        <w:t>, 40</w:t>
      </w:r>
      <w:r w:rsidRPr="00FA13DC">
        <w:rPr>
          <w:rFonts w:ascii="Arial" w:hAnsi="Arial" w:cs="Arial"/>
          <w:sz w:val="20"/>
          <w:szCs w:val="20"/>
        </w:rPr>
        <w:t xml:space="preserve">(1), 13–29. </w:t>
      </w:r>
    </w:p>
    <w:p w14:paraId="014704D8" w14:textId="7BA5F94A"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Lu, C., &amp; Zhang, J. (2001). Photosynthetic CO</w:t>
      </w:r>
      <w:r w:rsidRPr="00FA13DC">
        <w:rPr>
          <w:rFonts w:ascii="Cambria Math" w:hAnsi="Cambria Math" w:cs="Cambria Math"/>
          <w:sz w:val="20"/>
          <w:szCs w:val="20"/>
        </w:rPr>
        <w:t>₂</w:t>
      </w:r>
      <w:r w:rsidRPr="00FA13DC">
        <w:rPr>
          <w:rFonts w:ascii="Arial" w:hAnsi="Arial" w:cs="Arial"/>
          <w:sz w:val="20"/>
          <w:szCs w:val="20"/>
        </w:rPr>
        <w:t xml:space="preserve"> assimilation, chlorophyll fluorescence and photoinhibition as affected by nitrogen deficiency in maize plants. </w:t>
      </w:r>
      <w:r w:rsidRPr="00FA13DC">
        <w:rPr>
          <w:rFonts w:ascii="Arial" w:hAnsi="Arial" w:cs="Arial"/>
          <w:i/>
          <w:iCs/>
          <w:sz w:val="20"/>
          <w:szCs w:val="20"/>
        </w:rPr>
        <w:t>Plant Science, 161</w:t>
      </w:r>
      <w:r w:rsidRPr="00FA13DC">
        <w:rPr>
          <w:rFonts w:ascii="Arial" w:hAnsi="Arial" w:cs="Arial"/>
          <w:sz w:val="20"/>
          <w:szCs w:val="20"/>
        </w:rPr>
        <w:t xml:space="preserve">(4), 729–737. </w:t>
      </w:r>
    </w:p>
    <w:p w14:paraId="1C9179E2" w14:textId="29597934"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Van Kooten, O., &amp; Snell, J. F. H. (1990). The use of chlorophyll fluorescence nomenclature in plant stress physiology. </w:t>
      </w:r>
      <w:r w:rsidRPr="00FA13DC">
        <w:rPr>
          <w:rFonts w:ascii="Arial" w:hAnsi="Arial" w:cs="Arial"/>
          <w:i/>
          <w:iCs/>
          <w:sz w:val="20"/>
          <w:szCs w:val="20"/>
        </w:rPr>
        <w:t>Photosynthesis Research, 25</w:t>
      </w:r>
      <w:r w:rsidRPr="00FA13DC">
        <w:rPr>
          <w:rFonts w:ascii="Arial" w:hAnsi="Arial" w:cs="Arial"/>
          <w:sz w:val="20"/>
          <w:szCs w:val="20"/>
        </w:rPr>
        <w:t xml:space="preserve">(3), 147–150. </w:t>
      </w:r>
    </w:p>
    <w:p w14:paraId="44FCC86E" w14:textId="3B94FD42" w:rsidR="00756CF0" w:rsidRPr="00FA13DC" w:rsidRDefault="00756CF0" w:rsidP="00756CF0">
      <w:pPr>
        <w:pStyle w:val="ListParagraph"/>
        <w:numPr>
          <w:ilvl w:val="0"/>
          <w:numId w:val="4"/>
        </w:numPr>
        <w:jc w:val="both"/>
        <w:rPr>
          <w:rFonts w:ascii="Arial" w:hAnsi="Arial" w:cs="Arial"/>
          <w:sz w:val="20"/>
          <w:szCs w:val="20"/>
        </w:rPr>
      </w:pPr>
      <w:proofErr w:type="spellStart"/>
      <w:r w:rsidRPr="00FA13DC">
        <w:rPr>
          <w:rFonts w:ascii="Arial" w:hAnsi="Arial" w:cs="Arial"/>
          <w:sz w:val="20"/>
          <w:szCs w:val="20"/>
        </w:rPr>
        <w:t>Heuvelink</w:t>
      </w:r>
      <w:proofErr w:type="spellEnd"/>
      <w:r w:rsidRPr="00FA13DC">
        <w:rPr>
          <w:rFonts w:ascii="Arial" w:hAnsi="Arial" w:cs="Arial"/>
          <w:sz w:val="20"/>
          <w:szCs w:val="20"/>
        </w:rPr>
        <w:t xml:space="preserve">, E. (2005). </w:t>
      </w:r>
      <w:r w:rsidRPr="00FA13DC">
        <w:rPr>
          <w:rFonts w:ascii="Arial" w:hAnsi="Arial" w:cs="Arial"/>
          <w:i/>
          <w:iCs/>
          <w:sz w:val="20"/>
          <w:szCs w:val="20"/>
        </w:rPr>
        <w:t>Tomatoes</w:t>
      </w:r>
      <w:r w:rsidRPr="00FA13DC">
        <w:rPr>
          <w:rFonts w:ascii="Arial" w:hAnsi="Arial" w:cs="Arial"/>
          <w:sz w:val="20"/>
          <w:szCs w:val="20"/>
        </w:rPr>
        <w:t xml:space="preserve">. CABI Publishing. </w:t>
      </w:r>
    </w:p>
    <w:p w14:paraId="30A20ECF" w14:textId="688B9A54"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Franks, P. J., &amp; Farquhar, G. D. (2007). The mechanical diversity of stomata and its significance in gas-exchange control. </w:t>
      </w:r>
      <w:r w:rsidRPr="00FA13DC">
        <w:rPr>
          <w:rFonts w:ascii="Arial" w:hAnsi="Arial" w:cs="Arial"/>
          <w:i/>
          <w:iCs/>
          <w:sz w:val="20"/>
          <w:szCs w:val="20"/>
        </w:rPr>
        <w:t>Plant Physiology, 143</w:t>
      </w:r>
      <w:r w:rsidRPr="00FA13DC">
        <w:rPr>
          <w:rFonts w:ascii="Arial" w:hAnsi="Arial" w:cs="Arial"/>
          <w:sz w:val="20"/>
          <w:szCs w:val="20"/>
        </w:rPr>
        <w:t xml:space="preserve">(1), 78–87. </w:t>
      </w:r>
    </w:p>
    <w:p w14:paraId="541EF5C9" w14:textId="2E033D32"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Evans, J. R., &amp; </w:t>
      </w:r>
      <w:proofErr w:type="spellStart"/>
      <w:r w:rsidRPr="00FA13DC">
        <w:rPr>
          <w:rFonts w:ascii="Arial" w:hAnsi="Arial" w:cs="Arial"/>
          <w:sz w:val="20"/>
          <w:szCs w:val="20"/>
        </w:rPr>
        <w:t>Poorter</w:t>
      </w:r>
      <w:proofErr w:type="spellEnd"/>
      <w:r w:rsidRPr="00FA13DC">
        <w:rPr>
          <w:rFonts w:ascii="Arial" w:hAnsi="Arial" w:cs="Arial"/>
          <w:sz w:val="20"/>
          <w:szCs w:val="20"/>
        </w:rPr>
        <w:t xml:space="preserve">, H. (2001). Photosynthetic acclimation of plants to growth irradiance: The relative importance of specific leaf area and nitrogen partitioning in maximizing carbon gain. </w:t>
      </w:r>
      <w:r w:rsidRPr="00FA13DC">
        <w:rPr>
          <w:rFonts w:ascii="Arial" w:hAnsi="Arial" w:cs="Arial"/>
          <w:i/>
          <w:iCs/>
          <w:sz w:val="20"/>
          <w:szCs w:val="20"/>
        </w:rPr>
        <w:t>Plant, Cell &amp; Environment, 24</w:t>
      </w:r>
      <w:r w:rsidRPr="00FA13DC">
        <w:rPr>
          <w:rFonts w:ascii="Arial" w:hAnsi="Arial" w:cs="Arial"/>
          <w:sz w:val="20"/>
          <w:szCs w:val="20"/>
        </w:rPr>
        <w:t xml:space="preserve">(8), 755–767. </w:t>
      </w:r>
    </w:p>
    <w:p w14:paraId="42C81103" w14:textId="4EAC6B92"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Baker, N. R., &amp; Rosenqvist, E. (2004). Applications of chlorophyll fluorescence can improve crop production strategies: An examination of future possibilities. </w:t>
      </w:r>
      <w:r w:rsidRPr="00FA13DC">
        <w:rPr>
          <w:rFonts w:ascii="Arial" w:hAnsi="Arial" w:cs="Arial"/>
          <w:i/>
          <w:iCs/>
          <w:sz w:val="20"/>
          <w:szCs w:val="20"/>
        </w:rPr>
        <w:t>Journal of Experimental Botany, 55</w:t>
      </w:r>
      <w:r w:rsidRPr="00FA13DC">
        <w:rPr>
          <w:rFonts w:ascii="Arial" w:hAnsi="Arial" w:cs="Arial"/>
          <w:sz w:val="20"/>
          <w:szCs w:val="20"/>
        </w:rPr>
        <w:t xml:space="preserve">(403), 1607–1621. </w:t>
      </w:r>
    </w:p>
    <w:p w14:paraId="104176A3" w14:textId="47A79ED3" w:rsidR="00756CF0" w:rsidRPr="00FA13DC" w:rsidRDefault="00756CF0" w:rsidP="00756CF0">
      <w:pPr>
        <w:pStyle w:val="ListParagraph"/>
        <w:numPr>
          <w:ilvl w:val="0"/>
          <w:numId w:val="4"/>
        </w:numPr>
        <w:jc w:val="both"/>
        <w:rPr>
          <w:rFonts w:ascii="Arial" w:hAnsi="Arial" w:cs="Arial"/>
          <w:sz w:val="20"/>
          <w:szCs w:val="20"/>
        </w:rPr>
      </w:pPr>
      <w:r w:rsidRPr="00FA13DC">
        <w:rPr>
          <w:rFonts w:ascii="Arial" w:hAnsi="Arial" w:cs="Arial"/>
          <w:sz w:val="20"/>
          <w:szCs w:val="20"/>
        </w:rPr>
        <w:t xml:space="preserve">Chaves, M. M., Flexas, J., &amp; Pinheiro, C. (2009). Photosynthesis under drought and salt stress: Regulation mechanisms from whole plant to cell. </w:t>
      </w:r>
      <w:r w:rsidRPr="00FA13DC">
        <w:rPr>
          <w:rFonts w:ascii="Arial" w:hAnsi="Arial" w:cs="Arial"/>
          <w:i/>
          <w:iCs/>
          <w:sz w:val="20"/>
          <w:szCs w:val="20"/>
        </w:rPr>
        <w:t>Annals of Botany, 103</w:t>
      </w:r>
      <w:r w:rsidRPr="00FA13DC">
        <w:rPr>
          <w:rFonts w:ascii="Arial" w:hAnsi="Arial" w:cs="Arial"/>
          <w:sz w:val="20"/>
          <w:szCs w:val="20"/>
        </w:rPr>
        <w:t xml:space="preserve">(4), 551–560. </w:t>
      </w:r>
    </w:p>
    <w:p w14:paraId="23CB904D" w14:textId="77777777" w:rsidR="00756CF0" w:rsidRPr="00FA13DC" w:rsidRDefault="00756CF0" w:rsidP="00756CF0">
      <w:pPr>
        <w:ind w:left="360" w:hanging="720"/>
        <w:jc w:val="both"/>
        <w:rPr>
          <w:rFonts w:ascii="Arial" w:hAnsi="Arial" w:cs="Arial"/>
          <w:sz w:val="20"/>
          <w:szCs w:val="20"/>
        </w:rPr>
      </w:pPr>
    </w:p>
    <w:p w14:paraId="42F2F34B" w14:textId="77777777" w:rsidR="00756CF0" w:rsidRPr="00FA13DC" w:rsidRDefault="00756CF0" w:rsidP="00F417F8">
      <w:pPr>
        <w:ind w:left="360" w:hanging="720"/>
        <w:jc w:val="both"/>
        <w:rPr>
          <w:rFonts w:ascii="Arial" w:hAnsi="Arial" w:cs="Arial"/>
          <w:sz w:val="20"/>
          <w:szCs w:val="20"/>
        </w:rPr>
      </w:pPr>
    </w:p>
    <w:p w14:paraId="01AB8AA8" w14:textId="77777777" w:rsidR="00F417F8" w:rsidRPr="00FA13DC" w:rsidRDefault="00F417F8" w:rsidP="00F417F8">
      <w:pPr>
        <w:ind w:left="720" w:hanging="720"/>
        <w:jc w:val="both"/>
        <w:rPr>
          <w:rFonts w:ascii="Arial" w:hAnsi="Arial" w:cs="Arial"/>
          <w:sz w:val="20"/>
          <w:szCs w:val="20"/>
          <w:lang w:val="en-US"/>
        </w:rPr>
      </w:pPr>
    </w:p>
    <w:sectPr w:rsidR="00F417F8" w:rsidRPr="00FA13DC" w:rsidSect="00BD519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B49AD" w14:textId="77777777" w:rsidR="007E00EF" w:rsidRDefault="007E00EF" w:rsidP="00592988">
      <w:pPr>
        <w:spacing w:after="0" w:line="240" w:lineRule="auto"/>
      </w:pPr>
      <w:r>
        <w:separator/>
      </w:r>
    </w:p>
  </w:endnote>
  <w:endnote w:type="continuationSeparator" w:id="0">
    <w:p w14:paraId="4CE9E7B4" w14:textId="77777777" w:rsidR="007E00EF" w:rsidRDefault="007E00EF" w:rsidP="0059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9FFB" w14:textId="77777777" w:rsidR="00592988" w:rsidRDefault="00592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6F90" w14:textId="77777777" w:rsidR="00592988" w:rsidRDefault="00592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35FD" w14:textId="77777777" w:rsidR="00592988" w:rsidRDefault="0059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7A2B6" w14:textId="77777777" w:rsidR="007E00EF" w:rsidRDefault="007E00EF" w:rsidP="00592988">
      <w:pPr>
        <w:spacing w:after="0" w:line="240" w:lineRule="auto"/>
      </w:pPr>
      <w:r>
        <w:separator/>
      </w:r>
    </w:p>
  </w:footnote>
  <w:footnote w:type="continuationSeparator" w:id="0">
    <w:p w14:paraId="3A47EB45" w14:textId="77777777" w:rsidR="007E00EF" w:rsidRDefault="007E00EF" w:rsidP="0059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29C6" w14:textId="3D8161F7" w:rsidR="00592988" w:rsidRDefault="00592988">
    <w:pPr>
      <w:pStyle w:val="Header"/>
    </w:pPr>
    <w:r>
      <w:rPr>
        <w:noProof/>
      </w:rPr>
      <w:pict w14:anchorId="575D9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BA68" w14:textId="6F162E0C" w:rsidR="00592988" w:rsidRDefault="00592988">
    <w:pPr>
      <w:pStyle w:val="Header"/>
    </w:pPr>
    <w:r>
      <w:rPr>
        <w:noProof/>
      </w:rPr>
      <w:pict w14:anchorId="005C4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306D" w14:textId="35C7093E" w:rsidR="00592988" w:rsidRDefault="00592988">
    <w:pPr>
      <w:pStyle w:val="Header"/>
    </w:pPr>
    <w:r>
      <w:rPr>
        <w:noProof/>
      </w:rPr>
      <w:pict w14:anchorId="4F59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56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27068"/>
    <w:multiLevelType w:val="hybridMultilevel"/>
    <w:tmpl w:val="3A509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705C83"/>
    <w:multiLevelType w:val="hybridMultilevel"/>
    <w:tmpl w:val="8EA0FC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37D2446"/>
    <w:multiLevelType w:val="multilevel"/>
    <w:tmpl w:val="A96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F083A"/>
    <w:multiLevelType w:val="hybridMultilevel"/>
    <w:tmpl w:val="70A278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75"/>
    <w:rsid w:val="00022062"/>
    <w:rsid w:val="00022675"/>
    <w:rsid w:val="00037BF6"/>
    <w:rsid w:val="00064663"/>
    <w:rsid w:val="00071BB8"/>
    <w:rsid w:val="0009616F"/>
    <w:rsid w:val="000A11A2"/>
    <w:rsid w:val="000A391E"/>
    <w:rsid w:val="000A432C"/>
    <w:rsid w:val="000E6E55"/>
    <w:rsid w:val="00120BD8"/>
    <w:rsid w:val="001431C5"/>
    <w:rsid w:val="001B5334"/>
    <w:rsid w:val="001E19B4"/>
    <w:rsid w:val="00212254"/>
    <w:rsid w:val="002158C5"/>
    <w:rsid w:val="00215908"/>
    <w:rsid w:val="002354B1"/>
    <w:rsid w:val="00264B66"/>
    <w:rsid w:val="00322A65"/>
    <w:rsid w:val="003A39C4"/>
    <w:rsid w:val="003C5CD6"/>
    <w:rsid w:val="0045135E"/>
    <w:rsid w:val="004864BE"/>
    <w:rsid w:val="004A4860"/>
    <w:rsid w:val="00535487"/>
    <w:rsid w:val="00592988"/>
    <w:rsid w:val="005B3E8A"/>
    <w:rsid w:val="005F5805"/>
    <w:rsid w:val="006518F1"/>
    <w:rsid w:val="00711F11"/>
    <w:rsid w:val="00723E1B"/>
    <w:rsid w:val="00756CF0"/>
    <w:rsid w:val="00774E5E"/>
    <w:rsid w:val="00785ECB"/>
    <w:rsid w:val="007E00EF"/>
    <w:rsid w:val="00874064"/>
    <w:rsid w:val="008872BA"/>
    <w:rsid w:val="008F21D5"/>
    <w:rsid w:val="009244C9"/>
    <w:rsid w:val="0093312D"/>
    <w:rsid w:val="009E0086"/>
    <w:rsid w:val="00A2272B"/>
    <w:rsid w:val="00AB7662"/>
    <w:rsid w:val="00B600B2"/>
    <w:rsid w:val="00BD519E"/>
    <w:rsid w:val="00BD54AC"/>
    <w:rsid w:val="00C51FAA"/>
    <w:rsid w:val="00C6762A"/>
    <w:rsid w:val="00C70407"/>
    <w:rsid w:val="00C82304"/>
    <w:rsid w:val="00CA20F4"/>
    <w:rsid w:val="00D310DA"/>
    <w:rsid w:val="00D63831"/>
    <w:rsid w:val="00D66BB3"/>
    <w:rsid w:val="00D72DC7"/>
    <w:rsid w:val="00DB553C"/>
    <w:rsid w:val="00E35057"/>
    <w:rsid w:val="00E82472"/>
    <w:rsid w:val="00E92247"/>
    <w:rsid w:val="00EF0E74"/>
    <w:rsid w:val="00F40A0C"/>
    <w:rsid w:val="00F417F8"/>
    <w:rsid w:val="00FA13DC"/>
    <w:rsid w:val="00FB3B5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91783"/>
  <w15:chartTrackingRefBased/>
  <w15:docId w15:val="{19535442-2561-491C-9D46-D5BE0A5E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675"/>
    <w:rPr>
      <w:rFonts w:eastAsiaTheme="majorEastAsia" w:cstheme="majorBidi"/>
      <w:color w:val="272727" w:themeColor="text1" w:themeTint="D8"/>
    </w:rPr>
  </w:style>
  <w:style w:type="paragraph" w:styleId="Title">
    <w:name w:val="Title"/>
    <w:basedOn w:val="Normal"/>
    <w:next w:val="Normal"/>
    <w:link w:val="TitleChar"/>
    <w:uiPriority w:val="10"/>
    <w:qFormat/>
    <w:rsid w:val="0002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675"/>
    <w:pPr>
      <w:spacing w:before="160"/>
      <w:jc w:val="center"/>
    </w:pPr>
    <w:rPr>
      <w:i/>
      <w:iCs/>
      <w:color w:val="404040" w:themeColor="text1" w:themeTint="BF"/>
    </w:rPr>
  </w:style>
  <w:style w:type="character" w:customStyle="1" w:styleId="QuoteChar">
    <w:name w:val="Quote Char"/>
    <w:basedOn w:val="DefaultParagraphFont"/>
    <w:link w:val="Quote"/>
    <w:uiPriority w:val="29"/>
    <w:rsid w:val="00022675"/>
    <w:rPr>
      <w:i/>
      <w:iCs/>
      <w:color w:val="404040" w:themeColor="text1" w:themeTint="BF"/>
    </w:rPr>
  </w:style>
  <w:style w:type="paragraph" w:styleId="ListParagraph">
    <w:name w:val="List Paragraph"/>
    <w:basedOn w:val="Normal"/>
    <w:uiPriority w:val="34"/>
    <w:qFormat/>
    <w:rsid w:val="00022675"/>
    <w:pPr>
      <w:ind w:left="720"/>
      <w:contextualSpacing/>
    </w:pPr>
  </w:style>
  <w:style w:type="character" w:styleId="IntenseEmphasis">
    <w:name w:val="Intense Emphasis"/>
    <w:basedOn w:val="DefaultParagraphFont"/>
    <w:uiPriority w:val="21"/>
    <w:qFormat/>
    <w:rsid w:val="00022675"/>
    <w:rPr>
      <w:i/>
      <w:iCs/>
      <w:color w:val="2F5496" w:themeColor="accent1" w:themeShade="BF"/>
    </w:rPr>
  </w:style>
  <w:style w:type="paragraph" w:styleId="IntenseQuote">
    <w:name w:val="Intense Quote"/>
    <w:basedOn w:val="Normal"/>
    <w:next w:val="Normal"/>
    <w:link w:val="IntenseQuoteChar"/>
    <w:uiPriority w:val="30"/>
    <w:qFormat/>
    <w:rsid w:val="0002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675"/>
    <w:rPr>
      <w:i/>
      <w:iCs/>
      <w:color w:val="2F5496" w:themeColor="accent1" w:themeShade="BF"/>
    </w:rPr>
  </w:style>
  <w:style w:type="character" w:styleId="IntenseReference">
    <w:name w:val="Intense Reference"/>
    <w:basedOn w:val="DefaultParagraphFont"/>
    <w:uiPriority w:val="32"/>
    <w:qFormat/>
    <w:rsid w:val="00022675"/>
    <w:rPr>
      <w:b/>
      <w:bCs/>
      <w:smallCaps/>
      <w:color w:val="2F5496" w:themeColor="accent1" w:themeShade="BF"/>
      <w:spacing w:val="5"/>
    </w:rPr>
  </w:style>
  <w:style w:type="table" w:styleId="TableGrid">
    <w:name w:val="Table Grid"/>
    <w:basedOn w:val="TableNormal"/>
    <w:uiPriority w:val="39"/>
    <w:rsid w:val="0002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6CF0"/>
    <w:rPr>
      <w:color w:val="0563C1" w:themeColor="hyperlink"/>
      <w:u w:val="single"/>
    </w:rPr>
  </w:style>
  <w:style w:type="character" w:styleId="UnresolvedMention">
    <w:name w:val="Unresolved Mention"/>
    <w:basedOn w:val="DefaultParagraphFont"/>
    <w:uiPriority w:val="99"/>
    <w:semiHidden/>
    <w:unhideWhenUsed/>
    <w:rsid w:val="00756CF0"/>
    <w:rPr>
      <w:color w:val="605E5C"/>
      <w:shd w:val="clear" w:color="auto" w:fill="E1DFDD"/>
    </w:rPr>
  </w:style>
  <w:style w:type="paragraph" w:styleId="Header">
    <w:name w:val="header"/>
    <w:basedOn w:val="Normal"/>
    <w:link w:val="HeaderChar"/>
    <w:uiPriority w:val="99"/>
    <w:unhideWhenUsed/>
    <w:rsid w:val="0059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988"/>
  </w:style>
  <w:style w:type="paragraph" w:styleId="Footer">
    <w:name w:val="footer"/>
    <w:basedOn w:val="Normal"/>
    <w:link w:val="FooterChar"/>
    <w:uiPriority w:val="99"/>
    <w:unhideWhenUsed/>
    <w:rsid w:val="0059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2598">
      <w:bodyDiv w:val="1"/>
      <w:marLeft w:val="0"/>
      <w:marRight w:val="0"/>
      <w:marTop w:val="0"/>
      <w:marBottom w:val="0"/>
      <w:divBdr>
        <w:top w:val="none" w:sz="0" w:space="0" w:color="auto"/>
        <w:left w:val="none" w:sz="0" w:space="0" w:color="auto"/>
        <w:bottom w:val="none" w:sz="0" w:space="0" w:color="auto"/>
        <w:right w:val="none" w:sz="0" w:space="0" w:color="auto"/>
      </w:divBdr>
    </w:div>
    <w:div w:id="166361470">
      <w:bodyDiv w:val="1"/>
      <w:marLeft w:val="0"/>
      <w:marRight w:val="0"/>
      <w:marTop w:val="0"/>
      <w:marBottom w:val="0"/>
      <w:divBdr>
        <w:top w:val="none" w:sz="0" w:space="0" w:color="auto"/>
        <w:left w:val="none" w:sz="0" w:space="0" w:color="auto"/>
        <w:bottom w:val="none" w:sz="0" w:space="0" w:color="auto"/>
        <w:right w:val="none" w:sz="0" w:space="0" w:color="auto"/>
      </w:divBdr>
    </w:div>
    <w:div w:id="189531110">
      <w:bodyDiv w:val="1"/>
      <w:marLeft w:val="0"/>
      <w:marRight w:val="0"/>
      <w:marTop w:val="0"/>
      <w:marBottom w:val="0"/>
      <w:divBdr>
        <w:top w:val="none" w:sz="0" w:space="0" w:color="auto"/>
        <w:left w:val="none" w:sz="0" w:space="0" w:color="auto"/>
        <w:bottom w:val="none" w:sz="0" w:space="0" w:color="auto"/>
        <w:right w:val="none" w:sz="0" w:space="0" w:color="auto"/>
      </w:divBdr>
    </w:div>
    <w:div w:id="337464317">
      <w:bodyDiv w:val="1"/>
      <w:marLeft w:val="0"/>
      <w:marRight w:val="0"/>
      <w:marTop w:val="0"/>
      <w:marBottom w:val="0"/>
      <w:divBdr>
        <w:top w:val="none" w:sz="0" w:space="0" w:color="auto"/>
        <w:left w:val="none" w:sz="0" w:space="0" w:color="auto"/>
        <w:bottom w:val="none" w:sz="0" w:space="0" w:color="auto"/>
        <w:right w:val="none" w:sz="0" w:space="0" w:color="auto"/>
      </w:divBdr>
    </w:div>
    <w:div w:id="444814345">
      <w:bodyDiv w:val="1"/>
      <w:marLeft w:val="0"/>
      <w:marRight w:val="0"/>
      <w:marTop w:val="0"/>
      <w:marBottom w:val="0"/>
      <w:divBdr>
        <w:top w:val="none" w:sz="0" w:space="0" w:color="auto"/>
        <w:left w:val="none" w:sz="0" w:space="0" w:color="auto"/>
        <w:bottom w:val="none" w:sz="0" w:space="0" w:color="auto"/>
        <w:right w:val="none" w:sz="0" w:space="0" w:color="auto"/>
      </w:divBdr>
    </w:div>
    <w:div w:id="630136009">
      <w:bodyDiv w:val="1"/>
      <w:marLeft w:val="0"/>
      <w:marRight w:val="0"/>
      <w:marTop w:val="0"/>
      <w:marBottom w:val="0"/>
      <w:divBdr>
        <w:top w:val="none" w:sz="0" w:space="0" w:color="auto"/>
        <w:left w:val="none" w:sz="0" w:space="0" w:color="auto"/>
        <w:bottom w:val="none" w:sz="0" w:space="0" w:color="auto"/>
        <w:right w:val="none" w:sz="0" w:space="0" w:color="auto"/>
      </w:divBdr>
    </w:div>
    <w:div w:id="704255870">
      <w:bodyDiv w:val="1"/>
      <w:marLeft w:val="0"/>
      <w:marRight w:val="0"/>
      <w:marTop w:val="0"/>
      <w:marBottom w:val="0"/>
      <w:divBdr>
        <w:top w:val="none" w:sz="0" w:space="0" w:color="auto"/>
        <w:left w:val="none" w:sz="0" w:space="0" w:color="auto"/>
        <w:bottom w:val="none" w:sz="0" w:space="0" w:color="auto"/>
        <w:right w:val="none" w:sz="0" w:space="0" w:color="auto"/>
      </w:divBdr>
    </w:div>
    <w:div w:id="1087966873">
      <w:bodyDiv w:val="1"/>
      <w:marLeft w:val="0"/>
      <w:marRight w:val="0"/>
      <w:marTop w:val="0"/>
      <w:marBottom w:val="0"/>
      <w:divBdr>
        <w:top w:val="none" w:sz="0" w:space="0" w:color="auto"/>
        <w:left w:val="none" w:sz="0" w:space="0" w:color="auto"/>
        <w:bottom w:val="none" w:sz="0" w:space="0" w:color="auto"/>
        <w:right w:val="none" w:sz="0" w:space="0" w:color="auto"/>
      </w:divBdr>
    </w:div>
    <w:div w:id="1128626903">
      <w:bodyDiv w:val="1"/>
      <w:marLeft w:val="0"/>
      <w:marRight w:val="0"/>
      <w:marTop w:val="0"/>
      <w:marBottom w:val="0"/>
      <w:divBdr>
        <w:top w:val="none" w:sz="0" w:space="0" w:color="auto"/>
        <w:left w:val="none" w:sz="0" w:space="0" w:color="auto"/>
        <w:bottom w:val="none" w:sz="0" w:space="0" w:color="auto"/>
        <w:right w:val="none" w:sz="0" w:space="0" w:color="auto"/>
      </w:divBdr>
    </w:div>
    <w:div w:id="1221093199">
      <w:bodyDiv w:val="1"/>
      <w:marLeft w:val="0"/>
      <w:marRight w:val="0"/>
      <w:marTop w:val="0"/>
      <w:marBottom w:val="0"/>
      <w:divBdr>
        <w:top w:val="none" w:sz="0" w:space="0" w:color="auto"/>
        <w:left w:val="none" w:sz="0" w:space="0" w:color="auto"/>
        <w:bottom w:val="none" w:sz="0" w:space="0" w:color="auto"/>
        <w:right w:val="none" w:sz="0" w:space="0" w:color="auto"/>
      </w:divBdr>
    </w:div>
    <w:div w:id="1400127258">
      <w:bodyDiv w:val="1"/>
      <w:marLeft w:val="0"/>
      <w:marRight w:val="0"/>
      <w:marTop w:val="0"/>
      <w:marBottom w:val="0"/>
      <w:divBdr>
        <w:top w:val="none" w:sz="0" w:space="0" w:color="auto"/>
        <w:left w:val="none" w:sz="0" w:space="0" w:color="auto"/>
        <w:bottom w:val="none" w:sz="0" w:space="0" w:color="auto"/>
        <w:right w:val="none" w:sz="0" w:space="0" w:color="auto"/>
      </w:divBdr>
    </w:div>
    <w:div w:id="1486584672">
      <w:bodyDiv w:val="1"/>
      <w:marLeft w:val="0"/>
      <w:marRight w:val="0"/>
      <w:marTop w:val="0"/>
      <w:marBottom w:val="0"/>
      <w:divBdr>
        <w:top w:val="none" w:sz="0" w:space="0" w:color="auto"/>
        <w:left w:val="none" w:sz="0" w:space="0" w:color="auto"/>
        <w:bottom w:val="none" w:sz="0" w:space="0" w:color="auto"/>
        <w:right w:val="none" w:sz="0" w:space="0" w:color="auto"/>
      </w:divBdr>
    </w:div>
    <w:div w:id="1568032918">
      <w:bodyDiv w:val="1"/>
      <w:marLeft w:val="0"/>
      <w:marRight w:val="0"/>
      <w:marTop w:val="0"/>
      <w:marBottom w:val="0"/>
      <w:divBdr>
        <w:top w:val="none" w:sz="0" w:space="0" w:color="auto"/>
        <w:left w:val="none" w:sz="0" w:space="0" w:color="auto"/>
        <w:bottom w:val="none" w:sz="0" w:space="0" w:color="auto"/>
        <w:right w:val="none" w:sz="0" w:space="0" w:color="auto"/>
      </w:divBdr>
    </w:div>
    <w:div w:id="1622690410">
      <w:bodyDiv w:val="1"/>
      <w:marLeft w:val="0"/>
      <w:marRight w:val="0"/>
      <w:marTop w:val="0"/>
      <w:marBottom w:val="0"/>
      <w:divBdr>
        <w:top w:val="none" w:sz="0" w:space="0" w:color="auto"/>
        <w:left w:val="none" w:sz="0" w:space="0" w:color="auto"/>
        <w:bottom w:val="none" w:sz="0" w:space="0" w:color="auto"/>
        <w:right w:val="none" w:sz="0" w:space="0" w:color="auto"/>
      </w:divBdr>
    </w:div>
    <w:div w:id="1797137024">
      <w:bodyDiv w:val="1"/>
      <w:marLeft w:val="0"/>
      <w:marRight w:val="0"/>
      <w:marTop w:val="0"/>
      <w:marBottom w:val="0"/>
      <w:divBdr>
        <w:top w:val="none" w:sz="0" w:space="0" w:color="auto"/>
        <w:left w:val="none" w:sz="0" w:space="0" w:color="auto"/>
        <w:bottom w:val="none" w:sz="0" w:space="0" w:color="auto"/>
        <w:right w:val="none" w:sz="0" w:space="0" w:color="auto"/>
      </w:divBdr>
    </w:div>
    <w:div w:id="21199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Sheet1!$J$3</c:f>
              <c:strCache>
                <c:ptCount val="1"/>
                <c:pt idx="0">
                  <c:v>MEAN</c:v>
                </c:pt>
              </c:strCache>
            </c:strRef>
          </c:tx>
          <c:spPr>
            <a:solidFill>
              <a:srgbClr val="FF0000"/>
            </a:solidFill>
            <a:ln w="9525" cap="flat" cmpd="sng" algn="ctr">
              <a:solidFill>
                <a:schemeClr val="accent1">
                  <a:shade val="95000"/>
                </a:schemeClr>
              </a:solidFill>
              <a:round/>
            </a:ln>
            <a:effectLst/>
          </c:spPr>
          <c:invertIfNegative val="0"/>
          <c:dPt>
            <c:idx val="2"/>
            <c:invertIfNegative val="0"/>
            <c:bubble3D val="0"/>
            <c:spPr>
              <a:solidFill>
                <a:srgbClr val="7030A0"/>
              </a:solidFill>
              <a:ln w="9525" cap="flat" cmpd="sng" algn="ctr">
                <a:solidFill>
                  <a:schemeClr val="accent1">
                    <a:shade val="95000"/>
                  </a:schemeClr>
                </a:solidFill>
                <a:round/>
              </a:ln>
              <a:effectLst/>
            </c:spPr>
            <c:extLst>
              <c:ext xmlns:c16="http://schemas.microsoft.com/office/drawing/2014/chart" uri="{C3380CC4-5D6E-409C-BE32-E72D297353CC}">
                <c16:uniqueId val="{00000001-5B67-4FDA-B334-A443FF8F7BB4}"/>
              </c:ext>
            </c:extLst>
          </c:dPt>
          <c:dPt>
            <c:idx val="3"/>
            <c:invertIfNegative val="0"/>
            <c:bubble3D val="0"/>
            <c:spPr>
              <a:solidFill>
                <a:srgbClr val="7030A0"/>
              </a:solidFill>
              <a:ln w="9525" cap="flat" cmpd="sng" algn="ctr">
                <a:solidFill>
                  <a:schemeClr val="accent1">
                    <a:shade val="95000"/>
                  </a:schemeClr>
                </a:solidFill>
                <a:round/>
              </a:ln>
              <a:effectLst/>
            </c:spPr>
            <c:extLst>
              <c:ext xmlns:c16="http://schemas.microsoft.com/office/drawing/2014/chart" uri="{C3380CC4-5D6E-409C-BE32-E72D297353CC}">
                <c16:uniqueId val="{00000003-5B67-4FDA-B334-A443FF8F7BB4}"/>
              </c:ext>
            </c:extLst>
          </c:dPt>
          <c:dPt>
            <c:idx val="4"/>
            <c:invertIfNegative val="0"/>
            <c:bubble3D val="0"/>
            <c:spPr>
              <a:solidFill>
                <a:srgbClr val="00B050"/>
              </a:solidFill>
              <a:ln w="9525" cap="flat" cmpd="sng" algn="ctr">
                <a:solidFill>
                  <a:schemeClr val="accent1">
                    <a:shade val="95000"/>
                  </a:schemeClr>
                </a:solidFill>
                <a:round/>
              </a:ln>
              <a:effectLst/>
            </c:spPr>
            <c:extLst>
              <c:ext xmlns:c16="http://schemas.microsoft.com/office/drawing/2014/chart" uri="{C3380CC4-5D6E-409C-BE32-E72D297353CC}">
                <c16:uniqueId val="{00000005-5B67-4FDA-B334-A443FF8F7BB4}"/>
              </c:ext>
            </c:extLst>
          </c:dPt>
          <c:dPt>
            <c:idx val="5"/>
            <c:invertIfNegative val="0"/>
            <c:bubble3D val="0"/>
            <c:spPr>
              <a:solidFill>
                <a:srgbClr val="00B050"/>
              </a:solidFill>
              <a:ln w="9525" cap="flat" cmpd="sng" algn="ctr">
                <a:solidFill>
                  <a:schemeClr val="accent1">
                    <a:shade val="95000"/>
                  </a:schemeClr>
                </a:solidFill>
                <a:round/>
              </a:ln>
              <a:effectLst/>
            </c:spPr>
            <c:extLst>
              <c:ext xmlns:c16="http://schemas.microsoft.com/office/drawing/2014/chart" uri="{C3380CC4-5D6E-409C-BE32-E72D297353CC}">
                <c16:uniqueId val="{00000007-5B67-4FDA-B334-A443FF8F7BB4}"/>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Sheet1!$I$4:$I$9</c:f>
              <c:strCache>
                <c:ptCount val="6"/>
                <c:pt idx="0">
                  <c:v>Shivam</c:v>
                </c:pt>
                <c:pt idx="1">
                  <c:v>COTH-1</c:v>
                </c:pt>
                <c:pt idx="2">
                  <c:v>VRM-1</c:v>
                </c:pt>
                <c:pt idx="3">
                  <c:v>Thar Rachit</c:v>
                </c:pt>
                <c:pt idx="4">
                  <c:v>Arka Swetha</c:v>
                </c:pt>
                <c:pt idx="5">
                  <c:v>Arka Meghna</c:v>
                </c:pt>
              </c:strCache>
            </c:strRef>
          </c:cat>
          <c:val>
            <c:numRef>
              <c:f>Sheet1!$J$4:$J$9</c:f>
              <c:numCache>
                <c:formatCode>0.00</c:formatCode>
                <c:ptCount val="6"/>
                <c:pt idx="0">
                  <c:v>0.81</c:v>
                </c:pt>
                <c:pt idx="1">
                  <c:v>0.77700000000000002</c:v>
                </c:pt>
                <c:pt idx="2">
                  <c:v>0.79</c:v>
                </c:pt>
                <c:pt idx="3">
                  <c:v>0.78300000000000003</c:v>
                </c:pt>
                <c:pt idx="4">
                  <c:v>0.71899999999999997</c:v>
                </c:pt>
                <c:pt idx="5">
                  <c:v>0.70399999999999996</c:v>
                </c:pt>
              </c:numCache>
            </c:numRef>
          </c:val>
          <c:extLst>
            <c:ext xmlns:c16="http://schemas.microsoft.com/office/drawing/2014/chart" uri="{C3380CC4-5D6E-409C-BE32-E72D297353CC}">
              <c16:uniqueId val="{00000008-5B67-4FDA-B334-A443FF8F7BB4}"/>
            </c:ext>
          </c:extLst>
        </c:ser>
        <c:dLbls>
          <c:dLblPos val="outEnd"/>
          <c:showLegendKey val="0"/>
          <c:showVal val="1"/>
          <c:showCatName val="0"/>
          <c:showSerName val="0"/>
          <c:showPercent val="0"/>
          <c:showBubbleSize val="0"/>
        </c:dLbls>
        <c:gapWidth val="100"/>
        <c:overlap val="-24"/>
        <c:axId val="1719498032"/>
        <c:axId val="1719498992"/>
      </c:barChart>
      <c:catAx>
        <c:axId val="171949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9498992"/>
        <c:crosses val="autoZero"/>
        <c:auto val="1"/>
        <c:lblAlgn val="ctr"/>
        <c:lblOffset val="100"/>
        <c:noMultiLvlLbl val="0"/>
      </c:catAx>
      <c:valAx>
        <c:axId val="1719498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9498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rgbClr val="00B050"/>
            </a:solidFill>
            <a:ln>
              <a:noFill/>
            </a:ln>
            <a:effectLst>
              <a:outerShdw blurRad="57150" dist="19050" dir="5400000" algn="ctr" rotWithShape="0">
                <a:srgbClr val="000000">
                  <a:alpha val="63000"/>
                </a:srgbClr>
              </a:outerShdw>
            </a:effectLst>
            <a:sp3d/>
          </c:spPr>
          <c:invertIfNegative val="0"/>
          <c:dPt>
            <c:idx val="0"/>
            <c:invertIfNegative val="0"/>
            <c:bubble3D val="0"/>
            <c:spPr>
              <a:solidFill>
                <a:srgbClr val="FFC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03E-4FBB-861A-17BB4E44D4AA}"/>
              </c:ext>
            </c:extLst>
          </c:dPt>
          <c:dPt>
            <c:idx val="1"/>
            <c:invertIfNegative val="0"/>
            <c:bubble3D val="0"/>
            <c:spPr>
              <a:solidFill>
                <a:srgbClr val="FFC00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2-F03E-4FBB-861A-17BB4E44D4AA}"/>
              </c:ext>
            </c:extLst>
          </c:dPt>
          <c:dPt>
            <c:idx val="2"/>
            <c:invertIfNegative val="0"/>
            <c:bubble3D val="0"/>
            <c:spPr>
              <a:solidFill>
                <a:srgbClr val="00B0F0"/>
              </a:solidFill>
              <a:ln>
                <a:solidFill>
                  <a:srgbClr val="7030A0"/>
                </a:solidFill>
              </a:ln>
              <a:effectLst>
                <a:outerShdw blurRad="57150" dist="19050" dir="5400000" algn="ctr" rotWithShape="0">
                  <a:srgbClr val="000000">
                    <a:alpha val="63000"/>
                  </a:srgbClr>
                </a:outerShdw>
              </a:effectLst>
              <a:sp3d>
                <a:contourClr>
                  <a:srgbClr val="7030A0"/>
                </a:contourClr>
              </a:sp3d>
            </c:spPr>
            <c:extLst>
              <c:ext xmlns:c16="http://schemas.microsoft.com/office/drawing/2014/chart" uri="{C3380CC4-5D6E-409C-BE32-E72D297353CC}">
                <c16:uniqueId val="{00000003-F03E-4FBB-861A-17BB4E44D4AA}"/>
              </c:ext>
            </c:extLst>
          </c:dPt>
          <c:dPt>
            <c:idx val="3"/>
            <c:invertIfNegative val="0"/>
            <c:bubble3D val="0"/>
            <c:spPr>
              <a:solidFill>
                <a:srgbClr val="00B0F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4-F03E-4FBB-861A-17BB4E44D4AA}"/>
              </c:ext>
            </c:extLst>
          </c:dPt>
          <c:dPt>
            <c:idx val="4"/>
            <c:invertIfNegative val="0"/>
            <c:bubble3D val="0"/>
            <c:spPr>
              <a:solidFill>
                <a:srgbClr val="92D05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F03E-4FBB-861A-17BB4E44D4AA}"/>
              </c:ext>
            </c:extLst>
          </c:dPt>
          <c:dPt>
            <c:idx val="5"/>
            <c:invertIfNegative val="0"/>
            <c:bubble3D val="0"/>
            <c:spPr>
              <a:solidFill>
                <a:srgbClr val="92D05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F03E-4FBB-861A-17BB4E44D4AA}"/>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Sheet1!$B$28:$B$33</c:f>
              <c:strCache>
                <c:ptCount val="6"/>
                <c:pt idx="0">
                  <c:v>Shivam</c:v>
                </c:pt>
                <c:pt idx="1">
                  <c:v>COTH-1</c:v>
                </c:pt>
                <c:pt idx="2">
                  <c:v>VRM-1</c:v>
                </c:pt>
                <c:pt idx="3">
                  <c:v>Thar Rachit</c:v>
                </c:pt>
                <c:pt idx="4">
                  <c:v>Arka Swetha</c:v>
                </c:pt>
                <c:pt idx="5">
                  <c:v>Arka Meghna</c:v>
                </c:pt>
              </c:strCache>
            </c:strRef>
          </c:cat>
          <c:val>
            <c:numRef>
              <c:f>Sheet1!$C$28:$C$33</c:f>
              <c:numCache>
                <c:formatCode>General</c:formatCode>
                <c:ptCount val="6"/>
                <c:pt idx="0">
                  <c:v>38.07</c:v>
                </c:pt>
                <c:pt idx="1">
                  <c:v>37.42</c:v>
                </c:pt>
                <c:pt idx="2">
                  <c:v>44.5</c:v>
                </c:pt>
                <c:pt idx="3">
                  <c:v>44.41</c:v>
                </c:pt>
                <c:pt idx="4">
                  <c:v>46.73</c:v>
                </c:pt>
                <c:pt idx="5">
                  <c:v>39.76</c:v>
                </c:pt>
              </c:numCache>
            </c:numRef>
          </c:val>
          <c:extLst>
            <c:ext xmlns:c16="http://schemas.microsoft.com/office/drawing/2014/chart" uri="{C3380CC4-5D6E-409C-BE32-E72D297353CC}">
              <c16:uniqueId val="{00000000-F03E-4FBB-861A-17BB4E44D4AA}"/>
            </c:ext>
          </c:extLst>
        </c:ser>
        <c:dLbls>
          <c:showLegendKey val="0"/>
          <c:showVal val="1"/>
          <c:showCatName val="0"/>
          <c:showSerName val="0"/>
          <c:showPercent val="0"/>
          <c:showBubbleSize val="0"/>
        </c:dLbls>
        <c:gapWidth val="150"/>
        <c:shape val="box"/>
        <c:axId val="1719467312"/>
        <c:axId val="1719464432"/>
        <c:axId val="0"/>
      </c:bar3DChart>
      <c:catAx>
        <c:axId val="17194673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9464432"/>
        <c:crosses val="autoZero"/>
        <c:auto val="1"/>
        <c:lblAlgn val="ctr"/>
        <c:lblOffset val="100"/>
        <c:noMultiLvlLbl val="0"/>
      </c:catAx>
      <c:valAx>
        <c:axId val="171946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9467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08B63-FE8E-44E8-ACFB-63D9B134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Prethikaa D 2068</dc:creator>
  <cp:keywords/>
  <dc:description/>
  <cp:lastModifiedBy>SDI 1084</cp:lastModifiedBy>
  <cp:revision>12</cp:revision>
  <dcterms:created xsi:type="dcterms:W3CDTF">2025-10-31T06:37:00Z</dcterms:created>
  <dcterms:modified xsi:type="dcterms:W3CDTF">2025-11-12T08:22:00Z</dcterms:modified>
</cp:coreProperties>
</file>