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A58F8" w14:textId="77777777" w:rsidR="00BD7DBF" w:rsidRDefault="00123116">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Designing Curricula for AI Literacy: A Narrative Review of Emerging Frameworks and Pedagogical Models</w:t>
      </w:r>
    </w:p>
    <w:p w14:paraId="5FE5C670" w14:textId="77777777" w:rsidR="00BD7DBF" w:rsidRDefault="00BD7DBF">
      <w:pPr>
        <w:spacing w:before="100" w:beforeAutospacing="1" w:after="100" w:afterAutospacing="1" w:line="240" w:lineRule="auto"/>
        <w:rPr>
          <w:rFonts w:ascii="Times New Roman" w:eastAsia="Times New Roman" w:hAnsi="Times New Roman" w:cs="Times New Roman"/>
          <w:b/>
          <w:bCs/>
          <w:sz w:val="24"/>
          <w:szCs w:val="24"/>
        </w:rPr>
      </w:pPr>
      <w:bookmarkStart w:id="0" w:name="_GoBack"/>
      <w:bookmarkEnd w:id="0"/>
    </w:p>
    <w:p w14:paraId="0CFA9F37" w14:textId="77777777" w:rsidR="00BD7DBF" w:rsidRDefault="00123116">
      <w:pPr>
        <w:pStyle w:val="Heading2"/>
      </w:pPr>
      <w:r>
        <w:rPr>
          <w:rStyle w:val="Strong"/>
          <w:b/>
          <w:bCs/>
        </w:rPr>
        <w:t>Abstract</w:t>
      </w:r>
    </w:p>
    <w:p w14:paraId="05BAC35F" w14:textId="77777777" w:rsidR="00BD7DBF" w:rsidRDefault="00123116">
      <w:pPr>
        <w:pStyle w:val="NormalWeb"/>
      </w:pPr>
      <w:r>
        <w:t xml:space="preserve">Artificial intelligence </w:t>
      </w:r>
      <w:r>
        <w:t>(AI) is rapidly reshaping the nature of work, communication, and civic life, positioning AI literacy as an essential competency for learners in the 21st century. Education systems are increasingly tasked with integrating AI concepts, yet uncertainty persis</w:t>
      </w:r>
      <w:r>
        <w:t>ts about what knowledge and skills should be prioritized, how they should be taught, and which frameworks best support scalable adoption. This narrative review synthesizes emerging literature on AI literacy curriculum design to provide clarity on the field</w:t>
      </w:r>
      <w:r>
        <w:t>’s evolving foundations. Relevant scholarship was identified through academic database searches and thematic analysis, including peer-reviewed studies, educational frameworks, and policy documents published between 2016 and 2025. The review identifies four</w:t>
      </w:r>
      <w:r>
        <w:t xml:space="preserve"> primary competency domains—technical knowledge, ethical and societal awareness, human–AI collaboration, and problem-solving and creativity—and highlights pedagogical approaches that promote active, critical, and experiential learning. However, significant</w:t>
      </w:r>
      <w:r>
        <w:t xml:space="preserve"> gaps remain, particularly regarding equitable access, teacher preparedness, and alignment of policy with rapidly advancing technology. The findings underscore the need for coordinated, research-informed frameworks that embed ethics, inclusion, and adaptab</w:t>
      </w:r>
      <w:r>
        <w:t>ility at every level of implementation. Future research and policy efforts should focus on establishing universal learning standards and sustainable support structures to ensure that AI literacy becomes a fundamental and accessible component of modern educ</w:t>
      </w:r>
      <w:r>
        <w:t>ation.</w:t>
      </w:r>
    </w:p>
    <w:p w14:paraId="68E5C470" w14:textId="77777777" w:rsidR="00BD7DBF" w:rsidRDefault="00123116">
      <w:pPr>
        <w:pStyle w:val="Heading2"/>
      </w:pPr>
      <w:r>
        <w:rPr>
          <w:rStyle w:val="Strong"/>
          <w:b/>
          <w:bCs/>
        </w:rPr>
        <w:t>Keywords</w:t>
      </w:r>
    </w:p>
    <w:p w14:paraId="51ADEDFA" w14:textId="77777777" w:rsidR="00BD7DBF" w:rsidRDefault="00123116">
      <w:pPr>
        <w:pStyle w:val="NormalWeb"/>
      </w:pPr>
      <w:r>
        <w:t>AI literacy, curriculum design, computational thinking, AI education, digital pedagogy, K-12 education, higher education</w:t>
      </w:r>
    </w:p>
    <w:p w14:paraId="188F823D" w14:textId="77777777" w:rsidR="00BD7DBF" w:rsidRDefault="0012311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 Introduction</w:t>
      </w:r>
    </w:p>
    <w:p w14:paraId="54841FA6"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 Global rise of artificial intelligence and implications for education</w:t>
      </w:r>
    </w:p>
    <w:p w14:paraId="6BBEF3B3"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(AI) </w:t>
      </w:r>
      <w:r>
        <w:rPr>
          <w:rFonts w:ascii="Times New Roman" w:eastAsia="Times New Roman" w:hAnsi="Times New Roman" w:cs="Times New Roman"/>
          <w:sz w:val="24"/>
          <w:szCs w:val="24"/>
        </w:rPr>
        <w:t>has rapidly transitioned from a specialized technological domain to a ubiquitous and transformative force influencing nearly every sector of society. AI systems increasingly mediate how individuals communicate, learn, work, and solve problems. These advanc</w:t>
      </w:r>
      <w:r>
        <w:rPr>
          <w:rFonts w:ascii="Times New Roman" w:eastAsia="Times New Roman" w:hAnsi="Times New Roman" w:cs="Times New Roman"/>
          <w:sz w:val="24"/>
          <w:szCs w:val="24"/>
        </w:rPr>
        <w:t>ements have created urgent demand for a population capable of not only using AI technologies but also understanding their underlying principles, ethical implications, and societal impact. Education systems worldwide are therefore under mounting pressure to</w:t>
      </w:r>
      <w:r>
        <w:rPr>
          <w:rFonts w:ascii="Times New Roman" w:eastAsia="Times New Roman" w:hAnsi="Times New Roman" w:cs="Times New Roman"/>
          <w:sz w:val="24"/>
          <w:szCs w:val="24"/>
        </w:rPr>
        <w:t xml:space="preserve"> integrate AI-related competencies into curricula to prepare learners for participation in AI-enhanced economies and democratic processes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{"citationID":"RwDQbHzx","properties":{"formattedCitation":"(Brandao, 2025)","plainCita</w:instrText>
      </w:r>
      <w:r>
        <w:rPr>
          <w:rFonts w:ascii="Times New Roman" w:eastAsia="Times New Roman" w:hAnsi="Times New Roman" w:cs="Times New Roman"/>
          <w:sz w:val="24"/>
          <w:szCs w:val="24"/>
        </w:rPr>
        <w:instrText>tion":"(Brandao, 2025)","noteIndex":0},"citationItems":[{"id":9517,"uris":["http://zotero.org/users/16652950/items/Q3NVEXQG"],"itemData":{"id":9517,"type":"article-journal","abstract":"In recent years, artificial intelligence (AI) has emerged as a transfor</w:instrText>
      </w:r>
      <w:r>
        <w:rPr>
          <w:rFonts w:ascii="Times New Roman" w:eastAsia="Times New Roman" w:hAnsi="Times New Roman" w:cs="Times New Roman"/>
          <w:sz w:val="24"/>
          <w:szCs w:val="24"/>
        </w:rPr>
        <w:instrText>mative force across various sectors of modern society, reshaping economic landscapes, social interactions, and ethical considerations. This paper explores the multifaceted impact of AI, analyzing its implications for employment, privacy, and decision-makin</w:instrText>
      </w:r>
      <w:r>
        <w:rPr>
          <w:rFonts w:ascii="Times New Roman" w:eastAsia="Times New Roman" w:hAnsi="Times New Roman" w:cs="Times New Roman"/>
          <w:sz w:val="24"/>
          <w:szCs w:val="24"/>
        </w:rPr>
        <w:instrText>g processes. By synthesizing recent research and case studies, we investigate the dual nature of AI as both a catalyst for innovation and a source of potential disruption. The findings highlight the necessity for proactive governance and ethical frameworks</w:instrText>
      </w:r>
      <w:r>
        <w:rPr>
          <w:rFonts w:ascii="Times New Roman" w:eastAsia="Times New Roman" w:hAnsi="Times New Roman" w:cs="Times New Roman"/>
          <w:sz w:val="24"/>
          <w:szCs w:val="24"/>
        </w:rPr>
        <w:instrText xml:space="preserve"> to mitigate risks associated with AI deployment while maximizing its benefits. Ultimately, this paper aims to provide a comprehensive understanding of how AI is redefining human experiences and societal norms, encouraging further discourse on the sustaina</w:instrText>
      </w:r>
      <w:r>
        <w:rPr>
          <w:rFonts w:ascii="Times New Roman" w:eastAsia="Times New Roman" w:hAnsi="Times New Roman" w:cs="Times New Roman"/>
          <w:sz w:val="24"/>
          <w:szCs w:val="24"/>
        </w:rPr>
        <w:instrText>ble integration of these technologies in everyday life.","container-title":"AI","DOI":"10.3390/ai6080190","ISSN":"2673-2688","issue":"8","language":"en","license":"http://creativecommons.org/licenses/by/3.0/","note":"publisher: Multidisciplinary Digital Pu</w:instrText>
      </w:r>
      <w:r>
        <w:rPr>
          <w:rFonts w:ascii="Times New Roman" w:eastAsia="Times New Roman" w:hAnsi="Times New Roman" w:cs="Times New Roman"/>
          <w:sz w:val="24"/>
          <w:szCs w:val="24"/>
        </w:rPr>
        <w:instrText>blishing Institute","page":"190","source":"www.mdpi.com","title":"The Impact of Artificial Intelligence on Modern Society","volume":"6","author":[{"family":"Brandao","given":"Pedro Ramos"}],"issued":{"date-parts":[["2025",8]]}}}],"schema":"https://github.c</w:instrText>
      </w:r>
      <w:r>
        <w:rPr>
          <w:rFonts w:ascii="Times New Roman" w:eastAsia="Times New Roman" w:hAnsi="Times New Roman" w:cs="Times New Roman"/>
          <w:sz w:val="24"/>
          <w:szCs w:val="24"/>
        </w:rPr>
        <w:instrText xml:space="preserve">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(Brandao,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7981669"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1.2 Definition and evolving scope of “AI literacy”</w:t>
      </w:r>
    </w:p>
    <w:p w14:paraId="40A081B4"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concept of </w:t>
      </w:r>
      <w:r>
        <w:rPr>
          <w:rFonts w:ascii="Times New Roman" w:eastAsia="Times New Roman" w:hAnsi="Times New Roman" w:cs="Times New Roman"/>
          <w:b/>
          <w:bCs/>
          <w:sz w:val="24"/>
          <w:szCs w:val="24"/>
        </w:rPr>
        <w:t>AI literacy</w:t>
      </w:r>
      <w:r>
        <w:rPr>
          <w:rFonts w:ascii="Times New Roman" w:eastAsia="Times New Roman" w:hAnsi="Times New Roman" w:cs="Times New Roman"/>
          <w:sz w:val="24"/>
          <w:szCs w:val="24"/>
        </w:rPr>
        <w:t xml:space="preserve"> has emerged as a critical response to these demands. However, its scope remains dynamic and c</w:t>
      </w:r>
      <w:r>
        <w:rPr>
          <w:rFonts w:ascii="Times New Roman" w:eastAsia="Times New Roman" w:hAnsi="Times New Roman" w:cs="Times New Roman"/>
          <w:sz w:val="24"/>
          <w:szCs w:val="24"/>
        </w:rPr>
        <w:t xml:space="preserve">ontested. Early notions emphasized technical knowledge, such as understanding machine learning and automation processes. More recent perspectives extend AI literacy to include data awareness, human-AI collaboration skills, and ethical reasoning related to </w:t>
      </w:r>
      <w:r>
        <w:rPr>
          <w:rFonts w:ascii="Times New Roman" w:eastAsia="Times New Roman" w:hAnsi="Times New Roman" w:cs="Times New Roman"/>
          <w:sz w:val="24"/>
          <w:szCs w:val="24"/>
        </w:rPr>
        <w:t>fairness, transparency, and accountability. AI literacy is thus increasingly framed as a multidimensional competency set that enables individuals to critically interact with and shape AI systems rather than function as passive users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w:instrText>
      </w:r>
      <w:r>
        <w:rPr>
          <w:rFonts w:ascii="Times New Roman" w:eastAsia="Times New Roman" w:hAnsi="Times New Roman" w:cs="Times New Roman"/>
          <w:sz w:val="24"/>
          <w:szCs w:val="24"/>
        </w:rPr>
        <w:instrText>ITATION {"citationID":"8yLqCdok","properties":{"formattedCitation":"(Polat, 2025)","plainCitation":"(Polat, 2025)","noteIndex":0},"citationItems":[{"id":9519,"uris":["http://zotero.org/users/16652950/items/JDCK7NLW"],"itemData":{"id":9519,"type":"article-j</w:instrText>
      </w:r>
      <w:r>
        <w:rPr>
          <w:rFonts w:ascii="Times New Roman" w:eastAsia="Times New Roman" w:hAnsi="Times New Roman" w:cs="Times New Roman"/>
          <w:sz w:val="24"/>
          <w:szCs w:val="24"/>
        </w:rPr>
        <w:instrText xml:space="preserve">ournal","abstract":"The study aims to identify the profiles of university students regarding Artificial Intelligence Literacy, Lifelong Learning, and Fear of Innovation using cluster analysis and to examine the relationships among these variables. Cluster </w:instrText>
      </w:r>
      <w:r>
        <w:rPr>
          <w:rFonts w:ascii="Times New Roman" w:eastAsia="Times New Roman" w:hAnsi="Times New Roman" w:cs="Times New Roman"/>
          <w:sz w:val="24"/>
          <w:szCs w:val="24"/>
        </w:rPr>
        <w:instrText>analysis and structural equation modeling were conducted with valid responses from 402 university students. The cluster analysis identified three distinct student profiles: the highly adaptive group (Profile 1), the needs improvement group (Profile 2), and</w:instrText>
      </w:r>
      <w:r>
        <w:rPr>
          <w:rFonts w:ascii="Times New Roman" w:eastAsia="Times New Roman" w:hAnsi="Times New Roman" w:cs="Times New Roman"/>
          <w:sz w:val="24"/>
          <w:szCs w:val="24"/>
        </w:rPr>
        <w:instrText xml:space="preserve"> the high support required group (Profile 3). Structural equation modeling revealed that artificial intelligence literacy positively affects the tendency for lifelong learning and negatively impacts the fear of innovation. Lifelong Learning Trends also neg</w:instrText>
      </w:r>
      <w:r>
        <w:rPr>
          <w:rFonts w:ascii="Times New Roman" w:eastAsia="Times New Roman" w:hAnsi="Times New Roman" w:cs="Times New Roman"/>
          <w:sz w:val="24"/>
          <w:szCs w:val="24"/>
        </w:rPr>
        <w:instrText>atively influences the fear of innovation. Furthermore, artificial intelligence literacy was found to indirectly reduce fear of innovation through lifelong learning tendencies. The findings from cluster analysis and structural equation modeling provide sig</w:instrText>
      </w:r>
      <w:r>
        <w:rPr>
          <w:rFonts w:ascii="Times New Roman" w:eastAsia="Times New Roman" w:hAnsi="Times New Roman" w:cs="Times New Roman"/>
          <w:sz w:val="24"/>
          <w:szCs w:val="24"/>
        </w:rPr>
        <w:instrText>nificant insights into understanding university students’ artificial intelligence literacy, lifelong learning tendencies, and fear of innovation. Developing customized education and support programs tailored to each profile’s characteristics and the relati</w:instrText>
      </w:r>
      <w:r>
        <w:rPr>
          <w:rFonts w:ascii="Times New Roman" w:eastAsia="Times New Roman" w:hAnsi="Times New Roman" w:cs="Times New Roman"/>
          <w:sz w:val="24"/>
          <w:szCs w:val="24"/>
        </w:rPr>
        <w:instrText>onships among the study variables can help students enhance their competencies in these areas.","container-title":"Education and Information Technologies","DOI":"10.1007/s10639-025-13548-y","ISSN":"1573-7608","issue":"14","journalAbbreviation":"Educ Inf Te</w:instrText>
      </w:r>
      <w:r>
        <w:rPr>
          <w:rFonts w:ascii="Times New Roman" w:eastAsia="Times New Roman" w:hAnsi="Times New Roman" w:cs="Times New Roman"/>
          <w:sz w:val="24"/>
          <w:szCs w:val="24"/>
        </w:rPr>
        <w:instrText>chnol","language":"en","page":"20183-20214","source":"Springer Link","title":"Artificial intelligence literacy, lifelong learning, and fear of innovation: Identification of profiles and relationships","title-short":"Artificial intelligence literacy, lifelo</w:instrText>
      </w:r>
      <w:r>
        <w:rPr>
          <w:rFonts w:ascii="Times New Roman" w:eastAsia="Times New Roman" w:hAnsi="Times New Roman" w:cs="Times New Roman"/>
          <w:sz w:val="24"/>
          <w:szCs w:val="24"/>
        </w:rPr>
        <w:instrText xml:space="preserve">ng learning, and fear of innovation","volume":"30","author":[{"family":"Polat","given":"Ebru"}],"issued":{"date-parts":[["2025",9,1]]}}}],"schema":"https://github.com/citation-style-language/schema/raw/master/csl-citation.json"}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(Polat,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89C9BC6"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1.3 The </w:t>
      </w:r>
      <w:r>
        <w:rPr>
          <w:rFonts w:ascii="Times New Roman" w:eastAsia="Times New Roman" w:hAnsi="Times New Roman" w:cs="Times New Roman"/>
          <w:b/>
          <w:bCs/>
          <w:sz w:val="27"/>
          <w:szCs w:val="27"/>
        </w:rPr>
        <w:t>need for structured and scalable curricular guidance</w:t>
      </w:r>
    </w:p>
    <w:p w14:paraId="5B10DC69"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recognition of AI’s educational significance, clear curriculum design standards remain limited. Existing initiatives often operate in isolation, vary widely in depth, and may disproportio</w:t>
      </w:r>
      <w:r>
        <w:rPr>
          <w:rFonts w:ascii="Times New Roman" w:eastAsia="Times New Roman" w:hAnsi="Times New Roman" w:cs="Times New Roman"/>
          <w:sz w:val="24"/>
          <w:szCs w:val="24"/>
        </w:rPr>
        <w:t>nately serve well-resourced institutions. Educators continue to report uncertainty about what AI-related knowledge and skills should be taught, at which developmental stages, and through what pedagogical approaches. Systemic challenges—including teacher pr</w:t>
      </w:r>
      <w:r>
        <w:rPr>
          <w:rFonts w:ascii="Times New Roman" w:eastAsia="Times New Roman" w:hAnsi="Times New Roman" w:cs="Times New Roman"/>
          <w:sz w:val="24"/>
          <w:szCs w:val="24"/>
        </w:rPr>
        <w:t>eparedness, resource disparities, and the fast-evolving nature of AI technologies—further underscore the need for coordinated frameworks that are both scalable and adaptable across diverse learning environments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w:instrText>
      </w:r>
      <w:r>
        <w:rPr>
          <w:rFonts w:ascii="Times New Roman" w:eastAsia="Times New Roman" w:hAnsi="Times New Roman" w:cs="Times New Roman"/>
          <w:sz w:val="24"/>
          <w:szCs w:val="24"/>
        </w:rPr>
        <w:instrText>"5FAsG5WD","properties":{"formattedCitation":"(Kim &amp; Wargo, 2025)","plainCitation":"(Kim &amp; Wargo, 2025)","noteIndex":0},"citationItems":[{"id":9521,"uris":["http://zotero.org/users/16652950/items/BUP8AABG"],"itemData":{"id":9521,"type":"article-journal","a</w:instrText>
      </w:r>
      <w:r>
        <w:rPr>
          <w:rFonts w:ascii="Times New Roman" w:eastAsia="Times New Roman" w:hAnsi="Times New Roman" w:cs="Times New Roman"/>
          <w:sz w:val="24"/>
          <w:szCs w:val="24"/>
        </w:rPr>
        <w:instrText>bstract":"This study explored the role of educational leaders in integrating artificial intelligence (AI) into rural K-12 STEM education. The research focused on the perceptions, strategies, and barriers that educational leaders face in navigating AI integ</w:instrText>
      </w:r>
      <w:r>
        <w:rPr>
          <w:rFonts w:ascii="Times New Roman" w:eastAsia="Times New Roman" w:hAnsi="Times New Roman" w:cs="Times New Roman"/>
          <w:sz w:val="24"/>
          <w:szCs w:val="24"/>
        </w:rPr>
        <w:instrText>ration, particularly in the unique context of rural schools. Drawing on survey and focus group data from rural school leaders, this study examined how rural educational administrators perceive AI’s potential and the challenges associated with its adoption.</w:instrText>
      </w:r>
      <w:r>
        <w:rPr>
          <w:rFonts w:ascii="Times New Roman" w:eastAsia="Times New Roman" w:hAnsi="Times New Roman" w:cs="Times New Roman"/>
          <w:sz w:val="24"/>
          <w:szCs w:val="24"/>
        </w:rPr>
        <w:instrText xml:space="preserve"> It provided insights into leadership strategies for addressing infrastructural limitations, fostering professional development, and ensuring equitable AI adoption. Ultimately, this research aimed to empower rural educational leaders to harness AI technolo</w:instrText>
      </w:r>
      <w:r>
        <w:rPr>
          <w:rFonts w:ascii="Times New Roman" w:eastAsia="Times New Roman" w:hAnsi="Times New Roman" w:cs="Times New Roman"/>
          <w:sz w:val="24"/>
          <w:szCs w:val="24"/>
        </w:rPr>
        <w:instrText>gies to enhance STEM education.","container-title":"Frontiers in Education","DOI":"10.3389/feduc.2025.1567698","ISSN":"2504-284X","journalAbbreviation":"Front. Educ.","language":"English","note":"publisher: Frontiers","source":"Frontiers","title":"Empoweri</w:instrText>
      </w:r>
      <w:r>
        <w:rPr>
          <w:rFonts w:ascii="Times New Roman" w:eastAsia="Times New Roman" w:hAnsi="Times New Roman" w:cs="Times New Roman"/>
          <w:sz w:val="24"/>
          <w:szCs w:val="24"/>
        </w:rPr>
        <w:instrText>ng educational leaders for AI integration in rural STEM education: Challenges and strategies","title-short":"Empowering educational leaders for AI integration in rural STEM education","URL":"https://www.frontiersin.org/journals/education/articles/10.3389/f</w:instrText>
      </w:r>
      <w:r>
        <w:rPr>
          <w:rFonts w:ascii="Times New Roman" w:eastAsia="Times New Roman" w:hAnsi="Times New Roman" w:cs="Times New Roman"/>
          <w:sz w:val="24"/>
          <w:szCs w:val="24"/>
        </w:rPr>
        <w:instrText>educ.2025.1567698/full","volume":"10","author":[{"family":"Kim","given":"Juhee"},{"family":"Wargo","given":"Elizabeth"}],"accessed":{"date-parts":[["2025",10,26]]},"issued":{"date-parts":[["2025",4,24]]}}}],"schema":"https://github.com/citation-style-langu</w:instrText>
      </w:r>
      <w:r>
        <w:rPr>
          <w:rFonts w:ascii="Times New Roman" w:eastAsia="Times New Roman" w:hAnsi="Times New Roman" w:cs="Times New Roman"/>
          <w:sz w:val="24"/>
          <w:szCs w:val="24"/>
        </w:rPr>
        <w:instrText xml:space="preserve">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(Kim &amp; Wargo,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0E48E0C"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1.4 Rationale for a narrative review approach</w:t>
      </w:r>
    </w:p>
    <w:p w14:paraId="4B2A3D66"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emerging, interdisciplinary, and rapidly shifting nature of the field, a </w:t>
      </w:r>
      <w:r>
        <w:rPr>
          <w:rFonts w:ascii="Times New Roman" w:eastAsia="Times New Roman" w:hAnsi="Times New Roman" w:cs="Times New Roman"/>
          <w:b/>
          <w:bCs/>
          <w:sz w:val="24"/>
          <w:szCs w:val="24"/>
        </w:rPr>
        <w:t>narrative review</w:t>
      </w:r>
      <w:r>
        <w:rPr>
          <w:rFonts w:ascii="Times New Roman" w:eastAsia="Times New Roman" w:hAnsi="Times New Roman" w:cs="Times New Roman"/>
          <w:sz w:val="24"/>
          <w:szCs w:val="24"/>
        </w:rPr>
        <w:t xml:space="preserve"> offers a suitable methodology to synthesize conceptual models and practical approaches published across educational research, computer science, and policy discourse. Unlike narrower systematic reviews, a narrative approach allows flexible interpretation o</w:t>
      </w:r>
      <w:r>
        <w:rPr>
          <w:rFonts w:ascii="Times New Roman" w:eastAsia="Times New Roman" w:hAnsi="Times New Roman" w:cs="Times New Roman"/>
          <w:sz w:val="24"/>
          <w:szCs w:val="24"/>
        </w:rPr>
        <w:t>f diverse evidence types and supports the development of an integrated perspective on the theoretical, pedagogical, and implementation dimensions of AI literacy.</w:t>
      </w:r>
    </w:p>
    <w:p w14:paraId="2E824022"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1.5 Research questions</w:t>
      </w:r>
    </w:p>
    <w:p w14:paraId="55E3162B"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is guided by the following questions:</w:t>
      </w:r>
    </w:p>
    <w:p w14:paraId="03D643D8" w14:textId="77777777" w:rsidR="00BD7DBF" w:rsidRDefault="00123116">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conceptual frame</w:t>
      </w:r>
      <w:r>
        <w:rPr>
          <w:rFonts w:ascii="Times New Roman" w:eastAsia="Times New Roman" w:hAnsi="Times New Roman" w:cs="Times New Roman"/>
          <w:b/>
          <w:bCs/>
          <w:sz w:val="24"/>
          <w:szCs w:val="24"/>
        </w:rPr>
        <w:t>works exist for AI literacy curriculum design?</w:t>
      </w:r>
    </w:p>
    <w:p w14:paraId="4DF56F3D" w14:textId="77777777" w:rsidR="00BD7DBF" w:rsidRDefault="00123116">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pedagogical models are emerging to support learner engagement and competencies?</w:t>
      </w:r>
    </w:p>
    <w:p w14:paraId="5BB952B9" w14:textId="77777777" w:rsidR="00BD7DBF" w:rsidRDefault="00123116">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gaps persist in current educational pathways?</w:t>
      </w:r>
    </w:p>
    <w:p w14:paraId="6FA75BB2"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questions aim to build a foundation for informed curricul</w:t>
      </w:r>
      <w:r>
        <w:rPr>
          <w:rFonts w:ascii="Times New Roman" w:eastAsia="Times New Roman" w:hAnsi="Times New Roman" w:cs="Times New Roman"/>
          <w:sz w:val="24"/>
          <w:szCs w:val="24"/>
        </w:rPr>
        <w:t>um reform that supports equitable, responsible, and future-ready AI literacy education.</w:t>
      </w:r>
    </w:p>
    <w:p w14:paraId="0275A95D" w14:textId="77777777" w:rsidR="00BD7DBF" w:rsidRDefault="0012311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Methodology</w:t>
      </w:r>
    </w:p>
    <w:p w14:paraId="76EF0543"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 Narrative review justification vs. systematic review</w:t>
      </w:r>
    </w:p>
    <w:p w14:paraId="4AA9C930"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review methodology was employed to capture the breadth and conceptual evolution of A</w:t>
      </w:r>
      <w:r>
        <w:rPr>
          <w:rFonts w:ascii="Times New Roman" w:eastAsia="Times New Roman" w:hAnsi="Times New Roman" w:cs="Times New Roman"/>
          <w:sz w:val="24"/>
          <w:szCs w:val="24"/>
        </w:rPr>
        <w:t xml:space="preserve">I literacy as it appears across multiple disciplinary domains, including education, computer </w:t>
      </w:r>
      <w:r>
        <w:rPr>
          <w:rFonts w:ascii="Times New Roman" w:eastAsia="Times New Roman" w:hAnsi="Times New Roman" w:cs="Times New Roman"/>
          <w:sz w:val="24"/>
          <w:szCs w:val="24"/>
        </w:rPr>
        <w:lastRenderedPageBreak/>
        <w:t>science, cognitive science, and digital ethics. While systematic reviews are valuable for clearly bounded topics with established constructs and measurable outcome</w:t>
      </w:r>
      <w:r>
        <w:rPr>
          <w:rFonts w:ascii="Times New Roman" w:eastAsia="Times New Roman" w:hAnsi="Times New Roman" w:cs="Times New Roman"/>
          <w:sz w:val="24"/>
          <w:szCs w:val="24"/>
        </w:rPr>
        <w:t xml:space="preserve">s, AI literacy is an emerging field with diverse and evolving interpretations. A narrative approach allows for a more flexible, context-sensitive synthesis of theoretical frameworks, policy perspectives, and pedagogical models, enabling the integration of </w:t>
      </w:r>
      <w:r>
        <w:rPr>
          <w:rFonts w:ascii="Times New Roman" w:eastAsia="Times New Roman" w:hAnsi="Times New Roman" w:cs="Times New Roman"/>
          <w:sz w:val="24"/>
          <w:szCs w:val="24"/>
        </w:rPr>
        <w:t>heterogeneous evidence types that may be excluded in stricter systematic protocols.</w:t>
      </w:r>
    </w:p>
    <w:p w14:paraId="6E980BEE"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 Search strategy and inclusion criteria</w:t>
      </w:r>
    </w:p>
    <w:p w14:paraId="5A0E8CF7"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literature was identified through an iterative search strategy combining database queries, citation chaining, and target</w:t>
      </w:r>
      <w:r>
        <w:rPr>
          <w:rFonts w:ascii="Times New Roman" w:eastAsia="Times New Roman" w:hAnsi="Times New Roman" w:cs="Times New Roman"/>
          <w:sz w:val="24"/>
          <w:szCs w:val="24"/>
        </w:rPr>
        <w:t>ed searches of policy and organizational reports. Inclusion criteria focused on publications that:</w:t>
      </w:r>
    </w:p>
    <w:p w14:paraId="7B42C1F5"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Explicitly addressed AI literacy, AI education, or curriculum design for AI competencies;</w:t>
      </w:r>
    </w:p>
    <w:p w14:paraId="4B17D93A"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a theoretical framework, pedagogical model, or empirical e</w:t>
      </w:r>
      <w:r>
        <w:rPr>
          <w:rFonts w:ascii="Times New Roman" w:eastAsia="Times New Roman" w:hAnsi="Times New Roman" w:cs="Times New Roman"/>
          <w:sz w:val="24"/>
          <w:szCs w:val="24"/>
        </w:rPr>
        <w:t>xamination related to curriculum development;</w:t>
      </w:r>
    </w:p>
    <w:p w14:paraId="6CF55E69"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published in peer-reviewed journals, reputable conference proceedings, or recognized educational and policy sources;</w:t>
      </w:r>
    </w:p>
    <w:p w14:paraId="1C33C1E8" w14:textId="77777777" w:rsidR="00BD7DBF" w:rsidRDefault="00123116">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available in English.</w:t>
      </w:r>
    </w:p>
    <w:p w14:paraId="08A29A28"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Exclusion criteria included studies focused solely on narrow </w:t>
      </w:r>
      <w:r>
        <w:rPr>
          <w:rFonts w:ascii="Times New Roman" w:eastAsia="Times New Roman" w:hAnsi="Times New Roman" w:cs="Times New Roman"/>
          <w:sz w:val="24"/>
          <w:szCs w:val="24"/>
        </w:rPr>
        <w:t>technical AI instruction without a literacy or pedagogical dimension, and non-scholarly sources lacking evidence-based contributions.</w:t>
      </w:r>
    </w:p>
    <w:p w14:paraId="61009ED6"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 Databases and timeframe of selected studies</w:t>
      </w:r>
    </w:p>
    <w:p w14:paraId="6FDA5B52"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Searches were conducted across major scholarly databases including </w:t>
      </w:r>
      <w:r>
        <w:rPr>
          <w:rFonts w:ascii="Times New Roman" w:eastAsia="Times New Roman" w:hAnsi="Times New Roman" w:cs="Times New Roman"/>
          <w:b/>
          <w:bCs/>
          <w:sz w:val="24"/>
          <w:szCs w:val="24"/>
        </w:rPr>
        <w:t>Scopus,</w:t>
      </w:r>
      <w:r>
        <w:rPr>
          <w:rFonts w:ascii="Times New Roman" w:eastAsia="Times New Roman" w:hAnsi="Times New Roman" w:cs="Times New Roman"/>
          <w:b/>
          <w:bCs/>
          <w:sz w:val="24"/>
          <w:szCs w:val="24"/>
        </w:rPr>
        <w:t xml:space="preserve"> Web of Science, ERIC, IEEE Xplore, and Google Scholar</w:t>
      </w:r>
      <w:r>
        <w:rPr>
          <w:rFonts w:ascii="Times New Roman" w:eastAsia="Times New Roman" w:hAnsi="Times New Roman" w:cs="Times New Roman"/>
          <w:sz w:val="24"/>
          <w:szCs w:val="24"/>
        </w:rPr>
        <w:t xml:space="preserve">. Given the contemporary nature of AI literacy scholarship, the review emphasized work published between </w:t>
      </w:r>
      <w:r>
        <w:rPr>
          <w:rFonts w:ascii="Times New Roman" w:eastAsia="Times New Roman" w:hAnsi="Times New Roman" w:cs="Times New Roman"/>
          <w:b/>
          <w:bCs/>
          <w:sz w:val="24"/>
          <w:szCs w:val="24"/>
        </w:rPr>
        <w:t>2016 and 2025</w:t>
      </w:r>
      <w:r>
        <w:rPr>
          <w:rFonts w:ascii="Times New Roman" w:eastAsia="Times New Roman" w:hAnsi="Times New Roman" w:cs="Times New Roman"/>
          <w:sz w:val="24"/>
          <w:szCs w:val="24"/>
        </w:rPr>
        <w:t xml:space="preserve">, aligning with the acceleration of global AI education initiatives. Foundational </w:t>
      </w:r>
      <w:r>
        <w:rPr>
          <w:rFonts w:ascii="Times New Roman" w:eastAsia="Times New Roman" w:hAnsi="Times New Roman" w:cs="Times New Roman"/>
          <w:sz w:val="24"/>
          <w:szCs w:val="24"/>
        </w:rPr>
        <w:t>earlier works were also included selectively when influential to conceptual development.</w:t>
      </w:r>
    </w:p>
    <w:p w14:paraId="26EE41FE"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 Analytical and thematic synthesis approach</w:t>
      </w:r>
    </w:p>
    <w:p w14:paraId="1D6661A7"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thematic synthesis approach guided data extraction and analysis. Selected literature was coded according to recurring </w:t>
      </w:r>
      <w:r>
        <w:rPr>
          <w:rFonts w:ascii="Times New Roman" w:eastAsia="Times New Roman" w:hAnsi="Times New Roman" w:cs="Times New Roman"/>
          <w:sz w:val="24"/>
          <w:szCs w:val="24"/>
        </w:rPr>
        <w:t>themes such as competency frameworks, ethics integration, learner engagement strategies, assessment models, and barriers to curriculum adoption. These codes were iteratively refined to construct higher-level categories representing:</w:t>
      </w:r>
    </w:p>
    <w:p w14:paraId="7BBCF5DE"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Conceptual foundations </w:t>
      </w:r>
      <w:r>
        <w:rPr>
          <w:rFonts w:ascii="Times New Roman" w:eastAsia="Times New Roman" w:hAnsi="Times New Roman" w:cs="Times New Roman"/>
          <w:sz w:val="24"/>
          <w:szCs w:val="24"/>
        </w:rPr>
        <w:t>of AI literacy</w:t>
      </w:r>
    </w:p>
    <w:p w14:paraId="1B313A50"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design frameworks</w:t>
      </w:r>
    </w:p>
    <w:p w14:paraId="4A96E1DC"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Pedagogical and assessment models</w:t>
      </w:r>
    </w:p>
    <w:p w14:paraId="196383C0" w14:textId="77777777" w:rsidR="00BD7DBF" w:rsidRDefault="00123116">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challenges and equity considerations</w:t>
      </w:r>
    </w:p>
    <w:p w14:paraId="19C21386"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analytical process supported the development of a synthesized map of emerging trends and gaps across educational contexts</w:t>
      </w:r>
      <w:r>
        <w:rPr>
          <w:rFonts w:ascii="Times New Roman" w:eastAsia="Times New Roman" w:hAnsi="Times New Roman" w:cs="Times New Roman"/>
          <w:sz w:val="24"/>
          <w:szCs w:val="24"/>
        </w:rPr>
        <w:t>.</w:t>
      </w:r>
    </w:p>
    <w:p w14:paraId="4573CD0D" w14:textId="77777777" w:rsidR="00BD7DBF" w:rsidRDefault="00BD7DBF">
      <w:pPr>
        <w:spacing w:before="100" w:beforeAutospacing="1" w:after="100" w:afterAutospacing="1" w:line="240" w:lineRule="auto"/>
        <w:outlineLvl w:val="2"/>
        <w:rPr>
          <w:rFonts w:ascii="Times New Roman" w:eastAsia="Times New Roman" w:hAnsi="Times New Roman" w:cs="Times New Roman"/>
          <w:b/>
          <w:bCs/>
          <w:sz w:val="27"/>
          <w:szCs w:val="27"/>
        </w:rPr>
      </w:pPr>
    </w:p>
    <w:p w14:paraId="068E4F9B"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2.5 Limitations of review design</w:t>
      </w:r>
    </w:p>
    <w:p w14:paraId="1C90A5A8"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narrative review, this study does not claim exhaustive coverage of all available literature and may reflect a degree of selection bias despite a systematic search strategy. The rapid growth of AI education scholarsh</w:t>
      </w:r>
      <w:r>
        <w:rPr>
          <w:rFonts w:ascii="Times New Roman" w:eastAsia="Times New Roman" w:hAnsi="Times New Roman" w:cs="Times New Roman"/>
          <w:sz w:val="24"/>
          <w:szCs w:val="24"/>
        </w:rPr>
        <w:t>ip means that new frameworks and pedagogical innovations may continue to emerge beyond the review timeframe. Additionally, the focus on English-language sources may limit representation of non-Western perspectives that could contribute meaningfully to glob</w:t>
      </w:r>
      <w:r>
        <w:rPr>
          <w:rFonts w:ascii="Times New Roman" w:eastAsia="Times New Roman" w:hAnsi="Times New Roman" w:cs="Times New Roman"/>
          <w:sz w:val="24"/>
          <w:szCs w:val="24"/>
        </w:rPr>
        <w:t>al curriculum design.</w:t>
      </w:r>
    </w:p>
    <w:p w14:paraId="742FE848" w14:textId="77777777" w:rsidR="00BD7DBF" w:rsidRDefault="00123116">
      <w:pPr>
        <w:pStyle w:val="Heading2"/>
        <w:rPr>
          <w:sz w:val="24"/>
          <w:szCs w:val="24"/>
        </w:rPr>
      </w:pPr>
      <w:r>
        <w:rPr>
          <w:rStyle w:val="Strong"/>
          <w:b/>
          <w:bCs/>
          <w:sz w:val="24"/>
          <w:szCs w:val="24"/>
        </w:rPr>
        <w:t>3. Conceptual Foundations of AI Literacy</w:t>
      </w:r>
    </w:p>
    <w:p w14:paraId="6CEF1295" w14:textId="77777777" w:rsidR="00BD7DBF" w:rsidRDefault="00123116">
      <w:pPr>
        <w:pStyle w:val="Heading3"/>
      </w:pPr>
      <w:r>
        <w:rPr>
          <w:rStyle w:val="Strong"/>
          <w:b/>
          <w:bCs/>
        </w:rPr>
        <w:t>3.1 Definitions of AI literacy across contexts</w:t>
      </w:r>
    </w:p>
    <w:p w14:paraId="2AA8C4DB" w14:textId="77777777" w:rsidR="00BD7DBF" w:rsidRDefault="00123116">
      <w:pPr>
        <w:pStyle w:val="NormalWeb"/>
      </w:pPr>
      <w:r>
        <w:t>AI literacy is broadly understood as the knowledge, skills, and dispositions enabling individuals to interact effectively, critically, and respons</w:t>
      </w:r>
      <w:r>
        <w:t>ibly with artificial intelligence systems. However, its definition varies depending on disciplinary and educational contexts. In computer science education, AI literacy often emphasizes foundational technical concepts such as algorithms, data, and learning</w:t>
      </w:r>
      <w:r>
        <w:t xml:space="preserve"> processes. In social science and policy contexts, it expands to include awareness of AI’s implications for society, labor, and governance. Within K–12 settings, definitions prioritize age-appropriate conceptual understanding and engagement rather than tec</w:t>
      </w:r>
      <w:r>
        <w:t>hnical mastery. Collectively, these perspectives highlight AI literacy as a multidimensional construct that must be adaptable to learners’ developmental needs and sociocultural realities</w:t>
      </w:r>
      <w:r>
        <w:fldChar w:fldCharType="begin"/>
      </w:r>
      <w:r>
        <w:instrText xml:space="preserve"> ADDIN ZOTERO_ITEM CSL_CITATION {"citationID":"6gR6h0bP","properties":</w:instrText>
      </w:r>
      <w:r>
        <w:instrText>{"formattedCitation":"(Salhab &amp; Aboushi, 2025)","plainCitation":"(Salhab &amp; Aboushi, 2025)","noteIndex":0},"citationItems":[{"id":9523,"uris":["http://zotero.org/users/16652950/items/9BPECDHS"],"itemData":{"id":9523,"type":"article-journal","abstract":"Intr</w:instrText>
      </w:r>
      <w:r>
        <w:instrText>oductionFostering Artificial Intelligence (AI) literacy and equipping college students with 21st-century skills in the generative AI era have become a global educational priority. In this context, generative AI offers opportunities for development in highe</w:instrText>
      </w:r>
      <w:r>
        <w:instrText>r education institutions. Thus, this study investigates the influence of AI literacy and 21st-century skills on generative AI acceptance.MethodsFor data collection, the study employed a quantitative design with three scales, and the study sample included 2</w:instrText>
      </w:r>
      <w:r>
        <w:instrText xml:space="preserve">60 college students selected randomly.ResultsResults revealed that AI literacy and 21st-century skills are present at a moderate level among college students. AI literacy and 21st-century skills influence the generative AI Acceptance level.DiscussionBased </w:instrText>
      </w:r>
      <w:r>
        <w:instrText>on the results, the study recommends enriching the curriculum with AI literacy and equipping students with 21st-century skills while using generative AI applications.","container-title":"Frontiers in Education","DOI":"10.3389/feduc.2025.1640212","ISSN":"25</w:instrText>
      </w:r>
      <w:r>
        <w:instrText>04-284X","journalAbbreviation":"Front. Educ.","language":"English","note":"publisher: Frontiers","source":"Frontiers","title":"Influence of AI literacy and 21st-century skills on the acceptance of generative artificial intelligence among college students",</w:instrText>
      </w:r>
      <w:r>
        <w:instrText>"URL":"https://www.frontiersin.org/journals/education/articles/10.3389/feduc.2025.1640212/full","volume":"10","author":[{"family":"Salhab","given":"Reham"},{"family":"Aboushi","given":"Mosab M."}],"accessed":{"date-parts":[["2025",10,26]]},"issued":{"date-</w:instrText>
      </w:r>
      <w:r>
        <w:instrText xml:space="preserve">parts":[["2025",9,4]]}}}],"schema":"https://github.com/citation-style-language/schema/raw/master/csl-citation.json"} </w:instrText>
      </w:r>
      <w:r>
        <w:fldChar w:fldCharType="separate"/>
      </w:r>
      <w:r>
        <w:t>(Salhab &amp; Aboushi, 2025)</w:t>
      </w:r>
      <w:r>
        <w:fldChar w:fldCharType="end"/>
      </w:r>
      <w:r>
        <w:t>.</w:t>
      </w:r>
    </w:p>
    <w:p w14:paraId="2794E099" w14:textId="77777777" w:rsidR="00BD7DBF" w:rsidRDefault="00123116">
      <w:pPr>
        <w:pStyle w:val="Heading3"/>
      </w:pPr>
      <w:r>
        <w:rPr>
          <w:rStyle w:val="Strong"/>
          <w:b/>
          <w:bCs/>
        </w:rPr>
        <w:t>3.2 Competency domains commonly cited</w:t>
      </w:r>
    </w:p>
    <w:p w14:paraId="15791BA9" w14:textId="77777777" w:rsidR="00BD7DBF" w:rsidRDefault="00123116">
      <w:pPr>
        <w:pStyle w:val="NormalWeb"/>
      </w:pPr>
      <w:r>
        <w:t>Despite contextual variations, several competency domains consistently e</w:t>
      </w:r>
      <w:r>
        <w:t>merge in the literature as core to AI literacy education:</w:t>
      </w:r>
    </w:p>
    <w:p w14:paraId="6226E035" w14:textId="77777777" w:rsidR="00BD7DBF" w:rsidRDefault="00123116">
      <w:pPr>
        <w:pStyle w:val="NormalWeb"/>
      </w:pPr>
      <w:r>
        <w:rPr>
          <w:rStyle w:val="Strong"/>
        </w:rPr>
        <w:t>Technical knowledge</w:t>
      </w:r>
    </w:p>
    <w:p w14:paraId="08744BD7" w14:textId="77777777" w:rsidR="00BD7DBF" w:rsidRDefault="00123116">
      <w:pPr>
        <w:pStyle w:val="NormalWeb"/>
      </w:pPr>
      <w:r>
        <w:t>Learners should understand fundamental AI principles including machine learning, data representation, automation, and computational logic. Rather than training future specialists</w:t>
      </w:r>
      <w:r>
        <w:t xml:space="preserve"> exclusively, this domain focuses on conceptual understanding that supports informed participation in AI-mediated environments</w:t>
      </w:r>
      <w:r>
        <w:fldChar w:fldCharType="begin"/>
      </w:r>
      <w:r>
        <w:instrText xml:space="preserve"> ADDIN ZOTERO_ITEM CSL_CITATION {"citationID":"l93SUgGk","properties":{"formattedCitation":"(Lee &amp; Lee, 2025)","plainCitation":"(L</w:instrText>
      </w:r>
      <w:r>
        <w:instrText>ee &amp; Lee, 2025)","noteIndex":0},"citationItems":[{"id":9525,"uris":["http://zotero.org/users/16652950/items/X55JKEA2"],"itemData":{"id":9525,"type":"article-journal","abstract":"The rapid advancement of artificial intelligence has fundamentally transformed</w:instrText>
      </w:r>
      <w:r>
        <w:instrText xml:space="preserve"> how knowledge is created, disseminated, and applied in problem-solving, presenting new challenges for educational models. This study introduces Intelligent Problem-Solving Learning (IPSL)—a capability-based instructional design framework aimed at cultivat</w:instrText>
      </w:r>
      <w:r>
        <w:instrText xml:space="preserve">ing learners’ adaptability, creativity, and meta-learning in AI-enhanced environments. Grounded in connectivism, extended mind theory, and the concept of augmented intelligence, IPSL places human–AI collaboration at the core of instructional design. Using </w:instrText>
      </w:r>
      <w:r>
        <w:instrText>a design and development research (DDR) methodology, the study constructs a conceptual model comprising three main categories and eight subcategories, supported by eighteen instructional design principles. The model’s clarity, theoretical coherence, and ed</w:instrText>
      </w:r>
      <w:r>
        <w:instrText>ucational relevance were validated through two rounds of expert review using the Content Validity Index (CVI) and Inter-Rater Agreement (IRA). IPSL emphasizes differentiated task roles—those exclusive to humans, suitable for human–AI collaboration, or full</w:instrText>
      </w:r>
      <w:r>
        <w:instrText>y delegable to AI—alongside meta-learning strategies that empower learners to navigate complex and unpredictable problems. This framework offers both theoretical and practical guidance for building future-oriented education systems, positioning AI as a lea</w:instrText>
      </w:r>
      <w:r>
        <w:instrText>rning partner while upholding essential human qualities such as ethical judgment, creativity, and agency. It equips educators with actionable principles to harmonize technological integration with human-centered learning in an age of rapid transformation."</w:instrText>
      </w:r>
      <w:r>
        <w:instrText>,"container-title":"Sustainability","DOI":"10.3390/su17177682","ISSN":"2071-1050","issue":"17","language":"en","license":"http://creativecommons.org/licenses/by/3.0/","note":"publisher: Multidisciplinary Digital Publishing Institute","page":"7682","source"</w:instrText>
      </w:r>
      <w:r>
        <w:instrText>:"www.mdpi.com","title":"Exploring the Conceptual Model and Instructional Design Principles of Intelligent Problem-Solving Learning","volume":"17","author":[{"family":"Lee","given":"Yuna"},{"family":"Lee","given":"Sang-Soo"}],"issued":{"date-parts":[["2025</w:instrText>
      </w:r>
      <w:r>
        <w:instrText xml:space="preserve">",1]]}}}],"schema":"https://github.com/citation-style-language/schema/raw/master/csl-citation.json"} </w:instrText>
      </w:r>
      <w:r>
        <w:fldChar w:fldCharType="separate"/>
      </w:r>
      <w:r>
        <w:t>(Lee &amp; Lee, 2025)</w:t>
      </w:r>
      <w:r>
        <w:fldChar w:fldCharType="end"/>
      </w:r>
      <w:r>
        <w:t>.</w:t>
      </w:r>
    </w:p>
    <w:p w14:paraId="708E30DF" w14:textId="77777777" w:rsidR="00BD7DBF" w:rsidRDefault="00123116">
      <w:pPr>
        <w:pStyle w:val="NormalWeb"/>
      </w:pPr>
      <w:r>
        <w:rPr>
          <w:rStyle w:val="Strong"/>
        </w:rPr>
        <w:t>Ethical and societal awareness</w:t>
      </w:r>
    </w:p>
    <w:p w14:paraId="19F5DCF1" w14:textId="77777777" w:rsidR="00BD7DBF" w:rsidRDefault="00123116">
      <w:pPr>
        <w:pStyle w:val="NormalWeb"/>
      </w:pPr>
      <w:r>
        <w:t>AI literacy requires the ability to evaluate issues of fairness, privacy, accountability, sustainabili</w:t>
      </w:r>
      <w:r>
        <w:t>ty, and the broader societal impacts of automated decision-making. Cultivating ethical reasoning ensures that learners are equipped to engage in democratic discourse and contribute to responsible AI development and use</w:t>
      </w:r>
      <w:r>
        <w:fldChar w:fldCharType="begin"/>
      </w:r>
      <w:r>
        <w:instrText xml:space="preserve"> ADDIN ZOTERO_ITEM CSL_CITATION {"cita</w:instrText>
      </w:r>
      <w:r>
        <w:instrText>tionID":"7CYgAyOT","properties":{"formattedCitation":"(Schiff, 2022)","plainCitation":"(Schiff, 2022)","noteIndex":0},"citationItems":[{"id":9532,"uris":["http://zotero.org/users/16652950/items/XEETKYKE"],"itemData":{"id":9532,"type":"article-journal","abs</w:instrText>
      </w:r>
      <w:r>
        <w:instrText xml:space="preserve">tract":"As of 2021, more than 30 countries have released national artificial intelligence (AI) policy strategies. These documents articulate plans and expectations regarding how AI will impact policy sectors, including education, and typically discuss the </w:instrText>
      </w:r>
      <w:r>
        <w:instrText>social and ethical implications of AI. This article engages in thematic analysis of 24 such national AI policy strategies, reviewing the role of education in global AI policy discourse. It finds that the use of AI in education (AIED) is largely absent from</w:instrText>
      </w:r>
      <w:r>
        <w:instrText xml:space="preserve"> policy conversations, while the instrumental value of education in supporting an AI-ready workforce and training more AI experts is overwhelmingly prioritized. Further, the ethical implications of AIED receive scant attention despite the prominence of AI </w:instrText>
      </w:r>
      <w:r>
        <w:instrText xml:space="preserve">ethics discussion generally in these documents. This suggests that AIED and its broader policy and ethical implications—good or bad—have failed to reach mainstream awareness and the agendas of key decision-makers, a concern given that effective policy and </w:instrText>
      </w:r>
      <w:r>
        <w:instrText>careful consideration of ethics are inextricably linked, as this article argues. In light of these findings, the article applies a framework of five AI ethics principles to consider ways in which policymakers can better incorporate AIED’s implications. Fin</w:instrText>
      </w:r>
      <w:r>
        <w:instrText>ally, the article offers recommendations for AIED scholars on strategies for engagement with the policymaking process, and for performing ethics and policy-oriented AIED research to that end, in order to shape policy deliberations on behalf of the public g</w:instrText>
      </w:r>
      <w:r>
        <w:instrText>ood.","container-title":"International Journal of Artificial Intelligence in Education","DOI":"10.1007/s40593-021-00270-2","ISSN":"1560-4306","issue":"3","journalAbbreviation":"Int J Artif Intell Educ","language":"en","page":"527-563","source":"Springer Li</w:instrText>
      </w:r>
      <w:r>
        <w:instrText>nk","title":"Education for AI, not AI for Education: The Role of Education and Ethics in National AI Policy Strategies","title-short":"Education for AI, not AI for Education","volume":"32","author":[{"family":"Schiff","given":"Daniel"}],"issued":{"date-par</w:instrText>
      </w:r>
      <w:r>
        <w:instrText xml:space="preserve">ts":[["2022",9,1]]}}}],"schema":"https://github.com/citation-style-language/schema/raw/master/csl-citation.json"} </w:instrText>
      </w:r>
      <w:r>
        <w:fldChar w:fldCharType="separate"/>
      </w:r>
      <w:r>
        <w:t>(Schiff, 2022)</w:t>
      </w:r>
      <w:r>
        <w:fldChar w:fldCharType="end"/>
      </w:r>
      <w:r>
        <w:t>.</w:t>
      </w:r>
    </w:p>
    <w:p w14:paraId="0829BBD5" w14:textId="77777777" w:rsidR="00BD7DBF" w:rsidRDefault="00BD7DBF">
      <w:pPr>
        <w:pStyle w:val="NormalWeb"/>
        <w:rPr>
          <w:rStyle w:val="Strong"/>
        </w:rPr>
      </w:pPr>
    </w:p>
    <w:p w14:paraId="44178949" w14:textId="77777777" w:rsidR="00BD7DBF" w:rsidRDefault="00BD7DBF">
      <w:pPr>
        <w:pStyle w:val="NormalWeb"/>
        <w:rPr>
          <w:rStyle w:val="Strong"/>
        </w:rPr>
      </w:pPr>
    </w:p>
    <w:p w14:paraId="55FA841E" w14:textId="77777777" w:rsidR="00BD7DBF" w:rsidRDefault="00123116">
      <w:pPr>
        <w:pStyle w:val="NormalWeb"/>
      </w:pPr>
      <w:r>
        <w:rPr>
          <w:rStyle w:val="Strong"/>
        </w:rPr>
        <w:t>Human–AI collaboration</w:t>
      </w:r>
    </w:p>
    <w:p w14:paraId="06AB617F" w14:textId="77777777" w:rsidR="00BD7DBF" w:rsidRDefault="00123116">
      <w:pPr>
        <w:pStyle w:val="NormalWeb"/>
      </w:pPr>
      <w:r>
        <w:t>As AI-powered systems increasingly augment human cognition and labor, students must learn how to c</w:t>
      </w:r>
      <w:r>
        <w:t>ollaborate with intelligent tools, understand system limitations, and apply critical oversight to automated outputs. This competency promotes agency and resilience in hybrid human–machine workspaces</w:t>
      </w:r>
      <w:r>
        <w:fldChar w:fldCharType="begin"/>
      </w:r>
      <w:r>
        <w:instrText xml:space="preserve"> ADDIN ZOTERO_ITEM CSL_CITATION {"citationID":"5LhLqyiC","</w:instrText>
      </w:r>
      <w:r>
        <w:instrText>properties":{"formattedCitation":"(Gand\\uc0\\u237{}a et al., 2025)","plainCitation":"(Gandía et al., 2025)","noteIndex":0},"citationItems":[{"id":9534,"uris":["http://zotero.org/users/16652950/items/RAYYZ65N"],"itemData":{"id":9534,"type":"article-journal</w:instrText>
      </w:r>
      <w:r>
        <w:instrText xml:space="preserve">","abstract":"As workplace environments evolve with the integration of artificial intelligence (AI), understanding its impact on employee behaviour and organisational culture becomes critical. This study investigates the influence of AI-based technologies </w:instrText>
      </w:r>
      <w:r>
        <w:instrText>on creating safe and respectful work atmospheres, focusing on their role in fostering safety, inclusion, and ethical management practices. Drawing on recent findings, the paper explores the dual nature of AI's effects, from enabling safer workplaces to pos</w:instrText>
      </w:r>
      <w:r>
        <w:instrText>ing ethical challenges. (1) The study identifies critical dynamics within AI-driven work environments. Through safety-oriented tools,—such as real-time risk monitoring systems,—AI contributes to incident prevention and fosters inclusion. However, its imple</w:instrText>
      </w:r>
      <w:r>
        <w:instrText>mentation also introduces challenges, particularly regarding privacy concerns and lack of transparency, which may trigger distrust and raise ethical dilemmas among employees. (2) The analysis further emphasizes ethical and operational barriers. To ensure e</w:instrText>
      </w:r>
      <w:r>
        <w:instrText>ffective integration, organisations must address the psychological impact of automation, ensuring it does not compromise employee morale or workplace cohesion. Transparent implementation practices are essential to avoid unintended negative consequences. (3</w:instrText>
      </w:r>
      <w:r>
        <w:instrText>) Findings reveal opportunities for AI to reshape organisational culture by harmonising operational efficiency with inclusive values. The study underscores the importance of aligning technological innovation with strategies that prioritise ethical governan</w:instrText>
      </w:r>
      <w:r>
        <w:instrText>ce and employee well-being. To support these insights, the study adopts a bibliographic analysis methodology, reviewing a curated corpus of peer-reviewed publications from the past five years. Sources were selected based on thematic relevance, scientific r</w:instrText>
      </w:r>
      <w:r>
        <w:instrText>igour, and empirical depth. This method enabled the identification of conceptual patterns, gaps in the literature, and key trends regarding the socio-ethical implications of AI in the workplace. These insights offer practical guidelines for organisations i</w:instrText>
      </w:r>
      <w:r>
        <w:instrText>mplementing AI technologies. By adopting transparent communication, ethical frameworks, and strategies aligned with employee well-being, businesses can leverage AI to create safer and more inclusive environments. This research underscores the importance of</w:instrText>
      </w:r>
      <w:r>
        <w:instrText xml:space="preserve"> designing policies that balance technological advancement with respect for employee rights and privacy.","container-title":"Journal of Innovation &amp; Knowledge","DOI":"10.1016/j.jik.2025.100750","ISSN":"2444-569X","issue":"4","journalAbbreviation":"Journal </w:instrText>
      </w:r>
      <w:r>
        <w:instrText>of Innovation &amp; Knowledge","page":"100750","source":"ScienceDirect","title":"Knowledge and artificial intelligence on employee behaviour advancing safe and respectful workplace","volume":"10","author":[{"family":"Gandía","given":"José Andrés Gómez"},{"fami</w:instrText>
      </w:r>
      <w:r>
        <w:instrText xml:space="preserve">ly":"Ancillo","given":"Antonio de Lucas"},{"family":"Val Núñez","given":"María Teresa","non-dropping-particle":"del"}],"issued":{"date-parts":[["2025",7,1]]}}}],"schema":"https://github.com/citation-style-language/schema/raw/master/csl-citation.json"} </w:instrText>
      </w:r>
      <w:r>
        <w:fldChar w:fldCharType="separate"/>
      </w:r>
      <w:r>
        <w:t>(Gan</w:t>
      </w:r>
      <w:r>
        <w:t>día et al., 2025)</w:t>
      </w:r>
      <w:r>
        <w:fldChar w:fldCharType="end"/>
      </w:r>
      <w:r>
        <w:t>.</w:t>
      </w:r>
    </w:p>
    <w:p w14:paraId="77C7FC81" w14:textId="77777777" w:rsidR="00BD7DBF" w:rsidRDefault="00123116">
      <w:pPr>
        <w:pStyle w:val="NormalWeb"/>
      </w:pPr>
      <w:r>
        <w:rPr>
          <w:rStyle w:val="Strong"/>
        </w:rPr>
        <w:t>Problem-solving and creativity</w:t>
      </w:r>
    </w:p>
    <w:p w14:paraId="4E2EE9FB" w14:textId="77777777" w:rsidR="00BD7DBF" w:rsidRDefault="00123116">
      <w:pPr>
        <w:pStyle w:val="NormalWeb"/>
      </w:pPr>
      <w:r>
        <w:t>AI offers new modalities for inquiry and innovation. Learners should develop the ability to design, experiment, and iterate solutions with AI as a partner in creativity and computational problem-solving.</w:t>
      </w:r>
      <w:r>
        <w:t xml:space="preserve"> This extends AI literacy beyond comprehension toward active empowerment.</w:t>
      </w:r>
    </w:p>
    <w:p w14:paraId="78D32B9B" w14:textId="77777777" w:rsidR="00BD7DBF" w:rsidRDefault="00123116">
      <w:pPr>
        <w:pStyle w:val="Heading3"/>
      </w:pPr>
      <w:r>
        <w:rPr>
          <w:rStyle w:val="Strong"/>
          <w:b/>
          <w:bCs/>
        </w:rPr>
        <w:t>3.3 Relation to existing literacies (digital, data, computational)</w:t>
      </w:r>
    </w:p>
    <w:p w14:paraId="583CC8F3" w14:textId="77777777" w:rsidR="00BD7DBF" w:rsidRDefault="00123116">
      <w:pPr>
        <w:pStyle w:val="NormalWeb"/>
      </w:pPr>
      <w:r>
        <w:t xml:space="preserve">AI literacy builds upon and intersects with multiple established learning domains. Like </w:t>
      </w:r>
      <w:r>
        <w:rPr>
          <w:rStyle w:val="Strong"/>
        </w:rPr>
        <w:t>digital literacy</w:t>
      </w:r>
      <w:r>
        <w:t xml:space="preserve">, it involves navigating and interpreting technology. Like </w:t>
      </w:r>
      <w:r>
        <w:rPr>
          <w:rStyle w:val="Strong"/>
        </w:rPr>
        <w:t>data literacy</w:t>
      </w:r>
      <w:r>
        <w:t xml:space="preserve">, it requires understanding data-driven decision-making. And like </w:t>
      </w:r>
      <w:r>
        <w:rPr>
          <w:rStyle w:val="Strong"/>
        </w:rPr>
        <w:t>computational thinking</w:t>
      </w:r>
      <w:r>
        <w:t>, it engages algorithmic reasoning. Yet AI literacy uniquely integrates automation, autonomy, an</w:t>
      </w:r>
      <w:r>
        <w:t>d adaptive intelligence—demanding deeper critical reflection on the boundaries between human intention and machine agency. These overlaps suggest that AI literacy should not be taught in isolation but rather as an expansion of a broader 21st-century litera</w:t>
      </w:r>
      <w:r>
        <w:t>cy ecosystem</w:t>
      </w:r>
      <w:r>
        <w:fldChar w:fldCharType="begin"/>
      </w:r>
      <w:r>
        <w:instrText xml:space="preserve"> ADDIN ZOTERO_ITEM CSL_CITATION {"citationID":"gPxkN3wO","properties":{"formattedCitation":"(Lin et al., 2025)","plainCitation":"(Lin et al., 2025)","noteIndex":0},"citationItems":[{"id":9536,"uris":["http://zotero.org/users/16652950/items/IFXB</w:instrText>
      </w:r>
      <w:r>
        <w:instrText>E4Z6"],"itemData":{"id":9536,"type":"article-journal","abstract":"Artificial intelligence has significantly transformed educational practices across disciplines. This study investigated the cognitive–behavioral mechanisms underpinning mathematics teachers’</w:instrText>
      </w:r>
      <w:r>
        <w:instrText xml:space="preserve"> engagement with AI teaching tools through an extended technology acceptance model. Utilizing structural equation modeling with data from 500 mathematics educators, we delineated psychological pathways connecting perceptual variables to technology engageme</w:instrText>
      </w:r>
      <w:r>
        <w:instrText>nt and pedagogical outcomes. Results revealed that perceived usefulness functioned as the primary determinant of AI engagement, while perceived ease of use operated exclusively through sequential mediational pathways, challenging conventional technology ac</w:instrText>
      </w:r>
      <w:r>
        <w:instrText>ceptance paradigms. Domain-specific factors, such as teacher AI literacy and mathematics teaching beliefs, emerged as significant mediators that conditioned technology-related behavioral responses. The mediators in this study illustrated differential attit</w:instrText>
      </w:r>
      <w:r>
        <w:instrText>udinal mechanisms through which perceptual variables transformed into engagement behaviors. These findings extended technology acceptance theories in educational contexts by demonstrating how domain-specific cognitive structures modulated perception–behavi</w:instrText>
      </w:r>
      <w:r>
        <w:instrText>or relationships in professional technology adoption in mathematics education.","container-title":"Sustainability","DOI":"10.3390/su17083698","ISSN":"2071-1050","issue":"8","language":"en","license":"http://creativecommons.org/licenses/by/3.0/","note":"pub</w:instrText>
      </w:r>
      <w:r>
        <w:instrText>lisher: Multidisciplinary Digital Publishing Institute","page":"3698","source":"www.mdpi.com","title":"Effects of Technology Perceptions, Teacher Beliefs, and AI Literacy on AI Technology Adoption in Sustainable Mathematics Education","volume":"17","author</w:instrText>
      </w:r>
      <w:r>
        <w:instrText xml:space="preserve">":[{"family":"Lin","given":"Tianqi"},{"family":"Zhang","given":"Jianyang"},{"family":"Xiong","given":"Bin"}],"issued":{"date-parts":[["2025",1]]}}}],"schema":"https://github.com/citation-style-language/schema/raw/master/csl-citation.json"} </w:instrText>
      </w:r>
      <w:r>
        <w:fldChar w:fldCharType="separate"/>
      </w:r>
      <w:r>
        <w:t>(Lin et al., 202</w:t>
      </w:r>
      <w:r>
        <w:t>5)</w:t>
      </w:r>
      <w:r>
        <w:fldChar w:fldCharType="end"/>
      </w:r>
      <w:r>
        <w:t>.</w:t>
      </w:r>
    </w:p>
    <w:p w14:paraId="2EF604FE" w14:textId="77777777" w:rsidR="00BD7DBF" w:rsidRDefault="00123116">
      <w:pPr>
        <w:pStyle w:val="Heading3"/>
      </w:pPr>
      <w:r>
        <w:rPr>
          <w:rStyle w:val="Strong"/>
          <w:b/>
          <w:bCs/>
        </w:rPr>
        <w:t>3.4 Policy and global education initiatives driving AI literacy</w:t>
      </w:r>
    </w:p>
    <w:p w14:paraId="2F2A61A3" w14:textId="77777777" w:rsidR="00BD7DBF" w:rsidRDefault="00123116">
      <w:pPr>
        <w:pStyle w:val="NormalWeb"/>
      </w:pPr>
      <w:r>
        <w:t>Governments, international organizations, and industry bodies have launched initiatives positioning AI literacy as a strategic priority. Many national curricula now include AI competenc</w:t>
      </w:r>
      <w:r>
        <w:t>ies, often framed around digital transformation, economic innovation, and civic preparedness. Transnational projects led by educational consortia emphasize inclusivity, aiming to prevent widening inequality between learners with and without access to AI kn</w:t>
      </w:r>
      <w:r>
        <w:t>owledge. Such policy momentum reinforces the need for coherent, research-informed guidance to ensure that AI literacy curricula are responsive to both global workforce demands and ethical obligations to foster responsible technological citizenship</w:t>
      </w:r>
      <w:r>
        <w:fldChar w:fldCharType="begin"/>
      </w:r>
      <w:r>
        <w:instrText xml:space="preserve"> ADDIN ZO</w:instrText>
      </w:r>
      <w:r>
        <w:instrText>TERO_ITEM CSL_CITATION {"citationID":"bPRb0xk1","properties":{"formattedCitation":"(Schiff, 2022)","plainCitation":"(Schiff, 2022)","noteIndex":0},"citationItems":[{"id":9532,"uris":["http://zotero.org/users/16652950/items/XEETKYKE"],"itemData":{"id":9532,</w:instrText>
      </w:r>
      <w:r>
        <w:instrText>"type":"article-journal","abstract":"As of 2021, more than 30 countries have released national artificial intelligence (AI) policy strategies. These documents articulate plans and expectations regarding how AI will impact policy sectors, including educatio</w:instrText>
      </w:r>
      <w:r>
        <w:instrText xml:space="preserve">n, and typically discuss the social and ethical implications of AI. This article engages in thematic analysis of 24 such national AI policy strategies, reviewing the role of education in global AI policy discourse. It finds that the use of AI in education </w:instrText>
      </w:r>
      <w:r>
        <w:instrText xml:space="preserve">(AIED) is largely absent from policy conversations, while the instrumental value of education in supporting an AI-ready workforce and training more AI experts is overwhelmingly prioritized. Further, the ethical implications of AIED receive scant attention </w:instrText>
      </w:r>
      <w:r>
        <w:instrText>despite the prominence of AI ethics discussion generally in these documents. This suggests that AIED and its broader policy and ethical implications—good or bad—have failed to reach mainstream awareness and the agendas of key decision-makers, a concern giv</w:instrText>
      </w:r>
      <w:r>
        <w:instrText>en that effective policy and careful consideration of ethics are inextricably linked, as this article argues. In light of these findings, the article applies a framework of five AI ethics principles to consider ways in which policymakers can better incorpo</w:instrText>
      </w:r>
      <w:r>
        <w:instrText>rate AIED’s implications. Finally, the article offers recommendations for AIED scholars on strategies for engagement with the policymaking process, and for performing ethics and policy-oriented AIED research to that end, in order to shape policy deliberati</w:instrText>
      </w:r>
      <w:r>
        <w:instrText>ons on behalf of the public good.","container-title":"International Journal of Artificial Intelligence in Education","DOI":"10.1007/s40593-021-00270-2","ISSN":"1560-4306","issue":"3","journalAbbreviation":"Int J Artif Intell Educ","language":"en","page":"5</w:instrText>
      </w:r>
      <w:r>
        <w:instrText>27-563","source":"Springer Link","title":"Education for AI, not AI for Education: The Role of Education and Ethics in National AI Policy Strategies","title-short":"Education for AI, not AI for Education","volume":"32","author":[{"family":"Schiff","given":"</w:instrText>
      </w:r>
      <w:r>
        <w:instrText xml:space="preserve">Daniel"}],"issued":{"date-parts":[["2022",9,1]]}}}],"schema":"https://github.com/citation-style-language/schema/raw/master/csl-citation.json"} </w:instrText>
      </w:r>
      <w:r>
        <w:fldChar w:fldCharType="separate"/>
      </w:r>
      <w:r>
        <w:t>(Schiff, 2022)</w:t>
      </w:r>
      <w:r>
        <w:fldChar w:fldCharType="end"/>
      </w:r>
      <w:r>
        <w:t>.</w:t>
      </w:r>
    </w:p>
    <w:p w14:paraId="07F06A22" w14:textId="77777777" w:rsidR="00BD7DBF" w:rsidRDefault="0012311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Emerging Frameworks for AI Literacy Curriculum Design</w:t>
      </w:r>
    </w:p>
    <w:p w14:paraId="2D244B82"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4.1 K–12 frameworks</w:t>
      </w:r>
    </w:p>
    <w:p w14:paraId="647173B2"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K–12 AI literacy </w:t>
      </w:r>
      <w:r>
        <w:rPr>
          <w:rFonts w:ascii="Times New Roman" w:eastAsia="Times New Roman" w:hAnsi="Times New Roman" w:cs="Times New Roman"/>
          <w:sz w:val="24"/>
          <w:szCs w:val="24"/>
        </w:rPr>
        <w:t xml:space="preserve">frameworks primarily aim to introduce foundational concepts in developmentally appropriate ways. Many models embed AI learning within broader </w:t>
      </w:r>
      <w:r>
        <w:rPr>
          <w:rFonts w:ascii="Times New Roman" w:eastAsia="Times New Roman" w:hAnsi="Times New Roman" w:cs="Times New Roman"/>
          <w:b/>
          <w:bCs/>
          <w:sz w:val="24"/>
          <w:szCs w:val="24"/>
        </w:rPr>
        <w:t>computational thinking</w:t>
      </w:r>
      <w:r>
        <w:rPr>
          <w:rFonts w:ascii="Times New Roman" w:eastAsia="Times New Roman" w:hAnsi="Times New Roman" w:cs="Times New Roman"/>
          <w:sz w:val="24"/>
          <w:szCs w:val="24"/>
        </w:rPr>
        <w:t xml:space="preserve"> curricula, using algorithmic reasoning and data exploration as entry points to understandin</w:t>
      </w:r>
      <w:r>
        <w:rPr>
          <w:rFonts w:ascii="Times New Roman" w:eastAsia="Times New Roman" w:hAnsi="Times New Roman" w:cs="Times New Roman"/>
          <w:sz w:val="24"/>
          <w:szCs w:val="24"/>
        </w:rPr>
        <w:t>g intelligent systems. This approach positions AI as an extension of existing STEM education rather than wholly new content, enabling smoother adoption in schools.</w:t>
      </w:r>
    </w:p>
    <w:p w14:paraId="6F7059B7"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 the same time, there is a growing emphasis on </w:t>
      </w:r>
      <w:r>
        <w:rPr>
          <w:rFonts w:ascii="Times New Roman" w:eastAsia="Times New Roman" w:hAnsi="Times New Roman" w:cs="Times New Roman"/>
          <w:b/>
          <w:bCs/>
          <w:sz w:val="24"/>
          <w:szCs w:val="24"/>
        </w:rPr>
        <w:t>age-appropriate conceptualization of AI</w:t>
      </w:r>
      <w:r>
        <w:rPr>
          <w:rFonts w:ascii="Times New Roman" w:eastAsia="Times New Roman" w:hAnsi="Times New Roman" w:cs="Times New Roman"/>
          <w:sz w:val="24"/>
          <w:szCs w:val="24"/>
        </w:rPr>
        <w:t>. Ea</w:t>
      </w:r>
      <w:r>
        <w:rPr>
          <w:rFonts w:ascii="Times New Roman" w:eastAsia="Times New Roman" w:hAnsi="Times New Roman" w:cs="Times New Roman"/>
          <w:sz w:val="24"/>
          <w:szCs w:val="24"/>
        </w:rPr>
        <w:t>rly primary students may engage through tangible activities such as robotics or rule-based games to explore ideas of perception and decision-making. Secondary students increasingly address machine learning, data ethics, and real-world applications. These f</w:t>
      </w:r>
      <w:r>
        <w:rPr>
          <w:rFonts w:ascii="Times New Roman" w:eastAsia="Times New Roman" w:hAnsi="Times New Roman" w:cs="Times New Roman"/>
          <w:sz w:val="24"/>
          <w:szCs w:val="24"/>
        </w:rPr>
        <w:t>rameworks consistently promote inquiry-based learning, encouraging students to explore how AI affects their daily lives and communities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{"citationID":"IJKZJgAV","properties":{"formattedCitation":"(Yim &amp; Su, 2025)","plainCitat</w:instrText>
      </w:r>
      <w:r>
        <w:rPr>
          <w:rFonts w:ascii="Times New Roman" w:eastAsia="Times New Roman" w:hAnsi="Times New Roman" w:cs="Times New Roman"/>
          <w:sz w:val="24"/>
          <w:szCs w:val="24"/>
        </w:rPr>
        <w:instrText>ion":"(Yim &amp; Su, 2025)","noteIndex":0},"citationItems":[{"id":9538,"uris":["http://zotero.org/users/16652950/items/FSBV5UWM"],"itemData":{"id":9538,"type":"article-journal","abstract":"Artificial intelligence (AI) literacy is a global strategic objective i</w:instrText>
      </w:r>
      <w:r>
        <w:rPr>
          <w:rFonts w:ascii="Times New Roman" w:eastAsia="Times New Roman" w:hAnsi="Times New Roman" w:cs="Times New Roman"/>
          <w:sz w:val="24"/>
          <w:szCs w:val="24"/>
        </w:rPr>
        <w:instrText>n education. However, little is known about how AI should be taught. In this paper, 46 studies in academic conferences and journals are reviewed to investigate pedagogical strategies, learning tools, assessment methods in AI literacy education in K-12 cont</w:instrText>
      </w:r>
      <w:r>
        <w:rPr>
          <w:rFonts w:ascii="Times New Roman" w:eastAsia="Times New Roman" w:hAnsi="Times New Roman" w:cs="Times New Roman"/>
          <w:sz w:val="24"/>
          <w:szCs w:val="24"/>
        </w:rPr>
        <w:instrText xml:space="preserve">exts, and students’ learning outcomes. The investigation reveals that the promotion of AI literacy education has seen significant progress in the past two decades. This highlights that intelligent agents, including Google’s Teachable Machine, Learning ML, </w:instrText>
      </w:r>
      <w:r>
        <w:rPr>
          <w:rFonts w:ascii="Times New Roman" w:eastAsia="Times New Roman" w:hAnsi="Times New Roman" w:cs="Times New Roman"/>
          <w:sz w:val="24"/>
          <w:szCs w:val="24"/>
        </w:rPr>
        <w:instrText>and Machine Learning for Kids, are age-appropriate tools for AI literacy education in K-12 contexts. Kindergarten students can benefit from learning tools such as PopBots, while software devices, such as Scratch and Python, which help to develop the comput</w:instrText>
      </w:r>
      <w:r>
        <w:rPr>
          <w:rFonts w:ascii="Times New Roman" w:eastAsia="Times New Roman" w:hAnsi="Times New Roman" w:cs="Times New Roman"/>
          <w:sz w:val="24"/>
          <w:szCs w:val="24"/>
        </w:rPr>
        <w:instrText>ational thinking of AI algorithms, can be introduced to both primary and secondary schools. The research shows that project-based, human–computer collaborative learning and play- and game-based approaches, with constructivist methodologies, have been appli</w:instrText>
      </w:r>
      <w:r>
        <w:rPr>
          <w:rFonts w:ascii="Times New Roman" w:eastAsia="Times New Roman" w:hAnsi="Times New Roman" w:cs="Times New Roman"/>
          <w:sz w:val="24"/>
          <w:szCs w:val="24"/>
        </w:rPr>
        <w:instrText>ed frequently in AI literacy education. Cognitive, affective, and behavioral learning outcomes, course satisfaction and soft skills acquisition have been reported. The paper informs educators of appropriate learning tools, pedagogical strategies, assessmen</w:instrText>
      </w:r>
      <w:r>
        <w:rPr>
          <w:rFonts w:ascii="Times New Roman" w:eastAsia="Times New Roman" w:hAnsi="Times New Roman" w:cs="Times New Roman"/>
          <w:sz w:val="24"/>
          <w:szCs w:val="24"/>
        </w:rPr>
        <w:instrText>t methodologies in AI literacy education, and students’ learning outcomes. Research implications and future research directions within the K-12 context are also discussed.","container-title":"Journal of Computers in Education","DOI":"10.1007/s40692-023-003</w:instrText>
      </w:r>
      <w:r>
        <w:rPr>
          <w:rFonts w:ascii="Times New Roman" w:eastAsia="Times New Roman" w:hAnsi="Times New Roman" w:cs="Times New Roman"/>
          <w:sz w:val="24"/>
          <w:szCs w:val="24"/>
        </w:rPr>
        <w:instrText>04-9","ISSN":"2197-9995","issue":"1","journalAbbreviation":"J. Comput. Educ.","language":"en","page":"93-131","source":"Springer Link","title":"Artificial intelligence (AI) learning tools in K-12 education: A scoping review","title-short":"Artificial intel</w:instrText>
      </w:r>
      <w:r>
        <w:rPr>
          <w:rFonts w:ascii="Times New Roman" w:eastAsia="Times New Roman" w:hAnsi="Times New Roman" w:cs="Times New Roman"/>
          <w:sz w:val="24"/>
          <w:szCs w:val="24"/>
        </w:rPr>
        <w:instrText>ligence (AI) learning tools in K-12 education","volume":"12","author":[{"family":"Yim","given":"Iris Heung Yue"},{"family":"Su","given":"Jiahong"}],"issued":{"date-parts":[["2025",3,1]]}}}],"schema":"https://github.com/citation-style-language/schema/raw/ma</w:instrText>
      </w:r>
      <w:r>
        <w:rPr>
          <w:rFonts w:ascii="Times New Roman" w:eastAsia="Times New Roman" w:hAnsi="Times New Roman" w:cs="Times New Roman"/>
          <w:sz w:val="24"/>
          <w:szCs w:val="24"/>
        </w:rPr>
        <w:instrText xml:space="preserve">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(Yim &amp; Su,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42EAA75"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 Higher education frameworks</w:t>
      </w:r>
    </w:p>
    <w:p w14:paraId="4D4E1069"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higher education, AI literacy frameworks are expanding into </w:t>
      </w:r>
      <w:r>
        <w:rPr>
          <w:rFonts w:ascii="Times New Roman" w:eastAsia="Times New Roman" w:hAnsi="Times New Roman" w:cs="Times New Roman"/>
          <w:b/>
          <w:bCs/>
          <w:sz w:val="24"/>
          <w:szCs w:val="24"/>
        </w:rPr>
        <w:t>interdisciplinary and domain-specific pathways</w:t>
      </w:r>
      <w:r>
        <w:rPr>
          <w:rFonts w:ascii="Times New Roman" w:eastAsia="Times New Roman" w:hAnsi="Times New Roman" w:cs="Times New Roman"/>
          <w:sz w:val="24"/>
          <w:szCs w:val="24"/>
        </w:rPr>
        <w:t>. While technical programs continue to advance specialized AI compete</w:t>
      </w:r>
      <w:r>
        <w:rPr>
          <w:rFonts w:ascii="Times New Roman" w:eastAsia="Times New Roman" w:hAnsi="Times New Roman" w:cs="Times New Roman"/>
          <w:sz w:val="24"/>
          <w:szCs w:val="24"/>
        </w:rPr>
        <w:t>ncy, non-technical majors are now integrating AI concepts relevant to their fields—such as AI in healthcare, finance, design, and public policy. These frameworks emphasize productive human–AI collaboration, ethical literacy, and future-of-work readiness. U</w:t>
      </w:r>
      <w:r>
        <w:rPr>
          <w:rFonts w:ascii="Times New Roman" w:eastAsia="Times New Roman" w:hAnsi="Times New Roman" w:cs="Times New Roman"/>
          <w:sz w:val="24"/>
          <w:szCs w:val="24"/>
        </w:rPr>
        <w:t>niversities are increasingly adopting flexible micro-credentialing models to support continuous upskilling, reflecting the evolving demands of the AI-driven labor market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{"citationID":"jIgwRbAd","properties":{"formattedCitati</w:instrText>
      </w:r>
      <w:r>
        <w:rPr>
          <w:rFonts w:ascii="Times New Roman" w:eastAsia="Times New Roman" w:hAnsi="Times New Roman" w:cs="Times New Roman"/>
          <w:sz w:val="24"/>
          <w:szCs w:val="24"/>
        </w:rPr>
        <w:instrText>on":"(Biagini, 2025)","plainCitation":"(Biagini, 2025)","noteIndex":0},"citationItems":[{"id":7571,"uris":["http://zotero.org/users/16652950/items/IFZUNRBK"],"itemData":{"id":7571,"type":"article-journal","abstract":"This study investigates the evolving la</w:instrText>
      </w:r>
      <w:r>
        <w:rPr>
          <w:rFonts w:ascii="Times New Roman" w:eastAsia="Times New Roman" w:hAnsi="Times New Roman" w:cs="Times New Roman"/>
          <w:sz w:val="24"/>
          <w:szCs w:val="24"/>
        </w:rPr>
        <w:instrText>ndscape of Artificial Intelligence (AI) literacy, acknowledging AI's transformative impact across various sectors in the twenty-first century. Starting from AI's inception to its current pervasive role in education, everyday life, and beyond, this paper ex</w:instrText>
      </w:r>
      <w:r>
        <w:rPr>
          <w:rFonts w:ascii="Times New Roman" w:eastAsia="Times New Roman" w:hAnsi="Times New Roman" w:cs="Times New Roman"/>
          <w:sz w:val="24"/>
          <w:szCs w:val="24"/>
        </w:rPr>
        <w:instrText>plores the relevance and complexity of AI literacy in the modern world. To evaluate the current state of the literature on AI literacy, a systematic literature review was conducted with the objective of identifying thematic and recent research trends. Thro</w:instrText>
      </w:r>
      <w:r>
        <w:rPr>
          <w:rFonts w:ascii="Times New Roman" w:eastAsia="Times New Roman" w:hAnsi="Times New Roman" w:cs="Times New Roman"/>
          <w:sz w:val="24"/>
          <w:szCs w:val="24"/>
        </w:rPr>
        <w:instrText>ugh a rigorous selection process involving 323 records from databases such as Web of Science, SCOPUS, ERIC, and IEEE Xplore, 87 high-quality studies have been analysed to identify central themes and definitions related to AI literacy. Our findings reveal t</w:instrText>
      </w:r>
      <w:r>
        <w:rPr>
          <w:rFonts w:ascii="Times New Roman" w:eastAsia="Times New Roman" w:hAnsi="Times New Roman" w:cs="Times New Roman"/>
          <w:sz w:val="24"/>
          <w:szCs w:val="24"/>
        </w:rPr>
        <w:instrText>hat AI literacy extends beyond technical proficiency to encompass ethical considerations, societal impacts, and practical applications. Key themes identified include the ethical and social implications of AI, AI literacy in K-12 education, AI literacy curr</w:instrText>
      </w:r>
      <w:r>
        <w:rPr>
          <w:rFonts w:ascii="Times New Roman" w:eastAsia="Times New Roman" w:hAnsi="Times New Roman" w:cs="Times New Roman"/>
          <w:sz w:val="24"/>
          <w:szCs w:val="24"/>
        </w:rPr>
        <w:instrText>iculum development, and the integration of AI in education and workplaces. The study also highlights the importance of AI literacy models and frameworks for structuring education across diverse learning environments, as well as the significance of AI and d</w:instrText>
      </w:r>
      <w:r>
        <w:rPr>
          <w:rFonts w:ascii="Times New Roman" w:eastAsia="Times New Roman" w:hAnsi="Times New Roman" w:cs="Times New Roman"/>
          <w:sz w:val="24"/>
          <w:szCs w:val="24"/>
        </w:rPr>
        <w:instrText>igital interaction literacy. Additionally, our analysis of publication trends indicates a strong growth in AI literacy research, particularly in China and the United States, reflecting the global urgency of addressing AI literacy in policy and education. C</w:instrText>
      </w:r>
      <w:r>
        <w:rPr>
          <w:rFonts w:ascii="Times New Roman" w:eastAsia="Times New Roman" w:hAnsi="Times New Roman" w:cs="Times New Roman"/>
          <w:sz w:val="24"/>
          <w:szCs w:val="24"/>
        </w:rPr>
        <w:instrText>onclusively, the research underscores the importance of an adaptable, comprehensive educational paradigm that incorporates AI literacy, reflecting its diverse interpretations and the dynamic nature of AI. The study advocates for interdisciplinary collabora</w:instrText>
      </w:r>
      <w:r>
        <w:rPr>
          <w:rFonts w:ascii="Times New Roman" w:eastAsia="Times New Roman" w:hAnsi="Times New Roman" w:cs="Times New Roman"/>
          <w:sz w:val="24"/>
          <w:szCs w:val="24"/>
        </w:rPr>
        <w:instrText xml:space="preserve">tion in developing AI literacy programs, emphasizing the need to equip future generations with the knowledge, skills, and ethical discernment to navigate an increasingly AI-driven world.","container-title":"International Journal of Artificial Intelligence </w:instrText>
      </w:r>
      <w:r>
        <w:rPr>
          <w:rFonts w:ascii="Times New Roman" w:eastAsia="Times New Roman" w:hAnsi="Times New Roman" w:cs="Times New Roman"/>
          <w:sz w:val="24"/>
          <w:szCs w:val="24"/>
        </w:rPr>
        <w:instrText>in Education","DOI":"10.1007/s40593-025-00466-w","ISSN":"1560-4306","journalAbbreviation":"Int J Artif Intell Educ","language":"en","source":"Springer Link","title":"Towards an AI-Literate Future: A Systematic Literature Review Exploring Education, Ethics,</w:instrText>
      </w:r>
      <w:r>
        <w:rPr>
          <w:rFonts w:ascii="Times New Roman" w:eastAsia="Times New Roman" w:hAnsi="Times New Roman" w:cs="Times New Roman"/>
          <w:sz w:val="24"/>
          <w:szCs w:val="24"/>
        </w:rPr>
        <w:instrText xml:space="preserve"> and Applications","title-short":"Towards an AI-Literate Future","URL":"https://doi.org/10.1007/s40593-025-00466-w","author":[{"family":"Biagini","given":"Gabriele"}],"accessed":{"date-parts":[["2025",9,13]]},"issued":{"date-parts":[["2025",3,12]]}}}],"sch</w:instrText>
      </w:r>
      <w:r>
        <w:rPr>
          <w:rFonts w:ascii="Times New Roman" w:eastAsia="Times New Roman" w:hAnsi="Times New Roman" w:cs="Times New Roman"/>
          <w:sz w:val="24"/>
          <w:szCs w:val="24"/>
        </w:rPr>
        <w:instrText xml:space="preserve">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(Biagini,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6D8780B"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 Industry-driven and non-formal learning models</w:t>
      </w:r>
    </w:p>
    <w:p w14:paraId="7982070C"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formal schooling, technology companies, nonprofit organizations, and community programs are becoming major contributors to AI literacy education. These initiatives often focus on </w:t>
      </w:r>
      <w:r>
        <w:rPr>
          <w:rFonts w:ascii="Times New Roman" w:eastAsia="Times New Roman" w:hAnsi="Times New Roman" w:cs="Times New Roman"/>
          <w:b/>
          <w:bCs/>
          <w:sz w:val="24"/>
          <w:szCs w:val="24"/>
        </w:rPr>
        <w:t>rapid skill development</w:t>
      </w:r>
      <w:r>
        <w:rPr>
          <w:rFonts w:ascii="Times New Roman" w:eastAsia="Times New Roman" w:hAnsi="Times New Roman" w:cs="Times New Roman"/>
          <w:sz w:val="24"/>
          <w:szCs w:val="24"/>
        </w:rPr>
        <w:t>, exposing learners to practical tools such as</w:t>
      </w:r>
      <w:r>
        <w:rPr>
          <w:rFonts w:ascii="Times New Roman" w:eastAsia="Times New Roman" w:hAnsi="Times New Roman" w:cs="Times New Roman"/>
          <w:sz w:val="24"/>
          <w:szCs w:val="24"/>
        </w:rPr>
        <w:t xml:space="preserve"> conversational AI, data annotation, and machine learning platforms. Industry frameworks typically emphasize hands-on experiences and workforce alignment but may place less emphasis on critical societal perspectives. Non-formal learning contexts—such as ma</w:t>
      </w:r>
      <w:r>
        <w:rPr>
          <w:rFonts w:ascii="Times New Roman" w:eastAsia="Times New Roman" w:hAnsi="Times New Roman" w:cs="Times New Roman"/>
          <w:sz w:val="24"/>
          <w:szCs w:val="24"/>
        </w:rPr>
        <w:t>ker spaces, online courses, and youth innovation programs—play an important role in widening access and motivation, particularly for underserved populations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{"citationID":"EgDwQrdF","properties":{"formattedCitation":"(Walter,</w:instrText>
      </w:r>
      <w:r>
        <w:rPr>
          <w:rFonts w:ascii="Times New Roman" w:eastAsia="Times New Roman" w:hAnsi="Times New Roman" w:cs="Times New Roman"/>
          <w:sz w:val="24"/>
          <w:szCs w:val="24"/>
        </w:rPr>
        <w:instrText xml:space="preserve"> 2024)","plainCitation":"(Walter, 2024)","noteIndex":0},"citationItems":[{"id":4399,"uris":["http://zotero.org/users/16652950/items/5FAI9PN9"],"itemData":{"id":4399,"type":"article-journal","abstract":"This paper delves into the complexities of global AI r</w:instrText>
      </w:r>
      <w:r>
        <w:rPr>
          <w:rFonts w:ascii="Times New Roman" w:eastAsia="Times New Roman" w:hAnsi="Times New Roman" w:cs="Times New Roman"/>
          <w:sz w:val="24"/>
          <w:szCs w:val="24"/>
        </w:rPr>
        <w:instrText>egulation and governance, emphasizing the socio-economic repercussions of rapid AI development. It scrutinizes the challenges in creating effective governance structures amidst the AI race, considering diverse global perspectives and policies. The discours</w:instrText>
      </w:r>
      <w:r>
        <w:rPr>
          <w:rFonts w:ascii="Times New Roman" w:eastAsia="Times New Roman" w:hAnsi="Times New Roman" w:cs="Times New Roman"/>
          <w:sz w:val="24"/>
          <w:szCs w:val="24"/>
        </w:rPr>
        <w:instrText>e moves beyond specific corporate examples, addressing broader implications and sector-wide impacts of AI on employment, truth discernment, and democratic stability. The analysis focuses on contrasting regulatory approaches across key regions—the United St</w:instrText>
      </w:r>
      <w:r>
        <w:rPr>
          <w:rFonts w:ascii="Times New Roman" w:eastAsia="Times New Roman" w:hAnsi="Times New Roman" w:cs="Times New Roman"/>
          <w:sz w:val="24"/>
          <w:szCs w:val="24"/>
        </w:rPr>
        <w:instrText>ates, European Union, Asia, Africa, and the Americas and thus highlighting the variations and commonalities in strategies and implementations. This comparative study reveals the intricacies and hurdles in formulating a cohesive global policy for AI regulat</w:instrText>
      </w:r>
      <w:r>
        <w:rPr>
          <w:rFonts w:ascii="Times New Roman" w:eastAsia="Times New Roman" w:hAnsi="Times New Roman" w:cs="Times New Roman"/>
          <w:sz w:val="24"/>
          <w:szCs w:val="24"/>
        </w:rPr>
        <w:instrText>ion. Central to the paper is the examination of the dynamic between rapid AI innovation and the slower pace of regulatory and ethical standard-setting. It critically evaluates the advantages and drawbacks of shifting regulatory responsibilities between gov</w:instrText>
      </w:r>
      <w:r>
        <w:rPr>
          <w:rFonts w:ascii="Times New Roman" w:eastAsia="Times New Roman" w:hAnsi="Times New Roman" w:cs="Times New Roman"/>
          <w:sz w:val="24"/>
          <w:szCs w:val="24"/>
        </w:rPr>
        <w:instrText>ernment bodies and the private sector. In response to these challenges, the discussion proposes an innovative and integrated regulatory model. The model advocates for a collaborative network that blends governmental authority with industry expertise, aimin</w:instrText>
      </w:r>
      <w:r>
        <w:rPr>
          <w:rFonts w:ascii="Times New Roman" w:eastAsia="Times New Roman" w:hAnsi="Times New Roman" w:cs="Times New Roman"/>
          <w:sz w:val="24"/>
          <w:szCs w:val="24"/>
        </w:rPr>
        <w:instrText>g to establish adaptive, responsive regulations (called “dynamic laws”) that can evolve with technological advancements. The novel approach aims to bridge the gap between rapid AI advancements in the industry and the essential democratic processes of law-m</w:instrText>
      </w:r>
      <w:r>
        <w:rPr>
          <w:rFonts w:ascii="Times New Roman" w:eastAsia="Times New Roman" w:hAnsi="Times New Roman" w:cs="Times New Roman"/>
          <w:sz w:val="24"/>
          <w:szCs w:val="24"/>
        </w:rPr>
        <w:instrText>aking.","container-title":"Discover Artificial Intelligence","DOI":"10.1007/s44163-024-00109-4","ISSN":"2731-0809","issue":"1","journalAbbreviation":"Discov Artif Intell","language":"en","page":"14","source":"Springer Link","title":"Managing the race to th</w:instrText>
      </w:r>
      <w:r>
        <w:rPr>
          <w:rFonts w:ascii="Times New Roman" w:eastAsia="Times New Roman" w:hAnsi="Times New Roman" w:cs="Times New Roman"/>
          <w:sz w:val="24"/>
          <w:szCs w:val="24"/>
        </w:rPr>
        <w:instrText>e moon: Global policy and governance in Artificial Intelligence regulation—A contemporary overview and an analysis of socioeconomic consequences","title-short":"Managing the race to the moon","volume":"4","author":[{"family":"Walter","given":"Yoshija"}],"i</w:instrText>
      </w:r>
      <w:r>
        <w:rPr>
          <w:rFonts w:ascii="Times New Roman" w:eastAsia="Times New Roman" w:hAnsi="Times New Roman" w:cs="Times New Roman"/>
          <w:sz w:val="24"/>
          <w:szCs w:val="24"/>
        </w:rPr>
        <w:instrText xml:space="preserve">ssued":{"date-parts":[["2024",2,26]]}}}],"schema":"https://github.com/citation-style-language/schema/raw/master/csl-citation.json"}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(Walter, 2024)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C555B63"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 Comparative analysis of major frameworks</w:t>
      </w:r>
    </w:p>
    <w:p w14:paraId="419F9A8A" w14:textId="77777777" w:rsidR="00BD7DBF" w:rsidRDefault="00123116">
      <w:pPr>
        <w:pStyle w:val="NormalWeb"/>
      </w:pPr>
      <w:r>
        <w:t xml:space="preserve">Across K–12, higher education, and non-formal environments, </w:t>
      </w:r>
      <w:r>
        <w:t xml:space="preserve">frameworks vary substantially in their </w:t>
      </w:r>
      <w:r>
        <w:rPr>
          <w:b/>
          <w:bCs/>
        </w:rPr>
        <w:t>scope</w:t>
      </w:r>
      <w:r>
        <w:t xml:space="preserve">, </w:t>
      </w:r>
      <w:r>
        <w:rPr>
          <w:b/>
          <w:bCs/>
        </w:rPr>
        <w:t>depth</w:t>
      </w:r>
      <w:r>
        <w:t xml:space="preserve">, and </w:t>
      </w:r>
      <w:r>
        <w:rPr>
          <w:b/>
          <w:bCs/>
        </w:rPr>
        <w:t>pedagogical emphasis</w:t>
      </w:r>
      <w:r>
        <w:t>. While some focus heavily on technical competencies, others prioritize civic and ethical understanding. Ethics integration ranges from being treated as a standalone topic to bein</w:t>
      </w:r>
      <w:r>
        <w:t>g embedded throughout instruction, with the latter increasingly viewed as a best practice. Accessibility also differs across global and socioeconomic contexts—well-resourced schools often have pathways unavailable to marginalized learners. These variations</w:t>
      </w:r>
      <w:r>
        <w:t xml:space="preserve"> highlight the lack of standardized benchmarks for what constitutes comprehensive and equitable AI literacy</w:t>
      </w:r>
      <w:r>
        <w:fldChar w:fldCharType="begin"/>
      </w:r>
      <w:r>
        <w:instrText xml:space="preserve"> ADDIN ZOTERO_ITEM CSL_CITATION {"citationID":"Wj5SHplu","properties":{"formattedCitation":"(Paraskeva-Hadjichambi et al., 2020)","plainCitation":"(P</w:instrText>
      </w:r>
      <w:r>
        <w:instrText xml:space="preserve">araskeva-Hadjichambi et al., 2020)","noteIndex":0},"citationItems":[{"id":9540,"uris":["http://zotero.org/users/16652950/items/2PMN2IGC"],"itemData":{"id":9540,"type":"chapter","abstract":"Non-formal education is an integral component to lifelong learning </w:instrText>
      </w:r>
      <w:r>
        <w:instrText>and its aim is for young people and adults to acquire and maintain the skills and competencies necessary to adapt to a continuously changing environment. Non-formal education implements different learning activities and is supplementary to formal education</w:instrText>
      </w:r>
      <w:r>
        <w:instrText>, taking place outside, but supplementary, to the formal educational system. From the conception and throughout the ongoing evolution of environmental education, non-formal education has been identified as an important framework for conducting Environmenta</w:instrText>
      </w:r>
      <w:r>
        <w:instrText>l Education and Education for Sustainability. Therefore, non-formal settings for secondary education level can contribute to Education for Environmental Citizenship by providing the opportunity and conditions that enable young people to acquire the body of</w:instrText>
      </w:r>
      <w:r>
        <w:instrText xml:space="preserve"> knowledge as well as the skills, values, attitudes and pro-environmental actions necessary to become an Environmental Citizen. In addition, an Environmental Citizen is empowered and motivated to participate in society as an agent-of-change in the directio</w:instrText>
      </w:r>
      <w:r>
        <w:instrText>n of solving contemporary environmental problems, preventing the creation of new ones, and achieving sustainability and restoring our (human) relationships with nature. Pedagogies including place-based education, civic ecology education, ecojustice pedagog</w:instrText>
      </w:r>
      <w:r>
        <w:instrText>y, action competence and socio-scientific inquiry-based learning can contribute to building students’ competencies for the deep civic participation necessary to realise environmental and social change. However, due to the novelty of the concept, the lack o</w:instrText>
      </w:r>
      <w:r>
        <w:instrText>f a complete pedagogical framework for Education in Environmental Citizenship in non-formal settings presents a major challenge.","container-title":"Conceptualizing Environmental Citizenship for 21st Century Education","event-place":"Cham","ISBN":"978-3-03</w:instrText>
      </w:r>
      <w:r>
        <w:instrText>0-20249-1","language":"en","note":"DOI: 10.1007/978-3-030-20249-1_14","page":"213-235","publisher":"Springer International Publishing","publisher-place":"Cham","source":"Springer Link","title":"Educating for Environmental Citizenship in Non-formal Framewor</w:instrText>
      </w:r>
      <w:r>
        <w:instrText>ks for Secondary Level Youth","URL":"https://doi.org/10.1007/978-3-030-20249-1_14","author":[{"family":"Paraskeva-Hadjichambi","given":"Demetra"},{"family":"Goldman","given":"Daphne"},{"family":"Hadjichambis","given":"Andreas Ch."},{"family":"Parra","given</w:instrText>
      </w:r>
      <w:r>
        <w:instrText>":"Gema"},{"family":"Lapin","given":"Katharina"},{"family":"Knippels","given":"Marie-Christine"},{"family":"Van Dam","given":"Frans"}],"editor":[{"family":"Hadjichambis","given":"Andreas Ch."},{"family":"Reis","given":"Pedro"},{"family":"Paraskeva-Hadjicha</w:instrText>
      </w:r>
      <w:r>
        <w:instrText>mbi","given":"Demetra"},{"family":"Činčera","given":"Jan"},{"family":"Boeve-de Pauw","given":"Jelle"},{"family":"Gericke","given":"Niklas"},{"family":"Knippels","given":"Marie-Christine"}],"accessed":{"date-parts":[["2025",10,26]]},"issued":{"date-parts":[</w:instrText>
      </w:r>
      <w:r>
        <w:instrText xml:space="preserve">["2020"]]}}}],"schema":"https://github.com/citation-style-language/schema/raw/master/csl-citation.json"} </w:instrText>
      </w:r>
      <w:r>
        <w:fldChar w:fldCharType="separate"/>
      </w:r>
      <w:r>
        <w:t>(Paraskeva-Hadjichambi et al., 2020)</w:t>
      </w:r>
      <w:r>
        <w:fldChar w:fldCharType="end"/>
      </w:r>
      <w:r>
        <w:t xml:space="preserve">. </w:t>
      </w:r>
      <w:r>
        <w:rPr>
          <w:rStyle w:val="Emphasis"/>
          <w:rFonts w:eastAsiaTheme="majorEastAsia"/>
        </w:rPr>
        <w:t>Table 1 compares major AI literacy frameworks identified in the literature, highlighting their target audience</w:t>
      </w:r>
      <w:r>
        <w:rPr>
          <w:rStyle w:val="Emphasis"/>
          <w:rFonts w:eastAsiaTheme="majorEastAsia"/>
        </w:rPr>
        <w:t>, core competency domains, and distinctive pedagogical or policy orientations. This comparison underscores variations in scope, ethical integration, and adaptability across educational contexts.</w:t>
      </w:r>
    </w:p>
    <w:p w14:paraId="22F8751B" w14:textId="77777777" w:rsidR="00BD7DBF" w:rsidRDefault="00123116">
      <w:pPr>
        <w:pStyle w:val="NormalWeb"/>
      </w:pPr>
      <w:r>
        <w:rPr>
          <w:rStyle w:val="Strong"/>
        </w:rPr>
        <w:t>Table 1. Comparative Overview of Major AI Literacy Frameworks</w:t>
      </w:r>
      <w:r>
        <w:rPr>
          <w:rStyle w:val="Strong"/>
        </w:rPr>
        <w:t xml:space="preserve"> and Competency Domains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3"/>
        <w:gridCol w:w="1315"/>
        <w:gridCol w:w="1593"/>
        <w:gridCol w:w="1696"/>
        <w:gridCol w:w="1983"/>
      </w:tblGrid>
      <w:tr w:rsidR="00BD7DBF" w14:paraId="03498E85" w14:textId="77777777">
        <w:trPr>
          <w:tblHeader/>
          <w:tblCellSpacing w:w="15" w:type="dxa"/>
        </w:trPr>
        <w:tc>
          <w:tcPr>
            <w:tcW w:w="0" w:type="auto"/>
            <w:vAlign w:val="center"/>
          </w:tcPr>
          <w:p w14:paraId="30B13F89" w14:textId="77777777" w:rsidR="00BD7DBF" w:rsidRDefault="00123116">
            <w:pPr>
              <w:jc w:val="center"/>
              <w:rPr>
                <w:b/>
                <w:bCs/>
              </w:rPr>
            </w:pPr>
            <w:r>
              <w:rPr>
                <w:rStyle w:val="Strong"/>
              </w:rPr>
              <w:lastRenderedPageBreak/>
              <w:t>Framework / Source</w:t>
            </w:r>
          </w:p>
        </w:tc>
        <w:tc>
          <w:tcPr>
            <w:tcW w:w="0" w:type="auto"/>
            <w:vAlign w:val="center"/>
          </w:tcPr>
          <w:p w14:paraId="1ADF437D" w14:textId="77777777" w:rsidR="00BD7DBF" w:rsidRDefault="00123116">
            <w:pPr>
              <w:jc w:val="center"/>
              <w:rPr>
                <w:b/>
                <w:bCs/>
              </w:rPr>
            </w:pPr>
            <w:r>
              <w:rPr>
                <w:rStyle w:val="Strong"/>
              </w:rPr>
              <w:t>Educational Level or Context</w:t>
            </w:r>
          </w:p>
        </w:tc>
        <w:tc>
          <w:tcPr>
            <w:tcW w:w="0" w:type="auto"/>
            <w:vAlign w:val="center"/>
          </w:tcPr>
          <w:p w14:paraId="022CC84A" w14:textId="77777777" w:rsidR="00BD7DBF" w:rsidRDefault="00123116">
            <w:pPr>
              <w:jc w:val="center"/>
              <w:rPr>
                <w:b/>
                <w:bCs/>
              </w:rPr>
            </w:pPr>
            <w:r>
              <w:rPr>
                <w:rStyle w:val="Strong"/>
              </w:rPr>
              <w:t>Core Competency Domains</w:t>
            </w:r>
          </w:p>
        </w:tc>
        <w:tc>
          <w:tcPr>
            <w:tcW w:w="0" w:type="auto"/>
            <w:vAlign w:val="center"/>
          </w:tcPr>
          <w:p w14:paraId="0B0C6300" w14:textId="77777777" w:rsidR="00BD7DBF" w:rsidRDefault="00123116">
            <w:pPr>
              <w:jc w:val="center"/>
              <w:rPr>
                <w:b/>
                <w:bCs/>
              </w:rPr>
            </w:pPr>
            <w:r>
              <w:rPr>
                <w:rStyle w:val="Strong"/>
              </w:rPr>
              <w:t>Pedagogical Orientation</w:t>
            </w:r>
          </w:p>
        </w:tc>
        <w:tc>
          <w:tcPr>
            <w:tcW w:w="0" w:type="auto"/>
            <w:vAlign w:val="center"/>
          </w:tcPr>
          <w:p w14:paraId="753EBF9B" w14:textId="77777777" w:rsidR="00BD7DBF" w:rsidRDefault="00123116">
            <w:pPr>
              <w:jc w:val="center"/>
              <w:rPr>
                <w:b/>
                <w:bCs/>
              </w:rPr>
            </w:pPr>
            <w:r>
              <w:rPr>
                <w:rStyle w:val="Strong"/>
              </w:rPr>
              <w:t>Distinctive Features / Focus Areas</w:t>
            </w:r>
          </w:p>
        </w:tc>
      </w:tr>
      <w:tr w:rsidR="00BD7DBF" w14:paraId="61604C1D" w14:textId="77777777">
        <w:trPr>
          <w:tblCellSpacing w:w="15" w:type="dxa"/>
        </w:trPr>
        <w:tc>
          <w:tcPr>
            <w:tcW w:w="0" w:type="auto"/>
            <w:vAlign w:val="center"/>
          </w:tcPr>
          <w:p w14:paraId="37ED3A31" w14:textId="77777777" w:rsidR="00BD7DBF" w:rsidRDefault="00123116">
            <w:r>
              <w:rPr>
                <w:rStyle w:val="Strong"/>
              </w:rPr>
              <w:t xml:space="preserve">Long &amp; </w:t>
            </w:r>
            <w:proofErr w:type="spellStart"/>
            <w:r>
              <w:rPr>
                <w:rStyle w:val="Strong"/>
              </w:rPr>
              <w:t>Magerko</w:t>
            </w:r>
            <w:proofErr w:type="spellEnd"/>
            <w:r>
              <w:rPr>
                <w:rStyle w:val="Strong"/>
              </w:rPr>
              <w:t xml:space="preserve"> (2020) – “What is AI Literacy?” Framework</w:t>
            </w:r>
            <w:r>
              <w:rPr>
                <w:rStyle w:val="Strong"/>
              </w:rPr>
              <w:fldChar w:fldCharType="begin"/>
            </w:r>
            <w:r>
              <w:rPr>
                <w:rStyle w:val="Strong"/>
              </w:rPr>
              <w:instrText xml:space="preserve"> ADDIN ZOTERO_ITEM CSL_CITATION {"citationID":"050Xfj50","properties":{"formattedCitation":"(Long &amp; Magerko, 2020)","plainCitation":"(Long &amp; Magerko, 2020)","noteIndex":0},"citationItems":[{"id":9548,"uris":["http://zotero.org/users/16652950/items/9222X5F8</w:instrText>
            </w:r>
            <w:r>
              <w:rPr>
                <w:rStyle w:val="Strong"/>
              </w:rPr>
              <w:instrText>"],"itemData":{"id":9548,"type":"paper-conference","abstract":"Artificial intelligence (AI) is becoming increasingly integrated in user-facing technology, but public understanding of these technologies is often limited. There is a need for additional HCI r</w:instrText>
            </w:r>
            <w:r>
              <w:rPr>
                <w:rStyle w:val="Strong"/>
              </w:rPr>
              <w:instrText>esearch investigating a) what competencies users need in order to effectively interact with and critically evaluate AI and b) how to design learner-centered AI technologies that foster increased user understanding of AI. This paper takes a step towards rea</w:instrText>
            </w:r>
            <w:r>
              <w:rPr>
                <w:rStyle w:val="Strong"/>
              </w:rPr>
              <w:instrText>lizing both of these goals by providing a concrete definition of AI literacy based on existing research. We synthesize a variety of interdisciplinary literature into a set of core competencies of AI literacy and suggest several design considerations to sup</w:instrText>
            </w:r>
            <w:r>
              <w:rPr>
                <w:rStyle w:val="Strong"/>
              </w:rPr>
              <w:instrText xml:space="preserve">port AI developers and educators in creating learner-centered AI. These competencies and design considerations are organized in a conceptual framework thematically derived from the literature. This paper's contributions can be used to start a conversation </w:instrText>
            </w:r>
            <w:r>
              <w:rPr>
                <w:rStyle w:val="Strong"/>
              </w:rPr>
              <w:instrText>about and guide future research on AI literacy within the HCI community.","collection-title":"CHI '20","container-title":"Proceedings of the 2020 CHI Conference on Human Factors in Computing Systems","DOI":"10.1145/3313831.3376727","event-place":"New York,</w:instrText>
            </w:r>
            <w:r>
              <w:rPr>
                <w:rStyle w:val="Strong"/>
              </w:rPr>
              <w:instrText xml:space="preserve"> NY, USA","ISBN":"978-1-4503-6708-0","page":"1–16","publisher":"Association for Computing Machinery","publisher-place":"New York, NY, USA","source":"ACM Digital Library","title":"What is AI Literacy? Competencies and Design Considerations","title-short":"W</w:instrText>
            </w:r>
            <w:r>
              <w:rPr>
                <w:rStyle w:val="Strong"/>
              </w:rPr>
              <w:instrText>hat is AI Literacy?","URL":"https://doi.org/10.1145/3313831.3376727","author":[{"family":"Long","given":"Duri"},{"family":"Magerko","given":"Brian"}],"accessed":{"date-parts":[["2025",10,26]]},"issued":{"date-parts":[["2020",4,23]]}}}],"schema":"https://gi</w:instrText>
            </w:r>
            <w:r>
              <w:rPr>
                <w:rStyle w:val="Strong"/>
              </w:rPr>
              <w:instrText xml:space="preserve">thub.com/citation-style-language/schema/raw/master/csl-citation.json"} </w:instrText>
            </w:r>
            <w:r>
              <w:rPr>
                <w:rStyle w:val="Strong"/>
              </w:rPr>
              <w:fldChar w:fldCharType="separate"/>
            </w:r>
            <w:r>
              <w:rPr>
                <w:rFonts w:ascii="Calibri" w:hAnsi="Calibri" w:cs="Calibri"/>
              </w:rPr>
              <w:t>(Long &amp; Magerko, 2020)</w:t>
            </w:r>
            <w:r>
              <w:rPr>
                <w:rStyle w:val="Strong"/>
              </w:rPr>
              <w:fldChar w:fldCharType="end"/>
            </w:r>
          </w:p>
        </w:tc>
        <w:tc>
          <w:tcPr>
            <w:tcW w:w="0" w:type="auto"/>
            <w:vAlign w:val="center"/>
          </w:tcPr>
          <w:p w14:paraId="22DE3449" w14:textId="77777777" w:rsidR="00BD7DBF" w:rsidRDefault="00123116">
            <w:r>
              <w:t>General / K–12</w:t>
            </w:r>
          </w:p>
        </w:tc>
        <w:tc>
          <w:tcPr>
            <w:tcW w:w="0" w:type="auto"/>
            <w:vAlign w:val="center"/>
          </w:tcPr>
          <w:p w14:paraId="41888DC4" w14:textId="77777777" w:rsidR="00BD7DBF" w:rsidRDefault="00123116">
            <w:r>
              <w:t>1. Knowing and understanding AI</w:t>
            </w:r>
          </w:p>
          <w:p w14:paraId="2EB3695A" w14:textId="77777777" w:rsidR="00BD7DBF" w:rsidRDefault="00123116">
            <w:r>
              <w:t>2. Using AI</w:t>
            </w:r>
          </w:p>
          <w:p w14:paraId="33DD70AC" w14:textId="77777777" w:rsidR="00BD7DBF" w:rsidRDefault="00123116">
            <w:r>
              <w:t>3. Evaluating AI</w:t>
            </w:r>
          </w:p>
          <w:p w14:paraId="51383B31" w14:textId="77777777" w:rsidR="00BD7DBF" w:rsidRDefault="00123116">
            <w:r>
              <w:t>4. Ethical and societal awareness</w:t>
            </w:r>
          </w:p>
        </w:tc>
        <w:tc>
          <w:tcPr>
            <w:tcW w:w="0" w:type="auto"/>
            <w:vAlign w:val="center"/>
          </w:tcPr>
          <w:p w14:paraId="7543B64B" w14:textId="77777777" w:rsidR="00BD7DBF" w:rsidRDefault="00123116">
            <w:r>
              <w:t>Constructivist, inquiry-based</w:t>
            </w:r>
          </w:p>
        </w:tc>
        <w:tc>
          <w:tcPr>
            <w:tcW w:w="0" w:type="auto"/>
            <w:vAlign w:val="center"/>
          </w:tcPr>
          <w:p w14:paraId="41B53FE0" w14:textId="77777777" w:rsidR="00BD7DBF" w:rsidRDefault="00123116">
            <w:r>
              <w:t xml:space="preserve">Defines </w:t>
            </w:r>
            <w:r>
              <w:t>foundational dimensions of AI literacy; widely cited baseline model for general learners.</w:t>
            </w:r>
          </w:p>
        </w:tc>
      </w:tr>
      <w:tr w:rsidR="00BD7DBF" w14:paraId="1D931A9F" w14:textId="77777777">
        <w:trPr>
          <w:tblCellSpacing w:w="15" w:type="dxa"/>
        </w:trPr>
        <w:tc>
          <w:tcPr>
            <w:tcW w:w="0" w:type="auto"/>
            <w:vAlign w:val="center"/>
          </w:tcPr>
          <w:p w14:paraId="4654E946" w14:textId="77777777" w:rsidR="00BD7DBF" w:rsidRDefault="00123116">
            <w:r>
              <w:rPr>
                <w:rStyle w:val="Strong"/>
              </w:rPr>
              <w:t>UNESCO (2023) – “AI Competency Framework for Teachers”</w:t>
            </w:r>
            <w:r>
              <w:rPr>
                <w:rStyle w:val="Strong"/>
              </w:rPr>
              <w:fldChar w:fldCharType="begin"/>
            </w:r>
            <w:r>
              <w:rPr>
                <w:rStyle w:val="Strong"/>
              </w:rPr>
              <w:instrText xml:space="preserve"> ADDIN ZOTERO_ITEM CSL_CITATION {"citationID":"KnLtKUgk","properties":{"formattedCitation":"({\\i{}AI Competency Framework for Teachers - UNESCO Digital Library}, n.d.)","plainCitation":"(AI Competency Framework for Teachers - UNESCO Digital Library, n.d.)</w:instrText>
            </w:r>
            <w:r>
              <w:rPr>
                <w:rStyle w:val="Strong"/>
              </w:rPr>
              <w:instrText>","noteIndex":0},"citationItems":[{"id":9545,"uris":["http://zotero.org/users/16652950/items/EBRE7HXH"],"itemData":{"id":9545,"type":"webpage","title":"AI competency framework for teachers - UNESCO Digital Library","URL":"https://unesdoc.unesco.org/ark:/48</w:instrText>
            </w:r>
            <w:r>
              <w:rPr>
                <w:rStyle w:val="Strong"/>
              </w:rPr>
              <w:instrText xml:space="preserve">223/pf0000391104.locale=en","accessed":{"date-parts":[["2025",10,26]]}}}],"schema":"https://github.com/citation-style-language/schema/raw/master/csl-citation.json"}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AI Competency Framework for Teachers - UNESCO Digital Library</w:t>
            </w:r>
            <w:r>
              <w:rPr>
                <w:rFonts w:ascii="Calibri" w:hAnsi="Calibri" w:cs="Calibri"/>
                <w:szCs w:val="24"/>
              </w:rPr>
              <w:t>, n.d.)</w:t>
            </w:r>
            <w:r>
              <w:rPr>
                <w:rStyle w:val="Strong"/>
              </w:rPr>
              <w:fldChar w:fldCharType="end"/>
            </w:r>
          </w:p>
        </w:tc>
        <w:tc>
          <w:tcPr>
            <w:tcW w:w="0" w:type="auto"/>
            <w:vAlign w:val="center"/>
          </w:tcPr>
          <w:p w14:paraId="4285FC1E" w14:textId="77777777" w:rsidR="00BD7DBF" w:rsidRDefault="00123116">
            <w:r>
              <w:t>K–12 / Teacher Edu</w:t>
            </w:r>
            <w:r>
              <w:t>cation</w:t>
            </w:r>
          </w:p>
        </w:tc>
        <w:tc>
          <w:tcPr>
            <w:tcW w:w="0" w:type="auto"/>
            <w:vAlign w:val="center"/>
          </w:tcPr>
          <w:p w14:paraId="2925F500" w14:textId="77777777" w:rsidR="00BD7DBF" w:rsidRDefault="00123116">
            <w:r>
              <w:t>1. Technical understanding</w:t>
            </w:r>
          </w:p>
          <w:p w14:paraId="3034BC45" w14:textId="77777777" w:rsidR="00BD7DBF" w:rsidRDefault="00123116">
            <w:r>
              <w:t>2. Pedagogical integration</w:t>
            </w:r>
          </w:p>
          <w:p w14:paraId="7227708A" w14:textId="77777777" w:rsidR="00BD7DBF" w:rsidRDefault="00123116">
            <w:r>
              <w:t>3. Ethical and policy literacy</w:t>
            </w:r>
          </w:p>
        </w:tc>
        <w:tc>
          <w:tcPr>
            <w:tcW w:w="0" w:type="auto"/>
            <w:vAlign w:val="center"/>
          </w:tcPr>
          <w:p w14:paraId="6E15574A" w14:textId="77777777" w:rsidR="00BD7DBF" w:rsidRDefault="00123116">
            <w:r>
              <w:t>Human-centered, ethics-first</w:t>
            </w:r>
          </w:p>
        </w:tc>
        <w:tc>
          <w:tcPr>
            <w:tcW w:w="0" w:type="auto"/>
            <w:vAlign w:val="center"/>
          </w:tcPr>
          <w:p w14:paraId="43C2A725" w14:textId="77777777" w:rsidR="00BD7DBF" w:rsidRDefault="00123116">
            <w:r>
              <w:t>Focuses on teacher capacity-building and policy alignment; emphasizes responsible classroom use.</w:t>
            </w:r>
          </w:p>
        </w:tc>
      </w:tr>
      <w:tr w:rsidR="00BD7DBF" w14:paraId="362C4171" w14:textId="77777777">
        <w:trPr>
          <w:tblCellSpacing w:w="15" w:type="dxa"/>
        </w:trPr>
        <w:tc>
          <w:tcPr>
            <w:tcW w:w="0" w:type="auto"/>
            <w:vAlign w:val="center"/>
          </w:tcPr>
          <w:p w14:paraId="2F7119FC" w14:textId="77777777" w:rsidR="00BD7DBF" w:rsidRDefault="00123116">
            <w:r>
              <w:rPr>
                <w:rStyle w:val="Strong"/>
              </w:rPr>
              <w:t>MIT Media Lab (2021) – “K–12 AI Liter</w:t>
            </w:r>
            <w:r>
              <w:rPr>
                <w:rStyle w:val="Strong"/>
              </w:rPr>
              <w:t>acy Framework”</w:t>
            </w:r>
            <w:r>
              <w:rPr>
                <w:rStyle w:val="Strong"/>
              </w:rPr>
              <w:fldChar w:fldCharType="begin"/>
            </w:r>
            <w:r>
              <w:rPr>
                <w:rStyle w:val="Strong"/>
              </w:rPr>
              <w:instrText xml:space="preserve"> ADDIN ZOTERO_ITEM CSL_CITATION {"citationID":"0jYQXd4f","properties":{"formattedCitation":"({\\i{}Project Overview \\uc0\\u8249{} Impact.AI}, n.d.)","plainCitation":"(Project Overview ‹ Impact.AI, n.d.)","noteIndex":0},"citationItems":[{"id"</w:instrText>
            </w:r>
            <w:r>
              <w:rPr>
                <w:rStyle w:val="Strong"/>
              </w:rPr>
              <w:instrText>:9549,"uris":["http://zotero.org/users/16652950/items/8I8A93VQ"],"itemData":{"id":9549,"type":"webpage","abstract":"Today’s artificial intelligence (AI) technologies are changing how many people play, work, learn, and govern themselves. Due to this rapid t</w:instrText>
            </w:r>
            <w:r>
              <w:rPr>
                <w:rStyle w:val="Strong"/>
              </w:rPr>
              <w:instrText>echnological change…","container-title":"MIT Media Lab","title":"Project Overview ‹ Impact.AI: K-12 AI Literacy","title-short":"Project Overview ‹ Impact.AI","URL":"https://www.media.mit.edu/projects/impact-ai-k-12/overview/","accessed":{"date-parts":[["20</w:instrText>
            </w:r>
            <w:r>
              <w:rPr>
                <w:rStyle w:val="Strong"/>
              </w:rPr>
              <w:instrText xml:space="preserve">25",10,26]]}}}],"schema":"https://github.com/citation-style-language/schema/raw/master/csl-citation.json"}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Project Overview ‹ Impact.AI</w:t>
            </w:r>
            <w:r>
              <w:rPr>
                <w:rFonts w:ascii="Calibri" w:hAnsi="Calibri" w:cs="Calibri"/>
                <w:szCs w:val="24"/>
              </w:rPr>
              <w:t>, n.d.)</w:t>
            </w:r>
            <w:r>
              <w:rPr>
                <w:rStyle w:val="Strong"/>
              </w:rPr>
              <w:fldChar w:fldCharType="end"/>
            </w:r>
          </w:p>
        </w:tc>
        <w:tc>
          <w:tcPr>
            <w:tcW w:w="0" w:type="auto"/>
            <w:vAlign w:val="center"/>
          </w:tcPr>
          <w:p w14:paraId="20FE9252" w14:textId="77777777" w:rsidR="00BD7DBF" w:rsidRDefault="00123116">
            <w:r>
              <w:t>Primary &amp; Secondary Education</w:t>
            </w:r>
          </w:p>
        </w:tc>
        <w:tc>
          <w:tcPr>
            <w:tcW w:w="0" w:type="auto"/>
            <w:vAlign w:val="center"/>
          </w:tcPr>
          <w:p w14:paraId="614008FD" w14:textId="77777777" w:rsidR="00BD7DBF" w:rsidRDefault="00123116">
            <w:r>
              <w:t>1. Perception and representation</w:t>
            </w:r>
          </w:p>
          <w:p w14:paraId="70A5AA66" w14:textId="77777777" w:rsidR="00BD7DBF" w:rsidRDefault="00123116">
            <w:r>
              <w:t>2. Learning and reasoning</w:t>
            </w:r>
          </w:p>
          <w:p w14:paraId="1E86F8C1" w14:textId="77777777" w:rsidR="00BD7DBF" w:rsidRDefault="00123116">
            <w:r>
              <w:t>3. Natural interacti</w:t>
            </w:r>
            <w:r>
              <w:t>on</w:t>
            </w:r>
          </w:p>
          <w:p w14:paraId="3B01B498" w14:textId="77777777" w:rsidR="00BD7DBF" w:rsidRDefault="00123116">
            <w:r>
              <w:t>4. Societal impact</w:t>
            </w:r>
          </w:p>
        </w:tc>
        <w:tc>
          <w:tcPr>
            <w:tcW w:w="0" w:type="auto"/>
            <w:vAlign w:val="center"/>
          </w:tcPr>
          <w:p w14:paraId="4B79F2B3" w14:textId="77777777" w:rsidR="00BD7DBF" w:rsidRDefault="00123116">
            <w:r>
              <w:t>Project-based, experiential</w:t>
            </w:r>
          </w:p>
        </w:tc>
        <w:tc>
          <w:tcPr>
            <w:tcW w:w="0" w:type="auto"/>
            <w:vAlign w:val="center"/>
          </w:tcPr>
          <w:p w14:paraId="2060A1CF" w14:textId="77777777" w:rsidR="00BD7DBF" w:rsidRDefault="00123116">
            <w:r>
              <w:t>Uses hands-on activities (robotics, ML experiments); integrates social and technical dimensions.</w:t>
            </w:r>
          </w:p>
        </w:tc>
      </w:tr>
      <w:tr w:rsidR="00BD7DBF" w14:paraId="268EF321" w14:textId="77777777">
        <w:trPr>
          <w:tblCellSpacing w:w="15" w:type="dxa"/>
        </w:trPr>
        <w:tc>
          <w:tcPr>
            <w:tcW w:w="0" w:type="auto"/>
            <w:vAlign w:val="center"/>
          </w:tcPr>
          <w:p w14:paraId="5AD74B37" w14:textId="77777777" w:rsidR="00BD7DBF" w:rsidRDefault="00123116">
            <w:r>
              <w:rPr>
                <w:rStyle w:val="Strong"/>
              </w:rPr>
              <w:t>AI4K12 Initiative (</w:t>
            </w:r>
            <w:proofErr w:type="spellStart"/>
            <w:r>
              <w:rPr>
                <w:rStyle w:val="Strong"/>
              </w:rPr>
              <w:t>Touretzky</w:t>
            </w:r>
            <w:proofErr w:type="spellEnd"/>
            <w:r>
              <w:rPr>
                <w:rStyle w:val="Strong"/>
              </w:rPr>
              <w:t xml:space="preserve"> et al., 2019)</w:t>
            </w:r>
            <w:r>
              <w:rPr>
                <w:rStyle w:val="Strong"/>
              </w:rPr>
              <w:fldChar w:fldCharType="begin"/>
            </w:r>
            <w:r>
              <w:rPr>
                <w:rStyle w:val="Strong"/>
              </w:rPr>
              <w:instrText xml:space="preserve"> ADDIN ZOTERO_ITEM CSL_CITATION {"citationID":"WNYC5Px0","properti</w:instrText>
            </w:r>
            <w:r>
              <w:rPr>
                <w:rStyle w:val="Strong"/>
              </w:rPr>
              <w:instrText>es":{"formattedCitation":"({\\i{}AI4K12}, n.d.)","plainCitation":"(AI4K12, n.d.)","noteIndex":0},"citationItems":[{"id":9552,"uris":["http://zotero.org/users/16652950/items/STTI6DIK"],"itemData":{"id":9552,"type":"webpage","abstract":"Sparking Curiosity in</w:instrText>
            </w:r>
            <w:r>
              <w:rPr>
                <w:rStyle w:val="Strong"/>
              </w:rPr>
              <w:instrText xml:space="preserve"> AI","container-title":"AI4K12","language":"en-US","title":"AI4K12","URL":"https://ai4k12.org/","accessed":{"date-parts":[["2025",10,26]]}}}],"schema":"https://github.com/citation-style-language/schema/raw/master/csl-citation.json"}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AI4K12</w:t>
            </w:r>
            <w:r>
              <w:rPr>
                <w:rFonts w:ascii="Calibri" w:hAnsi="Calibri" w:cs="Calibri"/>
                <w:szCs w:val="24"/>
              </w:rPr>
              <w:t>, n.d.)</w:t>
            </w:r>
            <w:r>
              <w:rPr>
                <w:rStyle w:val="Strong"/>
              </w:rPr>
              <w:fldChar w:fldCharType="end"/>
            </w:r>
          </w:p>
        </w:tc>
        <w:tc>
          <w:tcPr>
            <w:tcW w:w="0" w:type="auto"/>
            <w:vAlign w:val="center"/>
          </w:tcPr>
          <w:p w14:paraId="106D5B8B" w14:textId="77777777" w:rsidR="00BD7DBF" w:rsidRDefault="00123116">
            <w:r>
              <w:t>K–12</w:t>
            </w:r>
          </w:p>
        </w:tc>
        <w:tc>
          <w:tcPr>
            <w:tcW w:w="0" w:type="auto"/>
            <w:vAlign w:val="center"/>
          </w:tcPr>
          <w:p w14:paraId="4E5D9FD0" w14:textId="77777777" w:rsidR="00BD7DBF" w:rsidRDefault="00123116">
            <w:r>
              <w:t>1. Representation &amp; reasoning</w:t>
            </w:r>
          </w:p>
          <w:p w14:paraId="78C8D0DE" w14:textId="77777777" w:rsidR="00BD7DBF" w:rsidRDefault="00123116">
            <w:r>
              <w:t>2. Learning</w:t>
            </w:r>
          </w:p>
          <w:p w14:paraId="4B01BA7A" w14:textId="77777777" w:rsidR="00BD7DBF" w:rsidRDefault="00123116">
            <w:r>
              <w:t>3. Natural interaction</w:t>
            </w:r>
          </w:p>
          <w:p w14:paraId="1C5BAE78" w14:textId="77777777" w:rsidR="00BD7DBF" w:rsidRDefault="00123116">
            <w:r>
              <w:t>4. Societal implications</w:t>
            </w:r>
          </w:p>
          <w:p w14:paraId="0440E466" w14:textId="77777777" w:rsidR="00BD7DBF" w:rsidRDefault="00123116">
            <w:r>
              <w:lastRenderedPageBreak/>
              <w:t>5. Perception</w:t>
            </w:r>
          </w:p>
        </w:tc>
        <w:tc>
          <w:tcPr>
            <w:tcW w:w="0" w:type="auto"/>
            <w:vAlign w:val="center"/>
          </w:tcPr>
          <w:p w14:paraId="4886D660" w14:textId="77777777" w:rsidR="00BD7DBF" w:rsidRDefault="00123116">
            <w:r>
              <w:lastRenderedPageBreak/>
              <w:t>Inquiry-based, spiral curriculum</w:t>
            </w:r>
          </w:p>
        </w:tc>
        <w:tc>
          <w:tcPr>
            <w:tcW w:w="0" w:type="auto"/>
            <w:vAlign w:val="center"/>
          </w:tcPr>
          <w:p w14:paraId="77DAF8FD" w14:textId="77777777" w:rsidR="00BD7DBF" w:rsidRDefault="00123116">
            <w:r>
              <w:t>Establishes five “big ideas of AI”; scaffolds learning across grade bands.</w:t>
            </w:r>
          </w:p>
        </w:tc>
      </w:tr>
      <w:tr w:rsidR="00BD7DBF" w14:paraId="21DA9B6D" w14:textId="77777777">
        <w:trPr>
          <w:tblCellSpacing w:w="15" w:type="dxa"/>
        </w:trPr>
        <w:tc>
          <w:tcPr>
            <w:tcW w:w="0" w:type="auto"/>
            <w:vAlign w:val="center"/>
          </w:tcPr>
          <w:p w14:paraId="5511FE25" w14:textId="77777777" w:rsidR="00BD7DBF" w:rsidRDefault="00123116">
            <w:r>
              <w:rPr>
                <w:rStyle w:val="Strong"/>
              </w:rPr>
              <w:t>OECD (2022) – “AI and the Future of Skills”</w:t>
            </w:r>
            <w:r>
              <w:rPr>
                <w:rStyle w:val="Strong"/>
              </w:rPr>
              <w:t xml:space="preserve"> Framework</w:t>
            </w:r>
            <w:r>
              <w:rPr>
                <w:rStyle w:val="Strong"/>
              </w:rPr>
              <w:fldChar w:fldCharType="begin"/>
            </w:r>
            <w:r>
              <w:rPr>
                <w:rStyle w:val="Strong"/>
              </w:rPr>
              <w:instrText xml:space="preserve"> ADDIN ZOTERO_ITEM CSL_CITATION {"citationID":"ogzJKRiK","properties":{"formattedCitation":"({\\i{}AI and the Future of Skills, Volume 2}, 2023)","plainCitation":"(AI and the Future of Skills, Volume 2, 2023)","noteIndex":0},"citationItems":[{"id</w:instrText>
            </w:r>
            <w:r>
              <w:rPr>
                <w:rStyle w:val="Strong"/>
              </w:rPr>
              <w:instrText>":9554,"uris":["http://zotero.org/users/16652950/items/RAMK6E7A"],"itemData":{"id":9554,"type":"webpage","abstract":"This volume describes the second phase of the project: exploring three different approaches to assessing AI.","container-title":"OECD","lan</w:instrText>
            </w:r>
            <w:r>
              <w:rPr>
                <w:rStyle w:val="Strong"/>
              </w:rPr>
              <w:instrText>guage":"en","title":"AI and the Future of Skills, Volume 2","URL":"https://www.oecd.org/en/publications/ai-and-the-future-of-skills-volume-2_a9fe53cb-en.html","accessed":{"date-parts":[["2025",10,26]]},"issued":{"date-parts":[["2023",11,15]]}}}],"schema":"</w:instrText>
            </w:r>
            <w:r>
              <w:rPr>
                <w:rStyle w:val="Strong"/>
              </w:rPr>
              <w:instrText xml:space="preserve">https://github.com/citation-style-language/schema/raw/master/csl-citation.json"} </w:instrText>
            </w:r>
            <w:r>
              <w:rPr>
                <w:rStyle w:val="Strong"/>
              </w:rPr>
              <w:fldChar w:fldCharType="separate"/>
            </w:r>
            <w:r>
              <w:rPr>
                <w:rFonts w:ascii="Calibri" w:hAnsi="Calibri" w:cs="Calibri"/>
                <w:szCs w:val="24"/>
              </w:rPr>
              <w:t>(</w:t>
            </w:r>
            <w:r>
              <w:rPr>
                <w:rFonts w:ascii="Calibri" w:hAnsi="Calibri" w:cs="Calibri"/>
                <w:i/>
                <w:iCs/>
                <w:szCs w:val="24"/>
              </w:rPr>
              <w:t>AI and the Future of Skills, Volume 2</w:t>
            </w:r>
            <w:r>
              <w:rPr>
                <w:rFonts w:ascii="Calibri" w:hAnsi="Calibri" w:cs="Calibri"/>
                <w:szCs w:val="24"/>
              </w:rPr>
              <w:t>, 2023)</w:t>
            </w:r>
            <w:r>
              <w:rPr>
                <w:rStyle w:val="Strong"/>
              </w:rPr>
              <w:fldChar w:fldCharType="end"/>
            </w:r>
          </w:p>
        </w:tc>
        <w:tc>
          <w:tcPr>
            <w:tcW w:w="0" w:type="auto"/>
            <w:vAlign w:val="center"/>
          </w:tcPr>
          <w:p w14:paraId="2E4FC462" w14:textId="77777777" w:rsidR="00BD7DBF" w:rsidRDefault="00123116">
            <w:r>
              <w:t>Secondary / Tertiary / Workforce</w:t>
            </w:r>
          </w:p>
        </w:tc>
        <w:tc>
          <w:tcPr>
            <w:tcW w:w="0" w:type="auto"/>
            <w:vAlign w:val="center"/>
          </w:tcPr>
          <w:p w14:paraId="452DAF81" w14:textId="77777777" w:rsidR="00BD7DBF" w:rsidRDefault="00123116">
            <w:r>
              <w:t>1. Human–AI collaboration</w:t>
            </w:r>
          </w:p>
          <w:p w14:paraId="04B2C1C8" w14:textId="77777777" w:rsidR="00BD7DBF" w:rsidRDefault="00123116">
            <w:r>
              <w:t>2. Ethics &amp; governance</w:t>
            </w:r>
          </w:p>
          <w:p w14:paraId="58C0C7EF" w14:textId="77777777" w:rsidR="00BD7DBF" w:rsidRDefault="00123116">
            <w:r>
              <w:t>3. Data &amp; computational literacy</w:t>
            </w:r>
          </w:p>
          <w:p w14:paraId="76C2F117" w14:textId="77777777" w:rsidR="00BD7DBF" w:rsidRDefault="00123116">
            <w:r>
              <w:t xml:space="preserve">4. </w:t>
            </w:r>
            <w:r>
              <w:t>Innovation &amp; creativity</w:t>
            </w:r>
          </w:p>
        </w:tc>
        <w:tc>
          <w:tcPr>
            <w:tcW w:w="0" w:type="auto"/>
            <w:vAlign w:val="center"/>
          </w:tcPr>
          <w:p w14:paraId="2FA7F452" w14:textId="77777777" w:rsidR="00BD7DBF" w:rsidRDefault="00123116">
            <w:r>
              <w:t>Interdisciplinary, reflective</w:t>
            </w:r>
          </w:p>
        </w:tc>
        <w:tc>
          <w:tcPr>
            <w:tcW w:w="0" w:type="auto"/>
            <w:vAlign w:val="center"/>
          </w:tcPr>
          <w:p w14:paraId="5954B618" w14:textId="77777777" w:rsidR="00BD7DBF" w:rsidRDefault="00123116">
            <w:r>
              <w:t>Emphasizes lifelong learning, global citizenship, and equitable participation in AI-driven economies.</w:t>
            </w:r>
          </w:p>
        </w:tc>
      </w:tr>
      <w:tr w:rsidR="00BD7DBF" w14:paraId="01CD7F0C" w14:textId="77777777">
        <w:trPr>
          <w:tblCellSpacing w:w="15" w:type="dxa"/>
        </w:trPr>
        <w:tc>
          <w:tcPr>
            <w:tcW w:w="0" w:type="auto"/>
            <w:vAlign w:val="center"/>
          </w:tcPr>
          <w:p w14:paraId="5A895CDE" w14:textId="77777777" w:rsidR="00BD7DBF" w:rsidRDefault="00123116">
            <w:r>
              <w:rPr>
                <w:rStyle w:val="Strong"/>
              </w:rPr>
              <w:t>Microsoft &amp; ISTE (2021) – “AI Explorations Framework”</w:t>
            </w:r>
          </w:p>
        </w:tc>
        <w:tc>
          <w:tcPr>
            <w:tcW w:w="0" w:type="auto"/>
            <w:vAlign w:val="center"/>
          </w:tcPr>
          <w:p w14:paraId="62BC9A4C" w14:textId="77777777" w:rsidR="00BD7DBF" w:rsidRDefault="00123116">
            <w:r>
              <w:t>K–12 / Teacher PD</w:t>
            </w:r>
          </w:p>
        </w:tc>
        <w:tc>
          <w:tcPr>
            <w:tcW w:w="0" w:type="auto"/>
            <w:vAlign w:val="center"/>
          </w:tcPr>
          <w:p w14:paraId="787833CB" w14:textId="77777777" w:rsidR="00BD7DBF" w:rsidRDefault="00123116">
            <w:r>
              <w:t>1. AI concepts</w:t>
            </w:r>
          </w:p>
          <w:p w14:paraId="3667D8F3" w14:textId="77777777" w:rsidR="00BD7DBF" w:rsidRDefault="00123116">
            <w:r>
              <w:t>2. Practical</w:t>
            </w:r>
            <w:r>
              <w:t xml:space="preserve"> applications</w:t>
            </w:r>
          </w:p>
          <w:p w14:paraId="48FAB2D3" w14:textId="77777777" w:rsidR="00BD7DBF" w:rsidRDefault="00123116">
            <w:r>
              <w:t>3. Societal implications</w:t>
            </w:r>
          </w:p>
        </w:tc>
        <w:tc>
          <w:tcPr>
            <w:tcW w:w="0" w:type="auto"/>
            <w:vAlign w:val="center"/>
          </w:tcPr>
          <w:p w14:paraId="54AB2C9B" w14:textId="77777777" w:rsidR="00BD7DBF" w:rsidRDefault="00123116">
            <w:r>
              <w:t>Project-based, practice-oriented</w:t>
            </w:r>
          </w:p>
        </w:tc>
        <w:tc>
          <w:tcPr>
            <w:tcW w:w="0" w:type="auto"/>
            <w:vAlign w:val="center"/>
          </w:tcPr>
          <w:p w14:paraId="45DB1BFC" w14:textId="77777777" w:rsidR="00BD7DBF" w:rsidRDefault="00123116">
            <w:r>
              <w:t>Integrates AI toolkits for classroom use; aligns with STEM and computer science standards.</w:t>
            </w:r>
          </w:p>
        </w:tc>
      </w:tr>
    </w:tbl>
    <w:p w14:paraId="438FA36F" w14:textId="77777777" w:rsidR="00BD7DBF" w:rsidRDefault="0012311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 Gaps: equity, teacher readiness, scalability</w:t>
      </w:r>
    </w:p>
    <w:p w14:paraId="787DBC61"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promising progress, several persist</w:t>
      </w:r>
      <w:r>
        <w:rPr>
          <w:rFonts w:ascii="Times New Roman" w:eastAsia="Times New Roman" w:hAnsi="Times New Roman" w:cs="Times New Roman"/>
          <w:sz w:val="24"/>
          <w:szCs w:val="24"/>
        </w:rPr>
        <w:t>ent gaps challenge scalable curriculum adoption:</w:t>
      </w:r>
    </w:p>
    <w:p w14:paraId="0AB0CB07"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Equity concerns</w:t>
      </w:r>
      <w:r>
        <w:rPr>
          <w:rFonts w:ascii="Times New Roman" w:eastAsia="Times New Roman" w:hAnsi="Times New Roman" w:cs="Times New Roman"/>
          <w:sz w:val="24"/>
          <w:szCs w:val="24"/>
        </w:rPr>
        <w:t>: Unequal access to technology and expertise risks deepening digital and social divides.</w:t>
      </w:r>
    </w:p>
    <w:p w14:paraId="3B6993B3"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Teacher readiness</w:t>
      </w:r>
      <w:r>
        <w:rPr>
          <w:rFonts w:ascii="Times New Roman" w:eastAsia="Times New Roman" w:hAnsi="Times New Roman" w:cs="Times New Roman"/>
          <w:sz w:val="24"/>
          <w:szCs w:val="24"/>
        </w:rPr>
        <w:t>: Many educators lack confidence or training in AI pedagogy, limiting implementation q</w:t>
      </w:r>
      <w:r>
        <w:rPr>
          <w:rFonts w:ascii="Times New Roman" w:eastAsia="Times New Roman" w:hAnsi="Times New Roman" w:cs="Times New Roman"/>
          <w:sz w:val="24"/>
          <w:szCs w:val="24"/>
        </w:rPr>
        <w:t>uality.</w:t>
      </w:r>
    </w:p>
    <w:p w14:paraId="5C5410CB"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Scalability</w:t>
      </w:r>
      <w:r>
        <w:rPr>
          <w:rFonts w:ascii="Times New Roman" w:eastAsia="Times New Roman" w:hAnsi="Times New Roman" w:cs="Times New Roman"/>
          <w:sz w:val="24"/>
          <w:szCs w:val="24"/>
        </w:rPr>
        <w:t>: Programs often remain pilot-based or siloed, without sustained policy or institutional support.</w:t>
      </w:r>
    </w:p>
    <w:p w14:paraId="201522A0" w14:textId="77777777" w:rsidR="00BD7DBF" w:rsidRDefault="00123116">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Curricular coherence</w:t>
      </w:r>
      <w:r>
        <w:rPr>
          <w:rFonts w:ascii="Times New Roman" w:eastAsia="Times New Roman" w:hAnsi="Times New Roman" w:cs="Times New Roman"/>
          <w:sz w:val="24"/>
          <w:szCs w:val="24"/>
        </w:rPr>
        <w:t>: Fragmented efforts result in overlapping or inconsistent learning expectations across grade levels.</w:t>
      </w:r>
    </w:p>
    <w:p w14:paraId="65DE16A9" w14:textId="77777777" w:rsidR="00BD7DBF" w:rsidRDefault="00123116">
      <w:pPr>
        <w:spacing w:before="100" w:beforeAutospacing="1" w:after="100" w:afterAutospacing="1" w:line="240" w:lineRule="auto"/>
        <w:rPr>
          <w:rStyle w:val="Emphasis"/>
        </w:rPr>
      </w:pPr>
      <w:r>
        <w:rPr>
          <w:rFonts w:ascii="Times New Roman" w:eastAsia="Times New Roman" w:hAnsi="Times New Roman" w:cs="Times New Roman"/>
          <w:sz w:val="24"/>
          <w:szCs w:val="24"/>
        </w:rPr>
        <w:t xml:space="preserve">Addressing these </w:t>
      </w:r>
      <w:r>
        <w:rPr>
          <w:rFonts w:ascii="Times New Roman" w:eastAsia="Times New Roman" w:hAnsi="Times New Roman" w:cs="Times New Roman"/>
          <w:sz w:val="24"/>
          <w:szCs w:val="24"/>
        </w:rPr>
        <w:t>gaps requires coordinated systems-level action and resources to ensure that AI literacy opportunities are distributed fairly and sustainably.</w:t>
      </w:r>
      <w:r>
        <w:rPr>
          <w:rStyle w:val="Emphasis"/>
        </w:rPr>
        <w:t xml:space="preserve"> </w:t>
      </w:r>
      <w:r>
        <w:rPr>
          <w:rStyle w:val="Emphasis"/>
          <w:rFonts w:ascii="Times New Roman" w:hAnsi="Times New Roman" w:cs="Times New Roman"/>
          <w:sz w:val="24"/>
          <w:szCs w:val="24"/>
        </w:rPr>
        <w:t>Figure 1 presents the conceptual ecosystem underlying AI literacy curriculum design, emphasizing the interconnecti</w:t>
      </w:r>
      <w:r>
        <w:rPr>
          <w:rStyle w:val="Emphasis"/>
          <w:rFonts w:ascii="Times New Roman" w:hAnsi="Times New Roman" w:cs="Times New Roman"/>
          <w:sz w:val="24"/>
          <w:szCs w:val="24"/>
        </w:rPr>
        <w:t>ons between teacher capacity, curricular structure, student engagement, and supporting infrastructure</w:t>
      </w:r>
      <w:r>
        <w:rPr>
          <w:rStyle w:val="Emphasis"/>
        </w:rPr>
        <w:t>.</w:t>
      </w:r>
    </w:p>
    <w:p w14:paraId="141836A0" w14:textId="77777777" w:rsidR="00BD7DBF" w:rsidRDefault="001231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36759B" wp14:editId="154A6678">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FF45ACF" w14:textId="77777777" w:rsidR="00BD7DBF" w:rsidRDefault="00123116">
      <w:pPr>
        <w:pStyle w:val="NormalWeb"/>
      </w:pPr>
      <w:r>
        <w:rPr>
          <w:rStyle w:val="Strong"/>
        </w:rPr>
        <w:t>Figure 1. Conceptual Ecosystem of AI Literacy Curriculum</w:t>
      </w:r>
      <w:r>
        <w:t xml:space="preserve">. This conceptual diagram illustrates the interdependent components of the AI literacy curriculum ecosystem. It positions </w:t>
      </w:r>
      <w:r>
        <w:rPr>
          <w:rStyle w:val="Strong"/>
        </w:rPr>
        <w:t>teacher training</w:t>
      </w:r>
      <w:r>
        <w:t xml:space="preserve">, </w:t>
      </w:r>
      <w:r>
        <w:rPr>
          <w:rStyle w:val="Strong"/>
        </w:rPr>
        <w:t>curriculum design</w:t>
      </w:r>
      <w:r>
        <w:t xml:space="preserve">, </w:t>
      </w:r>
      <w:r>
        <w:rPr>
          <w:rStyle w:val="Strong"/>
        </w:rPr>
        <w:t>student learning</w:t>
      </w:r>
      <w:r>
        <w:t xml:space="preserve">, and </w:t>
      </w:r>
      <w:r>
        <w:rPr>
          <w:rStyle w:val="Strong"/>
        </w:rPr>
        <w:t>resources and tools</w:t>
      </w:r>
      <w:r>
        <w:t xml:space="preserve"> as interconnected domains supported by cross-sector collaboration. The central brain icon symbolizes the integration of </w:t>
      </w:r>
      <w:r>
        <w:rPr>
          <w:rStyle w:val="Strong"/>
        </w:rPr>
        <w:t>technical knowledge</w:t>
      </w:r>
      <w:r>
        <w:t xml:space="preserve">, </w:t>
      </w:r>
      <w:r>
        <w:rPr>
          <w:rStyle w:val="Strong"/>
        </w:rPr>
        <w:t>ethical awareness</w:t>
      </w:r>
      <w:r>
        <w:t xml:space="preserve">, and </w:t>
      </w:r>
      <w:r>
        <w:rPr>
          <w:rStyle w:val="Strong"/>
        </w:rPr>
        <w:t>human–AI collaboration</w:t>
      </w:r>
      <w:r>
        <w:t xml:space="preserve"> at the core of AI literacy education. The cyclical structure reflect</w:t>
      </w:r>
      <w:r>
        <w:t>s the dynamic feedback between pedagogy, policy, and practice.</w:t>
      </w:r>
    </w:p>
    <w:p w14:paraId="5C4CAA5D" w14:textId="77777777" w:rsidR="00BD7DBF" w:rsidRDefault="00BD7DBF">
      <w:pPr>
        <w:spacing w:before="100" w:beforeAutospacing="1" w:after="100" w:afterAutospacing="1" w:line="240" w:lineRule="auto"/>
        <w:rPr>
          <w:rFonts w:ascii="Times New Roman" w:eastAsia="Times New Roman" w:hAnsi="Times New Roman" w:cs="Times New Roman"/>
          <w:sz w:val="24"/>
          <w:szCs w:val="24"/>
        </w:rPr>
      </w:pPr>
    </w:p>
    <w:p w14:paraId="043092AC" w14:textId="77777777" w:rsidR="00BD7DBF" w:rsidRDefault="00123116">
      <w:pPr>
        <w:pStyle w:val="Heading2"/>
        <w:rPr>
          <w:sz w:val="24"/>
          <w:szCs w:val="24"/>
        </w:rPr>
      </w:pPr>
      <w:r>
        <w:rPr>
          <w:rStyle w:val="Strong"/>
          <w:b/>
          <w:bCs/>
          <w:sz w:val="24"/>
          <w:szCs w:val="24"/>
        </w:rPr>
        <w:t>5. Pedagogical Models Supporting AI Literacy</w:t>
      </w:r>
    </w:p>
    <w:p w14:paraId="56777EA4" w14:textId="77777777" w:rsidR="00BD7DBF" w:rsidRDefault="00123116">
      <w:pPr>
        <w:pStyle w:val="Heading3"/>
      </w:pPr>
      <w:r>
        <w:rPr>
          <w:rStyle w:val="Strong"/>
          <w:b/>
          <w:bCs/>
        </w:rPr>
        <w:lastRenderedPageBreak/>
        <w:t>5.1 Constructivist and inquiry-based learning approaches</w:t>
      </w:r>
    </w:p>
    <w:p w14:paraId="41422F39" w14:textId="77777777" w:rsidR="00BD7DBF" w:rsidRDefault="00123116">
      <w:pPr>
        <w:pStyle w:val="NormalWeb"/>
      </w:pPr>
      <w:r>
        <w:t>Constructivist pedagogy forms a foundational approach to AI literacy instruction. Inquiry-</w:t>
      </w:r>
      <w:r>
        <w:t>based models encourage learners to develop their own understanding of AI by questioning how intelligent systems perceive, learn, and act. Students are positioned as active knowledge builders rather than passive recipients of information, engaging in explor</w:t>
      </w:r>
      <w:r>
        <w:t>ation, reflection, and collaborative discourse. This model also supports the development of critical thinking skills as learners analyze the assumptions and limitations embedded in AI technologies</w:t>
      </w:r>
      <w:r>
        <w:fldChar w:fldCharType="begin"/>
      </w:r>
      <w:r>
        <w:instrText xml:space="preserve"> ADDIN ZOTERO_ITEM CSL_CITATION {"citationID":"LPHSo3q4","pr</w:instrText>
      </w:r>
      <w:r>
        <w:instrText>operties":{"formattedCitation":"(Wang et al., 2025)","plainCitation":"(Wang et al., 2025)","noteIndex":0},"citationItems":[{"id":9558,"uris":["http://zotero.org/users/16652950/items/7BLEZHAL"],"itemData":{"id":9558,"type":"article-journal","abstract":"This</w:instrText>
      </w:r>
      <w:r>
        <w:instrText xml:space="preserve"> study, grounded in constructivist theory, presents an innovative artificial intelligence (AI) course framework for undergraduate students from the School of Artificial Intelligence at Anhui University. This research focuses on students’ perceptions and ex</w:instrText>
      </w:r>
      <w:r>
        <w:instrText>plores the impact of blogs as a platform for assignment submission in an AI course. Data are collected using structured questionnaires and analyzed quantitatively using a partial least squares structural equation model. Additionally, interviews are conduct</w:instrText>
      </w:r>
      <w:r>
        <w:instrText>ed to provide nuanced insights and contextual explanations, thus supplementing the quantitative findings. This study explores the specific impacts of blogs on students’ learning abilities, learning experiences, academic outcomes, and overall satisfaction w</w:instrText>
      </w:r>
      <w:r>
        <w:instrText xml:space="preserve">ithin the AI course. By leveraging blogs as pedagogical tools, this study highlights their potential to transform traditional teaching methods and promote active learning and knowledge sharing in higher education. The proposed course framework also offers </w:instrText>
      </w:r>
      <w:r>
        <w:instrText>a scalable model that can be adapted for other science and engineering disciplines in colleges and universities.","container-title":"Education Sciences","DOI":"10.3390/educsci15020217","ISSN":"2227-7102","issue":"2","language":"en","license":"http://creati</w:instrText>
      </w:r>
      <w:r>
        <w:instrText>vecommons.org/licenses/by/3.0/","note":"publisher: Multidisciplinary Digital Publishing Institute","page":"217","source":"www.mdpi.com","title":"Enhance College AI Course Learning Experience with Constructivism-Based Blog Assignments","volume":"15","author</w:instrText>
      </w:r>
      <w:r>
        <w:instrText xml:space="preserve">":[{"family":"Wang","given":"Di"},{"family":"Dong","given":"Xingbo"},{"family":"Zhong","given":"Jingxun"}],"issued":{"date-parts":[["2025",2]]}}}],"schema":"https://github.com/citation-style-language/schema/raw/master/csl-citation.json"} </w:instrText>
      </w:r>
      <w:r>
        <w:fldChar w:fldCharType="separate"/>
      </w:r>
      <w:r>
        <w:t>(Wang et al., 2025</w:t>
      </w:r>
      <w:r>
        <w:t>)</w:t>
      </w:r>
      <w:r>
        <w:fldChar w:fldCharType="end"/>
      </w:r>
      <w:r>
        <w:t>.</w:t>
      </w:r>
    </w:p>
    <w:p w14:paraId="231A68CA" w14:textId="77777777" w:rsidR="00BD7DBF" w:rsidRDefault="00123116">
      <w:pPr>
        <w:pStyle w:val="Heading3"/>
      </w:pPr>
      <w:r>
        <w:rPr>
          <w:rStyle w:val="Strong"/>
          <w:b/>
          <w:bCs/>
        </w:rPr>
        <w:t>5.2 Project-based and experiential learning</w:t>
      </w:r>
    </w:p>
    <w:p w14:paraId="4732C102" w14:textId="77777777" w:rsidR="00BD7DBF" w:rsidRDefault="00123116">
      <w:pPr>
        <w:pStyle w:val="NormalWeb"/>
      </w:pPr>
      <w:r>
        <w:t>Project-based and experiential learning approaches provide authentic contexts in which students can design, test, and evaluate AI systems. Activities such as robotics, game design, machine learning experime</w:t>
      </w:r>
      <w:r>
        <w:t xml:space="preserve">nts, and data exploration expose students to the practical dimensions of AI functionality. These pedagogies strengthen conceptual understanding while fostering innovation, resilience, and computational problem-solving. Hands-on engagement enables learners </w:t>
      </w:r>
      <w:r>
        <w:t>to perceive AI as a tool for creative inquiry and societal improvement rather than a distant technical abstraction</w:t>
      </w:r>
      <w:r>
        <w:fldChar w:fldCharType="begin"/>
      </w:r>
      <w:r>
        <w:instrText xml:space="preserve"> ADDIN ZOTERO_ITEM CSL_CITATION {"citationID":"pPSjcNwo","properties":{"formattedCitation":"(Dai et al., 2025)","plainCitation":"(Dai et al., </w:instrText>
      </w:r>
      <w:r>
        <w:instrText>2025)","noteIndex":0},"citationItems":[{"id":9562,"uris":["http://zotero.org/users/16652950/items/HK3JKLHL"],"itemData":{"id":9562,"type":"article-journal","abstract":"Using Generative Artificial Intelligence (GAI) in education has opened new avenues for i</w:instrText>
      </w:r>
      <w:r>
        <w:instrText xml:space="preserve">nnovation, yet its role as an interactive tool with learners remains underexplored. Research in this domain faces challenges from pedagogical complexities and the variability of AI tools. To address these gaps, this study developed an online project-based </w:instrText>
      </w:r>
      <w:r>
        <w:instrText>learning (PBL) platform incorporating a GAI plug-in and conducted a year-long experiment to analyze its impact. Three sets of experimental analyses were performed to examine learners’ methods, cognitive processes, and learning effectiveness. The findings r</w:instrText>
      </w:r>
      <w:r>
        <w:instrText>eveal that GAI significantly influenced students’ learning approaches, cognitive engagement, and learning effectiveness. Additionally, the study demonstrates that PBL offers an effective framework for investigating the educational implications of GAI, prov</w:instrText>
      </w:r>
      <w:r>
        <w:instrText>iding new insights for future research in this evolving field.","container-title":"Applied Sciences","DOI":"10.3390/app15052369","ISSN":"2076-3417","issue":"5","language":"en","license":"http://creativecommons.org/licenses/by/3.0/","note":"publisher: Multi</w:instrText>
      </w:r>
      <w:r>
        <w:instrText>disciplinary Digital Publishing Institute","page":"2369","source":"www.mdpi.com","title":"How Generative AI Enables an Online Project-Based Learning Platform: An Applied Study of Learning Behavior Analysis in Undergraduate Students","title-short":"How Gene</w:instrText>
      </w:r>
      <w:r>
        <w:instrText>rative AI Enables an Online Project-Based Learning Platform","volume":"15","author":[{"family":"Dai","given":"Yi"},{"family":"Xiao","given":"Jia-Ying"},{"family":"Huang","given":"Yizhe"},{"family":"Zhai","given":"Xuesong"},{"family":"Wai","given":"Fan-Chun</w:instrText>
      </w:r>
      <w:r>
        <w:instrText xml:space="preserve">"},{"family":"Zhang","given":"Ming"}],"issued":{"date-parts":[["2025",1]]}}}],"schema":"https://github.com/citation-style-language/schema/raw/master/csl-citation.json"} </w:instrText>
      </w:r>
      <w:r>
        <w:fldChar w:fldCharType="separate"/>
      </w:r>
      <w:r>
        <w:t>(Dai et al., 2025)</w:t>
      </w:r>
      <w:r>
        <w:fldChar w:fldCharType="end"/>
      </w:r>
      <w:r>
        <w:t>.</w:t>
      </w:r>
    </w:p>
    <w:p w14:paraId="01234957" w14:textId="77777777" w:rsidR="00BD7DBF" w:rsidRDefault="00123116">
      <w:pPr>
        <w:pStyle w:val="Heading3"/>
      </w:pPr>
      <w:r>
        <w:rPr>
          <w:rStyle w:val="Strong"/>
          <w:b/>
          <w:bCs/>
        </w:rPr>
        <w:t>5.3 Human-centered and ethics-first pedagogies</w:t>
      </w:r>
    </w:p>
    <w:p w14:paraId="41C13964" w14:textId="77777777" w:rsidR="00BD7DBF" w:rsidRDefault="00123116">
      <w:pPr>
        <w:pStyle w:val="NormalWeb"/>
      </w:pPr>
      <w:r>
        <w:t>Human-centered mo</w:t>
      </w:r>
      <w:r>
        <w:t>dels place emphasis on the interaction between AI systems and human users, prioritizing ethical reasoning and social awareness. Ethics-first pedagogies foreground critical issues such as bias, privacy, transparency, and the environmental implications of AI</w:t>
      </w:r>
      <w:r>
        <w:t xml:space="preserve"> infrastructures. These approaches ask learners to consider how AI affects different communities and to advocate for fair and responsible use. Such engagement supports the cultivation of ethical agency and prepares learners to contribute thoughtfully to pu</w:t>
      </w:r>
      <w:r>
        <w:t>blic discussions on AI regulation and design</w:t>
      </w:r>
      <w:r>
        <w:fldChar w:fldCharType="begin"/>
      </w:r>
      <w:r>
        <w:instrText xml:space="preserve"> ADDIN ZOTERO_ITEM CSL_CITATION {"citationID":"1AK13a27","properties":{"formattedCitation":"(Chen et al., 2023)","plainCitation":"(Chen et al., 2023)","noteIndex":0},"citationItems":[{"id":9564,"uris":["http://zo</w:instrText>
      </w:r>
      <w:r>
        <w:instrText>tero.org/users/16652950/items/FIH4T23B"],"itemData":{"id":9564,"type":"article-journal","abstract":"The potential of artificial intelligence (AI) to reduce health care disparities and inequities is recognized, but it can also exacerbate these issues if not</w:instrText>
      </w:r>
      <w:r>
        <w:instrText xml:space="preserve"> implemented in an equitable manner. This perspective identifies potential biases in each ...","container-title":"Journal of Medical Internet Research","DOI":"10.2196/43251","language":"en","note":"PMID: 36961506","page":"e43251","source":"pmc.ncbi.nlm.nih</w:instrText>
      </w:r>
      <w:r>
        <w:instrText>.gov","title":"Human-Centered Design to Address Biases in Artificial Intelligence","volume":"25","author":[{"family":"Chen","given":"You"},{"family":"Clayton","given":"Ellen Wright"},{"family":"Novak","given":"Laurie Lovett"},{"family":"Anders","given":"Sh</w:instrText>
      </w:r>
      <w:r>
        <w:instrText xml:space="preserve">ilo"},{"family":"Malin","given":"Bradley"}],"issued":{"date-parts":[["2023",3,24]]}}}],"schema":"https://github.com/citation-style-language/schema/raw/master/csl-citation.json"} </w:instrText>
      </w:r>
      <w:r>
        <w:fldChar w:fldCharType="separate"/>
      </w:r>
      <w:r>
        <w:t>(Chen et al., 2023)</w:t>
      </w:r>
      <w:r>
        <w:fldChar w:fldCharType="end"/>
      </w:r>
      <w:r>
        <w:t>.</w:t>
      </w:r>
    </w:p>
    <w:p w14:paraId="2CC3804E" w14:textId="77777777" w:rsidR="00BD7DBF" w:rsidRDefault="00123116">
      <w:pPr>
        <w:pStyle w:val="Heading3"/>
      </w:pPr>
      <w:r>
        <w:rPr>
          <w:rStyle w:val="Strong"/>
          <w:b/>
          <w:bCs/>
        </w:rPr>
        <w:t>5.4 Use of AI tools as learning agents</w:t>
      </w:r>
    </w:p>
    <w:p w14:paraId="631E0082" w14:textId="77777777" w:rsidR="00BD7DBF" w:rsidRDefault="00123116">
      <w:pPr>
        <w:pStyle w:val="NormalWeb"/>
      </w:pPr>
      <w:r>
        <w:t>AI tools themse</w:t>
      </w:r>
      <w:r>
        <w:t>lves are increasingly integrated into the learning process as adaptive tutors, collaborators, or feedback agents. Intelligent tutoring systems, generative AI platforms, and conversational agents can personalize instruction, model reasoning, and support ite</w:t>
      </w:r>
      <w:r>
        <w:t>rative learning. Engaging AI as a learning partner provides both functional and meta-cognitive benefits: students practice effective oversight of automated outputs while gaining insight into the strengths and boundaries of AI decision-making. These experie</w:t>
      </w:r>
      <w:r>
        <w:t>nces reinforce students’ roles as informed evaluators of AI-generated content</w:t>
      </w:r>
      <w:r>
        <w:fldChar w:fldCharType="begin"/>
      </w:r>
      <w:r>
        <w:instrText xml:space="preserve"> ADDIN ZOTERO_ITEM CSL_CITATION {"citationID":"291qq4b1","properties":{"formattedCitation":"(Sajja et al., 2024)","plainCitation":"(Sajja et al., 2024)","noteIndex":0},"citationIt</w:instrText>
      </w:r>
      <w:r>
        <w:instrText>ems":[{"id":9568,"uris":["http://zotero.org/users/16652950/items/HMCMHBZ8"],"itemData":{"id":9568,"type":"article-journal","abstract":"This paper presents a novel framework, artificial intelligence-enabled intelligent assistant (AIIA), for personalized and</w:instrText>
      </w:r>
      <w:r>
        <w:instrText xml:space="preserve"> adaptive learning in higher education. The AIIA system leverages advanced AI and natural language processing (NLP) techniques to create an interactive and engaging learning platform. This platform is engineered to reduce cognitive load on learners by prov</w:instrText>
      </w:r>
      <w:r>
        <w:instrText>iding easy access to information, facilitating knowledge assessment, and delivering personalized learning support tailored to individual needs and learning styles. The AIIA’s capabilities include understanding and responding to student inquiries, generatin</w:instrText>
      </w:r>
      <w:r>
        <w:instrText>g quizzes and flashcards, and offering personalized learning pathways. The research findings have the potential to significantly impact the design, implementation, and evaluation of AI-enabled virtual teaching assistants (VTAs) in higher education, informi</w:instrText>
      </w:r>
      <w:r>
        <w:instrText>ng the development of innovative educational tools that can enhance student learning outcomes, engagement, and satisfaction. The paper presents the methodology, system architecture, intelligent services, and integration with learning management systems (LM</w:instrText>
      </w:r>
      <w:r>
        <w:instrText>Ss) while discussing the challenges, limitations, and future directions for the development of AI-enabled intelligent assistants in education.","container-title":"Information","DOI":"10.3390/info15100596","ISSN":"2078-2489","issue":"10","language":"en","li</w:instrText>
      </w:r>
      <w:r>
        <w:instrText>cense":"http://creativecommons.org/licenses/by/3.0/","note":"publisher: Multidisciplinary Digital Publishing Institute","page":"596","source":"www.mdpi.com","title":"Artificial Intelligence-Enabled Intelligent Assistant for Personalized and Adaptive Learni</w:instrText>
      </w:r>
      <w:r>
        <w:instrText>ng in Higher Education","volume":"15","author":[{"family":"Sajja","given":"Ramteja"},{"family":"Sermet","given":"Yusuf"},{"family":"Cikmaz","given":"Muhammed"},{"family":"Cwiertny","given":"David"},{"family":"Demir","given":"Ibrahim"}],"issued":{"date-part</w:instrText>
      </w:r>
      <w:r>
        <w:instrText xml:space="preserve">s":[["2024",10]]}}}],"schema":"https://github.com/citation-style-language/schema/raw/master/csl-citation.json"} </w:instrText>
      </w:r>
      <w:r>
        <w:fldChar w:fldCharType="separate"/>
      </w:r>
      <w:r>
        <w:t>(Sajja et al., 2024)</w:t>
      </w:r>
      <w:r>
        <w:fldChar w:fldCharType="end"/>
      </w:r>
      <w:r>
        <w:t>.</w:t>
      </w:r>
    </w:p>
    <w:p w14:paraId="110662B5" w14:textId="77777777" w:rsidR="00BD7DBF" w:rsidRDefault="00123116">
      <w:pPr>
        <w:pStyle w:val="Heading3"/>
      </w:pPr>
      <w:r>
        <w:rPr>
          <w:rStyle w:val="Strong"/>
          <w:b/>
          <w:bCs/>
        </w:rPr>
        <w:t>5.5 Assessment models for AI literacy competencies</w:t>
      </w:r>
    </w:p>
    <w:p w14:paraId="3D056750" w14:textId="77777777" w:rsidR="00BD7DBF" w:rsidRDefault="00123116">
      <w:pPr>
        <w:pStyle w:val="NormalWeb"/>
      </w:pPr>
      <w:r>
        <w:t>Assessment practices for AI literacy remain emergent but increasingl</w:t>
      </w:r>
      <w:r>
        <w:t>y emphasize multidimensional evaluation across cognitive, practical, and ethical domains. Performance-based assessments—such as design portfolios, reflective case studies, and collaborative problem-solving tasks—capture students’ ability to apply AI concep</w:t>
      </w:r>
      <w:r>
        <w:t xml:space="preserve">ts in meaningful contexts. Formative </w:t>
      </w:r>
      <w:r>
        <w:lastRenderedPageBreak/>
        <w:t>assessment strategies, supported by teacher feedback and AI-driven analytics, help track conceptual growth and meta-cognitive awareness. The inclusion of ethics and human-AI interaction skills in assessment frameworks i</w:t>
      </w:r>
      <w:r>
        <w:t>s critical to ensuring a holistic understanding of AI literacy outcomes</w:t>
      </w:r>
      <w:r>
        <w:fldChar w:fldCharType="begin"/>
      </w:r>
      <w:r>
        <w:instrText xml:space="preserve"> ADDIN ZOTERO_ITEM CSL_CITATION {"citationID":"YBQrhKY1","properties":{"formattedCitation":"(Ayanwale et al., 2024)","plainCitation":"(Ayanwale et al., 2024)","noteIndex":0},"citationIt</w:instrText>
      </w:r>
      <w:r>
        <w:instrText>ems":[{"id":9571,"uris":["http://zotero.org/users/16652950/items/BR2T9XYH"],"itemData":{"id":9571,"type":"article-journal","abstract":"In the context of global integration and increasing reliance on Artificial Intelligence (AI) in education, evaluating the</w:instrText>
      </w:r>
      <w:r>
        <w:instrText xml:space="preserve"> AI literacy of pre-service teachers is crucial. As future architects of educational systems, pre-service teachers must not only possess pedagogical expertise but also a strong foundation in AI literacy. This quantitative study examines AI literacy among 5</w:instrText>
      </w:r>
      <w:r>
        <w:instrText>29 pre-service teachers in a Nigerian university, utilizing structural equation modeling (SEM) for comprehensive analysis. The research explores various dimensions of AI literacy, revealing that a profound understanding of AI significantly predicts positiv</w:instrText>
      </w:r>
      <w:r>
        <w:instrText>e outcomes in AI use, detection, ethics, creation, and problem-solving. However, no correlation exists between AI knowledge and emotion regulation or the assumption that active AI use enhances AI detection capabilities. The study identifies a trade-off bet</w:instrText>
      </w:r>
      <w:r>
        <w:instrText>ween AI application and creation, emphasizing the ethical considerations intertwined with emotional and persuasive facets of AI use. It also supports the link between AI creation and problem-solving, emphasizing the foundational role of AI knowledge in sha</w:instrText>
      </w:r>
      <w:r>
        <w:instrText>ping diverse aspects of AI literacy among pre-service teachers. The findings offer valuable insights for educators, administrators, policymakers, and researchers aiming to enhance AI literacy in pre-service teacher education programs.","container-title":"C</w:instrText>
      </w:r>
      <w:r>
        <w:instrText xml:space="preserve">omputers and Education Open","DOI":"10.1016/j.caeo.2024.100179","ISSN":"2666-5573","journalAbbreviation":"Computers and Education Open","page":"100179","source":"ScienceDirect","title":"Examining artificial intelligence literacy among pre-service teachers </w:instrText>
      </w:r>
      <w:r>
        <w:instrText>for future classrooms","volume":"6","author":[{"family":"Ayanwale","given":"Musa Adekunle"},{"family":"Adelana","given":"Owolabi Paul"},{"family":"Molefi","given":"Rethabile Rosemary"},{"family":"Adeeko","given":"Olalekan"},{"family":"Ishola","given":"Adeb</w:instrText>
      </w:r>
      <w:r>
        <w:instrText xml:space="preserve">ayo Monsur"}],"issued":{"date-parts":[["2024",6,1]]}}}],"schema":"https://github.com/citation-style-language/schema/raw/master/csl-citation.json"} </w:instrText>
      </w:r>
      <w:r>
        <w:fldChar w:fldCharType="separate"/>
      </w:r>
      <w:r>
        <w:t>(Ayanwale et al., 2024)</w:t>
      </w:r>
      <w:r>
        <w:fldChar w:fldCharType="end"/>
      </w:r>
      <w:r>
        <w:t>.</w:t>
      </w:r>
    </w:p>
    <w:p w14:paraId="13592C53" w14:textId="77777777" w:rsidR="00BD7DBF" w:rsidRDefault="00123116">
      <w:pPr>
        <w:pStyle w:val="Heading2"/>
        <w:rPr>
          <w:sz w:val="24"/>
          <w:szCs w:val="24"/>
        </w:rPr>
      </w:pPr>
      <w:r>
        <w:rPr>
          <w:rStyle w:val="Strong"/>
          <w:b/>
          <w:bCs/>
          <w:sz w:val="24"/>
          <w:szCs w:val="24"/>
        </w:rPr>
        <w:t>6. Challenges and Barriers in Curriculum Implementation</w:t>
      </w:r>
    </w:p>
    <w:p w14:paraId="5F0631D6" w14:textId="77777777" w:rsidR="00BD7DBF" w:rsidRDefault="00123116">
      <w:pPr>
        <w:pStyle w:val="Heading3"/>
      </w:pPr>
      <w:r>
        <w:rPr>
          <w:rStyle w:val="Strong"/>
          <w:b/>
          <w:bCs/>
        </w:rPr>
        <w:t xml:space="preserve">6.1 Teacher professional </w:t>
      </w:r>
      <w:r>
        <w:rPr>
          <w:rStyle w:val="Strong"/>
          <w:b/>
          <w:bCs/>
        </w:rPr>
        <w:t>development and misconceptions</w:t>
      </w:r>
    </w:p>
    <w:p w14:paraId="0BB2B5BD" w14:textId="77777777" w:rsidR="00BD7DBF" w:rsidRDefault="00123116">
      <w:pPr>
        <w:pStyle w:val="NormalWeb"/>
      </w:pPr>
      <w:r>
        <w:t>Teachers play a central role in advancing AI literacy, yet many report limited confidence in both their technical knowledge and pedagogical strategies for AI instruction. Misconceptions about AI—such as overly narrow associat</w:t>
      </w:r>
      <w:r>
        <w:t>ions with robotics or fears of replacing human educators—can impede curriculum adoption. Insufficient training opportunities and lack of professional learning communities compound these challenges, resulting in uneven implementation quality across educatio</w:t>
      </w:r>
      <w:r>
        <w:t>nal settings</w:t>
      </w:r>
      <w:r>
        <w:fldChar w:fldCharType="begin"/>
      </w:r>
      <w:r>
        <w:instrText xml:space="preserve"> ADDIN ZOTERO_ITEM CSL_CITATION {"citationID":"6i1f2xvT","properties":{"formattedCitation":"(Traga Philippakos &amp; Rocconi, 2025)","plainCitation":"(Traga Philippakos &amp; Rocconi, 2025)","noteIndex":0},"citationItems":[{"id":9572,"uris":["http://zo</w:instrText>
      </w:r>
      <w:r>
        <w:instrText>tero.org/users/16652950/items/A5LQWC44"],"itemData":{"id":9572,"type":"article-journal","abstract":"The development of artificial intelligence (AI) has had a significant impact on various sectors, including education. The successful integration of AI tools</w:instrText>
      </w:r>
      <w:r>
        <w:instrText xml:space="preserve"> in classrooms depends largely on teachers’ understanding and knowledge, confidence, and training. This study explores how educators in grade 3 to 12 utilize AI tools, their level of confidence employing these tools, and their professional development (PD)</w:instrText>
      </w:r>
      <w:r>
        <w:instrText xml:space="preserve"> needs. It also investigates the challenges educators face integrating AI into their practice. Participants were 242 teachers (79% female). Findings revealed that while most teachers were aware of AI writing tools like ChatGPT, their overall familiarity wi</w:instrText>
      </w:r>
      <w:r>
        <w:instrText>th and understanding of AI concepts were mixed, with slightly less than half currently using AI tools in their instruction. Secondary teachers consistently showed significantly higher levels of AI knowledge, familiarity, usage, and confidence in AI-related</w:instrText>
      </w:r>
      <w:r>
        <w:instrText xml:space="preserve"> teaching practices compared to their elementary counterparts. The primary PD need identified to boost teacher confidence was “Professional development workshops,” with challenges highlighted by lower confidence in areas like AI-based grading and troublesh</w:instrText>
      </w:r>
      <w:r>
        <w:instrText>ooting, alongside desires for clear policies and best practice guidance.","container-title":"Education Sciences","DOI":"10.3390/educsci15091186","ISSN":"2227-7102","issue":"9","language":"en","license":"http://creativecommons.org/licenses/by/3.0/","note":"</w:instrText>
      </w:r>
      <w:r>
        <w:instrText>publisher: Multidisciplinary Digital Publishing Institute","page":"1186","source":"www.mdpi.com","title":"AI Literacy: Elementary and Secondary Teachers’ Use of AI-Tools, Reported Confidence, and Professional Development Needs","title-short":"AI Literacy",</w:instrText>
      </w:r>
      <w:r>
        <w:instrText xml:space="preserve">"volume":"15","author":[{"family":"Traga Philippakos","given":"Zoi A."},{"family":"Rocconi","given":"Louis"}],"issued":{"date-parts":[["2025",9]]}}}],"schema":"https://github.com/citation-style-language/schema/raw/master/csl-citation.json"} </w:instrText>
      </w:r>
      <w:r>
        <w:fldChar w:fldCharType="separate"/>
      </w:r>
      <w:r>
        <w:t>(Traga Philippa</w:t>
      </w:r>
      <w:r>
        <w:t>kos &amp; Rocconi, 2025)</w:t>
      </w:r>
      <w:r>
        <w:fldChar w:fldCharType="end"/>
      </w:r>
      <w:r>
        <w:t>.</w:t>
      </w:r>
    </w:p>
    <w:p w14:paraId="61F2C2B7" w14:textId="77777777" w:rsidR="00BD7DBF" w:rsidRDefault="00123116">
      <w:pPr>
        <w:pStyle w:val="Heading3"/>
      </w:pPr>
      <w:r>
        <w:rPr>
          <w:rStyle w:val="Strong"/>
          <w:b/>
          <w:bCs/>
        </w:rPr>
        <w:t>6.2 Resource disparities and technological access</w:t>
      </w:r>
    </w:p>
    <w:p w14:paraId="3924C305" w14:textId="77777777" w:rsidR="00BD7DBF" w:rsidRDefault="00123116">
      <w:pPr>
        <w:pStyle w:val="NormalWeb"/>
      </w:pPr>
      <w:r>
        <w:t>Access to AI education often mirrors existing digital inequities. Schools in under-resourced regions may lack essential infrastructure, including reliable internet connectivity, com</w:t>
      </w:r>
      <w:r>
        <w:t>puting devices, and appropriate learning tools. These disparities risk creating new divides between learners who can engage meaningfully with AI systems and those who are excluded. Ensuring equitable resource distribution remains a critical prerequisite fo</w:t>
      </w:r>
      <w:r>
        <w:t>r scalable AI literacy initiatives</w:t>
      </w:r>
      <w:r>
        <w:fldChar w:fldCharType="begin"/>
      </w:r>
      <w:r>
        <w:instrText xml:space="preserve"> ADDIN ZOTERO_ITEM CSL_CITATION {"citationID":"PFzce5HM","properties":{"formattedCitation":"(Qin et al., 2025)","plainCitation":"(Qin et al., 2025)","noteIndex":0},"citationItems":[{"id":9574,"uris":["http://zotero.org/use</w:instrText>
      </w:r>
      <w:r>
        <w:instrText>rs/16652950/items/KQA3W8IJ"],"itemData":{"id":9574,"type":"chapter","abstract":"The integration of Artificial Intelligence (AI) in higher education is a double-edged sword, offering transformative potential while posing complex ethical challenges. This cha</w:instrText>
      </w:r>
      <w:r>
        <w:instrText>pter provides a focused examination of the ethical implications inherent in AI’s application within academic settings.","container-title":"The Global Development of AI-Empowered Higher Education: Beyond the Horizon","event-place":"Singapore","ISBN":"978-98</w:instrText>
      </w:r>
      <w:r>
        <w:instrText>1-96-9005-3","language":"en","note":"DOI: 10.1007/978-981-96-9005-3_3","page":"65-92","publisher":"Springer Nature","publisher-place":"Singapore","source":"Springer Link","title":"Ethical Challenges of AI-Empowered Higher Education","URL":"https://doi.org/</w:instrText>
      </w:r>
      <w:r>
        <w:instrText>10.1007/978-981-96-9005-3_3","author":[{"family":"Qin","given":"Fei"},{"family":"Yang","given":"Xinyue"},{"family":"Zhang","given":"Yu"}],"editor":[{"family":"Wen","given":"Wen"},{"family":"Zhang","given":"Yu"}],"accessed":{"date-parts":[["2025",10,26]]},"</w:instrText>
      </w:r>
      <w:r>
        <w:instrText xml:space="preserve">issued":{"date-parts":[["2025"]]}}}],"schema":"https://github.com/citation-style-language/schema/raw/master/csl-citation.json"} </w:instrText>
      </w:r>
      <w:r>
        <w:fldChar w:fldCharType="separate"/>
      </w:r>
      <w:r>
        <w:t>(Qin et al., 2025)</w:t>
      </w:r>
      <w:r>
        <w:fldChar w:fldCharType="end"/>
      </w:r>
      <w:r>
        <w:t>.</w:t>
      </w:r>
    </w:p>
    <w:p w14:paraId="525A56CE" w14:textId="77777777" w:rsidR="00BD7DBF" w:rsidRDefault="00123116">
      <w:pPr>
        <w:pStyle w:val="Heading3"/>
      </w:pPr>
      <w:r>
        <w:rPr>
          <w:rStyle w:val="Strong"/>
          <w:b/>
          <w:bCs/>
        </w:rPr>
        <w:t>6.3 Ethical and cultural considerations</w:t>
      </w:r>
    </w:p>
    <w:p w14:paraId="6EC0FB51" w14:textId="77777777" w:rsidR="00BD7DBF" w:rsidRDefault="00123116">
      <w:pPr>
        <w:pStyle w:val="NormalWeb"/>
      </w:pPr>
      <w:r>
        <w:t>AI is deployed within complex social contexts that can vary signi</w:t>
      </w:r>
      <w:r>
        <w:t>ficantly across cultures. Issues such as surveillance, algorithmic bias, and labor displacement may be perceived differently depending on local histories and community values. Curriculum designers must carefully balance global AI competencies with cultural</w:t>
      </w:r>
      <w:r>
        <w:t>ly responsive pedagogy that respects diverse perspectives. Ethical instruction that is overly abstract or detached from lived realities may fail to cultivate genuine critical engagement</w:t>
      </w:r>
      <w:r>
        <w:fldChar w:fldCharType="begin"/>
      </w:r>
      <w:r>
        <w:instrText xml:space="preserve"> ADDIN ZOTERO_ITEM CSL_CITATION {"citationID":"KTT2HyoI","properties":{</w:instrText>
      </w:r>
      <w:r>
        <w:instrText>"formattedCitation":"(Brandao, 2025)","plainCitation":"(Brandao, 2025)","noteIndex":0},"citationItems":[{"id":9517,"uris":["http://zotero.org/users/16652950/items/Q3NVEXQG"],"itemData":{"id":9517,"type":"article-journal","abstract":"In recent years, artifi</w:instrText>
      </w:r>
      <w:r>
        <w:instrText>cial intelligence (AI) has emerged as a transformative force across various sectors of modern society, reshaping economic landscapes, social interactions, and ethical considerations. This paper explores the multifaceted impact of AI, analyzing its implicat</w:instrText>
      </w:r>
      <w:r>
        <w:instrText>ions for employment, privacy, and decision-making processes. By synthesizing recent research and case studies, we investigate the dual nature of AI as both a catalyst for innovation and a source of potential disruption. The findings highlight the necessity</w:instrText>
      </w:r>
      <w:r>
        <w:instrText xml:space="preserve"> for proactive governance and ethical frameworks to mitigate risks associated with AI deployment while maximizing its benefits. Ultimately, this paper aims to provide a comprehensive understanding of how AI is redefining human experiences and societal norm</w:instrText>
      </w:r>
      <w:r>
        <w:instrText>s, encouraging further discourse on the sustainable integration of these technologies in everyday life.","container-title":"AI","DOI":"10.3390/ai6080190","ISSN":"2673-2688","issue":"8","language":"en","license":"http://creativecommons.org/licenses/by/3.0/"</w:instrText>
      </w:r>
      <w:r>
        <w:instrText>,"note":"publisher: Multidisciplinary Digital Publishing Institute","page":"190","source":"www.mdpi.com","title":"The Impact of Artificial Intelligence on Modern Society","volume":"6","author":[{"family":"Brandao","given":"Pedro Ramos"}],"issued":{"date-pa</w:instrText>
      </w:r>
      <w:r>
        <w:instrText xml:space="preserve">rts":[["2025",8]]}}}],"schema":"https://github.com/citation-style-language/schema/raw/master/csl-citation.json"} </w:instrText>
      </w:r>
      <w:r>
        <w:fldChar w:fldCharType="separate"/>
      </w:r>
      <w:r>
        <w:t>(Brandao, 2025)</w:t>
      </w:r>
      <w:r>
        <w:fldChar w:fldCharType="end"/>
      </w:r>
      <w:r>
        <w:t>.</w:t>
      </w:r>
    </w:p>
    <w:p w14:paraId="7C76547F" w14:textId="77777777" w:rsidR="00BD7DBF" w:rsidRDefault="00123116">
      <w:pPr>
        <w:pStyle w:val="Heading3"/>
      </w:pPr>
      <w:r>
        <w:rPr>
          <w:rStyle w:val="Strong"/>
          <w:b/>
          <w:bCs/>
        </w:rPr>
        <w:t>6.4 Rapid evolution of technologies vs. slow curriculum cycles</w:t>
      </w:r>
    </w:p>
    <w:p w14:paraId="629498ED" w14:textId="77777777" w:rsidR="00BD7DBF" w:rsidRDefault="00123116">
      <w:pPr>
        <w:pStyle w:val="NormalWeb"/>
      </w:pPr>
      <w:r>
        <w:t>AI technology evolves faster than most educational systems c</w:t>
      </w:r>
      <w:r>
        <w:t>an respond. Curriculum development processes—often governed by lengthy approval cycles and institutional inertia—struggle to keep pace with emerging tools, applications, and ethical concerns. This mismatch risks embedding outdated content and leaves educat</w:t>
      </w:r>
      <w:r>
        <w:t>ors with few mechanisms to adapt learning pathways as the AI landscape shifts</w:t>
      </w:r>
      <w:r>
        <w:fldChar w:fldCharType="begin"/>
      </w:r>
      <w:r>
        <w:instrText xml:space="preserve"> ADDIN ZOTERO_ITEM CSL_CITATION {"citationID":"rrNeYpBa","properties":{"formattedCitation":"(Kamalov et al., 2023)","plainCitation":"(Kamalov et al., 2023)","noteIndex":0},"citati</w:instrText>
      </w:r>
      <w:r>
        <w:instrText>onItems":[{"id":7596,"uris":["http://zotero.org/users/16652950/items/4DFPC6XT"],"itemData":{"id":7596,"type":"article-journal","abstract":"The recent high performance of ChatGPT on several standardized academic tests has thrust the topic of artificial inte</w:instrText>
      </w:r>
      <w:r>
        <w:instrText>lligence (AI) into the mainstream conversation about the future of education. As deep learning is poised to shift the teaching paradigm, it is essential to have a clear understanding of its effects on the current education system to ensure sustainable deve</w:instrText>
      </w:r>
      <w:r>
        <w:instrText>lopment and deployment of AI-driven technologies at schools and universities. This research aims to investigate the potential impact of AI on education through review and analysis of the existing literature across three major axes: applications, advantages</w:instrText>
      </w:r>
      <w:r>
        <w:instrText>, and challenges. Our review focuses on the use of artificial intelligence in collaborative teacher–student learning, intelligent tutoring systems, automated assessment, and personalized learning. We also report on the potential negative aspects, ethical i</w:instrText>
      </w:r>
      <w:r>
        <w:instrText>ssues, and possible future routes for AI implementation in education. Ultimately, we find that the only way forward is to embrace the new technology, while implementing guardrails to prevent its abuse.","container-title":"Sustainability","DOI":"10.3390/su1</w:instrText>
      </w:r>
      <w:r>
        <w:instrText>51612451","ISSN":"2071-1050","issue":"16","language":"en","license":"http://creativecommons.org/licenses/by/3.0/","note":"publisher: Multidisciplinary Digital Publishing Institute","page":"12451","source":"www.mdpi.com","title":"New Era of Artificial Intel</w:instrText>
      </w:r>
      <w:r>
        <w:instrText>ligence in Education: Towards a Sustainable Multifaceted Revolution","title-short":"New Era of Artificial Intelligence in Education","volume":"15","author":[{"family":"Kamalov","given":"Firuz"},{"family":"Santandreu Calonge","given":"David"},{"family":"Gur</w:instrText>
      </w:r>
      <w:r>
        <w:instrText xml:space="preserve">rib","given":"Ikhlaas"}],"issued":{"date-parts":[["2023",1]]}}}],"schema":"https://github.com/citation-style-language/schema/raw/master/csl-citation.json"} </w:instrText>
      </w:r>
      <w:r>
        <w:fldChar w:fldCharType="separate"/>
      </w:r>
      <w:r>
        <w:t>(Kamalov et al., 2023)</w:t>
      </w:r>
      <w:r>
        <w:fldChar w:fldCharType="end"/>
      </w:r>
      <w:r>
        <w:t>.</w:t>
      </w:r>
    </w:p>
    <w:p w14:paraId="79BBA19F" w14:textId="77777777" w:rsidR="00BD7DBF" w:rsidRDefault="00123116">
      <w:pPr>
        <w:pStyle w:val="Heading3"/>
      </w:pPr>
      <w:r>
        <w:rPr>
          <w:rStyle w:val="Strong"/>
          <w:b/>
          <w:bCs/>
        </w:rPr>
        <w:t>6.5 Policy fragmentation and accreditation issues</w:t>
      </w:r>
    </w:p>
    <w:p w14:paraId="2E3455B0" w14:textId="77777777" w:rsidR="00BD7DBF" w:rsidRDefault="00123116">
      <w:pPr>
        <w:pStyle w:val="NormalWeb"/>
      </w:pPr>
      <w:r>
        <w:t xml:space="preserve">Policy guidance for AI </w:t>
      </w:r>
      <w:r>
        <w:t xml:space="preserve">literacy remains inconsistent across jurisdictions. Varying national standards, unclear accreditation pathways, and limited integration within existing qualification </w:t>
      </w:r>
      <w:r>
        <w:lastRenderedPageBreak/>
        <w:t>frameworks create uncertainty for educators and institutions. The absence of coordinated p</w:t>
      </w:r>
      <w:r>
        <w:t>olicy infrastructures results in isolated initiatives with limited sustainability, undermining efforts to establish AI literacy as a core component of modern education systems</w:t>
      </w:r>
      <w:r>
        <w:fldChar w:fldCharType="begin"/>
      </w:r>
      <w:r>
        <w:instrText xml:space="preserve"> ADDIN ZOTERO_ITEM CSL_CITATION {"citationID":"kl0mYIC0","properties":{"formatted</w:instrText>
      </w:r>
      <w:r>
        <w:instrText xml:space="preserve">Citation":"(Alami et al., 2024)","plainCitation":"(Alami et al., 2024)","noteIndex":0},"citationItems":[{"id":9575,"uris":["http://zotero.org/users/16652950/items/MGLRTD2A"],"itemData":{"id":9575,"type":"article-journal","abstract":"Background\nArtificial </w:instrText>
      </w:r>
      <w:r>
        <w:instrText>intelligence (AI) technologies are expected to “revolutionise” healthcare. However, despite their promises, their integration within healthcare organisations and systems remains limited. The objective of this study is to explore and understand the systemic</w:instrText>
      </w:r>
      <w:r>
        <w:instrText xml:space="preserve"> challenges and implications of their integration in a leading Canadian academic hospital.\n\nMethods\nSemi-structured interviews were conducted with 29 stakeholders concerned by the integration of a large set of AI technologies within the organisation (e.</w:instrText>
      </w:r>
      <w:r>
        <w:instrText>g., managers, clinicians, researchers, patients, technology providers). Data were collected and analysed using the Non-Adoption, Abandonment, Scale-up, Spread, Sustainability (NASSS) framework.\n\nResults\nAmong enabling factors and conditions, our finding</w:instrText>
      </w:r>
      <w:r>
        <w:instrText>s highlight: a supportive organisational culture and leadership leading to a coherent organisational innovation narrative; mutual trust and transparent communication between senior management and frontline teams; the presence of champions, translators, and</w:instrText>
      </w:r>
      <w:r>
        <w:instrText xml:space="preserve"> boundary spanners for AI able to build bridges and trust; and the capacity to attract technical and clinical talents and expertise., Constraints and barriers include: contrasting definitions of the value of AI technologies and ways to measure such value; </w:instrText>
      </w:r>
      <w:r>
        <w:instrText>lack of real-life and context-based evidence; varying patients’ digital and health literacy capacities; misalignments between organisational dynamics, clinical and administrative processes, infrastructures, and AI technologies; lack of funding mechanisms c</w:instrText>
      </w:r>
      <w:r>
        <w:instrText>overing the implementation, adaptation, and expertise required; challenges arising from practice change, new expertise development, and professional identities; lack of official professional, reimbursement, and insurance guidelines; lack of pre- and post-m</w:instrText>
      </w:r>
      <w:r>
        <w:instrText>arket approval legal and governance frameworks; diversity of the business and financing models for AI technologies; and misalignments between investors’ priorities and the needs and expectations of healthcare organisations and systems.\n\nConclusion\nThank</w:instrText>
      </w:r>
      <w:r>
        <w:instrText xml:space="preserve">s to the multidimensional NASSS framework, this study provides original insights and a detailed learning base for analysing AI technologies in healthcare from a thorough socio-technical perspective. Our findings highlight the importance of considering the </w:instrText>
      </w:r>
      <w:r>
        <w:instrText>complexity characterising healthcare organisations and systems in current efforts to introduce AI technologies within clinical routines. This study adds to the existing literature and can inform decision-making towards a judicious, responsible, and sustain</w:instrText>
      </w:r>
      <w:r>
        <w:instrText>able integration of these technologies in healthcare organisations and systems.","container-title":"BMC Health Services Research","DOI":"10.1186/s12913-024-11112-x","ISSN":"1472-6963","journalAbbreviation":"BMC Health Serv Res","note":"PMID: 38831298\nPMCI</w:instrText>
      </w:r>
      <w:r>
        <w:instrText>D: PMC11149257","page":"701","source":"PubMed Central","title":"Understanding the integration of artificial intelligence in healthcare organisations and systems through the NASSS framework: a qualitative study in a leading Canadian academic centre","title-</w:instrText>
      </w:r>
      <w:r>
        <w:instrText>short":"Understanding the integration of artificial intelligence in healthcare organisations and systems through the NASSS framework","volume":"24","author":[{"family":"Alami","given":"Hassane"},{"family":"Lehoux","given":"Pascale"},{"family":"Papoutsi","g</w:instrText>
      </w:r>
      <w:r>
        <w:instrText>iven":"Chrysanthi"},{"family":"Shaw","given":"Sara E."},{"family":"Fleet","given":"Richard"},{"family":"Fortin","given":"Jean-Paul"}],"issued":{"date-parts":[["2024",6,3]]}}}],"schema":"https://github.com/citation-style-language/schema/raw/master/csl-citat</w:instrText>
      </w:r>
      <w:r>
        <w:instrText xml:space="preserve">ion.json"} </w:instrText>
      </w:r>
      <w:r>
        <w:fldChar w:fldCharType="separate"/>
      </w:r>
      <w:r>
        <w:t>(Alami et al., 2024)</w:t>
      </w:r>
      <w:r>
        <w:fldChar w:fldCharType="end"/>
      </w:r>
      <w:r>
        <w:t>.</w:t>
      </w:r>
    </w:p>
    <w:p w14:paraId="28C7FD68" w14:textId="77777777" w:rsidR="00BD7DBF" w:rsidRDefault="00123116">
      <w:pPr>
        <w:pStyle w:val="Heading2"/>
        <w:rPr>
          <w:sz w:val="24"/>
          <w:szCs w:val="24"/>
        </w:rPr>
      </w:pPr>
      <w:r>
        <w:rPr>
          <w:rStyle w:val="Strong"/>
          <w:b/>
          <w:bCs/>
          <w:sz w:val="24"/>
          <w:szCs w:val="24"/>
        </w:rPr>
        <w:t>7. Future Directions for AI Literacy Curriculum Design</w:t>
      </w:r>
    </w:p>
    <w:p w14:paraId="1B5148AA" w14:textId="77777777" w:rsidR="00BD7DBF" w:rsidRDefault="00123116">
      <w:pPr>
        <w:pStyle w:val="Heading3"/>
      </w:pPr>
      <w:r>
        <w:rPr>
          <w:rStyle w:val="Strong"/>
          <w:b/>
          <w:bCs/>
        </w:rPr>
        <w:t>7.1 Universal learning outcomes and global standards</w:t>
      </w:r>
    </w:p>
    <w:p w14:paraId="185D58FC" w14:textId="77777777" w:rsidR="00BD7DBF" w:rsidRDefault="00123116">
      <w:pPr>
        <w:pStyle w:val="NormalWeb"/>
      </w:pPr>
      <w:r>
        <w:t xml:space="preserve">To ensure AI literacy is accessible to all learners, future curricula must define clear and adaptable learning </w:t>
      </w:r>
      <w:r>
        <w:t>outcomes that can be aligned across educational systems worldwide. These standards should articulate a balanced integration of technical, ethical, and human-centered competencies. Establishing shared benchmarks can support international collaboration, redu</w:t>
      </w:r>
      <w:r>
        <w:t>ce fragmentation, and provide educators with coherent guidance while retaining flexibility for local adaptation</w:t>
      </w:r>
      <w:r>
        <w:fldChar w:fldCharType="begin"/>
      </w:r>
      <w:r>
        <w:instrText xml:space="preserve"> ADDIN ZOTERO_ITEM CSL_CITATION {"citationID":"hHOL2lGb","properties":{"formattedCitation":"(Al-Abdullatif, 2025)","plainCitation":"(Al-Abdullati</w:instrText>
      </w:r>
      <w:r>
        <w:instrText>f, 2025)","noteIndex":0},"citationItems":[{"id":9580,"uris":["http://zotero.org/users/16652950/items/STWZ2LGP"],"itemData":{"id":9580,"type":"article-journal","abstract":"The integration of artificial intelligence (AI) in education highlights the growing n</w:instrText>
      </w:r>
      <w:r>
        <w:instrText>eed for AI literacy among K–12 teachers, particularly to enable effective human–machine cooperation. This study investigates Saudi K–12 educators’ AI literacy competencies across four key dimensions: awareness, ethics, evaluation, and use. Using a survey o</w:instrText>
      </w:r>
      <w:r>
        <w:instrText>f 426 teachers and analyzing the data through descriptive statistics and structural equation modeling (SEM), this study found high overall literacy levels, with ethics scoring the highest and use slightly lower, indicating a modest gap between knowledge an</w:instrText>
      </w:r>
      <w:r>
        <w:instrText>d application. The SEM results indicated that awareness significantly influenced ethics, evaluation, and use, positioning it as a foundational competency. Ethics also strongly predicted both evaluation and use, while evaluation contributed positively to us</w:instrText>
      </w:r>
      <w:r>
        <w:instrText xml:space="preserve">e. These findings underscore AI literacy skills’ interconnected nature and point to the importance of integrating ethical reasoning and critical evaluation into teacher training. This study provides evidence-based guidance for educational policymakers and </w:instrText>
      </w:r>
      <w:r>
        <w:instrText>leaders in designing professional development programs that prepare teachers for effective and responsible AI integration in K–12 education.","container-title":"Systems","DOI":"10.3390/systems13060490","ISSN":"2079-8954","issue":"6","language":"en","licens</w:instrText>
      </w:r>
      <w:r>
        <w:instrText xml:space="preserve">e":"http://creativecommons.org/licenses/by/3.0/","note":"publisher: Multidisciplinary Digital Publishing Institute","page":"490","source":"www.mdpi.com","title":"Auditing AI Literacy Competency in K–12 Education: The Role of Awareness, Ethics, Evaluation, </w:instrText>
      </w:r>
      <w:r>
        <w:instrText>and Use in Human–Machine Cooperation","title-short":"Auditing AI Literacy Competency in K–12 Education","volume":"13","author":[{"family":"Al-Abdullatif","given":"Ahlam Mohammed"}],"issued":{"date-parts":[["2025",6]]}}}],"schema":"https://github.com/citati</w:instrText>
      </w:r>
      <w:r>
        <w:instrText xml:space="preserve">on-style-language/schema/raw/master/csl-citation.json"} </w:instrText>
      </w:r>
      <w:r>
        <w:fldChar w:fldCharType="separate"/>
      </w:r>
      <w:r>
        <w:t>(Al-Abdullatif, 2025)</w:t>
      </w:r>
      <w:r>
        <w:fldChar w:fldCharType="end"/>
      </w:r>
      <w:r>
        <w:t>.</w:t>
      </w:r>
    </w:p>
    <w:p w14:paraId="502B6A00" w14:textId="77777777" w:rsidR="00BD7DBF" w:rsidRDefault="00123116">
      <w:pPr>
        <w:pStyle w:val="Heading3"/>
      </w:pPr>
      <w:r>
        <w:rPr>
          <w:rStyle w:val="Strong"/>
          <w:b/>
          <w:bCs/>
        </w:rPr>
        <w:t>7.2 Integrating creativity, critical data awareness, and AI ethics</w:t>
      </w:r>
    </w:p>
    <w:p w14:paraId="2C8E7385" w14:textId="77777777" w:rsidR="00BD7DBF" w:rsidRDefault="00123116">
      <w:pPr>
        <w:pStyle w:val="NormalWeb"/>
      </w:pPr>
      <w:r>
        <w:t>Next-generation AI literacy should empower learners not only to understand how AI works but also to harness</w:t>
      </w:r>
      <w:r>
        <w:t xml:space="preserve"> it as a creative tool for innovation and problem-solving. At the same time, responsible participation in AI-rich societies requires critical awareness of how data shapes automated decisions. Ethics must be embedded throughout instruction, encouraging stud</w:t>
      </w:r>
      <w:r>
        <w:t>ents to interrogate bias, transparency, and accountability in AI systems. This holistic integration moves AI literacy beyond technical proficiency toward reflective and socially informed engagement</w:t>
      </w:r>
      <w:r>
        <w:fldChar w:fldCharType="begin"/>
      </w:r>
      <w:r>
        <w:instrText xml:space="preserve"> ADDIN ZOTERO_ITEM CSL_CITATION {"citationID":"G4IsyLcf","p</w:instrText>
      </w:r>
      <w:r>
        <w:instrText>roperties":{"formattedCitation":"(Enabulele et al., 2025)","plainCitation":"(Enabulele et al., 2025)","noteIndex":0},"citationItems":[{"id":9513,"uris":["http://zotero.org/users/16652950/items/J2XZLMR9"],"itemData":{"id":9513,"type":"article-journal","abst</w:instrText>
      </w:r>
      <w:r>
        <w:instrText xml:space="preserve">ract":"This article presents a narrative literature review of the emerging intersection between Generative Artificial Intelligence (GenAI) and Agile Project Management (APM). Using purposive, iterative searches across academic and practitioner sources, we </w:instrText>
      </w:r>
      <w:r>
        <w:instrText>screen for relevance to GenAI applications along the Agile lifecycle (planning, backlog refinement, estimation, development, testing, and retrospectives) and synthesize findings through a concept-centric, thematic analysis. The paper makes three contributi</w:instrText>
      </w:r>
      <w:r>
        <w:instrText>ons: (1) an integrative GenAI–APM alignment framework that maps core GenAI capabilities (e.g., requirements elaboration, code and test generation, risk sensing, knowledge summarization) to Agile roles, ceremonies, and artifacts; (2) an evidence-weighted as</w:instrText>
      </w:r>
      <w:r>
        <w:instrText>sessment of opportunities (speed, decision support, collaboration) and risks (bias, privacy, model drift, over-reliance), with associated governance controls; and (3) a research agenda with testable propositions on effectiveness, human–AI teaming, measurem</w:instrText>
      </w:r>
      <w:r>
        <w:instrText>ent, compliance, and adoption barriers. Scholarly implications include clearer constructs and operational definitions to support cumulative empirical work. Practical implications include actionable guidance for PMOs and Scrum teams on where to pilot GenAI,</w:instrText>
      </w:r>
      <w:r>
        <w:instrText xml:space="preserve"> how to measure value, and how to implement safeguards (data governance, responsible-AI checklists, and role/skill adjustments). By clarifying method, contribution, and significance, the review consolidates a fragmented discourse and offers a roadmap for r</w:instrText>
      </w:r>
      <w:r>
        <w:instrText>igorous research and responsible deployment of GenAI in Agile settings.","container-title":"Journal of Global Economics, Management and Business Research","DOI":"10.56557/jgembr/2025/v17i39877","ISSN":"2454-2504","issue":"3","language":"en","page":"349-360</w:instrText>
      </w:r>
      <w:r>
        <w:instrText>","source":"ikprress.org","title":"AI-Augmented Agility: A Comprehensive Review of Generative AI Applications in Agile Project Management","title-short":"AI-Augmented Agility","volume":"17","author":[{"family":"Enabulele","given":"Amienye Babatunde Omo"},{</w:instrText>
      </w:r>
      <w:r>
        <w:instrText>"family":"Ojo","given":"Damilola Ayodele"},{"family":"Egwatu","given":"Joshua Okechukwu"},{"family":"Thomas","given":"George Ayobami"}],"issued":{"date-parts":[["2025",10,24]]}}}],"schema":"https://github.com/citation-style-language/schema/raw/master/csl-c</w:instrText>
      </w:r>
      <w:r>
        <w:instrText xml:space="preserve">itation.json"} </w:instrText>
      </w:r>
      <w:r>
        <w:fldChar w:fldCharType="separate"/>
      </w:r>
      <w:r>
        <w:t>(Enabulele et al., 2025)</w:t>
      </w:r>
      <w:r>
        <w:fldChar w:fldCharType="end"/>
      </w:r>
      <w:r>
        <w:t>.</w:t>
      </w:r>
    </w:p>
    <w:p w14:paraId="6FF26FE8" w14:textId="77777777" w:rsidR="00BD7DBF" w:rsidRDefault="00123116">
      <w:pPr>
        <w:pStyle w:val="Heading3"/>
      </w:pPr>
      <w:r>
        <w:rPr>
          <w:rStyle w:val="Strong"/>
          <w:b/>
          <w:bCs/>
        </w:rPr>
        <w:t>7.3 Cross-sector partnerships: academia, industry, policymakers</w:t>
      </w:r>
    </w:p>
    <w:p w14:paraId="42BC1922" w14:textId="77777777" w:rsidR="00BD7DBF" w:rsidRDefault="00123116">
      <w:pPr>
        <w:pStyle w:val="NormalWeb"/>
      </w:pPr>
      <w:r>
        <w:t>Sustainable AI literacy initiatives require cooperation among stakeholders who influence both education and technology development. Partnerships bet</w:t>
      </w:r>
      <w:r>
        <w:t xml:space="preserve">ween schools, universities, industry leaders, and policymakers can ensure curriculum relevance, provide access to cutting-edge tools, and expand opportunities for practical learning experiences. These collaborations can also facilitate teacher upskilling, </w:t>
      </w:r>
      <w:r>
        <w:t>promote research-informed innovation, and align educational priorities with workforce and societal needs</w:t>
      </w:r>
      <w:r>
        <w:fldChar w:fldCharType="begin"/>
      </w:r>
      <w:r>
        <w:instrText xml:space="preserve"> ADDIN ZOTERO_ITEM CSL_CITATION {"citationID":"9YVjqIWW","properties":{"formattedCitation":"(Ferk Savec &amp; Jedrinovi\\uc0\\u263{}, 2025)","plainCitation"</w:instrText>
      </w:r>
      <w:r>
        <w:instrText>:"(Ferk Savec &amp; Jedrinović, 2025)","noteIndex":0},"citationItems":[{"id":9582,"uris":["http://zotero.org/users/16652950/items/EC4ZLZIM"],"itemData":{"id":9582,"type":"article-journal","abstract":"Artificial intelligence (AI) holds immense potential to driv</w:instrText>
      </w:r>
      <w:r>
        <w:instrText>e sustainable development by enabling progress toward the realization of the 17 Sustainable Development Goals (SDGs) outlined in the 2030 Agenda. This potential is emphasized by the concept of twin transitions, where the digital and green transformations r</w:instrText>
      </w:r>
      <w:r>
        <w:instrText>einforce each other. This study examines the integration of AI in 26 study courses at the University of Ljubljana, Slovenia, focusing on its sustainable impact. Using an exploratory case study and a comprehensive content analysis framework, the study ident</w:instrText>
      </w:r>
      <w:r>
        <w:instrText>ifies the enabling and inhibiting factors in the interplay of digital and green transitions in education. The results reveal that the integration of AI in higher education can facilitate progress toward achieving 11 SDGs and 28 targets by promoting innovat</w:instrText>
      </w:r>
      <w:r>
        <w:instrText>ion, equality, and digital literacy. At the same time, however, it also harbors risks that can hinder 7 SDGs and 11 targets, particularly in terms of data protection and equal access. By highlighting the synergies between digital and green transformations,</w:instrText>
      </w:r>
      <w:r>
        <w:instrText xml:space="preserve"> this case study provides actionable insights for educators and policy makers who want to harness the transformative potential of AI while addressing its challenges and calls for future research in a broader educational landscape.","container-title":"Susta</w:instrText>
      </w:r>
      <w:r>
        <w:instrText>inability","DOI":"10.3390/su17010183","ISSN":"2071-1050","issue":"1","language":"en","license":"http://creativecommons.org/licenses/by/3.0/","note":"publisher: Multidisciplinary Digital Publishing Institute","page":"183","source":"www.mdpi.com","title":"Th</w:instrText>
      </w:r>
      <w:r>
        <w:instrText>e Role of AI Implementation in Higher Education in Achieving the Sustainable Development Goals: A Case Study from Slovenia","title-short":"The Role of AI Implementation in Higher Education in Achieving the Sustainable Development Goals","volume":"17","auth</w:instrText>
      </w:r>
      <w:r>
        <w:instrText xml:space="preserve">or":[{"family":"Ferk Savec","given":"Vesna"},{"family":"Jedrinović","given":"Sanja"}],"issued":{"date-parts":[["2025",1]]}}}],"schema":"https://github.com/citation-style-language/schema/raw/master/csl-citation.json"} </w:instrText>
      </w:r>
      <w:r>
        <w:fldChar w:fldCharType="separate"/>
      </w:r>
      <w:r>
        <w:t>(Ferk Savec &amp; Jedrinović, 2025)</w:t>
      </w:r>
      <w:r>
        <w:fldChar w:fldCharType="end"/>
      </w:r>
      <w:r>
        <w:t>.</w:t>
      </w:r>
    </w:p>
    <w:p w14:paraId="451CFEF3" w14:textId="77777777" w:rsidR="00BD7DBF" w:rsidRDefault="00123116">
      <w:pPr>
        <w:pStyle w:val="Heading3"/>
      </w:pPr>
      <w:r>
        <w:rPr>
          <w:rStyle w:val="Strong"/>
          <w:b/>
          <w:bCs/>
        </w:rPr>
        <w:t>7.4</w:t>
      </w:r>
      <w:r>
        <w:rPr>
          <w:rStyle w:val="Strong"/>
          <w:b/>
          <w:bCs/>
        </w:rPr>
        <w:t xml:space="preserve"> Focus on inclusion, diversity, and responsible AI</w:t>
      </w:r>
    </w:p>
    <w:p w14:paraId="046D82B4" w14:textId="77777777" w:rsidR="00BD7DBF" w:rsidRDefault="00123116">
      <w:pPr>
        <w:pStyle w:val="NormalWeb"/>
      </w:pPr>
      <w:r>
        <w:t>Ensuring equity in AI education demands intentional strategies to engage underrepresented groups, including learners from low-resource communities, marginalized populations, and diverse cultural background</w:t>
      </w:r>
      <w:r>
        <w:t>s. Inclusive curriculum design should amplify multiple perspectives, challenge historical biases, and empower students to shape AI technologies that reflect social justice principles. Responsible AI education must foreground humanity’s role in guiding tech</w:t>
      </w:r>
      <w:r>
        <w:t>nological progress toward equitable outcomes</w:t>
      </w:r>
      <w:r>
        <w:fldChar w:fldCharType="begin"/>
      </w:r>
      <w:r>
        <w:instrText xml:space="preserve"> ADDIN ZOTERO_ITEM CSL_CITATION {"citationID":"td9dV8Ob","properties":{"formattedCitation":"(Shehu et al., 2025)","plainCitation":"(Shehu et al., 2025)","noteIndex":0},"citationItems":[{"id":6376,"uris":["http://</w:instrText>
      </w:r>
      <w:r>
        <w:instrText>zotero.org/users/16652950/items/CBRDIFBL"],"itemData":{"id":6376,"type":"article-journal","abstract":"Using Artificial Intelligence (AI) in engineering and construction projects promises greater efficiency, design optimisation, and enhanced risk management</w:instrText>
      </w:r>
      <w:r>
        <w:instrText>, but it also raises pressing ethical questions surrounding governance, trust, and human-centered design (HCD). This multidisciplinary review critically evaluates the current state of responsible AI deployment in the built environment. Employing a systemat</w:instrText>
      </w:r>
      <w:r>
        <w:instrText>ic thematic synthesis methodology, the study organises the literature into three core domains: governance structures (e.g., regulatory frameworks and institutional oversight), trust mechanisms (e.g., transparency, explainability, stakeholder engagement), a</w:instrText>
      </w:r>
      <w:r>
        <w:instrText>nd HCD practices (e.g., participatory design and usability testing). Findings reveal fragmented approaches across these domains and tensions between rapid technical innovation and ethical imperatives. The synthesis highlights that ethical AI in constructio</w:instrText>
      </w:r>
      <w:r>
        <w:instrText>n requires context-specific governance, structured trust-building mechanisms, and user-value-driven design processes. Based on these insights, the article proposes an integrative framework for policymakers, engineering firms, and AI tool developers, and ou</w:instrText>
      </w:r>
      <w:r>
        <w:instrText>tlines a future research agenda emphasising real-world fieldwork, participatory pilots, and cross-jurisdictional policy studies. Ultimately, the review underscores the importance of embedding ethics across the AI lifecycle to ensure socially responsible, h</w:instrText>
      </w:r>
      <w:r>
        <w:instrText>uman-centred transformation in engineering and construction.","container-title":"Scientific Journal of Engineering, and Technology","DOI":"10.69739/sjet.v2i2.833","ISSN":"3007-9519","issue":"2","language":"en","license":"Copyright (c) 2025 Habib Shehu, Emm</w:instrText>
      </w:r>
      <w:r>
        <w:instrText>anuel Ogunleye, Mesach Olamide Atilola, Eric Iyere Eromosele, Aliu Bolade Lawal, Tobechukwu Thomas Chukwuma (Author)","page":"53-62","source":"journals.stecab.com","title":"Ethical and Responsible AI in Engineering and Construction Projects: Governance, Tr</w:instrText>
      </w:r>
      <w:r>
        <w:instrText>ust, and Human-Centered Design","title-short":"Ethical and Responsible AI in Engineering and Construction Projects","volume":"2","author":[{"family":"Shehu","given":"Habib"},{"family":"Ogunleye","given":"Emmanuel"},{"family":"Atilola","given":"Mesach Olami</w:instrText>
      </w:r>
      <w:r>
        <w:instrText>de"},{"family":"Eromosele","given":"Eric Iyere"},{"family":"Lawal","given":"Aliu Bolade"},{"family":"Chukwuma","given":"Tobechukwu Thomas"}],"issued":{"date-parts":[["2025",12,31]]}}}],"schema":"https://github.com/citation-style-language/schema/raw/master/</w:instrText>
      </w:r>
      <w:r>
        <w:instrText xml:space="preserve">csl-citation.json"} </w:instrText>
      </w:r>
      <w:r>
        <w:fldChar w:fldCharType="separate"/>
      </w:r>
      <w:r>
        <w:t>(Shehu et al., 2025)</w:t>
      </w:r>
      <w:r>
        <w:fldChar w:fldCharType="end"/>
      </w:r>
      <w:r>
        <w:t>.</w:t>
      </w:r>
    </w:p>
    <w:p w14:paraId="783BDF5F" w14:textId="77777777" w:rsidR="00BD7DBF" w:rsidRDefault="00123116">
      <w:pPr>
        <w:pStyle w:val="Heading3"/>
      </w:pPr>
      <w:r>
        <w:rPr>
          <w:rStyle w:val="Strong"/>
          <w:b/>
          <w:bCs/>
        </w:rPr>
        <w:t>7.5 Continuous curriculum updating mechanisms</w:t>
      </w:r>
    </w:p>
    <w:p w14:paraId="2BF53141" w14:textId="77777777" w:rsidR="00BD7DBF" w:rsidRDefault="00123116">
      <w:pPr>
        <w:pStyle w:val="NormalWeb"/>
      </w:pPr>
      <w:r>
        <w:lastRenderedPageBreak/>
        <w:t>Given AI’s rapid advancement, curricula should incorporate structures for ongoing revision. Dynamic updating mechanisms—supported by professional learning communitie</w:t>
      </w:r>
      <w:r>
        <w:t xml:space="preserve">s, adaptive digital platforms, and policy flexibility—can help educators maintain relevance without overhauling core frameworks. Regular feedback from practitioners, learners, and industry partners will be essential to sustaining curriculum durability and </w:t>
      </w:r>
      <w:r>
        <w:t>responsiveness over time.</w:t>
      </w:r>
    </w:p>
    <w:p w14:paraId="786F5A42" w14:textId="77777777" w:rsidR="00BD7DBF" w:rsidRDefault="00123116">
      <w:pPr>
        <w:pStyle w:val="Heading2"/>
        <w:rPr>
          <w:sz w:val="24"/>
          <w:szCs w:val="24"/>
        </w:rPr>
      </w:pPr>
      <w:r>
        <w:rPr>
          <w:rStyle w:val="Strong"/>
          <w:b/>
          <w:bCs/>
          <w:sz w:val="24"/>
          <w:szCs w:val="24"/>
        </w:rPr>
        <w:t>8. Conclusion</w:t>
      </w:r>
    </w:p>
    <w:p w14:paraId="62E69966" w14:textId="77777777" w:rsidR="00BD7DBF" w:rsidRDefault="00123116">
      <w:pPr>
        <w:pStyle w:val="NormalWeb"/>
      </w:pPr>
      <w:r>
        <w:t>The accelerating integration of artificial intelligence across all dimensions of society has elevated AI literacy from a specialized skillset to a core competency for informed citizenship, workforce readiness, and et</w:t>
      </w:r>
      <w:r>
        <w:t>hical participation in digital environments. This narrative review synthesized emerging scholarship on the conceptual foundations, curriculum frameworks, and pedagogical approaches shaping AI literacy education. The evidence reveals meaningful progress: fo</w:t>
      </w:r>
      <w:r>
        <w:t>undational competency domains are becoming clearer, frameworks are diversifying across K–12, higher education, and non-formal learning contexts, and innovative teaching models are enabling learners to engage critically and creatively with AI.</w:t>
      </w:r>
    </w:p>
    <w:p w14:paraId="4397CEF9" w14:textId="77777777" w:rsidR="00BD7DBF" w:rsidRDefault="00123116">
      <w:pPr>
        <w:pStyle w:val="NormalWeb"/>
      </w:pPr>
      <w:r>
        <w:t>Yet, persiste</w:t>
      </w:r>
      <w:r>
        <w:t>nt challenges underscore the need for coordinated advancement. Variability in curriculum design, gaps in teacher preparedness, inequitable access to resources, and policy fragmentation continue to hinder scalable and inclusive implementation. Without delib</w:t>
      </w:r>
      <w:r>
        <w:t>erate action, existing educational disparities may deepen, leaving many students unprepared to navigate or influence AI-shaped futures.</w:t>
      </w:r>
    </w:p>
    <w:p w14:paraId="31EBF608" w14:textId="77777777" w:rsidR="00BD7DBF" w:rsidRDefault="00123116">
      <w:pPr>
        <w:pStyle w:val="NormalWeb"/>
      </w:pPr>
      <w:r>
        <w:t xml:space="preserve">A collective call to action is therefore required. Policymakers, educators, researchers, and industry stakeholders must </w:t>
      </w:r>
      <w:r>
        <w:t>collaborate to establish coherent standards, strengthen professional development infrastructures, and invest in equitable access to AI learning opportunities. Future curriculum design must remain dynamic, ethically grounded, and culturally responsive—ensur</w:t>
      </w:r>
      <w:r>
        <w:t>ing that all learners not only understand AI but can actively and responsibly shape technological progress. In doing so, AI literacy can become a foundational component of lifelong learning and a catalyst for more just and inclusive technological societies</w:t>
      </w:r>
      <w:r>
        <w:t>.</w:t>
      </w:r>
    </w:p>
    <w:p w14:paraId="444A6700" w14:textId="77777777" w:rsidR="00BD7DBF" w:rsidRDefault="00BD7DBF">
      <w:pPr>
        <w:pStyle w:val="NormalWeb"/>
      </w:pPr>
    </w:p>
    <w:p w14:paraId="755E3986" w14:textId="77777777" w:rsidR="00BD7DBF" w:rsidRDefault="00BD7DBF">
      <w:pPr>
        <w:pStyle w:val="NormalWeb"/>
      </w:pPr>
    </w:p>
    <w:p w14:paraId="3AD1B14E" w14:textId="77777777" w:rsidR="00BD7DBF" w:rsidRDefault="00123116">
      <w:pPr>
        <w:pStyle w:val="NormalWeb"/>
      </w:pPr>
      <w:r>
        <w:t>REFERNCES</w:t>
      </w:r>
    </w:p>
    <w:p w14:paraId="198BDF45" w14:textId="77777777" w:rsidR="00BD7DBF" w:rsidRDefault="00BD7DBF">
      <w:pPr>
        <w:pStyle w:val="NormalWeb"/>
      </w:pPr>
    </w:p>
    <w:p w14:paraId="26011D0E" w14:textId="77777777" w:rsidR="00BD7DBF" w:rsidRDefault="00123116">
      <w:pPr>
        <w:pStyle w:val="Bibliography1"/>
        <w:rPr>
          <w:rFonts w:ascii="Times New Roman" w:hAnsi="Times New Roman" w:cs="Times New Roman"/>
          <w:sz w:val="24"/>
        </w:rPr>
      </w:pPr>
      <w:r>
        <w:fldChar w:fldCharType="begin"/>
      </w:r>
      <w:r>
        <w:instrText xml:space="preserve"> ADDIN ZOTERO_BIBL {"uncited":[],"omitted":[],"custom":[]} CSL_BIBLIOGRAPHY </w:instrText>
      </w:r>
      <w:r>
        <w:fldChar w:fldCharType="separate"/>
      </w:r>
      <w:r>
        <w:rPr>
          <w:rFonts w:ascii="Times New Roman" w:hAnsi="Times New Roman" w:cs="Times New Roman"/>
          <w:i/>
          <w:iCs/>
          <w:sz w:val="24"/>
        </w:rPr>
        <w:t>AI and the Future of Skills, Volume 2</w:t>
      </w:r>
      <w:r>
        <w:rPr>
          <w:rFonts w:ascii="Times New Roman" w:hAnsi="Times New Roman" w:cs="Times New Roman"/>
          <w:sz w:val="24"/>
        </w:rPr>
        <w:t>. (2023, November 15). OECD. https://www.oecd.org/en/publications/ai-and-the-future-of-skills-volume-2_a9fe53cb-en.html</w:t>
      </w:r>
    </w:p>
    <w:p w14:paraId="13C46467" w14:textId="77777777" w:rsidR="00BD7DBF" w:rsidRDefault="00123116">
      <w:pPr>
        <w:pStyle w:val="Bibliography1"/>
        <w:rPr>
          <w:rFonts w:ascii="Times New Roman" w:hAnsi="Times New Roman" w:cs="Times New Roman"/>
          <w:sz w:val="24"/>
        </w:rPr>
      </w:pPr>
      <w:r>
        <w:rPr>
          <w:rFonts w:ascii="Times New Roman" w:hAnsi="Times New Roman" w:cs="Times New Roman"/>
          <w:i/>
          <w:iCs/>
          <w:sz w:val="24"/>
        </w:rPr>
        <w:lastRenderedPageBreak/>
        <w:t>AI compe</w:t>
      </w:r>
      <w:r>
        <w:rPr>
          <w:rFonts w:ascii="Times New Roman" w:hAnsi="Times New Roman" w:cs="Times New Roman"/>
          <w:i/>
          <w:iCs/>
          <w:sz w:val="24"/>
        </w:rPr>
        <w:t>tency framework for teachers—UNESCO Digital Library</w:t>
      </w:r>
      <w:r>
        <w:rPr>
          <w:rFonts w:ascii="Times New Roman" w:hAnsi="Times New Roman" w:cs="Times New Roman"/>
          <w:sz w:val="24"/>
        </w:rPr>
        <w:t>. (n.d.). Retrieved October 26, 2025, from https://unesdoc.unesco.org/ark:/48223/pf0000391104.locale=en</w:t>
      </w:r>
    </w:p>
    <w:p w14:paraId="704C6D60" w14:textId="77777777" w:rsidR="00BD7DBF" w:rsidRDefault="00123116">
      <w:pPr>
        <w:pStyle w:val="Bibliography1"/>
        <w:rPr>
          <w:rFonts w:ascii="Times New Roman" w:hAnsi="Times New Roman" w:cs="Times New Roman"/>
          <w:sz w:val="24"/>
        </w:rPr>
      </w:pPr>
      <w:r>
        <w:rPr>
          <w:rFonts w:ascii="Times New Roman" w:hAnsi="Times New Roman" w:cs="Times New Roman"/>
          <w:i/>
          <w:iCs/>
          <w:sz w:val="24"/>
        </w:rPr>
        <w:t>AI4K12</w:t>
      </w:r>
      <w:r>
        <w:rPr>
          <w:rFonts w:ascii="Times New Roman" w:hAnsi="Times New Roman" w:cs="Times New Roman"/>
          <w:sz w:val="24"/>
        </w:rPr>
        <w:t>. (n.d.). AI4K12. Retrieved October 26, 2025, from https://ai4k12.org/</w:t>
      </w:r>
    </w:p>
    <w:p w14:paraId="3F0CF14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Al-Abdullatif, A. M. (20</w:t>
      </w:r>
      <w:r>
        <w:rPr>
          <w:rFonts w:ascii="Times New Roman" w:hAnsi="Times New Roman" w:cs="Times New Roman"/>
          <w:sz w:val="24"/>
        </w:rPr>
        <w:t xml:space="preserve">25). Auditing AI Literacy Competency in K–12 Education: The Role of Awareness, Ethics, Evaluation, and Use in Human–Machine Cooperation. </w:t>
      </w:r>
      <w:r>
        <w:rPr>
          <w:rFonts w:ascii="Times New Roman" w:hAnsi="Times New Roman" w:cs="Times New Roman"/>
          <w:i/>
          <w:iCs/>
          <w:sz w:val="24"/>
        </w:rPr>
        <w:t>Systems</w:t>
      </w:r>
      <w:r>
        <w:rPr>
          <w:rFonts w:ascii="Times New Roman" w:hAnsi="Times New Roman" w:cs="Times New Roman"/>
          <w:sz w:val="24"/>
        </w:rPr>
        <w:t xml:space="preserve">, </w:t>
      </w:r>
      <w:r>
        <w:rPr>
          <w:rFonts w:ascii="Times New Roman" w:hAnsi="Times New Roman" w:cs="Times New Roman"/>
          <w:i/>
          <w:iCs/>
          <w:sz w:val="24"/>
        </w:rPr>
        <w:t>13</w:t>
      </w:r>
      <w:r>
        <w:rPr>
          <w:rFonts w:ascii="Times New Roman" w:hAnsi="Times New Roman" w:cs="Times New Roman"/>
          <w:sz w:val="24"/>
        </w:rPr>
        <w:t>(6), 490. https://doi.org/10.3390/systems13060490</w:t>
      </w:r>
    </w:p>
    <w:p w14:paraId="6E916FA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Alami, H., Lehoux, P., Papoutsi, C., Shaw, S. E., Fleet, R</w:t>
      </w:r>
      <w:r>
        <w:rPr>
          <w:rFonts w:ascii="Times New Roman" w:hAnsi="Times New Roman" w:cs="Times New Roman"/>
          <w:sz w:val="24"/>
        </w:rPr>
        <w:t xml:space="preserve">., &amp; Fortin, J.-P. (2024). Understanding the integration of artificial intelligence in healthcare organisations and systems through the NASSS framework: A qualitative study in a leading Canadian academic centre. </w:t>
      </w:r>
      <w:r>
        <w:rPr>
          <w:rFonts w:ascii="Times New Roman" w:hAnsi="Times New Roman" w:cs="Times New Roman"/>
          <w:i/>
          <w:iCs/>
          <w:sz w:val="24"/>
        </w:rPr>
        <w:t>BMC Health Services Research</w:t>
      </w:r>
      <w:r>
        <w:rPr>
          <w:rFonts w:ascii="Times New Roman" w:hAnsi="Times New Roman" w:cs="Times New Roman"/>
          <w:sz w:val="24"/>
        </w:rPr>
        <w:t xml:space="preserve">, </w:t>
      </w:r>
      <w:r>
        <w:rPr>
          <w:rFonts w:ascii="Times New Roman" w:hAnsi="Times New Roman" w:cs="Times New Roman"/>
          <w:i/>
          <w:iCs/>
          <w:sz w:val="24"/>
        </w:rPr>
        <w:t>24</w:t>
      </w:r>
      <w:r>
        <w:rPr>
          <w:rFonts w:ascii="Times New Roman" w:hAnsi="Times New Roman" w:cs="Times New Roman"/>
          <w:sz w:val="24"/>
        </w:rPr>
        <w:t>, 701. https</w:t>
      </w:r>
      <w:r>
        <w:rPr>
          <w:rFonts w:ascii="Times New Roman" w:hAnsi="Times New Roman" w:cs="Times New Roman"/>
          <w:sz w:val="24"/>
        </w:rPr>
        <w:t>://doi.org/10.1186/s12913-024-11112-x</w:t>
      </w:r>
    </w:p>
    <w:p w14:paraId="5C748C31"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Ayanwale, M. A., Adelana, O. P., Molefi, R. R., Adeeko, O., &amp; Ishola, A. M. (2024). Examining artificial intelligence literacy among pre-service teachers for future classrooms. </w:t>
      </w:r>
      <w:r>
        <w:rPr>
          <w:rFonts w:ascii="Times New Roman" w:hAnsi="Times New Roman" w:cs="Times New Roman"/>
          <w:i/>
          <w:iCs/>
          <w:sz w:val="24"/>
        </w:rPr>
        <w:t>Computers and Education Open</w:t>
      </w:r>
      <w:r>
        <w:rPr>
          <w:rFonts w:ascii="Times New Roman" w:hAnsi="Times New Roman" w:cs="Times New Roman"/>
          <w:sz w:val="24"/>
        </w:rPr>
        <w:t xml:space="preserve">, </w:t>
      </w:r>
      <w:r>
        <w:rPr>
          <w:rFonts w:ascii="Times New Roman" w:hAnsi="Times New Roman" w:cs="Times New Roman"/>
          <w:i/>
          <w:iCs/>
          <w:sz w:val="24"/>
        </w:rPr>
        <w:t>6</w:t>
      </w:r>
      <w:r>
        <w:rPr>
          <w:rFonts w:ascii="Times New Roman" w:hAnsi="Times New Roman" w:cs="Times New Roman"/>
          <w:sz w:val="24"/>
        </w:rPr>
        <w:t xml:space="preserve">, 100179. </w:t>
      </w:r>
      <w:r>
        <w:rPr>
          <w:rFonts w:ascii="Times New Roman" w:hAnsi="Times New Roman" w:cs="Times New Roman"/>
          <w:sz w:val="24"/>
        </w:rPr>
        <w:t>https://doi.org/10.1016/j.caeo.2024.100179</w:t>
      </w:r>
    </w:p>
    <w:p w14:paraId="7E3314D4"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Biagini, G. (2025). Towards an AI-Literate Future: A Systematic Literature Review Exploring Education, Ethics, and Applications. </w:t>
      </w:r>
      <w:r>
        <w:rPr>
          <w:rFonts w:ascii="Times New Roman" w:hAnsi="Times New Roman" w:cs="Times New Roman"/>
          <w:i/>
          <w:iCs/>
          <w:sz w:val="24"/>
        </w:rPr>
        <w:t>International Journal of Artificial Intelligence in Education</w:t>
      </w:r>
      <w:r>
        <w:rPr>
          <w:rFonts w:ascii="Times New Roman" w:hAnsi="Times New Roman" w:cs="Times New Roman"/>
          <w:sz w:val="24"/>
        </w:rPr>
        <w:t>. https://doi.org/10.10</w:t>
      </w:r>
      <w:r>
        <w:rPr>
          <w:rFonts w:ascii="Times New Roman" w:hAnsi="Times New Roman" w:cs="Times New Roman"/>
          <w:sz w:val="24"/>
        </w:rPr>
        <w:t>07/s40593-025-00466-w</w:t>
      </w:r>
    </w:p>
    <w:p w14:paraId="08B311D7"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Brandao, P. R. (2025). The Impact of Artificial Intelligence on Modern Society. </w:t>
      </w:r>
      <w:r>
        <w:rPr>
          <w:rFonts w:ascii="Times New Roman" w:hAnsi="Times New Roman" w:cs="Times New Roman"/>
          <w:i/>
          <w:iCs/>
          <w:sz w:val="24"/>
        </w:rPr>
        <w:t>AI</w:t>
      </w:r>
      <w:r>
        <w:rPr>
          <w:rFonts w:ascii="Times New Roman" w:hAnsi="Times New Roman" w:cs="Times New Roman"/>
          <w:sz w:val="24"/>
        </w:rPr>
        <w:t xml:space="preserve">, </w:t>
      </w:r>
      <w:r>
        <w:rPr>
          <w:rFonts w:ascii="Times New Roman" w:hAnsi="Times New Roman" w:cs="Times New Roman"/>
          <w:i/>
          <w:iCs/>
          <w:sz w:val="24"/>
        </w:rPr>
        <w:t>6</w:t>
      </w:r>
      <w:r>
        <w:rPr>
          <w:rFonts w:ascii="Times New Roman" w:hAnsi="Times New Roman" w:cs="Times New Roman"/>
          <w:sz w:val="24"/>
        </w:rPr>
        <w:t>(8), 190. https://doi.org/10.3390/ai6080190</w:t>
      </w:r>
    </w:p>
    <w:p w14:paraId="58C00C4B"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Chen, Y., Clayton, E. W., Novak, L. L., Anders, S., &amp; Malin, B. (2023). Human-Centered Design to Address Biases in Artificial Intelligence. </w:t>
      </w:r>
      <w:r>
        <w:rPr>
          <w:rFonts w:ascii="Times New Roman" w:hAnsi="Times New Roman" w:cs="Times New Roman"/>
          <w:i/>
          <w:iCs/>
          <w:sz w:val="24"/>
        </w:rPr>
        <w:t>Journal of Medical Internet Research</w:t>
      </w:r>
      <w:r>
        <w:rPr>
          <w:rFonts w:ascii="Times New Roman" w:hAnsi="Times New Roman" w:cs="Times New Roman"/>
          <w:sz w:val="24"/>
        </w:rPr>
        <w:t xml:space="preserve">, </w:t>
      </w:r>
      <w:r>
        <w:rPr>
          <w:rFonts w:ascii="Times New Roman" w:hAnsi="Times New Roman" w:cs="Times New Roman"/>
          <w:i/>
          <w:iCs/>
          <w:sz w:val="24"/>
        </w:rPr>
        <w:t>25</w:t>
      </w:r>
      <w:r>
        <w:rPr>
          <w:rFonts w:ascii="Times New Roman" w:hAnsi="Times New Roman" w:cs="Times New Roman"/>
          <w:sz w:val="24"/>
        </w:rPr>
        <w:t>, e43251. https://doi.org/10.2196/43251</w:t>
      </w:r>
    </w:p>
    <w:p w14:paraId="5AA4730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Dai, Y., Xiao, J.-Y., Huang, Y., Zha</w:t>
      </w:r>
      <w:r>
        <w:rPr>
          <w:rFonts w:ascii="Times New Roman" w:hAnsi="Times New Roman" w:cs="Times New Roman"/>
          <w:sz w:val="24"/>
        </w:rPr>
        <w:t xml:space="preserve">i, X., Wai, F.-C., &amp; Zhang, M. (2025). How Generative AI Enables an Online Project-Based Learning Platform: An Applied Study of Learning </w:t>
      </w:r>
      <w:r>
        <w:rPr>
          <w:rFonts w:ascii="Times New Roman" w:hAnsi="Times New Roman" w:cs="Times New Roman"/>
          <w:sz w:val="24"/>
        </w:rPr>
        <w:lastRenderedPageBreak/>
        <w:t xml:space="preserve">Behavior Analysis in Undergraduate Students. </w:t>
      </w:r>
      <w:r>
        <w:rPr>
          <w:rFonts w:ascii="Times New Roman" w:hAnsi="Times New Roman" w:cs="Times New Roman"/>
          <w:i/>
          <w:iCs/>
          <w:sz w:val="24"/>
        </w:rPr>
        <w:t>Applied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(5), 2369. https://doi.org/10.3390/app15052369</w:t>
      </w:r>
    </w:p>
    <w:p w14:paraId="71DD04C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Enabule</w:t>
      </w:r>
      <w:r>
        <w:rPr>
          <w:rFonts w:ascii="Times New Roman" w:hAnsi="Times New Roman" w:cs="Times New Roman"/>
          <w:sz w:val="24"/>
        </w:rPr>
        <w:t xml:space="preserve">le, A. B. O., Ojo, D. A., Egwatu, J. O., &amp; Thomas, G. A. (2025). AI-Augmented Agility: A Comprehensive Review of Generative AI Applications in Agile Project Management. </w:t>
      </w:r>
      <w:r>
        <w:rPr>
          <w:rFonts w:ascii="Times New Roman" w:hAnsi="Times New Roman" w:cs="Times New Roman"/>
          <w:i/>
          <w:iCs/>
          <w:sz w:val="24"/>
        </w:rPr>
        <w:t>Journal of Global Economics, Management and Business Research</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(3), 349–360. https://</w:t>
      </w:r>
      <w:r>
        <w:rPr>
          <w:rFonts w:ascii="Times New Roman" w:hAnsi="Times New Roman" w:cs="Times New Roman"/>
          <w:sz w:val="24"/>
        </w:rPr>
        <w:t>doi.org/10.56557/jgembr/2025/v17i39877</w:t>
      </w:r>
    </w:p>
    <w:p w14:paraId="470DBD4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Ferk Savec, V., &amp; Jedrinović, S. (2025). The Role of AI Implementation in Higher Education in Achieving the Sustainable Development Goals: A Case Study from Slovenia.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 xml:space="preserve">(1), 183. </w:t>
      </w:r>
      <w:r>
        <w:rPr>
          <w:rFonts w:ascii="Times New Roman" w:hAnsi="Times New Roman" w:cs="Times New Roman"/>
          <w:sz w:val="24"/>
        </w:rPr>
        <w:t>https://doi.org/10.3390/su17010183</w:t>
      </w:r>
    </w:p>
    <w:p w14:paraId="75225AD3"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Gandía, J. A. G., Ancillo, A. de L., &amp; del Val Núñez, M. T. (2025). Knowledge and artificial intelligence on employee behaviour advancing safe and respectful workplace. </w:t>
      </w:r>
      <w:r>
        <w:rPr>
          <w:rFonts w:ascii="Times New Roman" w:hAnsi="Times New Roman" w:cs="Times New Roman"/>
          <w:i/>
          <w:iCs/>
          <w:sz w:val="24"/>
        </w:rPr>
        <w:t>Journal of Innovation &amp; Knowledge</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(4), 100750. ht</w:t>
      </w:r>
      <w:r>
        <w:rPr>
          <w:rFonts w:ascii="Times New Roman" w:hAnsi="Times New Roman" w:cs="Times New Roman"/>
          <w:sz w:val="24"/>
        </w:rPr>
        <w:t>tps://doi.org/10.1016/j.jik.2025.100750</w:t>
      </w:r>
    </w:p>
    <w:p w14:paraId="4203464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Kamalov, F., Santandreu Calonge, D., &amp; Gurrib, I. (2023). New Era of Artificial Intelligence in Education: Towards a Sustainable Multifaceted Revolution.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(16), 12451. https://doi.org/10.3390/su15161</w:t>
      </w:r>
      <w:r>
        <w:rPr>
          <w:rFonts w:ascii="Times New Roman" w:hAnsi="Times New Roman" w:cs="Times New Roman"/>
          <w:sz w:val="24"/>
        </w:rPr>
        <w:t>2451</w:t>
      </w:r>
    </w:p>
    <w:p w14:paraId="12AC659E"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Kim, J., &amp; Wargo, E. (2025). Empowering educational leaders for AI integration in rural STEM education: Challenges and strategies. </w:t>
      </w:r>
      <w:r>
        <w:rPr>
          <w:rFonts w:ascii="Times New Roman" w:hAnsi="Times New Roman" w:cs="Times New Roman"/>
          <w:i/>
          <w:iCs/>
          <w:sz w:val="24"/>
        </w:rPr>
        <w:t>Frontiers in Education</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 https://doi.org/10.3389/feduc.2025.1567698</w:t>
      </w:r>
    </w:p>
    <w:p w14:paraId="7AC324FA"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Lee, Y., &amp; Lee, S.-S. (2025). Exploring the Conce</w:t>
      </w:r>
      <w:r>
        <w:rPr>
          <w:rFonts w:ascii="Times New Roman" w:hAnsi="Times New Roman" w:cs="Times New Roman"/>
          <w:sz w:val="24"/>
        </w:rPr>
        <w:t xml:space="preserve">ptual Model and Instructional Design Principles of Intelligent Problem-Solving Learning.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(17), 7682. https://doi.org/10.3390/su17177682</w:t>
      </w:r>
    </w:p>
    <w:p w14:paraId="2B6E8F1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lastRenderedPageBreak/>
        <w:t>Lin, T., Zhang, J., &amp; Xiong, B. (2025). Effects of Technology Perceptions, Teacher Beliefs, and AI Lit</w:t>
      </w:r>
      <w:r>
        <w:rPr>
          <w:rFonts w:ascii="Times New Roman" w:hAnsi="Times New Roman" w:cs="Times New Roman"/>
          <w:sz w:val="24"/>
        </w:rPr>
        <w:t xml:space="preserve">eracy on AI Technology Adoption in Sustainable Mathematics Education. </w:t>
      </w:r>
      <w:r>
        <w:rPr>
          <w:rFonts w:ascii="Times New Roman" w:hAnsi="Times New Roman" w:cs="Times New Roman"/>
          <w:i/>
          <w:iCs/>
          <w:sz w:val="24"/>
        </w:rPr>
        <w:t>Sustainability</w:t>
      </w:r>
      <w:r>
        <w:rPr>
          <w:rFonts w:ascii="Times New Roman" w:hAnsi="Times New Roman" w:cs="Times New Roman"/>
          <w:sz w:val="24"/>
        </w:rPr>
        <w:t xml:space="preserve">, </w:t>
      </w:r>
      <w:r>
        <w:rPr>
          <w:rFonts w:ascii="Times New Roman" w:hAnsi="Times New Roman" w:cs="Times New Roman"/>
          <w:i/>
          <w:iCs/>
          <w:sz w:val="24"/>
        </w:rPr>
        <w:t>17</w:t>
      </w:r>
      <w:r>
        <w:rPr>
          <w:rFonts w:ascii="Times New Roman" w:hAnsi="Times New Roman" w:cs="Times New Roman"/>
          <w:sz w:val="24"/>
        </w:rPr>
        <w:t>(8), 3698. https://doi.org/10.3390/su17083698</w:t>
      </w:r>
    </w:p>
    <w:p w14:paraId="4B736FF1"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Long, D., &amp; Magerko, B. (2020). What is AI Literacy? Competencies and Design Considerations. </w:t>
      </w:r>
      <w:r>
        <w:rPr>
          <w:rFonts w:ascii="Times New Roman" w:hAnsi="Times New Roman" w:cs="Times New Roman"/>
          <w:i/>
          <w:iCs/>
          <w:sz w:val="24"/>
        </w:rPr>
        <w:t>Proceedings of the 2020 CHI C</w:t>
      </w:r>
      <w:r>
        <w:rPr>
          <w:rFonts w:ascii="Times New Roman" w:hAnsi="Times New Roman" w:cs="Times New Roman"/>
          <w:i/>
          <w:iCs/>
          <w:sz w:val="24"/>
        </w:rPr>
        <w:t>onference on Human Factors in Computing Systems</w:t>
      </w:r>
      <w:r>
        <w:rPr>
          <w:rFonts w:ascii="Times New Roman" w:hAnsi="Times New Roman" w:cs="Times New Roman"/>
          <w:sz w:val="24"/>
        </w:rPr>
        <w:t>, 1–16. https://doi.org/10.1145/3313831.3376727</w:t>
      </w:r>
    </w:p>
    <w:p w14:paraId="269A588E"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Paraskeva-Hadjichambi, D., Goldman, D., Hadjichambis, A. Ch., Parra, G., Lapin, K., Knippels, M.-C., &amp; Van Dam, F. (2020). Educating for Environmental Citizenshi</w:t>
      </w:r>
      <w:r>
        <w:rPr>
          <w:rFonts w:ascii="Times New Roman" w:hAnsi="Times New Roman" w:cs="Times New Roman"/>
          <w:sz w:val="24"/>
        </w:rPr>
        <w:t xml:space="preserve">p in Non-formal Frameworks for Secondary Level Youth. In A. Ch. Hadjichambis, P. Reis, D. Paraskeva-Hadjichambi, J. Činčera, J. Boeve-de Pauw, N. Gericke, &amp; M.-C. Knippels (Eds.), </w:t>
      </w:r>
      <w:r>
        <w:rPr>
          <w:rFonts w:ascii="Times New Roman" w:hAnsi="Times New Roman" w:cs="Times New Roman"/>
          <w:i/>
          <w:iCs/>
          <w:sz w:val="24"/>
        </w:rPr>
        <w:t>Conceptualizing Environmental Citizenship for 21st Century Education</w:t>
      </w:r>
      <w:r>
        <w:rPr>
          <w:rFonts w:ascii="Times New Roman" w:hAnsi="Times New Roman" w:cs="Times New Roman"/>
          <w:sz w:val="24"/>
        </w:rPr>
        <w:t xml:space="preserve"> (pp. 21</w:t>
      </w:r>
      <w:r>
        <w:rPr>
          <w:rFonts w:ascii="Times New Roman" w:hAnsi="Times New Roman" w:cs="Times New Roman"/>
          <w:sz w:val="24"/>
        </w:rPr>
        <w:t>3–235). Springer International Publishing. https://doi.org/10.1007/978-3-030-20249-1_14</w:t>
      </w:r>
    </w:p>
    <w:p w14:paraId="0A43F790"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Polat, E. (2025). Artificial intelligence literacy, lifelong learning, and fear of innovation: Identification of profiles and relationships. </w:t>
      </w:r>
      <w:r>
        <w:rPr>
          <w:rFonts w:ascii="Times New Roman" w:hAnsi="Times New Roman" w:cs="Times New Roman"/>
          <w:i/>
          <w:iCs/>
          <w:sz w:val="24"/>
        </w:rPr>
        <w:t>Education and Information T</w:t>
      </w:r>
      <w:r>
        <w:rPr>
          <w:rFonts w:ascii="Times New Roman" w:hAnsi="Times New Roman" w:cs="Times New Roman"/>
          <w:i/>
          <w:iCs/>
          <w:sz w:val="24"/>
        </w:rPr>
        <w:t>echnologies</w:t>
      </w:r>
      <w:r>
        <w:rPr>
          <w:rFonts w:ascii="Times New Roman" w:hAnsi="Times New Roman" w:cs="Times New Roman"/>
          <w:sz w:val="24"/>
        </w:rPr>
        <w:t xml:space="preserve">, </w:t>
      </w:r>
      <w:r>
        <w:rPr>
          <w:rFonts w:ascii="Times New Roman" w:hAnsi="Times New Roman" w:cs="Times New Roman"/>
          <w:i/>
          <w:iCs/>
          <w:sz w:val="24"/>
        </w:rPr>
        <w:t>30</w:t>
      </w:r>
      <w:r>
        <w:rPr>
          <w:rFonts w:ascii="Times New Roman" w:hAnsi="Times New Roman" w:cs="Times New Roman"/>
          <w:sz w:val="24"/>
        </w:rPr>
        <w:t>(14), 20183–20214. https://doi.org/10.1007/s10639-025-13548-y</w:t>
      </w:r>
    </w:p>
    <w:p w14:paraId="6C7CF6B9" w14:textId="77777777" w:rsidR="00BD7DBF" w:rsidRDefault="00123116">
      <w:pPr>
        <w:pStyle w:val="Bibliography1"/>
        <w:rPr>
          <w:rFonts w:ascii="Times New Roman" w:hAnsi="Times New Roman" w:cs="Times New Roman"/>
          <w:sz w:val="24"/>
        </w:rPr>
      </w:pPr>
      <w:r>
        <w:rPr>
          <w:rFonts w:ascii="Times New Roman" w:hAnsi="Times New Roman" w:cs="Times New Roman"/>
          <w:i/>
          <w:iCs/>
          <w:sz w:val="24"/>
        </w:rPr>
        <w:t>Project Overview ‹ Impact.AI: K-12 AI Literacy</w:t>
      </w:r>
      <w:r>
        <w:rPr>
          <w:rFonts w:ascii="Times New Roman" w:hAnsi="Times New Roman" w:cs="Times New Roman"/>
          <w:sz w:val="24"/>
        </w:rPr>
        <w:t>. (n.d.). MIT Media Lab. Retrieved October 26, 2025, from https://www.media.mit.edu/projects/impact-ai-k-12/overview/</w:t>
      </w:r>
    </w:p>
    <w:p w14:paraId="111205E1"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Qin, F., Yang, </w:t>
      </w:r>
      <w:r>
        <w:rPr>
          <w:rFonts w:ascii="Times New Roman" w:hAnsi="Times New Roman" w:cs="Times New Roman"/>
          <w:sz w:val="24"/>
        </w:rPr>
        <w:t xml:space="preserve">X., &amp; Zhang, Y. (2025). Ethical Challenges of AI-Empowered Higher Education. In W. Wen &amp; Y. Zhang (Eds.), </w:t>
      </w:r>
      <w:r>
        <w:rPr>
          <w:rFonts w:ascii="Times New Roman" w:hAnsi="Times New Roman" w:cs="Times New Roman"/>
          <w:i/>
          <w:iCs/>
          <w:sz w:val="24"/>
        </w:rPr>
        <w:t>The Global Development of AI-Empowered Higher Education: Beyond the Horizon</w:t>
      </w:r>
      <w:r>
        <w:rPr>
          <w:rFonts w:ascii="Times New Roman" w:hAnsi="Times New Roman" w:cs="Times New Roman"/>
          <w:sz w:val="24"/>
        </w:rPr>
        <w:t xml:space="preserve"> (pp. 65–92). Springer Nature. https://doi.org/10.1007/978-981-96-9005-3_3</w:t>
      </w:r>
    </w:p>
    <w:p w14:paraId="7B784726"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lastRenderedPageBreak/>
        <w:t xml:space="preserve">Sajja, R., Sermet, Y., Cikmaz, M., Cwiertny, D., &amp; Demir, I. (2024). Artificial Intelligence-Enabled Intelligent Assistant for Personalized and Adaptive Learning in Higher Education. </w:t>
      </w:r>
      <w:r>
        <w:rPr>
          <w:rFonts w:ascii="Times New Roman" w:hAnsi="Times New Roman" w:cs="Times New Roman"/>
          <w:i/>
          <w:iCs/>
          <w:sz w:val="24"/>
        </w:rPr>
        <w:t>Information</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(10), 596. https://doi.org/10.3390/info15100596</w:t>
      </w:r>
    </w:p>
    <w:p w14:paraId="504E88C5"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Salhab, R.</w:t>
      </w:r>
      <w:r>
        <w:rPr>
          <w:rFonts w:ascii="Times New Roman" w:hAnsi="Times New Roman" w:cs="Times New Roman"/>
          <w:sz w:val="24"/>
        </w:rPr>
        <w:t xml:space="preserve">, &amp; Aboushi, M. M. (2025). Influence of AI literacy and 21st-century skills on the acceptance of generative artificial intelligence among college students. </w:t>
      </w:r>
      <w:r>
        <w:rPr>
          <w:rFonts w:ascii="Times New Roman" w:hAnsi="Times New Roman" w:cs="Times New Roman"/>
          <w:i/>
          <w:iCs/>
          <w:sz w:val="24"/>
        </w:rPr>
        <w:t>Frontiers in Education</w:t>
      </w:r>
      <w:r>
        <w:rPr>
          <w:rFonts w:ascii="Times New Roman" w:hAnsi="Times New Roman" w:cs="Times New Roman"/>
          <w:sz w:val="24"/>
        </w:rPr>
        <w:t xml:space="preserve">, </w:t>
      </w:r>
      <w:r>
        <w:rPr>
          <w:rFonts w:ascii="Times New Roman" w:hAnsi="Times New Roman" w:cs="Times New Roman"/>
          <w:i/>
          <w:iCs/>
          <w:sz w:val="24"/>
        </w:rPr>
        <w:t>10</w:t>
      </w:r>
      <w:r>
        <w:rPr>
          <w:rFonts w:ascii="Times New Roman" w:hAnsi="Times New Roman" w:cs="Times New Roman"/>
          <w:sz w:val="24"/>
        </w:rPr>
        <w:t>. https://doi.org/10.3389/feduc.2025.1640212</w:t>
      </w:r>
    </w:p>
    <w:p w14:paraId="6FE1D317"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Schiff, D. (2022). Education for AI, not AI for Education: The Role of Education and Ethics in National AI Policy Strategies. </w:t>
      </w:r>
      <w:r>
        <w:rPr>
          <w:rFonts w:ascii="Times New Roman" w:hAnsi="Times New Roman" w:cs="Times New Roman"/>
          <w:i/>
          <w:iCs/>
          <w:sz w:val="24"/>
        </w:rPr>
        <w:t>International Journal of Artificial Intelligence in Education</w:t>
      </w:r>
      <w:r>
        <w:rPr>
          <w:rFonts w:ascii="Times New Roman" w:hAnsi="Times New Roman" w:cs="Times New Roman"/>
          <w:sz w:val="24"/>
        </w:rPr>
        <w:t xml:space="preserve">, </w:t>
      </w:r>
      <w:r>
        <w:rPr>
          <w:rFonts w:ascii="Times New Roman" w:hAnsi="Times New Roman" w:cs="Times New Roman"/>
          <w:i/>
          <w:iCs/>
          <w:sz w:val="24"/>
        </w:rPr>
        <w:t>32</w:t>
      </w:r>
      <w:r>
        <w:rPr>
          <w:rFonts w:ascii="Times New Roman" w:hAnsi="Times New Roman" w:cs="Times New Roman"/>
          <w:sz w:val="24"/>
        </w:rPr>
        <w:t>(3), 527–563. https://doi.org/10.1007/s40593-021-00270-2</w:t>
      </w:r>
    </w:p>
    <w:p w14:paraId="456C1E47"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Shehu, H</w:t>
      </w:r>
      <w:r>
        <w:rPr>
          <w:rFonts w:ascii="Times New Roman" w:hAnsi="Times New Roman" w:cs="Times New Roman"/>
          <w:sz w:val="24"/>
        </w:rPr>
        <w:t xml:space="preserve">., Ogunleye, E., Atilola, M. O., Eromosele, E. I., Lawal, A. B., &amp; Chukwuma, T. T. (2025). Ethical and Responsible AI in Engineering and Construction Projects: Governance, Trust, and Human-Centered Design. </w:t>
      </w:r>
      <w:r>
        <w:rPr>
          <w:rFonts w:ascii="Times New Roman" w:hAnsi="Times New Roman" w:cs="Times New Roman"/>
          <w:i/>
          <w:iCs/>
          <w:sz w:val="24"/>
        </w:rPr>
        <w:t>Scientific Journal of Engineering, and Technology</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i/>
          <w:iCs/>
          <w:sz w:val="24"/>
        </w:rPr>
        <w:t>2</w:t>
      </w:r>
      <w:r>
        <w:rPr>
          <w:rFonts w:ascii="Times New Roman" w:hAnsi="Times New Roman" w:cs="Times New Roman"/>
          <w:sz w:val="24"/>
        </w:rPr>
        <w:t>(2), 53–62. https://doi.org/10.69739/sjet.v2i2.833</w:t>
      </w:r>
    </w:p>
    <w:p w14:paraId="5FD26C9F"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Traga Philippakos, Z. A., &amp; Rocconi, L. (2025). AI Literacy: Elementary and Secondary Teachers’ Use of AI-Tools, Reported Confidence, and Professional Development Needs. </w:t>
      </w:r>
      <w:r>
        <w:rPr>
          <w:rFonts w:ascii="Times New Roman" w:hAnsi="Times New Roman" w:cs="Times New Roman"/>
          <w:i/>
          <w:iCs/>
          <w:sz w:val="24"/>
        </w:rPr>
        <w:t>Education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 xml:space="preserve">(9), 1186. </w:t>
      </w:r>
      <w:r>
        <w:rPr>
          <w:rFonts w:ascii="Times New Roman" w:hAnsi="Times New Roman" w:cs="Times New Roman"/>
          <w:sz w:val="24"/>
        </w:rPr>
        <w:t>https://doi.org/10.3390/educsci15091186</w:t>
      </w:r>
    </w:p>
    <w:p w14:paraId="269E0002"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Walter, Y. (2024). Managing the race to the moon: Global policy and governance in Artificial Intelligence regulation—A contemporary overview and an analysis of socioeconomic consequences. </w:t>
      </w:r>
      <w:r>
        <w:rPr>
          <w:rFonts w:ascii="Times New Roman" w:hAnsi="Times New Roman" w:cs="Times New Roman"/>
          <w:i/>
          <w:iCs/>
          <w:sz w:val="24"/>
        </w:rPr>
        <w:t>Discover Artificial Intellig</w:t>
      </w:r>
      <w:r>
        <w:rPr>
          <w:rFonts w:ascii="Times New Roman" w:hAnsi="Times New Roman" w:cs="Times New Roman"/>
          <w:i/>
          <w:iCs/>
          <w:sz w:val="24"/>
        </w:rPr>
        <w:t>ence</w:t>
      </w:r>
      <w:r>
        <w:rPr>
          <w:rFonts w:ascii="Times New Roman" w:hAnsi="Times New Roman" w:cs="Times New Roman"/>
          <w:sz w:val="24"/>
        </w:rPr>
        <w:t xml:space="preserve">, </w:t>
      </w:r>
      <w:r>
        <w:rPr>
          <w:rFonts w:ascii="Times New Roman" w:hAnsi="Times New Roman" w:cs="Times New Roman"/>
          <w:i/>
          <w:iCs/>
          <w:sz w:val="24"/>
        </w:rPr>
        <w:t>4</w:t>
      </w:r>
      <w:r>
        <w:rPr>
          <w:rFonts w:ascii="Times New Roman" w:hAnsi="Times New Roman" w:cs="Times New Roman"/>
          <w:sz w:val="24"/>
        </w:rPr>
        <w:t>(1), 14. https://doi.org/10.1007/s44163-024-00109-4</w:t>
      </w:r>
    </w:p>
    <w:p w14:paraId="167303F4"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t xml:space="preserve">Wang, D., Dong, X., &amp; Zhong, J. (2025). Enhance College AI Course Learning Experience with Constructivism-Based Blog Assignments. </w:t>
      </w:r>
      <w:r>
        <w:rPr>
          <w:rFonts w:ascii="Times New Roman" w:hAnsi="Times New Roman" w:cs="Times New Roman"/>
          <w:i/>
          <w:iCs/>
          <w:sz w:val="24"/>
        </w:rPr>
        <w:t>Education Sciences</w:t>
      </w:r>
      <w:r>
        <w:rPr>
          <w:rFonts w:ascii="Times New Roman" w:hAnsi="Times New Roman" w:cs="Times New Roman"/>
          <w:sz w:val="24"/>
        </w:rPr>
        <w:t xml:space="preserve">, </w:t>
      </w:r>
      <w:r>
        <w:rPr>
          <w:rFonts w:ascii="Times New Roman" w:hAnsi="Times New Roman" w:cs="Times New Roman"/>
          <w:i/>
          <w:iCs/>
          <w:sz w:val="24"/>
        </w:rPr>
        <w:t>15</w:t>
      </w:r>
      <w:r>
        <w:rPr>
          <w:rFonts w:ascii="Times New Roman" w:hAnsi="Times New Roman" w:cs="Times New Roman"/>
          <w:sz w:val="24"/>
        </w:rPr>
        <w:t>(2), 217. https://doi.org/10.3390/educsci1502</w:t>
      </w:r>
      <w:r>
        <w:rPr>
          <w:rFonts w:ascii="Times New Roman" w:hAnsi="Times New Roman" w:cs="Times New Roman"/>
          <w:sz w:val="24"/>
        </w:rPr>
        <w:t>0217</w:t>
      </w:r>
    </w:p>
    <w:p w14:paraId="556B5618" w14:textId="77777777" w:rsidR="00BD7DBF" w:rsidRDefault="00123116">
      <w:pPr>
        <w:pStyle w:val="Bibliography1"/>
        <w:rPr>
          <w:rFonts w:ascii="Times New Roman" w:hAnsi="Times New Roman" w:cs="Times New Roman"/>
          <w:sz w:val="24"/>
        </w:rPr>
      </w:pPr>
      <w:r>
        <w:rPr>
          <w:rFonts w:ascii="Times New Roman" w:hAnsi="Times New Roman" w:cs="Times New Roman"/>
          <w:sz w:val="24"/>
        </w:rPr>
        <w:lastRenderedPageBreak/>
        <w:t xml:space="preserve">Yim, I. H. Y., &amp; Su, J. (2025). Artificial intelligence (AI) learning tools in K-12 education: A scoping review. </w:t>
      </w:r>
      <w:r>
        <w:rPr>
          <w:rFonts w:ascii="Times New Roman" w:hAnsi="Times New Roman" w:cs="Times New Roman"/>
          <w:i/>
          <w:iCs/>
          <w:sz w:val="24"/>
        </w:rPr>
        <w:t>Journal of Computers in Education</w:t>
      </w:r>
      <w:r>
        <w:rPr>
          <w:rFonts w:ascii="Times New Roman" w:hAnsi="Times New Roman" w:cs="Times New Roman"/>
          <w:sz w:val="24"/>
        </w:rPr>
        <w:t xml:space="preserve">, </w:t>
      </w:r>
      <w:r>
        <w:rPr>
          <w:rFonts w:ascii="Times New Roman" w:hAnsi="Times New Roman" w:cs="Times New Roman"/>
          <w:i/>
          <w:iCs/>
          <w:sz w:val="24"/>
        </w:rPr>
        <w:t>12</w:t>
      </w:r>
      <w:r>
        <w:rPr>
          <w:rFonts w:ascii="Times New Roman" w:hAnsi="Times New Roman" w:cs="Times New Roman"/>
          <w:sz w:val="24"/>
        </w:rPr>
        <w:t>(1), 93–131. https://doi.org/10.1007/s40692-023-00304-9</w:t>
      </w:r>
    </w:p>
    <w:p w14:paraId="11D2C83D" w14:textId="77777777" w:rsidR="00BD7DBF" w:rsidRDefault="00123116">
      <w:pPr>
        <w:pStyle w:val="NormalWeb"/>
      </w:pPr>
      <w:r>
        <w:fldChar w:fldCharType="end"/>
      </w:r>
    </w:p>
    <w:p w14:paraId="5E5886C1" w14:textId="77777777" w:rsidR="00BD7DBF" w:rsidRDefault="00BD7DBF">
      <w:pPr>
        <w:pStyle w:val="NormalWeb"/>
      </w:pPr>
    </w:p>
    <w:sectPr w:rsidR="00BD7DB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B4484" w14:textId="77777777" w:rsidR="00123116" w:rsidRDefault="00123116">
      <w:pPr>
        <w:spacing w:line="240" w:lineRule="auto"/>
      </w:pPr>
      <w:r>
        <w:separator/>
      </w:r>
    </w:p>
  </w:endnote>
  <w:endnote w:type="continuationSeparator" w:id="0">
    <w:p w14:paraId="122BBAFC" w14:textId="77777777" w:rsidR="00123116" w:rsidRDefault="001231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3C06" w14:textId="77777777" w:rsidR="00D90E82" w:rsidRDefault="00D90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60C10" w14:textId="77777777" w:rsidR="00D90E82" w:rsidRDefault="00D90E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A21C1" w14:textId="77777777" w:rsidR="00D90E82" w:rsidRDefault="00D90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7A74A" w14:textId="77777777" w:rsidR="00123116" w:rsidRDefault="00123116">
      <w:pPr>
        <w:spacing w:after="0"/>
      </w:pPr>
      <w:r>
        <w:separator/>
      </w:r>
    </w:p>
  </w:footnote>
  <w:footnote w:type="continuationSeparator" w:id="0">
    <w:p w14:paraId="47C40BA7" w14:textId="77777777" w:rsidR="00123116" w:rsidRDefault="001231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2F4F7" w14:textId="701CBE27" w:rsidR="00D90E82" w:rsidRDefault="00D90E82">
    <w:pPr>
      <w:pStyle w:val="Header"/>
    </w:pPr>
    <w:r>
      <w:rPr>
        <w:noProof/>
      </w:rPr>
      <w:pict w14:anchorId="5A6F0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8BA2" w14:textId="15AC8C24" w:rsidR="00D90E82" w:rsidRDefault="00D90E82">
    <w:pPr>
      <w:pStyle w:val="Header"/>
    </w:pPr>
    <w:r>
      <w:rPr>
        <w:noProof/>
      </w:rPr>
      <w:pict w14:anchorId="7001F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51ED" w14:textId="689F62FC" w:rsidR="00D90E82" w:rsidRDefault="00D90E82">
    <w:pPr>
      <w:pStyle w:val="Header"/>
    </w:pPr>
    <w:r>
      <w:rPr>
        <w:noProof/>
      </w:rPr>
      <w:pict w14:anchorId="2C919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759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369"/>
    <w:multiLevelType w:val="multilevel"/>
    <w:tmpl w:val="069233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3D87FEE"/>
    <w:multiLevelType w:val="multilevel"/>
    <w:tmpl w:val="13D87F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3E921F2"/>
    <w:multiLevelType w:val="multilevel"/>
    <w:tmpl w:val="33E921F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49FF0589"/>
    <w:multiLevelType w:val="multilevel"/>
    <w:tmpl w:val="49FF05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B4"/>
    <w:rsid w:val="00005FDC"/>
    <w:rsid w:val="00123116"/>
    <w:rsid w:val="001D1572"/>
    <w:rsid w:val="00407828"/>
    <w:rsid w:val="004135E0"/>
    <w:rsid w:val="004769D2"/>
    <w:rsid w:val="004D333A"/>
    <w:rsid w:val="0052133C"/>
    <w:rsid w:val="00703122"/>
    <w:rsid w:val="00794E3D"/>
    <w:rsid w:val="00795D19"/>
    <w:rsid w:val="00945FE4"/>
    <w:rsid w:val="00A41950"/>
    <w:rsid w:val="00AB08C1"/>
    <w:rsid w:val="00AC5FB4"/>
    <w:rsid w:val="00AD4BC9"/>
    <w:rsid w:val="00BD7DBF"/>
    <w:rsid w:val="00D90E82"/>
    <w:rsid w:val="00EC76E0"/>
    <w:rsid w:val="00FF693A"/>
    <w:rsid w:val="57472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D4027A"/>
  <w15:docId w15:val="{6E730A74-F28E-40D8-9256-D325501D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paragraph" w:customStyle="1" w:styleId="Bibliography1">
    <w:name w:val="Bibliography1"/>
    <w:basedOn w:val="Normal"/>
    <w:next w:val="Normal"/>
    <w:uiPriority w:val="37"/>
    <w:unhideWhenUsed/>
    <w:qFormat/>
    <w:pPr>
      <w:spacing w:after="0" w:line="480" w:lineRule="auto"/>
      <w:ind w:left="720" w:hanging="720"/>
    </w:pPr>
  </w:style>
  <w:style w:type="paragraph" w:styleId="ListParagraph">
    <w:name w:val="List Paragraph"/>
    <w:basedOn w:val="Normal"/>
    <w:uiPriority w:val="99"/>
    <w:unhideWhenUsed/>
    <w:rsid w:val="0052133C"/>
    <w:pPr>
      <w:ind w:left="720"/>
      <w:contextualSpacing/>
    </w:pPr>
  </w:style>
  <w:style w:type="character" w:styleId="UnresolvedMention">
    <w:name w:val="Unresolved Mention"/>
    <w:basedOn w:val="DefaultParagraphFont"/>
    <w:uiPriority w:val="99"/>
    <w:semiHidden/>
    <w:unhideWhenUsed/>
    <w:rsid w:val="0052133C"/>
    <w:rPr>
      <w:color w:val="605E5C"/>
      <w:shd w:val="clear" w:color="auto" w:fill="E1DFDD"/>
    </w:rPr>
  </w:style>
  <w:style w:type="paragraph" w:styleId="Header">
    <w:name w:val="header"/>
    <w:basedOn w:val="Normal"/>
    <w:link w:val="HeaderChar"/>
    <w:uiPriority w:val="99"/>
    <w:unhideWhenUsed/>
    <w:rsid w:val="00D90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E82"/>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D90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E82"/>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0D12B-5915-4459-AFC0-91E29F5D6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15890</Words>
  <Characters>90575</Characters>
  <Application>Microsoft Office Word</Application>
  <DocSecurity>0</DocSecurity>
  <Lines>754</Lines>
  <Paragraphs>212</Paragraphs>
  <ScaleCrop>false</ScaleCrop>
  <Company/>
  <LinksUpToDate>false</LinksUpToDate>
  <CharactersWithSpaces>106253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Olabisi Lawal</dc:creator>
  <cp:lastModifiedBy>SDI 1084</cp:lastModifiedBy>
  <cp:revision>17</cp:revision>
  <dcterms:created xsi:type="dcterms:W3CDTF">2025-10-25T09:26:00Z</dcterms:created>
  <dcterms:modified xsi:type="dcterms:W3CDTF">2025-10-29T07:52:00Z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id="TZoKPUzF"/&gt;&lt;style id="http://www.zotero.org/styles/apa" locale="en-US" hasBibliography="1" bibliographyStyleHasBeenSet="1"/&gt;&lt;prefs&gt;&lt;pref name="fieldType" value="Field"/&gt;&lt;/prefs&gt;&lt;/data&gt;</vt:lpwstr>
  </property>
  <property fmtid="{D5CDD505-2E9C-101B-9397-08002B2CF9AE}" pid="3" name="GrammarlyDocumentId">
    <vt:lpwstr>f7572233-ecf6-4624-a7ef-34228d4b4bd0</vt:lpwstr>
  </property>
  <property fmtid="{D5CDD505-2E9C-101B-9397-08002B2CF9AE}" pid="4" name="KSOProductBuildVer">
    <vt:lpwstr>1033-12.2.0.23131</vt:lpwstr>
  </property>
  <property fmtid="{D5CDD505-2E9C-101B-9397-08002B2CF9AE}" pid="5" name="ICV">
    <vt:lpwstr>C55F70BC12F3433B9E3C885A11B0857B_12</vt:lpwstr>
  </property>
</Properties>
</file>