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FFA3A" w14:textId="7DC83B8C" w:rsidR="00812F43" w:rsidRDefault="008A7800" w:rsidP="00812F43">
      <w:pPr>
        <w:jc w:val="both"/>
        <w:rPr>
          <w:rFonts w:ascii="Times New Roman" w:hAnsi="Times New Roman" w:cs="Times New Roman"/>
          <w:b/>
          <w:bCs/>
          <w:sz w:val="24"/>
          <w:szCs w:val="24"/>
        </w:rPr>
      </w:pPr>
      <w:r w:rsidRPr="00812F43">
        <w:rPr>
          <w:rFonts w:ascii="Times New Roman" w:hAnsi="Times New Roman" w:cs="Times New Roman"/>
          <w:b/>
          <w:bCs/>
          <w:sz w:val="24"/>
          <w:szCs w:val="24"/>
        </w:rPr>
        <w:t xml:space="preserve">Effect of Konzo Risk on Fine Motor Skills in Nigerian School </w:t>
      </w:r>
      <w:r>
        <w:rPr>
          <w:rFonts w:ascii="Times New Roman" w:eastAsia="Calibri" w:hAnsi="Times New Roman" w:cs="Times New Roman"/>
          <w:b/>
          <w:bCs/>
          <w:sz w:val="24"/>
          <w:szCs w:val="24"/>
        </w:rPr>
        <w:t>Children: A Case‒Control</w:t>
      </w:r>
      <w:r w:rsidRPr="00812F43">
        <w:rPr>
          <w:rFonts w:ascii="Times New Roman" w:hAnsi="Times New Roman" w:cs="Times New Roman"/>
          <w:b/>
          <w:bCs/>
          <w:sz w:val="24"/>
          <w:szCs w:val="24"/>
        </w:rPr>
        <w:t xml:space="preserve"> Study of Dietary Cassava Exposure and Hand Dexterity Performance</w:t>
      </w:r>
    </w:p>
    <w:p w14:paraId="33362B47" w14:textId="77777777" w:rsidR="00812F43" w:rsidRPr="00812F43" w:rsidRDefault="00812F43" w:rsidP="00812F43">
      <w:pPr>
        <w:jc w:val="both"/>
        <w:rPr>
          <w:rFonts w:ascii="Times New Roman" w:hAnsi="Times New Roman" w:cs="Times New Roman"/>
          <w:b/>
          <w:bCs/>
          <w:sz w:val="24"/>
          <w:szCs w:val="24"/>
        </w:rPr>
      </w:pPr>
    </w:p>
    <w:p w14:paraId="7E499677" w14:textId="77777777" w:rsidR="00812F43" w:rsidRDefault="00812F43" w:rsidP="00812F43">
      <w:pPr>
        <w:jc w:val="both"/>
        <w:rPr>
          <w:rFonts w:ascii="Times New Roman" w:hAnsi="Times New Roman" w:cs="Times New Roman"/>
          <w:b/>
          <w:bCs/>
          <w:sz w:val="24"/>
          <w:szCs w:val="24"/>
        </w:rPr>
      </w:pPr>
    </w:p>
    <w:p w14:paraId="7C46D710" w14:textId="35D317EC" w:rsidR="00812F43" w:rsidRPr="00812F43" w:rsidRDefault="008A7800" w:rsidP="00812F43">
      <w:pPr>
        <w:jc w:val="both"/>
        <w:rPr>
          <w:rFonts w:ascii="Times New Roman" w:hAnsi="Times New Roman" w:cs="Times New Roman"/>
          <w:b/>
          <w:bCs/>
          <w:sz w:val="24"/>
          <w:szCs w:val="24"/>
        </w:rPr>
      </w:pPr>
      <w:r w:rsidRPr="00812F43">
        <w:rPr>
          <w:rFonts w:ascii="Times New Roman" w:hAnsi="Times New Roman" w:cs="Times New Roman"/>
          <w:b/>
          <w:bCs/>
          <w:sz w:val="24"/>
          <w:szCs w:val="24"/>
        </w:rPr>
        <w:t>ABSTRACT</w:t>
      </w:r>
    </w:p>
    <w:p w14:paraId="288AF751" w14:textId="26637273" w:rsidR="005559C4" w:rsidRPr="005559C4" w:rsidRDefault="008A7800" w:rsidP="005559C4">
      <w:pPr>
        <w:jc w:val="both"/>
        <w:rPr>
          <w:rFonts w:ascii="Times New Roman" w:hAnsi="Times New Roman" w:cs="Times New Roman"/>
          <w:sz w:val="24"/>
          <w:szCs w:val="24"/>
          <w:lang w:val=""/>
        </w:rPr>
      </w:pPr>
      <w:r w:rsidRPr="005559C4">
        <w:rPr>
          <w:rFonts w:ascii="Times New Roman" w:hAnsi="Times New Roman" w:cs="Times New Roman"/>
          <w:b/>
          <w:bCs/>
          <w:sz w:val="24"/>
          <w:szCs w:val="24"/>
        </w:rPr>
        <w:t>Background:</w:t>
      </w:r>
      <w:r>
        <w:rPr>
          <w:rFonts w:ascii="Times New Roman" w:hAnsi="Times New Roman" w:cs="Times New Roman"/>
          <w:sz w:val="24"/>
          <w:szCs w:val="24"/>
        </w:rPr>
        <w:t xml:space="preserve"> Konzo is a neglected neurological disease linked to chronic dietary exposure to cyanogenic cassava. Despite </w:t>
      </w:r>
      <w:r>
        <w:rPr>
          <w:rFonts w:ascii="Times New Roman" w:eastAsia="Calibri" w:hAnsi="Times New Roman" w:cs="Times New Roman"/>
          <w:sz w:val="24"/>
          <w:szCs w:val="24"/>
        </w:rPr>
        <w:t>the emergence of</w:t>
      </w:r>
      <w:r>
        <w:rPr>
          <w:rFonts w:ascii="Times New Roman" w:hAnsi="Times New Roman" w:cs="Times New Roman"/>
          <w:sz w:val="24"/>
          <w:szCs w:val="24"/>
        </w:rPr>
        <w:t xml:space="preserve"> interventions, research gaps persist regarding early motor deficits in children at risk. This study addresses the lack of standard</w:t>
      </w:r>
      <w:r>
        <w:rPr>
          <w:rFonts w:ascii="Times New Roman" w:hAnsi="Times New Roman" w:cs="Times New Roman"/>
          <w:sz w:val="24"/>
          <w:szCs w:val="24"/>
        </w:rPr>
        <w:t xml:space="preserve">ized tools and data on subclinical neurodevelopmental impacts in such populations by examining hand dexterity impairments using the Jebsen-Taylor Hand Function Test (JTHFT). </w:t>
      </w:r>
      <w:r w:rsidRPr="005559C4">
        <w:rPr>
          <w:rFonts w:ascii="Times New Roman" w:hAnsi="Times New Roman" w:cs="Times New Roman"/>
          <w:b/>
          <w:bCs/>
          <w:sz w:val="24"/>
          <w:szCs w:val="24"/>
        </w:rPr>
        <w:t>Methods:</w:t>
      </w:r>
      <w:r w:rsidRPr="005559C4">
        <w:rPr>
          <w:rFonts w:ascii="Times New Roman" w:hAnsi="Times New Roman" w:cs="Times New Roman"/>
          <w:sz w:val="24"/>
          <w:szCs w:val="24"/>
        </w:rPr>
        <w:t xml:space="preserve"> A </w:t>
      </w:r>
      <w:r>
        <w:rPr>
          <w:rFonts w:ascii="Times New Roman" w:eastAsia="Calibri" w:hAnsi="Times New Roman" w:cs="Times New Roman"/>
          <w:sz w:val="24"/>
          <w:szCs w:val="24"/>
        </w:rPr>
        <w:t>case‒control</w:t>
      </w:r>
      <w:r w:rsidRPr="005559C4">
        <w:rPr>
          <w:rFonts w:ascii="Times New Roman" w:hAnsi="Times New Roman" w:cs="Times New Roman"/>
          <w:sz w:val="24"/>
          <w:szCs w:val="24"/>
        </w:rPr>
        <w:t xml:space="preserve"> study was conducted involving 90 primary school children a</w:t>
      </w:r>
      <w:r w:rsidRPr="005559C4">
        <w:rPr>
          <w:rFonts w:ascii="Times New Roman" w:hAnsi="Times New Roman" w:cs="Times New Roman"/>
          <w:sz w:val="24"/>
          <w:szCs w:val="24"/>
        </w:rPr>
        <w:t xml:space="preserve">ged 7–13 years from cassava-dependent (Etche, </w:t>
      </w:r>
      <w:r w:rsidRPr="005559C4">
        <w:rPr>
          <w:rFonts w:ascii="Times New Roman" w:hAnsi="Times New Roman" w:cs="Times New Roman"/>
          <w:i/>
          <w:iCs/>
          <w:sz w:val="24"/>
          <w:szCs w:val="24"/>
        </w:rPr>
        <w:t>n</w:t>
      </w:r>
      <w:r w:rsidRPr="005559C4">
        <w:rPr>
          <w:rFonts w:ascii="Times New Roman" w:hAnsi="Times New Roman" w:cs="Times New Roman"/>
          <w:sz w:val="24"/>
          <w:szCs w:val="24"/>
        </w:rPr>
        <w:t xml:space="preserve">=45) and less-dependent (Choba, </w:t>
      </w:r>
      <w:r w:rsidRPr="005559C4">
        <w:rPr>
          <w:rFonts w:ascii="Times New Roman" w:hAnsi="Times New Roman" w:cs="Times New Roman"/>
          <w:i/>
          <w:iCs/>
          <w:sz w:val="24"/>
          <w:szCs w:val="24"/>
        </w:rPr>
        <w:t>n</w:t>
      </w:r>
      <w:r w:rsidRPr="005559C4">
        <w:rPr>
          <w:rFonts w:ascii="Times New Roman" w:hAnsi="Times New Roman" w:cs="Times New Roman"/>
          <w:sz w:val="24"/>
          <w:szCs w:val="24"/>
        </w:rPr>
        <w:t xml:space="preserve">=45) communities in Rivers State, Nigeria. </w:t>
      </w:r>
      <w:r>
        <w:rPr>
          <w:rFonts w:ascii="Times New Roman" w:eastAsia="Calibri" w:hAnsi="Times New Roman" w:cs="Times New Roman"/>
          <w:sz w:val="24"/>
          <w:szCs w:val="24"/>
        </w:rPr>
        <w:t>The participants</w:t>
      </w:r>
      <w:r w:rsidRPr="005559C4">
        <w:rPr>
          <w:rFonts w:ascii="Times New Roman" w:hAnsi="Times New Roman" w:cs="Times New Roman"/>
          <w:sz w:val="24"/>
          <w:szCs w:val="24"/>
        </w:rPr>
        <w:t xml:space="preserve"> completed seven standardized JTHFT subtests assessing skilled hand function, including writing a sentence, turning over cards, picking </w:t>
      </w:r>
      <w:bookmarkStart w:id="0" w:name="_GoBack"/>
      <w:bookmarkEnd w:id="0"/>
      <w:r w:rsidRPr="005559C4">
        <w:rPr>
          <w:rFonts w:ascii="Times New Roman" w:hAnsi="Times New Roman" w:cs="Times New Roman"/>
          <w:sz w:val="24"/>
          <w:szCs w:val="24"/>
        </w:rPr>
        <w:t xml:space="preserve">up small common objects, </w:t>
      </w:r>
      <w:r>
        <w:rPr>
          <w:rFonts w:ascii="Times New Roman" w:eastAsia="Calibri" w:hAnsi="Times New Roman" w:cs="Times New Roman"/>
          <w:sz w:val="24"/>
          <w:szCs w:val="24"/>
        </w:rPr>
        <w:t>simulating</w:t>
      </w:r>
      <w:r w:rsidRPr="005559C4">
        <w:rPr>
          <w:rFonts w:ascii="Times New Roman" w:hAnsi="Times New Roman" w:cs="Times New Roman"/>
          <w:sz w:val="24"/>
          <w:szCs w:val="24"/>
        </w:rPr>
        <w:t xml:space="preserve"> feeding with a spoon, stacking checkers, moving large light objects, and moving larg</w:t>
      </w:r>
      <w:r w:rsidRPr="005559C4">
        <w:rPr>
          <w:rFonts w:ascii="Times New Roman" w:hAnsi="Times New Roman" w:cs="Times New Roman"/>
          <w:sz w:val="24"/>
          <w:szCs w:val="24"/>
        </w:rPr>
        <w:t xml:space="preserve">e heavy objects. The mean task completion times were compared between groups using independent samples </w:t>
      </w:r>
      <w:r w:rsidRPr="005559C4">
        <w:rPr>
          <w:rFonts w:ascii="Times New Roman" w:hAnsi="Times New Roman" w:cs="Times New Roman"/>
          <w:i/>
          <w:iCs/>
          <w:sz w:val="24"/>
          <w:szCs w:val="24"/>
        </w:rPr>
        <w:t>t</w:t>
      </w:r>
      <w:r>
        <w:rPr>
          <w:rFonts w:ascii="Times New Roman" w:hAnsi="Times New Roman" w:cs="Times New Roman"/>
          <w:sz w:val="24"/>
          <w:szCs w:val="24"/>
        </w:rPr>
        <w:t xml:space="preserve">-tests (α = 0.05). </w:t>
      </w:r>
      <w:r w:rsidRPr="005559C4">
        <w:rPr>
          <w:rFonts w:ascii="Times New Roman" w:hAnsi="Times New Roman" w:cs="Times New Roman"/>
          <w:b/>
          <w:bCs/>
          <w:sz w:val="24"/>
          <w:szCs w:val="24"/>
        </w:rPr>
        <w:t>Results:</w:t>
      </w:r>
      <w:r w:rsidRPr="005559C4">
        <w:rPr>
          <w:rFonts w:ascii="Times New Roman" w:hAnsi="Times New Roman" w:cs="Times New Roman"/>
          <w:sz w:val="24"/>
          <w:szCs w:val="24"/>
        </w:rPr>
        <w:t xml:space="preserve"> Children in the Etche group exhibited significantly poorer performance in several dexterity tasks compared to controls. Nota</w:t>
      </w:r>
      <w:r w:rsidRPr="005559C4">
        <w:rPr>
          <w:rFonts w:ascii="Times New Roman" w:hAnsi="Times New Roman" w:cs="Times New Roman"/>
          <w:sz w:val="24"/>
          <w:szCs w:val="24"/>
        </w:rPr>
        <w:t xml:space="preserve">ble differences included slower completion times for page turning (non-dominant: 5.48 ± 1.27 vs. 4.67 ± 1.18 sec, </w:t>
      </w:r>
      <w:r w:rsidRPr="005559C4">
        <w:rPr>
          <w:rFonts w:ascii="Times New Roman" w:hAnsi="Times New Roman" w:cs="Times New Roman"/>
          <w:i/>
          <w:iCs/>
          <w:sz w:val="24"/>
          <w:szCs w:val="24"/>
        </w:rPr>
        <w:t>p</w:t>
      </w:r>
      <w:r w:rsidRPr="005559C4">
        <w:rPr>
          <w:rFonts w:ascii="Times New Roman" w:hAnsi="Times New Roman" w:cs="Times New Roman"/>
          <w:sz w:val="24"/>
          <w:szCs w:val="24"/>
        </w:rPr>
        <w:t xml:space="preserve">=0.003), stacking checkers (4.06 ± 0.79 vs. 4.50 ± 0.97 sec, </w:t>
      </w:r>
      <w:r w:rsidRPr="005559C4">
        <w:rPr>
          <w:rFonts w:ascii="Times New Roman" w:hAnsi="Times New Roman" w:cs="Times New Roman"/>
          <w:i/>
          <w:iCs/>
          <w:sz w:val="24"/>
          <w:szCs w:val="24"/>
        </w:rPr>
        <w:t>p</w:t>
      </w:r>
      <w:r w:rsidRPr="005559C4">
        <w:rPr>
          <w:rFonts w:ascii="Times New Roman" w:hAnsi="Times New Roman" w:cs="Times New Roman"/>
          <w:sz w:val="24"/>
          <w:szCs w:val="24"/>
        </w:rPr>
        <w:t>=0.022), and lifting large heavy objects (non-dominant: 3.32 ± 0.68 vs. 3.92 ± </w:t>
      </w:r>
      <w:r w:rsidRPr="005559C4">
        <w:rPr>
          <w:rFonts w:ascii="Times New Roman" w:hAnsi="Times New Roman" w:cs="Times New Roman"/>
          <w:sz w:val="24"/>
          <w:szCs w:val="24"/>
        </w:rPr>
        <w:t xml:space="preserve">1.00 sec, </w:t>
      </w:r>
      <w:r w:rsidRPr="005559C4">
        <w:rPr>
          <w:rFonts w:ascii="Times New Roman" w:hAnsi="Times New Roman" w:cs="Times New Roman"/>
          <w:i/>
          <w:iCs/>
          <w:sz w:val="24"/>
          <w:szCs w:val="24"/>
        </w:rPr>
        <w:t>p</w:t>
      </w:r>
      <w:r w:rsidRPr="005559C4">
        <w:rPr>
          <w:rFonts w:ascii="Times New Roman" w:hAnsi="Times New Roman" w:cs="Times New Roman"/>
          <w:sz w:val="24"/>
          <w:szCs w:val="24"/>
        </w:rPr>
        <w:t xml:space="preserve">=0.001; dominant: 3.05 ± 0.71 vs. 3.69 ± 0.82 sec, </w:t>
      </w:r>
      <w:r w:rsidRPr="005559C4">
        <w:rPr>
          <w:rFonts w:ascii="Times New Roman" w:hAnsi="Times New Roman" w:cs="Times New Roman"/>
          <w:i/>
          <w:iCs/>
          <w:sz w:val="24"/>
          <w:szCs w:val="24"/>
        </w:rPr>
        <w:t>p</w:t>
      </w:r>
      <w:r>
        <w:rPr>
          <w:rFonts w:ascii="Times New Roman" w:hAnsi="Times New Roman" w:cs="Times New Roman"/>
          <w:sz w:val="24"/>
          <w:szCs w:val="24"/>
        </w:rPr>
        <w:t xml:space="preserve">&lt;0.001). Gender-specific analysis revealed significant impairments among both males and females in the at-risk group. </w:t>
      </w:r>
      <w:r w:rsidRPr="005559C4">
        <w:rPr>
          <w:rFonts w:ascii="Times New Roman" w:hAnsi="Times New Roman" w:cs="Times New Roman"/>
          <w:b/>
          <w:bCs/>
          <w:sz w:val="24"/>
          <w:szCs w:val="24"/>
        </w:rPr>
        <w:t>Conclusion:</w:t>
      </w:r>
      <w:r w:rsidRPr="005559C4">
        <w:rPr>
          <w:rFonts w:ascii="Times New Roman" w:hAnsi="Times New Roman" w:cs="Times New Roman"/>
          <w:sz w:val="24"/>
          <w:szCs w:val="24"/>
        </w:rPr>
        <w:t xml:space="preserve"> Children from Konzo-endemic regions demonstrate early, measurab</w:t>
      </w:r>
      <w:r w:rsidRPr="005559C4">
        <w:rPr>
          <w:rFonts w:ascii="Times New Roman" w:hAnsi="Times New Roman" w:cs="Times New Roman"/>
          <w:sz w:val="24"/>
          <w:szCs w:val="24"/>
        </w:rPr>
        <w:t xml:space="preserve">le impairments in skilled hand dexterity, particularly in tasks requiring fine motor control and strength. The JTHFT may serve as a sensitive screening tool for subclinical neurotoxicity. </w:t>
      </w:r>
      <w:r>
        <w:rPr>
          <w:rFonts w:ascii="Times New Roman" w:eastAsia="Calibri" w:hAnsi="Times New Roman" w:cs="Times New Roman"/>
          <w:sz w:val="24"/>
          <w:szCs w:val="24"/>
        </w:rPr>
        <w:t>These findings</w:t>
      </w:r>
      <w:r w:rsidRPr="005559C4">
        <w:rPr>
          <w:rFonts w:ascii="Times New Roman" w:hAnsi="Times New Roman" w:cs="Times New Roman"/>
          <w:sz w:val="24"/>
          <w:szCs w:val="24"/>
        </w:rPr>
        <w:t xml:space="preserve"> support the integration of motor surveillance into pu</w:t>
      </w:r>
      <w:r w:rsidRPr="005559C4">
        <w:rPr>
          <w:rFonts w:ascii="Times New Roman" w:hAnsi="Times New Roman" w:cs="Times New Roman"/>
          <w:sz w:val="24"/>
          <w:szCs w:val="24"/>
        </w:rPr>
        <w:t>blic health strategies in cassava-dependent communities.</w:t>
      </w:r>
    </w:p>
    <w:p w14:paraId="763E9426" w14:textId="3FE9A289" w:rsidR="005559C4" w:rsidRPr="005559C4" w:rsidRDefault="008A7800" w:rsidP="005559C4">
      <w:pPr>
        <w:jc w:val="both"/>
        <w:rPr>
          <w:rFonts w:ascii="Times New Roman" w:hAnsi="Times New Roman" w:cs="Times New Roman"/>
          <w:sz w:val="24"/>
          <w:szCs w:val="24"/>
          <w:lang w:val=""/>
        </w:rPr>
      </w:pPr>
      <w:r w:rsidRPr="005559C4">
        <w:rPr>
          <w:rFonts w:ascii="Times New Roman" w:hAnsi="Times New Roman" w:cs="Times New Roman"/>
          <w:b/>
          <w:bCs/>
          <w:sz w:val="24"/>
          <w:szCs w:val="24"/>
        </w:rPr>
        <w:t>Keywords:</w:t>
      </w:r>
      <w:r w:rsidR="005115B8" w:rsidRPr="005115B8">
        <w:rPr>
          <w:rFonts w:ascii="Times New Roman" w:hAnsi="Times New Roman" w:cs="Times New Roman"/>
          <w:sz w:val="24"/>
          <w:szCs w:val="24"/>
        </w:rPr>
        <w:t xml:space="preserve"> Konzo, Jebsen-Taylor Hand Function Test, cassava neurotoxicity, hand dexterity, subclinical impairment, </w:t>
      </w:r>
      <w:r w:rsidR="00AF0BC7" w:rsidRPr="005115B8">
        <w:rPr>
          <w:rFonts w:ascii="Times New Roman" w:hAnsi="Times New Roman" w:cs="Times New Roman"/>
          <w:sz w:val="24"/>
          <w:szCs w:val="24"/>
        </w:rPr>
        <w:t>pediatric</w:t>
      </w:r>
      <w:r w:rsidR="005115B8" w:rsidRPr="005115B8">
        <w:rPr>
          <w:rFonts w:ascii="Times New Roman" w:hAnsi="Times New Roman" w:cs="Times New Roman"/>
          <w:sz w:val="24"/>
          <w:szCs w:val="24"/>
        </w:rPr>
        <w:t xml:space="preserve"> neurology, school children, Fine </w:t>
      </w:r>
      <w:r>
        <w:rPr>
          <w:rFonts w:ascii="Times New Roman" w:eastAsia="Calibri" w:hAnsi="Times New Roman" w:cs="Times New Roman"/>
          <w:sz w:val="24"/>
          <w:szCs w:val="24"/>
        </w:rPr>
        <w:t>motor skills</w:t>
      </w:r>
      <w:r w:rsidR="005115B8" w:rsidRPr="005115B8">
        <w:rPr>
          <w:rFonts w:ascii="Times New Roman" w:hAnsi="Times New Roman" w:cs="Times New Roman"/>
          <w:sz w:val="24"/>
          <w:szCs w:val="24"/>
        </w:rPr>
        <w:t>, Cassava</w:t>
      </w:r>
    </w:p>
    <w:p w14:paraId="57D1516D" w14:textId="77777777" w:rsidR="00812F43" w:rsidRDefault="00812F43" w:rsidP="00812F43">
      <w:pPr>
        <w:rPr>
          <w:rFonts w:ascii="Palatino Linotype" w:hAnsi="Palatino Linotype"/>
          <w:sz w:val="20"/>
          <w:szCs w:val="20"/>
        </w:rPr>
      </w:pPr>
    </w:p>
    <w:p w14:paraId="0D26FFFD" w14:textId="77777777" w:rsidR="005115B8" w:rsidRDefault="005115B8" w:rsidP="00812F43">
      <w:pPr>
        <w:rPr>
          <w:rFonts w:ascii="Palatino Linotype" w:hAnsi="Palatino Linotype"/>
          <w:sz w:val="20"/>
          <w:szCs w:val="20"/>
        </w:rPr>
      </w:pPr>
    </w:p>
    <w:p w14:paraId="615FC899" w14:textId="77777777" w:rsidR="005115B8" w:rsidRDefault="005115B8" w:rsidP="00812F43">
      <w:pPr>
        <w:rPr>
          <w:rFonts w:ascii="Palatino Linotype" w:hAnsi="Palatino Linotype"/>
          <w:sz w:val="20"/>
          <w:szCs w:val="20"/>
        </w:rPr>
      </w:pPr>
    </w:p>
    <w:p w14:paraId="2AB30633" w14:textId="77777777" w:rsidR="005115B8" w:rsidRDefault="005115B8" w:rsidP="00812F43">
      <w:pPr>
        <w:rPr>
          <w:rFonts w:ascii="Palatino Linotype" w:hAnsi="Palatino Linotype"/>
          <w:sz w:val="20"/>
          <w:szCs w:val="20"/>
        </w:rPr>
      </w:pPr>
    </w:p>
    <w:p w14:paraId="25F3FE34" w14:textId="77777777" w:rsidR="005115B8" w:rsidRDefault="005115B8" w:rsidP="00812F43">
      <w:pPr>
        <w:rPr>
          <w:rFonts w:ascii="Palatino Linotype" w:hAnsi="Palatino Linotype"/>
          <w:sz w:val="20"/>
          <w:szCs w:val="20"/>
        </w:rPr>
      </w:pPr>
    </w:p>
    <w:p w14:paraId="1DEC9C19" w14:textId="77777777" w:rsid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INTRODUCTION</w:t>
      </w:r>
    </w:p>
    <w:p w14:paraId="374C166C" w14:textId="5E361837"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Konzo, a distinct upper motor neuron disease characterized by sudden-onset, irreversible spastic paraparesis, remains a significant public health concern in sub-Saharan Africa, particularly in communities reliant on cassava as a dietary staple (Kashala-Abo</w:t>
      </w:r>
      <w:r w:rsidRPr="00AC519D">
        <w:rPr>
          <w:rFonts w:ascii="Times New Roman" w:hAnsi="Times New Roman" w:cs="Times New Roman"/>
          <w:sz w:val="24"/>
          <w:szCs w:val="24"/>
        </w:rPr>
        <w:t xml:space="preserve">tnes et al., 2019; Baguma et al., 2021). </w:t>
      </w:r>
      <w:r>
        <w:rPr>
          <w:rFonts w:ascii="Times New Roman" w:eastAsia="Calibri" w:hAnsi="Times New Roman" w:cs="Times New Roman"/>
          <w:sz w:val="24"/>
          <w:szCs w:val="24"/>
        </w:rPr>
        <w:t>This</w:t>
      </w:r>
      <w:r w:rsidRPr="00AC519D">
        <w:rPr>
          <w:rFonts w:ascii="Times New Roman" w:hAnsi="Times New Roman" w:cs="Times New Roman"/>
          <w:sz w:val="24"/>
          <w:szCs w:val="24"/>
        </w:rPr>
        <w:t xml:space="preserve"> disease is caused by chronic dietary exposure to cyanogenic </w:t>
      </w:r>
      <w:r w:rsidRPr="00AC519D">
        <w:rPr>
          <w:rFonts w:ascii="Times New Roman" w:hAnsi="Times New Roman" w:cs="Times New Roman"/>
          <w:sz w:val="24"/>
          <w:szCs w:val="24"/>
        </w:rPr>
        <w:lastRenderedPageBreak/>
        <w:t>glycosides from improperly processed bitter cassava combined with protein-deficient diets that impair cyanide detoxification (Adamolekun, 2011; Nzwalo</w:t>
      </w:r>
      <w:r w:rsidRPr="00AC519D">
        <w:rPr>
          <w:rFonts w:ascii="Times New Roman" w:hAnsi="Times New Roman" w:cs="Times New Roman"/>
          <w:sz w:val="24"/>
          <w:szCs w:val="24"/>
        </w:rPr>
        <w:t xml:space="preserve"> &amp; Cliff, 2011). While the hallmark of Konzo </w:t>
      </w:r>
      <w:r>
        <w:rPr>
          <w:rFonts w:ascii="Times New Roman" w:eastAsia="Calibri" w:hAnsi="Times New Roman" w:cs="Times New Roman"/>
          <w:sz w:val="24"/>
          <w:szCs w:val="24"/>
        </w:rPr>
        <w:t xml:space="preserve">syndrome </w:t>
      </w:r>
      <w:r w:rsidRPr="00AC519D">
        <w:rPr>
          <w:rFonts w:ascii="Times New Roman" w:hAnsi="Times New Roman" w:cs="Times New Roman"/>
          <w:sz w:val="24"/>
          <w:szCs w:val="24"/>
        </w:rPr>
        <w:t>is lower limb spasticity, emerging evidence suggests that subclinical neurological deficits, including impaired hand dexterity, may precede overt symptoms (Boivin et al., 2013; Tshala-Katumbay et al., 2</w:t>
      </w:r>
      <w:r w:rsidRPr="00AC519D">
        <w:rPr>
          <w:rFonts w:ascii="Times New Roman" w:hAnsi="Times New Roman" w:cs="Times New Roman"/>
          <w:sz w:val="24"/>
          <w:szCs w:val="24"/>
        </w:rPr>
        <w:t xml:space="preserve">013; Boivin et al., 2017). This study </w:t>
      </w:r>
      <w:r>
        <w:rPr>
          <w:rFonts w:ascii="Times New Roman" w:eastAsia="Calibri" w:hAnsi="Times New Roman" w:cs="Times New Roman"/>
          <w:sz w:val="24"/>
          <w:szCs w:val="24"/>
        </w:rPr>
        <w:t>investigated</w:t>
      </w:r>
      <w:r w:rsidRPr="00AC519D">
        <w:rPr>
          <w:rFonts w:ascii="Times New Roman" w:hAnsi="Times New Roman" w:cs="Times New Roman"/>
          <w:sz w:val="24"/>
          <w:szCs w:val="24"/>
        </w:rPr>
        <w:t xml:space="preserve"> skilled hand function in children at risk of Konzo</w:t>
      </w:r>
      <w:r>
        <w:rPr>
          <w:rFonts w:ascii="Times New Roman" w:eastAsia="Calibri" w:hAnsi="Times New Roman" w:cs="Times New Roman"/>
          <w:sz w:val="24"/>
          <w:szCs w:val="24"/>
        </w:rPr>
        <w:t xml:space="preserve"> syndrome</w:t>
      </w:r>
      <w:r w:rsidRPr="00AC519D">
        <w:rPr>
          <w:rFonts w:ascii="Times New Roman" w:hAnsi="Times New Roman" w:cs="Times New Roman"/>
          <w:sz w:val="24"/>
          <w:szCs w:val="24"/>
        </w:rPr>
        <w:t>, as early detection of motor impairments could enable timely interventions to mitigate disease progression.</w:t>
      </w:r>
    </w:p>
    <w:p w14:paraId="7D050054" w14:textId="63569E1F"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Cassava-dependent populations face di</w:t>
      </w:r>
      <w:r w:rsidRPr="00AC519D">
        <w:rPr>
          <w:rFonts w:ascii="Times New Roman" w:hAnsi="Times New Roman" w:cs="Times New Roman"/>
          <w:sz w:val="24"/>
          <w:szCs w:val="24"/>
        </w:rPr>
        <w:t xml:space="preserve">sproportionate risks of cyanide toxicity due to socioeconomic factors that limit dietary diversification (Alitubeera et al., 2019; Zhong et al., 2021). In Nigeria, where cassava constitutes </w:t>
      </w:r>
      <w:r>
        <w:rPr>
          <w:rFonts w:ascii="Times New Roman" w:eastAsia="Calibri" w:hAnsi="Times New Roman" w:cs="Times New Roman"/>
          <w:sz w:val="24"/>
          <w:szCs w:val="24"/>
        </w:rPr>
        <w:t>more than</w:t>
      </w:r>
      <w:r w:rsidRPr="00AC519D">
        <w:rPr>
          <w:rFonts w:ascii="Times New Roman" w:hAnsi="Times New Roman" w:cs="Times New Roman"/>
          <w:sz w:val="24"/>
          <w:szCs w:val="24"/>
        </w:rPr>
        <w:t xml:space="preserve"> 30% of </w:t>
      </w:r>
      <w:r>
        <w:rPr>
          <w:rFonts w:ascii="Times New Roman" w:eastAsia="Calibri" w:hAnsi="Times New Roman" w:cs="Times New Roman"/>
          <w:sz w:val="24"/>
          <w:szCs w:val="24"/>
        </w:rPr>
        <w:t xml:space="preserve">the </w:t>
      </w:r>
      <w:r w:rsidRPr="00AC519D">
        <w:rPr>
          <w:rFonts w:ascii="Times New Roman" w:hAnsi="Times New Roman" w:cs="Times New Roman"/>
          <w:sz w:val="24"/>
          <w:szCs w:val="24"/>
        </w:rPr>
        <w:t>daily caloric intake in endemic regions, proc</w:t>
      </w:r>
      <w:r w:rsidRPr="00AC519D">
        <w:rPr>
          <w:rFonts w:ascii="Times New Roman" w:hAnsi="Times New Roman" w:cs="Times New Roman"/>
          <w:sz w:val="24"/>
          <w:szCs w:val="24"/>
        </w:rPr>
        <w:t xml:space="preserve">essing methods often fail to adequately reduce cyanogenic potential (Akinpelu et al., 2011; Alamu et al., 2023). Children are particularly vulnerable to </w:t>
      </w:r>
      <w:r>
        <w:rPr>
          <w:rFonts w:ascii="Times New Roman" w:eastAsia="Calibri" w:hAnsi="Times New Roman" w:cs="Times New Roman"/>
          <w:sz w:val="24"/>
          <w:szCs w:val="24"/>
        </w:rPr>
        <w:t>increased</w:t>
      </w:r>
      <w:r w:rsidRPr="00AC519D">
        <w:rPr>
          <w:rFonts w:ascii="Times New Roman" w:hAnsi="Times New Roman" w:cs="Times New Roman"/>
          <w:sz w:val="24"/>
          <w:szCs w:val="24"/>
        </w:rPr>
        <w:t xml:space="preserve"> cyanide-to-body</w:t>
      </w:r>
      <w:r>
        <w:rPr>
          <w:rFonts w:ascii="Times New Roman" w:eastAsia="Calibri" w:hAnsi="Times New Roman" w:cs="Times New Roman"/>
          <w:sz w:val="24"/>
          <w:szCs w:val="24"/>
        </w:rPr>
        <w:t xml:space="preserve"> </w:t>
      </w:r>
      <w:r w:rsidRPr="00AC519D">
        <w:rPr>
          <w:rFonts w:ascii="Times New Roman" w:hAnsi="Times New Roman" w:cs="Times New Roman"/>
          <w:sz w:val="24"/>
          <w:szCs w:val="24"/>
        </w:rPr>
        <w:t>weight ratios and ongoing neurodevelopment (Kashala-Abotnes et al., 2018). Re</w:t>
      </w:r>
      <w:r w:rsidRPr="00AC519D">
        <w:rPr>
          <w:rFonts w:ascii="Times New Roman" w:hAnsi="Times New Roman" w:cs="Times New Roman"/>
          <w:sz w:val="24"/>
          <w:szCs w:val="24"/>
        </w:rPr>
        <w:t xml:space="preserve">cent studies </w:t>
      </w:r>
      <w:r>
        <w:rPr>
          <w:rFonts w:ascii="Times New Roman" w:eastAsia="Calibri" w:hAnsi="Times New Roman" w:cs="Times New Roman"/>
          <w:sz w:val="24"/>
          <w:szCs w:val="24"/>
        </w:rPr>
        <w:t>have demonstrated</w:t>
      </w:r>
      <w:r w:rsidRPr="00AC519D">
        <w:rPr>
          <w:rFonts w:ascii="Times New Roman" w:hAnsi="Times New Roman" w:cs="Times New Roman"/>
          <w:sz w:val="24"/>
          <w:szCs w:val="24"/>
        </w:rPr>
        <w:t xml:space="preserve"> that even subtoxic cyanide exposure may impair fine motor skills by disrupting mitochondrial function in the basal ganglia and motor cortex (Schaffer et al., 2025). These findings highlight the need for sensitive tools to det</w:t>
      </w:r>
      <w:r w:rsidRPr="00AC519D">
        <w:rPr>
          <w:rFonts w:ascii="Times New Roman" w:hAnsi="Times New Roman" w:cs="Times New Roman"/>
          <w:sz w:val="24"/>
          <w:szCs w:val="24"/>
        </w:rPr>
        <w:t>ect preclinical neurological dysfunction in high-risk pediatric populations.</w:t>
      </w:r>
    </w:p>
    <w:p w14:paraId="43EA8137" w14:textId="43CFAA51"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 xml:space="preserve">Hand dexterity assessments provide a window into corticospinal integrity, with the Jebsen-Taylor Hand Function Test (JTHFT) emerging as </w:t>
      </w:r>
      <w:r>
        <w:rPr>
          <w:rFonts w:ascii="Times New Roman" w:eastAsia="Calibri" w:hAnsi="Times New Roman" w:cs="Times New Roman"/>
          <w:sz w:val="24"/>
          <w:szCs w:val="24"/>
        </w:rPr>
        <w:t>the</w:t>
      </w:r>
      <w:r w:rsidRPr="00AC519D">
        <w:rPr>
          <w:rFonts w:ascii="Times New Roman" w:hAnsi="Times New Roman" w:cs="Times New Roman"/>
          <w:sz w:val="24"/>
          <w:szCs w:val="24"/>
        </w:rPr>
        <w:t xml:space="preserve"> gold standard for quantifying skilled m</w:t>
      </w:r>
      <w:r w:rsidRPr="00AC519D">
        <w:rPr>
          <w:rFonts w:ascii="Times New Roman" w:hAnsi="Times New Roman" w:cs="Times New Roman"/>
          <w:sz w:val="24"/>
          <w:szCs w:val="24"/>
        </w:rPr>
        <w:t>otor performance (Mak et al., 2015; Allgöwer &amp; Hermsdörfer, 2017; Galeoto et al., 2024). Originally developed for stroke rehabilitation, JTHFT’s seven timed tasks simulate real-world activities, offering ecological validity (Laver et al., 2017; Soleimani e</w:t>
      </w:r>
      <w:r w:rsidRPr="00AC519D">
        <w:rPr>
          <w:rFonts w:ascii="Times New Roman" w:hAnsi="Times New Roman" w:cs="Times New Roman"/>
          <w:sz w:val="24"/>
          <w:szCs w:val="24"/>
        </w:rPr>
        <w:t xml:space="preserve">t al., 2024). Recent adaptations </w:t>
      </w:r>
      <w:r>
        <w:rPr>
          <w:rFonts w:ascii="Times New Roman" w:eastAsia="Calibri" w:hAnsi="Times New Roman" w:cs="Times New Roman"/>
          <w:sz w:val="24"/>
          <w:szCs w:val="24"/>
        </w:rPr>
        <w:t>have demonstrated</w:t>
      </w:r>
      <w:r w:rsidRPr="00AC519D">
        <w:rPr>
          <w:rFonts w:ascii="Times New Roman" w:hAnsi="Times New Roman" w:cs="Times New Roman"/>
          <w:sz w:val="24"/>
          <w:szCs w:val="24"/>
        </w:rPr>
        <w:t xml:space="preserve"> its utility in pediatric neurotoxicology, where it detects subtle motor delays in children exposed to environmental toxins </w:t>
      </w:r>
      <w:r>
        <w:rPr>
          <w:rFonts w:ascii="Times New Roman" w:eastAsia="Calibri" w:hAnsi="Times New Roman" w:cs="Times New Roman"/>
          <w:sz w:val="24"/>
          <w:szCs w:val="24"/>
        </w:rPr>
        <w:t>such as</w:t>
      </w:r>
      <w:r w:rsidRPr="00AC519D">
        <w:rPr>
          <w:rFonts w:ascii="Times New Roman" w:hAnsi="Times New Roman" w:cs="Times New Roman"/>
          <w:sz w:val="24"/>
          <w:szCs w:val="24"/>
        </w:rPr>
        <w:t xml:space="preserve"> lead and mercury (Grandjean &amp; Landrigan, 2014; Engel Haile et al., 2021). </w:t>
      </w:r>
      <w:r w:rsidRPr="00AC519D">
        <w:rPr>
          <w:rFonts w:ascii="Times New Roman" w:hAnsi="Times New Roman" w:cs="Times New Roman"/>
          <w:sz w:val="24"/>
          <w:szCs w:val="24"/>
        </w:rPr>
        <w:t>However, no studies have systematically applied the JTHFT in Konzo-endemic communities, despite clinical reports of upper limb involvement in advanced cases (Adamolekun, 2011; Boivin et al., 2017).</w:t>
      </w:r>
    </w:p>
    <w:p w14:paraId="166BE7A3" w14:textId="169D6519"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The socioeconomic context of Konzo-endemic regions exacerb</w:t>
      </w:r>
      <w:r w:rsidRPr="00AC519D">
        <w:rPr>
          <w:rFonts w:ascii="Times New Roman" w:hAnsi="Times New Roman" w:cs="Times New Roman"/>
          <w:sz w:val="24"/>
          <w:szCs w:val="24"/>
        </w:rPr>
        <w:t xml:space="preserve">ates health disparities. Rural communities in Nigeria face compounded risks due to limited healthcare access, food insecurity, and reliance on traditional cassava processing methods (Nzwalo &amp; Cliff, 2011; Oluwole et al., 2015). In contrast, urban centers </w:t>
      </w:r>
      <w:r>
        <w:rPr>
          <w:rFonts w:ascii="Times New Roman" w:eastAsia="Calibri" w:hAnsi="Times New Roman" w:cs="Times New Roman"/>
          <w:sz w:val="24"/>
          <w:szCs w:val="24"/>
        </w:rPr>
        <w:t>p</w:t>
      </w:r>
      <w:r>
        <w:rPr>
          <w:rFonts w:ascii="Times New Roman" w:eastAsia="Calibri" w:hAnsi="Times New Roman" w:cs="Times New Roman"/>
          <w:sz w:val="24"/>
          <w:szCs w:val="24"/>
        </w:rPr>
        <w:t>resent a</w:t>
      </w:r>
      <w:r w:rsidRPr="00AC519D">
        <w:rPr>
          <w:rFonts w:ascii="Times New Roman" w:hAnsi="Times New Roman" w:cs="Times New Roman"/>
          <w:sz w:val="24"/>
          <w:szCs w:val="24"/>
        </w:rPr>
        <w:t xml:space="preserve"> lower Konzo prevalence </w:t>
      </w:r>
      <w:r>
        <w:rPr>
          <w:rFonts w:ascii="Times New Roman" w:eastAsia="Calibri" w:hAnsi="Times New Roman" w:cs="Times New Roman"/>
          <w:sz w:val="24"/>
          <w:szCs w:val="24"/>
        </w:rPr>
        <w:t>because of</w:t>
      </w:r>
      <w:r w:rsidRPr="00AC519D">
        <w:rPr>
          <w:rFonts w:ascii="Times New Roman" w:hAnsi="Times New Roman" w:cs="Times New Roman"/>
          <w:sz w:val="24"/>
          <w:szCs w:val="24"/>
        </w:rPr>
        <w:t xml:space="preserve"> diversified diets and better-regulated food markets (Akinpelu et al., 2011). This natural </w:t>
      </w:r>
      <w:r w:rsidRPr="00AC519D">
        <w:rPr>
          <w:rFonts w:ascii="Times New Roman" w:hAnsi="Times New Roman" w:cs="Times New Roman"/>
          <w:sz w:val="24"/>
          <w:szCs w:val="24"/>
        </w:rPr>
        <w:lastRenderedPageBreak/>
        <w:t>dichotomy provides an ideal framework for comparing motor function in high- versus low-risk pediatric populations.</w:t>
      </w:r>
    </w:p>
    <w:p w14:paraId="44A204B9" w14:textId="34A80E88"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 xml:space="preserve">Current </w:t>
      </w:r>
      <w:r w:rsidRPr="00AC519D">
        <w:rPr>
          <w:rFonts w:ascii="Times New Roman" w:hAnsi="Times New Roman" w:cs="Times New Roman"/>
          <w:sz w:val="24"/>
          <w:szCs w:val="24"/>
        </w:rPr>
        <w:t xml:space="preserve">gaps in Konzo research include (1) inadequate characterization of preclinical motor deficits, (2) </w:t>
      </w:r>
      <w:r>
        <w:rPr>
          <w:rFonts w:ascii="Times New Roman" w:eastAsia="Calibri" w:hAnsi="Times New Roman" w:cs="Times New Roman"/>
          <w:sz w:val="24"/>
          <w:szCs w:val="24"/>
        </w:rPr>
        <w:t xml:space="preserve">a </w:t>
      </w:r>
      <w:r w:rsidRPr="00AC519D">
        <w:rPr>
          <w:rFonts w:ascii="Times New Roman" w:hAnsi="Times New Roman" w:cs="Times New Roman"/>
          <w:sz w:val="24"/>
          <w:szCs w:val="24"/>
        </w:rPr>
        <w:t>lack of standardized tools for early detection, and (3) limited data on neurodevelopmental impacts in asymptomatic children (Bumoko et al., 2023; Tshala-Kat</w:t>
      </w:r>
      <w:r w:rsidRPr="00AC519D">
        <w:rPr>
          <w:rFonts w:ascii="Times New Roman" w:hAnsi="Times New Roman" w:cs="Times New Roman"/>
          <w:sz w:val="24"/>
          <w:szCs w:val="24"/>
        </w:rPr>
        <w:t>umbay et al., 2023). Addressing these gaps could inform preventive strategies, as dietary interventions and cyanide-reduction technologies show promise when implemented early. Our study leverages the JTHFT’s sensitivity to test the hypothesis that children</w:t>
      </w:r>
      <w:r w:rsidRPr="00AC519D">
        <w:rPr>
          <w:rFonts w:ascii="Times New Roman" w:hAnsi="Times New Roman" w:cs="Times New Roman"/>
          <w:sz w:val="24"/>
          <w:szCs w:val="24"/>
        </w:rPr>
        <w:t xml:space="preserve"> in Konzo-prone communities exhibit measurable hand dexterity impairments compared </w:t>
      </w:r>
      <w:r>
        <w:rPr>
          <w:rFonts w:ascii="Times New Roman" w:eastAsia="Calibri" w:hAnsi="Times New Roman" w:cs="Times New Roman"/>
          <w:sz w:val="24"/>
          <w:szCs w:val="24"/>
        </w:rPr>
        <w:t>with</w:t>
      </w:r>
      <w:r w:rsidRPr="00AC519D">
        <w:rPr>
          <w:rFonts w:ascii="Times New Roman" w:hAnsi="Times New Roman" w:cs="Times New Roman"/>
          <w:sz w:val="24"/>
          <w:szCs w:val="24"/>
        </w:rPr>
        <w:t xml:space="preserve"> controls, even in the absence of overt symptoms.</w:t>
      </w:r>
    </w:p>
    <w:p w14:paraId="3D236A3E" w14:textId="0AE0ABD6" w:rsidR="00AC519D" w:rsidRDefault="008A7800" w:rsidP="00FC6E15">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 xml:space="preserve">This </w:t>
      </w:r>
      <w:r>
        <w:rPr>
          <w:rFonts w:ascii="Times New Roman" w:eastAsia="Calibri" w:hAnsi="Times New Roman" w:cs="Times New Roman"/>
          <w:sz w:val="24"/>
          <w:szCs w:val="24"/>
        </w:rPr>
        <w:t>case‒control</w:t>
      </w:r>
      <w:r w:rsidRPr="00AC519D">
        <w:rPr>
          <w:rFonts w:ascii="Times New Roman" w:hAnsi="Times New Roman" w:cs="Times New Roman"/>
          <w:sz w:val="24"/>
          <w:szCs w:val="24"/>
        </w:rPr>
        <w:t xml:space="preserve"> study advances the field in three key ways. First, it establishes normative JTHFT data for Nigerian c</w:t>
      </w:r>
      <w:r w:rsidRPr="00AC519D">
        <w:rPr>
          <w:rFonts w:ascii="Times New Roman" w:hAnsi="Times New Roman" w:cs="Times New Roman"/>
          <w:sz w:val="24"/>
          <w:szCs w:val="24"/>
        </w:rPr>
        <w:t xml:space="preserve">hildren, addressing a critical gap in African pediatric neurology. Second, it explores whether hand dexterity metrics could serve as biomarkers for subclinical Konzo risk, enabling targeted interventions. Third, it highlights </w:t>
      </w:r>
      <w:r>
        <w:rPr>
          <w:rFonts w:ascii="Times New Roman" w:eastAsia="Calibri" w:hAnsi="Times New Roman" w:cs="Times New Roman"/>
          <w:sz w:val="24"/>
          <w:szCs w:val="24"/>
        </w:rPr>
        <w:t xml:space="preserve">the </w:t>
      </w:r>
      <w:r w:rsidRPr="00AC519D">
        <w:rPr>
          <w:rFonts w:ascii="Times New Roman" w:hAnsi="Times New Roman" w:cs="Times New Roman"/>
          <w:sz w:val="24"/>
          <w:szCs w:val="24"/>
        </w:rPr>
        <w:t>socioeconomic determinants</w:t>
      </w:r>
      <w:r w:rsidRPr="00AC519D">
        <w:rPr>
          <w:rFonts w:ascii="Times New Roman" w:hAnsi="Times New Roman" w:cs="Times New Roman"/>
          <w:sz w:val="24"/>
          <w:szCs w:val="24"/>
        </w:rPr>
        <w:t xml:space="preserve"> of neurodevelopmental health in cassava-dependent </w:t>
      </w:r>
      <w:r>
        <w:rPr>
          <w:rFonts w:ascii="Times New Roman" w:eastAsia="Calibri" w:hAnsi="Times New Roman" w:cs="Times New Roman"/>
          <w:sz w:val="24"/>
          <w:szCs w:val="24"/>
        </w:rPr>
        <w:t>populations. The findings</w:t>
      </w:r>
      <w:r w:rsidRPr="00AC519D">
        <w:rPr>
          <w:rFonts w:ascii="Times New Roman" w:hAnsi="Times New Roman" w:cs="Times New Roman"/>
          <w:sz w:val="24"/>
          <w:szCs w:val="24"/>
        </w:rPr>
        <w:t xml:space="preserve"> will guide public health policies on cassava safety and child neurology surveillance in endemic regions.</w:t>
      </w:r>
    </w:p>
    <w:p w14:paraId="68904AA6" w14:textId="77777777" w:rsidR="00AC519D" w:rsidRPr="00AC519D" w:rsidRDefault="00AC519D" w:rsidP="00FC6E15">
      <w:pPr>
        <w:spacing w:line="360" w:lineRule="auto"/>
        <w:jc w:val="both"/>
        <w:rPr>
          <w:rFonts w:ascii="Times New Roman" w:hAnsi="Times New Roman" w:cs="Times New Roman"/>
          <w:sz w:val="24"/>
          <w:szCs w:val="24"/>
          <w:lang w:val=""/>
        </w:rPr>
      </w:pPr>
    </w:p>
    <w:p w14:paraId="192D3411" w14:textId="77777777"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MATERIALS AND METHODS</w:t>
      </w:r>
    </w:p>
    <w:p w14:paraId="76332080" w14:textId="77777777"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Study design</w:t>
      </w:r>
    </w:p>
    <w:p w14:paraId="2272D4C6" w14:textId="197BBA85" w:rsidR="00FC6E15" w:rsidRPr="00FC6E15" w:rsidRDefault="008A7800" w:rsidP="00FC6E15">
      <w:pPr>
        <w:spacing w:line="360" w:lineRule="auto"/>
        <w:jc w:val="both"/>
        <w:rPr>
          <w:rFonts w:ascii="Times New Roman" w:hAnsi="Times New Roman" w:cs="Times New Roman"/>
          <w:sz w:val="24"/>
          <w:szCs w:val="24"/>
        </w:rPr>
      </w:pPr>
      <w:r w:rsidRPr="00FC6E15">
        <w:rPr>
          <w:rFonts w:ascii="Times New Roman" w:hAnsi="Times New Roman" w:cs="Times New Roman"/>
          <w:sz w:val="24"/>
          <w:szCs w:val="24"/>
        </w:rPr>
        <w:t xml:space="preserve">This study employed a </w:t>
      </w:r>
      <w:r>
        <w:rPr>
          <w:rFonts w:ascii="Times New Roman" w:eastAsia="Calibri" w:hAnsi="Times New Roman" w:cs="Times New Roman"/>
          <w:sz w:val="24"/>
          <w:szCs w:val="24"/>
        </w:rPr>
        <w:t>case‒control</w:t>
      </w:r>
      <w:r w:rsidRPr="00FC6E15">
        <w:rPr>
          <w:rFonts w:ascii="Times New Roman" w:hAnsi="Times New Roman" w:cs="Times New Roman"/>
          <w:sz w:val="24"/>
          <w:szCs w:val="24"/>
        </w:rPr>
        <w:t xml:space="preserve"> design to assess skilled hand dexterity using the Jebsen-Taylor Hand Function Test (</w:t>
      </w:r>
      <w:r w:rsidR="009F704F">
        <w:rPr>
          <w:rFonts w:ascii="Times New Roman" w:hAnsi="Times New Roman" w:cs="Times New Roman"/>
          <w:sz w:val="24"/>
          <w:szCs w:val="24"/>
        </w:rPr>
        <w:t>JTHFT</w:t>
      </w:r>
      <w:r w:rsidRPr="00FC6E15">
        <w:rPr>
          <w:rFonts w:ascii="Times New Roman" w:hAnsi="Times New Roman" w:cs="Times New Roman"/>
          <w:sz w:val="24"/>
          <w:szCs w:val="24"/>
        </w:rPr>
        <w:t xml:space="preserve">) in children at risk of Konzo </w:t>
      </w:r>
      <w:r>
        <w:rPr>
          <w:rFonts w:ascii="Times New Roman" w:eastAsia="Calibri" w:hAnsi="Times New Roman" w:cs="Times New Roman"/>
          <w:sz w:val="24"/>
          <w:szCs w:val="24"/>
        </w:rPr>
        <w:t xml:space="preserve">syndrome </w:t>
      </w:r>
      <w:r w:rsidRPr="00FC6E15">
        <w:rPr>
          <w:rFonts w:ascii="Times New Roman" w:hAnsi="Times New Roman" w:cs="Times New Roman"/>
          <w:sz w:val="24"/>
          <w:szCs w:val="24"/>
        </w:rPr>
        <w:t xml:space="preserve">compared </w:t>
      </w:r>
      <w:r>
        <w:rPr>
          <w:rFonts w:ascii="Times New Roman" w:eastAsia="Calibri" w:hAnsi="Times New Roman" w:cs="Times New Roman"/>
          <w:sz w:val="24"/>
          <w:szCs w:val="24"/>
        </w:rPr>
        <w:t>with</w:t>
      </w:r>
      <w:r w:rsidRPr="00FC6E15">
        <w:rPr>
          <w:rFonts w:ascii="Times New Roman" w:hAnsi="Times New Roman" w:cs="Times New Roman"/>
          <w:sz w:val="24"/>
          <w:szCs w:val="24"/>
        </w:rPr>
        <w:t xml:space="preserve"> controls, enabling group comparisons while accounting for potential confounders (Tofani et al., 2020).</w:t>
      </w:r>
    </w:p>
    <w:p w14:paraId="2A597697" w14:textId="4A4E374F"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Study pop</w:t>
      </w:r>
      <w:r w:rsidRPr="00FC6E15">
        <w:rPr>
          <w:rFonts w:ascii="Times New Roman" w:hAnsi="Times New Roman" w:cs="Times New Roman"/>
          <w:b/>
          <w:bCs/>
          <w:sz w:val="24"/>
          <w:szCs w:val="24"/>
        </w:rPr>
        <w:t>ulation</w:t>
      </w:r>
      <w:r w:rsidR="00196355" w:rsidRPr="00196355">
        <w:rPr>
          <w:rFonts w:ascii="Times New Roman" w:hAnsi="Times New Roman" w:cs="Times New Roman"/>
          <w:sz w:val="24"/>
          <w:szCs w:val="24"/>
        </w:rPr>
        <w:t xml:space="preserve"> </w:t>
      </w:r>
      <w:r w:rsidR="00196355" w:rsidRPr="00FC6E15">
        <w:rPr>
          <w:rFonts w:ascii="Times New Roman" w:hAnsi="Times New Roman" w:cs="Times New Roman"/>
          <w:sz w:val="24"/>
          <w:szCs w:val="24"/>
        </w:rPr>
        <w:t>JTHFT</w:t>
      </w:r>
    </w:p>
    <w:p w14:paraId="45273D58" w14:textId="0F45C9B2" w:rsidR="00FC6E15" w:rsidRPr="00FC6E15" w:rsidRDefault="008A7800" w:rsidP="00FC6E15">
      <w:pPr>
        <w:spacing w:line="360" w:lineRule="auto"/>
        <w:jc w:val="both"/>
        <w:rPr>
          <w:rFonts w:ascii="Times New Roman" w:hAnsi="Times New Roman" w:cs="Times New Roman"/>
          <w:sz w:val="24"/>
          <w:szCs w:val="24"/>
        </w:rPr>
      </w:pPr>
      <w:r w:rsidRPr="00FC6E15">
        <w:rPr>
          <w:rFonts w:ascii="Times New Roman" w:hAnsi="Times New Roman" w:cs="Times New Roman"/>
          <w:sz w:val="24"/>
          <w:szCs w:val="24"/>
        </w:rPr>
        <w:t xml:space="preserve">In this study, we recruited 90 primary school children aged 7 to 13 years and randomized </w:t>
      </w:r>
      <w:r>
        <w:rPr>
          <w:rFonts w:ascii="Times New Roman" w:eastAsia="Calibri" w:hAnsi="Times New Roman" w:cs="Times New Roman"/>
          <w:sz w:val="24"/>
          <w:szCs w:val="24"/>
        </w:rPr>
        <w:t xml:space="preserve">them </w:t>
      </w:r>
      <w:r w:rsidRPr="00FC6E15">
        <w:rPr>
          <w:rFonts w:ascii="Times New Roman" w:hAnsi="Times New Roman" w:cs="Times New Roman"/>
          <w:sz w:val="24"/>
          <w:szCs w:val="24"/>
        </w:rPr>
        <w:t>into two groups: the case group (Etche) and the control group (Choba). The case group comprised 45 children from Chokocho State Primary Schools in C</w:t>
      </w:r>
      <w:r w:rsidRPr="00FC6E15">
        <w:rPr>
          <w:rFonts w:ascii="Times New Roman" w:hAnsi="Times New Roman" w:cs="Times New Roman"/>
          <w:sz w:val="24"/>
          <w:szCs w:val="24"/>
        </w:rPr>
        <w:t xml:space="preserve">hokocho Community in Etche Local Government Area (LGA), which is a rural area in Rivers State, Nigeria, and identified as being at risk for Konzo disease. Etche was selected due to its high reliance on </w:t>
      </w:r>
      <w:r w:rsidRPr="00FC6E15">
        <w:rPr>
          <w:rFonts w:ascii="Times New Roman" w:hAnsi="Times New Roman" w:cs="Times New Roman"/>
          <w:sz w:val="24"/>
          <w:szCs w:val="24"/>
        </w:rPr>
        <w:lastRenderedPageBreak/>
        <w:t>cassava (a known source of dietary cyanide when poorly</w:t>
      </w:r>
      <w:r w:rsidRPr="00FC6E15">
        <w:rPr>
          <w:rFonts w:ascii="Times New Roman" w:hAnsi="Times New Roman" w:cs="Times New Roman"/>
          <w:sz w:val="24"/>
          <w:szCs w:val="24"/>
        </w:rPr>
        <w:t xml:space="preserve"> processed) and limited access to alternative food sources. The control group included 45 children from Alakahia State Primary Schools in Choba, in Obio/Akpor LGA, an urban area within Rivers State with lower cassava consumption. While some participants fr</w:t>
      </w:r>
      <w:r w:rsidRPr="00FC6E15">
        <w:rPr>
          <w:rFonts w:ascii="Times New Roman" w:hAnsi="Times New Roman" w:cs="Times New Roman"/>
          <w:sz w:val="24"/>
          <w:szCs w:val="24"/>
        </w:rPr>
        <w:t xml:space="preserve">om Choba also consumed cassava, it was not a dietary staple, and intake was reported to be </w:t>
      </w:r>
      <w:r>
        <w:rPr>
          <w:rFonts w:ascii="Times New Roman" w:eastAsia="Calibri" w:hAnsi="Times New Roman" w:cs="Times New Roman"/>
          <w:sz w:val="24"/>
          <w:szCs w:val="24"/>
        </w:rPr>
        <w:t>rare</w:t>
      </w:r>
      <w:r w:rsidRPr="00FC6E15">
        <w:rPr>
          <w:rFonts w:ascii="Times New Roman" w:hAnsi="Times New Roman" w:cs="Times New Roman"/>
          <w:sz w:val="24"/>
          <w:szCs w:val="24"/>
        </w:rPr>
        <w:t>.</w:t>
      </w:r>
    </w:p>
    <w:p w14:paraId="2C24AD12" w14:textId="77777777"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Inclusion and exclusion criteria</w:t>
      </w:r>
    </w:p>
    <w:p w14:paraId="16104456" w14:textId="38E6D3C9" w:rsidR="00FC6E15" w:rsidRDefault="008A7800" w:rsidP="00FC6E15">
      <w:pPr>
        <w:spacing w:line="360" w:lineRule="auto"/>
        <w:jc w:val="both"/>
        <w:rPr>
          <w:rFonts w:ascii="Times New Roman" w:hAnsi="Times New Roman" w:cs="Times New Roman"/>
          <w:sz w:val="24"/>
          <w:szCs w:val="24"/>
        </w:rPr>
      </w:pPr>
      <w:r w:rsidRPr="00FC6E15">
        <w:rPr>
          <w:rFonts w:ascii="Times New Roman" w:hAnsi="Times New Roman" w:cs="Times New Roman"/>
          <w:sz w:val="24"/>
          <w:szCs w:val="24"/>
        </w:rPr>
        <w:t>Children who were between 7 and 13 years of age, had no prior history of neurological disorders, and were able to follow simpl</w:t>
      </w:r>
      <w:r w:rsidRPr="00FC6E15">
        <w:rPr>
          <w:rFonts w:ascii="Times New Roman" w:hAnsi="Times New Roman" w:cs="Times New Roman"/>
          <w:sz w:val="24"/>
          <w:szCs w:val="24"/>
        </w:rPr>
        <w:t xml:space="preserve">e verbal and visual instructions required for the test tasks were included in the study, </w:t>
      </w:r>
      <w:r>
        <w:rPr>
          <w:rFonts w:ascii="Times New Roman" w:eastAsia="Calibri" w:hAnsi="Times New Roman" w:cs="Times New Roman"/>
          <w:sz w:val="24"/>
          <w:szCs w:val="24"/>
        </w:rPr>
        <w:t>whereas</w:t>
      </w:r>
      <w:r w:rsidRPr="00FC6E15">
        <w:rPr>
          <w:rFonts w:ascii="Times New Roman" w:hAnsi="Times New Roman" w:cs="Times New Roman"/>
          <w:sz w:val="24"/>
          <w:szCs w:val="24"/>
        </w:rPr>
        <w:t xml:space="preserve"> those with known cognitive impairments or physical disabilities that could interfere with performance on the </w:t>
      </w:r>
      <w:r w:rsidR="00196355" w:rsidRPr="00FC6E15">
        <w:rPr>
          <w:rFonts w:ascii="Times New Roman" w:hAnsi="Times New Roman" w:cs="Times New Roman"/>
          <w:sz w:val="24"/>
          <w:szCs w:val="24"/>
        </w:rPr>
        <w:t xml:space="preserve">JTHFT </w:t>
      </w:r>
      <w:r w:rsidRPr="00FC6E15">
        <w:rPr>
          <w:rFonts w:ascii="Times New Roman" w:hAnsi="Times New Roman" w:cs="Times New Roman"/>
          <w:sz w:val="24"/>
          <w:szCs w:val="24"/>
        </w:rPr>
        <w:t>were excluded.</w:t>
      </w:r>
    </w:p>
    <w:p w14:paraId="09D915DE" w14:textId="7F51C351" w:rsidR="00FC6E15" w:rsidRPr="00FC6E15" w:rsidRDefault="008A7800" w:rsidP="00FC6E15">
      <w:pPr>
        <w:spacing w:line="360" w:lineRule="auto"/>
        <w:jc w:val="both"/>
        <w:rPr>
          <w:rFonts w:ascii="Times New Roman" w:hAnsi="Times New Roman" w:cs="Times New Roman"/>
          <w:b/>
          <w:bCs/>
          <w:sz w:val="24"/>
          <w:szCs w:val="24"/>
          <w:lang w:val=""/>
        </w:rPr>
      </w:pPr>
      <w:r w:rsidRPr="00FC6E15">
        <w:rPr>
          <w:rFonts w:ascii="Times New Roman" w:hAnsi="Times New Roman" w:cs="Times New Roman"/>
          <w:b/>
          <w:bCs/>
          <w:sz w:val="24"/>
          <w:szCs w:val="24"/>
        </w:rPr>
        <w:t>Sample size determination</w:t>
      </w:r>
    </w:p>
    <w:p w14:paraId="6828ADBA" w14:textId="5BA88E9B" w:rsidR="00FC6E15" w:rsidRPr="00FC6E15" w:rsidRDefault="008A7800" w:rsidP="00FC6E15">
      <w:pPr>
        <w:spacing w:line="360" w:lineRule="auto"/>
        <w:jc w:val="both"/>
        <w:rPr>
          <w:rFonts w:ascii="Times New Roman" w:hAnsi="Times New Roman" w:cs="Times New Roman"/>
          <w:sz w:val="24"/>
          <w:szCs w:val="24"/>
          <w:lang w:val=""/>
        </w:rPr>
      </w:pPr>
      <w:r w:rsidRPr="00FC6E15">
        <w:rPr>
          <w:rFonts w:ascii="Times New Roman" w:hAnsi="Times New Roman" w:cs="Times New Roman"/>
          <w:sz w:val="24"/>
          <w:szCs w:val="24"/>
        </w:rPr>
        <w:t xml:space="preserve">The sample size for this </w:t>
      </w:r>
      <w:r>
        <w:rPr>
          <w:rFonts w:ascii="Times New Roman" w:eastAsia="Calibri" w:hAnsi="Times New Roman" w:cs="Times New Roman"/>
          <w:sz w:val="24"/>
          <w:szCs w:val="24"/>
        </w:rPr>
        <w:t>case‒control</w:t>
      </w:r>
      <w:r w:rsidRPr="00FC6E15">
        <w:rPr>
          <w:rFonts w:ascii="Times New Roman" w:hAnsi="Times New Roman" w:cs="Times New Roman"/>
          <w:sz w:val="24"/>
          <w:szCs w:val="24"/>
        </w:rPr>
        <w:t xml:space="preserve"> study was calculated using the formula recommended for comparing two independent means in health-related research (Allen, 2011):</w:t>
      </w:r>
    </w:p>
    <w:p w14:paraId="1CEDA7BD" w14:textId="010A96BD" w:rsidR="00FC6E15" w:rsidRPr="008455DE" w:rsidRDefault="008A7800" w:rsidP="00FC6E15">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xml:space="preserve"> </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1073FDAE" w14:textId="703233DA" w:rsidR="003E2421" w:rsidRDefault="008A7800" w:rsidP="00FC6E15">
      <w:pPr>
        <w:spacing w:line="360" w:lineRule="auto"/>
        <w:jc w:val="both"/>
        <w:rPr>
          <w:rFonts w:ascii="Times New Roman" w:eastAsiaTheme="minorEastAsia" w:hAnsi="Times New Roman" w:cs="Times New Roman"/>
          <w:sz w:val="24"/>
          <w:szCs w:val="24"/>
        </w:rPr>
      </w:pPr>
      <w:r w:rsidRPr="008455DE">
        <w:rPr>
          <w:rFonts w:ascii="Times New Roman" w:eastAsiaTheme="minorEastAsia" w:hAnsi="Times New Roman" w:cs="Times New Roman"/>
          <w:sz w:val="24"/>
          <w:szCs w:val="24"/>
        </w:rPr>
        <w:t xml:space="preserve">Where: </w:t>
      </w:r>
      <w:r w:rsidRPr="008455DE">
        <w:rPr>
          <w:rFonts w:ascii="Times New Roman" w:eastAsiaTheme="minorEastAsia" w:hAnsi="Times New Roman" w:cs="Times New Roman"/>
          <w:i/>
          <w:iCs/>
          <w:sz w:val="24"/>
          <w:szCs w:val="24"/>
        </w:rPr>
        <w:t>n</w:t>
      </w:r>
      <w:r w:rsidRPr="008455DE">
        <w:rPr>
          <w:rFonts w:ascii="Times New Roman" w:eastAsiaTheme="minorEastAsia" w:hAnsi="Times New Roman" w:cs="Times New Roman"/>
          <w:sz w:val="24"/>
          <w:szCs w:val="24"/>
        </w:rPr>
        <w:t xml:space="preserve"> is the minimum sample size per group, </w:t>
      </w:r>
      <w:r w:rsidRPr="008455DE">
        <w:rPr>
          <w:rFonts w:ascii="Times New Roman" w:eastAsiaTheme="minorEastAsia" w:hAnsi="Times New Roman" w:cs="Times New Roman"/>
          <w:i/>
          <w:iCs/>
          <w:sz w:val="24"/>
          <w:szCs w:val="24"/>
        </w:rPr>
        <w:t>Z</w:t>
      </w:r>
      <w:r w:rsidRPr="008455DE">
        <w:rPr>
          <w:rFonts w:ascii="Times New Roman" w:eastAsiaTheme="minorEastAsia" w:hAnsi="Times New Roman" w:cs="Times New Roman"/>
          <w:i/>
          <w:iCs/>
          <w:sz w:val="24"/>
          <w:szCs w:val="24"/>
          <w:vertAlign w:val="subscript"/>
        </w:rPr>
        <w:t>α/2</w:t>
      </w:r>
      <w:r w:rsidRPr="008455DE">
        <w:rPr>
          <w:rFonts w:ascii="Times New Roman" w:eastAsiaTheme="minorEastAsia" w:hAnsi="Times New Roman" w:cs="Times New Roman"/>
          <w:sz w:val="24"/>
          <w:szCs w:val="24"/>
        </w:rPr>
        <w:t xml:space="preserve"> is the criti</w:t>
      </w:r>
      <w:r w:rsidRPr="008455DE">
        <w:rPr>
          <w:rFonts w:ascii="Times New Roman" w:eastAsiaTheme="minorEastAsia" w:hAnsi="Times New Roman" w:cs="Times New Roman"/>
          <w:sz w:val="24"/>
          <w:szCs w:val="24"/>
        </w:rPr>
        <w:t xml:space="preserve">cal value at 5% significance level (1.96), </w:t>
      </w:r>
      <w:r w:rsidRPr="008455DE">
        <w:rPr>
          <w:rFonts w:ascii="Times New Roman" w:eastAsiaTheme="minorEastAsia" w:hAnsi="Times New Roman" w:cs="Times New Roman"/>
          <w:i/>
          <w:iCs/>
          <w:sz w:val="24"/>
          <w:szCs w:val="24"/>
        </w:rPr>
        <w:t>Z</w:t>
      </w:r>
      <w:r w:rsidRPr="003E2421">
        <w:rPr>
          <w:rFonts w:ascii="Times New Roman" w:eastAsiaTheme="minorEastAsia" w:hAnsi="Times New Roman" w:cs="Times New Roman"/>
          <w:i/>
          <w:iCs/>
          <w:sz w:val="24"/>
          <w:szCs w:val="24"/>
          <w:vertAlign w:val="subscript"/>
        </w:rPr>
        <w:t>β</w:t>
      </w:r>
      <w:r>
        <w:rPr>
          <w:rFonts w:ascii="Times New Roman" w:eastAsiaTheme="minorEastAsia" w:hAnsi="Times New Roman" w:cs="Times New Roman"/>
          <w:i/>
          <w:iCs/>
          <w:sz w:val="24"/>
          <w:szCs w:val="24"/>
        </w:rPr>
        <w:t xml:space="preserve"> </w:t>
      </w:r>
      <w:r w:rsidRPr="008455DE">
        <w:rPr>
          <w:rFonts w:ascii="Times New Roman" w:eastAsiaTheme="minorEastAsia" w:hAnsi="Times New Roman" w:cs="Times New Roman"/>
          <w:sz w:val="24"/>
          <w:szCs w:val="24"/>
        </w:rPr>
        <w:t xml:space="preserve">is the standard normal </w:t>
      </w:r>
      <w:r>
        <w:rPr>
          <w:rFonts w:ascii="Times New Roman" w:eastAsia="Times New Roman" w:hAnsi="Times New Roman" w:cs="Times New Roman"/>
          <w:sz w:val="24"/>
          <w:szCs w:val="24"/>
        </w:rPr>
        <w:t>deviation</w:t>
      </w:r>
      <w:r w:rsidRPr="008455DE">
        <w:rPr>
          <w:rFonts w:ascii="Times New Roman" w:eastAsiaTheme="minorEastAsia" w:hAnsi="Times New Roman" w:cs="Times New Roman"/>
          <w:sz w:val="24"/>
          <w:szCs w:val="24"/>
        </w:rPr>
        <w:t xml:space="preserve"> for 80% power (0.84), </w:t>
      </w:r>
      <w:r w:rsidRPr="008455DE">
        <w:rPr>
          <w:rFonts w:ascii="Times New Roman" w:eastAsiaTheme="minorEastAsia" w:hAnsi="Times New Roman" w:cs="Times New Roman"/>
          <w:i/>
          <w:iCs/>
          <w:sz w:val="24"/>
          <w:szCs w:val="24"/>
        </w:rPr>
        <w:t>σ</w:t>
      </w:r>
      <w:r w:rsidRPr="008455DE">
        <w:rPr>
          <w:rFonts w:ascii="Times New Roman" w:eastAsiaTheme="minorEastAsia" w:hAnsi="Times New Roman" w:cs="Times New Roman"/>
          <w:sz w:val="24"/>
          <w:szCs w:val="24"/>
        </w:rPr>
        <w:t xml:space="preserve"> is the estimated standard deviation of hand dexterity scores (1.0 based on pilot data), and </w:t>
      </w:r>
      <w:r w:rsidRPr="008455DE">
        <w:rPr>
          <w:rFonts w:ascii="Times New Roman" w:eastAsiaTheme="minorEastAsia" w:hAnsi="Times New Roman" w:cs="Times New Roman"/>
          <w:i/>
          <w:iCs/>
          <w:sz w:val="24"/>
          <w:szCs w:val="24"/>
        </w:rPr>
        <w:t>d</w:t>
      </w:r>
      <w:r w:rsidRPr="008455DE">
        <w:rPr>
          <w:rFonts w:ascii="Times New Roman" w:eastAsiaTheme="minorEastAsia" w:hAnsi="Times New Roman" w:cs="Times New Roman"/>
          <w:sz w:val="24"/>
          <w:szCs w:val="24"/>
        </w:rPr>
        <w:t xml:space="preserve"> is the expected difference in means between groups (set at 0.6 based on pilot observations).</w:t>
      </w:r>
    </w:p>
    <w:p w14:paraId="12D05A20" w14:textId="77777777" w:rsidR="003E2421" w:rsidRDefault="008A7800" w:rsidP="003E2421">
      <w:pPr>
        <w:spacing w:line="360" w:lineRule="auto"/>
        <w:jc w:val="both"/>
        <w:rPr>
          <w:rFonts w:ascii="Times New Roman" w:hAnsi="Times New Roman" w:cs="Times New Roman"/>
          <w:sz w:val="24"/>
          <w:szCs w:val="24"/>
          <w:lang w:val=""/>
        </w:rPr>
      </w:pPr>
      <w:r w:rsidRPr="003E2421">
        <w:rPr>
          <w:rFonts w:ascii="Times New Roman" w:hAnsi="Times New Roman" w:cs="Times New Roman"/>
          <w:sz w:val="24"/>
          <w:szCs w:val="24"/>
        </w:rPr>
        <w:t>Substituting values:</w:t>
      </w:r>
    </w:p>
    <w:p w14:paraId="5DB79D4D" w14:textId="0A2F0516" w:rsidR="003E2421" w:rsidRPr="008455DE" w:rsidRDefault="008A7800" w:rsidP="003E2421">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2(1.96+0.84</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r>
                <w:rPr>
                  <w:rFonts w:ascii="Cambria Math" w:hAnsi="Cambria Math" w:cs="Times New Roman"/>
                  <w:sz w:val="24"/>
                  <w:szCs w:val="24"/>
                </w:rPr>
                <m:t xml:space="preserve"> </m:t>
              </m:r>
            </m:num>
            <m:den>
              <m:sSup>
                <m:sSupPr>
                  <m:ctrlPr>
                    <w:rPr>
                      <w:rFonts w:ascii="Cambria Math" w:hAnsi="Cambria Math" w:cs="Times New Roman"/>
                      <w:i/>
                      <w:sz w:val="24"/>
                      <w:szCs w:val="24"/>
                    </w:rPr>
                  </m:ctrlPr>
                </m:sSupPr>
                <m:e>
                  <m:r>
                    <w:rPr>
                      <w:rFonts w:ascii="Cambria Math" w:hAnsi="Cambria Math" w:cs="Times New Roman"/>
                      <w:sz w:val="24"/>
                      <w:szCs w:val="24"/>
                    </w:rPr>
                    <m:t>(0.6)</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2(7.84)</m:t>
              </m:r>
            </m:num>
            <m:den>
              <m:r>
                <w:rPr>
                  <w:rFonts w:ascii="Cambria Math" w:eastAsiaTheme="minorEastAsia" w:hAnsi="Cambria Math" w:cs="Times New Roman"/>
                  <w:sz w:val="24"/>
                  <w:szCs w:val="24"/>
                </w:rPr>
                <m:t>0.36</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15.68</m:t>
              </m:r>
            </m:num>
            <m:den>
              <m:r>
                <w:rPr>
                  <w:rFonts w:ascii="Cambria Math" w:eastAsiaTheme="minorEastAsia" w:hAnsi="Cambria Math" w:cs="Times New Roman"/>
                  <w:sz w:val="24"/>
                  <w:szCs w:val="24"/>
                </w:rPr>
                <m:t>0.36</m:t>
              </m:r>
            </m:den>
          </m:f>
          <m:r>
            <w:rPr>
              <w:rFonts w:ascii="Cambria Math" w:eastAsiaTheme="minorEastAsia" w:hAnsi="Cambria Math" w:cs="Times New Roman"/>
              <w:sz w:val="24"/>
              <w:szCs w:val="24"/>
            </w:rPr>
            <m:t>=43.6 ≈44</m:t>
          </m:r>
        </m:oMath>
      </m:oMathPara>
    </w:p>
    <w:p w14:paraId="4B1458AA" w14:textId="71A2B8CA" w:rsidR="003E2421" w:rsidRPr="003E2421" w:rsidRDefault="008A7800" w:rsidP="003E2421">
      <w:pPr>
        <w:spacing w:line="360" w:lineRule="auto"/>
        <w:jc w:val="both"/>
        <w:rPr>
          <w:rFonts w:ascii="Times New Roman" w:hAnsi="Times New Roman" w:cs="Times New Roman"/>
          <w:sz w:val="24"/>
          <w:szCs w:val="24"/>
          <w:lang w:val=""/>
        </w:rPr>
      </w:pPr>
      <w:r w:rsidRPr="003E2421">
        <w:rPr>
          <w:rFonts w:ascii="Times New Roman" w:hAnsi="Times New Roman" w:cs="Times New Roman"/>
          <w:sz w:val="24"/>
          <w:szCs w:val="24"/>
        </w:rPr>
        <w:t>Thus, a minimum of 44 participants per group was needed. To account for potent</w:t>
      </w:r>
      <w:r w:rsidRPr="003E2421">
        <w:rPr>
          <w:rFonts w:ascii="Times New Roman" w:hAnsi="Times New Roman" w:cs="Times New Roman"/>
          <w:sz w:val="24"/>
          <w:szCs w:val="24"/>
        </w:rPr>
        <w:t>ial non-responses or incomplete data, the final sample size was increased to 45 per group, resulting in a total sample of 90 participants.</w:t>
      </w:r>
    </w:p>
    <w:p w14:paraId="2D8A0B5A" w14:textId="08FCCC2B" w:rsidR="00EA1CBD" w:rsidRPr="00EA1CBD" w:rsidRDefault="008A7800" w:rsidP="00EA1CBD">
      <w:pPr>
        <w:spacing w:line="360" w:lineRule="auto"/>
        <w:jc w:val="both"/>
        <w:rPr>
          <w:rFonts w:ascii="Times New Roman" w:hAnsi="Times New Roman" w:cs="Times New Roman"/>
          <w:b/>
          <w:bCs/>
          <w:sz w:val="24"/>
          <w:szCs w:val="24"/>
          <w:lang w:val=""/>
        </w:rPr>
      </w:pPr>
      <w:r w:rsidRPr="00EA1CBD">
        <w:rPr>
          <w:rFonts w:ascii="Times New Roman" w:hAnsi="Times New Roman" w:cs="Times New Roman"/>
          <w:b/>
          <w:bCs/>
          <w:sz w:val="24"/>
          <w:szCs w:val="24"/>
        </w:rPr>
        <w:t>Participant recruitment</w:t>
      </w:r>
    </w:p>
    <w:p w14:paraId="23E2438E" w14:textId="0A9804CA" w:rsidR="00EA1CBD" w:rsidRPr="00EA1CBD" w:rsidRDefault="008A7800" w:rsidP="00EA1CBD">
      <w:pPr>
        <w:spacing w:line="360" w:lineRule="auto"/>
        <w:jc w:val="both"/>
        <w:rPr>
          <w:rFonts w:ascii="Times New Roman" w:hAnsi="Times New Roman" w:cs="Times New Roman"/>
          <w:sz w:val="24"/>
          <w:szCs w:val="24"/>
          <w:lang w:val=""/>
        </w:rPr>
      </w:pPr>
      <w:r w:rsidRPr="00EA1CBD">
        <w:rPr>
          <w:rFonts w:ascii="Times New Roman" w:hAnsi="Times New Roman" w:cs="Times New Roman"/>
          <w:sz w:val="24"/>
          <w:szCs w:val="24"/>
        </w:rPr>
        <w:t>Participants were recruited through a multi-stage sampling process. First, two LGAs within Ri</w:t>
      </w:r>
      <w:r w:rsidRPr="00EA1CBD">
        <w:rPr>
          <w:rFonts w:ascii="Times New Roman" w:hAnsi="Times New Roman" w:cs="Times New Roman"/>
          <w:sz w:val="24"/>
          <w:szCs w:val="24"/>
        </w:rPr>
        <w:t>vers State, Nigeria (Etche and Obio/Akpor)</w:t>
      </w:r>
      <w:r>
        <w:rPr>
          <w:rFonts w:ascii="Times New Roman" w:eastAsia="Calibri" w:hAnsi="Times New Roman" w:cs="Times New Roman"/>
          <w:sz w:val="24"/>
          <w:szCs w:val="24"/>
        </w:rPr>
        <w:t>,</w:t>
      </w:r>
      <w:r w:rsidRPr="00EA1CBD">
        <w:rPr>
          <w:rFonts w:ascii="Times New Roman" w:hAnsi="Times New Roman" w:cs="Times New Roman"/>
          <w:sz w:val="24"/>
          <w:szCs w:val="24"/>
        </w:rPr>
        <w:t xml:space="preserve"> were purposively selected to represent high-risk (Etche) and lower-risk (Choba in Obio/Akpor) cassava-consuming communities. Within each </w:t>
      </w:r>
      <w:r w:rsidRPr="00EA1CBD">
        <w:rPr>
          <w:rFonts w:ascii="Times New Roman" w:hAnsi="Times New Roman" w:cs="Times New Roman"/>
          <w:sz w:val="24"/>
          <w:szCs w:val="24"/>
        </w:rPr>
        <w:lastRenderedPageBreak/>
        <w:t>LGA, one public primary school was randomly selected from a list of eligible government-owned schools.</w:t>
      </w:r>
    </w:p>
    <w:p w14:paraId="3A46597B" w14:textId="04FC5FFA" w:rsidR="00EA1CBD" w:rsidRPr="00EA1CBD" w:rsidRDefault="008A7800" w:rsidP="00EA1CBD">
      <w:pPr>
        <w:spacing w:line="360" w:lineRule="auto"/>
        <w:jc w:val="both"/>
        <w:rPr>
          <w:rFonts w:ascii="Times New Roman" w:hAnsi="Times New Roman" w:cs="Times New Roman"/>
          <w:sz w:val="24"/>
          <w:szCs w:val="24"/>
          <w:lang w:val=""/>
        </w:rPr>
      </w:pPr>
      <w:r w:rsidRPr="00EA1CBD">
        <w:rPr>
          <w:rFonts w:ascii="Times New Roman" w:hAnsi="Times New Roman" w:cs="Times New Roman"/>
          <w:sz w:val="24"/>
          <w:szCs w:val="24"/>
        </w:rPr>
        <w:t>Prior to recrui</w:t>
      </w:r>
      <w:r w:rsidRPr="00EA1CBD">
        <w:rPr>
          <w:rFonts w:ascii="Times New Roman" w:hAnsi="Times New Roman" w:cs="Times New Roman"/>
          <w:sz w:val="24"/>
          <w:szCs w:val="24"/>
        </w:rPr>
        <w:t xml:space="preserve">tment, school authorities were formally contacted, and sensitization meetings were held with parents and guardians to explain the study objectives and procedures. Written informed consent was obtained from parents/guardians, and assent was obtained from </w:t>
      </w:r>
      <w:r>
        <w:rPr>
          <w:rFonts w:ascii="Times New Roman" w:eastAsia="Calibri" w:hAnsi="Times New Roman" w:cs="Times New Roman"/>
          <w:sz w:val="24"/>
          <w:szCs w:val="24"/>
        </w:rPr>
        <w:t>th</w:t>
      </w:r>
      <w:r>
        <w:rPr>
          <w:rFonts w:ascii="Times New Roman" w:eastAsia="Calibri" w:hAnsi="Times New Roman" w:cs="Times New Roman"/>
          <w:sz w:val="24"/>
          <w:szCs w:val="24"/>
        </w:rPr>
        <w:t xml:space="preserve">e </w:t>
      </w:r>
      <w:r w:rsidRPr="00EA1CBD">
        <w:rPr>
          <w:rFonts w:ascii="Times New Roman" w:hAnsi="Times New Roman" w:cs="Times New Roman"/>
          <w:sz w:val="24"/>
          <w:szCs w:val="24"/>
        </w:rPr>
        <w:t>children. Eligible participants were screened based on the inclusion and exclusion criteria.</w:t>
      </w:r>
    </w:p>
    <w:p w14:paraId="0895CEF6" w14:textId="0A9F7F35" w:rsidR="003E2421" w:rsidRPr="00EA1CBD" w:rsidRDefault="008A7800" w:rsidP="00FC6E15">
      <w:pPr>
        <w:spacing w:line="360" w:lineRule="auto"/>
        <w:jc w:val="both"/>
        <w:rPr>
          <w:rFonts w:ascii="Times New Roman" w:hAnsi="Times New Roman" w:cs="Times New Roman"/>
          <w:sz w:val="24"/>
          <w:szCs w:val="24"/>
          <w:lang w:val=""/>
        </w:rPr>
      </w:pPr>
      <w:r w:rsidRPr="00EA1CBD">
        <w:rPr>
          <w:rFonts w:ascii="Times New Roman" w:hAnsi="Times New Roman" w:cs="Times New Roman"/>
          <w:sz w:val="24"/>
          <w:szCs w:val="24"/>
        </w:rPr>
        <w:t>To minimize selection bias, simple random sampling was used within each selected school to enrol participants. Children were stratified by age to ensure balanced</w:t>
      </w:r>
      <w:r w:rsidRPr="00EA1CBD">
        <w:rPr>
          <w:rFonts w:ascii="Times New Roman" w:hAnsi="Times New Roman" w:cs="Times New Roman"/>
          <w:sz w:val="24"/>
          <w:szCs w:val="24"/>
        </w:rPr>
        <w:t xml:space="preserve"> representation across the age categories (7–8, 9–10, 11–12, and 13 years) in both the case and control groups. This approach ensured comparability between groups and controlled for age-related variability in motor development.</w:t>
      </w:r>
    </w:p>
    <w:p w14:paraId="091A64F2" w14:textId="1A16390E" w:rsidR="00FC6E15" w:rsidRPr="00FC6E15" w:rsidRDefault="008A7800" w:rsidP="00FC6E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approach</w:t>
      </w:r>
    </w:p>
    <w:p w14:paraId="64BE2683" w14:textId="0BA9AC5A" w:rsidR="00EA1CBD" w:rsidRPr="00EA1CBD" w:rsidRDefault="008A7800" w:rsidP="00EA1CBD">
      <w:pPr>
        <w:spacing w:line="360" w:lineRule="auto"/>
        <w:jc w:val="both"/>
        <w:rPr>
          <w:rFonts w:ascii="Times New Roman" w:hAnsi="Times New Roman" w:cs="Times New Roman"/>
          <w:sz w:val="24"/>
          <w:szCs w:val="24"/>
        </w:rPr>
      </w:pPr>
      <w:r w:rsidRPr="00EA1CBD">
        <w:rPr>
          <w:rFonts w:ascii="Times New Roman" w:hAnsi="Times New Roman" w:cs="Times New Roman"/>
          <w:sz w:val="24"/>
          <w:szCs w:val="24"/>
        </w:rPr>
        <w:t>Dat</w:t>
      </w:r>
      <w:r w:rsidRPr="00EA1CBD">
        <w:rPr>
          <w:rFonts w:ascii="Times New Roman" w:hAnsi="Times New Roman" w:cs="Times New Roman"/>
          <w:sz w:val="24"/>
          <w:szCs w:val="24"/>
        </w:rPr>
        <w:t>a were collected using the JTHFT, a validated tool for assessing skilled hand dexterity (Jebsen et al., 1969; Mak et al., 2015). Each participant completed seven standardized tasks simulating daily activities: writing a 24-letter sentence, turning over fiv</w:t>
      </w:r>
      <w:r w:rsidRPr="00EA1CBD">
        <w:rPr>
          <w:rFonts w:ascii="Times New Roman" w:hAnsi="Times New Roman" w:cs="Times New Roman"/>
          <w:sz w:val="24"/>
          <w:szCs w:val="24"/>
        </w:rPr>
        <w:t xml:space="preserve">e cards, picking up small objects (coins, bottle caps, paper clips) and dropping them into a can, simulated feeding with beans and a spoon, stacking checkers, moving large light objects, and moving large heavy objects. </w:t>
      </w:r>
      <w:r>
        <w:rPr>
          <w:rFonts w:ascii="Times New Roman" w:eastAsia="Calibri" w:hAnsi="Times New Roman" w:cs="Times New Roman"/>
          <w:sz w:val="24"/>
          <w:szCs w:val="24"/>
        </w:rPr>
        <w:t>The tasks</w:t>
      </w:r>
      <w:r w:rsidRPr="00EA1CBD">
        <w:rPr>
          <w:rFonts w:ascii="Times New Roman" w:hAnsi="Times New Roman" w:cs="Times New Roman"/>
          <w:sz w:val="24"/>
          <w:szCs w:val="24"/>
        </w:rPr>
        <w:t xml:space="preserve"> were performed first with t</w:t>
      </w:r>
      <w:r w:rsidRPr="00EA1CBD">
        <w:rPr>
          <w:rFonts w:ascii="Times New Roman" w:hAnsi="Times New Roman" w:cs="Times New Roman"/>
          <w:sz w:val="24"/>
          <w:szCs w:val="24"/>
        </w:rPr>
        <w:t xml:space="preserve">he non-dominant hand </w:t>
      </w:r>
      <w:r>
        <w:rPr>
          <w:rFonts w:ascii="Times New Roman" w:eastAsia="Calibri" w:hAnsi="Times New Roman" w:cs="Times New Roman"/>
          <w:sz w:val="24"/>
          <w:szCs w:val="24"/>
        </w:rPr>
        <w:t xml:space="preserve">and </w:t>
      </w:r>
      <w:r w:rsidRPr="00EA1CBD">
        <w:rPr>
          <w:rFonts w:ascii="Times New Roman" w:hAnsi="Times New Roman" w:cs="Times New Roman"/>
          <w:sz w:val="24"/>
          <w:szCs w:val="24"/>
        </w:rPr>
        <w:t>then with the dominant hand. Task completion time was measured using a stopwatch and served as the primary outcome for hand dexterity.</w:t>
      </w:r>
    </w:p>
    <w:p w14:paraId="7C645097" w14:textId="7E5B0659" w:rsidR="00EA1CBD" w:rsidRPr="00EA1CBD" w:rsidRDefault="008A7800" w:rsidP="00EA1CBD">
      <w:pPr>
        <w:spacing w:line="360" w:lineRule="auto"/>
        <w:jc w:val="both"/>
        <w:rPr>
          <w:rFonts w:ascii="Times New Roman" w:hAnsi="Times New Roman" w:cs="Times New Roman"/>
          <w:sz w:val="24"/>
          <w:szCs w:val="24"/>
        </w:rPr>
      </w:pPr>
      <w:r w:rsidRPr="00EA1CBD">
        <w:rPr>
          <w:rFonts w:ascii="Times New Roman" w:hAnsi="Times New Roman" w:cs="Times New Roman"/>
          <w:sz w:val="24"/>
          <w:szCs w:val="24"/>
        </w:rPr>
        <w:t>Demographic data, including age and sex, were recorded. All assessments were conducted in a quie</w:t>
      </w:r>
      <w:r w:rsidRPr="00EA1CBD">
        <w:rPr>
          <w:rFonts w:ascii="Times New Roman" w:hAnsi="Times New Roman" w:cs="Times New Roman"/>
          <w:sz w:val="24"/>
          <w:szCs w:val="24"/>
        </w:rPr>
        <w:t>t, well-lit room using a standard table and chair, with participants seated comfortably. To ensure consistency, identical materials were used for all participants, instructions were clearly provided, and each task was demonstrated prior to execution.</w:t>
      </w:r>
    </w:p>
    <w:p w14:paraId="3A66370F" w14:textId="0745BF82" w:rsidR="00EA1CBD" w:rsidRDefault="008A7800" w:rsidP="00EA1CBD">
      <w:pPr>
        <w:spacing w:line="360" w:lineRule="auto"/>
        <w:jc w:val="both"/>
        <w:rPr>
          <w:rFonts w:ascii="Times New Roman" w:hAnsi="Times New Roman" w:cs="Times New Roman"/>
          <w:sz w:val="24"/>
          <w:szCs w:val="24"/>
        </w:rPr>
      </w:pPr>
      <w:r w:rsidRPr="00EA1CBD">
        <w:rPr>
          <w:rFonts w:ascii="Times New Roman" w:hAnsi="Times New Roman" w:cs="Times New Roman"/>
          <w:sz w:val="24"/>
          <w:szCs w:val="24"/>
        </w:rPr>
        <w:t xml:space="preserve">This </w:t>
      </w:r>
      <w:r w:rsidRPr="00EA1CBD">
        <w:rPr>
          <w:rFonts w:ascii="Times New Roman" w:hAnsi="Times New Roman" w:cs="Times New Roman"/>
          <w:sz w:val="24"/>
          <w:szCs w:val="24"/>
        </w:rPr>
        <w:t xml:space="preserve">standardized data collection process enabled reliable evaluation of hand dexterity and facilitated </w:t>
      </w:r>
      <w:r>
        <w:rPr>
          <w:rFonts w:ascii="Times New Roman" w:eastAsia="Calibri" w:hAnsi="Times New Roman" w:cs="Times New Roman"/>
          <w:sz w:val="24"/>
          <w:szCs w:val="24"/>
        </w:rPr>
        <w:t>comparisons</w:t>
      </w:r>
      <w:r w:rsidRPr="00EA1CBD">
        <w:rPr>
          <w:rFonts w:ascii="Times New Roman" w:hAnsi="Times New Roman" w:cs="Times New Roman"/>
          <w:sz w:val="24"/>
          <w:szCs w:val="24"/>
        </w:rPr>
        <w:t xml:space="preserve"> between children at risk of Konzo and controls.</w:t>
      </w:r>
    </w:p>
    <w:p w14:paraId="1671C8FE" w14:textId="289A16B7" w:rsidR="00FC6E15" w:rsidRPr="00470EAB" w:rsidRDefault="008A7800" w:rsidP="00EA1CBD">
      <w:pPr>
        <w:spacing w:line="360" w:lineRule="auto"/>
        <w:jc w:val="both"/>
        <w:rPr>
          <w:rFonts w:ascii="Times New Roman" w:hAnsi="Times New Roman" w:cs="Times New Roman"/>
          <w:b/>
          <w:bCs/>
          <w:sz w:val="24"/>
          <w:szCs w:val="24"/>
        </w:rPr>
      </w:pPr>
      <w:r w:rsidRPr="00470EAB">
        <w:rPr>
          <w:rFonts w:ascii="Times New Roman" w:hAnsi="Times New Roman" w:cs="Times New Roman"/>
          <w:b/>
          <w:bCs/>
          <w:sz w:val="24"/>
          <w:szCs w:val="24"/>
        </w:rPr>
        <w:t>Method of data analysis</w:t>
      </w:r>
    </w:p>
    <w:p w14:paraId="246912BA" w14:textId="53BC8DE0" w:rsidR="00B4503D" w:rsidRDefault="008A7800" w:rsidP="00B4503D">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The data</w:t>
      </w:r>
      <w:r w:rsidRPr="00B4503D">
        <w:rPr>
          <w:rFonts w:ascii="Times New Roman" w:hAnsi="Times New Roman" w:cs="Times New Roman"/>
          <w:sz w:val="24"/>
          <w:szCs w:val="24"/>
        </w:rPr>
        <w:t xml:space="preserve"> were analyzed using IBM SPSS Statistics version 25. The primary </w:t>
      </w:r>
      <w:r w:rsidRPr="00B4503D">
        <w:rPr>
          <w:rFonts w:ascii="Times New Roman" w:hAnsi="Times New Roman" w:cs="Times New Roman"/>
          <w:sz w:val="24"/>
          <w:szCs w:val="24"/>
        </w:rPr>
        <w:t xml:space="preserve">outcome variable was the time (in seconds) required to complete each task of the JTHFT, with shorter completion times indicating better hand dexterity. Descriptive statistics were used to summarize </w:t>
      </w:r>
      <w:r>
        <w:rPr>
          <w:rFonts w:ascii="Times New Roman" w:eastAsia="Calibri" w:hAnsi="Times New Roman" w:cs="Times New Roman"/>
          <w:sz w:val="24"/>
          <w:szCs w:val="24"/>
        </w:rPr>
        <w:t xml:space="preserve">the </w:t>
      </w:r>
      <w:r w:rsidRPr="00B4503D">
        <w:rPr>
          <w:rFonts w:ascii="Times New Roman" w:hAnsi="Times New Roman" w:cs="Times New Roman"/>
          <w:sz w:val="24"/>
          <w:szCs w:val="24"/>
        </w:rPr>
        <w:lastRenderedPageBreak/>
        <w:t xml:space="preserve">participants’ demographic characteristics and JTHFT performance. Means and standard deviations </w:t>
      </w:r>
      <w:r w:rsidR="00196355">
        <w:rPr>
          <w:rFonts w:ascii="Times New Roman" w:eastAsia="Calibri" w:hAnsi="Times New Roman" w:cs="Times New Roman"/>
          <w:sz w:val="24"/>
          <w:szCs w:val="24"/>
        </w:rPr>
        <w:t>wer</w:t>
      </w:r>
      <w:r>
        <w:rPr>
          <w:rFonts w:ascii="Times New Roman" w:eastAsia="Calibri" w:hAnsi="Times New Roman" w:cs="Times New Roman"/>
          <w:sz w:val="24"/>
          <w:szCs w:val="24"/>
        </w:rPr>
        <w:t>e</w:t>
      </w:r>
      <w:r w:rsidRPr="00B4503D">
        <w:rPr>
          <w:rFonts w:ascii="Times New Roman" w:hAnsi="Times New Roman" w:cs="Times New Roman"/>
          <w:sz w:val="24"/>
          <w:szCs w:val="24"/>
        </w:rPr>
        <w:t xml:space="preserve"> reported for continuous variables, </w:t>
      </w:r>
      <w:r>
        <w:rPr>
          <w:rFonts w:ascii="Times New Roman" w:eastAsia="Calibri" w:hAnsi="Times New Roman" w:cs="Times New Roman"/>
          <w:sz w:val="24"/>
          <w:szCs w:val="24"/>
        </w:rPr>
        <w:t>whereas</w:t>
      </w:r>
      <w:r w:rsidRPr="00B4503D">
        <w:rPr>
          <w:rFonts w:ascii="Times New Roman" w:hAnsi="Times New Roman" w:cs="Times New Roman"/>
          <w:sz w:val="24"/>
          <w:szCs w:val="24"/>
        </w:rPr>
        <w:t xml:space="preserve"> categorical variables were presented as frequencies and percentages. To assess the effect of Konzo risk on hand d</w:t>
      </w:r>
      <w:r w:rsidRPr="00B4503D">
        <w:rPr>
          <w:rFonts w:ascii="Times New Roman" w:hAnsi="Times New Roman" w:cs="Times New Roman"/>
          <w:sz w:val="24"/>
          <w:szCs w:val="24"/>
        </w:rPr>
        <w:t>exterity, independent samples t-tests were conducted to compare the mean JTHFT scores between the case group (at risk of Konzo) and the control group. Statistical significance was set at p &lt; 0.05.</w:t>
      </w:r>
    </w:p>
    <w:p w14:paraId="5E64EC97" w14:textId="5E0C997C" w:rsidR="00FC6E15" w:rsidRPr="00B4503D" w:rsidRDefault="008A7800" w:rsidP="00B4503D">
      <w:pPr>
        <w:spacing w:line="360" w:lineRule="auto"/>
        <w:jc w:val="both"/>
        <w:rPr>
          <w:rFonts w:ascii="Times New Roman" w:hAnsi="Times New Roman" w:cs="Times New Roman"/>
          <w:b/>
          <w:bCs/>
          <w:sz w:val="24"/>
          <w:szCs w:val="24"/>
        </w:rPr>
      </w:pPr>
      <w:r w:rsidRPr="00B4503D">
        <w:rPr>
          <w:rFonts w:ascii="Times New Roman" w:hAnsi="Times New Roman" w:cs="Times New Roman"/>
          <w:b/>
          <w:bCs/>
          <w:sz w:val="24"/>
          <w:szCs w:val="24"/>
        </w:rPr>
        <w:t>Ethical consideration</w:t>
      </w:r>
    </w:p>
    <w:p w14:paraId="6A55E621" w14:textId="039BAAE3" w:rsidR="00B4503D" w:rsidRDefault="008A7800" w:rsidP="00B4503D">
      <w:pPr>
        <w:spacing w:line="360" w:lineRule="auto"/>
        <w:jc w:val="both"/>
        <w:rPr>
          <w:rFonts w:ascii="Times New Roman" w:hAnsi="Times New Roman" w:cs="Times New Roman"/>
          <w:sz w:val="24"/>
          <w:szCs w:val="24"/>
        </w:rPr>
      </w:pPr>
      <w:r w:rsidRPr="00B4503D">
        <w:rPr>
          <w:rFonts w:ascii="Times New Roman" w:hAnsi="Times New Roman" w:cs="Times New Roman"/>
          <w:sz w:val="24"/>
          <w:szCs w:val="24"/>
        </w:rPr>
        <w:t>This study was reviewed and approved by the Ethics Committee of the University of Port Harcourt Research Ethics Committee in accordance with the principles outlined in the Declaration of Helsinki. Informed consent was obtained from the parents or legal gua</w:t>
      </w:r>
      <w:r w:rsidRPr="00B4503D">
        <w:rPr>
          <w:rFonts w:ascii="Times New Roman" w:hAnsi="Times New Roman" w:cs="Times New Roman"/>
          <w:sz w:val="24"/>
          <w:szCs w:val="24"/>
        </w:rPr>
        <w:t xml:space="preserve">rdians of all </w:t>
      </w:r>
      <w:r>
        <w:rPr>
          <w:rFonts w:ascii="Times New Roman" w:eastAsia="Calibri" w:hAnsi="Times New Roman" w:cs="Times New Roman"/>
          <w:sz w:val="24"/>
          <w:szCs w:val="24"/>
        </w:rPr>
        <w:t xml:space="preserve">the </w:t>
      </w:r>
      <w:r w:rsidRPr="00B4503D">
        <w:rPr>
          <w:rFonts w:ascii="Times New Roman" w:hAnsi="Times New Roman" w:cs="Times New Roman"/>
          <w:sz w:val="24"/>
          <w:szCs w:val="24"/>
        </w:rPr>
        <w:t>participating children prior to data collection. The study procedures and objectives were explained in age-appropriate and culturally sensitive language to both guardians and children, who were informed that participation was voluntary an</w:t>
      </w:r>
      <w:r w:rsidRPr="00B4503D">
        <w:rPr>
          <w:rFonts w:ascii="Times New Roman" w:hAnsi="Times New Roman" w:cs="Times New Roman"/>
          <w:sz w:val="24"/>
          <w:szCs w:val="24"/>
        </w:rPr>
        <w:t>d could be withdrawn at any time without consequence. To protect participant privacy and confidentiality, all collected data were anonymized by assigning unique identification codes. No identifying information was linked to test scores or demographic data.</w:t>
      </w:r>
      <w:r w:rsidRPr="00B4503D">
        <w:rPr>
          <w:rFonts w:ascii="Times New Roman" w:hAnsi="Times New Roman" w:cs="Times New Roman"/>
          <w:sz w:val="24"/>
          <w:szCs w:val="24"/>
        </w:rPr>
        <w:t xml:space="preserve"> All records were securely stored in password-protected digital files and locked physical storage accessible only to the research team.</w:t>
      </w:r>
    </w:p>
    <w:p w14:paraId="5F157844" w14:textId="01C8E755" w:rsidR="00B41B8F" w:rsidRPr="00725BF6" w:rsidRDefault="008A7800" w:rsidP="00B4503D">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The participants</w:t>
      </w:r>
      <w:r w:rsidRPr="00B4503D">
        <w:rPr>
          <w:rFonts w:ascii="Times New Roman" w:hAnsi="Times New Roman" w:cs="Times New Roman"/>
          <w:sz w:val="24"/>
          <w:szCs w:val="24"/>
        </w:rPr>
        <w:t xml:space="preserve"> did not receive financial compensation for participation; however, small educational materials (e.g., p</w:t>
      </w:r>
      <w:r w:rsidRPr="00B4503D">
        <w:rPr>
          <w:rFonts w:ascii="Times New Roman" w:hAnsi="Times New Roman" w:cs="Times New Roman"/>
          <w:sz w:val="24"/>
          <w:szCs w:val="24"/>
        </w:rPr>
        <w:t xml:space="preserve">encils, exercise books) were provided to thank the children for their involvement. No identifiable images or personally identifying data of </w:t>
      </w:r>
      <w:r>
        <w:rPr>
          <w:rFonts w:ascii="Times New Roman" w:eastAsia="Calibri" w:hAnsi="Times New Roman" w:cs="Times New Roman"/>
          <w:sz w:val="24"/>
          <w:szCs w:val="24"/>
        </w:rPr>
        <w:t xml:space="preserve">the </w:t>
      </w:r>
      <w:r w:rsidRPr="00B4503D">
        <w:rPr>
          <w:rFonts w:ascii="Times New Roman" w:hAnsi="Times New Roman" w:cs="Times New Roman"/>
          <w:sz w:val="24"/>
          <w:szCs w:val="24"/>
        </w:rPr>
        <w:t>participants are included in the manuscript or supplementary materials. Therefore, additional visual consent for</w:t>
      </w:r>
      <w:r w:rsidRPr="00B4503D">
        <w:rPr>
          <w:rFonts w:ascii="Times New Roman" w:hAnsi="Times New Roman" w:cs="Times New Roman"/>
          <w:sz w:val="24"/>
          <w:szCs w:val="24"/>
        </w:rPr>
        <w:t xml:space="preserve">ms are not </w:t>
      </w:r>
      <w:r>
        <w:rPr>
          <w:rFonts w:ascii="Times New Roman" w:eastAsia="Calibri" w:hAnsi="Times New Roman" w:cs="Times New Roman"/>
          <w:sz w:val="24"/>
          <w:szCs w:val="24"/>
        </w:rPr>
        <w:t>needed</w:t>
      </w:r>
      <w:r w:rsidRPr="00B4503D">
        <w:rPr>
          <w:rFonts w:ascii="Times New Roman" w:hAnsi="Times New Roman" w:cs="Times New Roman"/>
          <w:sz w:val="24"/>
          <w:szCs w:val="24"/>
        </w:rPr>
        <w:t>.</w:t>
      </w:r>
    </w:p>
    <w:p w14:paraId="6832F75F" w14:textId="77777777" w:rsidR="00B41B8F" w:rsidRDefault="00B41B8F" w:rsidP="00B4503D">
      <w:pPr>
        <w:spacing w:line="360" w:lineRule="auto"/>
        <w:jc w:val="both"/>
        <w:rPr>
          <w:rFonts w:ascii="Times New Roman" w:hAnsi="Times New Roman" w:cs="Times New Roman"/>
          <w:b/>
          <w:bCs/>
          <w:sz w:val="24"/>
          <w:szCs w:val="24"/>
        </w:rPr>
      </w:pPr>
    </w:p>
    <w:p w14:paraId="735D25C2" w14:textId="55B3A7A3" w:rsidR="00FC6E15" w:rsidRPr="00B4503D" w:rsidRDefault="008A7800" w:rsidP="00B4503D">
      <w:pPr>
        <w:spacing w:line="360" w:lineRule="auto"/>
        <w:jc w:val="both"/>
        <w:rPr>
          <w:rFonts w:ascii="Times New Roman" w:hAnsi="Times New Roman" w:cs="Times New Roman"/>
          <w:b/>
          <w:bCs/>
          <w:sz w:val="24"/>
          <w:szCs w:val="24"/>
        </w:rPr>
      </w:pPr>
      <w:r w:rsidRPr="00B4503D">
        <w:rPr>
          <w:rFonts w:ascii="Times New Roman" w:hAnsi="Times New Roman" w:cs="Times New Roman"/>
          <w:b/>
          <w:bCs/>
          <w:sz w:val="24"/>
          <w:szCs w:val="24"/>
        </w:rPr>
        <w:t>RESULTS</w:t>
      </w:r>
    </w:p>
    <w:p w14:paraId="166C12FB" w14:textId="40FAB999" w:rsid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 xml:space="preserve">The Jebsen-Taylor Hand Function Test (JTHFT) was administered to a total of 90 primary school children, </w:t>
      </w:r>
      <w:r>
        <w:rPr>
          <w:rFonts w:ascii="Times New Roman" w:eastAsia="Calibri" w:hAnsi="Times New Roman" w:cs="Times New Roman"/>
          <w:sz w:val="24"/>
          <w:szCs w:val="24"/>
        </w:rPr>
        <w:t xml:space="preserve">who were </w:t>
      </w:r>
      <w:r w:rsidRPr="00B41B8F">
        <w:rPr>
          <w:rFonts w:ascii="Times New Roman" w:hAnsi="Times New Roman" w:cs="Times New Roman"/>
          <w:sz w:val="24"/>
          <w:szCs w:val="24"/>
        </w:rPr>
        <w:t xml:space="preserve">evenly divided into </w:t>
      </w:r>
      <w:r>
        <w:rPr>
          <w:rFonts w:ascii="Times New Roman" w:eastAsia="Calibri" w:hAnsi="Times New Roman" w:cs="Times New Roman"/>
          <w:sz w:val="24"/>
          <w:szCs w:val="24"/>
        </w:rPr>
        <w:t>a</w:t>
      </w:r>
      <w:r w:rsidRPr="00B41B8F">
        <w:rPr>
          <w:rFonts w:ascii="Times New Roman" w:hAnsi="Times New Roman" w:cs="Times New Roman"/>
          <w:sz w:val="24"/>
          <w:szCs w:val="24"/>
        </w:rPr>
        <w:t xml:space="preserve"> control group from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(n=45) and </w:t>
      </w:r>
      <w:r>
        <w:rPr>
          <w:rFonts w:ascii="Times New Roman" w:eastAsia="Calibri" w:hAnsi="Times New Roman" w:cs="Times New Roman"/>
          <w:sz w:val="24"/>
          <w:szCs w:val="24"/>
        </w:rPr>
        <w:t>an</w:t>
      </w:r>
      <w:r w:rsidRPr="00B41B8F">
        <w:rPr>
          <w:rFonts w:ascii="Times New Roman" w:hAnsi="Times New Roman" w:cs="Times New Roman"/>
          <w:sz w:val="24"/>
          <w:szCs w:val="24"/>
        </w:rPr>
        <w:t xml:space="preserve"> at-risk group from Etche (n=45). Overall, 51.11% of th</w:t>
      </w:r>
      <w:r w:rsidRPr="00B41B8F">
        <w:rPr>
          <w:rFonts w:ascii="Times New Roman" w:hAnsi="Times New Roman" w:cs="Times New Roman"/>
          <w:sz w:val="24"/>
          <w:szCs w:val="24"/>
        </w:rPr>
        <w:t>e children were female</w:t>
      </w:r>
      <w:r>
        <w:rPr>
          <w:rFonts w:ascii="Times New Roman" w:eastAsia="Calibri" w:hAnsi="Times New Roman" w:cs="Times New Roman"/>
          <w:sz w:val="24"/>
          <w:szCs w:val="24"/>
        </w:rPr>
        <w:t>,</w:t>
      </w:r>
      <w:r w:rsidRPr="00B41B8F">
        <w:rPr>
          <w:rFonts w:ascii="Times New Roman" w:hAnsi="Times New Roman" w:cs="Times New Roman"/>
          <w:sz w:val="24"/>
          <w:szCs w:val="24"/>
        </w:rPr>
        <w:t xml:space="preserve"> and 48.88% were male.</w:t>
      </w:r>
    </w:p>
    <w:p w14:paraId="654D422C" w14:textId="415492D9"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As shown in Table 1, the Choba control group demonstrated mean performance scores across various manual dexterity subtests, with notable values such as 68.99±18.38 for non-dominant hand writing, 33.35±13.44 for</w:t>
      </w:r>
      <w:r w:rsidRPr="00B41B8F">
        <w:rPr>
          <w:rFonts w:ascii="Times New Roman" w:hAnsi="Times New Roman" w:cs="Times New Roman"/>
          <w:sz w:val="24"/>
          <w:szCs w:val="24"/>
        </w:rPr>
        <w:t xml:space="preserve"> dominant hand writing, and 4.50±0.98 for stacking checkers with the non-dominant hand. In comparison, the Etche group (Table 3) recorded similar scores </w:t>
      </w:r>
      <w:r w:rsidRPr="00B41B8F">
        <w:rPr>
          <w:rFonts w:ascii="Times New Roman" w:hAnsi="Times New Roman" w:cs="Times New Roman"/>
          <w:sz w:val="24"/>
          <w:szCs w:val="24"/>
        </w:rPr>
        <w:lastRenderedPageBreak/>
        <w:t>for non-dominant writing (69.39±20.87) and dominant writing (34.42±17.33) but exhibited relatively lowe</w:t>
      </w:r>
      <w:r w:rsidRPr="00B41B8F">
        <w:rPr>
          <w:rFonts w:ascii="Times New Roman" w:hAnsi="Times New Roman" w:cs="Times New Roman"/>
          <w:sz w:val="24"/>
          <w:szCs w:val="24"/>
        </w:rPr>
        <w:t>r performance in tasks such as stacking checkers (non-dominant: 4.06±0.79) and lifting large heavy objects (non-dominant: 3.32±0.68).</w:t>
      </w:r>
    </w:p>
    <w:p w14:paraId="5FF06BD2" w14:textId="72738CED"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 xml:space="preserve">Gender-based analysis within the Choba group (Table 2) revealed that males performed significantly slower in non-dominant </w:t>
      </w:r>
      <w:r w:rsidRPr="00B41B8F">
        <w:rPr>
          <w:rFonts w:ascii="Times New Roman" w:hAnsi="Times New Roman" w:cs="Times New Roman"/>
          <w:sz w:val="24"/>
          <w:szCs w:val="24"/>
        </w:rPr>
        <w:t xml:space="preserve">hand writing than females (74.64±19.42 vs. 63.09±15.53;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=0.03). However, no other subtest revealed statistically significant gender differences. In the Etche group (Table 4), a marginally significant difference was observed in the page turning subtest of </w:t>
      </w:r>
      <w:r w:rsidRPr="00B41B8F">
        <w:rPr>
          <w:rFonts w:ascii="Times New Roman" w:hAnsi="Times New Roman" w:cs="Times New Roman"/>
          <w:sz w:val="24"/>
          <w:szCs w:val="24"/>
        </w:rPr>
        <w:t xml:space="preserve">the non-dominant hand, where males (5.85±1.37) outperformed females (5.15±1.10;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=0.06), although this </w:t>
      </w:r>
      <w:r>
        <w:rPr>
          <w:rFonts w:ascii="Times New Roman" w:eastAsia="Calibri" w:hAnsi="Times New Roman" w:cs="Times New Roman"/>
          <w:sz w:val="24"/>
          <w:szCs w:val="24"/>
        </w:rPr>
        <w:t xml:space="preserve">difference </w:t>
      </w:r>
      <w:r w:rsidRPr="00B41B8F">
        <w:rPr>
          <w:rFonts w:ascii="Times New Roman" w:hAnsi="Times New Roman" w:cs="Times New Roman"/>
          <w:sz w:val="24"/>
          <w:szCs w:val="24"/>
        </w:rPr>
        <w:t>did not meet the conventional threshold for significance (</w:t>
      </w:r>
      <w:r w:rsidRPr="00B41B8F">
        <w:rPr>
          <w:rFonts w:ascii="Times New Roman" w:hAnsi="Times New Roman" w:cs="Times New Roman"/>
          <w:i/>
          <w:iCs/>
          <w:sz w:val="24"/>
          <w:szCs w:val="24"/>
        </w:rPr>
        <w:t>p</w:t>
      </w:r>
      <w:r w:rsidRPr="00B41B8F">
        <w:rPr>
          <w:rFonts w:ascii="Times New Roman" w:hAnsi="Times New Roman" w:cs="Times New Roman"/>
          <w:sz w:val="24"/>
          <w:szCs w:val="24"/>
        </w:rPr>
        <w:t>&lt;0.05).</w:t>
      </w:r>
    </w:p>
    <w:p w14:paraId="25654F53" w14:textId="74057E37"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Direct comparisons between groups by gender further underscore key findings</w:t>
      </w:r>
      <w:r w:rsidRPr="00B41B8F">
        <w:rPr>
          <w:rFonts w:ascii="Times New Roman" w:hAnsi="Times New Roman" w:cs="Times New Roman"/>
          <w:sz w:val="24"/>
          <w:szCs w:val="24"/>
        </w:rPr>
        <w:t xml:space="preserve">. Among males (Table 5), significant differences were observed in page turning (Choba: 4.61±1.13 vs. Etche: 5.85±1.37;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=0.002) and in lifting large heavy objects with the dominant hand (3.54±0.69 vs. 2.99±0.53; </w:t>
      </w:r>
      <w:r w:rsidRPr="00B41B8F">
        <w:rPr>
          <w:rFonts w:ascii="Times New Roman" w:hAnsi="Times New Roman" w:cs="Times New Roman"/>
          <w:i/>
          <w:iCs/>
          <w:sz w:val="24"/>
          <w:szCs w:val="24"/>
        </w:rPr>
        <w:t>p</w:t>
      </w:r>
      <w:r w:rsidRPr="00B41B8F">
        <w:rPr>
          <w:rFonts w:ascii="Times New Roman" w:hAnsi="Times New Roman" w:cs="Times New Roman"/>
          <w:sz w:val="24"/>
          <w:szCs w:val="24"/>
        </w:rPr>
        <w:t>=0.005), indicating poorer performance in t</w:t>
      </w:r>
      <w:r w:rsidRPr="00B41B8F">
        <w:rPr>
          <w:rFonts w:ascii="Times New Roman" w:hAnsi="Times New Roman" w:cs="Times New Roman"/>
          <w:sz w:val="24"/>
          <w:szCs w:val="24"/>
        </w:rPr>
        <w:t xml:space="preserve">he at-risk group. Similarly, among females (Table 6), </w:t>
      </w:r>
      <w:r>
        <w:rPr>
          <w:rFonts w:ascii="Times New Roman" w:eastAsia="Calibri" w:hAnsi="Times New Roman" w:cs="Times New Roman"/>
          <w:sz w:val="24"/>
          <w:szCs w:val="24"/>
        </w:rPr>
        <w:t xml:space="preserve">those in </w:t>
      </w:r>
      <w:r w:rsidRPr="00B41B8F">
        <w:rPr>
          <w:rFonts w:ascii="Times New Roman" w:hAnsi="Times New Roman" w:cs="Times New Roman"/>
          <w:sz w:val="24"/>
          <w:szCs w:val="24"/>
        </w:rPr>
        <w:t xml:space="preserve">the Choba group performed significantly better than </w:t>
      </w:r>
      <w:r>
        <w:rPr>
          <w:rFonts w:ascii="Times New Roman" w:eastAsia="Calibri" w:hAnsi="Times New Roman" w:cs="Times New Roman"/>
          <w:sz w:val="24"/>
          <w:szCs w:val="24"/>
        </w:rPr>
        <w:t xml:space="preserve">those in </w:t>
      </w:r>
      <w:r w:rsidRPr="00B41B8F">
        <w:rPr>
          <w:rFonts w:ascii="Times New Roman" w:hAnsi="Times New Roman" w:cs="Times New Roman"/>
          <w:sz w:val="24"/>
          <w:szCs w:val="24"/>
        </w:rPr>
        <w:t xml:space="preserve">the Etche group </w:t>
      </w:r>
      <w:r>
        <w:rPr>
          <w:rFonts w:ascii="Times New Roman" w:eastAsia="Calibri" w:hAnsi="Times New Roman" w:cs="Times New Roman"/>
          <w:sz w:val="24"/>
          <w:szCs w:val="24"/>
        </w:rPr>
        <w:t xml:space="preserve">did </w:t>
      </w:r>
      <w:r w:rsidRPr="00B41B8F">
        <w:rPr>
          <w:rFonts w:ascii="Times New Roman" w:hAnsi="Times New Roman" w:cs="Times New Roman"/>
          <w:sz w:val="24"/>
          <w:szCs w:val="24"/>
        </w:rPr>
        <w:t xml:space="preserve">in </w:t>
      </w:r>
      <w:r>
        <w:rPr>
          <w:rFonts w:ascii="Times New Roman" w:eastAsia="Calibri" w:hAnsi="Times New Roman" w:cs="Times New Roman"/>
          <w:sz w:val="24"/>
          <w:szCs w:val="24"/>
        </w:rPr>
        <w:t xml:space="preserve">the </w:t>
      </w:r>
      <w:r w:rsidRPr="00B41B8F">
        <w:rPr>
          <w:rFonts w:ascii="Times New Roman" w:hAnsi="Times New Roman" w:cs="Times New Roman"/>
          <w:sz w:val="24"/>
          <w:szCs w:val="24"/>
        </w:rPr>
        <w:t xml:space="preserve">stacking checkers (4.65±1.01 vs. 3.94±0.81; </w:t>
      </w:r>
      <w:r w:rsidRPr="00B41B8F">
        <w:rPr>
          <w:rFonts w:ascii="Times New Roman" w:hAnsi="Times New Roman" w:cs="Times New Roman"/>
          <w:i/>
          <w:iCs/>
          <w:sz w:val="24"/>
          <w:szCs w:val="24"/>
        </w:rPr>
        <w:t>p</w:t>
      </w:r>
      <w:r w:rsidRPr="00B41B8F">
        <w:rPr>
          <w:rFonts w:ascii="Times New Roman" w:hAnsi="Times New Roman" w:cs="Times New Roman"/>
          <w:sz w:val="24"/>
          <w:szCs w:val="24"/>
        </w:rPr>
        <w:t>=0.012), lifting large light objects (3.85±0.62 vs. 3.44±0.5</w:t>
      </w:r>
      <w:r w:rsidRPr="00B41B8F">
        <w:rPr>
          <w:rFonts w:ascii="Times New Roman" w:hAnsi="Times New Roman" w:cs="Times New Roman"/>
          <w:sz w:val="24"/>
          <w:szCs w:val="24"/>
        </w:rPr>
        <w:t xml:space="preserve">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=0.019), and lifting large heavy objects with the non-dominant hand (4.13±1.14 vs. 3.28±0.81;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=0.005). Additionally, significant differences were found in the dominant hand tasks of lifting large light objects (3.63±0.84 vs. 3.00±0.69; </w:t>
      </w:r>
      <w:r w:rsidRPr="00B41B8F">
        <w:rPr>
          <w:rFonts w:ascii="Times New Roman" w:hAnsi="Times New Roman" w:cs="Times New Roman"/>
          <w:i/>
          <w:iCs/>
          <w:sz w:val="24"/>
          <w:szCs w:val="24"/>
        </w:rPr>
        <w:t>p</w:t>
      </w:r>
      <w:r w:rsidRPr="00B41B8F">
        <w:rPr>
          <w:rFonts w:ascii="Times New Roman" w:hAnsi="Times New Roman" w:cs="Times New Roman"/>
          <w:sz w:val="24"/>
          <w:szCs w:val="24"/>
        </w:rPr>
        <w:t>=0.008) and li</w:t>
      </w:r>
      <w:r w:rsidRPr="00B41B8F">
        <w:rPr>
          <w:rFonts w:ascii="Times New Roman" w:hAnsi="Times New Roman" w:cs="Times New Roman"/>
          <w:sz w:val="24"/>
          <w:szCs w:val="24"/>
        </w:rPr>
        <w:t xml:space="preserve">fting large heavy objects (3.85±0.92 vs. 3.11±0.85;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=0.007), </w:t>
      </w:r>
      <w:proofErr w:type="spellStart"/>
      <w:r w:rsidRPr="00B41B8F">
        <w:rPr>
          <w:rFonts w:ascii="Times New Roman" w:hAnsi="Times New Roman" w:cs="Times New Roman"/>
          <w:sz w:val="24"/>
          <w:szCs w:val="24"/>
        </w:rPr>
        <w:t>favouring</w:t>
      </w:r>
      <w:proofErr w:type="spellEnd"/>
      <w:r w:rsidRPr="00B41B8F">
        <w:rPr>
          <w:rFonts w:ascii="Times New Roman" w:hAnsi="Times New Roman" w:cs="Times New Roman"/>
          <w:sz w:val="24"/>
          <w:szCs w:val="24"/>
        </w:rPr>
        <w:t xml:space="preserve"> 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group.</w:t>
      </w:r>
    </w:p>
    <w:p w14:paraId="3AA0FC8B" w14:textId="5393F580"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The aggregated group comparisons (Table 7) revealed that the Choba group outperformed the Etche group in several tasks. Significant differences were observed in page t</w:t>
      </w:r>
      <w:r w:rsidRPr="00B41B8F">
        <w:rPr>
          <w:rFonts w:ascii="Times New Roman" w:hAnsi="Times New Roman" w:cs="Times New Roman"/>
          <w:sz w:val="24"/>
          <w:szCs w:val="24"/>
        </w:rPr>
        <w:t xml:space="preserve">urning (non-dominant: 4.67±1.18 vs. 5.48±1.27;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=0.003; dominant: 3.92±1.01 vs. 4.45±1.04;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=0.016), stacking checkers with the non-dominant hand (4.50±0.97 vs. 4.06±0.79;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=0.022), and lifting large heavy objects (non-dominant: 3.92±1.00 vs. 3.32±0.68; </w:t>
      </w:r>
      <w:r w:rsidRPr="00B41B8F">
        <w:rPr>
          <w:rFonts w:ascii="Times New Roman" w:hAnsi="Times New Roman" w:cs="Times New Roman"/>
          <w:i/>
          <w:iCs/>
          <w:sz w:val="24"/>
          <w:szCs w:val="24"/>
        </w:rPr>
        <w:t>p</w:t>
      </w:r>
      <w:r w:rsidRPr="00B41B8F">
        <w:rPr>
          <w:rFonts w:ascii="Times New Roman" w:hAnsi="Times New Roman" w:cs="Times New Roman"/>
          <w:sz w:val="24"/>
          <w:szCs w:val="24"/>
        </w:rPr>
        <w:t>=</w:t>
      </w:r>
      <w:r w:rsidRPr="00B41B8F">
        <w:rPr>
          <w:rFonts w:ascii="Times New Roman" w:hAnsi="Times New Roman" w:cs="Times New Roman"/>
          <w:sz w:val="24"/>
          <w:szCs w:val="24"/>
        </w:rPr>
        <w:t xml:space="preserve">0.001; dominant: 3.69±0.82 vs. 3.05±0.71;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&lt;0.001). Additionally, lifting large light objects with the dominant hand was significantly faster in the Choba group (3.43±0.79) compared to 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group (3.05±0.61;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=0.012). </w:t>
      </w:r>
      <w:r>
        <w:rPr>
          <w:rFonts w:ascii="Times New Roman" w:eastAsia="Calibri" w:hAnsi="Times New Roman" w:cs="Times New Roman"/>
          <w:sz w:val="24"/>
          <w:szCs w:val="24"/>
        </w:rPr>
        <w:t>Marginal</w:t>
      </w:r>
      <w:r w:rsidRPr="00B41B8F">
        <w:rPr>
          <w:rFonts w:ascii="Times New Roman" w:hAnsi="Times New Roman" w:cs="Times New Roman"/>
          <w:sz w:val="24"/>
          <w:szCs w:val="24"/>
        </w:rPr>
        <w:t xml:space="preserve"> significance was observe</w:t>
      </w:r>
      <w:r w:rsidRPr="00B41B8F">
        <w:rPr>
          <w:rFonts w:ascii="Times New Roman" w:hAnsi="Times New Roman" w:cs="Times New Roman"/>
          <w:sz w:val="24"/>
          <w:szCs w:val="24"/>
        </w:rPr>
        <w:t>d in the picking common objects subtest using the non-dominant hand (</w:t>
      </w:r>
      <w:r w:rsidRPr="00B41B8F">
        <w:rPr>
          <w:rFonts w:ascii="Times New Roman" w:hAnsi="Times New Roman" w:cs="Times New Roman"/>
          <w:i/>
          <w:iCs/>
          <w:sz w:val="24"/>
          <w:szCs w:val="24"/>
        </w:rPr>
        <w:t>p</w:t>
      </w:r>
      <w:r w:rsidRPr="00B41B8F">
        <w:rPr>
          <w:rFonts w:ascii="Times New Roman" w:hAnsi="Times New Roman" w:cs="Times New Roman"/>
          <w:sz w:val="24"/>
          <w:szCs w:val="24"/>
        </w:rPr>
        <w:t>=0.052) and simulated feeding with the dominant hand (</w:t>
      </w:r>
      <w:r w:rsidRPr="00B41B8F">
        <w:rPr>
          <w:rFonts w:ascii="Times New Roman" w:hAnsi="Times New Roman" w:cs="Times New Roman"/>
          <w:i/>
          <w:iCs/>
          <w:sz w:val="24"/>
          <w:szCs w:val="24"/>
        </w:rPr>
        <w:t>p</w:t>
      </w:r>
      <w:r w:rsidRPr="00B41B8F">
        <w:rPr>
          <w:rFonts w:ascii="Times New Roman" w:hAnsi="Times New Roman" w:cs="Times New Roman"/>
          <w:sz w:val="24"/>
          <w:szCs w:val="24"/>
        </w:rPr>
        <w:t>=0.056).</w:t>
      </w:r>
    </w:p>
    <w:p w14:paraId="4D052EB9" w14:textId="77777777"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In summary, while general performance in writing tasks was comparable across groups, significant deficits were observed in</w:t>
      </w:r>
      <w:r w:rsidRPr="00B41B8F">
        <w:rPr>
          <w:rFonts w:ascii="Times New Roman" w:hAnsi="Times New Roman" w:cs="Times New Roman"/>
          <w:sz w:val="24"/>
          <w:szCs w:val="24"/>
        </w:rPr>
        <w:t xml:space="preserve"> the Etche (at-risk) group, particularly in tasks involving </w:t>
      </w:r>
      <w:r w:rsidRPr="00B41B8F">
        <w:rPr>
          <w:rFonts w:ascii="Times New Roman" w:hAnsi="Times New Roman" w:cs="Times New Roman"/>
          <w:sz w:val="24"/>
          <w:szCs w:val="24"/>
        </w:rPr>
        <w:lastRenderedPageBreak/>
        <w:t>fine motor manipulation and object lifting. These results underscore the potential impact of environmental or contextual risk factors on hand function performance in school-aged children.</w:t>
      </w:r>
    </w:p>
    <w:p w14:paraId="299492B9" w14:textId="6E3E1A1F"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Table 1.</w:t>
      </w:r>
      <w:r w:rsidRPr="00BA723D">
        <w:rPr>
          <w:rFonts w:ascii="Times New Roman" w:hAnsi="Times New Roman" w:cs="Times New Roman"/>
          <w:b/>
          <w:bCs/>
          <w:sz w:val="24"/>
          <w:szCs w:val="24"/>
        </w:rPr>
        <w:t xml:space="preserve"> Descriptive data for the </w:t>
      </w:r>
      <w:r>
        <w:rPr>
          <w:rFonts w:ascii="Times New Roman" w:eastAsia="Calibri" w:hAnsi="Times New Roman" w:cs="Times New Roman"/>
          <w:b/>
          <w:bCs/>
          <w:sz w:val="24"/>
          <w:szCs w:val="24"/>
        </w:rPr>
        <w:t>control</w:t>
      </w:r>
      <w:r w:rsidRPr="00BA723D">
        <w:rPr>
          <w:rFonts w:ascii="Times New Roman" w:hAnsi="Times New Roman" w:cs="Times New Roman"/>
          <w:b/>
          <w:bCs/>
          <w:sz w:val="24"/>
          <w:szCs w:val="24"/>
        </w:rPr>
        <w:t xml:space="preserve"> (</w:t>
      </w:r>
      <w:proofErr w:type="spellStart"/>
      <w:r w:rsidRPr="00BA723D">
        <w:rPr>
          <w:rFonts w:ascii="Times New Roman" w:hAnsi="Times New Roman" w:cs="Times New Roman"/>
          <w:b/>
          <w:bCs/>
          <w:sz w:val="24"/>
          <w:szCs w:val="24"/>
        </w:rPr>
        <w:t>Choba</w:t>
      </w:r>
      <w:proofErr w:type="spellEnd"/>
      <w:r w:rsidRPr="00BA723D">
        <w:rPr>
          <w:rFonts w:ascii="Times New Roman" w:hAnsi="Times New Roman" w:cs="Times New Roman"/>
          <w:b/>
          <w:bCs/>
          <w:sz w:val="24"/>
          <w:szCs w:val="24"/>
        </w:rPr>
        <w:t>) group</w:t>
      </w:r>
    </w:p>
    <w:tbl>
      <w:tblPr>
        <w:tblW w:w="10632" w:type="dxa"/>
        <w:tblInd w:w="-567" w:type="dxa"/>
        <w:tblLayout w:type="fixed"/>
        <w:tblLook w:val="0000" w:firstRow="0" w:lastRow="0" w:firstColumn="0" w:lastColumn="0" w:noHBand="0" w:noVBand="0"/>
      </w:tblPr>
      <w:tblGrid>
        <w:gridCol w:w="1751"/>
        <w:gridCol w:w="2218"/>
        <w:gridCol w:w="709"/>
        <w:gridCol w:w="1276"/>
        <w:gridCol w:w="1417"/>
        <w:gridCol w:w="851"/>
        <w:gridCol w:w="992"/>
        <w:gridCol w:w="1418"/>
      </w:tblGrid>
      <w:tr w:rsidR="009A41C2" w14:paraId="5ABB15E1" w14:textId="77777777" w:rsidTr="00E955D6">
        <w:trPr>
          <w:trHeight w:val="500"/>
        </w:trPr>
        <w:tc>
          <w:tcPr>
            <w:tcW w:w="1751" w:type="dxa"/>
            <w:tcBorders>
              <w:top w:val="single" w:sz="4" w:space="0" w:color="auto"/>
              <w:bottom w:val="single" w:sz="4" w:space="0" w:color="auto"/>
            </w:tcBorders>
          </w:tcPr>
          <w:p w14:paraId="7FD11E6D" w14:textId="77777777" w:rsidR="00270811" w:rsidRPr="00C77E45" w:rsidRDefault="00270811" w:rsidP="00270811">
            <w:pPr>
              <w:spacing w:after="0"/>
              <w:rPr>
                <w:rFonts w:ascii="Times New Roman" w:hAnsi="Times New Roman" w:cs="Times New Roman"/>
                <w:b/>
                <w:bCs/>
                <w:sz w:val="24"/>
                <w:szCs w:val="24"/>
              </w:rPr>
            </w:pPr>
          </w:p>
        </w:tc>
        <w:tc>
          <w:tcPr>
            <w:tcW w:w="2218" w:type="dxa"/>
            <w:tcBorders>
              <w:top w:val="single" w:sz="4" w:space="0" w:color="auto"/>
              <w:bottom w:val="single" w:sz="4" w:space="0" w:color="auto"/>
            </w:tcBorders>
          </w:tcPr>
          <w:p w14:paraId="14892D6B"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Subtests</w:t>
            </w:r>
          </w:p>
        </w:tc>
        <w:tc>
          <w:tcPr>
            <w:tcW w:w="709" w:type="dxa"/>
            <w:tcBorders>
              <w:top w:val="single" w:sz="4" w:space="0" w:color="auto"/>
              <w:bottom w:val="single" w:sz="4" w:space="0" w:color="auto"/>
            </w:tcBorders>
          </w:tcPr>
          <w:p w14:paraId="6DA0120C"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N</w:t>
            </w:r>
          </w:p>
        </w:tc>
        <w:tc>
          <w:tcPr>
            <w:tcW w:w="1276" w:type="dxa"/>
            <w:tcBorders>
              <w:top w:val="single" w:sz="4" w:space="0" w:color="auto"/>
              <w:bottom w:val="single" w:sz="4" w:space="0" w:color="auto"/>
            </w:tcBorders>
          </w:tcPr>
          <w:p w14:paraId="30E14EB2"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Minimum</w:t>
            </w:r>
          </w:p>
        </w:tc>
        <w:tc>
          <w:tcPr>
            <w:tcW w:w="1417" w:type="dxa"/>
            <w:tcBorders>
              <w:top w:val="single" w:sz="4" w:space="0" w:color="auto"/>
              <w:bottom w:val="single" w:sz="4" w:space="0" w:color="auto"/>
            </w:tcBorders>
          </w:tcPr>
          <w:p w14:paraId="4E94D1B6"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Maximum</w:t>
            </w:r>
          </w:p>
        </w:tc>
        <w:tc>
          <w:tcPr>
            <w:tcW w:w="851" w:type="dxa"/>
            <w:tcBorders>
              <w:top w:val="single" w:sz="4" w:space="0" w:color="auto"/>
              <w:bottom w:val="single" w:sz="4" w:space="0" w:color="auto"/>
            </w:tcBorders>
          </w:tcPr>
          <w:p w14:paraId="3E3E2529"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Mean</w:t>
            </w:r>
          </w:p>
        </w:tc>
        <w:tc>
          <w:tcPr>
            <w:tcW w:w="992" w:type="dxa"/>
            <w:tcBorders>
              <w:top w:val="single" w:sz="4" w:space="0" w:color="auto"/>
              <w:bottom w:val="single" w:sz="4" w:space="0" w:color="auto"/>
            </w:tcBorders>
          </w:tcPr>
          <w:p w14:paraId="71245AE7" w14:textId="571E0D48" w:rsidR="00270811" w:rsidRPr="00C77E45" w:rsidRDefault="00E955D6" w:rsidP="00270811">
            <w:pPr>
              <w:spacing w:after="0"/>
              <w:rPr>
                <w:rFonts w:ascii="Times New Roman" w:hAnsi="Times New Roman" w:cs="Times New Roman"/>
                <w:b/>
                <w:bCs/>
                <w:sz w:val="24"/>
                <w:szCs w:val="24"/>
              </w:rPr>
            </w:pPr>
            <w:r>
              <w:rPr>
                <w:rFonts w:ascii="Times New Roman" w:hAnsi="Times New Roman" w:cs="Times New Roman"/>
                <w:b/>
                <w:bCs/>
                <w:sz w:val="24"/>
                <w:szCs w:val="24"/>
              </w:rPr>
              <w:t>Std. error</w:t>
            </w:r>
          </w:p>
        </w:tc>
        <w:tc>
          <w:tcPr>
            <w:tcW w:w="1418" w:type="dxa"/>
            <w:tcBorders>
              <w:top w:val="single" w:sz="4" w:space="0" w:color="auto"/>
              <w:bottom w:val="single" w:sz="4" w:space="0" w:color="auto"/>
            </w:tcBorders>
          </w:tcPr>
          <w:p w14:paraId="1AC034ED"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Std. deviation</w:t>
            </w:r>
          </w:p>
        </w:tc>
      </w:tr>
      <w:tr w:rsidR="009A41C2" w14:paraId="0DCE1691" w14:textId="77777777" w:rsidTr="00E955D6">
        <w:trPr>
          <w:trHeight w:val="340"/>
        </w:trPr>
        <w:tc>
          <w:tcPr>
            <w:tcW w:w="1751" w:type="dxa"/>
            <w:vMerge w:val="restart"/>
            <w:tcBorders>
              <w:bottom w:val="single" w:sz="4" w:space="0" w:color="auto"/>
            </w:tcBorders>
            <w:vAlign w:val="center"/>
          </w:tcPr>
          <w:p w14:paraId="564331E7" w14:textId="5F7D034F"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Non-dominant hand</w:t>
            </w:r>
          </w:p>
        </w:tc>
        <w:tc>
          <w:tcPr>
            <w:tcW w:w="2218" w:type="dxa"/>
          </w:tcPr>
          <w:p w14:paraId="6ADE4A9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Writing</w:t>
            </w:r>
          </w:p>
        </w:tc>
        <w:tc>
          <w:tcPr>
            <w:tcW w:w="709" w:type="dxa"/>
          </w:tcPr>
          <w:p w14:paraId="6CE0CE0F"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074E06A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41.46</w:t>
            </w:r>
          </w:p>
        </w:tc>
        <w:tc>
          <w:tcPr>
            <w:tcW w:w="1417" w:type="dxa"/>
          </w:tcPr>
          <w:p w14:paraId="5762934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125.66</w:t>
            </w:r>
          </w:p>
        </w:tc>
        <w:tc>
          <w:tcPr>
            <w:tcW w:w="851" w:type="dxa"/>
          </w:tcPr>
          <w:p w14:paraId="7BB8FDBB" w14:textId="3215D3C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68.99</w:t>
            </w:r>
          </w:p>
        </w:tc>
        <w:tc>
          <w:tcPr>
            <w:tcW w:w="992" w:type="dxa"/>
          </w:tcPr>
          <w:p w14:paraId="02EAE134" w14:textId="47CE2846"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2.74</w:t>
            </w:r>
          </w:p>
        </w:tc>
        <w:tc>
          <w:tcPr>
            <w:tcW w:w="1418" w:type="dxa"/>
          </w:tcPr>
          <w:p w14:paraId="07CE3B85" w14:textId="2714BE6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18.38</w:t>
            </w:r>
          </w:p>
        </w:tc>
      </w:tr>
      <w:tr w:rsidR="009A41C2" w14:paraId="73CAA2F6" w14:textId="77777777" w:rsidTr="00E955D6">
        <w:trPr>
          <w:trHeight w:val="340"/>
        </w:trPr>
        <w:tc>
          <w:tcPr>
            <w:tcW w:w="1751" w:type="dxa"/>
            <w:vMerge/>
            <w:tcBorders>
              <w:bottom w:val="single" w:sz="4" w:space="0" w:color="auto"/>
            </w:tcBorders>
            <w:vAlign w:val="center"/>
          </w:tcPr>
          <w:p w14:paraId="36447A74" w14:textId="77777777" w:rsidR="00270811" w:rsidRPr="00270811" w:rsidRDefault="00270811" w:rsidP="00270811">
            <w:pPr>
              <w:spacing w:after="0"/>
              <w:rPr>
                <w:rFonts w:ascii="Times New Roman" w:hAnsi="Times New Roman" w:cs="Times New Roman"/>
                <w:sz w:val="24"/>
                <w:szCs w:val="24"/>
              </w:rPr>
            </w:pPr>
          </w:p>
        </w:tc>
        <w:tc>
          <w:tcPr>
            <w:tcW w:w="2218" w:type="dxa"/>
          </w:tcPr>
          <w:p w14:paraId="7C1A912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Page turning</w:t>
            </w:r>
          </w:p>
        </w:tc>
        <w:tc>
          <w:tcPr>
            <w:tcW w:w="709" w:type="dxa"/>
          </w:tcPr>
          <w:p w14:paraId="223FD253"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05747A85"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2.98</w:t>
            </w:r>
          </w:p>
        </w:tc>
        <w:tc>
          <w:tcPr>
            <w:tcW w:w="1417" w:type="dxa"/>
          </w:tcPr>
          <w:p w14:paraId="608CF4E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8.01</w:t>
            </w:r>
          </w:p>
        </w:tc>
        <w:tc>
          <w:tcPr>
            <w:tcW w:w="851" w:type="dxa"/>
          </w:tcPr>
          <w:p w14:paraId="1A9CA27B" w14:textId="10C96F2E"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4.68</w:t>
            </w:r>
          </w:p>
        </w:tc>
        <w:tc>
          <w:tcPr>
            <w:tcW w:w="992" w:type="dxa"/>
          </w:tcPr>
          <w:p w14:paraId="06120AA0" w14:textId="12F88267"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0.18</w:t>
            </w:r>
          </w:p>
        </w:tc>
        <w:tc>
          <w:tcPr>
            <w:tcW w:w="1418" w:type="dxa"/>
          </w:tcPr>
          <w:p w14:paraId="7D2E499A" w14:textId="41C5AF92"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1.18</w:t>
            </w:r>
          </w:p>
        </w:tc>
      </w:tr>
      <w:tr w:rsidR="009A41C2" w14:paraId="45FFB566" w14:textId="77777777" w:rsidTr="00E955D6">
        <w:trPr>
          <w:trHeight w:val="540"/>
        </w:trPr>
        <w:tc>
          <w:tcPr>
            <w:tcW w:w="1751" w:type="dxa"/>
            <w:vMerge/>
            <w:tcBorders>
              <w:bottom w:val="single" w:sz="4" w:space="0" w:color="auto"/>
            </w:tcBorders>
            <w:vAlign w:val="center"/>
          </w:tcPr>
          <w:p w14:paraId="3FDAA7AF" w14:textId="77777777" w:rsidR="00270811" w:rsidRPr="00270811" w:rsidRDefault="00270811" w:rsidP="00270811">
            <w:pPr>
              <w:spacing w:after="0"/>
              <w:rPr>
                <w:rFonts w:ascii="Times New Roman" w:hAnsi="Times New Roman" w:cs="Times New Roman"/>
                <w:sz w:val="24"/>
                <w:szCs w:val="24"/>
              </w:rPr>
            </w:pPr>
          </w:p>
        </w:tc>
        <w:tc>
          <w:tcPr>
            <w:tcW w:w="2218" w:type="dxa"/>
          </w:tcPr>
          <w:p w14:paraId="425FC93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Picking common objects</w:t>
            </w:r>
          </w:p>
        </w:tc>
        <w:tc>
          <w:tcPr>
            <w:tcW w:w="709" w:type="dxa"/>
          </w:tcPr>
          <w:p w14:paraId="6FB6A78E"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4D46E05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4.96</w:t>
            </w:r>
          </w:p>
        </w:tc>
        <w:tc>
          <w:tcPr>
            <w:tcW w:w="1417" w:type="dxa"/>
          </w:tcPr>
          <w:p w14:paraId="3319E0F2"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9.86</w:t>
            </w:r>
          </w:p>
        </w:tc>
        <w:tc>
          <w:tcPr>
            <w:tcW w:w="851" w:type="dxa"/>
          </w:tcPr>
          <w:p w14:paraId="02D76E3F" w14:textId="10675BE8"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6.77</w:t>
            </w:r>
          </w:p>
        </w:tc>
        <w:tc>
          <w:tcPr>
            <w:tcW w:w="992" w:type="dxa"/>
          </w:tcPr>
          <w:p w14:paraId="1DAD218F" w14:textId="0DFC891E"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0.17</w:t>
            </w:r>
          </w:p>
        </w:tc>
        <w:tc>
          <w:tcPr>
            <w:tcW w:w="1418" w:type="dxa"/>
          </w:tcPr>
          <w:p w14:paraId="15ED270C" w14:textId="20D2DAFC"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1.14</w:t>
            </w:r>
          </w:p>
        </w:tc>
      </w:tr>
      <w:tr w:rsidR="009A41C2" w14:paraId="45B5316B" w14:textId="77777777" w:rsidTr="00E955D6">
        <w:trPr>
          <w:trHeight w:val="340"/>
        </w:trPr>
        <w:tc>
          <w:tcPr>
            <w:tcW w:w="1751" w:type="dxa"/>
            <w:vMerge/>
            <w:tcBorders>
              <w:bottom w:val="single" w:sz="4" w:space="0" w:color="auto"/>
            </w:tcBorders>
            <w:vAlign w:val="center"/>
          </w:tcPr>
          <w:p w14:paraId="7DDEF32D" w14:textId="77777777" w:rsidR="00270811" w:rsidRPr="00270811" w:rsidRDefault="00270811" w:rsidP="00270811">
            <w:pPr>
              <w:spacing w:after="0"/>
              <w:rPr>
                <w:rFonts w:ascii="Times New Roman" w:hAnsi="Times New Roman" w:cs="Times New Roman"/>
                <w:sz w:val="24"/>
                <w:szCs w:val="24"/>
              </w:rPr>
            </w:pPr>
          </w:p>
        </w:tc>
        <w:tc>
          <w:tcPr>
            <w:tcW w:w="2218" w:type="dxa"/>
          </w:tcPr>
          <w:p w14:paraId="6D23FF7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Simulated feeding</w:t>
            </w:r>
          </w:p>
        </w:tc>
        <w:tc>
          <w:tcPr>
            <w:tcW w:w="709" w:type="dxa"/>
          </w:tcPr>
          <w:p w14:paraId="190CEE8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20274041"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7.16</w:t>
            </w:r>
          </w:p>
        </w:tc>
        <w:tc>
          <w:tcPr>
            <w:tcW w:w="1417" w:type="dxa"/>
          </w:tcPr>
          <w:p w14:paraId="1CD8D29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42.86</w:t>
            </w:r>
          </w:p>
        </w:tc>
        <w:tc>
          <w:tcPr>
            <w:tcW w:w="851" w:type="dxa"/>
          </w:tcPr>
          <w:p w14:paraId="45137738" w14:textId="1A705D46"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13.80</w:t>
            </w:r>
          </w:p>
        </w:tc>
        <w:tc>
          <w:tcPr>
            <w:tcW w:w="992" w:type="dxa"/>
          </w:tcPr>
          <w:p w14:paraId="16D17810" w14:textId="77808B5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0.81</w:t>
            </w:r>
          </w:p>
        </w:tc>
        <w:tc>
          <w:tcPr>
            <w:tcW w:w="1418" w:type="dxa"/>
          </w:tcPr>
          <w:p w14:paraId="7CF7B3AF" w14:textId="6E8D87BF"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5.46</w:t>
            </w:r>
          </w:p>
        </w:tc>
      </w:tr>
      <w:tr w:rsidR="009A41C2" w14:paraId="7C9C0BD9" w14:textId="77777777" w:rsidTr="00E955D6">
        <w:trPr>
          <w:trHeight w:val="340"/>
        </w:trPr>
        <w:tc>
          <w:tcPr>
            <w:tcW w:w="1751" w:type="dxa"/>
            <w:vMerge/>
            <w:tcBorders>
              <w:bottom w:val="single" w:sz="4" w:space="0" w:color="auto"/>
            </w:tcBorders>
            <w:vAlign w:val="center"/>
          </w:tcPr>
          <w:p w14:paraId="53359EA0" w14:textId="77777777" w:rsidR="00270811" w:rsidRPr="00270811" w:rsidRDefault="00270811" w:rsidP="00270811">
            <w:pPr>
              <w:spacing w:after="0"/>
              <w:rPr>
                <w:rFonts w:ascii="Times New Roman" w:hAnsi="Times New Roman" w:cs="Times New Roman"/>
                <w:sz w:val="24"/>
                <w:szCs w:val="24"/>
              </w:rPr>
            </w:pPr>
          </w:p>
        </w:tc>
        <w:tc>
          <w:tcPr>
            <w:tcW w:w="2218" w:type="dxa"/>
          </w:tcPr>
          <w:p w14:paraId="4B13484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Stacking Checkers</w:t>
            </w:r>
          </w:p>
        </w:tc>
        <w:tc>
          <w:tcPr>
            <w:tcW w:w="709" w:type="dxa"/>
          </w:tcPr>
          <w:p w14:paraId="3DC891B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528A6BE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2.54</w:t>
            </w:r>
          </w:p>
        </w:tc>
        <w:tc>
          <w:tcPr>
            <w:tcW w:w="1417" w:type="dxa"/>
          </w:tcPr>
          <w:p w14:paraId="235B2C2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6.84</w:t>
            </w:r>
          </w:p>
        </w:tc>
        <w:tc>
          <w:tcPr>
            <w:tcW w:w="851" w:type="dxa"/>
          </w:tcPr>
          <w:p w14:paraId="7BB9B1D3" w14:textId="7EEB7BF3"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4.50</w:t>
            </w:r>
          </w:p>
        </w:tc>
        <w:tc>
          <w:tcPr>
            <w:tcW w:w="992" w:type="dxa"/>
          </w:tcPr>
          <w:p w14:paraId="1DE7EDCE" w14:textId="7E0ACE6D"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0.15</w:t>
            </w:r>
          </w:p>
        </w:tc>
        <w:tc>
          <w:tcPr>
            <w:tcW w:w="1418" w:type="dxa"/>
          </w:tcPr>
          <w:p w14:paraId="659ABEF1" w14:textId="3E8406E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0.98</w:t>
            </w:r>
          </w:p>
        </w:tc>
      </w:tr>
      <w:tr w:rsidR="009A41C2" w14:paraId="29E032E3" w14:textId="77777777" w:rsidTr="00E955D6">
        <w:trPr>
          <w:trHeight w:val="540"/>
        </w:trPr>
        <w:tc>
          <w:tcPr>
            <w:tcW w:w="1751" w:type="dxa"/>
            <w:vMerge/>
            <w:tcBorders>
              <w:bottom w:val="single" w:sz="4" w:space="0" w:color="auto"/>
            </w:tcBorders>
            <w:vAlign w:val="center"/>
          </w:tcPr>
          <w:p w14:paraId="097F7E0B" w14:textId="77777777" w:rsidR="00270811" w:rsidRPr="00270811" w:rsidRDefault="00270811" w:rsidP="00270811">
            <w:pPr>
              <w:spacing w:after="0"/>
              <w:rPr>
                <w:rFonts w:ascii="Times New Roman" w:hAnsi="Times New Roman" w:cs="Times New Roman"/>
                <w:sz w:val="24"/>
                <w:szCs w:val="24"/>
              </w:rPr>
            </w:pPr>
          </w:p>
        </w:tc>
        <w:tc>
          <w:tcPr>
            <w:tcW w:w="2218" w:type="dxa"/>
          </w:tcPr>
          <w:p w14:paraId="7B13295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light objects</w:t>
            </w:r>
          </w:p>
        </w:tc>
        <w:tc>
          <w:tcPr>
            <w:tcW w:w="709" w:type="dxa"/>
          </w:tcPr>
          <w:p w14:paraId="2926A58F"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4AAA319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2.48</w:t>
            </w:r>
          </w:p>
        </w:tc>
        <w:tc>
          <w:tcPr>
            <w:tcW w:w="1417" w:type="dxa"/>
          </w:tcPr>
          <w:p w14:paraId="7E3D7B7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5.43</w:t>
            </w:r>
          </w:p>
        </w:tc>
        <w:tc>
          <w:tcPr>
            <w:tcW w:w="851" w:type="dxa"/>
          </w:tcPr>
          <w:p w14:paraId="17B68FF9" w14:textId="0D946BD4"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3.69</w:t>
            </w:r>
          </w:p>
        </w:tc>
        <w:tc>
          <w:tcPr>
            <w:tcW w:w="992" w:type="dxa"/>
          </w:tcPr>
          <w:p w14:paraId="51BE1427" w14:textId="67D89BED"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0.12</w:t>
            </w:r>
          </w:p>
        </w:tc>
        <w:tc>
          <w:tcPr>
            <w:tcW w:w="1418" w:type="dxa"/>
          </w:tcPr>
          <w:p w14:paraId="04180E10" w14:textId="7CB764E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0.79</w:t>
            </w:r>
          </w:p>
        </w:tc>
      </w:tr>
      <w:tr w:rsidR="009A41C2" w14:paraId="6F8DB2A0" w14:textId="77777777" w:rsidTr="00E955D6">
        <w:trPr>
          <w:trHeight w:val="540"/>
        </w:trPr>
        <w:tc>
          <w:tcPr>
            <w:tcW w:w="1751" w:type="dxa"/>
            <w:vMerge/>
            <w:tcBorders>
              <w:bottom w:val="single" w:sz="4" w:space="0" w:color="auto"/>
            </w:tcBorders>
            <w:vAlign w:val="center"/>
          </w:tcPr>
          <w:p w14:paraId="190CF55A" w14:textId="77777777" w:rsidR="00270811" w:rsidRPr="00270811" w:rsidRDefault="00270811" w:rsidP="00270811">
            <w:pPr>
              <w:spacing w:after="0"/>
              <w:rPr>
                <w:rFonts w:ascii="Times New Roman" w:hAnsi="Times New Roman" w:cs="Times New Roman"/>
                <w:sz w:val="24"/>
                <w:szCs w:val="24"/>
              </w:rPr>
            </w:pPr>
          </w:p>
        </w:tc>
        <w:tc>
          <w:tcPr>
            <w:tcW w:w="2218" w:type="dxa"/>
          </w:tcPr>
          <w:p w14:paraId="212D2AB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heavy objects</w:t>
            </w:r>
          </w:p>
        </w:tc>
        <w:tc>
          <w:tcPr>
            <w:tcW w:w="709" w:type="dxa"/>
          </w:tcPr>
          <w:p w14:paraId="5CCD01C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3FCA11D3"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2.11</w:t>
            </w:r>
          </w:p>
        </w:tc>
        <w:tc>
          <w:tcPr>
            <w:tcW w:w="1417" w:type="dxa"/>
          </w:tcPr>
          <w:p w14:paraId="461AA00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5.96</w:t>
            </w:r>
          </w:p>
        </w:tc>
        <w:tc>
          <w:tcPr>
            <w:tcW w:w="851" w:type="dxa"/>
          </w:tcPr>
          <w:p w14:paraId="0679CDE4" w14:textId="107D8243"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3.93</w:t>
            </w:r>
          </w:p>
        </w:tc>
        <w:tc>
          <w:tcPr>
            <w:tcW w:w="992" w:type="dxa"/>
          </w:tcPr>
          <w:p w14:paraId="09DC50CA" w14:textId="5804B16C"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0.15</w:t>
            </w:r>
          </w:p>
        </w:tc>
        <w:tc>
          <w:tcPr>
            <w:tcW w:w="1418" w:type="dxa"/>
          </w:tcPr>
          <w:p w14:paraId="64140842" w14:textId="5AA3D18E"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1.01</w:t>
            </w:r>
          </w:p>
        </w:tc>
      </w:tr>
      <w:tr w:rsidR="009A41C2" w14:paraId="0558A5F3" w14:textId="77777777" w:rsidTr="00E955D6">
        <w:trPr>
          <w:trHeight w:val="340"/>
        </w:trPr>
        <w:tc>
          <w:tcPr>
            <w:tcW w:w="1751" w:type="dxa"/>
            <w:vMerge w:val="restart"/>
            <w:tcBorders>
              <w:top w:val="single" w:sz="4" w:space="0" w:color="auto"/>
              <w:bottom w:val="single" w:sz="4" w:space="0" w:color="auto"/>
            </w:tcBorders>
            <w:vAlign w:val="center"/>
          </w:tcPr>
          <w:p w14:paraId="2A0A9E7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Dominant hand</w:t>
            </w:r>
          </w:p>
        </w:tc>
        <w:tc>
          <w:tcPr>
            <w:tcW w:w="2218" w:type="dxa"/>
            <w:tcBorders>
              <w:top w:val="single" w:sz="4" w:space="0" w:color="auto"/>
            </w:tcBorders>
          </w:tcPr>
          <w:p w14:paraId="746EC65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Writing</w:t>
            </w:r>
          </w:p>
        </w:tc>
        <w:tc>
          <w:tcPr>
            <w:tcW w:w="709" w:type="dxa"/>
            <w:tcBorders>
              <w:top w:val="single" w:sz="4" w:space="0" w:color="auto"/>
            </w:tcBorders>
          </w:tcPr>
          <w:p w14:paraId="58BC333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Borders>
              <w:top w:val="single" w:sz="4" w:space="0" w:color="auto"/>
            </w:tcBorders>
          </w:tcPr>
          <w:p w14:paraId="47060B51"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14.86</w:t>
            </w:r>
          </w:p>
        </w:tc>
        <w:tc>
          <w:tcPr>
            <w:tcW w:w="1417" w:type="dxa"/>
            <w:tcBorders>
              <w:top w:val="single" w:sz="4" w:space="0" w:color="auto"/>
            </w:tcBorders>
          </w:tcPr>
          <w:p w14:paraId="4DECF4B2"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63.82</w:t>
            </w:r>
          </w:p>
        </w:tc>
        <w:tc>
          <w:tcPr>
            <w:tcW w:w="851" w:type="dxa"/>
            <w:tcBorders>
              <w:top w:val="single" w:sz="4" w:space="0" w:color="auto"/>
            </w:tcBorders>
          </w:tcPr>
          <w:p w14:paraId="16743B71" w14:textId="178D6965"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33.35</w:t>
            </w:r>
          </w:p>
        </w:tc>
        <w:tc>
          <w:tcPr>
            <w:tcW w:w="992" w:type="dxa"/>
            <w:tcBorders>
              <w:top w:val="single" w:sz="4" w:space="0" w:color="auto"/>
            </w:tcBorders>
          </w:tcPr>
          <w:p w14:paraId="04190B50" w14:textId="5F4CC836"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2.00</w:t>
            </w:r>
          </w:p>
        </w:tc>
        <w:tc>
          <w:tcPr>
            <w:tcW w:w="1418" w:type="dxa"/>
            <w:tcBorders>
              <w:top w:val="single" w:sz="4" w:space="0" w:color="auto"/>
            </w:tcBorders>
          </w:tcPr>
          <w:p w14:paraId="4FD3A473" w14:textId="72F623EC"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13.44</w:t>
            </w:r>
          </w:p>
        </w:tc>
      </w:tr>
      <w:tr w:rsidR="009A41C2" w14:paraId="4056D388" w14:textId="77777777" w:rsidTr="00E955D6">
        <w:trPr>
          <w:trHeight w:val="340"/>
        </w:trPr>
        <w:tc>
          <w:tcPr>
            <w:tcW w:w="1751" w:type="dxa"/>
            <w:vMerge/>
            <w:tcBorders>
              <w:top w:val="single" w:sz="4" w:space="0" w:color="auto"/>
              <w:bottom w:val="single" w:sz="4" w:space="0" w:color="auto"/>
            </w:tcBorders>
            <w:vAlign w:val="center"/>
          </w:tcPr>
          <w:p w14:paraId="34E30A69" w14:textId="77777777" w:rsidR="00270811" w:rsidRPr="00270811" w:rsidRDefault="00270811" w:rsidP="00270811">
            <w:pPr>
              <w:spacing w:after="0"/>
              <w:rPr>
                <w:rFonts w:ascii="Times New Roman" w:hAnsi="Times New Roman" w:cs="Times New Roman"/>
                <w:sz w:val="24"/>
                <w:szCs w:val="24"/>
              </w:rPr>
            </w:pPr>
          </w:p>
        </w:tc>
        <w:tc>
          <w:tcPr>
            <w:tcW w:w="2218" w:type="dxa"/>
          </w:tcPr>
          <w:p w14:paraId="05131B4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Page turning</w:t>
            </w:r>
          </w:p>
        </w:tc>
        <w:tc>
          <w:tcPr>
            <w:tcW w:w="709" w:type="dxa"/>
          </w:tcPr>
          <w:p w14:paraId="490AA1C0"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37EC219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2.38</w:t>
            </w:r>
          </w:p>
        </w:tc>
        <w:tc>
          <w:tcPr>
            <w:tcW w:w="1417" w:type="dxa"/>
          </w:tcPr>
          <w:p w14:paraId="78D235D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6.32</w:t>
            </w:r>
          </w:p>
        </w:tc>
        <w:tc>
          <w:tcPr>
            <w:tcW w:w="851" w:type="dxa"/>
          </w:tcPr>
          <w:p w14:paraId="3369311C" w14:textId="50893D6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3.92</w:t>
            </w:r>
          </w:p>
        </w:tc>
        <w:tc>
          <w:tcPr>
            <w:tcW w:w="992" w:type="dxa"/>
          </w:tcPr>
          <w:p w14:paraId="658DC022" w14:textId="4BB8496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0.15</w:t>
            </w:r>
          </w:p>
        </w:tc>
        <w:tc>
          <w:tcPr>
            <w:tcW w:w="1418" w:type="dxa"/>
          </w:tcPr>
          <w:p w14:paraId="0A10C4B4" w14:textId="143EA17B" w:rsidR="00270811" w:rsidRPr="00270811" w:rsidRDefault="00C77E45" w:rsidP="00270811">
            <w:pPr>
              <w:spacing w:after="0"/>
              <w:rPr>
                <w:rFonts w:ascii="Times New Roman" w:hAnsi="Times New Roman" w:cs="Times New Roman"/>
                <w:sz w:val="24"/>
                <w:szCs w:val="24"/>
              </w:rPr>
            </w:pPr>
            <w:r>
              <w:rPr>
                <w:rFonts w:ascii="Times New Roman" w:hAnsi="Times New Roman" w:cs="Times New Roman"/>
                <w:sz w:val="24"/>
                <w:szCs w:val="24"/>
              </w:rPr>
              <w:t>1.02</w:t>
            </w:r>
          </w:p>
        </w:tc>
      </w:tr>
      <w:tr w:rsidR="009A41C2" w14:paraId="14B121A3" w14:textId="77777777" w:rsidTr="00E955D6">
        <w:trPr>
          <w:trHeight w:val="540"/>
        </w:trPr>
        <w:tc>
          <w:tcPr>
            <w:tcW w:w="1751" w:type="dxa"/>
            <w:vMerge/>
            <w:tcBorders>
              <w:top w:val="single" w:sz="4" w:space="0" w:color="auto"/>
              <w:bottom w:val="single" w:sz="4" w:space="0" w:color="auto"/>
            </w:tcBorders>
            <w:vAlign w:val="center"/>
          </w:tcPr>
          <w:p w14:paraId="5DFDCD57" w14:textId="77777777" w:rsidR="00270811" w:rsidRPr="00270811" w:rsidRDefault="00270811" w:rsidP="00270811">
            <w:pPr>
              <w:spacing w:after="0"/>
              <w:rPr>
                <w:rFonts w:ascii="Times New Roman" w:hAnsi="Times New Roman" w:cs="Times New Roman"/>
                <w:sz w:val="24"/>
                <w:szCs w:val="24"/>
              </w:rPr>
            </w:pPr>
          </w:p>
        </w:tc>
        <w:tc>
          <w:tcPr>
            <w:tcW w:w="2218" w:type="dxa"/>
          </w:tcPr>
          <w:p w14:paraId="6CBB60A3"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Picking common objects</w:t>
            </w:r>
          </w:p>
        </w:tc>
        <w:tc>
          <w:tcPr>
            <w:tcW w:w="709" w:type="dxa"/>
          </w:tcPr>
          <w:p w14:paraId="6B774BD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5AA5766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4.03</w:t>
            </w:r>
          </w:p>
        </w:tc>
        <w:tc>
          <w:tcPr>
            <w:tcW w:w="1417" w:type="dxa"/>
          </w:tcPr>
          <w:p w14:paraId="18BC6500"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9.42</w:t>
            </w:r>
          </w:p>
        </w:tc>
        <w:tc>
          <w:tcPr>
            <w:tcW w:w="851" w:type="dxa"/>
          </w:tcPr>
          <w:p w14:paraId="0E7B7616" w14:textId="506795DC"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6.16</w:t>
            </w:r>
          </w:p>
        </w:tc>
        <w:tc>
          <w:tcPr>
            <w:tcW w:w="992" w:type="dxa"/>
          </w:tcPr>
          <w:p w14:paraId="316DEF9A" w14:textId="271E51F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0.20</w:t>
            </w:r>
          </w:p>
        </w:tc>
        <w:tc>
          <w:tcPr>
            <w:tcW w:w="1418" w:type="dxa"/>
          </w:tcPr>
          <w:p w14:paraId="618DB6F8" w14:textId="1D0753C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1.37</w:t>
            </w:r>
          </w:p>
        </w:tc>
      </w:tr>
      <w:tr w:rsidR="009A41C2" w14:paraId="04D79C7A" w14:textId="77777777" w:rsidTr="00E955D6">
        <w:trPr>
          <w:trHeight w:val="340"/>
        </w:trPr>
        <w:tc>
          <w:tcPr>
            <w:tcW w:w="1751" w:type="dxa"/>
            <w:vMerge/>
            <w:tcBorders>
              <w:top w:val="single" w:sz="4" w:space="0" w:color="auto"/>
              <w:bottom w:val="single" w:sz="4" w:space="0" w:color="auto"/>
            </w:tcBorders>
            <w:vAlign w:val="center"/>
          </w:tcPr>
          <w:p w14:paraId="6A642003" w14:textId="77777777" w:rsidR="00270811" w:rsidRPr="00270811" w:rsidRDefault="00270811" w:rsidP="00270811">
            <w:pPr>
              <w:spacing w:after="0"/>
              <w:rPr>
                <w:rFonts w:ascii="Times New Roman" w:hAnsi="Times New Roman" w:cs="Times New Roman"/>
                <w:sz w:val="24"/>
                <w:szCs w:val="24"/>
              </w:rPr>
            </w:pPr>
          </w:p>
        </w:tc>
        <w:tc>
          <w:tcPr>
            <w:tcW w:w="2218" w:type="dxa"/>
          </w:tcPr>
          <w:p w14:paraId="1E2CFCF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Simulated feeding</w:t>
            </w:r>
          </w:p>
        </w:tc>
        <w:tc>
          <w:tcPr>
            <w:tcW w:w="709" w:type="dxa"/>
          </w:tcPr>
          <w:p w14:paraId="3EF15C75"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4C74CE5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6.69</w:t>
            </w:r>
          </w:p>
        </w:tc>
        <w:tc>
          <w:tcPr>
            <w:tcW w:w="1417" w:type="dxa"/>
          </w:tcPr>
          <w:p w14:paraId="381CD7A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32.17</w:t>
            </w:r>
          </w:p>
        </w:tc>
        <w:tc>
          <w:tcPr>
            <w:tcW w:w="851" w:type="dxa"/>
          </w:tcPr>
          <w:p w14:paraId="458987F8" w14:textId="0D12F58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11.66</w:t>
            </w:r>
          </w:p>
        </w:tc>
        <w:tc>
          <w:tcPr>
            <w:tcW w:w="992" w:type="dxa"/>
          </w:tcPr>
          <w:p w14:paraId="48320352" w14:textId="7A87F59F"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0.62</w:t>
            </w:r>
          </w:p>
        </w:tc>
        <w:tc>
          <w:tcPr>
            <w:tcW w:w="1418" w:type="dxa"/>
          </w:tcPr>
          <w:p w14:paraId="41B62C8B" w14:textId="19645C51" w:rsidR="00270811" w:rsidRPr="00270811" w:rsidRDefault="00C77E45" w:rsidP="00270811">
            <w:pPr>
              <w:spacing w:after="0"/>
              <w:rPr>
                <w:rFonts w:ascii="Times New Roman" w:hAnsi="Times New Roman" w:cs="Times New Roman"/>
                <w:sz w:val="24"/>
                <w:szCs w:val="24"/>
              </w:rPr>
            </w:pPr>
            <w:r>
              <w:rPr>
                <w:rFonts w:ascii="Times New Roman" w:hAnsi="Times New Roman" w:cs="Times New Roman"/>
                <w:sz w:val="24"/>
                <w:szCs w:val="24"/>
              </w:rPr>
              <w:t>4.19</w:t>
            </w:r>
          </w:p>
        </w:tc>
      </w:tr>
      <w:tr w:rsidR="009A41C2" w14:paraId="35F1E6FE" w14:textId="77777777" w:rsidTr="00E955D6">
        <w:trPr>
          <w:trHeight w:val="340"/>
        </w:trPr>
        <w:tc>
          <w:tcPr>
            <w:tcW w:w="1751" w:type="dxa"/>
            <w:vMerge/>
            <w:tcBorders>
              <w:top w:val="single" w:sz="4" w:space="0" w:color="auto"/>
              <w:bottom w:val="single" w:sz="4" w:space="0" w:color="auto"/>
            </w:tcBorders>
            <w:vAlign w:val="center"/>
          </w:tcPr>
          <w:p w14:paraId="5E9AAED6" w14:textId="77777777" w:rsidR="00270811" w:rsidRPr="00270811" w:rsidRDefault="00270811" w:rsidP="00270811">
            <w:pPr>
              <w:spacing w:after="0"/>
              <w:rPr>
                <w:rFonts w:ascii="Times New Roman" w:hAnsi="Times New Roman" w:cs="Times New Roman"/>
                <w:sz w:val="24"/>
                <w:szCs w:val="24"/>
              </w:rPr>
            </w:pPr>
          </w:p>
        </w:tc>
        <w:tc>
          <w:tcPr>
            <w:tcW w:w="2218" w:type="dxa"/>
          </w:tcPr>
          <w:p w14:paraId="6F32429F"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Stacking Checkers</w:t>
            </w:r>
          </w:p>
        </w:tc>
        <w:tc>
          <w:tcPr>
            <w:tcW w:w="709" w:type="dxa"/>
          </w:tcPr>
          <w:p w14:paraId="7632C9C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157355B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2.08</w:t>
            </w:r>
          </w:p>
        </w:tc>
        <w:tc>
          <w:tcPr>
            <w:tcW w:w="1417" w:type="dxa"/>
          </w:tcPr>
          <w:p w14:paraId="04AC54E1"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6.14</w:t>
            </w:r>
          </w:p>
        </w:tc>
        <w:tc>
          <w:tcPr>
            <w:tcW w:w="851" w:type="dxa"/>
          </w:tcPr>
          <w:p w14:paraId="6240F7D4" w14:textId="08CCCFC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4.21</w:t>
            </w:r>
          </w:p>
        </w:tc>
        <w:tc>
          <w:tcPr>
            <w:tcW w:w="992" w:type="dxa"/>
          </w:tcPr>
          <w:p w14:paraId="717073C7" w14:textId="5DA40005"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0.14</w:t>
            </w:r>
          </w:p>
        </w:tc>
        <w:tc>
          <w:tcPr>
            <w:tcW w:w="1418" w:type="dxa"/>
          </w:tcPr>
          <w:p w14:paraId="02168B7D" w14:textId="3A44359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0.96</w:t>
            </w:r>
          </w:p>
        </w:tc>
      </w:tr>
      <w:tr w:rsidR="009A41C2" w14:paraId="068FD6EA" w14:textId="77777777" w:rsidTr="00E955D6">
        <w:trPr>
          <w:trHeight w:val="540"/>
        </w:trPr>
        <w:tc>
          <w:tcPr>
            <w:tcW w:w="1751" w:type="dxa"/>
            <w:vMerge/>
            <w:tcBorders>
              <w:top w:val="single" w:sz="4" w:space="0" w:color="auto"/>
              <w:bottom w:val="single" w:sz="4" w:space="0" w:color="auto"/>
            </w:tcBorders>
            <w:vAlign w:val="center"/>
          </w:tcPr>
          <w:p w14:paraId="1C377B0A" w14:textId="77777777" w:rsidR="00270811" w:rsidRPr="00270811" w:rsidRDefault="00270811" w:rsidP="00270811">
            <w:pPr>
              <w:spacing w:after="0"/>
              <w:rPr>
                <w:rFonts w:ascii="Times New Roman" w:hAnsi="Times New Roman" w:cs="Times New Roman"/>
                <w:sz w:val="24"/>
                <w:szCs w:val="24"/>
              </w:rPr>
            </w:pPr>
          </w:p>
        </w:tc>
        <w:tc>
          <w:tcPr>
            <w:tcW w:w="2218" w:type="dxa"/>
          </w:tcPr>
          <w:p w14:paraId="1777F42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light objects</w:t>
            </w:r>
          </w:p>
        </w:tc>
        <w:tc>
          <w:tcPr>
            <w:tcW w:w="709" w:type="dxa"/>
          </w:tcPr>
          <w:p w14:paraId="6FDEDEA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54117082"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2.32</w:t>
            </w:r>
          </w:p>
        </w:tc>
        <w:tc>
          <w:tcPr>
            <w:tcW w:w="1417" w:type="dxa"/>
          </w:tcPr>
          <w:p w14:paraId="3C16072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5.06</w:t>
            </w:r>
          </w:p>
        </w:tc>
        <w:tc>
          <w:tcPr>
            <w:tcW w:w="851" w:type="dxa"/>
          </w:tcPr>
          <w:p w14:paraId="341DAB3A" w14:textId="404CDD18"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3.44</w:t>
            </w:r>
          </w:p>
        </w:tc>
        <w:tc>
          <w:tcPr>
            <w:tcW w:w="992" w:type="dxa"/>
          </w:tcPr>
          <w:p w14:paraId="713EA928" w14:textId="452C4510"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0.12</w:t>
            </w:r>
          </w:p>
        </w:tc>
        <w:tc>
          <w:tcPr>
            <w:tcW w:w="1418" w:type="dxa"/>
          </w:tcPr>
          <w:p w14:paraId="0BEC629D" w14:textId="5FE9756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0.79</w:t>
            </w:r>
          </w:p>
        </w:tc>
      </w:tr>
      <w:tr w:rsidR="009A41C2" w14:paraId="72E16FDA" w14:textId="77777777" w:rsidTr="00E955D6">
        <w:trPr>
          <w:trHeight w:val="540"/>
        </w:trPr>
        <w:tc>
          <w:tcPr>
            <w:tcW w:w="1751" w:type="dxa"/>
            <w:vMerge/>
            <w:tcBorders>
              <w:top w:val="single" w:sz="4" w:space="0" w:color="auto"/>
              <w:bottom w:val="single" w:sz="4" w:space="0" w:color="auto"/>
            </w:tcBorders>
            <w:vAlign w:val="center"/>
          </w:tcPr>
          <w:p w14:paraId="5734731F" w14:textId="77777777" w:rsidR="00270811" w:rsidRPr="00270811" w:rsidRDefault="00270811" w:rsidP="00270811">
            <w:pPr>
              <w:spacing w:after="0"/>
              <w:rPr>
                <w:rFonts w:ascii="Times New Roman" w:hAnsi="Times New Roman" w:cs="Times New Roman"/>
                <w:sz w:val="24"/>
                <w:szCs w:val="24"/>
              </w:rPr>
            </w:pPr>
          </w:p>
        </w:tc>
        <w:tc>
          <w:tcPr>
            <w:tcW w:w="2218" w:type="dxa"/>
            <w:tcBorders>
              <w:bottom w:val="single" w:sz="4" w:space="0" w:color="auto"/>
            </w:tcBorders>
          </w:tcPr>
          <w:p w14:paraId="12315B3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heavy objects</w:t>
            </w:r>
          </w:p>
        </w:tc>
        <w:tc>
          <w:tcPr>
            <w:tcW w:w="709" w:type="dxa"/>
            <w:tcBorders>
              <w:bottom w:val="single" w:sz="4" w:space="0" w:color="auto"/>
            </w:tcBorders>
          </w:tcPr>
          <w:p w14:paraId="0A85C0A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Borders>
              <w:bottom w:val="single" w:sz="4" w:space="0" w:color="auto"/>
            </w:tcBorders>
          </w:tcPr>
          <w:p w14:paraId="483C6E7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2.47</w:t>
            </w:r>
          </w:p>
        </w:tc>
        <w:tc>
          <w:tcPr>
            <w:tcW w:w="1417" w:type="dxa"/>
            <w:tcBorders>
              <w:bottom w:val="single" w:sz="4" w:space="0" w:color="auto"/>
            </w:tcBorders>
          </w:tcPr>
          <w:p w14:paraId="5166434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6.03</w:t>
            </w:r>
          </w:p>
        </w:tc>
        <w:tc>
          <w:tcPr>
            <w:tcW w:w="851" w:type="dxa"/>
            <w:tcBorders>
              <w:bottom w:val="single" w:sz="4" w:space="0" w:color="auto"/>
            </w:tcBorders>
          </w:tcPr>
          <w:p w14:paraId="5B303DFB" w14:textId="7CFDABF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3.69</w:t>
            </w:r>
          </w:p>
        </w:tc>
        <w:tc>
          <w:tcPr>
            <w:tcW w:w="992" w:type="dxa"/>
            <w:tcBorders>
              <w:bottom w:val="single" w:sz="4" w:space="0" w:color="auto"/>
            </w:tcBorders>
          </w:tcPr>
          <w:p w14:paraId="64C6A6B0" w14:textId="5A254113"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0.12</w:t>
            </w:r>
          </w:p>
        </w:tc>
        <w:tc>
          <w:tcPr>
            <w:tcW w:w="1418" w:type="dxa"/>
            <w:tcBorders>
              <w:bottom w:val="single" w:sz="4" w:space="0" w:color="auto"/>
            </w:tcBorders>
          </w:tcPr>
          <w:p w14:paraId="33F5AC58" w14:textId="2E994EC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0.82</w:t>
            </w:r>
          </w:p>
        </w:tc>
      </w:tr>
    </w:tbl>
    <w:p w14:paraId="043B763B"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18E5469B" w14:textId="4A70DDBF" w:rsidR="00FC6E15" w:rsidRPr="00FC6E15" w:rsidRDefault="00FC6E15" w:rsidP="00FC6E15">
      <w:pPr>
        <w:spacing w:line="360" w:lineRule="auto"/>
        <w:jc w:val="both"/>
        <w:rPr>
          <w:rFonts w:ascii="Times New Roman" w:hAnsi="Times New Roman" w:cs="Times New Roman"/>
          <w:sz w:val="24"/>
          <w:szCs w:val="24"/>
        </w:rPr>
      </w:pPr>
    </w:p>
    <w:p w14:paraId="4AE5B11A" w14:textId="77777777" w:rsidR="00681DEF" w:rsidRDefault="00681DEF" w:rsidP="00FC6E15">
      <w:pPr>
        <w:spacing w:line="360" w:lineRule="auto"/>
        <w:jc w:val="both"/>
        <w:rPr>
          <w:rFonts w:ascii="Times New Roman" w:hAnsi="Times New Roman" w:cs="Times New Roman"/>
          <w:sz w:val="24"/>
          <w:szCs w:val="24"/>
        </w:rPr>
      </w:pPr>
    </w:p>
    <w:p w14:paraId="4BDBA9FF" w14:textId="77777777" w:rsidR="00196355" w:rsidRDefault="00196355" w:rsidP="00FC6E15">
      <w:pPr>
        <w:spacing w:line="360" w:lineRule="auto"/>
        <w:jc w:val="both"/>
        <w:rPr>
          <w:rFonts w:ascii="Times New Roman" w:hAnsi="Times New Roman" w:cs="Times New Roman"/>
          <w:sz w:val="24"/>
          <w:szCs w:val="24"/>
        </w:rPr>
      </w:pPr>
    </w:p>
    <w:p w14:paraId="0C9AAC44" w14:textId="77777777" w:rsidR="00AC519D" w:rsidRDefault="00AC519D" w:rsidP="00FC6E15">
      <w:pPr>
        <w:spacing w:line="360" w:lineRule="auto"/>
        <w:jc w:val="both"/>
        <w:rPr>
          <w:rFonts w:ascii="Times New Roman" w:hAnsi="Times New Roman" w:cs="Times New Roman"/>
          <w:sz w:val="24"/>
          <w:szCs w:val="24"/>
        </w:rPr>
      </w:pPr>
    </w:p>
    <w:p w14:paraId="54BCE247" w14:textId="77777777" w:rsidR="00681DEF" w:rsidRDefault="00681DEF" w:rsidP="00FC6E15">
      <w:pPr>
        <w:spacing w:line="360" w:lineRule="auto"/>
        <w:jc w:val="both"/>
        <w:rPr>
          <w:rFonts w:ascii="Times New Roman" w:hAnsi="Times New Roman" w:cs="Times New Roman"/>
          <w:sz w:val="24"/>
          <w:szCs w:val="24"/>
        </w:rPr>
      </w:pPr>
    </w:p>
    <w:p w14:paraId="2ED277E2" w14:textId="395DF2F8"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2. Gender-based differences in JTHFT scores between male and female children in </w:t>
      </w:r>
      <w:r w:rsidRPr="00BA723D">
        <w:rPr>
          <w:rFonts w:ascii="Times New Roman" w:hAnsi="Times New Roman" w:cs="Times New Roman"/>
          <w:b/>
          <w:bCs/>
          <w:sz w:val="24"/>
          <w:szCs w:val="24"/>
        </w:rPr>
        <w:t>the Choba group</w:t>
      </w:r>
    </w:p>
    <w:tbl>
      <w:tblPr>
        <w:tblW w:w="10207" w:type="dxa"/>
        <w:tblInd w:w="-709" w:type="dxa"/>
        <w:tblLayout w:type="fixed"/>
        <w:tblLook w:val="0000" w:firstRow="0" w:lastRow="0" w:firstColumn="0" w:lastColumn="0" w:noHBand="0" w:noVBand="0"/>
      </w:tblPr>
      <w:tblGrid>
        <w:gridCol w:w="1418"/>
        <w:gridCol w:w="3402"/>
        <w:gridCol w:w="1701"/>
        <w:gridCol w:w="1701"/>
        <w:gridCol w:w="992"/>
        <w:gridCol w:w="993"/>
      </w:tblGrid>
      <w:tr w:rsidR="009A41C2" w14:paraId="068117F6" w14:textId="77777777" w:rsidTr="00681DEF">
        <w:trPr>
          <w:trHeight w:val="500"/>
        </w:trPr>
        <w:tc>
          <w:tcPr>
            <w:tcW w:w="1418" w:type="dxa"/>
            <w:tcBorders>
              <w:top w:val="single" w:sz="4" w:space="0" w:color="auto"/>
            </w:tcBorders>
          </w:tcPr>
          <w:p w14:paraId="3A559E08" w14:textId="77777777" w:rsidR="00681DEF" w:rsidRPr="00681DEF" w:rsidRDefault="00681DEF" w:rsidP="002A3165">
            <w:pPr>
              <w:rPr>
                <w:rFonts w:ascii="Times New Roman" w:hAnsi="Times New Roman" w:cs="Times New Roman"/>
                <w:b/>
                <w:bCs/>
                <w:sz w:val="24"/>
                <w:szCs w:val="24"/>
              </w:rPr>
            </w:pPr>
          </w:p>
        </w:tc>
        <w:tc>
          <w:tcPr>
            <w:tcW w:w="3402" w:type="dxa"/>
            <w:tcBorders>
              <w:top w:val="single" w:sz="4" w:space="0" w:color="auto"/>
            </w:tcBorders>
          </w:tcPr>
          <w:p w14:paraId="019C5FA5" w14:textId="77777777"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Subtests</w:t>
            </w:r>
          </w:p>
        </w:tc>
        <w:tc>
          <w:tcPr>
            <w:tcW w:w="1701" w:type="dxa"/>
            <w:tcBorders>
              <w:top w:val="single" w:sz="4" w:space="0" w:color="auto"/>
              <w:bottom w:val="single" w:sz="4" w:space="0" w:color="auto"/>
            </w:tcBorders>
          </w:tcPr>
          <w:p w14:paraId="670DDC09" w14:textId="77777777"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Male ((n=23)</w:t>
            </w:r>
          </w:p>
        </w:tc>
        <w:tc>
          <w:tcPr>
            <w:tcW w:w="1701" w:type="dxa"/>
            <w:tcBorders>
              <w:top w:val="single" w:sz="4" w:space="0" w:color="auto"/>
              <w:bottom w:val="single" w:sz="4" w:space="0" w:color="auto"/>
            </w:tcBorders>
          </w:tcPr>
          <w:p w14:paraId="19BF2DB9" w14:textId="77777777"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Female (n=22)</w:t>
            </w:r>
          </w:p>
        </w:tc>
        <w:tc>
          <w:tcPr>
            <w:tcW w:w="992" w:type="dxa"/>
            <w:tcBorders>
              <w:top w:val="single" w:sz="4" w:space="0" w:color="auto"/>
              <w:bottom w:val="single" w:sz="4" w:space="0" w:color="auto"/>
            </w:tcBorders>
          </w:tcPr>
          <w:p w14:paraId="5649D917" w14:textId="45157314"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T-test</w:t>
            </w:r>
          </w:p>
        </w:tc>
        <w:tc>
          <w:tcPr>
            <w:tcW w:w="993" w:type="dxa"/>
            <w:tcBorders>
              <w:top w:val="single" w:sz="4" w:space="0" w:color="auto"/>
            </w:tcBorders>
          </w:tcPr>
          <w:p w14:paraId="6A1A1AC0" w14:textId="62EC9F21"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P-value</w:t>
            </w:r>
          </w:p>
        </w:tc>
      </w:tr>
      <w:tr w:rsidR="009A41C2" w14:paraId="0F3B5C5B" w14:textId="77777777" w:rsidTr="00681DEF">
        <w:trPr>
          <w:trHeight w:val="500"/>
        </w:trPr>
        <w:tc>
          <w:tcPr>
            <w:tcW w:w="1418" w:type="dxa"/>
            <w:vMerge w:val="restart"/>
            <w:tcBorders>
              <w:top w:val="single" w:sz="4" w:space="0" w:color="auto"/>
              <w:bottom w:val="single" w:sz="4" w:space="0" w:color="auto"/>
            </w:tcBorders>
            <w:vAlign w:val="center"/>
          </w:tcPr>
          <w:p w14:paraId="2180F489" w14:textId="2AA19F2A"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lastRenderedPageBreak/>
              <w:t>Non-dominant hand</w:t>
            </w:r>
          </w:p>
        </w:tc>
        <w:tc>
          <w:tcPr>
            <w:tcW w:w="3402" w:type="dxa"/>
            <w:tcBorders>
              <w:top w:val="single" w:sz="4" w:space="0" w:color="auto"/>
            </w:tcBorders>
          </w:tcPr>
          <w:p w14:paraId="6B320023"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Writing</w:t>
            </w:r>
          </w:p>
        </w:tc>
        <w:tc>
          <w:tcPr>
            <w:tcW w:w="1701" w:type="dxa"/>
          </w:tcPr>
          <w:p w14:paraId="783C2CC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74.64±19.42</w:t>
            </w:r>
          </w:p>
        </w:tc>
        <w:tc>
          <w:tcPr>
            <w:tcW w:w="1701" w:type="dxa"/>
          </w:tcPr>
          <w:p w14:paraId="378EEE6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63.09±15.53</w:t>
            </w:r>
          </w:p>
        </w:tc>
        <w:tc>
          <w:tcPr>
            <w:tcW w:w="992" w:type="dxa"/>
          </w:tcPr>
          <w:p w14:paraId="015D38C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2.19</w:t>
            </w:r>
          </w:p>
        </w:tc>
        <w:tc>
          <w:tcPr>
            <w:tcW w:w="993" w:type="dxa"/>
            <w:tcBorders>
              <w:top w:val="single" w:sz="4" w:space="0" w:color="auto"/>
            </w:tcBorders>
          </w:tcPr>
          <w:p w14:paraId="705886E1" w14:textId="22CA77F0" w:rsidR="00681DEF"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0.03*</w:t>
            </w:r>
          </w:p>
        </w:tc>
      </w:tr>
      <w:tr w:rsidR="009A41C2" w14:paraId="5A0E7E9C" w14:textId="77777777" w:rsidTr="00681DEF">
        <w:trPr>
          <w:trHeight w:val="500"/>
        </w:trPr>
        <w:tc>
          <w:tcPr>
            <w:tcW w:w="1418" w:type="dxa"/>
            <w:vMerge/>
            <w:tcBorders>
              <w:top w:val="single" w:sz="4" w:space="0" w:color="auto"/>
              <w:bottom w:val="single" w:sz="4" w:space="0" w:color="auto"/>
            </w:tcBorders>
            <w:vAlign w:val="center"/>
          </w:tcPr>
          <w:p w14:paraId="7352BC63" w14:textId="77777777" w:rsidR="00681DEF" w:rsidRPr="00681DEF" w:rsidRDefault="00681DEF" w:rsidP="002A3165">
            <w:pPr>
              <w:rPr>
                <w:rFonts w:ascii="Times New Roman" w:hAnsi="Times New Roman" w:cs="Times New Roman"/>
                <w:sz w:val="24"/>
                <w:szCs w:val="24"/>
              </w:rPr>
            </w:pPr>
          </w:p>
        </w:tc>
        <w:tc>
          <w:tcPr>
            <w:tcW w:w="3402" w:type="dxa"/>
          </w:tcPr>
          <w:p w14:paraId="48121E0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Page turning</w:t>
            </w:r>
          </w:p>
        </w:tc>
        <w:tc>
          <w:tcPr>
            <w:tcW w:w="1701" w:type="dxa"/>
          </w:tcPr>
          <w:p w14:paraId="7A17846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4.61±1.13</w:t>
            </w:r>
          </w:p>
        </w:tc>
        <w:tc>
          <w:tcPr>
            <w:tcW w:w="1701" w:type="dxa"/>
          </w:tcPr>
          <w:p w14:paraId="733F5FA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4.74±1.25</w:t>
            </w:r>
          </w:p>
        </w:tc>
        <w:tc>
          <w:tcPr>
            <w:tcW w:w="992" w:type="dxa"/>
          </w:tcPr>
          <w:p w14:paraId="6145437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-0.37</w:t>
            </w:r>
          </w:p>
        </w:tc>
        <w:tc>
          <w:tcPr>
            <w:tcW w:w="993" w:type="dxa"/>
          </w:tcPr>
          <w:p w14:paraId="3938FB53"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0.71</w:t>
            </w:r>
          </w:p>
        </w:tc>
      </w:tr>
      <w:tr w:rsidR="009A41C2" w14:paraId="3B9AF942" w14:textId="77777777" w:rsidTr="00681DEF">
        <w:trPr>
          <w:trHeight w:val="500"/>
        </w:trPr>
        <w:tc>
          <w:tcPr>
            <w:tcW w:w="1418" w:type="dxa"/>
            <w:vMerge/>
            <w:tcBorders>
              <w:top w:val="single" w:sz="4" w:space="0" w:color="auto"/>
              <w:bottom w:val="single" w:sz="4" w:space="0" w:color="auto"/>
            </w:tcBorders>
            <w:vAlign w:val="center"/>
          </w:tcPr>
          <w:p w14:paraId="791C103E" w14:textId="77777777" w:rsidR="00681DEF" w:rsidRPr="00681DEF" w:rsidRDefault="00681DEF" w:rsidP="002A3165">
            <w:pPr>
              <w:rPr>
                <w:rFonts w:ascii="Times New Roman" w:hAnsi="Times New Roman" w:cs="Times New Roman"/>
                <w:sz w:val="24"/>
                <w:szCs w:val="24"/>
              </w:rPr>
            </w:pPr>
          </w:p>
        </w:tc>
        <w:tc>
          <w:tcPr>
            <w:tcW w:w="3402" w:type="dxa"/>
          </w:tcPr>
          <w:p w14:paraId="44A8181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Picking common object</w:t>
            </w:r>
          </w:p>
        </w:tc>
        <w:tc>
          <w:tcPr>
            <w:tcW w:w="1701" w:type="dxa"/>
          </w:tcPr>
          <w:p w14:paraId="7FB187C4"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6.69±1.11</w:t>
            </w:r>
          </w:p>
        </w:tc>
        <w:tc>
          <w:tcPr>
            <w:tcW w:w="1701" w:type="dxa"/>
          </w:tcPr>
          <w:p w14:paraId="58B260BD"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6.85±1.18</w:t>
            </w:r>
          </w:p>
        </w:tc>
        <w:tc>
          <w:tcPr>
            <w:tcW w:w="992" w:type="dxa"/>
          </w:tcPr>
          <w:p w14:paraId="4E361A4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-0.48</w:t>
            </w:r>
          </w:p>
        </w:tc>
        <w:tc>
          <w:tcPr>
            <w:tcW w:w="993" w:type="dxa"/>
          </w:tcPr>
          <w:p w14:paraId="0C9B4461"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0.63</w:t>
            </w:r>
          </w:p>
        </w:tc>
      </w:tr>
      <w:tr w:rsidR="009A41C2" w14:paraId="13AFD08C" w14:textId="77777777" w:rsidTr="00681DEF">
        <w:trPr>
          <w:trHeight w:val="500"/>
        </w:trPr>
        <w:tc>
          <w:tcPr>
            <w:tcW w:w="1418" w:type="dxa"/>
            <w:vMerge/>
            <w:tcBorders>
              <w:top w:val="single" w:sz="4" w:space="0" w:color="auto"/>
              <w:bottom w:val="single" w:sz="4" w:space="0" w:color="auto"/>
            </w:tcBorders>
            <w:vAlign w:val="center"/>
          </w:tcPr>
          <w:p w14:paraId="43591F69" w14:textId="77777777" w:rsidR="00681DEF" w:rsidRPr="00681DEF" w:rsidRDefault="00681DEF" w:rsidP="002A3165">
            <w:pPr>
              <w:rPr>
                <w:rFonts w:ascii="Times New Roman" w:hAnsi="Times New Roman" w:cs="Times New Roman"/>
                <w:sz w:val="24"/>
                <w:szCs w:val="24"/>
              </w:rPr>
            </w:pPr>
          </w:p>
        </w:tc>
        <w:tc>
          <w:tcPr>
            <w:tcW w:w="3402" w:type="dxa"/>
          </w:tcPr>
          <w:p w14:paraId="4D16CF1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Simulated feeding</w:t>
            </w:r>
          </w:p>
        </w:tc>
        <w:tc>
          <w:tcPr>
            <w:tcW w:w="1701" w:type="dxa"/>
          </w:tcPr>
          <w:p w14:paraId="7F139E4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14.33±6.95</w:t>
            </w:r>
          </w:p>
        </w:tc>
        <w:tc>
          <w:tcPr>
            <w:tcW w:w="1701" w:type="dxa"/>
          </w:tcPr>
          <w:p w14:paraId="2EAC5D2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13.24±3.33</w:t>
            </w:r>
          </w:p>
        </w:tc>
        <w:tc>
          <w:tcPr>
            <w:tcW w:w="992" w:type="dxa"/>
          </w:tcPr>
          <w:p w14:paraId="257EFDD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0.66</w:t>
            </w:r>
          </w:p>
        </w:tc>
        <w:tc>
          <w:tcPr>
            <w:tcW w:w="993" w:type="dxa"/>
          </w:tcPr>
          <w:p w14:paraId="13DCAB9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0.51</w:t>
            </w:r>
          </w:p>
        </w:tc>
      </w:tr>
      <w:tr w:rsidR="009A41C2" w14:paraId="23982AB9" w14:textId="77777777" w:rsidTr="00681DEF">
        <w:trPr>
          <w:trHeight w:val="500"/>
        </w:trPr>
        <w:tc>
          <w:tcPr>
            <w:tcW w:w="1418" w:type="dxa"/>
            <w:vMerge/>
            <w:tcBorders>
              <w:top w:val="single" w:sz="4" w:space="0" w:color="auto"/>
              <w:bottom w:val="single" w:sz="4" w:space="0" w:color="auto"/>
            </w:tcBorders>
            <w:vAlign w:val="center"/>
          </w:tcPr>
          <w:p w14:paraId="5AE034AB" w14:textId="77777777" w:rsidR="00681DEF" w:rsidRPr="00681DEF" w:rsidRDefault="00681DEF" w:rsidP="002A3165">
            <w:pPr>
              <w:rPr>
                <w:rFonts w:ascii="Times New Roman" w:hAnsi="Times New Roman" w:cs="Times New Roman"/>
                <w:sz w:val="24"/>
                <w:szCs w:val="24"/>
              </w:rPr>
            </w:pPr>
          </w:p>
        </w:tc>
        <w:tc>
          <w:tcPr>
            <w:tcW w:w="3402" w:type="dxa"/>
          </w:tcPr>
          <w:p w14:paraId="66516B9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Stacking checkers</w:t>
            </w:r>
          </w:p>
        </w:tc>
        <w:tc>
          <w:tcPr>
            <w:tcW w:w="1701" w:type="dxa"/>
          </w:tcPr>
          <w:p w14:paraId="5C99A08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4.35±0.94</w:t>
            </w:r>
          </w:p>
        </w:tc>
        <w:tc>
          <w:tcPr>
            <w:tcW w:w="1701" w:type="dxa"/>
          </w:tcPr>
          <w:p w14:paraId="0CAF392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4.65±1.01</w:t>
            </w:r>
          </w:p>
        </w:tc>
        <w:tc>
          <w:tcPr>
            <w:tcW w:w="992" w:type="dxa"/>
          </w:tcPr>
          <w:p w14:paraId="392F464F"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-1.03</w:t>
            </w:r>
          </w:p>
        </w:tc>
        <w:tc>
          <w:tcPr>
            <w:tcW w:w="993" w:type="dxa"/>
          </w:tcPr>
          <w:p w14:paraId="65A91BB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0.31</w:t>
            </w:r>
          </w:p>
        </w:tc>
      </w:tr>
      <w:tr w:rsidR="009A41C2" w14:paraId="455B4CE5" w14:textId="77777777" w:rsidTr="00681DEF">
        <w:trPr>
          <w:trHeight w:val="500"/>
        </w:trPr>
        <w:tc>
          <w:tcPr>
            <w:tcW w:w="1418" w:type="dxa"/>
            <w:vMerge/>
            <w:tcBorders>
              <w:top w:val="single" w:sz="4" w:space="0" w:color="auto"/>
              <w:bottom w:val="single" w:sz="4" w:space="0" w:color="auto"/>
            </w:tcBorders>
            <w:vAlign w:val="center"/>
          </w:tcPr>
          <w:p w14:paraId="1FABB162" w14:textId="77777777" w:rsidR="00681DEF" w:rsidRPr="00681DEF" w:rsidRDefault="00681DEF" w:rsidP="002A3165">
            <w:pPr>
              <w:rPr>
                <w:rFonts w:ascii="Times New Roman" w:hAnsi="Times New Roman" w:cs="Times New Roman"/>
                <w:sz w:val="24"/>
                <w:szCs w:val="24"/>
              </w:rPr>
            </w:pPr>
          </w:p>
        </w:tc>
        <w:tc>
          <w:tcPr>
            <w:tcW w:w="3402" w:type="dxa"/>
          </w:tcPr>
          <w:p w14:paraId="18C0BC9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light objects</w:t>
            </w:r>
          </w:p>
        </w:tc>
        <w:tc>
          <w:tcPr>
            <w:tcW w:w="1701" w:type="dxa"/>
          </w:tcPr>
          <w:p w14:paraId="350FCB5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3.52±0.89</w:t>
            </w:r>
          </w:p>
        </w:tc>
        <w:tc>
          <w:tcPr>
            <w:tcW w:w="1701" w:type="dxa"/>
          </w:tcPr>
          <w:p w14:paraId="39F8A45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3.85±0.63</w:t>
            </w:r>
          </w:p>
        </w:tc>
        <w:tc>
          <w:tcPr>
            <w:tcW w:w="992" w:type="dxa"/>
          </w:tcPr>
          <w:p w14:paraId="12C49DD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-1.44</w:t>
            </w:r>
          </w:p>
        </w:tc>
        <w:tc>
          <w:tcPr>
            <w:tcW w:w="993" w:type="dxa"/>
          </w:tcPr>
          <w:p w14:paraId="1BE899A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0.15</w:t>
            </w:r>
          </w:p>
        </w:tc>
      </w:tr>
      <w:tr w:rsidR="009A41C2" w14:paraId="6B83D2BF" w14:textId="77777777" w:rsidTr="00681DEF">
        <w:trPr>
          <w:trHeight w:val="500"/>
        </w:trPr>
        <w:tc>
          <w:tcPr>
            <w:tcW w:w="1418" w:type="dxa"/>
            <w:vMerge/>
            <w:tcBorders>
              <w:top w:val="single" w:sz="4" w:space="0" w:color="auto"/>
              <w:bottom w:val="single" w:sz="4" w:space="0" w:color="auto"/>
            </w:tcBorders>
            <w:vAlign w:val="center"/>
          </w:tcPr>
          <w:p w14:paraId="5AA1D3FE" w14:textId="77777777" w:rsidR="00681DEF" w:rsidRPr="00681DEF" w:rsidRDefault="00681DEF" w:rsidP="002A3165">
            <w:pPr>
              <w:rPr>
                <w:rFonts w:ascii="Times New Roman" w:hAnsi="Times New Roman" w:cs="Times New Roman"/>
                <w:sz w:val="24"/>
                <w:szCs w:val="24"/>
              </w:rPr>
            </w:pPr>
          </w:p>
        </w:tc>
        <w:tc>
          <w:tcPr>
            <w:tcW w:w="3402" w:type="dxa"/>
          </w:tcPr>
          <w:p w14:paraId="0D4E993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heavy objects</w:t>
            </w:r>
          </w:p>
        </w:tc>
        <w:tc>
          <w:tcPr>
            <w:tcW w:w="1701" w:type="dxa"/>
          </w:tcPr>
          <w:p w14:paraId="1B58493E"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3.72±0.83</w:t>
            </w:r>
          </w:p>
        </w:tc>
        <w:tc>
          <w:tcPr>
            <w:tcW w:w="1701" w:type="dxa"/>
          </w:tcPr>
          <w:p w14:paraId="24FE91D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4.13±1.14</w:t>
            </w:r>
          </w:p>
        </w:tc>
        <w:tc>
          <w:tcPr>
            <w:tcW w:w="992" w:type="dxa"/>
          </w:tcPr>
          <w:p w14:paraId="552D8F1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-1.36</w:t>
            </w:r>
          </w:p>
        </w:tc>
        <w:tc>
          <w:tcPr>
            <w:tcW w:w="993" w:type="dxa"/>
          </w:tcPr>
          <w:p w14:paraId="4FD64E3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0.17</w:t>
            </w:r>
          </w:p>
        </w:tc>
      </w:tr>
      <w:tr w:rsidR="009A41C2" w14:paraId="017D1FF7" w14:textId="77777777" w:rsidTr="00681DEF">
        <w:trPr>
          <w:trHeight w:val="500"/>
        </w:trPr>
        <w:tc>
          <w:tcPr>
            <w:tcW w:w="1418" w:type="dxa"/>
            <w:vMerge w:val="restart"/>
            <w:tcBorders>
              <w:bottom w:val="single" w:sz="4" w:space="0" w:color="auto"/>
            </w:tcBorders>
            <w:vAlign w:val="center"/>
          </w:tcPr>
          <w:p w14:paraId="3B38D4C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Dominant hand</w:t>
            </w:r>
          </w:p>
        </w:tc>
        <w:tc>
          <w:tcPr>
            <w:tcW w:w="3402" w:type="dxa"/>
            <w:tcBorders>
              <w:top w:val="single" w:sz="4" w:space="0" w:color="auto"/>
            </w:tcBorders>
          </w:tcPr>
          <w:p w14:paraId="0E46FB8F"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Writing</w:t>
            </w:r>
          </w:p>
        </w:tc>
        <w:tc>
          <w:tcPr>
            <w:tcW w:w="1701" w:type="dxa"/>
            <w:tcBorders>
              <w:top w:val="single" w:sz="4" w:space="0" w:color="auto"/>
            </w:tcBorders>
          </w:tcPr>
          <w:p w14:paraId="542D51B3"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32.81±14.72</w:t>
            </w:r>
          </w:p>
        </w:tc>
        <w:tc>
          <w:tcPr>
            <w:tcW w:w="1701" w:type="dxa"/>
            <w:tcBorders>
              <w:top w:val="single" w:sz="4" w:space="0" w:color="auto"/>
            </w:tcBorders>
          </w:tcPr>
          <w:p w14:paraId="69A4151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33.90±12.28</w:t>
            </w:r>
          </w:p>
        </w:tc>
        <w:tc>
          <w:tcPr>
            <w:tcW w:w="992" w:type="dxa"/>
            <w:tcBorders>
              <w:top w:val="single" w:sz="4" w:space="0" w:color="auto"/>
            </w:tcBorders>
          </w:tcPr>
          <w:p w14:paraId="56C9339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-0.27</w:t>
            </w:r>
          </w:p>
        </w:tc>
        <w:tc>
          <w:tcPr>
            <w:tcW w:w="993" w:type="dxa"/>
            <w:tcBorders>
              <w:top w:val="single" w:sz="4" w:space="0" w:color="auto"/>
            </w:tcBorders>
          </w:tcPr>
          <w:p w14:paraId="7FCD492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0.78</w:t>
            </w:r>
          </w:p>
        </w:tc>
      </w:tr>
      <w:tr w:rsidR="009A41C2" w14:paraId="2C9A17F5" w14:textId="77777777" w:rsidTr="00681DEF">
        <w:trPr>
          <w:trHeight w:val="500"/>
        </w:trPr>
        <w:tc>
          <w:tcPr>
            <w:tcW w:w="1418" w:type="dxa"/>
            <w:vMerge/>
            <w:tcBorders>
              <w:bottom w:val="single" w:sz="4" w:space="0" w:color="auto"/>
            </w:tcBorders>
            <w:vAlign w:val="center"/>
          </w:tcPr>
          <w:p w14:paraId="383FE753" w14:textId="77777777" w:rsidR="00681DEF" w:rsidRPr="00681DEF" w:rsidRDefault="00681DEF" w:rsidP="002A3165">
            <w:pPr>
              <w:rPr>
                <w:rFonts w:ascii="Times New Roman" w:hAnsi="Times New Roman" w:cs="Times New Roman"/>
                <w:sz w:val="24"/>
                <w:szCs w:val="24"/>
              </w:rPr>
            </w:pPr>
          </w:p>
        </w:tc>
        <w:tc>
          <w:tcPr>
            <w:tcW w:w="3402" w:type="dxa"/>
          </w:tcPr>
          <w:p w14:paraId="069A358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Page turning</w:t>
            </w:r>
          </w:p>
        </w:tc>
        <w:tc>
          <w:tcPr>
            <w:tcW w:w="1701" w:type="dxa"/>
          </w:tcPr>
          <w:p w14:paraId="6503F081"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3.86±0.96</w:t>
            </w:r>
          </w:p>
        </w:tc>
        <w:tc>
          <w:tcPr>
            <w:tcW w:w="1701" w:type="dxa"/>
          </w:tcPr>
          <w:p w14:paraId="632E5FC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3.98±1.08</w:t>
            </w:r>
          </w:p>
        </w:tc>
        <w:tc>
          <w:tcPr>
            <w:tcW w:w="992" w:type="dxa"/>
          </w:tcPr>
          <w:p w14:paraId="051C2F41"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-0.41</w:t>
            </w:r>
          </w:p>
        </w:tc>
        <w:tc>
          <w:tcPr>
            <w:tcW w:w="993" w:type="dxa"/>
          </w:tcPr>
          <w:p w14:paraId="254D96A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0.68</w:t>
            </w:r>
          </w:p>
        </w:tc>
      </w:tr>
      <w:tr w:rsidR="009A41C2" w14:paraId="1A3BDCC1" w14:textId="77777777" w:rsidTr="00681DEF">
        <w:trPr>
          <w:trHeight w:val="500"/>
        </w:trPr>
        <w:tc>
          <w:tcPr>
            <w:tcW w:w="1418" w:type="dxa"/>
            <w:vMerge/>
            <w:tcBorders>
              <w:bottom w:val="single" w:sz="4" w:space="0" w:color="auto"/>
            </w:tcBorders>
            <w:vAlign w:val="center"/>
          </w:tcPr>
          <w:p w14:paraId="2E95D2D1" w14:textId="77777777" w:rsidR="00681DEF" w:rsidRPr="00681DEF" w:rsidRDefault="00681DEF" w:rsidP="002A3165">
            <w:pPr>
              <w:rPr>
                <w:rFonts w:ascii="Times New Roman" w:hAnsi="Times New Roman" w:cs="Times New Roman"/>
                <w:sz w:val="24"/>
                <w:szCs w:val="24"/>
              </w:rPr>
            </w:pPr>
          </w:p>
        </w:tc>
        <w:tc>
          <w:tcPr>
            <w:tcW w:w="3402" w:type="dxa"/>
          </w:tcPr>
          <w:p w14:paraId="44C57A5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Picking common object</w:t>
            </w:r>
          </w:p>
        </w:tc>
        <w:tc>
          <w:tcPr>
            <w:tcW w:w="1701" w:type="dxa"/>
          </w:tcPr>
          <w:p w14:paraId="66F309F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5.94±1.01</w:t>
            </w:r>
          </w:p>
        </w:tc>
        <w:tc>
          <w:tcPr>
            <w:tcW w:w="1701" w:type="dxa"/>
          </w:tcPr>
          <w:p w14:paraId="14D2F31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6.38±1.65</w:t>
            </w:r>
          </w:p>
        </w:tc>
        <w:tc>
          <w:tcPr>
            <w:tcW w:w="992" w:type="dxa"/>
          </w:tcPr>
          <w:p w14:paraId="7BC4C4C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-1.06</w:t>
            </w:r>
          </w:p>
        </w:tc>
        <w:tc>
          <w:tcPr>
            <w:tcW w:w="993" w:type="dxa"/>
          </w:tcPr>
          <w:p w14:paraId="46BEA13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0.29</w:t>
            </w:r>
          </w:p>
        </w:tc>
      </w:tr>
      <w:tr w:rsidR="009A41C2" w14:paraId="6988A6CF" w14:textId="77777777" w:rsidTr="00681DEF">
        <w:trPr>
          <w:trHeight w:val="500"/>
        </w:trPr>
        <w:tc>
          <w:tcPr>
            <w:tcW w:w="1418" w:type="dxa"/>
            <w:vMerge/>
            <w:tcBorders>
              <w:bottom w:val="single" w:sz="4" w:space="0" w:color="auto"/>
            </w:tcBorders>
            <w:vAlign w:val="center"/>
          </w:tcPr>
          <w:p w14:paraId="059091D0" w14:textId="77777777" w:rsidR="00681DEF" w:rsidRPr="00681DEF" w:rsidRDefault="00681DEF" w:rsidP="002A3165">
            <w:pPr>
              <w:rPr>
                <w:rFonts w:ascii="Times New Roman" w:hAnsi="Times New Roman" w:cs="Times New Roman"/>
                <w:sz w:val="24"/>
                <w:szCs w:val="24"/>
              </w:rPr>
            </w:pPr>
          </w:p>
        </w:tc>
        <w:tc>
          <w:tcPr>
            <w:tcW w:w="3402" w:type="dxa"/>
          </w:tcPr>
          <w:p w14:paraId="163686C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Simulated feeding</w:t>
            </w:r>
          </w:p>
        </w:tc>
        <w:tc>
          <w:tcPr>
            <w:tcW w:w="1701" w:type="dxa"/>
          </w:tcPr>
          <w:p w14:paraId="44DDF65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11.74±5.31</w:t>
            </w:r>
          </w:p>
        </w:tc>
        <w:tc>
          <w:tcPr>
            <w:tcW w:w="1701" w:type="dxa"/>
          </w:tcPr>
          <w:p w14:paraId="1240EE6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11.57±2.57</w:t>
            </w:r>
          </w:p>
        </w:tc>
        <w:tc>
          <w:tcPr>
            <w:tcW w:w="992" w:type="dxa"/>
          </w:tcPr>
          <w:p w14:paraId="6005D99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0.13</w:t>
            </w:r>
          </w:p>
        </w:tc>
        <w:tc>
          <w:tcPr>
            <w:tcW w:w="993" w:type="dxa"/>
          </w:tcPr>
          <w:p w14:paraId="5B79C50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0.89</w:t>
            </w:r>
          </w:p>
        </w:tc>
      </w:tr>
      <w:tr w:rsidR="009A41C2" w14:paraId="1BBBCAC6" w14:textId="77777777" w:rsidTr="00681DEF">
        <w:trPr>
          <w:trHeight w:val="500"/>
        </w:trPr>
        <w:tc>
          <w:tcPr>
            <w:tcW w:w="1418" w:type="dxa"/>
            <w:vMerge/>
            <w:tcBorders>
              <w:bottom w:val="single" w:sz="4" w:space="0" w:color="auto"/>
            </w:tcBorders>
            <w:vAlign w:val="center"/>
          </w:tcPr>
          <w:p w14:paraId="3A744A69" w14:textId="77777777" w:rsidR="00681DEF" w:rsidRPr="00681DEF" w:rsidRDefault="00681DEF" w:rsidP="002A3165">
            <w:pPr>
              <w:rPr>
                <w:rFonts w:ascii="Times New Roman" w:hAnsi="Times New Roman" w:cs="Times New Roman"/>
                <w:sz w:val="24"/>
                <w:szCs w:val="24"/>
              </w:rPr>
            </w:pPr>
          </w:p>
        </w:tc>
        <w:tc>
          <w:tcPr>
            <w:tcW w:w="3402" w:type="dxa"/>
          </w:tcPr>
          <w:p w14:paraId="1A57779D"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Stacking checkers</w:t>
            </w:r>
          </w:p>
        </w:tc>
        <w:tc>
          <w:tcPr>
            <w:tcW w:w="1701" w:type="dxa"/>
          </w:tcPr>
          <w:p w14:paraId="289470DE"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4.00±0.95</w:t>
            </w:r>
          </w:p>
        </w:tc>
        <w:tc>
          <w:tcPr>
            <w:tcW w:w="1701" w:type="dxa"/>
          </w:tcPr>
          <w:p w14:paraId="61BABC4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4.41±0.93</w:t>
            </w:r>
          </w:p>
        </w:tc>
        <w:tc>
          <w:tcPr>
            <w:tcW w:w="992" w:type="dxa"/>
          </w:tcPr>
          <w:p w14:paraId="53D5E28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-1.42</w:t>
            </w:r>
          </w:p>
        </w:tc>
        <w:tc>
          <w:tcPr>
            <w:tcW w:w="993" w:type="dxa"/>
          </w:tcPr>
          <w:p w14:paraId="4F5F729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0.16</w:t>
            </w:r>
          </w:p>
        </w:tc>
      </w:tr>
      <w:tr w:rsidR="009A41C2" w14:paraId="03BD269E" w14:textId="77777777" w:rsidTr="00681DEF">
        <w:trPr>
          <w:trHeight w:val="500"/>
        </w:trPr>
        <w:tc>
          <w:tcPr>
            <w:tcW w:w="1418" w:type="dxa"/>
            <w:vMerge/>
            <w:tcBorders>
              <w:bottom w:val="single" w:sz="4" w:space="0" w:color="auto"/>
            </w:tcBorders>
            <w:vAlign w:val="center"/>
          </w:tcPr>
          <w:p w14:paraId="0E5EBF16" w14:textId="77777777" w:rsidR="00681DEF" w:rsidRPr="00681DEF" w:rsidRDefault="00681DEF" w:rsidP="002A3165">
            <w:pPr>
              <w:rPr>
                <w:rFonts w:ascii="Times New Roman" w:hAnsi="Times New Roman" w:cs="Times New Roman"/>
                <w:sz w:val="24"/>
                <w:szCs w:val="24"/>
              </w:rPr>
            </w:pPr>
          </w:p>
        </w:tc>
        <w:tc>
          <w:tcPr>
            <w:tcW w:w="3402" w:type="dxa"/>
          </w:tcPr>
          <w:p w14:paraId="63D5687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light objects</w:t>
            </w:r>
          </w:p>
        </w:tc>
        <w:tc>
          <w:tcPr>
            <w:tcW w:w="1701" w:type="dxa"/>
          </w:tcPr>
          <w:p w14:paraId="0D155CE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3.25±0.70</w:t>
            </w:r>
          </w:p>
        </w:tc>
        <w:tc>
          <w:tcPr>
            <w:tcW w:w="1701" w:type="dxa"/>
          </w:tcPr>
          <w:p w14:paraId="079A8C5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3.63±0.84</w:t>
            </w:r>
          </w:p>
        </w:tc>
        <w:tc>
          <w:tcPr>
            <w:tcW w:w="992" w:type="dxa"/>
          </w:tcPr>
          <w:p w14:paraId="4F06F82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-1.64</w:t>
            </w:r>
          </w:p>
        </w:tc>
        <w:tc>
          <w:tcPr>
            <w:tcW w:w="993" w:type="dxa"/>
          </w:tcPr>
          <w:p w14:paraId="596B482F"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0.11</w:t>
            </w:r>
          </w:p>
        </w:tc>
      </w:tr>
      <w:tr w:rsidR="009A41C2" w14:paraId="006F233B" w14:textId="77777777" w:rsidTr="00681DEF">
        <w:trPr>
          <w:trHeight w:val="500"/>
        </w:trPr>
        <w:tc>
          <w:tcPr>
            <w:tcW w:w="1418" w:type="dxa"/>
            <w:vMerge/>
            <w:tcBorders>
              <w:bottom w:val="single" w:sz="4" w:space="0" w:color="auto"/>
            </w:tcBorders>
            <w:vAlign w:val="center"/>
          </w:tcPr>
          <w:p w14:paraId="0A7F3253" w14:textId="77777777" w:rsidR="00681DEF" w:rsidRPr="00681DEF" w:rsidRDefault="00681DEF" w:rsidP="002A3165">
            <w:pPr>
              <w:rPr>
                <w:rFonts w:ascii="Times New Roman" w:hAnsi="Times New Roman" w:cs="Times New Roman"/>
                <w:sz w:val="24"/>
                <w:szCs w:val="24"/>
              </w:rPr>
            </w:pPr>
          </w:p>
        </w:tc>
        <w:tc>
          <w:tcPr>
            <w:tcW w:w="3402" w:type="dxa"/>
            <w:tcBorders>
              <w:bottom w:val="single" w:sz="4" w:space="0" w:color="auto"/>
            </w:tcBorders>
          </w:tcPr>
          <w:p w14:paraId="4CBA531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heavy objects</w:t>
            </w:r>
          </w:p>
        </w:tc>
        <w:tc>
          <w:tcPr>
            <w:tcW w:w="1701" w:type="dxa"/>
            <w:tcBorders>
              <w:bottom w:val="single" w:sz="4" w:space="0" w:color="auto"/>
            </w:tcBorders>
          </w:tcPr>
          <w:p w14:paraId="2312C1B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3.54±0.69</w:t>
            </w:r>
          </w:p>
        </w:tc>
        <w:tc>
          <w:tcPr>
            <w:tcW w:w="1701" w:type="dxa"/>
            <w:tcBorders>
              <w:bottom w:val="single" w:sz="4" w:space="0" w:color="auto"/>
            </w:tcBorders>
          </w:tcPr>
          <w:p w14:paraId="219E8F4E"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3.85±0.92</w:t>
            </w:r>
          </w:p>
        </w:tc>
        <w:tc>
          <w:tcPr>
            <w:tcW w:w="992" w:type="dxa"/>
            <w:tcBorders>
              <w:bottom w:val="single" w:sz="4" w:space="0" w:color="auto"/>
            </w:tcBorders>
          </w:tcPr>
          <w:p w14:paraId="5AEC668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1.29</w:t>
            </w:r>
          </w:p>
        </w:tc>
        <w:tc>
          <w:tcPr>
            <w:tcW w:w="993" w:type="dxa"/>
            <w:tcBorders>
              <w:bottom w:val="single" w:sz="4" w:space="0" w:color="auto"/>
            </w:tcBorders>
          </w:tcPr>
          <w:p w14:paraId="3A26E014"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0.20</w:t>
            </w:r>
          </w:p>
        </w:tc>
      </w:tr>
    </w:tbl>
    <w:p w14:paraId="4AF06ABB"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3D20B29B" w14:textId="77777777" w:rsidR="00FC6E15" w:rsidRPr="00FC6E15" w:rsidRDefault="00FC6E15" w:rsidP="00FC6E15">
      <w:pPr>
        <w:spacing w:line="360" w:lineRule="auto"/>
        <w:jc w:val="both"/>
        <w:rPr>
          <w:rFonts w:ascii="Times New Roman" w:hAnsi="Times New Roman" w:cs="Times New Roman"/>
          <w:sz w:val="24"/>
          <w:szCs w:val="24"/>
        </w:rPr>
      </w:pPr>
    </w:p>
    <w:p w14:paraId="2A70B5D5" w14:textId="77777777" w:rsidR="00FC6E15" w:rsidRPr="00FC6E15" w:rsidRDefault="00FC6E15" w:rsidP="00FC6E15">
      <w:pPr>
        <w:spacing w:line="360" w:lineRule="auto"/>
        <w:jc w:val="both"/>
        <w:rPr>
          <w:rFonts w:ascii="Times New Roman" w:hAnsi="Times New Roman" w:cs="Times New Roman"/>
          <w:sz w:val="24"/>
          <w:szCs w:val="24"/>
        </w:rPr>
      </w:pPr>
    </w:p>
    <w:p w14:paraId="40FC77D5" w14:textId="77777777" w:rsidR="00FC6E15" w:rsidRDefault="00FC6E15" w:rsidP="00FC6E15">
      <w:pPr>
        <w:spacing w:line="360" w:lineRule="auto"/>
        <w:jc w:val="both"/>
        <w:rPr>
          <w:rFonts w:ascii="Times New Roman" w:hAnsi="Times New Roman" w:cs="Times New Roman"/>
          <w:sz w:val="24"/>
          <w:szCs w:val="24"/>
        </w:rPr>
      </w:pPr>
    </w:p>
    <w:p w14:paraId="0CE0406E" w14:textId="77777777" w:rsidR="00681DEF" w:rsidRDefault="00681DEF" w:rsidP="00FC6E15">
      <w:pPr>
        <w:spacing w:line="360" w:lineRule="auto"/>
        <w:jc w:val="both"/>
        <w:rPr>
          <w:rFonts w:ascii="Times New Roman" w:hAnsi="Times New Roman" w:cs="Times New Roman"/>
          <w:sz w:val="24"/>
          <w:szCs w:val="24"/>
        </w:rPr>
      </w:pPr>
    </w:p>
    <w:p w14:paraId="33DBDAAE" w14:textId="77777777" w:rsidR="00681DEF" w:rsidRDefault="00681DEF" w:rsidP="00FC6E15">
      <w:pPr>
        <w:spacing w:line="360" w:lineRule="auto"/>
        <w:jc w:val="both"/>
        <w:rPr>
          <w:rFonts w:ascii="Times New Roman" w:hAnsi="Times New Roman" w:cs="Times New Roman"/>
          <w:sz w:val="24"/>
          <w:szCs w:val="24"/>
        </w:rPr>
      </w:pPr>
    </w:p>
    <w:p w14:paraId="6D3EA3E6" w14:textId="77777777" w:rsidR="00681DEF" w:rsidRDefault="00681DEF" w:rsidP="00FC6E15">
      <w:pPr>
        <w:spacing w:line="360" w:lineRule="auto"/>
        <w:jc w:val="both"/>
        <w:rPr>
          <w:rFonts w:ascii="Times New Roman" w:hAnsi="Times New Roman" w:cs="Times New Roman"/>
          <w:sz w:val="24"/>
          <w:szCs w:val="24"/>
        </w:rPr>
      </w:pPr>
    </w:p>
    <w:p w14:paraId="29187455" w14:textId="77777777" w:rsidR="00681DEF" w:rsidRDefault="00681DEF" w:rsidP="00FC6E15">
      <w:pPr>
        <w:spacing w:line="360" w:lineRule="auto"/>
        <w:jc w:val="both"/>
        <w:rPr>
          <w:rFonts w:ascii="Times New Roman" w:hAnsi="Times New Roman" w:cs="Times New Roman"/>
          <w:sz w:val="24"/>
          <w:szCs w:val="24"/>
        </w:rPr>
      </w:pPr>
    </w:p>
    <w:p w14:paraId="308DFCD9" w14:textId="77777777" w:rsidR="00FC6E15" w:rsidRPr="00FC6E15" w:rsidRDefault="00FC6E15" w:rsidP="00FC6E15">
      <w:pPr>
        <w:spacing w:line="360" w:lineRule="auto"/>
        <w:jc w:val="both"/>
        <w:rPr>
          <w:rFonts w:ascii="Times New Roman" w:hAnsi="Times New Roman" w:cs="Times New Roman"/>
          <w:sz w:val="24"/>
          <w:szCs w:val="24"/>
        </w:rPr>
      </w:pPr>
    </w:p>
    <w:p w14:paraId="5229DBD6" w14:textId="3142617E"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Table 3.</w:t>
      </w:r>
      <w:r>
        <w:rPr>
          <w:rFonts w:ascii="Times New Roman" w:eastAsia="Calibri" w:hAnsi="Times New Roman" w:cs="Times New Roman"/>
          <w:b/>
          <w:bCs/>
          <w:sz w:val="24"/>
          <w:szCs w:val="24"/>
        </w:rPr>
        <w:t xml:space="preserve"> </w:t>
      </w:r>
      <w:r w:rsidRPr="00BA723D">
        <w:rPr>
          <w:rFonts w:ascii="Times New Roman" w:hAnsi="Times New Roman" w:cs="Times New Roman"/>
          <w:b/>
          <w:bCs/>
          <w:sz w:val="24"/>
          <w:szCs w:val="24"/>
        </w:rPr>
        <w:t>Descriptive data for the at</w:t>
      </w:r>
      <w:r>
        <w:rPr>
          <w:rFonts w:ascii="Times New Roman" w:eastAsia="Calibri" w:hAnsi="Times New Roman" w:cs="Times New Roman"/>
          <w:b/>
          <w:bCs/>
          <w:sz w:val="24"/>
          <w:szCs w:val="24"/>
        </w:rPr>
        <w:t>-</w:t>
      </w:r>
      <w:r w:rsidRPr="00BA723D">
        <w:rPr>
          <w:rFonts w:ascii="Times New Roman" w:hAnsi="Times New Roman" w:cs="Times New Roman"/>
          <w:b/>
          <w:bCs/>
          <w:sz w:val="24"/>
          <w:szCs w:val="24"/>
        </w:rPr>
        <w:t>risk (</w:t>
      </w:r>
      <w:proofErr w:type="spellStart"/>
      <w:r w:rsidRPr="00BA723D">
        <w:rPr>
          <w:rFonts w:ascii="Times New Roman" w:hAnsi="Times New Roman" w:cs="Times New Roman"/>
          <w:b/>
          <w:bCs/>
          <w:sz w:val="24"/>
          <w:szCs w:val="24"/>
        </w:rPr>
        <w:t>Etche</w:t>
      </w:r>
      <w:proofErr w:type="spellEnd"/>
      <w:r w:rsidRPr="00BA723D">
        <w:rPr>
          <w:rFonts w:ascii="Times New Roman" w:hAnsi="Times New Roman" w:cs="Times New Roman"/>
          <w:b/>
          <w:bCs/>
          <w:sz w:val="24"/>
          <w:szCs w:val="24"/>
        </w:rPr>
        <w:t>) group</w:t>
      </w:r>
    </w:p>
    <w:tbl>
      <w:tblPr>
        <w:tblW w:w="10490" w:type="dxa"/>
        <w:tblInd w:w="-567" w:type="dxa"/>
        <w:tblLayout w:type="fixed"/>
        <w:tblLook w:val="0000" w:firstRow="0" w:lastRow="0" w:firstColumn="0" w:lastColumn="0" w:noHBand="0" w:noVBand="0"/>
      </w:tblPr>
      <w:tblGrid>
        <w:gridCol w:w="1276"/>
        <w:gridCol w:w="2693"/>
        <w:gridCol w:w="488"/>
        <w:gridCol w:w="1213"/>
        <w:gridCol w:w="1276"/>
        <w:gridCol w:w="1134"/>
        <w:gridCol w:w="992"/>
        <w:gridCol w:w="1418"/>
      </w:tblGrid>
      <w:tr w:rsidR="009A41C2" w14:paraId="22BAADF0" w14:textId="77777777" w:rsidTr="00F56160">
        <w:trPr>
          <w:trHeight w:val="520"/>
        </w:trPr>
        <w:tc>
          <w:tcPr>
            <w:tcW w:w="1276" w:type="dxa"/>
            <w:tcBorders>
              <w:top w:val="single" w:sz="4" w:space="0" w:color="auto"/>
            </w:tcBorders>
          </w:tcPr>
          <w:p w14:paraId="5155D264" w14:textId="77777777" w:rsidR="00F56160" w:rsidRPr="00F56160" w:rsidRDefault="00F56160" w:rsidP="002A3165">
            <w:pPr>
              <w:rPr>
                <w:rFonts w:ascii="Times New Roman" w:hAnsi="Times New Roman" w:cs="Times New Roman"/>
                <w:sz w:val="24"/>
                <w:szCs w:val="24"/>
              </w:rPr>
            </w:pPr>
          </w:p>
        </w:tc>
        <w:tc>
          <w:tcPr>
            <w:tcW w:w="2693" w:type="dxa"/>
            <w:tcBorders>
              <w:top w:val="single" w:sz="4" w:space="0" w:color="auto"/>
            </w:tcBorders>
          </w:tcPr>
          <w:p w14:paraId="64752AE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Subtests</w:t>
            </w:r>
          </w:p>
        </w:tc>
        <w:tc>
          <w:tcPr>
            <w:tcW w:w="488" w:type="dxa"/>
            <w:tcBorders>
              <w:top w:val="single" w:sz="4" w:space="0" w:color="auto"/>
            </w:tcBorders>
          </w:tcPr>
          <w:p w14:paraId="7DFAF0C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N</w:t>
            </w:r>
          </w:p>
        </w:tc>
        <w:tc>
          <w:tcPr>
            <w:tcW w:w="1213" w:type="dxa"/>
            <w:tcBorders>
              <w:top w:val="single" w:sz="4" w:space="0" w:color="auto"/>
            </w:tcBorders>
          </w:tcPr>
          <w:p w14:paraId="1EF4B40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Minimum</w:t>
            </w:r>
          </w:p>
        </w:tc>
        <w:tc>
          <w:tcPr>
            <w:tcW w:w="1276" w:type="dxa"/>
            <w:tcBorders>
              <w:top w:val="single" w:sz="4" w:space="0" w:color="auto"/>
            </w:tcBorders>
          </w:tcPr>
          <w:p w14:paraId="2CAA417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Minimum</w:t>
            </w:r>
          </w:p>
        </w:tc>
        <w:tc>
          <w:tcPr>
            <w:tcW w:w="1134" w:type="dxa"/>
            <w:tcBorders>
              <w:top w:val="single" w:sz="4" w:space="0" w:color="auto"/>
            </w:tcBorders>
          </w:tcPr>
          <w:p w14:paraId="1A9D2C9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Mean</w:t>
            </w:r>
          </w:p>
        </w:tc>
        <w:tc>
          <w:tcPr>
            <w:tcW w:w="992" w:type="dxa"/>
            <w:tcBorders>
              <w:top w:val="single" w:sz="4" w:space="0" w:color="auto"/>
            </w:tcBorders>
          </w:tcPr>
          <w:p w14:paraId="1AC3B07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Std. error</w:t>
            </w:r>
          </w:p>
        </w:tc>
        <w:tc>
          <w:tcPr>
            <w:tcW w:w="1418" w:type="dxa"/>
            <w:tcBorders>
              <w:top w:val="single" w:sz="4" w:space="0" w:color="auto"/>
            </w:tcBorders>
          </w:tcPr>
          <w:p w14:paraId="6054728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Std. Deviation</w:t>
            </w:r>
          </w:p>
        </w:tc>
      </w:tr>
      <w:tr w:rsidR="009A41C2" w14:paraId="4000D3BD" w14:textId="77777777" w:rsidTr="00F56160">
        <w:trPr>
          <w:trHeight w:val="520"/>
        </w:trPr>
        <w:tc>
          <w:tcPr>
            <w:tcW w:w="1276" w:type="dxa"/>
            <w:vMerge w:val="restart"/>
            <w:tcBorders>
              <w:top w:val="single" w:sz="4" w:space="0" w:color="auto"/>
            </w:tcBorders>
            <w:vAlign w:val="center"/>
          </w:tcPr>
          <w:p w14:paraId="6EAFA48E" w14:textId="5AA2F1F1"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lastRenderedPageBreak/>
              <w:t>Non-dominant hand</w:t>
            </w:r>
          </w:p>
        </w:tc>
        <w:tc>
          <w:tcPr>
            <w:tcW w:w="2693" w:type="dxa"/>
            <w:tcBorders>
              <w:top w:val="single" w:sz="4" w:space="0" w:color="auto"/>
            </w:tcBorders>
          </w:tcPr>
          <w:p w14:paraId="6348C9A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488" w:type="dxa"/>
            <w:tcBorders>
              <w:top w:val="single" w:sz="4" w:space="0" w:color="auto"/>
            </w:tcBorders>
          </w:tcPr>
          <w:p w14:paraId="7A6D056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Borders>
              <w:top w:val="single" w:sz="4" w:space="0" w:color="auto"/>
            </w:tcBorders>
          </w:tcPr>
          <w:p w14:paraId="437606C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33.58</w:t>
            </w:r>
          </w:p>
        </w:tc>
        <w:tc>
          <w:tcPr>
            <w:tcW w:w="1276" w:type="dxa"/>
            <w:tcBorders>
              <w:top w:val="single" w:sz="4" w:space="0" w:color="auto"/>
            </w:tcBorders>
          </w:tcPr>
          <w:p w14:paraId="21EFEF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114.57</w:t>
            </w:r>
          </w:p>
        </w:tc>
        <w:tc>
          <w:tcPr>
            <w:tcW w:w="1134" w:type="dxa"/>
            <w:tcBorders>
              <w:top w:val="single" w:sz="4" w:space="0" w:color="auto"/>
            </w:tcBorders>
          </w:tcPr>
          <w:p w14:paraId="0CBEBD85" w14:textId="6BC5D1E8"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69.39</w:t>
            </w:r>
          </w:p>
        </w:tc>
        <w:tc>
          <w:tcPr>
            <w:tcW w:w="992" w:type="dxa"/>
            <w:tcBorders>
              <w:top w:val="single" w:sz="4" w:space="0" w:color="auto"/>
            </w:tcBorders>
          </w:tcPr>
          <w:p w14:paraId="0C795F07" w14:textId="7BCA7F8E"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3.11</w:t>
            </w:r>
          </w:p>
        </w:tc>
        <w:tc>
          <w:tcPr>
            <w:tcW w:w="1418" w:type="dxa"/>
            <w:tcBorders>
              <w:top w:val="single" w:sz="4" w:space="0" w:color="auto"/>
            </w:tcBorders>
          </w:tcPr>
          <w:p w14:paraId="273F3C80" w14:textId="40239DC8"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20.87</w:t>
            </w:r>
          </w:p>
        </w:tc>
      </w:tr>
      <w:tr w:rsidR="009A41C2" w14:paraId="08CD0783" w14:textId="77777777" w:rsidTr="00F56160">
        <w:trPr>
          <w:trHeight w:val="520"/>
        </w:trPr>
        <w:tc>
          <w:tcPr>
            <w:tcW w:w="1276" w:type="dxa"/>
            <w:vMerge/>
            <w:tcBorders>
              <w:top w:val="single" w:sz="4" w:space="0" w:color="auto"/>
            </w:tcBorders>
            <w:vAlign w:val="center"/>
          </w:tcPr>
          <w:p w14:paraId="7AC7E04F" w14:textId="77777777" w:rsidR="00F56160" w:rsidRPr="00F56160" w:rsidRDefault="00F56160" w:rsidP="002A3165">
            <w:pPr>
              <w:rPr>
                <w:rFonts w:ascii="Times New Roman" w:hAnsi="Times New Roman" w:cs="Times New Roman"/>
                <w:sz w:val="24"/>
                <w:szCs w:val="24"/>
              </w:rPr>
            </w:pPr>
          </w:p>
        </w:tc>
        <w:tc>
          <w:tcPr>
            <w:tcW w:w="2693" w:type="dxa"/>
          </w:tcPr>
          <w:p w14:paraId="60F5310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488" w:type="dxa"/>
          </w:tcPr>
          <w:p w14:paraId="3967D7C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5FCCCFA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3.24</w:t>
            </w:r>
          </w:p>
        </w:tc>
        <w:tc>
          <w:tcPr>
            <w:tcW w:w="1276" w:type="dxa"/>
          </w:tcPr>
          <w:p w14:paraId="4F46C03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8.34</w:t>
            </w:r>
          </w:p>
        </w:tc>
        <w:tc>
          <w:tcPr>
            <w:tcW w:w="1134" w:type="dxa"/>
          </w:tcPr>
          <w:p w14:paraId="6847C3B5" w14:textId="262DC46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5.48</w:t>
            </w:r>
          </w:p>
        </w:tc>
        <w:tc>
          <w:tcPr>
            <w:tcW w:w="992" w:type="dxa"/>
          </w:tcPr>
          <w:p w14:paraId="242BE187" w14:textId="34B7C945"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w:t>
            </w:r>
          </w:p>
        </w:tc>
        <w:tc>
          <w:tcPr>
            <w:tcW w:w="1418" w:type="dxa"/>
          </w:tcPr>
          <w:p w14:paraId="4277CBAA" w14:textId="073B6D9B"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1.27</w:t>
            </w:r>
          </w:p>
        </w:tc>
      </w:tr>
      <w:tr w:rsidR="009A41C2" w14:paraId="5924AB6D" w14:textId="77777777" w:rsidTr="00F56160">
        <w:trPr>
          <w:trHeight w:val="520"/>
        </w:trPr>
        <w:tc>
          <w:tcPr>
            <w:tcW w:w="1276" w:type="dxa"/>
            <w:vMerge/>
            <w:tcBorders>
              <w:top w:val="single" w:sz="4" w:space="0" w:color="auto"/>
            </w:tcBorders>
            <w:vAlign w:val="center"/>
          </w:tcPr>
          <w:p w14:paraId="3CA5DC65" w14:textId="77777777" w:rsidR="00F56160" w:rsidRPr="00F56160" w:rsidRDefault="00F56160" w:rsidP="002A3165">
            <w:pPr>
              <w:rPr>
                <w:rFonts w:ascii="Times New Roman" w:hAnsi="Times New Roman" w:cs="Times New Roman"/>
                <w:sz w:val="24"/>
                <w:szCs w:val="24"/>
              </w:rPr>
            </w:pPr>
          </w:p>
        </w:tc>
        <w:tc>
          <w:tcPr>
            <w:tcW w:w="2693" w:type="dxa"/>
          </w:tcPr>
          <w:p w14:paraId="4204E42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objects</w:t>
            </w:r>
          </w:p>
        </w:tc>
        <w:tc>
          <w:tcPr>
            <w:tcW w:w="488" w:type="dxa"/>
          </w:tcPr>
          <w:p w14:paraId="50B2C29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74DF89F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4.21</w:t>
            </w:r>
          </w:p>
        </w:tc>
        <w:tc>
          <w:tcPr>
            <w:tcW w:w="1276" w:type="dxa"/>
          </w:tcPr>
          <w:p w14:paraId="3EBDDA7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11.43</w:t>
            </w:r>
          </w:p>
        </w:tc>
        <w:tc>
          <w:tcPr>
            <w:tcW w:w="1134" w:type="dxa"/>
          </w:tcPr>
          <w:p w14:paraId="1474127B" w14:textId="4B030ACF"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6.21</w:t>
            </w:r>
          </w:p>
        </w:tc>
        <w:tc>
          <w:tcPr>
            <w:tcW w:w="992" w:type="dxa"/>
          </w:tcPr>
          <w:p w14:paraId="43F5B214" w14:textId="6F88FA36"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0.231</w:t>
            </w:r>
          </w:p>
        </w:tc>
        <w:tc>
          <w:tcPr>
            <w:tcW w:w="1418" w:type="dxa"/>
          </w:tcPr>
          <w:p w14:paraId="43BD885A" w14:textId="646953B6"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1.56</w:t>
            </w:r>
          </w:p>
        </w:tc>
      </w:tr>
      <w:tr w:rsidR="009A41C2" w14:paraId="2B13A2ED" w14:textId="77777777" w:rsidTr="00F56160">
        <w:trPr>
          <w:trHeight w:val="520"/>
        </w:trPr>
        <w:tc>
          <w:tcPr>
            <w:tcW w:w="1276" w:type="dxa"/>
            <w:vMerge/>
            <w:tcBorders>
              <w:top w:val="single" w:sz="4" w:space="0" w:color="auto"/>
            </w:tcBorders>
            <w:vAlign w:val="center"/>
          </w:tcPr>
          <w:p w14:paraId="6ED1606B" w14:textId="77777777" w:rsidR="00F56160" w:rsidRPr="00F56160" w:rsidRDefault="00F56160" w:rsidP="002A3165">
            <w:pPr>
              <w:rPr>
                <w:rFonts w:ascii="Times New Roman" w:hAnsi="Times New Roman" w:cs="Times New Roman"/>
                <w:sz w:val="24"/>
                <w:szCs w:val="24"/>
              </w:rPr>
            </w:pPr>
          </w:p>
        </w:tc>
        <w:tc>
          <w:tcPr>
            <w:tcW w:w="2693" w:type="dxa"/>
          </w:tcPr>
          <w:p w14:paraId="716CD15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488" w:type="dxa"/>
          </w:tcPr>
          <w:p w14:paraId="76A718B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036C344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8.17</w:t>
            </w:r>
          </w:p>
        </w:tc>
        <w:tc>
          <w:tcPr>
            <w:tcW w:w="1276" w:type="dxa"/>
          </w:tcPr>
          <w:p w14:paraId="691E046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39.47</w:t>
            </w:r>
          </w:p>
        </w:tc>
        <w:tc>
          <w:tcPr>
            <w:tcW w:w="1134" w:type="dxa"/>
          </w:tcPr>
          <w:p w14:paraId="3F9C7668" w14:textId="19D40C2A"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14.92</w:t>
            </w:r>
          </w:p>
        </w:tc>
        <w:tc>
          <w:tcPr>
            <w:tcW w:w="992" w:type="dxa"/>
          </w:tcPr>
          <w:p w14:paraId="70773F15" w14:textId="5495F6F6"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0.92</w:t>
            </w:r>
          </w:p>
        </w:tc>
        <w:tc>
          <w:tcPr>
            <w:tcW w:w="1418" w:type="dxa"/>
          </w:tcPr>
          <w:p w14:paraId="29BBF786" w14:textId="0C887F33"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6.18</w:t>
            </w:r>
          </w:p>
        </w:tc>
      </w:tr>
      <w:tr w:rsidR="009A41C2" w14:paraId="1947C8C9" w14:textId="77777777" w:rsidTr="00F56160">
        <w:trPr>
          <w:trHeight w:val="520"/>
        </w:trPr>
        <w:tc>
          <w:tcPr>
            <w:tcW w:w="1276" w:type="dxa"/>
            <w:vMerge/>
            <w:tcBorders>
              <w:top w:val="single" w:sz="4" w:space="0" w:color="auto"/>
            </w:tcBorders>
            <w:vAlign w:val="center"/>
          </w:tcPr>
          <w:p w14:paraId="2B5E305F" w14:textId="77777777" w:rsidR="00F56160" w:rsidRPr="00F56160" w:rsidRDefault="00F56160" w:rsidP="002A3165">
            <w:pPr>
              <w:rPr>
                <w:rFonts w:ascii="Times New Roman" w:hAnsi="Times New Roman" w:cs="Times New Roman"/>
                <w:sz w:val="24"/>
                <w:szCs w:val="24"/>
              </w:rPr>
            </w:pPr>
          </w:p>
        </w:tc>
        <w:tc>
          <w:tcPr>
            <w:tcW w:w="2693" w:type="dxa"/>
          </w:tcPr>
          <w:p w14:paraId="577270E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w:t>
            </w:r>
            <w:r w:rsidRPr="00F56160">
              <w:rPr>
                <w:rFonts w:ascii="Times New Roman" w:hAnsi="Times New Roman" w:cs="Times New Roman"/>
                <w:sz w:val="24"/>
                <w:szCs w:val="24"/>
              </w:rPr>
              <w:t xml:space="preserve"> Checkers</w:t>
            </w:r>
          </w:p>
        </w:tc>
        <w:tc>
          <w:tcPr>
            <w:tcW w:w="488" w:type="dxa"/>
          </w:tcPr>
          <w:p w14:paraId="5C62E15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586C2EC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2.62</w:t>
            </w:r>
          </w:p>
        </w:tc>
        <w:tc>
          <w:tcPr>
            <w:tcW w:w="1276" w:type="dxa"/>
          </w:tcPr>
          <w:p w14:paraId="494C91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5.75</w:t>
            </w:r>
          </w:p>
        </w:tc>
        <w:tc>
          <w:tcPr>
            <w:tcW w:w="1134" w:type="dxa"/>
          </w:tcPr>
          <w:p w14:paraId="197198A5" w14:textId="0EBA4654"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4.06</w:t>
            </w:r>
          </w:p>
        </w:tc>
        <w:tc>
          <w:tcPr>
            <w:tcW w:w="992" w:type="dxa"/>
          </w:tcPr>
          <w:p w14:paraId="35F9AF15" w14:textId="1AA236C5"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0.12</w:t>
            </w:r>
          </w:p>
        </w:tc>
        <w:tc>
          <w:tcPr>
            <w:tcW w:w="1418" w:type="dxa"/>
          </w:tcPr>
          <w:p w14:paraId="46BE9ADC" w14:textId="0D8E9ED2"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0.79</w:t>
            </w:r>
          </w:p>
        </w:tc>
      </w:tr>
      <w:tr w:rsidR="009A41C2" w14:paraId="01E7E9E9" w14:textId="77777777" w:rsidTr="00F56160">
        <w:trPr>
          <w:trHeight w:val="520"/>
        </w:trPr>
        <w:tc>
          <w:tcPr>
            <w:tcW w:w="1276" w:type="dxa"/>
            <w:vMerge/>
            <w:tcBorders>
              <w:top w:val="single" w:sz="4" w:space="0" w:color="auto"/>
            </w:tcBorders>
            <w:vAlign w:val="center"/>
          </w:tcPr>
          <w:p w14:paraId="71EE78D8" w14:textId="77777777" w:rsidR="00F56160" w:rsidRPr="00F56160" w:rsidRDefault="00F56160" w:rsidP="002A3165">
            <w:pPr>
              <w:rPr>
                <w:rFonts w:ascii="Times New Roman" w:hAnsi="Times New Roman" w:cs="Times New Roman"/>
                <w:sz w:val="24"/>
                <w:szCs w:val="24"/>
              </w:rPr>
            </w:pPr>
          </w:p>
        </w:tc>
        <w:tc>
          <w:tcPr>
            <w:tcW w:w="2693" w:type="dxa"/>
          </w:tcPr>
          <w:p w14:paraId="649EEEA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488" w:type="dxa"/>
          </w:tcPr>
          <w:p w14:paraId="403663F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01A6F3A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2.54</w:t>
            </w:r>
          </w:p>
        </w:tc>
        <w:tc>
          <w:tcPr>
            <w:tcW w:w="1276" w:type="dxa"/>
          </w:tcPr>
          <w:p w14:paraId="7CDCE74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4.56</w:t>
            </w:r>
          </w:p>
        </w:tc>
        <w:tc>
          <w:tcPr>
            <w:tcW w:w="1134" w:type="dxa"/>
          </w:tcPr>
          <w:p w14:paraId="41A0E0A3" w14:textId="0671C291"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3.46</w:t>
            </w:r>
          </w:p>
        </w:tc>
        <w:tc>
          <w:tcPr>
            <w:tcW w:w="992" w:type="dxa"/>
          </w:tcPr>
          <w:p w14:paraId="53D6B6CA" w14:textId="364171C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0.08</w:t>
            </w:r>
          </w:p>
        </w:tc>
        <w:tc>
          <w:tcPr>
            <w:tcW w:w="1418" w:type="dxa"/>
          </w:tcPr>
          <w:p w14:paraId="6F2F3A99" w14:textId="67675C7F"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0.52</w:t>
            </w:r>
          </w:p>
        </w:tc>
      </w:tr>
      <w:tr w:rsidR="009A41C2" w14:paraId="3D32AC4B" w14:textId="77777777" w:rsidTr="00F56160">
        <w:trPr>
          <w:trHeight w:val="520"/>
        </w:trPr>
        <w:tc>
          <w:tcPr>
            <w:tcW w:w="1276" w:type="dxa"/>
            <w:vMerge/>
            <w:tcBorders>
              <w:top w:val="single" w:sz="4" w:space="0" w:color="auto"/>
            </w:tcBorders>
            <w:vAlign w:val="center"/>
          </w:tcPr>
          <w:p w14:paraId="39053988" w14:textId="77777777" w:rsidR="00F56160" w:rsidRPr="00F56160" w:rsidRDefault="00F56160" w:rsidP="002A3165">
            <w:pPr>
              <w:rPr>
                <w:rFonts w:ascii="Times New Roman" w:hAnsi="Times New Roman" w:cs="Times New Roman"/>
                <w:sz w:val="24"/>
                <w:szCs w:val="24"/>
              </w:rPr>
            </w:pPr>
          </w:p>
        </w:tc>
        <w:tc>
          <w:tcPr>
            <w:tcW w:w="2693" w:type="dxa"/>
            <w:tcBorders>
              <w:bottom w:val="single" w:sz="4" w:space="0" w:color="auto"/>
            </w:tcBorders>
          </w:tcPr>
          <w:p w14:paraId="187CDE7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488" w:type="dxa"/>
            <w:tcBorders>
              <w:bottom w:val="single" w:sz="4" w:space="0" w:color="auto"/>
            </w:tcBorders>
          </w:tcPr>
          <w:p w14:paraId="0970483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Borders>
              <w:bottom w:val="single" w:sz="4" w:space="0" w:color="auto"/>
            </w:tcBorders>
          </w:tcPr>
          <w:p w14:paraId="338F218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2.34</w:t>
            </w:r>
          </w:p>
        </w:tc>
        <w:tc>
          <w:tcPr>
            <w:tcW w:w="1276" w:type="dxa"/>
            <w:tcBorders>
              <w:bottom w:val="single" w:sz="4" w:space="0" w:color="auto"/>
            </w:tcBorders>
          </w:tcPr>
          <w:p w14:paraId="1506E13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5.41</w:t>
            </w:r>
          </w:p>
        </w:tc>
        <w:tc>
          <w:tcPr>
            <w:tcW w:w="1134" w:type="dxa"/>
            <w:tcBorders>
              <w:bottom w:val="single" w:sz="4" w:space="0" w:color="auto"/>
            </w:tcBorders>
          </w:tcPr>
          <w:p w14:paraId="43FA96EE" w14:textId="5CE12CED"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3.32</w:t>
            </w:r>
          </w:p>
        </w:tc>
        <w:tc>
          <w:tcPr>
            <w:tcW w:w="992" w:type="dxa"/>
            <w:tcBorders>
              <w:bottom w:val="single" w:sz="4" w:space="0" w:color="auto"/>
            </w:tcBorders>
          </w:tcPr>
          <w:p w14:paraId="7F7CF8C8" w14:textId="6454B3DB"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0.10</w:t>
            </w:r>
          </w:p>
        </w:tc>
        <w:tc>
          <w:tcPr>
            <w:tcW w:w="1418" w:type="dxa"/>
            <w:tcBorders>
              <w:bottom w:val="single" w:sz="4" w:space="0" w:color="auto"/>
            </w:tcBorders>
          </w:tcPr>
          <w:p w14:paraId="78610611" w14:textId="2FED4ECD"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0.68</w:t>
            </w:r>
          </w:p>
        </w:tc>
      </w:tr>
      <w:tr w:rsidR="009A41C2" w14:paraId="31F77E3E" w14:textId="77777777" w:rsidTr="00F56160">
        <w:trPr>
          <w:trHeight w:val="520"/>
        </w:trPr>
        <w:tc>
          <w:tcPr>
            <w:tcW w:w="1276" w:type="dxa"/>
            <w:vMerge w:val="restart"/>
            <w:tcBorders>
              <w:top w:val="single" w:sz="4" w:space="0" w:color="auto"/>
              <w:bottom w:val="single" w:sz="4" w:space="0" w:color="auto"/>
            </w:tcBorders>
            <w:vAlign w:val="center"/>
          </w:tcPr>
          <w:p w14:paraId="5C08854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693" w:type="dxa"/>
          </w:tcPr>
          <w:p w14:paraId="4DEE9C7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488" w:type="dxa"/>
          </w:tcPr>
          <w:p w14:paraId="55F52B4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3989A5B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11.86</w:t>
            </w:r>
          </w:p>
        </w:tc>
        <w:tc>
          <w:tcPr>
            <w:tcW w:w="1276" w:type="dxa"/>
          </w:tcPr>
          <w:p w14:paraId="70A771C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95.78</w:t>
            </w:r>
          </w:p>
        </w:tc>
        <w:tc>
          <w:tcPr>
            <w:tcW w:w="1134" w:type="dxa"/>
          </w:tcPr>
          <w:p w14:paraId="62C43196" w14:textId="389E17D2"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34.42</w:t>
            </w:r>
          </w:p>
        </w:tc>
        <w:tc>
          <w:tcPr>
            <w:tcW w:w="992" w:type="dxa"/>
          </w:tcPr>
          <w:p w14:paraId="1BAF2920" w14:textId="127FDFFC"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2.58</w:t>
            </w:r>
          </w:p>
        </w:tc>
        <w:tc>
          <w:tcPr>
            <w:tcW w:w="1418" w:type="dxa"/>
          </w:tcPr>
          <w:p w14:paraId="29C97E1A" w14:textId="4431A89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17.33</w:t>
            </w:r>
          </w:p>
        </w:tc>
      </w:tr>
      <w:tr w:rsidR="009A41C2" w14:paraId="4D606CC9" w14:textId="77777777" w:rsidTr="00F56160">
        <w:trPr>
          <w:trHeight w:val="520"/>
        </w:trPr>
        <w:tc>
          <w:tcPr>
            <w:tcW w:w="1276" w:type="dxa"/>
            <w:vMerge/>
            <w:tcBorders>
              <w:top w:val="single" w:sz="4" w:space="0" w:color="auto"/>
              <w:bottom w:val="single" w:sz="4" w:space="0" w:color="auto"/>
            </w:tcBorders>
            <w:vAlign w:val="center"/>
          </w:tcPr>
          <w:p w14:paraId="7EB2DF58" w14:textId="77777777" w:rsidR="00F56160" w:rsidRPr="00F56160" w:rsidRDefault="00F56160" w:rsidP="002A3165">
            <w:pPr>
              <w:rPr>
                <w:rFonts w:ascii="Times New Roman" w:hAnsi="Times New Roman" w:cs="Times New Roman"/>
                <w:sz w:val="24"/>
                <w:szCs w:val="24"/>
              </w:rPr>
            </w:pPr>
          </w:p>
        </w:tc>
        <w:tc>
          <w:tcPr>
            <w:tcW w:w="2693" w:type="dxa"/>
          </w:tcPr>
          <w:p w14:paraId="2F2F367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tuning</w:t>
            </w:r>
          </w:p>
        </w:tc>
        <w:tc>
          <w:tcPr>
            <w:tcW w:w="488" w:type="dxa"/>
          </w:tcPr>
          <w:p w14:paraId="41496B0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389C497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2.59</w:t>
            </w:r>
          </w:p>
        </w:tc>
        <w:tc>
          <w:tcPr>
            <w:tcW w:w="1276" w:type="dxa"/>
          </w:tcPr>
          <w:p w14:paraId="5EBBCE4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7.35</w:t>
            </w:r>
          </w:p>
        </w:tc>
        <w:tc>
          <w:tcPr>
            <w:tcW w:w="1134" w:type="dxa"/>
          </w:tcPr>
          <w:p w14:paraId="65E51E0E" w14:textId="53A17490"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4.46</w:t>
            </w:r>
          </w:p>
        </w:tc>
        <w:tc>
          <w:tcPr>
            <w:tcW w:w="992" w:type="dxa"/>
          </w:tcPr>
          <w:p w14:paraId="21BEFBFE" w14:textId="1E30FF19"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0.16</w:t>
            </w:r>
          </w:p>
        </w:tc>
        <w:tc>
          <w:tcPr>
            <w:tcW w:w="1418" w:type="dxa"/>
          </w:tcPr>
          <w:p w14:paraId="36D6113F" w14:textId="3A83F2D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1.05</w:t>
            </w:r>
          </w:p>
        </w:tc>
      </w:tr>
      <w:tr w:rsidR="009A41C2" w14:paraId="24729D17" w14:textId="77777777" w:rsidTr="00F56160">
        <w:trPr>
          <w:trHeight w:val="520"/>
        </w:trPr>
        <w:tc>
          <w:tcPr>
            <w:tcW w:w="1276" w:type="dxa"/>
            <w:vMerge/>
            <w:tcBorders>
              <w:top w:val="single" w:sz="4" w:space="0" w:color="auto"/>
              <w:bottom w:val="single" w:sz="4" w:space="0" w:color="auto"/>
            </w:tcBorders>
            <w:vAlign w:val="center"/>
          </w:tcPr>
          <w:p w14:paraId="073A3F21" w14:textId="77777777" w:rsidR="00F56160" w:rsidRPr="00F56160" w:rsidRDefault="00F56160" w:rsidP="002A3165">
            <w:pPr>
              <w:rPr>
                <w:rFonts w:ascii="Times New Roman" w:hAnsi="Times New Roman" w:cs="Times New Roman"/>
                <w:sz w:val="24"/>
                <w:szCs w:val="24"/>
              </w:rPr>
            </w:pPr>
          </w:p>
        </w:tc>
        <w:tc>
          <w:tcPr>
            <w:tcW w:w="2693" w:type="dxa"/>
          </w:tcPr>
          <w:p w14:paraId="60947BE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488" w:type="dxa"/>
          </w:tcPr>
          <w:p w14:paraId="3B6124A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18C70FA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6.56</w:t>
            </w:r>
          </w:p>
        </w:tc>
        <w:tc>
          <w:tcPr>
            <w:tcW w:w="1276" w:type="dxa"/>
          </w:tcPr>
          <w:p w14:paraId="27B13BD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18.38</w:t>
            </w:r>
          </w:p>
        </w:tc>
        <w:tc>
          <w:tcPr>
            <w:tcW w:w="1134" w:type="dxa"/>
          </w:tcPr>
          <w:p w14:paraId="555242DC" w14:textId="7AD7F945"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10.21</w:t>
            </w:r>
          </w:p>
        </w:tc>
        <w:tc>
          <w:tcPr>
            <w:tcW w:w="992" w:type="dxa"/>
          </w:tcPr>
          <w:p w14:paraId="4FDBC6E4" w14:textId="16ED627A"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0.42</w:t>
            </w:r>
          </w:p>
        </w:tc>
        <w:tc>
          <w:tcPr>
            <w:tcW w:w="1418" w:type="dxa"/>
          </w:tcPr>
          <w:p w14:paraId="3D69F1EB" w14:textId="366D5C15"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2.79</w:t>
            </w:r>
          </w:p>
        </w:tc>
      </w:tr>
      <w:tr w:rsidR="009A41C2" w14:paraId="68F6A9E9" w14:textId="77777777" w:rsidTr="00F56160">
        <w:trPr>
          <w:trHeight w:val="520"/>
        </w:trPr>
        <w:tc>
          <w:tcPr>
            <w:tcW w:w="1276" w:type="dxa"/>
            <w:vMerge/>
            <w:tcBorders>
              <w:top w:val="single" w:sz="4" w:space="0" w:color="auto"/>
              <w:bottom w:val="single" w:sz="4" w:space="0" w:color="auto"/>
            </w:tcBorders>
            <w:vAlign w:val="center"/>
          </w:tcPr>
          <w:p w14:paraId="5C01313A" w14:textId="77777777" w:rsidR="00F56160" w:rsidRPr="00F56160" w:rsidRDefault="00F56160" w:rsidP="002A3165">
            <w:pPr>
              <w:rPr>
                <w:rFonts w:ascii="Times New Roman" w:hAnsi="Times New Roman" w:cs="Times New Roman"/>
                <w:sz w:val="24"/>
                <w:szCs w:val="24"/>
              </w:rPr>
            </w:pPr>
          </w:p>
        </w:tc>
        <w:tc>
          <w:tcPr>
            <w:tcW w:w="2693" w:type="dxa"/>
          </w:tcPr>
          <w:p w14:paraId="34CA6EE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488" w:type="dxa"/>
          </w:tcPr>
          <w:p w14:paraId="550DCF9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0DE2944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2.35</w:t>
            </w:r>
          </w:p>
        </w:tc>
        <w:tc>
          <w:tcPr>
            <w:tcW w:w="1276" w:type="dxa"/>
          </w:tcPr>
          <w:p w14:paraId="485E296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15.24</w:t>
            </w:r>
          </w:p>
        </w:tc>
        <w:tc>
          <w:tcPr>
            <w:tcW w:w="1134" w:type="dxa"/>
          </w:tcPr>
          <w:p w14:paraId="5F671933" w14:textId="352656EE"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3.94</w:t>
            </w:r>
          </w:p>
        </w:tc>
        <w:tc>
          <w:tcPr>
            <w:tcW w:w="992" w:type="dxa"/>
          </w:tcPr>
          <w:p w14:paraId="113EAFFE" w14:textId="1553BF83"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0.29</w:t>
            </w:r>
          </w:p>
        </w:tc>
        <w:tc>
          <w:tcPr>
            <w:tcW w:w="1418" w:type="dxa"/>
          </w:tcPr>
          <w:p w14:paraId="2CF25D6B" w14:textId="56AF0EE5"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1.92</w:t>
            </w:r>
          </w:p>
        </w:tc>
      </w:tr>
      <w:tr w:rsidR="009A41C2" w14:paraId="373B1122" w14:textId="77777777" w:rsidTr="00F56160">
        <w:trPr>
          <w:trHeight w:val="520"/>
        </w:trPr>
        <w:tc>
          <w:tcPr>
            <w:tcW w:w="1276" w:type="dxa"/>
            <w:vMerge/>
            <w:tcBorders>
              <w:top w:val="single" w:sz="4" w:space="0" w:color="auto"/>
              <w:bottom w:val="single" w:sz="4" w:space="0" w:color="auto"/>
            </w:tcBorders>
            <w:vAlign w:val="center"/>
          </w:tcPr>
          <w:p w14:paraId="59E139E4" w14:textId="77777777" w:rsidR="00F56160" w:rsidRPr="00F56160" w:rsidRDefault="00F56160" w:rsidP="002A3165">
            <w:pPr>
              <w:rPr>
                <w:rFonts w:ascii="Times New Roman" w:hAnsi="Times New Roman" w:cs="Times New Roman"/>
                <w:sz w:val="24"/>
                <w:szCs w:val="24"/>
              </w:rPr>
            </w:pPr>
          </w:p>
        </w:tc>
        <w:tc>
          <w:tcPr>
            <w:tcW w:w="2693" w:type="dxa"/>
          </w:tcPr>
          <w:p w14:paraId="3076CF6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488" w:type="dxa"/>
          </w:tcPr>
          <w:p w14:paraId="58FF414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5378876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2.21</w:t>
            </w:r>
          </w:p>
        </w:tc>
        <w:tc>
          <w:tcPr>
            <w:tcW w:w="1276" w:type="dxa"/>
          </w:tcPr>
          <w:p w14:paraId="51F04EB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4.69</w:t>
            </w:r>
          </w:p>
        </w:tc>
        <w:tc>
          <w:tcPr>
            <w:tcW w:w="1134" w:type="dxa"/>
          </w:tcPr>
          <w:p w14:paraId="0B09A951" w14:textId="62B9AC34"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3.05</w:t>
            </w:r>
          </w:p>
        </w:tc>
        <w:tc>
          <w:tcPr>
            <w:tcW w:w="992" w:type="dxa"/>
          </w:tcPr>
          <w:p w14:paraId="0CB1372F" w14:textId="14182BF8"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0.09</w:t>
            </w:r>
          </w:p>
        </w:tc>
        <w:tc>
          <w:tcPr>
            <w:tcW w:w="1418" w:type="dxa"/>
          </w:tcPr>
          <w:p w14:paraId="059EC6BE" w14:textId="67946DD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0.62</w:t>
            </w:r>
          </w:p>
        </w:tc>
      </w:tr>
      <w:tr w:rsidR="009A41C2" w14:paraId="3EE36DC0" w14:textId="77777777" w:rsidTr="00F56160">
        <w:trPr>
          <w:trHeight w:val="520"/>
        </w:trPr>
        <w:tc>
          <w:tcPr>
            <w:tcW w:w="1276" w:type="dxa"/>
            <w:vMerge/>
            <w:tcBorders>
              <w:top w:val="single" w:sz="4" w:space="0" w:color="auto"/>
              <w:bottom w:val="single" w:sz="4" w:space="0" w:color="auto"/>
            </w:tcBorders>
            <w:vAlign w:val="center"/>
          </w:tcPr>
          <w:p w14:paraId="700D2256" w14:textId="77777777" w:rsidR="00F56160" w:rsidRPr="00F56160" w:rsidRDefault="00F56160" w:rsidP="002A3165">
            <w:pPr>
              <w:rPr>
                <w:rFonts w:ascii="Times New Roman" w:hAnsi="Times New Roman" w:cs="Times New Roman"/>
                <w:sz w:val="24"/>
                <w:szCs w:val="24"/>
              </w:rPr>
            </w:pPr>
          </w:p>
        </w:tc>
        <w:tc>
          <w:tcPr>
            <w:tcW w:w="2693" w:type="dxa"/>
            <w:tcBorders>
              <w:bottom w:val="single" w:sz="4" w:space="0" w:color="auto"/>
            </w:tcBorders>
          </w:tcPr>
          <w:p w14:paraId="42EB270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488" w:type="dxa"/>
            <w:tcBorders>
              <w:bottom w:val="single" w:sz="4" w:space="0" w:color="auto"/>
            </w:tcBorders>
          </w:tcPr>
          <w:p w14:paraId="524596C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Borders>
              <w:bottom w:val="single" w:sz="4" w:space="0" w:color="auto"/>
            </w:tcBorders>
          </w:tcPr>
          <w:p w14:paraId="52B5481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2.23</w:t>
            </w:r>
          </w:p>
        </w:tc>
        <w:tc>
          <w:tcPr>
            <w:tcW w:w="1276" w:type="dxa"/>
            <w:tcBorders>
              <w:bottom w:val="single" w:sz="4" w:space="0" w:color="auto"/>
            </w:tcBorders>
          </w:tcPr>
          <w:p w14:paraId="0F9AD23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5.10</w:t>
            </w:r>
          </w:p>
        </w:tc>
        <w:tc>
          <w:tcPr>
            <w:tcW w:w="1134" w:type="dxa"/>
            <w:tcBorders>
              <w:bottom w:val="single" w:sz="4" w:space="0" w:color="auto"/>
            </w:tcBorders>
          </w:tcPr>
          <w:p w14:paraId="417ECB70" w14:textId="4D8C7676"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3.06</w:t>
            </w:r>
          </w:p>
        </w:tc>
        <w:tc>
          <w:tcPr>
            <w:tcW w:w="992" w:type="dxa"/>
            <w:tcBorders>
              <w:bottom w:val="single" w:sz="4" w:space="0" w:color="auto"/>
            </w:tcBorders>
          </w:tcPr>
          <w:p w14:paraId="384F6A85" w14:textId="60DC62D1"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0.11</w:t>
            </w:r>
          </w:p>
        </w:tc>
        <w:tc>
          <w:tcPr>
            <w:tcW w:w="1418" w:type="dxa"/>
            <w:tcBorders>
              <w:bottom w:val="single" w:sz="4" w:space="0" w:color="auto"/>
            </w:tcBorders>
          </w:tcPr>
          <w:p w14:paraId="59B63A32" w14:textId="2EB54E26"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0.72</w:t>
            </w:r>
          </w:p>
        </w:tc>
      </w:tr>
    </w:tbl>
    <w:p w14:paraId="05D802CF"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w:t>
      </w:r>
      <w:r w:rsidRPr="00A12554">
        <w:rPr>
          <w:rFonts w:ascii="Times New Roman" w:hAnsi="Times New Roman" w:cs="Times New Roman"/>
          <w:sz w:val="20"/>
          <w:szCs w:val="20"/>
        </w:rPr>
        <w:t xml:space="preserve"> performance between the groups at p &lt; 0.05</w:t>
      </w:r>
    </w:p>
    <w:p w14:paraId="3502379D" w14:textId="77777777" w:rsidR="00FC6E15" w:rsidRPr="00FC6E15" w:rsidRDefault="00FC6E15" w:rsidP="00FC6E15">
      <w:pPr>
        <w:spacing w:line="360" w:lineRule="auto"/>
        <w:jc w:val="both"/>
        <w:rPr>
          <w:rFonts w:ascii="Times New Roman" w:hAnsi="Times New Roman" w:cs="Times New Roman"/>
          <w:sz w:val="24"/>
          <w:szCs w:val="24"/>
        </w:rPr>
      </w:pPr>
    </w:p>
    <w:p w14:paraId="311C403A" w14:textId="77777777" w:rsidR="00FC6E15" w:rsidRPr="00FC6E15" w:rsidRDefault="00FC6E15" w:rsidP="00FC6E15">
      <w:pPr>
        <w:spacing w:line="360" w:lineRule="auto"/>
        <w:jc w:val="both"/>
        <w:rPr>
          <w:rFonts w:ascii="Times New Roman" w:hAnsi="Times New Roman" w:cs="Times New Roman"/>
          <w:sz w:val="24"/>
          <w:szCs w:val="24"/>
        </w:rPr>
      </w:pPr>
    </w:p>
    <w:p w14:paraId="1EEF130E" w14:textId="77777777" w:rsidR="00FC6E15" w:rsidRDefault="00FC6E15" w:rsidP="00FC6E15">
      <w:pPr>
        <w:spacing w:line="360" w:lineRule="auto"/>
        <w:jc w:val="both"/>
        <w:rPr>
          <w:rFonts w:ascii="Times New Roman" w:hAnsi="Times New Roman" w:cs="Times New Roman"/>
          <w:sz w:val="24"/>
          <w:szCs w:val="24"/>
        </w:rPr>
      </w:pPr>
    </w:p>
    <w:p w14:paraId="247EC9BA" w14:textId="77777777" w:rsidR="00F56160" w:rsidRDefault="00F56160" w:rsidP="00FC6E15">
      <w:pPr>
        <w:spacing w:line="360" w:lineRule="auto"/>
        <w:jc w:val="both"/>
        <w:rPr>
          <w:rFonts w:ascii="Times New Roman" w:hAnsi="Times New Roman" w:cs="Times New Roman"/>
          <w:sz w:val="24"/>
          <w:szCs w:val="24"/>
        </w:rPr>
      </w:pPr>
    </w:p>
    <w:p w14:paraId="37FC111E" w14:textId="77777777" w:rsidR="00F56160" w:rsidRDefault="00F56160" w:rsidP="00FC6E15">
      <w:pPr>
        <w:spacing w:line="360" w:lineRule="auto"/>
        <w:jc w:val="both"/>
        <w:rPr>
          <w:rFonts w:ascii="Times New Roman" w:hAnsi="Times New Roman" w:cs="Times New Roman"/>
          <w:sz w:val="24"/>
          <w:szCs w:val="24"/>
        </w:rPr>
      </w:pPr>
    </w:p>
    <w:p w14:paraId="3F727B8A" w14:textId="77777777" w:rsidR="00F56160" w:rsidRDefault="00F56160" w:rsidP="00FC6E15">
      <w:pPr>
        <w:spacing w:line="360" w:lineRule="auto"/>
        <w:jc w:val="both"/>
        <w:rPr>
          <w:rFonts w:ascii="Times New Roman" w:hAnsi="Times New Roman" w:cs="Times New Roman"/>
          <w:sz w:val="24"/>
          <w:szCs w:val="24"/>
        </w:rPr>
      </w:pPr>
    </w:p>
    <w:p w14:paraId="0BF07690" w14:textId="77777777" w:rsidR="00F56160" w:rsidRDefault="00F56160" w:rsidP="00FC6E15">
      <w:pPr>
        <w:spacing w:line="360" w:lineRule="auto"/>
        <w:jc w:val="both"/>
        <w:rPr>
          <w:rFonts w:ascii="Times New Roman" w:hAnsi="Times New Roman" w:cs="Times New Roman"/>
          <w:sz w:val="24"/>
          <w:szCs w:val="24"/>
        </w:rPr>
      </w:pPr>
    </w:p>
    <w:p w14:paraId="7E4D0577" w14:textId="77777777" w:rsidR="00F56160" w:rsidRPr="00FC6E15" w:rsidRDefault="00F56160" w:rsidP="00FC6E15">
      <w:pPr>
        <w:spacing w:line="360" w:lineRule="auto"/>
        <w:jc w:val="both"/>
        <w:rPr>
          <w:rFonts w:ascii="Times New Roman" w:hAnsi="Times New Roman" w:cs="Times New Roman"/>
          <w:sz w:val="24"/>
          <w:szCs w:val="24"/>
        </w:rPr>
      </w:pPr>
    </w:p>
    <w:p w14:paraId="54BAC7F1" w14:textId="58F5394D"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Table 4. Gender-based differences in JTHFT scores between male and female children in the Etche group</w:t>
      </w:r>
    </w:p>
    <w:tbl>
      <w:tblPr>
        <w:tblW w:w="10065" w:type="dxa"/>
        <w:tblInd w:w="-567" w:type="dxa"/>
        <w:tblLayout w:type="fixed"/>
        <w:tblLook w:val="0000" w:firstRow="0" w:lastRow="0" w:firstColumn="0" w:lastColumn="0" w:noHBand="0" w:noVBand="0"/>
      </w:tblPr>
      <w:tblGrid>
        <w:gridCol w:w="1843"/>
        <w:gridCol w:w="2977"/>
        <w:gridCol w:w="1559"/>
        <w:gridCol w:w="1798"/>
        <w:gridCol w:w="858"/>
        <w:gridCol w:w="1030"/>
      </w:tblGrid>
      <w:tr w:rsidR="009A41C2" w14:paraId="14A2EE51" w14:textId="77777777" w:rsidTr="00F56160">
        <w:trPr>
          <w:trHeight w:val="340"/>
        </w:trPr>
        <w:tc>
          <w:tcPr>
            <w:tcW w:w="1843" w:type="dxa"/>
            <w:tcBorders>
              <w:top w:val="single" w:sz="4" w:space="0" w:color="auto"/>
            </w:tcBorders>
          </w:tcPr>
          <w:p w14:paraId="3A9B0230" w14:textId="77777777" w:rsidR="00F56160" w:rsidRPr="00F56160" w:rsidRDefault="00F56160" w:rsidP="002A3165">
            <w:pPr>
              <w:rPr>
                <w:rFonts w:ascii="Times New Roman" w:hAnsi="Times New Roman" w:cs="Times New Roman"/>
                <w:b/>
                <w:bCs/>
                <w:sz w:val="24"/>
                <w:szCs w:val="24"/>
              </w:rPr>
            </w:pPr>
          </w:p>
        </w:tc>
        <w:tc>
          <w:tcPr>
            <w:tcW w:w="2977" w:type="dxa"/>
            <w:tcBorders>
              <w:top w:val="single" w:sz="4" w:space="0" w:color="auto"/>
            </w:tcBorders>
          </w:tcPr>
          <w:p w14:paraId="67AFB29F"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Subtests</w:t>
            </w:r>
          </w:p>
        </w:tc>
        <w:tc>
          <w:tcPr>
            <w:tcW w:w="1559" w:type="dxa"/>
            <w:tcBorders>
              <w:top w:val="single" w:sz="4" w:space="0" w:color="auto"/>
            </w:tcBorders>
          </w:tcPr>
          <w:p w14:paraId="5A645DAB"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Male (n=21)</w:t>
            </w:r>
          </w:p>
        </w:tc>
        <w:tc>
          <w:tcPr>
            <w:tcW w:w="1798" w:type="dxa"/>
            <w:tcBorders>
              <w:top w:val="single" w:sz="4" w:space="0" w:color="auto"/>
            </w:tcBorders>
          </w:tcPr>
          <w:p w14:paraId="576A5624"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Female (n=24)</w:t>
            </w:r>
          </w:p>
        </w:tc>
        <w:tc>
          <w:tcPr>
            <w:tcW w:w="858" w:type="dxa"/>
            <w:tcBorders>
              <w:top w:val="single" w:sz="4" w:space="0" w:color="auto"/>
            </w:tcBorders>
          </w:tcPr>
          <w:p w14:paraId="257787EF" w14:textId="38289C38"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T-test</w:t>
            </w:r>
          </w:p>
        </w:tc>
        <w:tc>
          <w:tcPr>
            <w:tcW w:w="1030" w:type="dxa"/>
            <w:tcBorders>
              <w:top w:val="single" w:sz="4" w:space="0" w:color="auto"/>
            </w:tcBorders>
          </w:tcPr>
          <w:p w14:paraId="75A6A207" w14:textId="08FDD8E1"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p-value</w:t>
            </w:r>
          </w:p>
        </w:tc>
      </w:tr>
      <w:tr w:rsidR="009A41C2" w14:paraId="64314575" w14:textId="77777777" w:rsidTr="00F56160">
        <w:trPr>
          <w:trHeight w:val="340"/>
        </w:trPr>
        <w:tc>
          <w:tcPr>
            <w:tcW w:w="1843" w:type="dxa"/>
            <w:vMerge w:val="restart"/>
            <w:tcBorders>
              <w:top w:val="single" w:sz="4" w:space="0" w:color="auto"/>
            </w:tcBorders>
            <w:vAlign w:val="center"/>
          </w:tcPr>
          <w:p w14:paraId="499D51FF" w14:textId="57DD1D0C"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lastRenderedPageBreak/>
              <w:t>Non-dominant hand</w:t>
            </w:r>
          </w:p>
        </w:tc>
        <w:tc>
          <w:tcPr>
            <w:tcW w:w="2977" w:type="dxa"/>
            <w:tcBorders>
              <w:top w:val="single" w:sz="4" w:space="0" w:color="auto"/>
            </w:tcBorders>
          </w:tcPr>
          <w:p w14:paraId="335F82C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559" w:type="dxa"/>
            <w:tcBorders>
              <w:top w:val="single" w:sz="4" w:space="0" w:color="auto"/>
            </w:tcBorders>
          </w:tcPr>
          <w:p w14:paraId="722999C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73.07±23.23</w:t>
            </w:r>
          </w:p>
        </w:tc>
        <w:tc>
          <w:tcPr>
            <w:tcW w:w="1798" w:type="dxa"/>
            <w:tcBorders>
              <w:top w:val="single" w:sz="4" w:space="0" w:color="auto"/>
            </w:tcBorders>
          </w:tcPr>
          <w:p w14:paraId="40FE81E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66.15±18.45</w:t>
            </w:r>
          </w:p>
        </w:tc>
        <w:tc>
          <w:tcPr>
            <w:tcW w:w="858" w:type="dxa"/>
            <w:tcBorders>
              <w:top w:val="single" w:sz="4" w:space="0" w:color="auto"/>
            </w:tcBorders>
          </w:tcPr>
          <w:p w14:paraId="7ECA3D6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1.11</w:t>
            </w:r>
          </w:p>
        </w:tc>
        <w:tc>
          <w:tcPr>
            <w:tcW w:w="1030" w:type="dxa"/>
            <w:tcBorders>
              <w:top w:val="single" w:sz="4" w:space="0" w:color="auto"/>
            </w:tcBorders>
          </w:tcPr>
          <w:p w14:paraId="2FA1908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0.27</w:t>
            </w:r>
          </w:p>
        </w:tc>
      </w:tr>
      <w:tr w:rsidR="009A41C2" w14:paraId="719776CF" w14:textId="77777777" w:rsidTr="00F56160">
        <w:trPr>
          <w:trHeight w:val="320"/>
        </w:trPr>
        <w:tc>
          <w:tcPr>
            <w:tcW w:w="1843" w:type="dxa"/>
            <w:vMerge/>
            <w:tcBorders>
              <w:top w:val="single" w:sz="4" w:space="0" w:color="auto"/>
            </w:tcBorders>
            <w:vAlign w:val="center"/>
          </w:tcPr>
          <w:p w14:paraId="514273DE" w14:textId="77777777" w:rsidR="00F56160" w:rsidRPr="00F56160" w:rsidRDefault="00F56160" w:rsidP="002A3165">
            <w:pPr>
              <w:rPr>
                <w:rFonts w:ascii="Times New Roman" w:hAnsi="Times New Roman" w:cs="Times New Roman"/>
                <w:sz w:val="24"/>
                <w:szCs w:val="24"/>
              </w:rPr>
            </w:pPr>
          </w:p>
        </w:tc>
        <w:tc>
          <w:tcPr>
            <w:tcW w:w="2977" w:type="dxa"/>
          </w:tcPr>
          <w:p w14:paraId="7D63E7B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559" w:type="dxa"/>
          </w:tcPr>
          <w:p w14:paraId="7CBDFA3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5.85±1.37</w:t>
            </w:r>
          </w:p>
        </w:tc>
        <w:tc>
          <w:tcPr>
            <w:tcW w:w="1798" w:type="dxa"/>
          </w:tcPr>
          <w:p w14:paraId="1F346DB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5.15±1.10</w:t>
            </w:r>
          </w:p>
        </w:tc>
        <w:tc>
          <w:tcPr>
            <w:tcW w:w="858" w:type="dxa"/>
          </w:tcPr>
          <w:p w14:paraId="3962C53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1.09</w:t>
            </w:r>
          </w:p>
        </w:tc>
        <w:tc>
          <w:tcPr>
            <w:tcW w:w="1030" w:type="dxa"/>
          </w:tcPr>
          <w:p w14:paraId="1D3411B1" w14:textId="0010E269" w:rsidR="00F56160"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0.06*</w:t>
            </w:r>
          </w:p>
        </w:tc>
      </w:tr>
      <w:tr w:rsidR="009A41C2" w14:paraId="65AD9246" w14:textId="77777777" w:rsidTr="00F56160">
        <w:trPr>
          <w:trHeight w:val="540"/>
        </w:trPr>
        <w:tc>
          <w:tcPr>
            <w:tcW w:w="1843" w:type="dxa"/>
            <w:vMerge/>
            <w:tcBorders>
              <w:top w:val="single" w:sz="4" w:space="0" w:color="auto"/>
            </w:tcBorders>
            <w:vAlign w:val="center"/>
          </w:tcPr>
          <w:p w14:paraId="5AB5D64A" w14:textId="77777777" w:rsidR="00F56160" w:rsidRPr="00F56160" w:rsidRDefault="00F56160" w:rsidP="002A3165">
            <w:pPr>
              <w:rPr>
                <w:rFonts w:ascii="Times New Roman" w:hAnsi="Times New Roman" w:cs="Times New Roman"/>
                <w:sz w:val="24"/>
                <w:szCs w:val="24"/>
              </w:rPr>
            </w:pPr>
          </w:p>
        </w:tc>
        <w:tc>
          <w:tcPr>
            <w:tcW w:w="2977" w:type="dxa"/>
          </w:tcPr>
          <w:p w14:paraId="0CEAAEB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objects</w:t>
            </w:r>
          </w:p>
        </w:tc>
        <w:tc>
          <w:tcPr>
            <w:tcW w:w="1559" w:type="dxa"/>
          </w:tcPr>
          <w:p w14:paraId="223DC0E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6.19±1.48</w:t>
            </w:r>
          </w:p>
        </w:tc>
        <w:tc>
          <w:tcPr>
            <w:tcW w:w="1798" w:type="dxa"/>
          </w:tcPr>
          <w:p w14:paraId="361D512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6.21±1.65</w:t>
            </w:r>
          </w:p>
        </w:tc>
        <w:tc>
          <w:tcPr>
            <w:tcW w:w="858" w:type="dxa"/>
          </w:tcPr>
          <w:p w14:paraId="1DBE2D3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-0.06</w:t>
            </w:r>
          </w:p>
        </w:tc>
        <w:tc>
          <w:tcPr>
            <w:tcW w:w="1030" w:type="dxa"/>
          </w:tcPr>
          <w:p w14:paraId="23D962B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0.95</w:t>
            </w:r>
          </w:p>
        </w:tc>
      </w:tr>
      <w:tr w:rsidR="009A41C2" w14:paraId="33C52681" w14:textId="77777777" w:rsidTr="00F56160">
        <w:trPr>
          <w:trHeight w:val="340"/>
        </w:trPr>
        <w:tc>
          <w:tcPr>
            <w:tcW w:w="1843" w:type="dxa"/>
            <w:vMerge/>
            <w:tcBorders>
              <w:top w:val="single" w:sz="4" w:space="0" w:color="auto"/>
            </w:tcBorders>
            <w:vAlign w:val="center"/>
          </w:tcPr>
          <w:p w14:paraId="4ED16850" w14:textId="77777777" w:rsidR="00F56160" w:rsidRPr="00F56160" w:rsidRDefault="00F56160" w:rsidP="002A3165">
            <w:pPr>
              <w:rPr>
                <w:rFonts w:ascii="Times New Roman" w:hAnsi="Times New Roman" w:cs="Times New Roman"/>
                <w:sz w:val="24"/>
                <w:szCs w:val="24"/>
              </w:rPr>
            </w:pPr>
          </w:p>
        </w:tc>
        <w:tc>
          <w:tcPr>
            <w:tcW w:w="2977" w:type="dxa"/>
          </w:tcPr>
          <w:p w14:paraId="529B999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559" w:type="dxa"/>
          </w:tcPr>
          <w:p w14:paraId="365FBEC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14.12±3.95</w:t>
            </w:r>
          </w:p>
        </w:tc>
        <w:tc>
          <w:tcPr>
            <w:tcW w:w="1798" w:type="dxa"/>
          </w:tcPr>
          <w:p w14:paraId="12267D0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15.62±7.63</w:t>
            </w:r>
          </w:p>
        </w:tc>
        <w:tc>
          <w:tcPr>
            <w:tcW w:w="858" w:type="dxa"/>
          </w:tcPr>
          <w:p w14:paraId="69968FB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-0.81</w:t>
            </w:r>
          </w:p>
        </w:tc>
        <w:tc>
          <w:tcPr>
            <w:tcW w:w="1030" w:type="dxa"/>
          </w:tcPr>
          <w:p w14:paraId="50143F1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0.42</w:t>
            </w:r>
          </w:p>
        </w:tc>
      </w:tr>
      <w:tr w:rsidR="009A41C2" w14:paraId="0A931F6E" w14:textId="77777777" w:rsidTr="00F56160">
        <w:trPr>
          <w:trHeight w:val="340"/>
        </w:trPr>
        <w:tc>
          <w:tcPr>
            <w:tcW w:w="1843" w:type="dxa"/>
            <w:vMerge/>
            <w:tcBorders>
              <w:top w:val="single" w:sz="4" w:space="0" w:color="auto"/>
            </w:tcBorders>
            <w:vAlign w:val="center"/>
          </w:tcPr>
          <w:p w14:paraId="2D62F1D7" w14:textId="77777777" w:rsidR="00F56160" w:rsidRPr="00F56160" w:rsidRDefault="00F56160" w:rsidP="002A3165">
            <w:pPr>
              <w:rPr>
                <w:rFonts w:ascii="Times New Roman" w:hAnsi="Times New Roman" w:cs="Times New Roman"/>
                <w:sz w:val="24"/>
                <w:szCs w:val="24"/>
              </w:rPr>
            </w:pPr>
          </w:p>
        </w:tc>
        <w:tc>
          <w:tcPr>
            <w:tcW w:w="2977" w:type="dxa"/>
          </w:tcPr>
          <w:p w14:paraId="47E489D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559" w:type="dxa"/>
          </w:tcPr>
          <w:p w14:paraId="2587E00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4.19±0.77</w:t>
            </w:r>
          </w:p>
        </w:tc>
        <w:tc>
          <w:tcPr>
            <w:tcW w:w="1798" w:type="dxa"/>
          </w:tcPr>
          <w:p w14:paraId="68AB5DB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3.94±0.81</w:t>
            </w:r>
          </w:p>
        </w:tc>
        <w:tc>
          <w:tcPr>
            <w:tcW w:w="858" w:type="dxa"/>
          </w:tcPr>
          <w:p w14:paraId="11370D2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1.05</w:t>
            </w:r>
          </w:p>
        </w:tc>
        <w:tc>
          <w:tcPr>
            <w:tcW w:w="1030" w:type="dxa"/>
          </w:tcPr>
          <w:p w14:paraId="0800323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0.29</w:t>
            </w:r>
          </w:p>
        </w:tc>
      </w:tr>
      <w:tr w:rsidR="009A41C2" w14:paraId="1F3C35CD" w14:textId="77777777" w:rsidTr="00F56160">
        <w:trPr>
          <w:trHeight w:val="540"/>
        </w:trPr>
        <w:tc>
          <w:tcPr>
            <w:tcW w:w="1843" w:type="dxa"/>
            <w:vMerge/>
            <w:tcBorders>
              <w:top w:val="single" w:sz="4" w:space="0" w:color="auto"/>
            </w:tcBorders>
            <w:vAlign w:val="center"/>
          </w:tcPr>
          <w:p w14:paraId="49298252" w14:textId="77777777" w:rsidR="00F56160" w:rsidRPr="00F56160" w:rsidRDefault="00F56160" w:rsidP="002A3165">
            <w:pPr>
              <w:rPr>
                <w:rFonts w:ascii="Times New Roman" w:hAnsi="Times New Roman" w:cs="Times New Roman"/>
                <w:sz w:val="24"/>
                <w:szCs w:val="24"/>
              </w:rPr>
            </w:pPr>
          </w:p>
        </w:tc>
        <w:tc>
          <w:tcPr>
            <w:tcW w:w="2977" w:type="dxa"/>
          </w:tcPr>
          <w:p w14:paraId="587968F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1559" w:type="dxa"/>
          </w:tcPr>
          <w:p w14:paraId="44BBC7A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3.47±0.54</w:t>
            </w:r>
          </w:p>
        </w:tc>
        <w:tc>
          <w:tcPr>
            <w:tcW w:w="1798" w:type="dxa"/>
          </w:tcPr>
          <w:p w14:paraId="72E662C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3.44±0.51</w:t>
            </w:r>
          </w:p>
        </w:tc>
        <w:tc>
          <w:tcPr>
            <w:tcW w:w="858" w:type="dxa"/>
          </w:tcPr>
          <w:p w14:paraId="0B6826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0.16</w:t>
            </w:r>
          </w:p>
        </w:tc>
        <w:tc>
          <w:tcPr>
            <w:tcW w:w="1030" w:type="dxa"/>
          </w:tcPr>
          <w:p w14:paraId="35948EE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0.87</w:t>
            </w:r>
          </w:p>
        </w:tc>
      </w:tr>
      <w:tr w:rsidR="009A41C2" w14:paraId="10470F73" w14:textId="77777777" w:rsidTr="00F56160">
        <w:trPr>
          <w:trHeight w:val="540"/>
        </w:trPr>
        <w:tc>
          <w:tcPr>
            <w:tcW w:w="1843" w:type="dxa"/>
            <w:vMerge/>
            <w:tcBorders>
              <w:top w:val="single" w:sz="4" w:space="0" w:color="auto"/>
            </w:tcBorders>
            <w:vAlign w:val="center"/>
          </w:tcPr>
          <w:p w14:paraId="63E8BE2E" w14:textId="77777777" w:rsidR="00F56160" w:rsidRPr="00F56160" w:rsidRDefault="00F56160" w:rsidP="002A3165">
            <w:pPr>
              <w:rPr>
                <w:rFonts w:ascii="Times New Roman" w:hAnsi="Times New Roman" w:cs="Times New Roman"/>
                <w:sz w:val="24"/>
                <w:szCs w:val="24"/>
              </w:rPr>
            </w:pPr>
          </w:p>
        </w:tc>
        <w:tc>
          <w:tcPr>
            <w:tcW w:w="2977" w:type="dxa"/>
          </w:tcPr>
          <w:p w14:paraId="72D4DA3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559" w:type="dxa"/>
          </w:tcPr>
          <w:p w14:paraId="6AC3E18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3.36±0.51</w:t>
            </w:r>
          </w:p>
        </w:tc>
        <w:tc>
          <w:tcPr>
            <w:tcW w:w="1798" w:type="dxa"/>
          </w:tcPr>
          <w:p w14:paraId="77AF830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3.28±0.81</w:t>
            </w:r>
          </w:p>
        </w:tc>
        <w:tc>
          <w:tcPr>
            <w:tcW w:w="858" w:type="dxa"/>
          </w:tcPr>
          <w:p w14:paraId="2343A4D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0.39</w:t>
            </w:r>
          </w:p>
        </w:tc>
        <w:tc>
          <w:tcPr>
            <w:tcW w:w="1030" w:type="dxa"/>
          </w:tcPr>
          <w:p w14:paraId="75170C7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0.69</w:t>
            </w:r>
          </w:p>
        </w:tc>
      </w:tr>
      <w:tr w:rsidR="009A41C2" w14:paraId="140B6FFA" w14:textId="77777777" w:rsidTr="00F56160">
        <w:trPr>
          <w:trHeight w:val="340"/>
        </w:trPr>
        <w:tc>
          <w:tcPr>
            <w:tcW w:w="1843" w:type="dxa"/>
            <w:vMerge w:val="restart"/>
            <w:tcBorders>
              <w:top w:val="single" w:sz="4" w:space="0" w:color="auto"/>
              <w:bottom w:val="single" w:sz="4" w:space="0" w:color="auto"/>
            </w:tcBorders>
            <w:vAlign w:val="center"/>
          </w:tcPr>
          <w:p w14:paraId="112861F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977" w:type="dxa"/>
            <w:tcBorders>
              <w:top w:val="single" w:sz="4" w:space="0" w:color="auto"/>
            </w:tcBorders>
          </w:tcPr>
          <w:p w14:paraId="5542A9C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559" w:type="dxa"/>
            <w:tcBorders>
              <w:top w:val="single" w:sz="4" w:space="0" w:color="auto"/>
            </w:tcBorders>
          </w:tcPr>
          <w:p w14:paraId="7979075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36.41±19.38</w:t>
            </w:r>
          </w:p>
        </w:tc>
        <w:tc>
          <w:tcPr>
            <w:tcW w:w="1798" w:type="dxa"/>
            <w:tcBorders>
              <w:top w:val="single" w:sz="4" w:space="0" w:color="auto"/>
            </w:tcBorders>
          </w:tcPr>
          <w:p w14:paraId="331BAE0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32.66±15.52</w:t>
            </w:r>
          </w:p>
        </w:tc>
        <w:tc>
          <w:tcPr>
            <w:tcW w:w="858" w:type="dxa"/>
            <w:tcBorders>
              <w:top w:val="single" w:sz="4" w:space="0" w:color="auto"/>
            </w:tcBorders>
          </w:tcPr>
          <w:p w14:paraId="47F14F4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0.72</w:t>
            </w:r>
          </w:p>
        </w:tc>
        <w:tc>
          <w:tcPr>
            <w:tcW w:w="1030" w:type="dxa"/>
            <w:tcBorders>
              <w:top w:val="single" w:sz="4" w:space="0" w:color="auto"/>
            </w:tcBorders>
          </w:tcPr>
          <w:p w14:paraId="0F7B9B8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0.47</w:t>
            </w:r>
          </w:p>
        </w:tc>
      </w:tr>
      <w:tr w:rsidR="009A41C2" w14:paraId="76525BF4" w14:textId="77777777" w:rsidTr="00F56160">
        <w:trPr>
          <w:trHeight w:val="340"/>
        </w:trPr>
        <w:tc>
          <w:tcPr>
            <w:tcW w:w="1843" w:type="dxa"/>
            <w:vMerge/>
            <w:tcBorders>
              <w:top w:val="single" w:sz="4" w:space="0" w:color="auto"/>
              <w:bottom w:val="single" w:sz="4" w:space="0" w:color="auto"/>
            </w:tcBorders>
            <w:vAlign w:val="center"/>
          </w:tcPr>
          <w:p w14:paraId="15D3980C" w14:textId="77777777" w:rsidR="00F56160" w:rsidRPr="00F56160" w:rsidRDefault="00F56160" w:rsidP="002A3165">
            <w:pPr>
              <w:rPr>
                <w:rFonts w:ascii="Times New Roman" w:hAnsi="Times New Roman" w:cs="Times New Roman"/>
                <w:sz w:val="24"/>
                <w:szCs w:val="24"/>
              </w:rPr>
            </w:pPr>
          </w:p>
        </w:tc>
        <w:tc>
          <w:tcPr>
            <w:tcW w:w="2977" w:type="dxa"/>
          </w:tcPr>
          <w:p w14:paraId="717CD01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559" w:type="dxa"/>
          </w:tcPr>
          <w:p w14:paraId="5C48B48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4.45±1.03</w:t>
            </w:r>
          </w:p>
        </w:tc>
        <w:tc>
          <w:tcPr>
            <w:tcW w:w="1798" w:type="dxa"/>
          </w:tcPr>
          <w:p w14:paraId="6C41E69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4.45±1.08</w:t>
            </w:r>
          </w:p>
        </w:tc>
        <w:tc>
          <w:tcPr>
            <w:tcW w:w="858" w:type="dxa"/>
          </w:tcPr>
          <w:p w14:paraId="3739443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0.002</w:t>
            </w:r>
          </w:p>
        </w:tc>
        <w:tc>
          <w:tcPr>
            <w:tcW w:w="1030" w:type="dxa"/>
          </w:tcPr>
          <w:p w14:paraId="2AFAE5E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0.99</w:t>
            </w:r>
          </w:p>
        </w:tc>
      </w:tr>
      <w:tr w:rsidR="009A41C2" w14:paraId="426EC80C" w14:textId="77777777" w:rsidTr="00F56160">
        <w:trPr>
          <w:trHeight w:val="540"/>
        </w:trPr>
        <w:tc>
          <w:tcPr>
            <w:tcW w:w="1843" w:type="dxa"/>
            <w:vMerge/>
            <w:tcBorders>
              <w:top w:val="single" w:sz="4" w:space="0" w:color="auto"/>
              <w:bottom w:val="single" w:sz="4" w:space="0" w:color="auto"/>
            </w:tcBorders>
            <w:vAlign w:val="center"/>
          </w:tcPr>
          <w:p w14:paraId="509E90B5" w14:textId="77777777" w:rsidR="00F56160" w:rsidRPr="00F56160" w:rsidRDefault="00F56160" w:rsidP="002A3165">
            <w:pPr>
              <w:rPr>
                <w:rFonts w:ascii="Times New Roman" w:hAnsi="Times New Roman" w:cs="Times New Roman"/>
                <w:sz w:val="24"/>
                <w:szCs w:val="24"/>
              </w:rPr>
            </w:pPr>
          </w:p>
        </w:tc>
        <w:tc>
          <w:tcPr>
            <w:tcW w:w="2977" w:type="dxa"/>
          </w:tcPr>
          <w:p w14:paraId="6E224D5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559" w:type="dxa"/>
          </w:tcPr>
          <w:p w14:paraId="34FDD76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5.7±0.83</w:t>
            </w:r>
          </w:p>
        </w:tc>
        <w:tc>
          <w:tcPr>
            <w:tcW w:w="1798" w:type="dxa"/>
          </w:tcPr>
          <w:p w14:paraId="093E3BC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5.8±1.32</w:t>
            </w:r>
          </w:p>
        </w:tc>
        <w:tc>
          <w:tcPr>
            <w:tcW w:w="858" w:type="dxa"/>
          </w:tcPr>
          <w:p w14:paraId="338715B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0.16</w:t>
            </w:r>
          </w:p>
        </w:tc>
        <w:tc>
          <w:tcPr>
            <w:tcW w:w="1030" w:type="dxa"/>
          </w:tcPr>
          <w:p w14:paraId="60589C3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0.87</w:t>
            </w:r>
          </w:p>
        </w:tc>
      </w:tr>
      <w:tr w:rsidR="009A41C2" w14:paraId="0707FD93" w14:textId="77777777" w:rsidTr="00F56160">
        <w:trPr>
          <w:trHeight w:val="340"/>
        </w:trPr>
        <w:tc>
          <w:tcPr>
            <w:tcW w:w="1843" w:type="dxa"/>
            <w:vMerge/>
            <w:tcBorders>
              <w:top w:val="single" w:sz="4" w:space="0" w:color="auto"/>
              <w:bottom w:val="single" w:sz="4" w:space="0" w:color="auto"/>
            </w:tcBorders>
            <w:vAlign w:val="center"/>
          </w:tcPr>
          <w:p w14:paraId="2EFD3FD0" w14:textId="77777777" w:rsidR="00F56160" w:rsidRPr="00F56160" w:rsidRDefault="00F56160" w:rsidP="002A3165">
            <w:pPr>
              <w:rPr>
                <w:rFonts w:ascii="Times New Roman" w:hAnsi="Times New Roman" w:cs="Times New Roman"/>
                <w:sz w:val="24"/>
                <w:szCs w:val="24"/>
              </w:rPr>
            </w:pPr>
          </w:p>
        </w:tc>
        <w:tc>
          <w:tcPr>
            <w:tcW w:w="2977" w:type="dxa"/>
          </w:tcPr>
          <w:p w14:paraId="4485E50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559" w:type="dxa"/>
          </w:tcPr>
          <w:p w14:paraId="5FB02EE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9.60±2.37</w:t>
            </w:r>
          </w:p>
        </w:tc>
        <w:tc>
          <w:tcPr>
            <w:tcW w:w="1798" w:type="dxa"/>
          </w:tcPr>
          <w:p w14:paraId="050473A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10.74±3.06</w:t>
            </w:r>
          </w:p>
        </w:tc>
        <w:tc>
          <w:tcPr>
            <w:tcW w:w="858" w:type="dxa"/>
          </w:tcPr>
          <w:p w14:paraId="16D6247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-1.37</w:t>
            </w:r>
          </w:p>
        </w:tc>
        <w:tc>
          <w:tcPr>
            <w:tcW w:w="1030" w:type="dxa"/>
          </w:tcPr>
          <w:p w14:paraId="3042A02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0.17</w:t>
            </w:r>
          </w:p>
        </w:tc>
      </w:tr>
      <w:tr w:rsidR="009A41C2" w14:paraId="08630208" w14:textId="77777777" w:rsidTr="00F56160">
        <w:trPr>
          <w:trHeight w:val="340"/>
        </w:trPr>
        <w:tc>
          <w:tcPr>
            <w:tcW w:w="1843" w:type="dxa"/>
            <w:vMerge/>
            <w:tcBorders>
              <w:top w:val="single" w:sz="4" w:space="0" w:color="auto"/>
              <w:bottom w:val="single" w:sz="4" w:space="0" w:color="auto"/>
            </w:tcBorders>
            <w:vAlign w:val="center"/>
          </w:tcPr>
          <w:p w14:paraId="5897A35A" w14:textId="77777777" w:rsidR="00F56160" w:rsidRPr="00F56160" w:rsidRDefault="00F56160" w:rsidP="002A3165">
            <w:pPr>
              <w:rPr>
                <w:rFonts w:ascii="Times New Roman" w:hAnsi="Times New Roman" w:cs="Times New Roman"/>
                <w:sz w:val="24"/>
                <w:szCs w:val="24"/>
              </w:rPr>
            </w:pPr>
          </w:p>
        </w:tc>
        <w:tc>
          <w:tcPr>
            <w:tcW w:w="2977" w:type="dxa"/>
          </w:tcPr>
          <w:p w14:paraId="4C62A15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559" w:type="dxa"/>
          </w:tcPr>
          <w:p w14:paraId="7ED3704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3.59±0.76</w:t>
            </w:r>
          </w:p>
        </w:tc>
        <w:tc>
          <w:tcPr>
            <w:tcW w:w="1798" w:type="dxa"/>
          </w:tcPr>
          <w:p w14:paraId="1088059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4.23±2.51</w:t>
            </w:r>
          </w:p>
        </w:tc>
        <w:tc>
          <w:tcPr>
            <w:tcW w:w="858" w:type="dxa"/>
          </w:tcPr>
          <w:p w14:paraId="4D4ABCE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0.55</w:t>
            </w:r>
          </w:p>
        </w:tc>
        <w:tc>
          <w:tcPr>
            <w:tcW w:w="1030" w:type="dxa"/>
          </w:tcPr>
          <w:p w14:paraId="473CF3D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0.27</w:t>
            </w:r>
          </w:p>
        </w:tc>
      </w:tr>
      <w:tr w:rsidR="009A41C2" w14:paraId="4E819888" w14:textId="77777777" w:rsidTr="00F56160">
        <w:trPr>
          <w:trHeight w:val="540"/>
        </w:trPr>
        <w:tc>
          <w:tcPr>
            <w:tcW w:w="1843" w:type="dxa"/>
            <w:vMerge/>
            <w:tcBorders>
              <w:top w:val="single" w:sz="4" w:space="0" w:color="auto"/>
              <w:bottom w:val="single" w:sz="4" w:space="0" w:color="auto"/>
            </w:tcBorders>
            <w:vAlign w:val="center"/>
          </w:tcPr>
          <w:p w14:paraId="5951A39A" w14:textId="77777777" w:rsidR="00F56160" w:rsidRPr="00F56160" w:rsidRDefault="00F56160" w:rsidP="002A3165">
            <w:pPr>
              <w:rPr>
                <w:rFonts w:ascii="Times New Roman" w:hAnsi="Times New Roman" w:cs="Times New Roman"/>
                <w:sz w:val="24"/>
                <w:szCs w:val="24"/>
              </w:rPr>
            </w:pPr>
          </w:p>
        </w:tc>
        <w:tc>
          <w:tcPr>
            <w:tcW w:w="2977" w:type="dxa"/>
          </w:tcPr>
          <w:p w14:paraId="2BFE3BB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1559" w:type="dxa"/>
          </w:tcPr>
          <w:p w14:paraId="53459D1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3.10±0.52</w:t>
            </w:r>
          </w:p>
        </w:tc>
        <w:tc>
          <w:tcPr>
            <w:tcW w:w="1798" w:type="dxa"/>
          </w:tcPr>
          <w:p w14:paraId="30A9663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3.00±0.69</w:t>
            </w:r>
          </w:p>
        </w:tc>
        <w:tc>
          <w:tcPr>
            <w:tcW w:w="858" w:type="dxa"/>
          </w:tcPr>
          <w:p w14:paraId="6DC3D99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0.58</w:t>
            </w:r>
          </w:p>
        </w:tc>
        <w:tc>
          <w:tcPr>
            <w:tcW w:w="1030" w:type="dxa"/>
          </w:tcPr>
          <w:p w14:paraId="0D7EA4B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0.58</w:t>
            </w:r>
          </w:p>
        </w:tc>
      </w:tr>
      <w:tr w:rsidR="009A41C2" w14:paraId="383351A6" w14:textId="77777777" w:rsidTr="00F56160">
        <w:trPr>
          <w:trHeight w:val="540"/>
        </w:trPr>
        <w:tc>
          <w:tcPr>
            <w:tcW w:w="1843" w:type="dxa"/>
            <w:vMerge/>
            <w:tcBorders>
              <w:top w:val="single" w:sz="4" w:space="0" w:color="auto"/>
              <w:bottom w:val="single" w:sz="4" w:space="0" w:color="auto"/>
            </w:tcBorders>
            <w:vAlign w:val="center"/>
          </w:tcPr>
          <w:p w14:paraId="5CC57F02" w14:textId="77777777" w:rsidR="00F56160" w:rsidRPr="00F56160" w:rsidRDefault="00F56160" w:rsidP="002A3165">
            <w:pPr>
              <w:rPr>
                <w:rFonts w:ascii="Times New Roman" w:hAnsi="Times New Roman" w:cs="Times New Roman"/>
                <w:sz w:val="24"/>
                <w:szCs w:val="24"/>
              </w:rPr>
            </w:pPr>
          </w:p>
        </w:tc>
        <w:tc>
          <w:tcPr>
            <w:tcW w:w="2977" w:type="dxa"/>
            <w:tcBorders>
              <w:bottom w:val="single" w:sz="4" w:space="0" w:color="auto"/>
            </w:tcBorders>
          </w:tcPr>
          <w:p w14:paraId="1FA6554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559" w:type="dxa"/>
            <w:tcBorders>
              <w:bottom w:val="single" w:sz="4" w:space="0" w:color="auto"/>
            </w:tcBorders>
          </w:tcPr>
          <w:p w14:paraId="4B217D2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2.99±0.53</w:t>
            </w:r>
          </w:p>
        </w:tc>
        <w:tc>
          <w:tcPr>
            <w:tcW w:w="1798" w:type="dxa"/>
            <w:tcBorders>
              <w:bottom w:val="single" w:sz="4" w:space="0" w:color="auto"/>
            </w:tcBorders>
          </w:tcPr>
          <w:p w14:paraId="5ECBE3A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3.11±0.85</w:t>
            </w:r>
          </w:p>
        </w:tc>
        <w:tc>
          <w:tcPr>
            <w:tcW w:w="858" w:type="dxa"/>
            <w:tcBorders>
              <w:bottom w:val="single" w:sz="4" w:space="0" w:color="auto"/>
            </w:tcBorders>
          </w:tcPr>
          <w:p w14:paraId="4EE9D31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0.43</w:t>
            </w:r>
          </w:p>
        </w:tc>
        <w:tc>
          <w:tcPr>
            <w:tcW w:w="1030" w:type="dxa"/>
            <w:tcBorders>
              <w:bottom w:val="single" w:sz="4" w:space="0" w:color="auto"/>
            </w:tcBorders>
          </w:tcPr>
          <w:p w14:paraId="7B52F2A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0.55</w:t>
            </w:r>
          </w:p>
        </w:tc>
      </w:tr>
    </w:tbl>
    <w:p w14:paraId="16604231"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xml:space="preserve">* Statistically significant differences in </w:t>
      </w:r>
      <w:r w:rsidRPr="00A12554">
        <w:rPr>
          <w:rFonts w:ascii="Times New Roman" w:hAnsi="Times New Roman" w:cs="Times New Roman"/>
          <w:sz w:val="20"/>
          <w:szCs w:val="20"/>
        </w:rPr>
        <w:t>performance between the groups at p &lt; 0.05</w:t>
      </w:r>
    </w:p>
    <w:p w14:paraId="53199A89" w14:textId="77777777" w:rsidR="00FC6E15" w:rsidRPr="00FC6E15" w:rsidRDefault="00FC6E15" w:rsidP="00FC6E15">
      <w:pPr>
        <w:spacing w:line="360" w:lineRule="auto"/>
        <w:jc w:val="both"/>
        <w:rPr>
          <w:rFonts w:ascii="Times New Roman" w:hAnsi="Times New Roman" w:cs="Times New Roman"/>
          <w:sz w:val="24"/>
          <w:szCs w:val="24"/>
        </w:rPr>
      </w:pPr>
    </w:p>
    <w:p w14:paraId="184A67D8" w14:textId="77777777" w:rsidR="00FC6E15" w:rsidRPr="00FC6E15" w:rsidRDefault="00FC6E15" w:rsidP="00FC6E15">
      <w:pPr>
        <w:spacing w:line="360" w:lineRule="auto"/>
        <w:jc w:val="both"/>
        <w:rPr>
          <w:rFonts w:ascii="Times New Roman" w:hAnsi="Times New Roman" w:cs="Times New Roman"/>
          <w:sz w:val="24"/>
          <w:szCs w:val="24"/>
        </w:rPr>
      </w:pPr>
    </w:p>
    <w:p w14:paraId="797E766C" w14:textId="77777777" w:rsidR="00FC6E15" w:rsidRPr="00FC6E15" w:rsidRDefault="00FC6E15" w:rsidP="00FC6E15">
      <w:pPr>
        <w:spacing w:line="360" w:lineRule="auto"/>
        <w:jc w:val="both"/>
        <w:rPr>
          <w:rFonts w:ascii="Times New Roman" w:hAnsi="Times New Roman" w:cs="Times New Roman"/>
          <w:sz w:val="24"/>
          <w:szCs w:val="24"/>
        </w:rPr>
      </w:pPr>
    </w:p>
    <w:p w14:paraId="03920CD7" w14:textId="77777777" w:rsidR="00FC6E15" w:rsidRDefault="00FC6E15" w:rsidP="00FC6E15">
      <w:pPr>
        <w:spacing w:line="360" w:lineRule="auto"/>
        <w:jc w:val="both"/>
        <w:rPr>
          <w:rFonts w:ascii="Times New Roman" w:hAnsi="Times New Roman" w:cs="Times New Roman"/>
          <w:sz w:val="24"/>
          <w:szCs w:val="24"/>
        </w:rPr>
      </w:pPr>
    </w:p>
    <w:p w14:paraId="7A817ACF" w14:textId="77777777" w:rsidR="00F56160" w:rsidRDefault="00F56160" w:rsidP="00FC6E15">
      <w:pPr>
        <w:spacing w:line="360" w:lineRule="auto"/>
        <w:jc w:val="both"/>
        <w:rPr>
          <w:rFonts w:ascii="Times New Roman" w:hAnsi="Times New Roman" w:cs="Times New Roman"/>
          <w:sz w:val="24"/>
          <w:szCs w:val="24"/>
        </w:rPr>
      </w:pPr>
    </w:p>
    <w:p w14:paraId="4D48768C" w14:textId="77777777" w:rsidR="00F56160" w:rsidRDefault="00F56160" w:rsidP="00FC6E15">
      <w:pPr>
        <w:spacing w:line="360" w:lineRule="auto"/>
        <w:jc w:val="both"/>
        <w:rPr>
          <w:rFonts w:ascii="Times New Roman" w:hAnsi="Times New Roman" w:cs="Times New Roman"/>
          <w:sz w:val="24"/>
          <w:szCs w:val="24"/>
        </w:rPr>
      </w:pPr>
    </w:p>
    <w:p w14:paraId="3367E924" w14:textId="77777777" w:rsidR="00F56160" w:rsidRPr="00FC6E15" w:rsidRDefault="00F56160" w:rsidP="00FC6E15">
      <w:pPr>
        <w:spacing w:line="360" w:lineRule="auto"/>
        <w:jc w:val="both"/>
        <w:rPr>
          <w:rFonts w:ascii="Times New Roman" w:hAnsi="Times New Roman" w:cs="Times New Roman"/>
          <w:sz w:val="24"/>
          <w:szCs w:val="24"/>
        </w:rPr>
      </w:pPr>
    </w:p>
    <w:p w14:paraId="15035479" w14:textId="77777777" w:rsidR="00FC6E15" w:rsidRPr="00FC6E15" w:rsidRDefault="00FC6E15" w:rsidP="00FC6E15">
      <w:pPr>
        <w:spacing w:line="360" w:lineRule="auto"/>
        <w:jc w:val="both"/>
        <w:rPr>
          <w:rFonts w:ascii="Times New Roman" w:hAnsi="Times New Roman" w:cs="Times New Roman"/>
          <w:sz w:val="24"/>
          <w:szCs w:val="24"/>
        </w:rPr>
      </w:pPr>
    </w:p>
    <w:p w14:paraId="29BAE70F" w14:textId="77777777" w:rsidR="00FC6E15" w:rsidRPr="00FC6E15" w:rsidRDefault="00FC6E15" w:rsidP="00FC6E15">
      <w:pPr>
        <w:spacing w:line="360" w:lineRule="auto"/>
        <w:jc w:val="both"/>
        <w:rPr>
          <w:rFonts w:ascii="Times New Roman" w:hAnsi="Times New Roman" w:cs="Times New Roman"/>
          <w:sz w:val="24"/>
          <w:szCs w:val="24"/>
        </w:rPr>
      </w:pPr>
    </w:p>
    <w:p w14:paraId="023EEC64" w14:textId="0DE6170C"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5. Comparison of JTHFT scores between </w:t>
      </w:r>
      <w:r>
        <w:rPr>
          <w:rFonts w:ascii="Times New Roman" w:eastAsia="Calibri" w:hAnsi="Times New Roman" w:cs="Times New Roman"/>
          <w:b/>
          <w:bCs/>
          <w:sz w:val="24"/>
          <w:szCs w:val="24"/>
        </w:rPr>
        <w:t xml:space="preserve">the </w:t>
      </w:r>
      <w:r w:rsidRPr="00BA723D">
        <w:rPr>
          <w:rFonts w:ascii="Times New Roman" w:hAnsi="Times New Roman" w:cs="Times New Roman"/>
          <w:b/>
          <w:bCs/>
          <w:sz w:val="24"/>
          <w:szCs w:val="24"/>
        </w:rPr>
        <w:t>Choba and Etche groups for male children</w:t>
      </w:r>
    </w:p>
    <w:tbl>
      <w:tblPr>
        <w:tblW w:w="9588" w:type="dxa"/>
        <w:tblInd w:w="-426" w:type="dxa"/>
        <w:tblLayout w:type="fixed"/>
        <w:tblLook w:val="0000" w:firstRow="0" w:lastRow="0" w:firstColumn="0" w:lastColumn="0" w:noHBand="0" w:noVBand="0"/>
      </w:tblPr>
      <w:tblGrid>
        <w:gridCol w:w="1702"/>
        <w:gridCol w:w="2278"/>
        <w:gridCol w:w="1847"/>
        <w:gridCol w:w="1565"/>
        <w:gridCol w:w="1059"/>
        <w:gridCol w:w="1137"/>
      </w:tblGrid>
      <w:tr w:rsidR="009A41C2" w14:paraId="4E96E842" w14:textId="77777777" w:rsidTr="00F56160">
        <w:trPr>
          <w:trHeight w:val="400"/>
        </w:trPr>
        <w:tc>
          <w:tcPr>
            <w:tcW w:w="1702" w:type="dxa"/>
            <w:tcBorders>
              <w:top w:val="single" w:sz="4" w:space="0" w:color="auto"/>
            </w:tcBorders>
          </w:tcPr>
          <w:p w14:paraId="27BBA9CF" w14:textId="77777777" w:rsidR="00F56160" w:rsidRPr="00F56160" w:rsidRDefault="00F56160" w:rsidP="002A3165">
            <w:pPr>
              <w:rPr>
                <w:rFonts w:ascii="Times New Roman" w:hAnsi="Times New Roman" w:cs="Times New Roman"/>
                <w:b/>
                <w:bCs/>
                <w:sz w:val="24"/>
                <w:szCs w:val="24"/>
              </w:rPr>
            </w:pPr>
          </w:p>
        </w:tc>
        <w:tc>
          <w:tcPr>
            <w:tcW w:w="2278" w:type="dxa"/>
            <w:tcBorders>
              <w:top w:val="single" w:sz="4" w:space="0" w:color="auto"/>
            </w:tcBorders>
          </w:tcPr>
          <w:p w14:paraId="656E2A69"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Subtests</w:t>
            </w:r>
          </w:p>
        </w:tc>
        <w:tc>
          <w:tcPr>
            <w:tcW w:w="1847" w:type="dxa"/>
            <w:tcBorders>
              <w:top w:val="single" w:sz="4" w:space="0" w:color="auto"/>
            </w:tcBorders>
          </w:tcPr>
          <w:p w14:paraId="4E5DF189"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Choba (n=23)</w:t>
            </w:r>
          </w:p>
        </w:tc>
        <w:tc>
          <w:tcPr>
            <w:tcW w:w="1565" w:type="dxa"/>
            <w:tcBorders>
              <w:top w:val="single" w:sz="4" w:space="0" w:color="auto"/>
            </w:tcBorders>
          </w:tcPr>
          <w:p w14:paraId="0507E41F"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Etche (n=21)</w:t>
            </w:r>
          </w:p>
        </w:tc>
        <w:tc>
          <w:tcPr>
            <w:tcW w:w="1059" w:type="dxa"/>
            <w:tcBorders>
              <w:top w:val="single" w:sz="4" w:space="0" w:color="auto"/>
            </w:tcBorders>
          </w:tcPr>
          <w:p w14:paraId="1AC73A74" w14:textId="58B02B4D"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t-test</w:t>
            </w:r>
          </w:p>
        </w:tc>
        <w:tc>
          <w:tcPr>
            <w:tcW w:w="1137" w:type="dxa"/>
            <w:tcBorders>
              <w:top w:val="single" w:sz="4" w:space="0" w:color="auto"/>
            </w:tcBorders>
          </w:tcPr>
          <w:p w14:paraId="681A28AA" w14:textId="797A0FEC"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p-value</w:t>
            </w:r>
          </w:p>
        </w:tc>
      </w:tr>
      <w:tr w:rsidR="009A41C2" w14:paraId="34F06FD5" w14:textId="77777777" w:rsidTr="00F56160">
        <w:trPr>
          <w:trHeight w:val="400"/>
        </w:trPr>
        <w:tc>
          <w:tcPr>
            <w:tcW w:w="1702" w:type="dxa"/>
            <w:vMerge w:val="restart"/>
            <w:tcBorders>
              <w:top w:val="single" w:sz="4" w:space="0" w:color="auto"/>
            </w:tcBorders>
            <w:vAlign w:val="center"/>
          </w:tcPr>
          <w:p w14:paraId="0E591867" w14:textId="5AC1C09A"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Non-dominant hand</w:t>
            </w:r>
          </w:p>
        </w:tc>
        <w:tc>
          <w:tcPr>
            <w:tcW w:w="2278" w:type="dxa"/>
            <w:tcBorders>
              <w:top w:val="single" w:sz="4" w:space="0" w:color="auto"/>
            </w:tcBorders>
          </w:tcPr>
          <w:p w14:paraId="0B09D48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847" w:type="dxa"/>
            <w:tcBorders>
              <w:top w:val="single" w:sz="4" w:space="0" w:color="auto"/>
            </w:tcBorders>
          </w:tcPr>
          <w:p w14:paraId="132AFFD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74.64±19.42</w:t>
            </w:r>
          </w:p>
        </w:tc>
        <w:tc>
          <w:tcPr>
            <w:tcW w:w="1565" w:type="dxa"/>
            <w:tcBorders>
              <w:top w:val="single" w:sz="4" w:space="0" w:color="auto"/>
            </w:tcBorders>
          </w:tcPr>
          <w:p w14:paraId="73A652F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73.07±23.23</w:t>
            </w:r>
          </w:p>
        </w:tc>
        <w:tc>
          <w:tcPr>
            <w:tcW w:w="1059" w:type="dxa"/>
            <w:tcBorders>
              <w:top w:val="single" w:sz="4" w:space="0" w:color="auto"/>
            </w:tcBorders>
          </w:tcPr>
          <w:p w14:paraId="4EC9C8D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0.244</w:t>
            </w:r>
          </w:p>
        </w:tc>
        <w:tc>
          <w:tcPr>
            <w:tcW w:w="1137" w:type="dxa"/>
            <w:tcBorders>
              <w:top w:val="single" w:sz="4" w:space="0" w:color="auto"/>
            </w:tcBorders>
          </w:tcPr>
          <w:p w14:paraId="2E2AA4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0.809</w:t>
            </w:r>
          </w:p>
        </w:tc>
      </w:tr>
      <w:tr w:rsidR="009A41C2" w14:paraId="3B24C62B" w14:textId="77777777" w:rsidTr="00F56160">
        <w:trPr>
          <w:trHeight w:val="400"/>
        </w:trPr>
        <w:tc>
          <w:tcPr>
            <w:tcW w:w="1702" w:type="dxa"/>
            <w:vMerge/>
            <w:tcBorders>
              <w:top w:val="single" w:sz="4" w:space="0" w:color="auto"/>
            </w:tcBorders>
            <w:vAlign w:val="center"/>
          </w:tcPr>
          <w:p w14:paraId="06FF1560" w14:textId="77777777" w:rsidR="00F56160" w:rsidRPr="00F56160" w:rsidRDefault="00F56160" w:rsidP="002A3165">
            <w:pPr>
              <w:rPr>
                <w:rFonts w:ascii="Times New Roman" w:hAnsi="Times New Roman" w:cs="Times New Roman"/>
                <w:sz w:val="24"/>
                <w:szCs w:val="24"/>
              </w:rPr>
            </w:pPr>
          </w:p>
        </w:tc>
        <w:tc>
          <w:tcPr>
            <w:tcW w:w="2278" w:type="dxa"/>
          </w:tcPr>
          <w:p w14:paraId="02E3B2E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847" w:type="dxa"/>
          </w:tcPr>
          <w:p w14:paraId="745430F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4.61±1.13</w:t>
            </w:r>
          </w:p>
        </w:tc>
        <w:tc>
          <w:tcPr>
            <w:tcW w:w="1565" w:type="dxa"/>
          </w:tcPr>
          <w:p w14:paraId="5CE88CF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5.85±1.37</w:t>
            </w:r>
          </w:p>
        </w:tc>
        <w:tc>
          <w:tcPr>
            <w:tcW w:w="1059" w:type="dxa"/>
          </w:tcPr>
          <w:p w14:paraId="6075BB7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-3.287</w:t>
            </w:r>
          </w:p>
        </w:tc>
        <w:tc>
          <w:tcPr>
            <w:tcW w:w="1137" w:type="dxa"/>
          </w:tcPr>
          <w:p w14:paraId="1FA5EA93" w14:textId="7A8FF758" w:rsidR="00F56160"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0.002*</w:t>
            </w:r>
          </w:p>
        </w:tc>
      </w:tr>
      <w:tr w:rsidR="009A41C2" w14:paraId="5F54DD53" w14:textId="77777777" w:rsidTr="00F56160">
        <w:trPr>
          <w:trHeight w:val="560"/>
        </w:trPr>
        <w:tc>
          <w:tcPr>
            <w:tcW w:w="1702" w:type="dxa"/>
            <w:vMerge/>
            <w:tcBorders>
              <w:top w:val="single" w:sz="4" w:space="0" w:color="auto"/>
            </w:tcBorders>
            <w:vAlign w:val="center"/>
          </w:tcPr>
          <w:p w14:paraId="0CD34561" w14:textId="77777777" w:rsidR="00F56160" w:rsidRPr="00F56160" w:rsidRDefault="00F56160" w:rsidP="002A3165">
            <w:pPr>
              <w:rPr>
                <w:rFonts w:ascii="Times New Roman" w:hAnsi="Times New Roman" w:cs="Times New Roman"/>
                <w:sz w:val="24"/>
                <w:szCs w:val="24"/>
              </w:rPr>
            </w:pPr>
          </w:p>
        </w:tc>
        <w:tc>
          <w:tcPr>
            <w:tcW w:w="2278" w:type="dxa"/>
          </w:tcPr>
          <w:p w14:paraId="201940F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847" w:type="dxa"/>
          </w:tcPr>
          <w:p w14:paraId="03DE8D2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6.69±1.11</w:t>
            </w:r>
          </w:p>
        </w:tc>
        <w:tc>
          <w:tcPr>
            <w:tcW w:w="1565" w:type="dxa"/>
          </w:tcPr>
          <w:p w14:paraId="0BD95B2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6.19±1.48</w:t>
            </w:r>
          </w:p>
        </w:tc>
        <w:tc>
          <w:tcPr>
            <w:tcW w:w="1059" w:type="dxa"/>
          </w:tcPr>
          <w:p w14:paraId="2C8A75B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1.274</w:t>
            </w:r>
          </w:p>
        </w:tc>
        <w:tc>
          <w:tcPr>
            <w:tcW w:w="1137" w:type="dxa"/>
          </w:tcPr>
          <w:p w14:paraId="56D25D5F" w14:textId="14E6EFF3" w:rsidR="00F56160" w:rsidRPr="00F56160" w:rsidRDefault="00C77E45" w:rsidP="002A3165">
            <w:pPr>
              <w:rPr>
                <w:rFonts w:ascii="Times New Roman" w:hAnsi="Times New Roman" w:cs="Times New Roman"/>
                <w:sz w:val="24"/>
                <w:szCs w:val="24"/>
              </w:rPr>
            </w:pPr>
            <w:r>
              <w:rPr>
                <w:rFonts w:ascii="Times New Roman" w:hAnsi="Times New Roman" w:cs="Times New Roman"/>
                <w:sz w:val="24"/>
                <w:szCs w:val="24"/>
              </w:rPr>
              <w:t>0.210</w:t>
            </w:r>
          </w:p>
        </w:tc>
      </w:tr>
      <w:tr w:rsidR="009A41C2" w14:paraId="092EE8D0" w14:textId="77777777" w:rsidTr="00F56160">
        <w:trPr>
          <w:trHeight w:val="400"/>
        </w:trPr>
        <w:tc>
          <w:tcPr>
            <w:tcW w:w="1702" w:type="dxa"/>
            <w:vMerge/>
            <w:tcBorders>
              <w:top w:val="single" w:sz="4" w:space="0" w:color="auto"/>
            </w:tcBorders>
            <w:vAlign w:val="center"/>
          </w:tcPr>
          <w:p w14:paraId="55BBB4DC" w14:textId="77777777" w:rsidR="00F56160" w:rsidRPr="00F56160" w:rsidRDefault="00F56160" w:rsidP="002A3165">
            <w:pPr>
              <w:rPr>
                <w:rFonts w:ascii="Times New Roman" w:hAnsi="Times New Roman" w:cs="Times New Roman"/>
                <w:sz w:val="24"/>
                <w:szCs w:val="24"/>
              </w:rPr>
            </w:pPr>
          </w:p>
        </w:tc>
        <w:tc>
          <w:tcPr>
            <w:tcW w:w="2278" w:type="dxa"/>
          </w:tcPr>
          <w:p w14:paraId="1D16317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847" w:type="dxa"/>
          </w:tcPr>
          <w:p w14:paraId="777572E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14.33±6.95</w:t>
            </w:r>
          </w:p>
        </w:tc>
        <w:tc>
          <w:tcPr>
            <w:tcW w:w="1565" w:type="dxa"/>
          </w:tcPr>
          <w:p w14:paraId="6FC5263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14.12±3.95</w:t>
            </w:r>
          </w:p>
        </w:tc>
        <w:tc>
          <w:tcPr>
            <w:tcW w:w="1059" w:type="dxa"/>
          </w:tcPr>
          <w:p w14:paraId="7957C4D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0.122</w:t>
            </w:r>
          </w:p>
        </w:tc>
        <w:tc>
          <w:tcPr>
            <w:tcW w:w="1137" w:type="dxa"/>
          </w:tcPr>
          <w:p w14:paraId="3727B3F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0.904</w:t>
            </w:r>
          </w:p>
        </w:tc>
      </w:tr>
      <w:tr w:rsidR="009A41C2" w14:paraId="5FAF1D7F" w14:textId="77777777" w:rsidTr="00F56160">
        <w:trPr>
          <w:trHeight w:val="320"/>
        </w:trPr>
        <w:tc>
          <w:tcPr>
            <w:tcW w:w="1702" w:type="dxa"/>
            <w:vMerge/>
            <w:tcBorders>
              <w:top w:val="single" w:sz="4" w:space="0" w:color="auto"/>
            </w:tcBorders>
            <w:vAlign w:val="center"/>
          </w:tcPr>
          <w:p w14:paraId="67A6393E" w14:textId="77777777" w:rsidR="00F56160" w:rsidRPr="00F56160" w:rsidRDefault="00F56160" w:rsidP="002A3165">
            <w:pPr>
              <w:rPr>
                <w:rFonts w:ascii="Times New Roman" w:hAnsi="Times New Roman" w:cs="Times New Roman"/>
                <w:sz w:val="24"/>
                <w:szCs w:val="24"/>
              </w:rPr>
            </w:pPr>
          </w:p>
        </w:tc>
        <w:tc>
          <w:tcPr>
            <w:tcW w:w="2278" w:type="dxa"/>
          </w:tcPr>
          <w:p w14:paraId="6EEEFCE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847" w:type="dxa"/>
          </w:tcPr>
          <w:p w14:paraId="6168192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4.35±0.94</w:t>
            </w:r>
          </w:p>
        </w:tc>
        <w:tc>
          <w:tcPr>
            <w:tcW w:w="1565" w:type="dxa"/>
          </w:tcPr>
          <w:p w14:paraId="7199F01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4.19±0.77</w:t>
            </w:r>
          </w:p>
        </w:tc>
        <w:tc>
          <w:tcPr>
            <w:tcW w:w="1059" w:type="dxa"/>
          </w:tcPr>
          <w:p w14:paraId="399BA28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0.601</w:t>
            </w:r>
          </w:p>
        </w:tc>
        <w:tc>
          <w:tcPr>
            <w:tcW w:w="1137" w:type="dxa"/>
            <w:vAlign w:val="center"/>
          </w:tcPr>
          <w:p w14:paraId="22B6F3A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0.551</w:t>
            </w:r>
          </w:p>
        </w:tc>
      </w:tr>
      <w:tr w:rsidR="009A41C2" w14:paraId="1E71239F" w14:textId="77777777" w:rsidTr="00F56160">
        <w:trPr>
          <w:trHeight w:val="560"/>
        </w:trPr>
        <w:tc>
          <w:tcPr>
            <w:tcW w:w="1702" w:type="dxa"/>
            <w:vMerge/>
            <w:tcBorders>
              <w:top w:val="single" w:sz="4" w:space="0" w:color="auto"/>
            </w:tcBorders>
            <w:vAlign w:val="center"/>
          </w:tcPr>
          <w:p w14:paraId="5C0B6F52" w14:textId="77777777" w:rsidR="00F56160" w:rsidRPr="00F56160" w:rsidRDefault="00F56160" w:rsidP="002A3165">
            <w:pPr>
              <w:rPr>
                <w:rFonts w:ascii="Times New Roman" w:hAnsi="Times New Roman" w:cs="Times New Roman"/>
                <w:sz w:val="24"/>
                <w:szCs w:val="24"/>
              </w:rPr>
            </w:pPr>
          </w:p>
        </w:tc>
        <w:tc>
          <w:tcPr>
            <w:tcW w:w="2278" w:type="dxa"/>
          </w:tcPr>
          <w:p w14:paraId="3DBA82F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eastAsia="Times New Roman" w:hAnsi="Times New Roman" w:cs="Times New Roman"/>
                <w:b/>
                <w:color w:val="000000"/>
                <w:sz w:val="24"/>
                <w:szCs w:val="24"/>
              </w:rPr>
              <w:t xml:space="preserve"> </w:t>
            </w:r>
            <w:r w:rsidRPr="00F56160">
              <w:rPr>
                <w:rFonts w:ascii="Times New Roman" w:hAnsi="Times New Roman" w:cs="Times New Roman"/>
                <w:sz w:val="24"/>
                <w:szCs w:val="24"/>
              </w:rPr>
              <w:t>objects</w:t>
            </w:r>
          </w:p>
        </w:tc>
        <w:tc>
          <w:tcPr>
            <w:tcW w:w="1847" w:type="dxa"/>
          </w:tcPr>
          <w:p w14:paraId="37401AD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3.52±0.89</w:t>
            </w:r>
          </w:p>
        </w:tc>
        <w:tc>
          <w:tcPr>
            <w:tcW w:w="1565" w:type="dxa"/>
          </w:tcPr>
          <w:p w14:paraId="3151CE3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3.47±0.54</w:t>
            </w:r>
          </w:p>
        </w:tc>
        <w:tc>
          <w:tcPr>
            <w:tcW w:w="1059" w:type="dxa"/>
          </w:tcPr>
          <w:p w14:paraId="2A62063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0.215</w:t>
            </w:r>
          </w:p>
        </w:tc>
        <w:tc>
          <w:tcPr>
            <w:tcW w:w="1137" w:type="dxa"/>
          </w:tcPr>
          <w:p w14:paraId="0D94BF0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0.831</w:t>
            </w:r>
          </w:p>
        </w:tc>
      </w:tr>
      <w:tr w:rsidR="009A41C2" w14:paraId="74F126C5" w14:textId="77777777" w:rsidTr="00F56160">
        <w:trPr>
          <w:trHeight w:val="480"/>
        </w:trPr>
        <w:tc>
          <w:tcPr>
            <w:tcW w:w="1702" w:type="dxa"/>
            <w:vMerge/>
            <w:tcBorders>
              <w:top w:val="single" w:sz="4" w:space="0" w:color="auto"/>
            </w:tcBorders>
            <w:vAlign w:val="center"/>
          </w:tcPr>
          <w:p w14:paraId="75704773" w14:textId="77777777" w:rsidR="00F56160" w:rsidRPr="00F56160" w:rsidRDefault="00F56160" w:rsidP="002A3165">
            <w:pPr>
              <w:rPr>
                <w:rFonts w:ascii="Times New Roman" w:hAnsi="Times New Roman" w:cs="Times New Roman"/>
                <w:sz w:val="24"/>
                <w:szCs w:val="24"/>
              </w:rPr>
            </w:pPr>
          </w:p>
        </w:tc>
        <w:tc>
          <w:tcPr>
            <w:tcW w:w="2278" w:type="dxa"/>
          </w:tcPr>
          <w:p w14:paraId="6F720BE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847" w:type="dxa"/>
          </w:tcPr>
          <w:p w14:paraId="0540546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3.72±0.83</w:t>
            </w:r>
          </w:p>
        </w:tc>
        <w:tc>
          <w:tcPr>
            <w:tcW w:w="1565" w:type="dxa"/>
          </w:tcPr>
          <w:p w14:paraId="0FF283A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3.36±0.51</w:t>
            </w:r>
          </w:p>
        </w:tc>
        <w:tc>
          <w:tcPr>
            <w:tcW w:w="1059" w:type="dxa"/>
          </w:tcPr>
          <w:p w14:paraId="65B26DA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1.701</w:t>
            </w:r>
          </w:p>
        </w:tc>
        <w:tc>
          <w:tcPr>
            <w:tcW w:w="1137" w:type="dxa"/>
          </w:tcPr>
          <w:p w14:paraId="09253F1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0.096</w:t>
            </w:r>
          </w:p>
        </w:tc>
      </w:tr>
      <w:tr w:rsidR="009A41C2" w14:paraId="56ADF7C8" w14:textId="77777777" w:rsidTr="00F56160">
        <w:trPr>
          <w:trHeight w:val="400"/>
        </w:trPr>
        <w:tc>
          <w:tcPr>
            <w:tcW w:w="1702" w:type="dxa"/>
            <w:vMerge w:val="restart"/>
            <w:tcBorders>
              <w:top w:val="single" w:sz="4" w:space="0" w:color="auto"/>
              <w:bottom w:val="single" w:sz="4" w:space="0" w:color="auto"/>
            </w:tcBorders>
            <w:vAlign w:val="center"/>
          </w:tcPr>
          <w:p w14:paraId="62694B3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278" w:type="dxa"/>
            <w:tcBorders>
              <w:top w:val="single" w:sz="4" w:space="0" w:color="auto"/>
            </w:tcBorders>
          </w:tcPr>
          <w:p w14:paraId="7C77CD0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847" w:type="dxa"/>
            <w:tcBorders>
              <w:top w:val="single" w:sz="4" w:space="0" w:color="auto"/>
            </w:tcBorders>
          </w:tcPr>
          <w:p w14:paraId="1B027BE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32.81±14.72</w:t>
            </w:r>
          </w:p>
        </w:tc>
        <w:tc>
          <w:tcPr>
            <w:tcW w:w="1565" w:type="dxa"/>
            <w:tcBorders>
              <w:top w:val="single" w:sz="4" w:space="0" w:color="auto"/>
            </w:tcBorders>
          </w:tcPr>
          <w:p w14:paraId="4957793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36.41±19.38</w:t>
            </w:r>
          </w:p>
        </w:tc>
        <w:tc>
          <w:tcPr>
            <w:tcW w:w="1059" w:type="dxa"/>
            <w:tcBorders>
              <w:top w:val="single" w:sz="4" w:space="0" w:color="auto"/>
            </w:tcBorders>
          </w:tcPr>
          <w:p w14:paraId="3BD25DA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-0.699</w:t>
            </w:r>
          </w:p>
        </w:tc>
        <w:tc>
          <w:tcPr>
            <w:tcW w:w="1137" w:type="dxa"/>
            <w:tcBorders>
              <w:top w:val="single" w:sz="4" w:space="0" w:color="auto"/>
            </w:tcBorders>
          </w:tcPr>
          <w:p w14:paraId="10603A6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0.488</w:t>
            </w:r>
          </w:p>
        </w:tc>
      </w:tr>
      <w:tr w:rsidR="009A41C2" w14:paraId="3880AACB" w14:textId="77777777" w:rsidTr="00F56160">
        <w:trPr>
          <w:trHeight w:val="400"/>
        </w:trPr>
        <w:tc>
          <w:tcPr>
            <w:tcW w:w="1702" w:type="dxa"/>
            <w:vMerge/>
            <w:tcBorders>
              <w:top w:val="single" w:sz="4" w:space="0" w:color="auto"/>
              <w:bottom w:val="single" w:sz="4" w:space="0" w:color="auto"/>
            </w:tcBorders>
            <w:vAlign w:val="center"/>
          </w:tcPr>
          <w:p w14:paraId="6B07967C" w14:textId="77777777" w:rsidR="00F56160" w:rsidRPr="00F56160" w:rsidRDefault="00F56160" w:rsidP="002A3165">
            <w:pPr>
              <w:rPr>
                <w:rFonts w:ascii="Times New Roman" w:hAnsi="Times New Roman" w:cs="Times New Roman"/>
                <w:sz w:val="24"/>
                <w:szCs w:val="24"/>
              </w:rPr>
            </w:pPr>
          </w:p>
        </w:tc>
        <w:tc>
          <w:tcPr>
            <w:tcW w:w="2278" w:type="dxa"/>
          </w:tcPr>
          <w:p w14:paraId="1D25034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847" w:type="dxa"/>
          </w:tcPr>
          <w:p w14:paraId="2FFC0B9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3.86±0.96</w:t>
            </w:r>
          </w:p>
        </w:tc>
        <w:tc>
          <w:tcPr>
            <w:tcW w:w="1565" w:type="dxa"/>
          </w:tcPr>
          <w:p w14:paraId="73568F2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4.45±1.03</w:t>
            </w:r>
          </w:p>
        </w:tc>
        <w:tc>
          <w:tcPr>
            <w:tcW w:w="1059" w:type="dxa"/>
          </w:tcPr>
          <w:p w14:paraId="5ABEB47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-1.969</w:t>
            </w:r>
          </w:p>
        </w:tc>
        <w:tc>
          <w:tcPr>
            <w:tcW w:w="1137" w:type="dxa"/>
          </w:tcPr>
          <w:p w14:paraId="611D34D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0.056</w:t>
            </w:r>
          </w:p>
        </w:tc>
      </w:tr>
      <w:tr w:rsidR="009A41C2" w14:paraId="6CFF8662" w14:textId="77777777" w:rsidTr="00F56160">
        <w:trPr>
          <w:trHeight w:val="560"/>
        </w:trPr>
        <w:tc>
          <w:tcPr>
            <w:tcW w:w="1702" w:type="dxa"/>
            <w:vMerge/>
            <w:tcBorders>
              <w:top w:val="single" w:sz="4" w:space="0" w:color="auto"/>
              <w:bottom w:val="single" w:sz="4" w:space="0" w:color="auto"/>
            </w:tcBorders>
            <w:vAlign w:val="center"/>
          </w:tcPr>
          <w:p w14:paraId="3B24F84D" w14:textId="77777777" w:rsidR="00F56160" w:rsidRPr="00F56160" w:rsidRDefault="00F56160" w:rsidP="002A3165">
            <w:pPr>
              <w:rPr>
                <w:rFonts w:ascii="Times New Roman" w:hAnsi="Times New Roman" w:cs="Times New Roman"/>
                <w:sz w:val="24"/>
                <w:szCs w:val="24"/>
              </w:rPr>
            </w:pPr>
          </w:p>
        </w:tc>
        <w:tc>
          <w:tcPr>
            <w:tcW w:w="2278" w:type="dxa"/>
          </w:tcPr>
          <w:p w14:paraId="1456718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847" w:type="dxa"/>
          </w:tcPr>
          <w:p w14:paraId="534EDDF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5.94±1.01</w:t>
            </w:r>
          </w:p>
        </w:tc>
        <w:tc>
          <w:tcPr>
            <w:tcW w:w="1565" w:type="dxa"/>
          </w:tcPr>
          <w:p w14:paraId="13A5A82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5.7±0.83</w:t>
            </w:r>
          </w:p>
        </w:tc>
        <w:tc>
          <w:tcPr>
            <w:tcW w:w="1059" w:type="dxa"/>
          </w:tcPr>
          <w:p w14:paraId="55313AE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0.712</w:t>
            </w:r>
          </w:p>
        </w:tc>
        <w:tc>
          <w:tcPr>
            <w:tcW w:w="1137" w:type="dxa"/>
          </w:tcPr>
          <w:p w14:paraId="5CACD1F5" w14:textId="7DA3EDCE" w:rsidR="00F56160" w:rsidRPr="00F56160" w:rsidRDefault="00C77E45" w:rsidP="002A3165">
            <w:pPr>
              <w:rPr>
                <w:rFonts w:ascii="Times New Roman" w:hAnsi="Times New Roman" w:cs="Times New Roman"/>
                <w:sz w:val="24"/>
                <w:szCs w:val="24"/>
              </w:rPr>
            </w:pPr>
            <w:r>
              <w:rPr>
                <w:rFonts w:ascii="Times New Roman" w:hAnsi="Times New Roman" w:cs="Times New Roman"/>
                <w:sz w:val="24"/>
                <w:szCs w:val="24"/>
              </w:rPr>
              <w:t>0.480</w:t>
            </w:r>
          </w:p>
        </w:tc>
      </w:tr>
      <w:tr w:rsidR="009A41C2" w14:paraId="13B6295D" w14:textId="77777777" w:rsidTr="00F56160">
        <w:trPr>
          <w:trHeight w:val="400"/>
        </w:trPr>
        <w:tc>
          <w:tcPr>
            <w:tcW w:w="1702" w:type="dxa"/>
            <w:vMerge/>
            <w:tcBorders>
              <w:top w:val="single" w:sz="4" w:space="0" w:color="auto"/>
              <w:bottom w:val="single" w:sz="4" w:space="0" w:color="auto"/>
            </w:tcBorders>
            <w:vAlign w:val="center"/>
          </w:tcPr>
          <w:p w14:paraId="21D34A66" w14:textId="77777777" w:rsidR="00F56160" w:rsidRPr="00F56160" w:rsidRDefault="00F56160" w:rsidP="002A3165">
            <w:pPr>
              <w:rPr>
                <w:rFonts w:ascii="Times New Roman" w:hAnsi="Times New Roman" w:cs="Times New Roman"/>
                <w:sz w:val="24"/>
                <w:szCs w:val="24"/>
              </w:rPr>
            </w:pPr>
          </w:p>
        </w:tc>
        <w:tc>
          <w:tcPr>
            <w:tcW w:w="2278" w:type="dxa"/>
          </w:tcPr>
          <w:p w14:paraId="41D9FB0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847" w:type="dxa"/>
          </w:tcPr>
          <w:p w14:paraId="627F27E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11.74±5.31</w:t>
            </w:r>
          </w:p>
        </w:tc>
        <w:tc>
          <w:tcPr>
            <w:tcW w:w="1565" w:type="dxa"/>
          </w:tcPr>
          <w:p w14:paraId="432BDC1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9.60±2.37</w:t>
            </w:r>
          </w:p>
        </w:tc>
        <w:tc>
          <w:tcPr>
            <w:tcW w:w="1059" w:type="dxa"/>
          </w:tcPr>
          <w:p w14:paraId="04A7E15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1.693</w:t>
            </w:r>
          </w:p>
        </w:tc>
        <w:tc>
          <w:tcPr>
            <w:tcW w:w="1137" w:type="dxa"/>
          </w:tcPr>
          <w:p w14:paraId="377B63F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0.098</w:t>
            </w:r>
          </w:p>
        </w:tc>
      </w:tr>
      <w:tr w:rsidR="009A41C2" w14:paraId="16EA824C" w14:textId="77777777" w:rsidTr="00F56160">
        <w:trPr>
          <w:trHeight w:val="400"/>
        </w:trPr>
        <w:tc>
          <w:tcPr>
            <w:tcW w:w="1702" w:type="dxa"/>
            <w:vMerge/>
            <w:tcBorders>
              <w:top w:val="single" w:sz="4" w:space="0" w:color="auto"/>
              <w:bottom w:val="single" w:sz="4" w:space="0" w:color="auto"/>
            </w:tcBorders>
            <w:vAlign w:val="center"/>
          </w:tcPr>
          <w:p w14:paraId="4E5D7E38" w14:textId="77777777" w:rsidR="00F56160" w:rsidRPr="00F56160" w:rsidRDefault="00F56160" w:rsidP="002A3165">
            <w:pPr>
              <w:rPr>
                <w:rFonts w:ascii="Times New Roman" w:hAnsi="Times New Roman" w:cs="Times New Roman"/>
                <w:sz w:val="24"/>
                <w:szCs w:val="24"/>
              </w:rPr>
            </w:pPr>
          </w:p>
        </w:tc>
        <w:tc>
          <w:tcPr>
            <w:tcW w:w="2278" w:type="dxa"/>
          </w:tcPr>
          <w:p w14:paraId="73C0155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847" w:type="dxa"/>
          </w:tcPr>
          <w:p w14:paraId="2AFF932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4.00±0.95</w:t>
            </w:r>
          </w:p>
        </w:tc>
        <w:tc>
          <w:tcPr>
            <w:tcW w:w="1565" w:type="dxa"/>
          </w:tcPr>
          <w:p w14:paraId="29BC41D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3.59±0.76</w:t>
            </w:r>
          </w:p>
        </w:tc>
        <w:tc>
          <w:tcPr>
            <w:tcW w:w="1059" w:type="dxa"/>
          </w:tcPr>
          <w:p w14:paraId="3635A6D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1.561</w:t>
            </w:r>
          </w:p>
        </w:tc>
        <w:tc>
          <w:tcPr>
            <w:tcW w:w="1137" w:type="dxa"/>
          </w:tcPr>
          <w:p w14:paraId="434DB37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0.126</w:t>
            </w:r>
          </w:p>
        </w:tc>
      </w:tr>
      <w:tr w:rsidR="009A41C2" w14:paraId="7910E904" w14:textId="77777777" w:rsidTr="00F56160">
        <w:trPr>
          <w:trHeight w:val="560"/>
        </w:trPr>
        <w:tc>
          <w:tcPr>
            <w:tcW w:w="1702" w:type="dxa"/>
            <w:vMerge/>
            <w:tcBorders>
              <w:top w:val="single" w:sz="4" w:space="0" w:color="auto"/>
              <w:bottom w:val="single" w:sz="4" w:space="0" w:color="auto"/>
            </w:tcBorders>
            <w:vAlign w:val="center"/>
          </w:tcPr>
          <w:p w14:paraId="3D955B93" w14:textId="77777777" w:rsidR="00F56160" w:rsidRPr="00F56160" w:rsidRDefault="00F56160" w:rsidP="002A3165">
            <w:pPr>
              <w:rPr>
                <w:rFonts w:ascii="Times New Roman" w:hAnsi="Times New Roman" w:cs="Times New Roman"/>
                <w:sz w:val="24"/>
                <w:szCs w:val="24"/>
              </w:rPr>
            </w:pPr>
          </w:p>
        </w:tc>
        <w:tc>
          <w:tcPr>
            <w:tcW w:w="2278" w:type="dxa"/>
          </w:tcPr>
          <w:p w14:paraId="25E6F88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eastAsia="Times New Roman" w:hAnsi="Times New Roman" w:cs="Times New Roman"/>
                <w:b/>
                <w:color w:val="000000"/>
                <w:sz w:val="24"/>
                <w:szCs w:val="24"/>
              </w:rPr>
              <w:t xml:space="preserve"> </w:t>
            </w:r>
            <w:r w:rsidRPr="00F56160">
              <w:rPr>
                <w:rFonts w:ascii="Times New Roman" w:hAnsi="Times New Roman" w:cs="Times New Roman"/>
                <w:sz w:val="24"/>
                <w:szCs w:val="24"/>
              </w:rPr>
              <w:t>objects</w:t>
            </w:r>
          </w:p>
        </w:tc>
        <w:tc>
          <w:tcPr>
            <w:tcW w:w="1847" w:type="dxa"/>
          </w:tcPr>
          <w:p w14:paraId="28DA5DD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3.25±0.70</w:t>
            </w:r>
          </w:p>
        </w:tc>
        <w:tc>
          <w:tcPr>
            <w:tcW w:w="1565" w:type="dxa"/>
          </w:tcPr>
          <w:p w14:paraId="5C4EDD6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3.10±0.52</w:t>
            </w:r>
          </w:p>
        </w:tc>
        <w:tc>
          <w:tcPr>
            <w:tcW w:w="1059" w:type="dxa"/>
          </w:tcPr>
          <w:p w14:paraId="5891235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0.757</w:t>
            </w:r>
          </w:p>
        </w:tc>
        <w:tc>
          <w:tcPr>
            <w:tcW w:w="1137" w:type="dxa"/>
          </w:tcPr>
          <w:p w14:paraId="5304C54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0.453</w:t>
            </w:r>
          </w:p>
        </w:tc>
      </w:tr>
      <w:tr w:rsidR="009A41C2" w14:paraId="1E1D474D" w14:textId="77777777" w:rsidTr="00F56160">
        <w:trPr>
          <w:trHeight w:val="480"/>
        </w:trPr>
        <w:tc>
          <w:tcPr>
            <w:tcW w:w="1702" w:type="dxa"/>
            <w:vMerge/>
            <w:tcBorders>
              <w:top w:val="single" w:sz="4" w:space="0" w:color="auto"/>
              <w:bottom w:val="single" w:sz="4" w:space="0" w:color="auto"/>
            </w:tcBorders>
            <w:vAlign w:val="center"/>
          </w:tcPr>
          <w:p w14:paraId="18C82F73" w14:textId="77777777" w:rsidR="00F56160" w:rsidRPr="00F56160" w:rsidRDefault="00F56160" w:rsidP="002A3165">
            <w:pPr>
              <w:rPr>
                <w:rFonts w:ascii="Times New Roman" w:hAnsi="Times New Roman" w:cs="Times New Roman"/>
                <w:sz w:val="24"/>
                <w:szCs w:val="24"/>
              </w:rPr>
            </w:pPr>
          </w:p>
        </w:tc>
        <w:tc>
          <w:tcPr>
            <w:tcW w:w="2278" w:type="dxa"/>
            <w:tcBorders>
              <w:bottom w:val="single" w:sz="4" w:space="0" w:color="auto"/>
            </w:tcBorders>
          </w:tcPr>
          <w:p w14:paraId="52D0FEF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847" w:type="dxa"/>
            <w:tcBorders>
              <w:bottom w:val="single" w:sz="4" w:space="0" w:color="auto"/>
            </w:tcBorders>
          </w:tcPr>
          <w:p w14:paraId="36D1CEF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3.54±0.69</w:t>
            </w:r>
          </w:p>
        </w:tc>
        <w:tc>
          <w:tcPr>
            <w:tcW w:w="1565" w:type="dxa"/>
            <w:tcBorders>
              <w:bottom w:val="single" w:sz="4" w:space="0" w:color="auto"/>
            </w:tcBorders>
          </w:tcPr>
          <w:p w14:paraId="29FE1BB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2.99±0.53</w:t>
            </w:r>
          </w:p>
        </w:tc>
        <w:tc>
          <w:tcPr>
            <w:tcW w:w="1059" w:type="dxa"/>
            <w:tcBorders>
              <w:bottom w:val="single" w:sz="4" w:space="0" w:color="auto"/>
            </w:tcBorders>
          </w:tcPr>
          <w:p w14:paraId="147A45F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2.941</w:t>
            </w:r>
          </w:p>
        </w:tc>
        <w:tc>
          <w:tcPr>
            <w:tcW w:w="1137" w:type="dxa"/>
            <w:tcBorders>
              <w:bottom w:val="single" w:sz="4" w:space="0" w:color="auto"/>
            </w:tcBorders>
          </w:tcPr>
          <w:p w14:paraId="31DA4888" w14:textId="5EF52547" w:rsidR="00F56160"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0.005*</w:t>
            </w:r>
          </w:p>
        </w:tc>
      </w:tr>
    </w:tbl>
    <w:p w14:paraId="09943920"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w:t>
      </w:r>
      <w:r w:rsidRPr="00A12554">
        <w:rPr>
          <w:rFonts w:ascii="Times New Roman" w:hAnsi="Times New Roman" w:cs="Times New Roman"/>
          <w:sz w:val="20"/>
          <w:szCs w:val="20"/>
        </w:rPr>
        <w:t xml:space="preserve"> differences in performance between the groups at p &lt; 0.05</w:t>
      </w:r>
    </w:p>
    <w:p w14:paraId="730ECE21" w14:textId="3467CBCB" w:rsidR="00FC6E15" w:rsidRPr="00FC6E15" w:rsidRDefault="00FC6E15" w:rsidP="00FC6E15">
      <w:pPr>
        <w:spacing w:line="360" w:lineRule="auto"/>
        <w:jc w:val="both"/>
        <w:rPr>
          <w:rFonts w:ascii="Times New Roman" w:hAnsi="Times New Roman" w:cs="Times New Roman"/>
          <w:sz w:val="24"/>
          <w:szCs w:val="24"/>
        </w:rPr>
      </w:pPr>
    </w:p>
    <w:p w14:paraId="6F9E0B5D" w14:textId="77777777" w:rsidR="00F56160" w:rsidRDefault="00F56160" w:rsidP="00FC6E15">
      <w:pPr>
        <w:spacing w:line="360" w:lineRule="auto"/>
        <w:jc w:val="both"/>
        <w:rPr>
          <w:rFonts w:ascii="Times New Roman" w:hAnsi="Times New Roman" w:cs="Times New Roman"/>
          <w:sz w:val="24"/>
          <w:szCs w:val="24"/>
        </w:rPr>
      </w:pPr>
    </w:p>
    <w:p w14:paraId="75EDFCCB" w14:textId="77777777" w:rsidR="00F56160" w:rsidRDefault="00F56160" w:rsidP="00FC6E15">
      <w:pPr>
        <w:spacing w:line="360" w:lineRule="auto"/>
        <w:jc w:val="both"/>
        <w:rPr>
          <w:rFonts w:ascii="Times New Roman" w:hAnsi="Times New Roman" w:cs="Times New Roman"/>
          <w:sz w:val="24"/>
          <w:szCs w:val="24"/>
        </w:rPr>
      </w:pPr>
    </w:p>
    <w:p w14:paraId="3B750EF4" w14:textId="77777777" w:rsidR="00F56160" w:rsidRDefault="00F56160" w:rsidP="00FC6E15">
      <w:pPr>
        <w:spacing w:line="360" w:lineRule="auto"/>
        <w:jc w:val="both"/>
        <w:rPr>
          <w:rFonts w:ascii="Times New Roman" w:hAnsi="Times New Roman" w:cs="Times New Roman"/>
          <w:sz w:val="24"/>
          <w:szCs w:val="24"/>
        </w:rPr>
      </w:pPr>
    </w:p>
    <w:p w14:paraId="61A08FCD" w14:textId="77777777" w:rsidR="00F56160" w:rsidRDefault="00F56160" w:rsidP="00FC6E15">
      <w:pPr>
        <w:spacing w:line="360" w:lineRule="auto"/>
        <w:jc w:val="both"/>
        <w:rPr>
          <w:rFonts w:ascii="Times New Roman" w:hAnsi="Times New Roman" w:cs="Times New Roman"/>
          <w:sz w:val="24"/>
          <w:szCs w:val="24"/>
        </w:rPr>
      </w:pPr>
    </w:p>
    <w:p w14:paraId="57BCCBE0" w14:textId="77777777" w:rsidR="00F56160" w:rsidRDefault="00F56160" w:rsidP="00FC6E15">
      <w:pPr>
        <w:spacing w:line="360" w:lineRule="auto"/>
        <w:jc w:val="both"/>
        <w:rPr>
          <w:rFonts w:ascii="Times New Roman" w:hAnsi="Times New Roman" w:cs="Times New Roman"/>
          <w:sz w:val="24"/>
          <w:szCs w:val="24"/>
        </w:rPr>
      </w:pPr>
    </w:p>
    <w:p w14:paraId="1A06AF2B" w14:textId="26848226"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6. Comparison of JTHFT scores between </w:t>
      </w:r>
      <w:r>
        <w:rPr>
          <w:rFonts w:ascii="Times New Roman" w:eastAsia="Calibri" w:hAnsi="Times New Roman" w:cs="Times New Roman"/>
          <w:b/>
          <w:bCs/>
          <w:sz w:val="24"/>
          <w:szCs w:val="24"/>
        </w:rPr>
        <w:t xml:space="preserve">the </w:t>
      </w:r>
      <w:r w:rsidRPr="00BA723D">
        <w:rPr>
          <w:rFonts w:ascii="Times New Roman" w:hAnsi="Times New Roman" w:cs="Times New Roman"/>
          <w:b/>
          <w:bCs/>
          <w:sz w:val="24"/>
          <w:szCs w:val="24"/>
        </w:rPr>
        <w:t>Choba and Etche groups for female children</w:t>
      </w:r>
    </w:p>
    <w:tbl>
      <w:tblPr>
        <w:tblW w:w="9720" w:type="dxa"/>
        <w:tblInd w:w="-567" w:type="dxa"/>
        <w:tblLayout w:type="fixed"/>
        <w:tblLook w:val="0000" w:firstRow="0" w:lastRow="0" w:firstColumn="0" w:lastColumn="0" w:noHBand="0" w:noVBand="0"/>
      </w:tblPr>
      <w:tblGrid>
        <w:gridCol w:w="1701"/>
        <w:gridCol w:w="2835"/>
        <w:gridCol w:w="1480"/>
        <w:gridCol w:w="1647"/>
        <w:gridCol w:w="1034"/>
        <w:gridCol w:w="1023"/>
      </w:tblGrid>
      <w:tr w:rsidR="009A41C2" w14:paraId="6CB29720" w14:textId="77777777" w:rsidTr="00F56160">
        <w:trPr>
          <w:trHeight w:val="420"/>
        </w:trPr>
        <w:tc>
          <w:tcPr>
            <w:tcW w:w="1701" w:type="dxa"/>
            <w:tcBorders>
              <w:top w:val="single" w:sz="4" w:space="0" w:color="auto"/>
            </w:tcBorders>
          </w:tcPr>
          <w:p w14:paraId="3ECA50E9" w14:textId="77777777" w:rsidR="00F56160" w:rsidRPr="00F56160" w:rsidRDefault="00F56160" w:rsidP="00F56160">
            <w:pPr>
              <w:spacing w:after="0" w:line="240" w:lineRule="auto"/>
              <w:rPr>
                <w:rFonts w:ascii="Times New Roman" w:hAnsi="Times New Roman" w:cs="Times New Roman"/>
                <w:b/>
                <w:bCs/>
                <w:sz w:val="24"/>
                <w:szCs w:val="24"/>
              </w:rPr>
            </w:pPr>
          </w:p>
        </w:tc>
        <w:tc>
          <w:tcPr>
            <w:tcW w:w="2835" w:type="dxa"/>
            <w:tcBorders>
              <w:top w:val="single" w:sz="4" w:space="0" w:color="auto"/>
            </w:tcBorders>
          </w:tcPr>
          <w:p w14:paraId="728EE078" w14:textId="77777777"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Subtests</w:t>
            </w:r>
          </w:p>
        </w:tc>
        <w:tc>
          <w:tcPr>
            <w:tcW w:w="1480" w:type="dxa"/>
            <w:tcBorders>
              <w:top w:val="single" w:sz="4" w:space="0" w:color="auto"/>
            </w:tcBorders>
          </w:tcPr>
          <w:p w14:paraId="6E465606" w14:textId="77777777"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Choba (n=22)</w:t>
            </w:r>
          </w:p>
        </w:tc>
        <w:tc>
          <w:tcPr>
            <w:tcW w:w="1647" w:type="dxa"/>
            <w:tcBorders>
              <w:top w:val="single" w:sz="4" w:space="0" w:color="auto"/>
            </w:tcBorders>
          </w:tcPr>
          <w:p w14:paraId="1B5F1CE4" w14:textId="77777777"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Etche (n=24)</w:t>
            </w:r>
          </w:p>
        </w:tc>
        <w:tc>
          <w:tcPr>
            <w:tcW w:w="1034" w:type="dxa"/>
            <w:tcBorders>
              <w:top w:val="single" w:sz="4" w:space="0" w:color="auto"/>
            </w:tcBorders>
          </w:tcPr>
          <w:p w14:paraId="2AE42248" w14:textId="7B0EED91"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t-test</w:t>
            </w:r>
          </w:p>
        </w:tc>
        <w:tc>
          <w:tcPr>
            <w:tcW w:w="1023" w:type="dxa"/>
            <w:tcBorders>
              <w:top w:val="single" w:sz="4" w:space="0" w:color="auto"/>
            </w:tcBorders>
          </w:tcPr>
          <w:p w14:paraId="0D03FAA0" w14:textId="5C566FE1"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P-value</w:t>
            </w:r>
          </w:p>
        </w:tc>
      </w:tr>
      <w:tr w:rsidR="009A41C2" w14:paraId="68C7F0C3" w14:textId="77777777" w:rsidTr="00F56160">
        <w:trPr>
          <w:trHeight w:val="360"/>
        </w:trPr>
        <w:tc>
          <w:tcPr>
            <w:tcW w:w="1701" w:type="dxa"/>
            <w:vMerge w:val="restart"/>
            <w:tcBorders>
              <w:top w:val="single" w:sz="4" w:space="0" w:color="auto"/>
            </w:tcBorders>
            <w:vAlign w:val="center"/>
          </w:tcPr>
          <w:p w14:paraId="1A5CA003" w14:textId="06BCC3EC"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Non-dominant hand</w:t>
            </w:r>
          </w:p>
        </w:tc>
        <w:tc>
          <w:tcPr>
            <w:tcW w:w="2835" w:type="dxa"/>
            <w:tcBorders>
              <w:top w:val="single" w:sz="4" w:space="0" w:color="auto"/>
            </w:tcBorders>
          </w:tcPr>
          <w:p w14:paraId="6E73507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Writing</w:t>
            </w:r>
          </w:p>
        </w:tc>
        <w:tc>
          <w:tcPr>
            <w:tcW w:w="1480" w:type="dxa"/>
            <w:tcBorders>
              <w:top w:val="single" w:sz="4" w:space="0" w:color="auto"/>
            </w:tcBorders>
          </w:tcPr>
          <w:p w14:paraId="58E2694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63.09±15.53</w:t>
            </w:r>
          </w:p>
        </w:tc>
        <w:tc>
          <w:tcPr>
            <w:tcW w:w="1647" w:type="dxa"/>
            <w:tcBorders>
              <w:top w:val="single" w:sz="4" w:space="0" w:color="auto"/>
            </w:tcBorders>
          </w:tcPr>
          <w:p w14:paraId="00ED9B7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66.15±18.45</w:t>
            </w:r>
          </w:p>
        </w:tc>
        <w:tc>
          <w:tcPr>
            <w:tcW w:w="1034" w:type="dxa"/>
            <w:tcBorders>
              <w:top w:val="single" w:sz="4" w:space="0" w:color="auto"/>
            </w:tcBorders>
          </w:tcPr>
          <w:p w14:paraId="3670FEF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-0.607</w:t>
            </w:r>
          </w:p>
        </w:tc>
        <w:tc>
          <w:tcPr>
            <w:tcW w:w="1023" w:type="dxa"/>
            <w:tcBorders>
              <w:top w:val="single" w:sz="4" w:space="0" w:color="auto"/>
            </w:tcBorders>
          </w:tcPr>
          <w:p w14:paraId="27F1229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0.547</w:t>
            </w:r>
          </w:p>
        </w:tc>
      </w:tr>
      <w:tr w:rsidR="009A41C2" w14:paraId="56C7BDED" w14:textId="77777777" w:rsidTr="00F56160">
        <w:trPr>
          <w:trHeight w:val="360"/>
        </w:trPr>
        <w:tc>
          <w:tcPr>
            <w:tcW w:w="1701" w:type="dxa"/>
            <w:vMerge/>
            <w:tcBorders>
              <w:top w:val="single" w:sz="4" w:space="0" w:color="auto"/>
            </w:tcBorders>
            <w:vAlign w:val="center"/>
          </w:tcPr>
          <w:p w14:paraId="596C4BBE"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2AA2AF3C"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480" w:type="dxa"/>
          </w:tcPr>
          <w:p w14:paraId="3E296A4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4.74±1.25</w:t>
            </w:r>
          </w:p>
        </w:tc>
        <w:tc>
          <w:tcPr>
            <w:tcW w:w="1647" w:type="dxa"/>
          </w:tcPr>
          <w:p w14:paraId="55DE6188"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5.15±1.10</w:t>
            </w:r>
          </w:p>
        </w:tc>
        <w:tc>
          <w:tcPr>
            <w:tcW w:w="1034" w:type="dxa"/>
          </w:tcPr>
          <w:p w14:paraId="4F508C66"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-1.181</w:t>
            </w:r>
          </w:p>
        </w:tc>
        <w:tc>
          <w:tcPr>
            <w:tcW w:w="1023" w:type="dxa"/>
          </w:tcPr>
          <w:p w14:paraId="602717C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0.244</w:t>
            </w:r>
          </w:p>
        </w:tc>
      </w:tr>
      <w:tr w:rsidR="009A41C2" w14:paraId="3EB94F53" w14:textId="77777777" w:rsidTr="00F56160">
        <w:trPr>
          <w:trHeight w:val="540"/>
        </w:trPr>
        <w:tc>
          <w:tcPr>
            <w:tcW w:w="1701" w:type="dxa"/>
            <w:vMerge/>
            <w:tcBorders>
              <w:top w:val="single" w:sz="4" w:space="0" w:color="auto"/>
            </w:tcBorders>
            <w:vAlign w:val="center"/>
          </w:tcPr>
          <w:p w14:paraId="47CE1360"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47CA216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480" w:type="dxa"/>
          </w:tcPr>
          <w:p w14:paraId="306FD92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6.85±1.18</w:t>
            </w:r>
          </w:p>
        </w:tc>
        <w:tc>
          <w:tcPr>
            <w:tcW w:w="1647" w:type="dxa"/>
          </w:tcPr>
          <w:p w14:paraId="4DEADFF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6.21±1.65</w:t>
            </w:r>
          </w:p>
        </w:tc>
        <w:tc>
          <w:tcPr>
            <w:tcW w:w="1034" w:type="dxa"/>
          </w:tcPr>
          <w:p w14:paraId="469E2FE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1.491</w:t>
            </w:r>
          </w:p>
        </w:tc>
        <w:tc>
          <w:tcPr>
            <w:tcW w:w="1023" w:type="dxa"/>
          </w:tcPr>
          <w:p w14:paraId="3DA003A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0.143</w:t>
            </w:r>
          </w:p>
        </w:tc>
      </w:tr>
      <w:tr w:rsidR="009A41C2" w14:paraId="4A4702C3" w14:textId="77777777" w:rsidTr="00F56160">
        <w:trPr>
          <w:trHeight w:val="540"/>
        </w:trPr>
        <w:tc>
          <w:tcPr>
            <w:tcW w:w="1701" w:type="dxa"/>
            <w:vMerge/>
            <w:tcBorders>
              <w:top w:val="single" w:sz="4" w:space="0" w:color="auto"/>
            </w:tcBorders>
            <w:vAlign w:val="center"/>
          </w:tcPr>
          <w:p w14:paraId="6624F054"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3224A3C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480" w:type="dxa"/>
          </w:tcPr>
          <w:p w14:paraId="42ACCEC8"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13.24±3.33</w:t>
            </w:r>
          </w:p>
        </w:tc>
        <w:tc>
          <w:tcPr>
            <w:tcW w:w="1647" w:type="dxa"/>
          </w:tcPr>
          <w:p w14:paraId="7A85AA4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15.62±7.63</w:t>
            </w:r>
          </w:p>
        </w:tc>
        <w:tc>
          <w:tcPr>
            <w:tcW w:w="1034" w:type="dxa"/>
          </w:tcPr>
          <w:p w14:paraId="74E2DEB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-1.346</w:t>
            </w:r>
          </w:p>
        </w:tc>
        <w:tc>
          <w:tcPr>
            <w:tcW w:w="1023" w:type="dxa"/>
          </w:tcPr>
          <w:p w14:paraId="3E86891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0.185</w:t>
            </w:r>
          </w:p>
        </w:tc>
      </w:tr>
      <w:tr w:rsidR="009A41C2" w14:paraId="7967C497" w14:textId="77777777" w:rsidTr="00F56160">
        <w:trPr>
          <w:trHeight w:val="540"/>
        </w:trPr>
        <w:tc>
          <w:tcPr>
            <w:tcW w:w="1701" w:type="dxa"/>
            <w:vMerge/>
            <w:tcBorders>
              <w:top w:val="single" w:sz="4" w:space="0" w:color="auto"/>
            </w:tcBorders>
            <w:vAlign w:val="center"/>
          </w:tcPr>
          <w:p w14:paraId="2141DBE4"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769D86A0"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480" w:type="dxa"/>
          </w:tcPr>
          <w:p w14:paraId="1442AF4C"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4.65±1.01</w:t>
            </w:r>
          </w:p>
        </w:tc>
        <w:tc>
          <w:tcPr>
            <w:tcW w:w="1647" w:type="dxa"/>
          </w:tcPr>
          <w:p w14:paraId="5D4BC42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3.94±0.81</w:t>
            </w:r>
          </w:p>
        </w:tc>
        <w:tc>
          <w:tcPr>
            <w:tcW w:w="1034" w:type="dxa"/>
          </w:tcPr>
          <w:p w14:paraId="3EB132A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2.623</w:t>
            </w:r>
          </w:p>
        </w:tc>
        <w:tc>
          <w:tcPr>
            <w:tcW w:w="1023" w:type="dxa"/>
          </w:tcPr>
          <w:p w14:paraId="2EF14819" w14:textId="6E02D1AC" w:rsidR="00F56160" w:rsidRPr="00C77E45" w:rsidRDefault="00C77E45"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0.012*</w:t>
            </w:r>
          </w:p>
        </w:tc>
      </w:tr>
      <w:tr w:rsidR="009A41C2" w14:paraId="2AA89ACC" w14:textId="77777777" w:rsidTr="00F56160">
        <w:trPr>
          <w:trHeight w:val="540"/>
        </w:trPr>
        <w:tc>
          <w:tcPr>
            <w:tcW w:w="1701" w:type="dxa"/>
            <w:vMerge/>
            <w:tcBorders>
              <w:top w:val="single" w:sz="4" w:space="0" w:color="auto"/>
            </w:tcBorders>
            <w:vAlign w:val="center"/>
          </w:tcPr>
          <w:p w14:paraId="1CEDC912"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694786E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 xml:space="preserve">Lifting large </w:t>
            </w:r>
            <w:r w:rsidRPr="00F56160">
              <w:rPr>
                <w:rFonts w:ascii="Times New Roman" w:hAnsi="Times New Roman" w:cs="Times New Roman"/>
                <w:sz w:val="24"/>
                <w:szCs w:val="24"/>
              </w:rPr>
              <w:t>light</w:t>
            </w:r>
            <w:r w:rsidRPr="00F56160">
              <w:rPr>
                <w:rFonts w:ascii="Times New Roman" w:hAnsi="Times New Roman" w:cs="Times New Roman"/>
                <w:b/>
                <w:sz w:val="24"/>
                <w:szCs w:val="24"/>
              </w:rPr>
              <w:t xml:space="preserve"> </w:t>
            </w:r>
            <w:r w:rsidRPr="00F56160">
              <w:rPr>
                <w:rFonts w:ascii="Times New Roman" w:hAnsi="Times New Roman" w:cs="Times New Roman"/>
                <w:sz w:val="24"/>
                <w:szCs w:val="24"/>
              </w:rPr>
              <w:t>objects</w:t>
            </w:r>
          </w:p>
        </w:tc>
        <w:tc>
          <w:tcPr>
            <w:tcW w:w="1480" w:type="dxa"/>
          </w:tcPr>
          <w:p w14:paraId="780E9A0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3.85±0.62</w:t>
            </w:r>
          </w:p>
        </w:tc>
        <w:tc>
          <w:tcPr>
            <w:tcW w:w="1647" w:type="dxa"/>
          </w:tcPr>
          <w:p w14:paraId="6337665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3.44±0.51</w:t>
            </w:r>
          </w:p>
        </w:tc>
        <w:tc>
          <w:tcPr>
            <w:tcW w:w="1034" w:type="dxa"/>
          </w:tcPr>
          <w:p w14:paraId="5F5DFE2E"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2.427</w:t>
            </w:r>
          </w:p>
        </w:tc>
        <w:tc>
          <w:tcPr>
            <w:tcW w:w="1023" w:type="dxa"/>
          </w:tcPr>
          <w:p w14:paraId="33ED1E1A" w14:textId="7D329E41" w:rsidR="00F56160" w:rsidRPr="00C77E45" w:rsidRDefault="00C77E45"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0.019*</w:t>
            </w:r>
          </w:p>
        </w:tc>
      </w:tr>
      <w:tr w:rsidR="009A41C2" w14:paraId="2DB4B23C" w14:textId="77777777" w:rsidTr="00F56160">
        <w:trPr>
          <w:trHeight w:val="540"/>
        </w:trPr>
        <w:tc>
          <w:tcPr>
            <w:tcW w:w="1701" w:type="dxa"/>
            <w:vMerge/>
            <w:tcBorders>
              <w:top w:val="single" w:sz="4" w:space="0" w:color="auto"/>
            </w:tcBorders>
            <w:vAlign w:val="center"/>
          </w:tcPr>
          <w:p w14:paraId="2147454D"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463A4F7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480" w:type="dxa"/>
          </w:tcPr>
          <w:p w14:paraId="4608A1A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4.13±1.14</w:t>
            </w:r>
          </w:p>
        </w:tc>
        <w:tc>
          <w:tcPr>
            <w:tcW w:w="1647" w:type="dxa"/>
          </w:tcPr>
          <w:p w14:paraId="542DD6A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3.28±0.81</w:t>
            </w:r>
          </w:p>
        </w:tc>
        <w:tc>
          <w:tcPr>
            <w:tcW w:w="1034" w:type="dxa"/>
          </w:tcPr>
          <w:p w14:paraId="7D8FFEAE"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2.928</w:t>
            </w:r>
          </w:p>
        </w:tc>
        <w:tc>
          <w:tcPr>
            <w:tcW w:w="1023" w:type="dxa"/>
          </w:tcPr>
          <w:p w14:paraId="182A66C1" w14:textId="19EE1DAD" w:rsidR="00F56160" w:rsidRPr="00C77E45" w:rsidRDefault="00C77E45"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0.005*</w:t>
            </w:r>
          </w:p>
        </w:tc>
      </w:tr>
      <w:tr w:rsidR="009A41C2" w14:paraId="039FE507" w14:textId="77777777" w:rsidTr="00F56160">
        <w:trPr>
          <w:trHeight w:val="360"/>
        </w:trPr>
        <w:tc>
          <w:tcPr>
            <w:tcW w:w="1701" w:type="dxa"/>
            <w:vMerge w:val="restart"/>
            <w:tcBorders>
              <w:top w:val="single" w:sz="4" w:space="0" w:color="auto"/>
              <w:bottom w:val="single" w:sz="4" w:space="0" w:color="auto"/>
            </w:tcBorders>
            <w:vAlign w:val="center"/>
          </w:tcPr>
          <w:p w14:paraId="0826838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835" w:type="dxa"/>
            <w:tcBorders>
              <w:top w:val="single" w:sz="4" w:space="0" w:color="auto"/>
            </w:tcBorders>
          </w:tcPr>
          <w:p w14:paraId="488FF8A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Writing</w:t>
            </w:r>
          </w:p>
        </w:tc>
        <w:tc>
          <w:tcPr>
            <w:tcW w:w="1480" w:type="dxa"/>
            <w:tcBorders>
              <w:top w:val="single" w:sz="4" w:space="0" w:color="auto"/>
            </w:tcBorders>
          </w:tcPr>
          <w:p w14:paraId="5643041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33.90±12.28</w:t>
            </w:r>
          </w:p>
        </w:tc>
        <w:tc>
          <w:tcPr>
            <w:tcW w:w="1647" w:type="dxa"/>
            <w:tcBorders>
              <w:top w:val="single" w:sz="4" w:space="0" w:color="auto"/>
            </w:tcBorders>
          </w:tcPr>
          <w:p w14:paraId="6401F0D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32.66±15.52</w:t>
            </w:r>
          </w:p>
        </w:tc>
        <w:tc>
          <w:tcPr>
            <w:tcW w:w="1034" w:type="dxa"/>
            <w:tcBorders>
              <w:top w:val="single" w:sz="4" w:space="0" w:color="auto"/>
            </w:tcBorders>
          </w:tcPr>
          <w:p w14:paraId="3981C1F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0.299</w:t>
            </w:r>
          </w:p>
        </w:tc>
        <w:tc>
          <w:tcPr>
            <w:tcW w:w="1023" w:type="dxa"/>
            <w:tcBorders>
              <w:top w:val="single" w:sz="4" w:space="0" w:color="auto"/>
            </w:tcBorders>
          </w:tcPr>
          <w:p w14:paraId="41FC359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0.766</w:t>
            </w:r>
          </w:p>
        </w:tc>
      </w:tr>
      <w:tr w:rsidR="009A41C2" w14:paraId="109D4052" w14:textId="77777777" w:rsidTr="00F56160">
        <w:trPr>
          <w:trHeight w:val="360"/>
        </w:trPr>
        <w:tc>
          <w:tcPr>
            <w:tcW w:w="1701" w:type="dxa"/>
            <w:vMerge/>
            <w:tcBorders>
              <w:top w:val="single" w:sz="4" w:space="0" w:color="auto"/>
              <w:bottom w:val="single" w:sz="4" w:space="0" w:color="auto"/>
            </w:tcBorders>
            <w:vAlign w:val="center"/>
          </w:tcPr>
          <w:p w14:paraId="2821FFDB"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3B6144E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480" w:type="dxa"/>
          </w:tcPr>
          <w:p w14:paraId="1D9C612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3.98±1.08</w:t>
            </w:r>
          </w:p>
        </w:tc>
        <w:tc>
          <w:tcPr>
            <w:tcW w:w="1647" w:type="dxa"/>
          </w:tcPr>
          <w:p w14:paraId="1347E0D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4.45±1.08</w:t>
            </w:r>
          </w:p>
        </w:tc>
        <w:tc>
          <w:tcPr>
            <w:tcW w:w="1034" w:type="dxa"/>
          </w:tcPr>
          <w:p w14:paraId="4789A9D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-1.464</w:t>
            </w:r>
          </w:p>
        </w:tc>
        <w:tc>
          <w:tcPr>
            <w:tcW w:w="1023" w:type="dxa"/>
          </w:tcPr>
          <w:p w14:paraId="0745821D" w14:textId="4AEDBE87" w:rsidR="00F56160" w:rsidRPr="00F56160" w:rsidRDefault="00FC5923" w:rsidP="00F56160">
            <w:pPr>
              <w:spacing w:after="0" w:line="240" w:lineRule="auto"/>
              <w:rPr>
                <w:rFonts w:ascii="Times New Roman" w:hAnsi="Times New Roman" w:cs="Times New Roman"/>
                <w:sz w:val="24"/>
                <w:szCs w:val="24"/>
              </w:rPr>
            </w:pPr>
            <w:r>
              <w:rPr>
                <w:rFonts w:ascii="Times New Roman" w:hAnsi="Times New Roman" w:cs="Times New Roman"/>
                <w:sz w:val="24"/>
                <w:szCs w:val="24"/>
              </w:rPr>
              <w:t>0.150</w:t>
            </w:r>
          </w:p>
        </w:tc>
      </w:tr>
      <w:tr w:rsidR="009A41C2" w14:paraId="79EB59DD" w14:textId="77777777" w:rsidTr="00F56160">
        <w:trPr>
          <w:trHeight w:val="540"/>
        </w:trPr>
        <w:tc>
          <w:tcPr>
            <w:tcW w:w="1701" w:type="dxa"/>
            <w:vMerge/>
            <w:tcBorders>
              <w:top w:val="single" w:sz="4" w:space="0" w:color="auto"/>
              <w:bottom w:val="single" w:sz="4" w:space="0" w:color="auto"/>
            </w:tcBorders>
            <w:vAlign w:val="center"/>
          </w:tcPr>
          <w:p w14:paraId="7BB93C96"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0C564C8B"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480" w:type="dxa"/>
          </w:tcPr>
          <w:p w14:paraId="65C3225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6.38±1.65</w:t>
            </w:r>
          </w:p>
        </w:tc>
        <w:tc>
          <w:tcPr>
            <w:tcW w:w="1647" w:type="dxa"/>
          </w:tcPr>
          <w:p w14:paraId="0A089BF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5.8±1.32</w:t>
            </w:r>
          </w:p>
        </w:tc>
        <w:tc>
          <w:tcPr>
            <w:tcW w:w="1034" w:type="dxa"/>
          </w:tcPr>
          <w:p w14:paraId="075486C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1.305</w:t>
            </w:r>
          </w:p>
        </w:tc>
        <w:tc>
          <w:tcPr>
            <w:tcW w:w="1023" w:type="dxa"/>
          </w:tcPr>
          <w:p w14:paraId="50C39300"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0.199</w:t>
            </w:r>
          </w:p>
        </w:tc>
      </w:tr>
      <w:tr w:rsidR="009A41C2" w14:paraId="3C32745C" w14:textId="77777777" w:rsidTr="00F56160">
        <w:trPr>
          <w:trHeight w:val="540"/>
        </w:trPr>
        <w:tc>
          <w:tcPr>
            <w:tcW w:w="1701" w:type="dxa"/>
            <w:vMerge/>
            <w:tcBorders>
              <w:top w:val="single" w:sz="4" w:space="0" w:color="auto"/>
              <w:bottom w:val="single" w:sz="4" w:space="0" w:color="auto"/>
            </w:tcBorders>
            <w:vAlign w:val="center"/>
          </w:tcPr>
          <w:p w14:paraId="54E35E95"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31B0582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480" w:type="dxa"/>
          </w:tcPr>
          <w:p w14:paraId="55331B86"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11.57±2.57</w:t>
            </w:r>
          </w:p>
        </w:tc>
        <w:tc>
          <w:tcPr>
            <w:tcW w:w="1647" w:type="dxa"/>
          </w:tcPr>
          <w:p w14:paraId="24B3BC7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10.74±3.06</w:t>
            </w:r>
          </w:p>
        </w:tc>
        <w:tc>
          <w:tcPr>
            <w:tcW w:w="1034" w:type="dxa"/>
          </w:tcPr>
          <w:p w14:paraId="1E522AC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0.99</w:t>
            </w:r>
          </w:p>
        </w:tc>
        <w:tc>
          <w:tcPr>
            <w:tcW w:w="1023" w:type="dxa"/>
          </w:tcPr>
          <w:p w14:paraId="5140C0D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0.328</w:t>
            </w:r>
          </w:p>
        </w:tc>
      </w:tr>
      <w:tr w:rsidR="009A41C2" w14:paraId="03292FCE" w14:textId="77777777" w:rsidTr="00F56160">
        <w:trPr>
          <w:trHeight w:val="540"/>
        </w:trPr>
        <w:tc>
          <w:tcPr>
            <w:tcW w:w="1701" w:type="dxa"/>
            <w:vMerge/>
            <w:tcBorders>
              <w:top w:val="single" w:sz="4" w:space="0" w:color="auto"/>
              <w:bottom w:val="single" w:sz="4" w:space="0" w:color="auto"/>
            </w:tcBorders>
            <w:vAlign w:val="center"/>
          </w:tcPr>
          <w:p w14:paraId="76A6C41C"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76BE6C7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480" w:type="dxa"/>
          </w:tcPr>
          <w:p w14:paraId="0253181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4.41±0.93</w:t>
            </w:r>
          </w:p>
        </w:tc>
        <w:tc>
          <w:tcPr>
            <w:tcW w:w="1647" w:type="dxa"/>
          </w:tcPr>
          <w:p w14:paraId="48CF4F78"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4.23±2.51</w:t>
            </w:r>
          </w:p>
        </w:tc>
        <w:tc>
          <w:tcPr>
            <w:tcW w:w="1034" w:type="dxa"/>
          </w:tcPr>
          <w:p w14:paraId="54287BC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0.311</w:t>
            </w:r>
          </w:p>
        </w:tc>
        <w:tc>
          <w:tcPr>
            <w:tcW w:w="1023" w:type="dxa"/>
          </w:tcPr>
          <w:p w14:paraId="302128DB"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0.757</w:t>
            </w:r>
          </w:p>
        </w:tc>
      </w:tr>
      <w:tr w:rsidR="009A41C2" w14:paraId="3C1FB8BF" w14:textId="77777777" w:rsidTr="00F56160">
        <w:trPr>
          <w:trHeight w:val="540"/>
        </w:trPr>
        <w:tc>
          <w:tcPr>
            <w:tcW w:w="1701" w:type="dxa"/>
            <w:vMerge/>
            <w:tcBorders>
              <w:top w:val="single" w:sz="4" w:space="0" w:color="auto"/>
              <w:bottom w:val="single" w:sz="4" w:space="0" w:color="auto"/>
            </w:tcBorders>
            <w:vAlign w:val="center"/>
          </w:tcPr>
          <w:p w14:paraId="5E1BA7EF"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66065B3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hAnsi="Times New Roman" w:cs="Times New Roman"/>
                <w:b/>
                <w:sz w:val="24"/>
                <w:szCs w:val="24"/>
              </w:rPr>
              <w:t xml:space="preserve"> </w:t>
            </w:r>
            <w:r w:rsidRPr="00F56160">
              <w:rPr>
                <w:rFonts w:ascii="Times New Roman" w:hAnsi="Times New Roman" w:cs="Times New Roman"/>
                <w:sz w:val="24"/>
                <w:szCs w:val="24"/>
              </w:rPr>
              <w:t>objects</w:t>
            </w:r>
          </w:p>
        </w:tc>
        <w:tc>
          <w:tcPr>
            <w:tcW w:w="1480" w:type="dxa"/>
          </w:tcPr>
          <w:p w14:paraId="1CE5F9D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3.63±0.84</w:t>
            </w:r>
          </w:p>
        </w:tc>
        <w:tc>
          <w:tcPr>
            <w:tcW w:w="1647" w:type="dxa"/>
          </w:tcPr>
          <w:p w14:paraId="3DAF658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3.00±0.69</w:t>
            </w:r>
          </w:p>
        </w:tc>
        <w:tc>
          <w:tcPr>
            <w:tcW w:w="1034" w:type="dxa"/>
          </w:tcPr>
          <w:p w14:paraId="0CD7E35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2.766</w:t>
            </w:r>
          </w:p>
        </w:tc>
        <w:tc>
          <w:tcPr>
            <w:tcW w:w="1023" w:type="dxa"/>
          </w:tcPr>
          <w:p w14:paraId="513A140B" w14:textId="2C87A06F" w:rsidR="00F56160" w:rsidRPr="00FC5923" w:rsidRDefault="00FC5923"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0.008*</w:t>
            </w:r>
          </w:p>
        </w:tc>
      </w:tr>
      <w:tr w:rsidR="009A41C2" w14:paraId="61EA4F6A" w14:textId="77777777" w:rsidTr="00F56160">
        <w:trPr>
          <w:trHeight w:val="540"/>
        </w:trPr>
        <w:tc>
          <w:tcPr>
            <w:tcW w:w="1701" w:type="dxa"/>
            <w:vMerge/>
            <w:tcBorders>
              <w:top w:val="single" w:sz="4" w:space="0" w:color="auto"/>
              <w:bottom w:val="single" w:sz="4" w:space="0" w:color="auto"/>
            </w:tcBorders>
            <w:vAlign w:val="center"/>
          </w:tcPr>
          <w:p w14:paraId="27FF4D8E"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Borders>
              <w:bottom w:val="single" w:sz="4" w:space="0" w:color="auto"/>
            </w:tcBorders>
          </w:tcPr>
          <w:p w14:paraId="084F161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480" w:type="dxa"/>
            <w:tcBorders>
              <w:bottom w:val="single" w:sz="4" w:space="0" w:color="auto"/>
            </w:tcBorders>
          </w:tcPr>
          <w:p w14:paraId="5D0EE0C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3.85±0.92</w:t>
            </w:r>
          </w:p>
        </w:tc>
        <w:tc>
          <w:tcPr>
            <w:tcW w:w="1647" w:type="dxa"/>
            <w:tcBorders>
              <w:bottom w:val="single" w:sz="4" w:space="0" w:color="auto"/>
            </w:tcBorders>
          </w:tcPr>
          <w:p w14:paraId="1ED1C7C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3.11±0.85</w:t>
            </w:r>
          </w:p>
        </w:tc>
        <w:tc>
          <w:tcPr>
            <w:tcW w:w="1034" w:type="dxa"/>
            <w:tcBorders>
              <w:bottom w:val="single" w:sz="4" w:space="0" w:color="auto"/>
            </w:tcBorders>
          </w:tcPr>
          <w:p w14:paraId="70EABBF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2.815</w:t>
            </w:r>
          </w:p>
        </w:tc>
        <w:tc>
          <w:tcPr>
            <w:tcW w:w="1023" w:type="dxa"/>
            <w:tcBorders>
              <w:bottom w:val="single" w:sz="4" w:space="0" w:color="auto"/>
            </w:tcBorders>
          </w:tcPr>
          <w:p w14:paraId="7839F148" w14:textId="6A228FA6" w:rsidR="00F56160" w:rsidRPr="00FC5923" w:rsidRDefault="00FC5923"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0.007*</w:t>
            </w:r>
          </w:p>
        </w:tc>
      </w:tr>
    </w:tbl>
    <w:p w14:paraId="06BFDD2A"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xml:space="preserve">* </w:t>
      </w:r>
      <w:r w:rsidRPr="00A12554">
        <w:rPr>
          <w:rFonts w:ascii="Times New Roman" w:hAnsi="Times New Roman" w:cs="Times New Roman"/>
          <w:sz w:val="20"/>
          <w:szCs w:val="20"/>
        </w:rPr>
        <w:t>Statistically significant differences in performance between the groups at p &lt; 0.05</w:t>
      </w:r>
    </w:p>
    <w:p w14:paraId="1FDB6E19" w14:textId="77777777" w:rsidR="00FC6E15" w:rsidRPr="00FC6E15" w:rsidRDefault="00FC6E15" w:rsidP="00FC6E15">
      <w:pPr>
        <w:spacing w:line="360" w:lineRule="auto"/>
        <w:jc w:val="both"/>
        <w:rPr>
          <w:rFonts w:ascii="Times New Roman" w:hAnsi="Times New Roman" w:cs="Times New Roman"/>
          <w:sz w:val="24"/>
          <w:szCs w:val="24"/>
        </w:rPr>
      </w:pPr>
    </w:p>
    <w:p w14:paraId="401B88ED" w14:textId="77777777" w:rsidR="00FC6E15" w:rsidRPr="00FC6E15" w:rsidRDefault="00FC6E15" w:rsidP="00FC6E15">
      <w:pPr>
        <w:spacing w:line="360" w:lineRule="auto"/>
        <w:jc w:val="both"/>
        <w:rPr>
          <w:rFonts w:ascii="Times New Roman" w:hAnsi="Times New Roman" w:cs="Times New Roman"/>
          <w:sz w:val="24"/>
          <w:szCs w:val="24"/>
        </w:rPr>
      </w:pPr>
    </w:p>
    <w:p w14:paraId="6E9483B8" w14:textId="77777777" w:rsidR="00FC6E15" w:rsidRDefault="00FC6E15" w:rsidP="00FC6E15">
      <w:pPr>
        <w:spacing w:line="360" w:lineRule="auto"/>
        <w:jc w:val="both"/>
        <w:rPr>
          <w:rFonts w:ascii="Times New Roman" w:hAnsi="Times New Roman" w:cs="Times New Roman"/>
          <w:sz w:val="24"/>
          <w:szCs w:val="24"/>
        </w:rPr>
      </w:pPr>
    </w:p>
    <w:p w14:paraId="7C11263A" w14:textId="77777777" w:rsidR="00F56160" w:rsidRDefault="00F56160" w:rsidP="00FC6E15">
      <w:pPr>
        <w:spacing w:line="360" w:lineRule="auto"/>
        <w:jc w:val="both"/>
        <w:rPr>
          <w:rFonts w:ascii="Times New Roman" w:hAnsi="Times New Roman" w:cs="Times New Roman"/>
          <w:sz w:val="24"/>
          <w:szCs w:val="24"/>
        </w:rPr>
      </w:pPr>
    </w:p>
    <w:p w14:paraId="1775AA29" w14:textId="77777777" w:rsidR="00F56160" w:rsidRDefault="00F56160" w:rsidP="00FC6E15">
      <w:pPr>
        <w:spacing w:line="360" w:lineRule="auto"/>
        <w:jc w:val="both"/>
        <w:rPr>
          <w:rFonts w:ascii="Times New Roman" w:hAnsi="Times New Roman" w:cs="Times New Roman"/>
          <w:sz w:val="24"/>
          <w:szCs w:val="24"/>
        </w:rPr>
      </w:pPr>
    </w:p>
    <w:p w14:paraId="5FD63E6E" w14:textId="77777777" w:rsidR="00F56160" w:rsidRDefault="00F56160" w:rsidP="00FC6E15">
      <w:pPr>
        <w:spacing w:line="360" w:lineRule="auto"/>
        <w:jc w:val="both"/>
        <w:rPr>
          <w:rFonts w:ascii="Times New Roman" w:hAnsi="Times New Roman" w:cs="Times New Roman"/>
          <w:sz w:val="24"/>
          <w:szCs w:val="24"/>
        </w:rPr>
      </w:pPr>
    </w:p>
    <w:p w14:paraId="7C263C60" w14:textId="77777777" w:rsidR="00F56160" w:rsidRDefault="00F56160" w:rsidP="00FC6E15">
      <w:pPr>
        <w:spacing w:line="360" w:lineRule="auto"/>
        <w:jc w:val="both"/>
        <w:rPr>
          <w:rFonts w:ascii="Times New Roman" w:hAnsi="Times New Roman" w:cs="Times New Roman"/>
          <w:sz w:val="24"/>
          <w:szCs w:val="24"/>
        </w:rPr>
      </w:pPr>
    </w:p>
    <w:p w14:paraId="7B25D988" w14:textId="77777777" w:rsidR="00F56160" w:rsidRDefault="00F56160" w:rsidP="00FC6E15">
      <w:pPr>
        <w:spacing w:line="360" w:lineRule="auto"/>
        <w:jc w:val="both"/>
        <w:rPr>
          <w:rFonts w:ascii="Times New Roman" w:hAnsi="Times New Roman" w:cs="Times New Roman"/>
          <w:sz w:val="24"/>
          <w:szCs w:val="24"/>
        </w:rPr>
      </w:pPr>
    </w:p>
    <w:p w14:paraId="7C6748DE" w14:textId="77777777" w:rsidR="00F56160" w:rsidRPr="00FC6E15" w:rsidRDefault="00F56160" w:rsidP="00FC6E15">
      <w:pPr>
        <w:spacing w:line="360" w:lineRule="auto"/>
        <w:jc w:val="both"/>
        <w:rPr>
          <w:rFonts w:ascii="Times New Roman" w:hAnsi="Times New Roman" w:cs="Times New Roman"/>
          <w:sz w:val="24"/>
          <w:szCs w:val="24"/>
        </w:rPr>
      </w:pPr>
    </w:p>
    <w:p w14:paraId="528E16DD" w14:textId="311C02A8"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Table 7. Comparison of JTHFT scores between children (both male and female) in the Choba and Etche groups</w:t>
      </w:r>
    </w:p>
    <w:tbl>
      <w:tblPr>
        <w:tblW w:w="10206" w:type="dxa"/>
        <w:tblInd w:w="-567" w:type="dxa"/>
        <w:tblLayout w:type="fixed"/>
        <w:tblLook w:val="0000" w:firstRow="0" w:lastRow="0" w:firstColumn="0" w:lastColumn="0" w:noHBand="0" w:noVBand="0"/>
      </w:tblPr>
      <w:tblGrid>
        <w:gridCol w:w="1560"/>
        <w:gridCol w:w="3260"/>
        <w:gridCol w:w="1701"/>
        <w:gridCol w:w="1559"/>
        <w:gridCol w:w="992"/>
        <w:gridCol w:w="1134"/>
      </w:tblGrid>
      <w:tr w:rsidR="009A41C2" w14:paraId="3DCAF562" w14:textId="77777777" w:rsidTr="00FC5923">
        <w:trPr>
          <w:trHeight w:val="400"/>
        </w:trPr>
        <w:tc>
          <w:tcPr>
            <w:tcW w:w="1560" w:type="dxa"/>
            <w:tcBorders>
              <w:top w:val="single" w:sz="4" w:space="0" w:color="auto"/>
            </w:tcBorders>
          </w:tcPr>
          <w:p w14:paraId="1A9EC478" w14:textId="77777777" w:rsidR="00FC5923" w:rsidRPr="00FC5923" w:rsidRDefault="00FC5923" w:rsidP="00FC5923">
            <w:pPr>
              <w:spacing w:after="0"/>
              <w:rPr>
                <w:rFonts w:ascii="Times New Roman" w:hAnsi="Times New Roman" w:cs="Times New Roman"/>
                <w:b/>
                <w:bCs/>
                <w:sz w:val="24"/>
                <w:szCs w:val="24"/>
              </w:rPr>
            </w:pPr>
          </w:p>
        </w:tc>
        <w:tc>
          <w:tcPr>
            <w:tcW w:w="3260" w:type="dxa"/>
            <w:tcBorders>
              <w:top w:val="single" w:sz="4" w:space="0" w:color="auto"/>
            </w:tcBorders>
          </w:tcPr>
          <w:p w14:paraId="57E3F67A" w14:textId="77777777"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Subtests</w:t>
            </w:r>
          </w:p>
        </w:tc>
        <w:tc>
          <w:tcPr>
            <w:tcW w:w="1701" w:type="dxa"/>
            <w:tcBorders>
              <w:top w:val="single" w:sz="4" w:space="0" w:color="auto"/>
            </w:tcBorders>
          </w:tcPr>
          <w:p w14:paraId="5F7379B7" w14:textId="77777777"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Choba (n=45)</w:t>
            </w:r>
          </w:p>
        </w:tc>
        <w:tc>
          <w:tcPr>
            <w:tcW w:w="1559" w:type="dxa"/>
            <w:tcBorders>
              <w:top w:val="single" w:sz="4" w:space="0" w:color="auto"/>
            </w:tcBorders>
          </w:tcPr>
          <w:p w14:paraId="6C1141B0" w14:textId="77777777"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Etche (n=45)</w:t>
            </w:r>
          </w:p>
        </w:tc>
        <w:tc>
          <w:tcPr>
            <w:tcW w:w="992" w:type="dxa"/>
            <w:tcBorders>
              <w:top w:val="single" w:sz="4" w:space="0" w:color="auto"/>
            </w:tcBorders>
          </w:tcPr>
          <w:p w14:paraId="6D11DF77" w14:textId="12B4EC1C"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T-test</w:t>
            </w:r>
          </w:p>
        </w:tc>
        <w:tc>
          <w:tcPr>
            <w:tcW w:w="1134" w:type="dxa"/>
            <w:tcBorders>
              <w:top w:val="single" w:sz="4" w:space="0" w:color="auto"/>
            </w:tcBorders>
          </w:tcPr>
          <w:p w14:paraId="61B6D309" w14:textId="41D2AA90"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p-value</w:t>
            </w:r>
          </w:p>
        </w:tc>
      </w:tr>
      <w:tr w:rsidR="009A41C2" w14:paraId="492C95B6" w14:textId="77777777" w:rsidTr="00FC5923">
        <w:trPr>
          <w:trHeight w:val="400"/>
        </w:trPr>
        <w:tc>
          <w:tcPr>
            <w:tcW w:w="1560" w:type="dxa"/>
            <w:vMerge w:val="restart"/>
            <w:tcBorders>
              <w:top w:val="single" w:sz="4" w:space="0" w:color="auto"/>
              <w:bottom w:val="single" w:sz="4" w:space="0" w:color="auto"/>
            </w:tcBorders>
            <w:vAlign w:val="center"/>
          </w:tcPr>
          <w:p w14:paraId="2E3486C5" w14:textId="49E63F96"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Non-dominant hand</w:t>
            </w:r>
          </w:p>
        </w:tc>
        <w:tc>
          <w:tcPr>
            <w:tcW w:w="3260" w:type="dxa"/>
            <w:tcBorders>
              <w:top w:val="single" w:sz="4" w:space="0" w:color="auto"/>
            </w:tcBorders>
          </w:tcPr>
          <w:p w14:paraId="3023091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Writing</w:t>
            </w:r>
          </w:p>
        </w:tc>
        <w:tc>
          <w:tcPr>
            <w:tcW w:w="1701" w:type="dxa"/>
            <w:tcBorders>
              <w:top w:val="single" w:sz="4" w:space="0" w:color="auto"/>
            </w:tcBorders>
          </w:tcPr>
          <w:p w14:paraId="4B1F67F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68.99±18.38</w:t>
            </w:r>
          </w:p>
        </w:tc>
        <w:tc>
          <w:tcPr>
            <w:tcW w:w="1559" w:type="dxa"/>
            <w:tcBorders>
              <w:top w:val="single" w:sz="4" w:space="0" w:color="auto"/>
            </w:tcBorders>
          </w:tcPr>
          <w:p w14:paraId="0EE3DDE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69.38±20.87</w:t>
            </w:r>
          </w:p>
        </w:tc>
        <w:tc>
          <w:tcPr>
            <w:tcW w:w="992" w:type="dxa"/>
            <w:tcBorders>
              <w:top w:val="single" w:sz="4" w:space="0" w:color="auto"/>
            </w:tcBorders>
          </w:tcPr>
          <w:p w14:paraId="56C392D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-0.094</w:t>
            </w:r>
          </w:p>
        </w:tc>
        <w:tc>
          <w:tcPr>
            <w:tcW w:w="1134" w:type="dxa"/>
            <w:tcBorders>
              <w:top w:val="single" w:sz="4" w:space="0" w:color="auto"/>
            </w:tcBorders>
          </w:tcPr>
          <w:p w14:paraId="27E64D3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0.925</w:t>
            </w:r>
          </w:p>
        </w:tc>
      </w:tr>
      <w:tr w:rsidR="009A41C2" w14:paraId="1384DC2E" w14:textId="77777777" w:rsidTr="00FC5923">
        <w:trPr>
          <w:trHeight w:val="400"/>
        </w:trPr>
        <w:tc>
          <w:tcPr>
            <w:tcW w:w="1560" w:type="dxa"/>
            <w:vMerge/>
            <w:tcBorders>
              <w:top w:val="single" w:sz="4" w:space="0" w:color="auto"/>
              <w:bottom w:val="single" w:sz="4" w:space="0" w:color="auto"/>
            </w:tcBorders>
            <w:vAlign w:val="center"/>
          </w:tcPr>
          <w:p w14:paraId="4E784E71" w14:textId="77777777" w:rsidR="00FC5923" w:rsidRPr="00FC5923" w:rsidRDefault="00FC5923" w:rsidP="00FC5923">
            <w:pPr>
              <w:spacing w:after="0"/>
              <w:rPr>
                <w:rFonts w:ascii="Times New Roman" w:hAnsi="Times New Roman" w:cs="Times New Roman"/>
                <w:sz w:val="24"/>
                <w:szCs w:val="24"/>
              </w:rPr>
            </w:pPr>
          </w:p>
        </w:tc>
        <w:tc>
          <w:tcPr>
            <w:tcW w:w="3260" w:type="dxa"/>
          </w:tcPr>
          <w:p w14:paraId="7866316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Page turning</w:t>
            </w:r>
          </w:p>
        </w:tc>
        <w:tc>
          <w:tcPr>
            <w:tcW w:w="1701" w:type="dxa"/>
          </w:tcPr>
          <w:p w14:paraId="0381E28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4.67±1.18</w:t>
            </w:r>
          </w:p>
        </w:tc>
        <w:tc>
          <w:tcPr>
            <w:tcW w:w="1559" w:type="dxa"/>
          </w:tcPr>
          <w:p w14:paraId="28DD4CF6"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5.48±1.27</w:t>
            </w:r>
          </w:p>
        </w:tc>
        <w:tc>
          <w:tcPr>
            <w:tcW w:w="992" w:type="dxa"/>
          </w:tcPr>
          <w:p w14:paraId="4CDE380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-3.113</w:t>
            </w:r>
          </w:p>
        </w:tc>
        <w:tc>
          <w:tcPr>
            <w:tcW w:w="1134" w:type="dxa"/>
          </w:tcPr>
          <w:p w14:paraId="041778E0" w14:textId="2ACA3602"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0.003*</w:t>
            </w:r>
          </w:p>
        </w:tc>
      </w:tr>
      <w:tr w:rsidR="009A41C2" w14:paraId="27707CFC" w14:textId="77777777" w:rsidTr="00FC5923">
        <w:trPr>
          <w:trHeight w:val="480"/>
        </w:trPr>
        <w:tc>
          <w:tcPr>
            <w:tcW w:w="1560" w:type="dxa"/>
            <w:vMerge/>
            <w:tcBorders>
              <w:top w:val="single" w:sz="4" w:space="0" w:color="auto"/>
              <w:bottom w:val="single" w:sz="4" w:space="0" w:color="auto"/>
            </w:tcBorders>
            <w:vAlign w:val="center"/>
          </w:tcPr>
          <w:p w14:paraId="6AFF8A07" w14:textId="77777777" w:rsidR="00FC5923" w:rsidRPr="00FC5923" w:rsidRDefault="00FC5923" w:rsidP="00FC5923">
            <w:pPr>
              <w:spacing w:after="0"/>
              <w:rPr>
                <w:rFonts w:ascii="Times New Roman" w:hAnsi="Times New Roman" w:cs="Times New Roman"/>
                <w:sz w:val="24"/>
                <w:szCs w:val="24"/>
              </w:rPr>
            </w:pPr>
          </w:p>
        </w:tc>
        <w:tc>
          <w:tcPr>
            <w:tcW w:w="3260" w:type="dxa"/>
          </w:tcPr>
          <w:p w14:paraId="685F2D0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Picking common objects</w:t>
            </w:r>
          </w:p>
        </w:tc>
        <w:tc>
          <w:tcPr>
            <w:tcW w:w="1701" w:type="dxa"/>
          </w:tcPr>
          <w:p w14:paraId="264F0A0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6.77±1.13</w:t>
            </w:r>
          </w:p>
        </w:tc>
        <w:tc>
          <w:tcPr>
            <w:tcW w:w="1559" w:type="dxa"/>
          </w:tcPr>
          <w:p w14:paraId="4140C05B"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6.20±1.56</w:t>
            </w:r>
          </w:p>
        </w:tc>
        <w:tc>
          <w:tcPr>
            <w:tcW w:w="992" w:type="dxa"/>
          </w:tcPr>
          <w:p w14:paraId="6C2028AA"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1.969</w:t>
            </w:r>
          </w:p>
        </w:tc>
        <w:tc>
          <w:tcPr>
            <w:tcW w:w="1134" w:type="dxa"/>
          </w:tcPr>
          <w:p w14:paraId="28C4F825" w14:textId="2A86B4AF"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0.052*</w:t>
            </w:r>
          </w:p>
        </w:tc>
      </w:tr>
      <w:tr w:rsidR="009A41C2" w14:paraId="6BCD76DF" w14:textId="77777777" w:rsidTr="00FC5923">
        <w:trPr>
          <w:trHeight w:val="400"/>
        </w:trPr>
        <w:tc>
          <w:tcPr>
            <w:tcW w:w="1560" w:type="dxa"/>
            <w:vMerge/>
            <w:tcBorders>
              <w:top w:val="single" w:sz="4" w:space="0" w:color="auto"/>
              <w:bottom w:val="single" w:sz="4" w:space="0" w:color="auto"/>
            </w:tcBorders>
            <w:vAlign w:val="center"/>
          </w:tcPr>
          <w:p w14:paraId="21778559" w14:textId="77777777" w:rsidR="00FC5923" w:rsidRPr="00FC5923" w:rsidRDefault="00FC5923" w:rsidP="00FC5923">
            <w:pPr>
              <w:spacing w:after="0"/>
              <w:rPr>
                <w:rFonts w:ascii="Times New Roman" w:hAnsi="Times New Roman" w:cs="Times New Roman"/>
                <w:sz w:val="24"/>
                <w:szCs w:val="24"/>
              </w:rPr>
            </w:pPr>
          </w:p>
        </w:tc>
        <w:tc>
          <w:tcPr>
            <w:tcW w:w="3260" w:type="dxa"/>
          </w:tcPr>
          <w:p w14:paraId="01436AD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Simulated feeding</w:t>
            </w:r>
          </w:p>
        </w:tc>
        <w:tc>
          <w:tcPr>
            <w:tcW w:w="1701" w:type="dxa"/>
          </w:tcPr>
          <w:p w14:paraId="1266AD33"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13.80±5.45</w:t>
            </w:r>
          </w:p>
        </w:tc>
        <w:tc>
          <w:tcPr>
            <w:tcW w:w="1559" w:type="dxa"/>
          </w:tcPr>
          <w:p w14:paraId="080F310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14.92±6.17</w:t>
            </w:r>
          </w:p>
        </w:tc>
        <w:tc>
          <w:tcPr>
            <w:tcW w:w="992" w:type="dxa"/>
          </w:tcPr>
          <w:p w14:paraId="49D7D08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-0.912</w:t>
            </w:r>
          </w:p>
        </w:tc>
        <w:tc>
          <w:tcPr>
            <w:tcW w:w="1134" w:type="dxa"/>
          </w:tcPr>
          <w:p w14:paraId="7767FFC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0.364</w:t>
            </w:r>
          </w:p>
        </w:tc>
      </w:tr>
      <w:tr w:rsidR="009A41C2" w14:paraId="4A5D0BF9" w14:textId="77777777" w:rsidTr="00FC5923">
        <w:trPr>
          <w:trHeight w:val="400"/>
        </w:trPr>
        <w:tc>
          <w:tcPr>
            <w:tcW w:w="1560" w:type="dxa"/>
            <w:vMerge/>
            <w:tcBorders>
              <w:top w:val="single" w:sz="4" w:space="0" w:color="auto"/>
              <w:bottom w:val="single" w:sz="4" w:space="0" w:color="auto"/>
            </w:tcBorders>
            <w:vAlign w:val="center"/>
          </w:tcPr>
          <w:p w14:paraId="44563EB9" w14:textId="77777777" w:rsidR="00FC5923" w:rsidRPr="00FC5923" w:rsidRDefault="00FC5923" w:rsidP="00FC5923">
            <w:pPr>
              <w:spacing w:after="0"/>
              <w:rPr>
                <w:rFonts w:ascii="Times New Roman" w:hAnsi="Times New Roman" w:cs="Times New Roman"/>
                <w:sz w:val="24"/>
                <w:szCs w:val="24"/>
              </w:rPr>
            </w:pPr>
          </w:p>
        </w:tc>
        <w:tc>
          <w:tcPr>
            <w:tcW w:w="3260" w:type="dxa"/>
          </w:tcPr>
          <w:p w14:paraId="3BB126D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Stacking checkers</w:t>
            </w:r>
          </w:p>
        </w:tc>
        <w:tc>
          <w:tcPr>
            <w:tcW w:w="1701" w:type="dxa"/>
          </w:tcPr>
          <w:p w14:paraId="162B9B3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4.50±0.97</w:t>
            </w:r>
          </w:p>
        </w:tc>
        <w:tc>
          <w:tcPr>
            <w:tcW w:w="1559" w:type="dxa"/>
          </w:tcPr>
          <w:p w14:paraId="21EF2F2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4.06±0.79</w:t>
            </w:r>
          </w:p>
        </w:tc>
        <w:tc>
          <w:tcPr>
            <w:tcW w:w="992" w:type="dxa"/>
          </w:tcPr>
          <w:p w14:paraId="6FF1BE2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2.328</w:t>
            </w:r>
          </w:p>
        </w:tc>
        <w:tc>
          <w:tcPr>
            <w:tcW w:w="1134" w:type="dxa"/>
          </w:tcPr>
          <w:p w14:paraId="28186164" w14:textId="2111D802"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0.022*</w:t>
            </w:r>
          </w:p>
        </w:tc>
      </w:tr>
      <w:tr w:rsidR="009A41C2" w14:paraId="05BD03B0" w14:textId="77777777" w:rsidTr="00FC5923">
        <w:trPr>
          <w:trHeight w:val="480"/>
        </w:trPr>
        <w:tc>
          <w:tcPr>
            <w:tcW w:w="1560" w:type="dxa"/>
            <w:vMerge/>
            <w:tcBorders>
              <w:top w:val="single" w:sz="4" w:space="0" w:color="auto"/>
              <w:bottom w:val="single" w:sz="4" w:space="0" w:color="auto"/>
            </w:tcBorders>
            <w:vAlign w:val="center"/>
          </w:tcPr>
          <w:p w14:paraId="6EA136B5" w14:textId="77777777" w:rsidR="00FC5923" w:rsidRPr="00FC5923" w:rsidRDefault="00FC5923" w:rsidP="00FC5923">
            <w:pPr>
              <w:spacing w:after="0"/>
              <w:rPr>
                <w:rFonts w:ascii="Times New Roman" w:hAnsi="Times New Roman" w:cs="Times New Roman"/>
                <w:sz w:val="24"/>
                <w:szCs w:val="24"/>
              </w:rPr>
            </w:pPr>
          </w:p>
        </w:tc>
        <w:tc>
          <w:tcPr>
            <w:tcW w:w="3260" w:type="dxa"/>
          </w:tcPr>
          <w:p w14:paraId="39BCA32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light</w:t>
            </w:r>
            <w:r w:rsidRPr="00FC5923">
              <w:rPr>
                <w:rFonts w:ascii="Times New Roman" w:hAnsi="Times New Roman" w:cs="Times New Roman"/>
                <w:b/>
                <w:sz w:val="24"/>
                <w:szCs w:val="24"/>
              </w:rPr>
              <w:t xml:space="preserve"> </w:t>
            </w:r>
            <w:r w:rsidRPr="00FC5923">
              <w:rPr>
                <w:rFonts w:ascii="Times New Roman" w:hAnsi="Times New Roman" w:cs="Times New Roman"/>
                <w:sz w:val="24"/>
                <w:szCs w:val="24"/>
              </w:rPr>
              <w:t>objects</w:t>
            </w:r>
          </w:p>
        </w:tc>
        <w:tc>
          <w:tcPr>
            <w:tcW w:w="1701" w:type="dxa"/>
          </w:tcPr>
          <w:p w14:paraId="14CB200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3.68±0.787</w:t>
            </w:r>
          </w:p>
        </w:tc>
        <w:tc>
          <w:tcPr>
            <w:tcW w:w="1559" w:type="dxa"/>
          </w:tcPr>
          <w:p w14:paraId="4F995E4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3.46±0.52</w:t>
            </w:r>
          </w:p>
        </w:tc>
        <w:tc>
          <w:tcPr>
            <w:tcW w:w="992" w:type="dxa"/>
          </w:tcPr>
          <w:p w14:paraId="49C19AA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1.606</w:t>
            </w:r>
          </w:p>
        </w:tc>
        <w:tc>
          <w:tcPr>
            <w:tcW w:w="1134" w:type="dxa"/>
          </w:tcPr>
          <w:p w14:paraId="235818D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0.112</w:t>
            </w:r>
          </w:p>
        </w:tc>
      </w:tr>
      <w:tr w:rsidR="009A41C2" w14:paraId="3914839E" w14:textId="77777777" w:rsidTr="00FC5923">
        <w:trPr>
          <w:trHeight w:val="520"/>
        </w:trPr>
        <w:tc>
          <w:tcPr>
            <w:tcW w:w="1560" w:type="dxa"/>
            <w:vMerge/>
            <w:tcBorders>
              <w:top w:val="single" w:sz="4" w:space="0" w:color="auto"/>
              <w:bottom w:val="single" w:sz="4" w:space="0" w:color="auto"/>
            </w:tcBorders>
            <w:vAlign w:val="center"/>
          </w:tcPr>
          <w:p w14:paraId="3F4330C8" w14:textId="77777777" w:rsidR="00FC5923" w:rsidRPr="00FC5923" w:rsidRDefault="00FC5923" w:rsidP="00FC5923">
            <w:pPr>
              <w:spacing w:after="0"/>
              <w:rPr>
                <w:rFonts w:ascii="Times New Roman" w:hAnsi="Times New Roman" w:cs="Times New Roman"/>
                <w:sz w:val="24"/>
                <w:szCs w:val="24"/>
              </w:rPr>
            </w:pPr>
          </w:p>
        </w:tc>
        <w:tc>
          <w:tcPr>
            <w:tcW w:w="3260" w:type="dxa"/>
          </w:tcPr>
          <w:p w14:paraId="0FB34B31"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heavy objects</w:t>
            </w:r>
          </w:p>
        </w:tc>
        <w:tc>
          <w:tcPr>
            <w:tcW w:w="1701" w:type="dxa"/>
          </w:tcPr>
          <w:p w14:paraId="6C5844C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3.92±1.00</w:t>
            </w:r>
          </w:p>
        </w:tc>
        <w:tc>
          <w:tcPr>
            <w:tcW w:w="1559" w:type="dxa"/>
          </w:tcPr>
          <w:p w14:paraId="115480E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3.32±0.68</w:t>
            </w:r>
          </w:p>
        </w:tc>
        <w:tc>
          <w:tcPr>
            <w:tcW w:w="992" w:type="dxa"/>
          </w:tcPr>
          <w:p w14:paraId="71E217A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3.325</w:t>
            </w:r>
          </w:p>
        </w:tc>
        <w:tc>
          <w:tcPr>
            <w:tcW w:w="1134" w:type="dxa"/>
          </w:tcPr>
          <w:p w14:paraId="09B3280F" w14:textId="4498981F"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0.001*</w:t>
            </w:r>
          </w:p>
        </w:tc>
      </w:tr>
      <w:tr w:rsidR="009A41C2" w14:paraId="4927C0ED" w14:textId="77777777" w:rsidTr="00FC5923">
        <w:trPr>
          <w:trHeight w:val="400"/>
        </w:trPr>
        <w:tc>
          <w:tcPr>
            <w:tcW w:w="1560" w:type="dxa"/>
            <w:vMerge w:val="restart"/>
            <w:tcBorders>
              <w:bottom w:val="single" w:sz="4" w:space="0" w:color="auto"/>
            </w:tcBorders>
            <w:vAlign w:val="center"/>
          </w:tcPr>
          <w:p w14:paraId="630A18C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Dominant hand</w:t>
            </w:r>
          </w:p>
        </w:tc>
        <w:tc>
          <w:tcPr>
            <w:tcW w:w="3260" w:type="dxa"/>
            <w:tcBorders>
              <w:top w:val="single" w:sz="4" w:space="0" w:color="auto"/>
            </w:tcBorders>
          </w:tcPr>
          <w:p w14:paraId="15650547"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Writing</w:t>
            </w:r>
          </w:p>
        </w:tc>
        <w:tc>
          <w:tcPr>
            <w:tcW w:w="1701" w:type="dxa"/>
            <w:tcBorders>
              <w:top w:val="single" w:sz="4" w:space="0" w:color="auto"/>
            </w:tcBorders>
          </w:tcPr>
          <w:p w14:paraId="5F8821C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33.34±13.44</w:t>
            </w:r>
          </w:p>
        </w:tc>
        <w:tc>
          <w:tcPr>
            <w:tcW w:w="1559" w:type="dxa"/>
            <w:tcBorders>
              <w:top w:val="single" w:sz="4" w:space="0" w:color="auto"/>
            </w:tcBorders>
          </w:tcPr>
          <w:p w14:paraId="04839BF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34.41±17.32</w:t>
            </w:r>
          </w:p>
        </w:tc>
        <w:tc>
          <w:tcPr>
            <w:tcW w:w="992" w:type="dxa"/>
            <w:tcBorders>
              <w:top w:val="single" w:sz="4" w:space="0" w:color="auto"/>
            </w:tcBorders>
          </w:tcPr>
          <w:p w14:paraId="48041F9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-0.327</w:t>
            </w:r>
          </w:p>
        </w:tc>
        <w:tc>
          <w:tcPr>
            <w:tcW w:w="1134" w:type="dxa"/>
            <w:tcBorders>
              <w:top w:val="single" w:sz="4" w:space="0" w:color="auto"/>
            </w:tcBorders>
          </w:tcPr>
          <w:p w14:paraId="613BAB4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0.744</w:t>
            </w:r>
          </w:p>
        </w:tc>
      </w:tr>
      <w:tr w:rsidR="009A41C2" w14:paraId="5551F197" w14:textId="77777777" w:rsidTr="00FC5923">
        <w:trPr>
          <w:trHeight w:val="400"/>
        </w:trPr>
        <w:tc>
          <w:tcPr>
            <w:tcW w:w="1560" w:type="dxa"/>
            <w:vMerge/>
            <w:tcBorders>
              <w:bottom w:val="single" w:sz="4" w:space="0" w:color="auto"/>
            </w:tcBorders>
            <w:vAlign w:val="center"/>
          </w:tcPr>
          <w:p w14:paraId="15212C07" w14:textId="77777777" w:rsidR="00FC5923" w:rsidRPr="00FC5923" w:rsidRDefault="00FC5923" w:rsidP="00FC5923">
            <w:pPr>
              <w:spacing w:after="0"/>
              <w:rPr>
                <w:rFonts w:ascii="Times New Roman" w:hAnsi="Times New Roman" w:cs="Times New Roman"/>
                <w:sz w:val="24"/>
                <w:szCs w:val="24"/>
              </w:rPr>
            </w:pPr>
          </w:p>
        </w:tc>
        <w:tc>
          <w:tcPr>
            <w:tcW w:w="3260" w:type="dxa"/>
          </w:tcPr>
          <w:p w14:paraId="34A2B98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Page turning</w:t>
            </w:r>
          </w:p>
        </w:tc>
        <w:tc>
          <w:tcPr>
            <w:tcW w:w="1701" w:type="dxa"/>
          </w:tcPr>
          <w:p w14:paraId="61B501C1"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3.92±1.01</w:t>
            </w:r>
          </w:p>
        </w:tc>
        <w:tc>
          <w:tcPr>
            <w:tcW w:w="1559" w:type="dxa"/>
          </w:tcPr>
          <w:p w14:paraId="78113768"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4.45±1.04</w:t>
            </w:r>
          </w:p>
        </w:tc>
        <w:tc>
          <w:tcPr>
            <w:tcW w:w="992" w:type="dxa"/>
          </w:tcPr>
          <w:p w14:paraId="4787790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-2.445</w:t>
            </w:r>
          </w:p>
        </w:tc>
        <w:tc>
          <w:tcPr>
            <w:tcW w:w="1134" w:type="dxa"/>
          </w:tcPr>
          <w:p w14:paraId="333A0EAE" w14:textId="2D10BD79"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0.016*</w:t>
            </w:r>
          </w:p>
        </w:tc>
      </w:tr>
      <w:tr w:rsidR="009A41C2" w14:paraId="72D70D63" w14:textId="77777777" w:rsidTr="00FC5923">
        <w:trPr>
          <w:trHeight w:val="480"/>
        </w:trPr>
        <w:tc>
          <w:tcPr>
            <w:tcW w:w="1560" w:type="dxa"/>
            <w:vMerge/>
            <w:tcBorders>
              <w:bottom w:val="single" w:sz="4" w:space="0" w:color="auto"/>
            </w:tcBorders>
            <w:vAlign w:val="center"/>
          </w:tcPr>
          <w:p w14:paraId="43AE1987" w14:textId="77777777" w:rsidR="00FC5923" w:rsidRPr="00FC5923" w:rsidRDefault="00FC5923" w:rsidP="00FC5923">
            <w:pPr>
              <w:spacing w:after="0"/>
              <w:rPr>
                <w:rFonts w:ascii="Times New Roman" w:hAnsi="Times New Roman" w:cs="Times New Roman"/>
                <w:sz w:val="24"/>
                <w:szCs w:val="24"/>
              </w:rPr>
            </w:pPr>
          </w:p>
        </w:tc>
        <w:tc>
          <w:tcPr>
            <w:tcW w:w="3260" w:type="dxa"/>
          </w:tcPr>
          <w:p w14:paraId="09162A8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Picking common objects</w:t>
            </w:r>
          </w:p>
        </w:tc>
        <w:tc>
          <w:tcPr>
            <w:tcW w:w="1701" w:type="dxa"/>
          </w:tcPr>
          <w:p w14:paraId="326B739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6.16±1.36</w:t>
            </w:r>
          </w:p>
        </w:tc>
        <w:tc>
          <w:tcPr>
            <w:tcW w:w="1559" w:type="dxa"/>
          </w:tcPr>
          <w:p w14:paraId="5F3F025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5.78±1.09</w:t>
            </w:r>
          </w:p>
        </w:tc>
        <w:tc>
          <w:tcPr>
            <w:tcW w:w="992" w:type="dxa"/>
          </w:tcPr>
          <w:p w14:paraId="0F496ED8"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1.460</w:t>
            </w:r>
          </w:p>
        </w:tc>
        <w:tc>
          <w:tcPr>
            <w:tcW w:w="1134" w:type="dxa"/>
          </w:tcPr>
          <w:p w14:paraId="0F2E0088"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0.148</w:t>
            </w:r>
          </w:p>
        </w:tc>
      </w:tr>
      <w:tr w:rsidR="009A41C2" w14:paraId="06B39B87" w14:textId="77777777" w:rsidTr="00FC5923">
        <w:trPr>
          <w:trHeight w:val="400"/>
        </w:trPr>
        <w:tc>
          <w:tcPr>
            <w:tcW w:w="1560" w:type="dxa"/>
            <w:vMerge/>
            <w:tcBorders>
              <w:bottom w:val="single" w:sz="4" w:space="0" w:color="auto"/>
            </w:tcBorders>
            <w:vAlign w:val="center"/>
          </w:tcPr>
          <w:p w14:paraId="3F2980B5" w14:textId="77777777" w:rsidR="00FC5923" w:rsidRPr="00FC5923" w:rsidRDefault="00FC5923" w:rsidP="00FC5923">
            <w:pPr>
              <w:spacing w:after="0"/>
              <w:rPr>
                <w:rFonts w:ascii="Times New Roman" w:hAnsi="Times New Roman" w:cs="Times New Roman"/>
                <w:sz w:val="24"/>
                <w:szCs w:val="24"/>
              </w:rPr>
            </w:pPr>
          </w:p>
        </w:tc>
        <w:tc>
          <w:tcPr>
            <w:tcW w:w="3260" w:type="dxa"/>
          </w:tcPr>
          <w:p w14:paraId="363B6F67"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Simulated feeding</w:t>
            </w:r>
          </w:p>
        </w:tc>
        <w:tc>
          <w:tcPr>
            <w:tcW w:w="1701" w:type="dxa"/>
          </w:tcPr>
          <w:p w14:paraId="212D9F7B"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11.66±4.15</w:t>
            </w:r>
          </w:p>
        </w:tc>
        <w:tc>
          <w:tcPr>
            <w:tcW w:w="1559" w:type="dxa"/>
          </w:tcPr>
          <w:p w14:paraId="6E4BFC16"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10.21±2.79</w:t>
            </w:r>
          </w:p>
        </w:tc>
        <w:tc>
          <w:tcPr>
            <w:tcW w:w="992" w:type="dxa"/>
          </w:tcPr>
          <w:p w14:paraId="7412BFF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1.938</w:t>
            </w:r>
          </w:p>
        </w:tc>
        <w:tc>
          <w:tcPr>
            <w:tcW w:w="1134" w:type="dxa"/>
          </w:tcPr>
          <w:p w14:paraId="0E5C519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0.056</w:t>
            </w:r>
          </w:p>
        </w:tc>
      </w:tr>
      <w:tr w:rsidR="009A41C2" w14:paraId="1858AE59" w14:textId="77777777" w:rsidTr="00FC5923">
        <w:trPr>
          <w:trHeight w:val="400"/>
        </w:trPr>
        <w:tc>
          <w:tcPr>
            <w:tcW w:w="1560" w:type="dxa"/>
            <w:vMerge/>
            <w:tcBorders>
              <w:bottom w:val="single" w:sz="4" w:space="0" w:color="auto"/>
            </w:tcBorders>
            <w:vAlign w:val="center"/>
          </w:tcPr>
          <w:p w14:paraId="336232F4" w14:textId="77777777" w:rsidR="00FC5923" w:rsidRPr="00FC5923" w:rsidRDefault="00FC5923" w:rsidP="00FC5923">
            <w:pPr>
              <w:spacing w:after="0"/>
              <w:rPr>
                <w:rFonts w:ascii="Times New Roman" w:hAnsi="Times New Roman" w:cs="Times New Roman"/>
                <w:sz w:val="24"/>
                <w:szCs w:val="24"/>
              </w:rPr>
            </w:pPr>
          </w:p>
        </w:tc>
        <w:tc>
          <w:tcPr>
            <w:tcW w:w="3260" w:type="dxa"/>
          </w:tcPr>
          <w:p w14:paraId="59499B3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Stacking checkers</w:t>
            </w:r>
          </w:p>
        </w:tc>
        <w:tc>
          <w:tcPr>
            <w:tcW w:w="1701" w:type="dxa"/>
          </w:tcPr>
          <w:p w14:paraId="77D4B8B7"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4.20±0.95</w:t>
            </w:r>
          </w:p>
        </w:tc>
        <w:tc>
          <w:tcPr>
            <w:tcW w:w="1559" w:type="dxa"/>
          </w:tcPr>
          <w:p w14:paraId="36BF2A9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3.93±1.91</w:t>
            </w:r>
          </w:p>
        </w:tc>
        <w:tc>
          <w:tcPr>
            <w:tcW w:w="992" w:type="dxa"/>
          </w:tcPr>
          <w:p w14:paraId="5ED26C53"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0.838</w:t>
            </w:r>
          </w:p>
        </w:tc>
        <w:tc>
          <w:tcPr>
            <w:tcW w:w="1134" w:type="dxa"/>
          </w:tcPr>
          <w:p w14:paraId="49929B3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0.404</w:t>
            </w:r>
          </w:p>
        </w:tc>
      </w:tr>
      <w:tr w:rsidR="009A41C2" w14:paraId="1A3F6208" w14:textId="77777777" w:rsidTr="00FC5923">
        <w:trPr>
          <w:trHeight w:val="480"/>
        </w:trPr>
        <w:tc>
          <w:tcPr>
            <w:tcW w:w="1560" w:type="dxa"/>
            <w:vMerge/>
            <w:tcBorders>
              <w:bottom w:val="single" w:sz="4" w:space="0" w:color="auto"/>
            </w:tcBorders>
            <w:vAlign w:val="center"/>
          </w:tcPr>
          <w:p w14:paraId="1D25565D" w14:textId="77777777" w:rsidR="00FC5923" w:rsidRPr="00FC5923" w:rsidRDefault="00FC5923" w:rsidP="00FC5923">
            <w:pPr>
              <w:spacing w:after="0"/>
              <w:rPr>
                <w:rFonts w:ascii="Times New Roman" w:hAnsi="Times New Roman" w:cs="Times New Roman"/>
                <w:sz w:val="24"/>
                <w:szCs w:val="24"/>
              </w:rPr>
            </w:pPr>
          </w:p>
        </w:tc>
        <w:tc>
          <w:tcPr>
            <w:tcW w:w="3260" w:type="dxa"/>
          </w:tcPr>
          <w:p w14:paraId="3C6EF2F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light</w:t>
            </w:r>
            <w:r w:rsidRPr="00FC5923">
              <w:rPr>
                <w:rFonts w:ascii="Times New Roman" w:hAnsi="Times New Roman" w:cs="Times New Roman"/>
                <w:b/>
                <w:sz w:val="24"/>
                <w:szCs w:val="24"/>
              </w:rPr>
              <w:t xml:space="preserve"> </w:t>
            </w:r>
            <w:r w:rsidRPr="00FC5923">
              <w:rPr>
                <w:rFonts w:ascii="Times New Roman" w:hAnsi="Times New Roman" w:cs="Times New Roman"/>
                <w:sz w:val="24"/>
                <w:szCs w:val="24"/>
              </w:rPr>
              <w:t>objects</w:t>
            </w:r>
          </w:p>
        </w:tc>
        <w:tc>
          <w:tcPr>
            <w:tcW w:w="1701" w:type="dxa"/>
          </w:tcPr>
          <w:p w14:paraId="076AFA7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3.43±0.79</w:t>
            </w:r>
          </w:p>
        </w:tc>
        <w:tc>
          <w:tcPr>
            <w:tcW w:w="1559" w:type="dxa"/>
          </w:tcPr>
          <w:p w14:paraId="2E187FA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3.05±0.61</w:t>
            </w:r>
          </w:p>
        </w:tc>
        <w:tc>
          <w:tcPr>
            <w:tcW w:w="992" w:type="dxa"/>
          </w:tcPr>
          <w:p w14:paraId="7CE6E9C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2.572</w:t>
            </w:r>
          </w:p>
        </w:tc>
        <w:tc>
          <w:tcPr>
            <w:tcW w:w="1134" w:type="dxa"/>
          </w:tcPr>
          <w:p w14:paraId="41A2B67B" w14:textId="7641871F"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0.012*</w:t>
            </w:r>
          </w:p>
        </w:tc>
      </w:tr>
      <w:tr w:rsidR="009A41C2" w14:paraId="331A6916" w14:textId="77777777" w:rsidTr="00FC5923">
        <w:trPr>
          <w:trHeight w:val="480"/>
        </w:trPr>
        <w:tc>
          <w:tcPr>
            <w:tcW w:w="1560" w:type="dxa"/>
            <w:vMerge/>
            <w:tcBorders>
              <w:bottom w:val="single" w:sz="4" w:space="0" w:color="auto"/>
            </w:tcBorders>
            <w:vAlign w:val="center"/>
          </w:tcPr>
          <w:p w14:paraId="0CA07C1D" w14:textId="77777777" w:rsidR="00FC5923" w:rsidRPr="00FC5923" w:rsidRDefault="00FC5923" w:rsidP="00FC5923">
            <w:pPr>
              <w:spacing w:after="0"/>
              <w:rPr>
                <w:rFonts w:ascii="Times New Roman" w:hAnsi="Times New Roman" w:cs="Times New Roman"/>
                <w:sz w:val="24"/>
                <w:szCs w:val="24"/>
              </w:rPr>
            </w:pPr>
          </w:p>
        </w:tc>
        <w:tc>
          <w:tcPr>
            <w:tcW w:w="3260" w:type="dxa"/>
            <w:tcBorders>
              <w:bottom w:val="single" w:sz="4" w:space="0" w:color="auto"/>
            </w:tcBorders>
          </w:tcPr>
          <w:p w14:paraId="03C628A6"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 xml:space="preserve">Lifting large heavy </w:t>
            </w:r>
            <w:r w:rsidRPr="00FC5923">
              <w:rPr>
                <w:rFonts w:ascii="Times New Roman" w:hAnsi="Times New Roman" w:cs="Times New Roman"/>
                <w:sz w:val="24"/>
                <w:szCs w:val="24"/>
              </w:rPr>
              <w:t>objects</w:t>
            </w:r>
          </w:p>
        </w:tc>
        <w:tc>
          <w:tcPr>
            <w:tcW w:w="1701" w:type="dxa"/>
            <w:tcBorders>
              <w:bottom w:val="single" w:sz="4" w:space="0" w:color="auto"/>
            </w:tcBorders>
          </w:tcPr>
          <w:p w14:paraId="6412200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3.69±0.82</w:t>
            </w:r>
          </w:p>
        </w:tc>
        <w:tc>
          <w:tcPr>
            <w:tcW w:w="1559" w:type="dxa"/>
            <w:tcBorders>
              <w:bottom w:val="single" w:sz="4" w:space="0" w:color="auto"/>
            </w:tcBorders>
          </w:tcPr>
          <w:p w14:paraId="266471F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3.05±0.71</w:t>
            </w:r>
          </w:p>
        </w:tc>
        <w:tc>
          <w:tcPr>
            <w:tcW w:w="992" w:type="dxa"/>
            <w:tcBorders>
              <w:bottom w:val="single" w:sz="4" w:space="0" w:color="auto"/>
            </w:tcBorders>
          </w:tcPr>
          <w:p w14:paraId="767498AB"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3.921</w:t>
            </w:r>
          </w:p>
        </w:tc>
        <w:tc>
          <w:tcPr>
            <w:tcW w:w="1134" w:type="dxa"/>
            <w:tcBorders>
              <w:bottom w:val="single" w:sz="4" w:space="0" w:color="auto"/>
            </w:tcBorders>
          </w:tcPr>
          <w:p w14:paraId="7211E210" w14:textId="4AE9AAFE"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&lt;0.001*</w:t>
            </w:r>
          </w:p>
        </w:tc>
      </w:tr>
    </w:tbl>
    <w:p w14:paraId="233540DA" w14:textId="4481A80C" w:rsidR="00A12554" w:rsidRDefault="008A7800" w:rsidP="00FC6E15">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440C71E1" w14:textId="77777777" w:rsidR="00BA723D" w:rsidRPr="00BA723D" w:rsidRDefault="00BA723D" w:rsidP="00FC6E15">
      <w:pPr>
        <w:spacing w:line="360" w:lineRule="auto"/>
        <w:jc w:val="both"/>
        <w:rPr>
          <w:rFonts w:ascii="Times New Roman" w:hAnsi="Times New Roman" w:cs="Times New Roman"/>
          <w:sz w:val="20"/>
          <w:szCs w:val="20"/>
        </w:rPr>
      </w:pPr>
    </w:p>
    <w:p w14:paraId="1EEC155D" w14:textId="77777777" w:rsidR="00FC6E15" w:rsidRDefault="008A7800" w:rsidP="00FC6E15">
      <w:pPr>
        <w:spacing w:line="360" w:lineRule="auto"/>
        <w:jc w:val="both"/>
        <w:rPr>
          <w:rFonts w:ascii="Times New Roman" w:hAnsi="Times New Roman" w:cs="Times New Roman"/>
          <w:b/>
          <w:bCs/>
          <w:sz w:val="24"/>
          <w:szCs w:val="24"/>
        </w:rPr>
      </w:pPr>
      <w:r w:rsidRPr="00FC5923">
        <w:rPr>
          <w:rFonts w:ascii="Times New Roman" w:hAnsi="Times New Roman" w:cs="Times New Roman"/>
          <w:b/>
          <w:bCs/>
          <w:sz w:val="24"/>
          <w:szCs w:val="24"/>
        </w:rPr>
        <w:t>DISCUSSION</w:t>
      </w:r>
    </w:p>
    <w:p w14:paraId="1F148568" w14:textId="28E689A8" w:rsid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This study compared hand dexterity performance using the Jebsen-Taylor Hand Function Test (JTHFT) between children from a Konzo-endemic area and a control area in Rivers State, Nigeria. The key findings revealed that while both groups performed similarly i</w:t>
      </w:r>
      <w:r w:rsidRPr="001C20E6">
        <w:rPr>
          <w:rFonts w:ascii="Times New Roman" w:hAnsi="Times New Roman" w:cs="Times New Roman"/>
          <w:sz w:val="24"/>
          <w:szCs w:val="24"/>
        </w:rPr>
        <w:t xml:space="preserve">n writing tasks, the at-risk group demonstrated significant deficits in fine motor manipulation (stacking checkers) and object-lifting tasks, particularly with the non-dominant hand. Gender-based analyses further </w:t>
      </w:r>
      <w:r>
        <w:rPr>
          <w:rFonts w:ascii="Times New Roman" w:eastAsia="Calibri" w:hAnsi="Times New Roman" w:cs="Times New Roman"/>
          <w:sz w:val="24"/>
          <w:szCs w:val="24"/>
        </w:rPr>
        <w:t>revealed</w:t>
      </w:r>
      <w:r w:rsidRPr="001C20E6">
        <w:rPr>
          <w:rFonts w:ascii="Times New Roman" w:hAnsi="Times New Roman" w:cs="Times New Roman"/>
          <w:sz w:val="24"/>
          <w:szCs w:val="24"/>
        </w:rPr>
        <w:t xml:space="preserve"> that males in the at-risk group had slower page-turning speeds, whereas females exhibited poorer performance in object manipulation tasks. These results suggest that environmental factors associated with Konzo risk, likely chronic cyanide exposure from ca</w:t>
      </w:r>
      <w:r w:rsidRPr="001C20E6">
        <w:rPr>
          <w:rFonts w:ascii="Times New Roman" w:hAnsi="Times New Roman" w:cs="Times New Roman"/>
          <w:sz w:val="24"/>
          <w:szCs w:val="24"/>
        </w:rPr>
        <w:t>ssava dependence, may selectively impair specific aspects of hand dexterity even before overt neurological symptoms emerge.</w:t>
      </w:r>
    </w:p>
    <w:p w14:paraId="710D55CC" w14:textId="1E0D6BF4"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The significantly slower stacking checker performance in the at-risk group (Etche group) aligns with prior evidence that cyanogenic </w:t>
      </w:r>
      <w:r w:rsidRPr="001C20E6">
        <w:rPr>
          <w:rFonts w:ascii="Times New Roman" w:hAnsi="Times New Roman" w:cs="Times New Roman"/>
          <w:sz w:val="24"/>
          <w:szCs w:val="24"/>
        </w:rPr>
        <w:t xml:space="preserve">toxicity preferentially affects </w:t>
      </w:r>
      <w:r>
        <w:rPr>
          <w:rFonts w:ascii="Times New Roman" w:eastAsia="Calibri" w:hAnsi="Times New Roman" w:cs="Times New Roman"/>
          <w:sz w:val="24"/>
          <w:szCs w:val="24"/>
        </w:rPr>
        <w:t xml:space="preserve">the </w:t>
      </w:r>
      <w:r w:rsidRPr="001C20E6">
        <w:rPr>
          <w:rFonts w:ascii="Times New Roman" w:hAnsi="Times New Roman" w:cs="Times New Roman"/>
          <w:sz w:val="24"/>
          <w:szCs w:val="24"/>
        </w:rPr>
        <w:t xml:space="preserve">cerebellar-thalamo-cortical circuits governing precision grip and in-hand manipulation (Tshala-Katumbay et al., </w:t>
      </w:r>
      <w:r w:rsidRPr="001C20E6">
        <w:rPr>
          <w:rFonts w:ascii="Times New Roman" w:hAnsi="Times New Roman" w:cs="Times New Roman"/>
          <w:sz w:val="24"/>
          <w:szCs w:val="24"/>
        </w:rPr>
        <w:lastRenderedPageBreak/>
        <w:t>2013). The stacking task requires visuomotor integration and graded fingertip force control, functions modul</w:t>
      </w:r>
      <w:r w:rsidRPr="001C20E6">
        <w:rPr>
          <w:rFonts w:ascii="Times New Roman" w:hAnsi="Times New Roman" w:cs="Times New Roman"/>
          <w:sz w:val="24"/>
          <w:szCs w:val="24"/>
        </w:rPr>
        <w:t>ated by the dorsolateral prefrontal cortex (Procyk &amp; Goldman-Rakic, 2006), a region shown to have reduced metabolic activity in preclinical Konzo models (Enefa et al., 2020). Our findings extend observations by Wilson et al. (1982) and Boivin et al. (2013)</w:t>
      </w:r>
      <w:r w:rsidRPr="001C20E6">
        <w:rPr>
          <w:rFonts w:ascii="Times New Roman" w:hAnsi="Times New Roman" w:cs="Times New Roman"/>
          <w:sz w:val="24"/>
          <w:szCs w:val="24"/>
        </w:rPr>
        <w:t xml:space="preserve">, who reported impaired Purdue Pegboard test scores in Konzo-affected children, demonstrating that similar deficits occur </w:t>
      </w:r>
      <w:r>
        <w:rPr>
          <w:rFonts w:ascii="Times New Roman" w:eastAsia="Calibri" w:hAnsi="Times New Roman" w:cs="Times New Roman"/>
          <w:sz w:val="24"/>
          <w:szCs w:val="24"/>
        </w:rPr>
        <w:t>sub</w:t>
      </w:r>
      <w:r w:rsidR="00196355">
        <w:rPr>
          <w:rFonts w:ascii="Times New Roman" w:eastAsia="Calibri" w:hAnsi="Times New Roman" w:cs="Times New Roman"/>
          <w:sz w:val="24"/>
          <w:szCs w:val="24"/>
        </w:rPr>
        <w:t>-</w:t>
      </w:r>
      <w:r>
        <w:rPr>
          <w:rFonts w:ascii="Times New Roman" w:eastAsia="Calibri" w:hAnsi="Times New Roman" w:cs="Times New Roman"/>
          <w:sz w:val="24"/>
          <w:szCs w:val="24"/>
        </w:rPr>
        <w:t>clinically</w:t>
      </w:r>
      <w:r w:rsidRPr="001C20E6">
        <w:rPr>
          <w:rFonts w:ascii="Times New Roman" w:hAnsi="Times New Roman" w:cs="Times New Roman"/>
          <w:sz w:val="24"/>
          <w:szCs w:val="24"/>
        </w:rPr>
        <w:t xml:space="preserve"> in high-risk populations. The 10.8% slower performance in at-risk group children suggests early neurodegeneration, as e</w:t>
      </w:r>
      <w:r w:rsidRPr="001C20E6">
        <w:rPr>
          <w:rFonts w:ascii="Times New Roman" w:hAnsi="Times New Roman" w:cs="Times New Roman"/>
          <w:sz w:val="24"/>
          <w:szCs w:val="24"/>
        </w:rPr>
        <w:t xml:space="preserve">ven mild cyanide exposure disrupts mitochondrial adenosine triphosphate (ATP) production in </w:t>
      </w:r>
      <w:r>
        <w:rPr>
          <w:rFonts w:ascii="Times New Roman" w:eastAsia="Calibri" w:hAnsi="Times New Roman" w:cs="Times New Roman"/>
          <w:sz w:val="24"/>
          <w:szCs w:val="24"/>
        </w:rPr>
        <w:t xml:space="preserve">the </w:t>
      </w:r>
      <w:r w:rsidRPr="001C20E6">
        <w:rPr>
          <w:rFonts w:ascii="Times New Roman" w:hAnsi="Times New Roman" w:cs="Times New Roman"/>
          <w:sz w:val="24"/>
          <w:szCs w:val="24"/>
        </w:rPr>
        <w:t>neurons responsible for fine motor control (Adamolekun, 2011).</w:t>
      </w:r>
    </w:p>
    <w:p w14:paraId="78C30AF1" w14:textId="189D1A62"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The gender disparities in task performance, particularly males' slower page turning and females' </w:t>
      </w:r>
      <w:r w:rsidRPr="001C20E6">
        <w:rPr>
          <w:rFonts w:ascii="Times New Roman" w:hAnsi="Times New Roman" w:cs="Times New Roman"/>
          <w:sz w:val="24"/>
          <w:szCs w:val="24"/>
        </w:rPr>
        <w:t xml:space="preserve">deficits in object lifting, may reflect biological and sociocultural influences. The male participants' challenges with rapid alternating movements, such as page turning, align with findings from studies on other neurotoxic exposures (such as lead), where </w:t>
      </w:r>
      <w:r w:rsidRPr="001C20E6">
        <w:rPr>
          <w:rFonts w:ascii="Times New Roman" w:hAnsi="Times New Roman" w:cs="Times New Roman"/>
          <w:sz w:val="24"/>
          <w:szCs w:val="24"/>
        </w:rPr>
        <w:t>boys have shown heightened susceptibility to basal ganglia dysfunction (Sperens et al., 2012; Federer et al., 2016). This could stem from higher cyanide exposure rates due to gender-based dietary patterns in Etche, where boys consume larger portions of cas</w:t>
      </w:r>
      <w:r w:rsidRPr="001C20E6">
        <w:rPr>
          <w:rFonts w:ascii="Times New Roman" w:hAnsi="Times New Roman" w:cs="Times New Roman"/>
          <w:sz w:val="24"/>
          <w:szCs w:val="24"/>
        </w:rPr>
        <w:t xml:space="preserve">sava-based meals during farm work (Oluwole et al., 2015). Conversely, impaired heavy object lifting </w:t>
      </w:r>
      <w:r>
        <w:rPr>
          <w:rFonts w:ascii="Times New Roman" w:eastAsia="Calibri" w:hAnsi="Times New Roman" w:cs="Times New Roman"/>
          <w:sz w:val="24"/>
          <w:szCs w:val="24"/>
        </w:rPr>
        <w:t xml:space="preserve">in females </w:t>
      </w:r>
      <w:r w:rsidRPr="001C20E6">
        <w:rPr>
          <w:rFonts w:ascii="Times New Roman" w:hAnsi="Times New Roman" w:cs="Times New Roman"/>
          <w:sz w:val="24"/>
          <w:szCs w:val="24"/>
        </w:rPr>
        <w:t xml:space="preserve">may </w:t>
      </w:r>
      <w:r>
        <w:rPr>
          <w:rFonts w:ascii="Times New Roman" w:eastAsia="Calibri" w:hAnsi="Times New Roman" w:cs="Times New Roman"/>
          <w:sz w:val="24"/>
          <w:szCs w:val="24"/>
        </w:rPr>
        <w:t>be related</w:t>
      </w:r>
      <w:r w:rsidRPr="001C20E6">
        <w:rPr>
          <w:rFonts w:ascii="Times New Roman" w:hAnsi="Times New Roman" w:cs="Times New Roman"/>
          <w:sz w:val="24"/>
          <w:szCs w:val="24"/>
        </w:rPr>
        <w:t xml:space="preserve"> to lower muscle mass (Kadota et al., 2020) compounded by cassava-associated protein malnutrition, which exacerbates motor unit rec</w:t>
      </w:r>
      <w:r w:rsidRPr="001C20E6">
        <w:rPr>
          <w:rFonts w:ascii="Times New Roman" w:hAnsi="Times New Roman" w:cs="Times New Roman"/>
          <w:sz w:val="24"/>
          <w:szCs w:val="24"/>
        </w:rPr>
        <w:t>ruitment inefficiencies (Nzwalo &amp; Cliff, 2011). These findings highlight the need for gender-tailored nutritional interventions in Konzo prevention programs.</w:t>
      </w:r>
    </w:p>
    <w:p w14:paraId="0CABB73D" w14:textId="08813B96"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The greater deficits in non-dominant hand tasks (such as heavy object lifting) suggest that cyanid</w:t>
      </w:r>
      <w:r w:rsidRPr="001C20E6">
        <w:rPr>
          <w:rFonts w:ascii="Times New Roman" w:hAnsi="Times New Roman" w:cs="Times New Roman"/>
          <w:sz w:val="24"/>
          <w:szCs w:val="24"/>
        </w:rPr>
        <w:t xml:space="preserve">e neurotoxicity disproportionately affects less-practiced motor pathways. This aligns with the "reserve capacity" hypothesis, where the dominant hand’s frequent use builds compensatory neural networks that resist early toxic damage (Mohan et al., 2014; Le </w:t>
      </w:r>
      <w:r w:rsidRPr="001C20E6">
        <w:rPr>
          <w:rFonts w:ascii="Times New Roman" w:hAnsi="Times New Roman" w:cs="Times New Roman"/>
          <w:sz w:val="24"/>
          <w:szCs w:val="24"/>
        </w:rPr>
        <w:t xml:space="preserve">Stanc et al., 2024). Similar asymmetries were observed in mercury-exposed Amazonian children, with non-dominant hand tasks </w:t>
      </w:r>
      <w:r>
        <w:rPr>
          <w:rFonts w:ascii="Times New Roman" w:eastAsia="Calibri" w:hAnsi="Times New Roman" w:cs="Times New Roman"/>
          <w:sz w:val="24"/>
          <w:szCs w:val="24"/>
        </w:rPr>
        <w:t xml:space="preserve">being </w:t>
      </w:r>
      <w:r w:rsidRPr="001C20E6">
        <w:rPr>
          <w:rFonts w:ascii="Times New Roman" w:hAnsi="Times New Roman" w:cs="Times New Roman"/>
          <w:sz w:val="24"/>
          <w:szCs w:val="24"/>
        </w:rPr>
        <w:t>more sensitive to subclinical toxicity (Zachi et al., 2007; Rodrigues et al., 2007). The Etche group’s 18.2% slower non-dominan</w:t>
      </w:r>
      <w:r w:rsidRPr="001C20E6">
        <w:rPr>
          <w:rFonts w:ascii="Times New Roman" w:hAnsi="Times New Roman" w:cs="Times New Roman"/>
          <w:sz w:val="24"/>
          <w:szCs w:val="24"/>
        </w:rPr>
        <w:t xml:space="preserve">t heavy lifting implies corticospinal tract dysfunction, </w:t>
      </w:r>
      <w:r>
        <w:rPr>
          <w:rFonts w:ascii="Times New Roman" w:eastAsia="Calibri" w:hAnsi="Times New Roman" w:cs="Times New Roman"/>
          <w:sz w:val="24"/>
          <w:szCs w:val="24"/>
        </w:rPr>
        <w:t xml:space="preserve">which is </w:t>
      </w:r>
      <w:r w:rsidRPr="001C20E6">
        <w:rPr>
          <w:rFonts w:ascii="Times New Roman" w:hAnsi="Times New Roman" w:cs="Times New Roman"/>
          <w:sz w:val="24"/>
          <w:szCs w:val="24"/>
        </w:rPr>
        <w:t xml:space="preserve">consistent with Konzo’s known upper motor neuron pathology (Kashala-Abotnes et al., 2019). Clinically, this asymmetry could serve as an early biomarker for cyanide-related neurodegeneration </w:t>
      </w:r>
      <w:r w:rsidRPr="001C20E6">
        <w:rPr>
          <w:rFonts w:ascii="Times New Roman" w:hAnsi="Times New Roman" w:cs="Times New Roman"/>
          <w:sz w:val="24"/>
          <w:szCs w:val="24"/>
        </w:rPr>
        <w:t>before bilateral symptoms manifest.</w:t>
      </w:r>
    </w:p>
    <w:p w14:paraId="73A0F53A" w14:textId="490FFDE2"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lastRenderedPageBreak/>
        <w:t xml:space="preserve">The lack of significant differences in writing tasks (dominant hand) contrasts with studies of other neurodevelopmental disorders (such as cerebral palsy), where writing is typically impaired (Mokobane et al., 2019). </w:t>
      </w:r>
      <w:r>
        <w:rPr>
          <w:rFonts w:ascii="Times New Roman" w:eastAsia="Calibri" w:hAnsi="Times New Roman" w:cs="Times New Roman"/>
          <w:sz w:val="24"/>
          <w:szCs w:val="24"/>
        </w:rPr>
        <w:t>The</w:t>
      </w:r>
      <w:r>
        <w:rPr>
          <w:rFonts w:ascii="Times New Roman" w:eastAsia="Calibri" w:hAnsi="Times New Roman" w:cs="Times New Roman"/>
          <w:sz w:val="24"/>
          <w:szCs w:val="24"/>
        </w:rPr>
        <w:t>se findings suggest</w:t>
      </w:r>
      <w:r w:rsidRPr="001C20E6">
        <w:rPr>
          <w:rFonts w:ascii="Times New Roman" w:hAnsi="Times New Roman" w:cs="Times New Roman"/>
          <w:sz w:val="24"/>
          <w:szCs w:val="24"/>
        </w:rPr>
        <w:t xml:space="preserve"> that well-practiced, school-based skills </w:t>
      </w:r>
      <w:r>
        <w:rPr>
          <w:rFonts w:ascii="Times New Roman" w:eastAsia="Calibri" w:hAnsi="Times New Roman" w:cs="Times New Roman"/>
          <w:sz w:val="24"/>
          <w:szCs w:val="24"/>
        </w:rPr>
        <w:t>such as</w:t>
      </w:r>
      <w:r w:rsidRPr="001C20E6">
        <w:rPr>
          <w:rFonts w:ascii="Times New Roman" w:hAnsi="Times New Roman" w:cs="Times New Roman"/>
          <w:sz w:val="24"/>
          <w:szCs w:val="24"/>
        </w:rPr>
        <w:t xml:space="preserve"> writing may be resilient to early cyanide toxicity due to neuroplasticity (Kashala-Abotnes et al., 2019; Czyż et al., 2022). However, the slower page turning (a less-practiced task) </w:t>
      </w:r>
      <w:r>
        <w:rPr>
          <w:rFonts w:ascii="Times New Roman" w:eastAsia="Calibri" w:hAnsi="Times New Roman" w:cs="Times New Roman"/>
          <w:sz w:val="24"/>
          <w:szCs w:val="24"/>
        </w:rPr>
        <w:t>of th</w:t>
      </w:r>
      <w:r>
        <w:rPr>
          <w:rFonts w:ascii="Times New Roman" w:eastAsia="Calibri" w:hAnsi="Times New Roman" w:cs="Times New Roman"/>
          <w:sz w:val="24"/>
          <w:szCs w:val="24"/>
        </w:rPr>
        <w:t xml:space="preserve">e at-risk group </w:t>
      </w:r>
      <w:r w:rsidRPr="001C20E6">
        <w:rPr>
          <w:rFonts w:ascii="Times New Roman" w:hAnsi="Times New Roman" w:cs="Times New Roman"/>
          <w:sz w:val="24"/>
          <w:szCs w:val="24"/>
        </w:rPr>
        <w:t>indicates that novel motor demands unmask latent deficits. This has critical implications for Konzo screening: assessments must include non-routine tasks to detect subclinical impairment (Tshala-Katumbay et al., 2013).</w:t>
      </w:r>
    </w:p>
    <w:p w14:paraId="118BCFAF" w14:textId="2C5A3C7B"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The performance gaps </w:t>
      </w:r>
      <w:r w:rsidRPr="001C20E6">
        <w:rPr>
          <w:rFonts w:ascii="Times New Roman" w:hAnsi="Times New Roman" w:cs="Times New Roman"/>
          <w:sz w:val="24"/>
          <w:szCs w:val="24"/>
        </w:rPr>
        <w:t xml:space="preserve">between Etche (rural) and Choba (urban) children likely </w:t>
      </w:r>
      <w:r w:rsidR="00AF0BC7">
        <w:rPr>
          <w:rFonts w:ascii="Times New Roman" w:eastAsia="Calibri" w:hAnsi="Times New Roman" w:cs="Times New Roman"/>
          <w:sz w:val="24"/>
          <w:szCs w:val="24"/>
        </w:rPr>
        <w:t>reflects</w:t>
      </w:r>
      <w:r w:rsidRPr="001C20E6">
        <w:rPr>
          <w:rFonts w:ascii="Times New Roman" w:hAnsi="Times New Roman" w:cs="Times New Roman"/>
          <w:sz w:val="24"/>
          <w:szCs w:val="24"/>
        </w:rPr>
        <w:t xml:space="preserve"> broader disparities. Choba’s diversified diet reduces cyanide exposure, </w:t>
      </w:r>
      <w:r>
        <w:rPr>
          <w:rFonts w:ascii="Times New Roman" w:eastAsia="Calibri" w:hAnsi="Times New Roman" w:cs="Times New Roman"/>
          <w:sz w:val="24"/>
          <w:szCs w:val="24"/>
        </w:rPr>
        <w:t>whereas</w:t>
      </w:r>
      <w:r w:rsidRPr="001C20E6">
        <w:rPr>
          <w:rFonts w:ascii="Times New Roman" w:hAnsi="Times New Roman" w:cs="Times New Roman"/>
          <w:sz w:val="24"/>
          <w:szCs w:val="24"/>
        </w:rPr>
        <w:t xml:space="preserve"> </w:t>
      </w:r>
      <w:proofErr w:type="spellStart"/>
      <w:r w:rsidRPr="001C20E6">
        <w:rPr>
          <w:rFonts w:ascii="Times New Roman" w:hAnsi="Times New Roman" w:cs="Times New Roman"/>
          <w:sz w:val="24"/>
          <w:szCs w:val="24"/>
        </w:rPr>
        <w:t>Etche’s</w:t>
      </w:r>
      <w:proofErr w:type="spellEnd"/>
      <w:r w:rsidRPr="001C20E6">
        <w:rPr>
          <w:rFonts w:ascii="Times New Roman" w:hAnsi="Times New Roman" w:cs="Times New Roman"/>
          <w:sz w:val="24"/>
          <w:szCs w:val="24"/>
        </w:rPr>
        <w:t xml:space="preserve"> reliance on poorly processed cassava perpetuates protein-</w:t>
      </w:r>
      <w:r>
        <w:rPr>
          <w:rFonts w:ascii="Times New Roman" w:eastAsia="Calibri" w:hAnsi="Times New Roman" w:cs="Times New Roman"/>
          <w:sz w:val="24"/>
          <w:szCs w:val="24"/>
        </w:rPr>
        <w:t>caloric</w:t>
      </w:r>
      <w:r w:rsidRPr="001C20E6">
        <w:rPr>
          <w:rFonts w:ascii="Times New Roman" w:hAnsi="Times New Roman" w:cs="Times New Roman"/>
          <w:sz w:val="24"/>
          <w:szCs w:val="24"/>
        </w:rPr>
        <w:t xml:space="preserve"> malnutrition, a known exacerbator of c</w:t>
      </w:r>
      <w:r w:rsidRPr="001C20E6">
        <w:rPr>
          <w:rFonts w:ascii="Times New Roman" w:hAnsi="Times New Roman" w:cs="Times New Roman"/>
          <w:sz w:val="24"/>
          <w:szCs w:val="24"/>
        </w:rPr>
        <w:t>yanide toxicity (Akinpelu et al., 2011). Notably, Etche’s deficits in heavy object lifting (requiring grip strength) mirror findings in protein-deficient populations (Nzwalo et al., 2011). Targeted supplementation with sulfur-rich proteins such as eggs and</w:t>
      </w:r>
      <w:r w:rsidRPr="001C20E6">
        <w:rPr>
          <w:rFonts w:ascii="Times New Roman" w:hAnsi="Times New Roman" w:cs="Times New Roman"/>
          <w:sz w:val="24"/>
          <w:szCs w:val="24"/>
        </w:rPr>
        <w:t xml:space="preserve"> legumes could mitigate these effects by enhancing cyanide detoxification via the rhodanese pathway (David et al., 2022; Okakpu et al., 2024).</w:t>
      </w:r>
    </w:p>
    <w:p w14:paraId="2E2D5914" w14:textId="4DE8FAA5"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While this study controlled for age and sex, unmeasured confounders (e.g., exact cyanide intake </w:t>
      </w:r>
      <w:r>
        <w:rPr>
          <w:rFonts w:ascii="Times New Roman" w:eastAsia="Calibri" w:hAnsi="Times New Roman" w:cs="Times New Roman"/>
          <w:sz w:val="24"/>
          <w:szCs w:val="24"/>
        </w:rPr>
        <w:t xml:space="preserve">and </w:t>
      </w:r>
      <w:r w:rsidRPr="001C20E6">
        <w:rPr>
          <w:rFonts w:ascii="Times New Roman" w:hAnsi="Times New Roman" w:cs="Times New Roman"/>
          <w:sz w:val="24"/>
          <w:szCs w:val="24"/>
        </w:rPr>
        <w:t>micronutrient</w:t>
      </w:r>
      <w:r w:rsidRPr="001C20E6">
        <w:rPr>
          <w:rFonts w:ascii="Times New Roman" w:hAnsi="Times New Roman" w:cs="Times New Roman"/>
          <w:sz w:val="24"/>
          <w:szCs w:val="24"/>
        </w:rPr>
        <w:t xml:space="preserve"> status) warrant further research. Longitudinal designs tracking JTHFT performance alongside biomarkers (such as urinary thiocyanate) could clarify </w:t>
      </w:r>
      <w:r>
        <w:rPr>
          <w:rFonts w:ascii="Times New Roman" w:eastAsia="Calibri" w:hAnsi="Times New Roman" w:cs="Times New Roman"/>
          <w:sz w:val="24"/>
          <w:szCs w:val="24"/>
        </w:rPr>
        <w:t>dose‒response</w:t>
      </w:r>
      <w:r w:rsidRPr="001C20E6">
        <w:rPr>
          <w:rFonts w:ascii="Times New Roman" w:hAnsi="Times New Roman" w:cs="Times New Roman"/>
          <w:sz w:val="24"/>
          <w:szCs w:val="24"/>
        </w:rPr>
        <w:t xml:space="preserve"> relationships. Additionally, incorporating neuroimaging (diffusion tensor MRI) may validate wh</w:t>
      </w:r>
      <w:r w:rsidRPr="001C20E6">
        <w:rPr>
          <w:rFonts w:ascii="Times New Roman" w:hAnsi="Times New Roman" w:cs="Times New Roman"/>
          <w:sz w:val="24"/>
          <w:szCs w:val="24"/>
        </w:rPr>
        <w:t>ether motor deficits correlate with white matter changes in corticospinal</w:t>
      </w:r>
    </w:p>
    <w:p w14:paraId="1CBF2E08" w14:textId="77777777"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b/>
          <w:bCs/>
          <w:sz w:val="24"/>
          <w:szCs w:val="24"/>
        </w:rPr>
        <w:t>Conclusion</w:t>
      </w:r>
    </w:p>
    <w:p w14:paraId="1CFC0CD6" w14:textId="5417334C" w:rsidR="007F23EA" w:rsidRDefault="008A7800" w:rsidP="00FC6E15">
      <w:pPr>
        <w:spacing w:line="360" w:lineRule="auto"/>
        <w:jc w:val="both"/>
        <w:rPr>
          <w:rFonts w:ascii="Times New Roman" w:hAnsi="Times New Roman" w:cs="Times New Roman"/>
          <w:sz w:val="24"/>
          <w:szCs w:val="24"/>
          <w:lang w:val=""/>
        </w:rPr>
      </w:pPr>
      <w:r w:rsidRPr="007F23EA">
        <w:rPr>
          <w:rFonts w:ascii="Times New Roman" w:hAnsi="Times New Roman" w:cs="Times New Roman"/>
          <w:sz w:val="24"/>
          <w:szCs w:val="24"/>
        </w:rPr>
        <w:t>This study provides the first evidence that children in Konzo-endemic regions exhibit selective hand dexterity impairments detectable by the Jebsen-Taylor Hand Function Te</w:t>
      </w:r>
      <w:r w:rsidRPr="007F23EA">
        <w:rPr>
          <w:rFonts w:ascii="Times New Roman" w:hAnsi="Times New Roman" w:cs="Times New Roman"/>
          <w:sz w:val="24"/>
          <w:szCs w:val="24"/>
        </w:rPr>
        <w:t>st (JTHFT). The task- and gender-specific nature of these deficits underscores the importance of nuanced screening tools and targeted preventive strategies. Public health efforts should therefore prioritize community education on safe cassava processing, t</w:t>
      </w:r>
      <w:r w:rsidRPr="007F23EA">
        <w:rPr>
          <w:rFonts w:ascii="Times New Roman" w:hAnsi="Times New Roman" w:cs="Times New Roman"/>
          <w:sz w:val="24"/>
          <w:szCs w:val="24"/>
        </w:rPr>
        <w:t>he implementation of protein supplementation programs, and the establishment of motor skill surveillance systems for high-risk pediatric populations.</w:t>
      </w:r>
    </w:p>
    <w:p w14:paraId="7FE254FD" w14:textId="00E31D3E" w:rsidR="007F23EA" w:rsidRPr="001C20E6" w:rsidRDefault="008A7800" w:rsidP="007F23EA">
      <w:pPr>
        <w:spacing w:line="360" w:lineRule="auto"/>
        <w:jc w:val="both"/>
        <w:rPr>
          <w:rFonts w:ascii="Times New Roman" w:hAnsi="Times New Roman" w:cs="Times New Roman"/>
          <w:b/>
          <w:bCs/>
          <w:sz w:val="24"/>
          <w:szCs w:val="24"/>
        </w:rPr>
      </w:pPr>
      <w:r w:rsidRPr="001C20E6">
        <w:rPr>
          <w:rFonts w:ascii="Times New Roman" w:hAnsi="Times New Roman" w:cs="Times New Roman"/>
          <w:b/>
          <w:bCs/>
          <w:sz w:val="24"/>
          <w:szCs w:val="24"/>
        </w:rPr>
        <w:t>References</w:t>
      </w:r>
    </w:p>
    <w:p w14:paraId="18AF2E50" w14:textId="77777777" w:rsidR="007F23EA" w:rsidRDefault="008A7800" w:rsidP="007F23EA">
      <w:pPr>
        <w:spacing w:line="360" w:lineRule="auto"/>
        <w:ind w:left="851" w:hanging="851"/>
        <w:jc w:val="both"/>
        <w:rPr>
          <w:rFonts w:ascii="Times New Roman" w:hAnsi="Times New Roman" w:cs="Times New Roman"/>
          <w:sz w:val="24"/>
          <w:szCs w:val="24"/>
          <w:lang w:val=""/>
        </w:rPr>
      </w:pPr>
      <w:r w:rsidRPr="004C56D3">
        <w:rPr>
          <w:rFonts w:ascii="Times New Roman" w:hAnsi="Times New Roman" w:cs="Times New Roman"/>
          <w:sz w:val="24"/>
          <w:szCs w:val="24"/>
        </w:rPr>
        <w:lastRenderedPageBreak/>
        <w:t xml:space="preserve">Adamolekun B. (2011). Neurological disorders associated with cassava diet: a review of putative etiological mechanisms. Metabolic brain disease, 26(1), 79–85. </w:t>
      </w:r>
      <w:hyperlink r:id="rId6" w:history="1">
        <w:r w:rsidR="007F23EA" w:rsidRPr="0081759B">
          <w:rPr>
            <w:rStyle w:val="Hyperlink"/>
            <w:rFonts w:ascii="Times New Roman" w:hAnsi="Times New Roman" w:cs="Times New Roman"/>
            <w:sz w:val="24"/>
            <w:szCs w:val="24"/>
          </w:rPr>
          <w:t>https://doi.org/10.1007/s11011-011-9237-y</w:t>
        </w:r>
      </w:hyperlink>
    </w:p>
    <w:p w14:paraId="13906E2F"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Akinpelu, A. O., Amamgbo, L. E. F., Olojede, A. O., &amp; Oyekale, A. S. (2011). Health implications of cassava production and consumption. </w:t>
      </w:r>
      <w:r w:rsidRPr="00825BB8">
        <w:rPr>
          <w:rFonts w:ascii="Times New Roman" w:hAnsi="Times New Roman" w:cs="Times New Roman"/>
          <w:i/>
          <w:iCs/>
          <w:sz w:val="24"/>
          <w:szCs w:val="24"/>
        </w:rPr>
        <w:t>Journal of Agriculture and Social Research (JASR), 11</w:t>
      </w:r>
      <w:r w:rsidRPr="00825BB8">
        <w:rPr>
          <w:rFonts w:ascii="Times New Roman" w:hAnsi="Times New Roman" w:cs="Times New Roman"/>
          <w:sz w:val="24"/>
          <w:szCs w:val="24"/>
        </w:rPr>
        <w:t>(1), 118–126.</w:t>
      </w:r>
    </w:p>
    <w:p w14:paraId="26DFCEFC"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Alamu, E. O., Dixon, G. A., Adesokan, M., &amp; Maziya</w:t>
      </w:r>
      <w:r w:rsidRPr="00825BB8">
        <w:rPr>
          <w:rFonts w:ascii="Times New Roman" w:hAnsi="Times New Roman" w:cs="Times New Roman"/>
          <w:sz w:val="24"/>
          <w:szCs w:val="24"/>
        </w:rPr>
        <w:t>-Dixon, B. (2023). Correlate the cyanogenic potential and dry matter content of cassava roots and leaves grown in different environments. </w:t>
      </w:r>
      <w:r w:rsidRPr="00825BB8">
        <w:rPr>
          <w:rFonts w:ascii="Times New Roman" w:hAnsi="Times New Roman" w:cs="Times New Roman"/>
          <w:i/>
          <w:iCs/>
          <w:sz w:val="24"/>
          <w:szCs w:val="24"/>
        </w:rPr>
        <w:t>Scientific reports</w:t>
      </w:r>
      <w:r w:rsidRPr="00825BB8">
        <w:rPr>
          <w:rFonts w:ascii="Times New Roman" w:hAnsi="Times New Roman" w:cs="Times New Roman"/>
          <w:sz w:val="24"/>
          <w:szCs w:val="24"/>
        </w:rPr>
        <w:t>, </w:t>
      </w:r>
      <w:r w:rsidRPr="00825BB8">
        <w:rPr>
          <w:rFonts w:ascii="Times New Roman" w:hAnsi="Times New Roman" w:cs="Times New Roman"/>
          <w:i/>
          <w:iCs/>
          <w:sz w:val="24"/>
          <w:szCs w:val="24"/>
        </w:rPr>
        <w:t>13</w:t>
      </w:r>
      <w:r w:rsidRPr="00825BB8">
        <w:rPr>
          <w:rFonts w:ascii="Times New Roman" w:hAnsi="Times New Roman" w:cs="Times New Roman"/>
          <w:sz w:val="24"/>
          <w:szCs w:val="24"/>
        </w:rPr>
        <w:t xml:space="preserve">(1), 15382. </w:t>
      </w:r>
      <w:hyperlink r:id="rId7" w:history="1">
        <w:r w:rsidR="007F23EA" w:rsidRPr="0081759B">
          <w:rPr>
            <w:rStyle w:val="Hyperlink"/>
            <w:rFonts w:ascii="Times New Roman" w:hAnsi="Times New Roman" w:cs="Times New Roman"/>
            <w:sz w:val="24"/>
            <w:szCs w:val="24"/>
          </w:rPr>
          <w:t>https://doi.org/10.1038/s41598-023-42425-2</w:t>
        </w:r>
      </w:hyperlink>
    </w:p>
    <w:p w14:paraId="73145146" w14:textId="77777777" w:rsidR="007F23EA" w:rsidRDefault="008A7800"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 xml:space="preserve">Alitubeera, P. H., Eyu, P., Kwesiga, B., Ario, A. R., &amp; Zhu, B.-P. (2019). Outbreak of cyanide poisoning caused by consumption of cassava flour — Kasese District, Uganda, September 2017. </w:t>
      </w:r>
      <w:r w:rsidRPr="004C56D3">
        <w:rPr>
          <w:rFonts w:ascii="Times New Roman" w:hAnsi="Times New Roman" w:cs="Times New Roman"/>
          <w:i/>
          <w:iCs/>
          <w:sz w:val="24"/>
          <w:szCs w:val="24"/>
        </w:rPr>
        <w:t>Morbidity and Mortality Weekly Report, 68</w:t>
      </w:r>
      <w:r w:rsidRPr="004C56D3">
        <w:rPr>
          <w:rFonts w:ascii="Times New Roman" w:hAnsi="Times New Roman" w:cs="Times New Roman"/>
          <w:sz w:val="24"/>
          <w:szCs w:val="24"/>
        </w:rPr>
        <w:t>(13), 308–</w:t>
      </w:r>
      <w:r w:rsidRPr="004C56D3">
        <w:rPr>
          <w:rFonts w:ascii="Times New Roman" w:hAnsi="Times New Roman" w:cs="Times New Roman"/>
          <w:sz w:val="24"/>
          <w:szCs w:val="24"/>
        </w:rPr>
        <w:t xml:space="preserve">311. </w:t>
      </w:r>
      <w:hyperlink r:id="rId8" w:tgtFrame="_new" w:history="1">
        <w:r w:rsidR="007F23EA" w:rsidRPr="004C56D3">
          <w:rPr>
            <w:rStyle w:val="Hyperlink"/>
            <w:rFonts w:ascii="Times New Roman" w:hAnsi="Times New Roman" w:cs="Times New Roman"/>
            <w:sz w:val="24"/>
            <w:szCs w:val="24"/>
          </w:rPr>
          <w:t>https://www.cdc.gov/mmwr/volumes/68/wr/mm6813a3.htm</w:t>
        </w:r>
      </w:hyperlink>
    </w:p>
    <w:p w14:paraId="6D7ED187" w14:textId="77777777" w:rsidR="007F23EA" w:rsidRDefault="008A7800" w:rsidP="007F23EA">
      <w:pPr>
        <w:spacing w:line="360" w:lineRule="auto"/>
        <w:ind w:left="851" w:hanging="851"/>
        <w:jc w:val="both"/>
        <w:rPr>
          <w:rFonts w:ascii="Times New Roman" w:hAnsi="Times New Roman" w:cs="Times New Roman"/>
          <w:sz w:val="24"/>
          <w:szCs w:val="24"/>
        </w:rPr>
      </w:pPr>
      <w:r w:rsidRPr="00695DDA">
        <w:rPr>
          <w:rFonts w:ascii="Times New Roman" w:hAnsi="Times New Roman" w:cs="Times New Roman"/>
          <w:sz w:val="24"/>
          <w:szCs w:val="24"/>
        </w:rPr>
        <w:t xml:space="preserve">Allen, J. C. (2011). Sample size calculation for two independent groups: A useful rule of thumb. </w:t>
      </w:r>
      <w:r w:rsidRPr="00695DDA">
        <w:rPr>
          <w:rFonts w:ascii="Times New Roman" w:hAnsi="Times New Roman" w:cs="Times New Roman"/>
          <w:i/>
          <w:iCs/>
          <w:sz w:val="24"/>
          <w:szCs w:val="24"/>
        </w:rPr>
        <w:t>Proceedings of Singapore</w:t>
      </w:r>
      <w:r w:rsidRPr="00695DDA">
        <w:rPr>
          <w:rFonts w:ascii="Times New Roman" w:hAnsi="Times New Roman" w:cs="Times New Roman"/>
          <w:i/>
          <w:iCs/>
          <w:sz w:val="24"/>
          <w:szCs w:val="24"/>
        </w:rPr>
        <w:t xml:space="preserve"> Healthcare, 20</w:t>
      </w:r>
      <w:r w:rsidRPr="00695DDA">
        <w:rPr>
          <w:rFonts w:ascii="Times New Roman" w:hAnsi="Times New Roman" w:cs="Times New Roman"/>
          <w:sz w:val="24"/>
          <w:szCs w:val="24"/>
        </w:rPr>
        <w:t xml:space="preserve">(2), 138-140. </w:t>
      </w:r>
      <w:hyperlink r:id="rId9" w:history="1">
        <w:r w:rsidR="007F23EA" w:rsidRPr="0081759B">
          <w:rPr>
            <w:rStyle w:val="Hyperlink"/>
            <w:rFonts w:ascii="Times New Roman" w:hAnsi="Times New Roman" w:cs="Times New Roman"/>
            <w:sz w:val="24"/>
            <w:szCs w:val="24"/>
          </w:rPr>
          <w:t>https://doi.org/10.1177/201010581102000213</w:t>
        </w:r>
      </w:hyperlink>
    </w:p>
    <w:p w14:paraId="353925D9"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Allgöwer, K., &amp; Hermsdörfer, J. (2017). Fine motor skills predict performance in the Jebsen Taylor Hand Function Test after s</w:t>
      </w:r>
      <w:r w:rsidRPr="00825BB8">
        <w:rPr>
          <w:rFonts w:ascii="Times New Roman" w:hAnsi="Times New Roman" w:cs="Times New Roman"/>
          <w:sz w:val="24"/>
          <w:szCs w:val="24"/>
        </w:rPr>
        <w:t>troke. </w:t>
      </w:r>
      <w:r w:rsidRPr="00825BB8">
        <w:rPr>
          <w:rFonts w:ascii="Times New Roman" w:hAnsi="Times New Roman" w:cs="Times New Roman"/>
          <w:i/>
          <w:iCs/>
          <w:sz w:val="24"/>
          <w:szCs w:val="24"/>
        </w:rPr>
        <w:t xml:space="preserve">Clinical </w:t>
      </w:r>
      <w:proofErr w:type="gramStart"/>
      <w:r w:rsidRPr="00825BB8">
        <w:rPr>
          <w:rFonts w:ascii="Times New Roman" w:hAnsi="Times New Roman" w:cs="Times New Roman"/>
          <w:i/>
          <w:iCs/>
          <w:sz w:val="24"/>
          <w:szCs w:val="24"/>
        </w:rPr>
        <w:t>neurophysiology :</w:t>
      </w:r>
      <w:proofErr w:type="gramEnd"/>
      <w:r w:rsidRPr="00825BB8">
        <w:rPr>
          <w:rFonts w:ascii="Times New Roman" w:hAnsi="Times New Roman" w:cs="Times New Roman"/>
          <w:i/>
          <w:iCs/>
          <w:sz w:val="24"/>
          <w:szCs w:val="24"/>
        </w:rPr>
        <w:t xml:space="preserve"> official journal of the International Federation of Clinical Neurophysiology</w:t>
      </w:r>
      <w:r w:rsidRPr="00825BB8">
        <w:rPr>
          <w:rFonts w:ascii="Times New Roman" w:hAnsi="Times New Roman" w:cs="Times New Roman"/>
          <w:sz w:val="24"/>
          <w:szCs w:val="24"/>
        </w:rPr>
        <w:t>, </w:t>
      </w:r>
      <w:r w:rsidRPr="00825BB8">
        <w:rPr>
          <w:rFonts w:ascii="Times New Roman" w:hAnsi="Times New Roman" w:cs="Times New Roman"/>
          <w:i/>
          <w:iCs/>
          <w:sz w:val="24"/>
          <w:szCs w:val="24"/>
        </w:rPr>
        <w:t>128</w:t>
      </w:r>
      <w:r w:rsidRPr="00825BB8">
        <w:rPr>
          <w:rFonts w:ascii="Times New Roman" w:hAnsi="Times New Roman" w:cs="Times New Roman"/>
          <w:sz w:val="24"/>
          <w:szCs w:val="24"/>
        </w:rPr>
        <w:t xml:space="preserve">(10), 1858–1871. </w:t>
      </w:r>
      <w:hyperlink r:id="rId10" w:history="1">
        <w:r w:rsidR="007F23EA" w:rsidRPr="0081759B">
          <w:rPr>
            <w:rStyle w:val="Hyperlink"/>
            <w:rFonts w:ascii="Times New Roman" w:hAnsi="Times New Roman" w:cs="Times New Roman"/>
            <w:sz w:val="24"/>
            <w:szCs w:val="24"/>
          </w:rPr>
          <w:t>https://doi.org/10.1016/j.clinph.2017.07.408</w:t>
        </w:r>
      </w:hyperlink>
    </w:p>
    <w:p w14:paraId="6C6DCEC5" w14:textId="321B3ED4" w:rsidR="007F23EA" w:rsidRDefault="008A7800" w:rsidP="007F23EA">
      <w:pPr>
        <w:spacing w:line="360" w:lineRule="auto"/>
        <w:ind w:left="851" w:hanging="851"/>
        <w:jc w:val="both"/>
        <w:rPr>
          <w:rFonts w:ascii="Times New Roman" w:hAnsi="Times New Roman" w:cs="Times New Roman"/>
          <w:sz w:val="24"/>
          <w:szCs w:val="24"/>
          <w:lang w:val=""/>
        </w:rPr>
      </w:pPr>
      <w:r w:rsidRPr="004C56D3">
        <w:rPr>
          <w:rFonts w:ascii="Times New Roman" w:hAnsi="Times New Roman" w:cs="Times New Roman"/>
          <w:sz w:val="24"/>
          <w:szCs w:val="24"/>
        </w:rPr>
        <w:t>Baguma, M., Malemb</w:t>
      </w:r>
      <w:r w:rsidRPr="004C56D3">
        <w:rPr>
          <w:rFonts w:ascii="Times New Roman" w:hAnsi="Times New Roman" w:cs="Times New Roman"/>
          <w:sz w:val="24"/>
          <w:szCs w:val="24"/>
        </w:rPr>
        <w:t>aka, E. B., Bahizire, E., Mudumbi, G. Z., Shamamba, D. B., Matabaro, A.-N., Rigo, J.-M., Njamnshi, A. K., &amp; Chabwine, J. N. (2021). Revisiting Konzo Risk Factors in Three Areas Differently Affected by Spastic Paraparesis in Eastern Democratic Republic of t</w:t>
      </w:r>
      <w:r w:rsidRPr="004C56D3">
        <w:rPr>
          <w:rFonts w:ascii="Times New Roman" w:hAnsi="Times New Roman" w:cs="Times New Roman"/>
          <w:sz w:val="24"/>
          <w:szCs w:val="24"/>
        </w:rPr>
        <w:t xml:space="preserve">he Congo Discloses a Prominent Role of the Nutritional Status—A Comparative Cross-Sectional Study. Nutrients, 13(8), 2628. </w:t>
      </w:r>
      <w:hyperlink r:id="rId11" w:history="1">
        <w:r w:rsidR="007F23EA" w:rsidRPr="0081759B">
          <w:rPr>
            <w:rStyle w:val="Hyperlink"/>
            <w:rFonts w:ascii="Times New Roman" w:hAnsi="Times New Roman" w:cs="Times New Roman"/>
            <w:sz w:val="24"/>
            <w:szCs w:val="24"/>
          </w:rPr>
          <w:t>https://doi.org/10.3390/nu13082628</w:t>
        </w:r>
      </w:hyperlink>
      <w:r>
        <w:rPr>
          <w:rFonts w:ascii="Times New Roman" w:hAnsi="Times New Roman" w:cs="Times New Roman"/>
          <w:sz w:val="24"/>
          <w:szCs w:val="24"/>
        </w:rPr>
        <w:t xml:space="preserve"> </w:t>
      </w:r>
    </w:p>
    <w:p w14:paraId="4BA24CB5" w14:textId="77777777" w:rsidR="007F23EA" w:rsidRDefault="008A7800"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Boivin, M. J., Okitundu, D., Makila-Mabe Bumok</w:t>
      </w:r>
      <w:r w:rsidRPr="004C56D3">
        <w:rPr>
          <w:rFonts w:ascii="Times New Roman" w:hAnsi="Times New Roman" w:cs="Times New Roman"/>
          <w:sz w:val="24"/>
          <w:szCs w:val="24"/>
        </w:rPr>
        <w:t xml:space="preserve">o, G., Sombo, M. T., Mumba, D., Tylleskar, T., Page, C. F., Tamfum Muyembe, J. J., &amp; Tshala-Katumbay, D. (2013). Neuropsychological effects of konzo: a neuromotor disease associated with poorly </w:t>
      </w:r>
      <w:r w:rsidRPr="004C56D3">
        <w:rPr>
          <w:rFonts w:ascii="Times New Roman" w:hAnsi="Times New Roman" w:cs="Times New Roman"/>
          <w:sz w:val="24"/>
          <w:szCs w:val="24"/>
        </w:rPr>
        <w:lastRenderedPageBreak/>
        <w:t>processed cassava. </w:t>
      </w:r>
      <w:r w:rsidRPr="004C56D3">
        <w:rPr>
          <w:rFonts w:ascii="Times New Roman" w:hAnsi="Times New Roman" w:cs="Times New Roman"/>
          <w:i/>
          <w:iCs/>
          <w:sz w:val="24"/>
          <w:szCs w:val="24"/>
        </w:rPr>
        <w:t>Pediatrics</w:t>
      </w:r>
      <w:r w:rsidRPr="004C56D3">
        <w:rPr>
          <w:rFonts w:ascii="Times New Roman" w:hAnsi="Times New Roman" w:cs="Times New Roman"/>
          <w:sz w:val="24"/>
          <w:szCs w:val="24"/>
        </w:rPr>
        <w:t>, </w:t>
      </w:r>
      <w:r w:rsidRPr="004C56D3">
        <w:rPr>
          <w:rFonts w:ascii="Times New Roman" w:hAnsi="Times New Roman" w:cs="Times New Roman"/>
          <w:i/>
          <w:iCs/>
          <w:sz w:val="24"/>
          <w:szCs w:val="24"/>
        </w:rPr>
        <w:t>131</w:t>
      </w:r>
      <w:r w:rsidRPr="004C56D3">
        <w:rPr>
          <w:rFonts w:ascii="Times New Roman" w:hAnsi="Times New Roman" w:cs="Times New Roman"/>
          <w:sz w:val="24"/>
          <w:szCs w:val="24"/>
        </w:rPr>
        <w:t xml:space="preserve">(4), e1231–e1239. </w:t>
      </w:r>
      <w:hyperlink r:id="rId12" w:history="1">
        <w:r w:rsidR="007F23EA" w:rsidRPr="0081759B">
          <w:rPr>
            <w:rStyle w:val="Hyperlink"/>
            <w:rFonts w:ascii="Times New Roman" w:hAnsi="Times New Roman" w:cs="Times New Roman"/>
            <w:sz w:val="24"/>
            <w:szCs w:val="24"/>
          </w:rPr>
          <w:t>https://doi.org/10.1542/peds.2012-3011</w:t>
        </w:r>
      </w:hyperlink>
    </w:p>
    <w:p w14:paraId="2C65A062" w14:textId="77777777" w:rsidR="007F23EA" w:rsidRDefault="008A7800"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Boivin, M. J., Okitundu, D., Makila-Mabe, B., Sombo, M. T., Mumba, D., Sikorskii, A., Mayambu, B., &amp; Tshala-Katumbay, D. (2017). Cognitive and motor performance in Congoles</w:t>
      </w:r>
      <w:r w:rsidRPr="004C56D3">
        <w:rPr>
          <w:rFonts w:ascii="Times New Roman" w:hAnsi="Times New Roman" w:cs="Times New Roman"/>
          <w:sz w:val="24"/>
          <w:szCs w:val="24"/>
        </w:rPr>
        <w:t>e children with konzo during 4 years of follow-up: a longitudinal analysis. </w:t>
      </w:r>
      <w:r w:rsidRPr="004C56D3">
        <w:rPr>
          <w:rFonts w:ascii="Times New Roman" w:hAnsi="Times New Roman" w:cs="Times New Roman"/>
          <w:i/>
          <w:iCs/>
          <w:sz w:val="24"/>
          <w:szCs w:val="24"/>
        </w:rPr>
        <w:t>The Lancet. Global health</w:t>
      </w:r>
      <w:r w:rsidRPr="004C56D3">
        <w:rPr>
          <w:rFonts w:ascii="Times New Roman" w:hAnsi="Times New Roman" w:cs="Times New Roman"/>
          <w:sz w:val="24"/>
          <w:szCs w:val="24"/>
        </w:rPr>
        <w:t>, </w:t>
      </w:r>
      <w:r w:rsidRPr="004C56D3">
        <w:rPr>
          <w:rFonts w:ascii="Times New Roman" w:hAnsi="Times New Roman" w:cs="Times New Roman"/>
          <w:i/>
          <w:iCs/>
          <w:sz w:val="24"/>
          <w:szCs w:val="24"/>
        </w:rPr>
        <w:t>5</w:t>
      </w:r>
      <w:r w:rsidRPr="004C56D3">
        <w:rPr>
          <w:rFonts w:ascii="Times New Roman" w:hAnsi="Times New Roman" w:cs="Times New Roman"/>
          <w:sz w:val="24"/>
          <w:szCs w:val="24"/>
        </w:rPr>
        <w:t xml:space="preserve">(9), e936–e947. </w:t>
      </w:r>
      <w:hyperlink r:id="rId13" w:history="1">
        <w:r w:rsidR="007F23EA" w:rsidRPr="0081759B">
          <w:rPr>
            <w:rStyle w:val="Hyperlink"/>
            <w:rFonts w:ascii="Times New Roman" w:hAnsi="Times New Roman" w:cs="Times New Roman"/>
            <w:sz w:val="24"/>
            <w:szCs w:val="24"/>
          </w:rPr>
          <w:t>https://doi.org/10.1016/S2214-109X(17)30267-X</w:t>
        </w:r>
      </w:hyperlink>
    </w:p>
    <w:p w14:paraId="51C6A744" w14:textId="77777777" w:rsidR="007F23EA" w:rsidRDefault="008A7800" w:rsidP="007F23EA">
      <w:pPr>
        <w:spacing w:line="360" w:lineRule="auto"/>
        <w:ind w:left="851" w:hanging="851"/>
        <w:jc w:val="both"/>
        <w:rPr>
          <w:rFonts w:ascii="Times New Roman" w:hAnsi="Times New Roman" w:cs="Times New Roman"/>
          <w:sz w:val="24"/>
          <w:szCs w:val="24"/>
        </w:rPr>
      </w:pPr>
      <w:r w:rsidRPr="00C35042">
        <w:rPr>
          <w:rFonts w:ascii="Times New Roman" w:hAnsi="Times New Roman" w:cs="Times New Roman"/>
          <w:sz w:val="24"/>
          <w:szCs w:val="24"/>
        </w:rPr>
        <w:t xml:space="preserve">Czyż, S. H., Marusiak, J., Klobušiaková, P., Sajdlová, Z., &amp; Rektorová, I. (2022). Neuroplasticity in motor learning under variable and constant practice conditions—Protocol of randomized controlled trial. </w:t>
      </w:r>
      <w:r w:rsidRPr="00C35042">
        <w:rPr>
          <w:rFonts w:ascii="Times New Roman" w:hAnsi="Times New Roman" w:cs="Times New Roman"/>
          <w:i/>
          <w:iCs/>
          <w:sz w:val="24"/>
          <w:szCs w:val="24"/>
        </w:rPr>
        <w:t>Frontiers in Human Neuroscience, 16</w:t>
      </w:r>
      <w:r w:rsidRPr="00C35042">
        <w:rPr>
          <w:rFonts w:ascii="Times New Roman" w:hAnsi="Times New Roman" w:cs="Times New Roman"/>
          <w:sz w:val="24"/>
          <w:szCs w:val="24"/>
        </w:rPr>
        <w:t xml:space="preserve">, 773730. </w:t>
      </w:r>
      <w:hyperlink r:id="rId14" w:history="1">
        <w:r w:rsidR="007F23EA" w:rsidRPr="0081759B">
          <w:rPr>
            <w:rStyle w:val="Hyperlink"/>
            <w:rFonts w:ascii="Times New Roman" w:hAnsi="Times New Roman" w:cs="Times New Roman"/>
            <w:sz w:val="24"/>
            <w:szCs w:val="24"/>
          </w:rPr>
          <w:t>https://doi.org/10.3389/fnhum.2022.773730</w:t>
        </w:r>
      </w:hyperlink>
    </w:p>
    <w:p w14:paraId="4D0BC979" w14:textId="56C01BCD" w:rsidR="007F23EA" w:rsidRPr="001C20E6" w:rsidRDefault="008A7800" w:rsidP="007F23EA">
      <w:pPr>
        <w:spacing w:line="360" w:lineRule="auto"/>
        <w:ind w:left="851" w:hanging="851"/>
        <w:jc w:val="both"/>
        <w:rPr>
          <w:rFonts w:ascii="Times New Roman" w:hAnsi="Times New Roman" w:cs="Times New Roman"/>
          <w:sz w:val="24"/>
          <w:szCs w:val="24"/>
        </w:rPr>
      </w:pPr>
      <w:r w:rsidRPr="00BA6F75">
        <w:rPr>
          <w:rFonts w:ascii="Times New Roman" w:hAnsi="Times New Roman" w:cs="Times New Roman"/>
          <w:sz w:val="24"/>
          <w:szCs w:val="24"/>
        </w:rPr>
        <w:t>David, L. K., Idung, V. H., &amp; Uahomo, P. O. (2022). Neurobehavioral and Ameliorative Effect of Complan Milk and Bambara Nut on Rats Fed with Bitter Cassava – A N</w:t>
      </w:r>
      <w:r w:rsidRPr="00BA6F75">
        <w:rPr>
          <w:rFonts w:ascii="Times New Roman" w:hAnsi="Times New Roman" w:cs="Times New Roman"/>
          <w:sz w:val="24"/>
          <w:szCs w:val="24"/>
        </w:rPr>
        <w:t xml:space="preserve">utritional Approach. International Neuropsychiatric Disease Journal, 17(1), 7–17. </w:t>
      </w:r>
      <w:hyperlink r:id="rId15" w:history="1">
        <w:r w:rsidR="007F23EA" w:rsidRPr="0081759B">
          <w:rPr>
            <w:rStyle w:val="Hyperlink"/>
            <w:rFonts w:ascii="Times New Roman" w:hAnsi="Times New Roman" w:cs="Times New Roman"/>
            <w:sz w:val="24"/>
            <w:szCs w:val="24"/>
          </w:rPr>
          <w:t>https://doi.org/10.9734/indj/2022/v17i130190</w:t>
        </w:r>
      </w:hyperlink>
    </w:p>
    <w:p w14:paraId="583D04C4" w14:textId="77777777" w:rsidR="007F23EA" w:rsidRDefault="008A7800" w:rsidP="007F23EA">
      <w:pPr>
        <w:spacing w:line="360" w:lineRule="auto"/>
        <w:ind w:left="851" w:hanging="851"/>
        <w:jc w:val="both"/>
        <w:rPr>
          <w:rFonts w:ascii="Times New Roman" w:hAnsi="Times New Roman" w:cs="Times New Roman"/>
          <w:sz w:val="24"/>
          <w:szCs w:val="24"/>
        </w:rPr>
      </w:pPr>
      <w:r w:rsidRPr="00B766B1">
        <w:rPr>
          <w:rFonts w:ascii="Times New Roman" w:hAnsi="Times New Roman" w:cs="Times New Roman"/>
          <w:sz w:val="24"/>
          <w:szCs w:val="24"/>
        </w:rPr>
        <w:t>Enefa, S., Paul, C. W., &amp; David, L. K. (2020). Model of Konzo diseas</w:t>
      </w:r>
      <w:r w:rsidRPr="00B766B1">
        <w:rPr>
          <w:rFonts w:ascii="Times New Roman" w:hAnsi="Times New Roman" w:cs="Times New Roman"/>
          <w:sz w:val="24"/>
          <w:szCs w:val="24"/>
        </w:rPr>
        <w:t xml:space="preserve">e: Reviewing the effect of bitter cassava neurotoxicity on the motor neurons of cassava-induced Konzo disease on Wistar rats. </w:t>
      </w:r>
      <w:r w:rsidRPr="00B766B1">
        <w:rPr>
          <w:rFonts w:ascii="Times New Roman" w:hAnsi="Times New Roman" w:cs="Times New Roman"/>
          <w:i/>
          <w:iCs/>
          <w:sz w:val="24"/>
          <w:szCs w:val="24"/>
        </w:rPr>
        <w:t>Saudi Journal of Medicine, 5</w:t>
      </w:r>
      <w:r w:rsidRPr="00B766B1">
        <w:rPr>
          <w:rFonts w:ascii="Times New Roman" w:hAnsi="Times New Roman" w:cs="Times New Roman"/>
          <w:sz w:val="24"/>
          <w:szCs w:val="24"/>
        </w:rPr>
        <w:t xml:space="preserve">(11), 312–318. </w:t>
      </w:r>
      <w:hyperlink r:id="rId16" w:history="1">
        <w:r w:rsidR="007F23EA" w:rsidRPr="0081759B">
          <w:rPr>
            <w:rStyle w:val="Hyperlink"/>
            <w:rFonts w:ascii="Times New Roman" w:hAnsi="Times New Roman" w:cs="Times New Roman"/>
            <w:sz w:val="24"/>
            <w:szCs w:val="24"/>
          </w:rPr>
          <w:t>https://doi.org/10.36348/sjm.2020.v05i11.005</w:t>
        </w:r>
      </w:hyperlink>
    </w:p>
    <w:p w14:paraId="37ECBCEE" w14:textId="71EE45E2" w:rsidR="007F23EA" w:rsidRDefault="008A7800" w:rsidP="007F23EA">
      <w:pPr>
        <w:spacing w:line="360" w:lineRule="auto"/>
        <w:ind w:left="851" w:hanging="851"/>
        <w:jc w:val="both"/>
        <w:rPr>
          <w:rFonts w:ascii="Times New Roman" w:hAnsi="Times New Roman" w:cs="Times New Roman"/>
          <w:sz w:val="24"/>
          <w:szCs w:val="24"/>
        </w:rPr>
      </w:pPr>
      <w:r w:rsidRPr="00F30988">
        <w:rPr>
          <w:rFonts w:ascii="Times New Roman" w:hAnsi="Times New Roman" w:cs="Times New Roman"/>
          <w:sz w:val="24"/>
          <w:szCs w:val="24"/>
        </w:rPr>
        <w:t>Engel, S. M., Patisaul, H. B., Brody, C., Hauser, R., Zota, A. R., Bennet, D. H., Swanson, M., &amp; Whyatt, R. M. (2021). Neurotoxicity of Ortho-Phthalates: Recommendations for Critical Policy Reforms to Protect Brain Development in Childre</w:t>
      </w:r>
      <w:r w:rsidRPr="00F30988">
        <w:rPr>
          <w:rFonts w:ascii="Times New Roman" w:hAnsi="Times New Roman" w:cs="Times New Roman"/>
          <w:sz w:val="24"/>
          <w:szCs w:val="24"/>
        </w:rPr>
        <w:t>n. </w:t>
      </w:r>
      <w:r w:rsidRPr="00F30988">
        <w:rPr>
          <w:rFonts w:ascii="Times New Roman" w:hAnsi="Times New Roman" w:cs="Times New Roman"/>
          <w:i/>
          <w:iCs/>
          <w:sz w:val="24"/>
          <w:szCs w:val="24"/>
        </w:rPr>
        <w:t>American journal of public health</w:t>
      </w:r>
      <w:r w:rsidRPr="00F30988">
        <w:rPr>
          <w:rFonts w:ascii="Times New Roman" w:hAnsi="Times New Roman" w:cs="Times New Roman"/>
          <w:sz w:val="24"/>
          <w:szCs w:val="24"/>
        </w:rPr>
        <w:t>, </w:t>
      </w:r>
      <w:r w:rsidRPr="00F30988">
        <w:rPr>
          <w:rFonts w:ascii="Times New Roman" w:hAnsi="Times New Roman" w:cs="Times New Roman"/>
          <w:i/>
          <w:iCs/>
          <w:sz w:val="24"/>
          <w:szCs w:val="24"/>
        </w:rPr>
        <w:t>111</w:t>
      </w:r>
      <w:r w:rsidRPr="00F30988">
        <w:rPr>
          <w:rFonts w:ascii="Times New Roman" w:hAnsi="Times New Roman" w:cs="Times New Roman"/>
          <w:sz w:val="24"/>
          <w:szCs w:val="24"/>
        </w:rPr>
        <w:t xml:space="preserve">(4), 687–695. </w:t>
      </w:r>
      <w:hyperlink r:id="rId17" w:history="1">
        <w:r w:rsidR="007F23EA" w:rsidRPr="0081759B">
          <w:rPr>
            <w:rStyle w:val="Hyperlink"/>
            <w:rFonts w:ascii="Times New Roman" w:hAnsi="Times New Roman" w:cs="Times New Roman"/>
            <w:sz w:val="24"/>
            <w:szCs w:val="24"/>
          </w:rPr>
          <w:t>https://doi.org/10.2105/AJPH.2020.306014</w:t>
        </w:r>
      </w:hyperlink>
      <w:r>
        <w:rPr>
          <w:rFonts w:ascii="Times New Roman" w:hAnsi="Times New Roman" w:cs="Times New Roman"/>
          <w:sz w:val="24"/>
          <w:szCs w:val="24"/>
        </w:rPr>
        <w:t xml:space="preserve"> </w:t>
      </w:r>
    </w:p>
    <w:p w14:paraId="1018B541" w14:textId="77777777" w:rsidR="007F23EA" w:rsidRDefault="008A7800"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t>Federer, M. R., Nehm, R. H., &amp; Pearl, D. K. (2016). Examining Gender Differences in Written Assessment</w:t>
      </w:r>
      <w:r w:rsidRPr="00795820">
        <w:rPr>
          <w:rFonts w:ascii="Times New Roman" w:hAnsi="Times New Roman" w:cs="Times New Roman"/>
          <w:sz w:val="24"/>
          <w:szCs w:val="24"/>
        </w:rPr>
        <w:t xml:space="preserve"> Tasks in Biology: A Case Study of Evolutionary Explanations. </w:t>
      </w:r>
      <w:r w:rsidRPr="00795820">
        <w:rPr>
          <w:rFonts w:ascii="Times New Roman" w:hAnsi="Times New Roman" w:cs="Times New Roman"/>
          <w:i/>
          <w:iCs/>
          <w:sz w:val="24"/>
          <w:szCs w:val="24"/>
        </w:rPr>
        <w:t>CBE life sciences education</w:t>
      </w:r>
      <w:r w:rsidRPr="00795820">
        <w:rPr>
          <w:rFonts w:ascii="Times New Roman" w:hAnsi="Times New Roman" w:cs="Times New Roman"/>
          <w:sz w:val="24"/>
          <w:szCs w:val="24"/>
        </w:rPr>
        <w:t>, </w:t>
      </w:r>
      <w:r w:rsidRPr="00795820">
        <w:rPr>
          <w:rFonts w:ascii="Times New Roman" w:hAnsi="Times New Roman" w:cs="Times New Roman"/>
          <w:i/>
          <w:iCs/>
          <w:sz w:val="24"/>
          <w:szCs w:val="24"/>
        </w:rPr>
        <w:t>15</w:t>
      </w:r>
      <w:r w:rsidRPr="00795820">
        <w:rPr>
          <w:rFonts w:ascii="Times New Roman" w:hAnsi="Times New Roman" w:cs="Times New Roman"/>
          <w:sz w:val="24"/>
          <w:szCs w:val="24"/>
        </w:rPr>
        <w:t xml:space="preserve">(1), ar2. </w:t>
      </w:r>
      <w:hyperlink r:id="rId18" w:history="1">
        <w:r w:rsidR="007F23EA" w:rsidRPr="0081759B">
          <w:rPr>
            <w:rStyle w:val="Hyperlink"/>
            <w:rFonts w:ascii="Times New Roman" w:hAnsi="Times New Roman" w:cs="Times New Roman"/>
            <w:sz w:val="24"/>
            <w:szCs w:val="24"/>
          </w:rPr>
          <w:t>https://doi.org/10.1187/cbe.14-01-0018</w:t>
        </w:r>
      </w:hyperlink>
    </w:p>
    <w:p w14:paraId="1EEE3A55"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Galeoto, G., Berardi, A., Simeon, R., Panuccio, F., Fabbrin</w:t>
      </w:r>
      <w:r w:rsidRPr="00825BB8">
        <w:rPr>
          <w:rFonts w:ascii="Times New Roman" w:hAnsi="Times New Roman" w:cs="Times New Roman"/>
          <w:sz w:val="24"/>
          <w:szCs w:val="24"/>
        </w:rPr>
        <w:t>i, G., Belvisi, D., González-Bernal, J., &amp; Seco-Calvo, J. Á. (2024). Psychometric Properties of Jebsen Taylor Hand Function Test in an Italian Population with Parkinson's Disease. </w:t>
      </w:r>
      <w:r w:rsidRPr="00825BB8">
        <w:rPr>
          <w:rFonts w:ascii="Times New Roman" w:hAnsi="Times New Roman" w:cs="Times New Roman"/>
          <w:i/>
          <w:iCs/>
          <w:sz w:val="24"/>
          <w:szCs w:val="24"/>
        </w:rPr>
        <w:t>Healthcare (Basel, Switzerland)</w:t>
      </w:r>
      <w:r w:rsidRPr="00825BB8">
        <w:rPr>
          <w:rFonts w:ascii="Times New Roman" w:hAnsi="Times New Roman" w:cs="Times New Roman"/>
          <w:sz w:val="24"/>
          <w:szCs w:val="24"/>
        </w:rPr>
        <w:t>, </w:t>
      </w:r>
      <w:r w:rsidRPr="00825BB8">
        <w:rPr>
          <w:rFonts w:ascii="Times New Roman" w:hAnsi="Times New Roman" w:cs="Times New Roman"/>
          <w:i/>
          <w:iCs/>
          <w:sz w:val="24"/>
          <w:szCs w:val="24"/>
        </w:rPr>
        <w:t>12</w:t>
      </w:r>
      <w:r w:rsidRPr="00825BB8">
        <w:rPr>
          <w:rFonts w:ascii="Times New Roman" w:hAnsi="Times New Roman" w:cs="Times New Roman"/>
          <w:sz w:val="24"/>
          <w:szCs w:val="24"/>
        </w:rPr>
        <w:t xml:space="preserve">(13), 1351. </w:t>
      </w:r>
      <w:hyperlink r:id="rId19" w:history="1">
        <w:r w:rsidR="007F23EA" w:rsidRPr="0081759B">
          <w:rPr>
            <w:rStyle w:val="Hyperlink"/>
            <w:rFonts w:ascii="Times New Roman" w:hAnsi="Times New Roman" w:cs="Times New Roman"/>
            <w:sz w:val="24"/>
            <w:szCs w:val="24"/>
          </w:rPr>
          <w:t>https://doi.org/10.3390/healthcare12131351</w:t>
        </w:r>
      </w:hyperlink>
    </w:p>
    <w:p w14:paraId="34409FCD" w14:textId="77777777" w:rsidR="007F23EA" w:rsidRDefault="008A7800" w:rsidP="007F23EA">
      <w:pPr>
        <w:spacing w:line="360" w:lineRule="auto"/>
        <w:ind w:left="851" w:hanging="851"/>
        <w:jc w:val="both"/>
        <w:rPr>
          <w:rFonts w:ascii="Times New Roman" w:hAnsi="Times New Roman" w:cs="Times New Roman"/>
          <w:sz w:val="24"/>
          <w:szCs w:val="24"/>
        </w:rPr>
      </w:pPr>
      <w:r w:rsidRPr="00F30988">
        <w:rPr>
          <w:rFonts w:ascii="Times New Roman" w:hAnsi="Times New Roman" w:cs="Times New Roman"/>
          <w:sz w:val="24"/>
          <w:szCs w:val="24"/>
        </w:rPr>
        <w:lastRenderedPageBreak/>
        <w:t>Grandjean, P., &amp; Landrigan, P. J. (2014). Neurobehavioural effects of developmental toxicity. </w:t>
      </w:r>
      <w:r w:rsidRPr="00F30988">
        <w:rPr>
          <w:rFonts w:ascii="Times New Roman" w:hAnsi="Times New Roman" w:cs="Times New Roman"/>
          <w:i/>
          <w:iCs/>
          <w:sz w:val="24"/>
          <w:szCs w:val="24"/>
        </w:rPr>
        <w:t>The Lancet. Neurology</w:t>
      </w:r>
      <w:r w:rsidRPr="00F30988">
        <w:rPr>
          <w:rFonts w:ascii="Times New Roman" w:hAnsi="Times New Roman" w:cs="Times New Roman"/>
          <w:sz w:val="24"/>
          <w:szCs w:val="24"/>
        </w:rPr>
        <w:t>, </w:t>
      </w:r>
      <w:r w:rsidRPr="00F30988">
        <w:rPr>
          <w:rFonts w:ascii="Times New Roman" w:hAnsi="Times New Roman" w:cs="Times New Roman"/>
          <w:i/>
          <w:iCs/>
          <w:sz w:val="24"/>
          <w:szCs w:val="24"/>
        </w:rPr>
        <w:t>13</w:t>
      </w:r>
      <w:r w:rsidRPr="00F30988">
        <w:rPr>
          <w:rFonts w:ascii="Times New Roman" w:hAnsi="Times New Roman" w:cs="Times New Roman"/>
          <w:sz w:val="24"/>
          <w:szCs w:val="24"/>
        </w:rPr>
        <w:t xml:space="preserve">(3), 330–338. </w:t>
      </w:r>
      <w:hyperlink r:id="rId20" w:history="1">
        <w:r w:rsidR="007F23EA" w:rsidRPr="0081759B">
          <w:rPr>
            <w:rStyle w:val="Hyperlink"/>
            <w:rFonts w:ascii="Times New Roman" w:hAnsi="Times New Roman" w:cs="Times New Roman"/>
            <w:sz w:val="24"/>
            <w:szCs w:val="24"/>
          </w:rPr>
          <w:t>https://doi.org/10.1016/S1474-4422(13)70278-3</w:t>
        </w:r>
      </w:hyperlink>
    </w:p>
    <w:p w14:paraId="2E3F5BE8" w14:textId="77777777" w:rsidR="007F23EA" w:rsidRDefault="008A7800" w:rsidP="007F23EA">
      <w:pPr>
        <w:spacing w:line="360" w:lineRule="auto"/>
        <w:ind w:left="851" w:hanging="851"/>
        <w:jc w:val="both"/>
        <w:rPr>
          <w:rFonts w:ascii="Times New Roman" w:hAnsi="Times New Roman" w:cs="Times New Roman"/>
          <w:sz w:val="24"/>
          <w:szCs w:val="24"/>
        </w:rPr>
      </w:pPr>
      <w:r w:rsidRPr="00695DDA">
        <w:rPr>
          <w:rFonts w:ascii="Times New Roman" w:hAnsi="Times New Roman" w:cs="Times New Roman"/>
          <w:sz w:val="24"/>
          <w:szCs w:val="24"/>
        </w:rPr>
        <w:t>Jebsen, R. H., Taylor, N., Trieschmann, R. B., Trotter, M. J., &amp; Howard, L. A. (1969). An objective and standardized test of hand function. </w:t>
      </w:r>
      <w:r w:rsidRPr="00695DDA">
        <w:rPr>
          <w:rFonts w:ascii="Times New Roman" w:hAnsi="Times New Roman" w:cs="Times New Roman"/>
          <w:i/>
          <w:iCs/>
          <w:sz w:val="24"/>
          <w:szCs w:val="24"/>
        </w:rPr>
        <w:t>Archives of physical medicine and rehabilitation</w:t>
      </w:r>
      <w:r w:rsidRPr="00695DDA">
        <w:rPr>
          <w:rFonts w:ascii="Times New Roman" w:hAnsi="Times New Roman" w:cs="Times New Roman"/>
          <w:sz w:val="24"/>
          <w:szCs w:val="24"/>
        </w:rPr>
        <w:t>, </w:t>
      </w:r>
      <w:r w:rsidRPr="00695DDA">
        <w:rPr>
          <w:rFonts w:ascii="Times New Roman" w:hAnsi="Times New Roman" w:cs="Times New Roman"/>
          <w:i/>
          <w:iCs/>
          <w:sz w:val="24"/>
          <w:szCs w:val="24"/>
        </w:rPr>
        <w:t>50</w:t>
      </w:r>
      <w:r w:rsidRPr="00695DDA">
        <w:rPr>
          <w:rFonts w:ascii="Times New Roman" w:hAnsi="Times New Roman" w:cs="Times New Roman"/>
          <w:sz w:val="24"/>
          <w:szCs w:val="24"/>
        </w:rPr>
        <w:t xml:space="preserve">(6), </w:t>
      </w:r>
      <w:r w:rsidRPr="00695DDA">
        <w:rPr>
          <w:rFonts w:ascii="Times New Roman" w:hAnsi="Times New Roman" w:cs="Times New Roman"/>
          <w:sz w:val="24"/>
          <w:szCs w:val="24"/>
        </w:rPr>
        <w:t>311–319.</w:t>
      </w:r>
    </w:p>
    <w:p w14:paraId="4FB5A45A" w14:textId="77777777" w:rsidR="007F23EA" w:rsidRDefault="008A7800"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t>Kadota, J. L., McCoy, S. I., Bates, M. N., Mnyippembe, A., Njau, P. F., Prata, N., &amp; Harris-Adamson, C. (2020). The Impact of Heavy Load Carrying on Musculoskeletal Pain and Disability Among Women in Shinyanga Region, Tanzania. </w:t>
      </w:r>
      <w:r w:rsidRPr="00795820">
        <w:rPr>
          <w:rFonts w:ascii="Times New Roman" w:hAnsi="Times New Roman" w:cs="Times New Roman"/>
          <w:i/>
          <w:iCs/>
          <w:sz w:val="24"/>
          <w:szCs w:val="24"/>
        </w:rPr>
        <w:t>Annals of global he</w:t>
      </w:r>
      <w:r w:rsidRPr="00795820">
        <w:rPr>
          <w:rFonts w:ascii="Times New Roman" w:hAnsi="Times New Roman" w:cs="Times New Roman"/>
          <w:i/>
          <w:iCs/>
          <w:sz w:val="24"/>
          <w:szCs w:val="24"/>
        </w:rPr>
        <w:t>alth</w:t>
      </w:r>
      <w:r w:rsidRPr="00795820">
        <w:rPr>
          <w:rFonts w:ascii="Times New Roman" w:hAnsi="Times New Roman" w:cs="Times New Roman"/>
          <w:sz w:val="24"/>
          <w:szCs w:val="24"/>
        </w:rPr>
        <w:t>, </w:t>
      </w:r>
      <w:r w:rsidRPr="00795820">
        <w:rPr>
          <w:rFonts w:ascii="Times New Roman" w:hAnsi="Times New Roman" w:cs="Times New Roman"/>
          <w:i/>
          <w:iCs/>
          <w:sz w:val="24"/>
          <w:szCs w:val="24"/>
        </w:rPr>
        <w:t>86</w:t>
      </w:r>
      <w:r w:rsidRPr="00795820">
        <w:rPr>
          <w:rFonts w:ascii="Times New Roman" w:hAnsi="Times New Roman" w:cs="Times New Roman"/>
          <w:sz w:val="24"/>
          <w:szCs w:val="24"/>
        </w:rPr>
        <w:t xml:space="preserve">(1), 17. </w:t>
      </w:r>
      <w:hyperlink r:id="rId21" w:history="1">
        <w:r w:rsidR="007F23EA" w:rsidRPr="0081759B">
          <w:rPr>
            <w:rStyle w:val="Hyperlink"/>
            <w:rFonts w:ascii="Times New Roman" w:hAnsi="Times New Roman" w:cs="Times New Roman"/>
            <w:sz w:val="24"/>
            <w:szCs w:val="24"/>
          </w:rPr>
          <w:t>https://doi.org/10.5334/aogh.2470</w:t>
        </w:r>
      </w:hyperlink>
    </w:p>
    <w:p w14:paraId="066EFF12" w14:textId="77777777" w:rsidR="007F23EA" w:rsidRDefault="008A7800"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Kashala-Abotnes, E., Okitundu, D., Mumba, D., Boivin, M. J., Tylleskär, T., &amp; Tshala-Katumbay, D. (2019). Konzo: a distinct neurological disease associated</w:t>
      </w:r>
      <w:r w:rsidRPr="004C56D3">
        <w:rPr>
          <w:rFonts w:ascii="Times New Roman" w:hAnsi="Times New Roman" w:cs="Times New Roman"/>
          <w:sz w:val="24"/>
          <w:szCs w:val="24"/>
        </w:rPr>
        <w:t xml:space="preserve"> with food (cassava) cyanogenic poisoning. </w:t>
      </w:r>
      <w:r w:rsidRPr="004C56D3">
        <w:rPr>
          <w:rFonts w:ascii="Times New Roman" w:hAnsi="Times New Roman" w:cs="Times New Roman"/>
          <w:i/>
          <w:iCs/>
          <w:sz w:val="24"/>
          <w:szCs w:val="24"/>
        </w:rPr>
        <w:t>Brain research bulletin</w:t>
      </w:r>
      <w:r w:rsidRPr="004C56D3">
        <w:rPr>
          <w:rFonts w:ascii="Times New Roman" w:hAnsi="Times New Roman" w:cs="Times New Roman"/>
          <w:sz w:val="24"/>
          <w:szCs w:val="24"/>
        </w:rPr>
        <w:t>, </w:t>
      </w:r>
      <w:r w:rsidRPr="004C56D3">
        <w:rPr>
          <w:rFonts w:ascii="Times New Roman" w:hAnsi="Times New Roman" w:cs="Times New Roman"/>
          <w:i/>
          <w:iCs/>
          <w:sz w:val="24"/>
          <w:szCs w:val="24"/>
        </w:rPr>
        <w:t>145</w:t>
      </w:r>
      <w:r w:rsidRPr="004C56D3">
        <w:rPr>
          <w:rFonts w:ascii="Times New Roman" w:hAnsi="Times New Roman" w:cs="Times New Roman"/>
          <w:sz w:val="24"/>
          <w:szCs w:val="24"/>
        </w:rPr>
        <w:t xml:space="preserve">, 87–91. </w:t>
      </w:r>
      <w:hyperlink r:id="rId22" w:history="1">
        <w:r w:rsidR="007F23EA" w:rsidRPr="0081759B">
          <w:rPr>
            <w:rStyle w:val="Hyperlink"/>
            <w:rFonts w:ascii="Times New Roman" w:hAnsi="Times New Roman" w:cs="Times New Roman"/>
            <w:sz w:val="24"/>
            <w:szCs w:val="24"/>
          </w:rPr>
          <w:t>https://doi.org/10.1016/j.brainresbull.2018.07.001</w:t>
        </w:r>
      </w:hyperlink>
    </w:p>
    <w:p w14:paraId="6B3BF801" w14:textId="3BC85462" w:rsidR="007F23EA" w:rsidRDefault="008A7800" w:rsidP="007F23EA">
      <w:pPr>
        <w:spacing w:line="360" w:lineRule="auto"/>
        <w:ind w:left="851" w:hanging="851"/>
        <w:jc w:val="both"/>
        <w:rPr>
          <w:rFonts w:ascii="Times New Roman" w:hAnsi="Times New Roman" w:cs="Times New Roman"/>
          <w:sz w:val="24"/>
          <w:szCs w:val="24"/>
          <w:lang w:val=""/>
        </w:rPr>
      </w:pPr>
      <w:r w:rsidRPr="004C56D3">
        <w:rPr>
          <w:rFonts w:ascii="Times New Roman" w:hAnsi="Times New Roman" w:cs="Times New Roman"/>
          <w:sz w:val="24"/>
          <w:szCs w:val="24"/>
        </w:rPr>
        <w:t>Kashala-Abotnes, E., Sombo, M. T., Okitundu, D. L., Kunyu,</w:t>
      </w:r>
      <w:r w:rsidRPr="004C56D3">
        <w:rPr>
          <w:rFonts w:ascii="Times New Roman" w:hAnsi="Times New Roman" w:cs="Times New Roman"/>
          <w:sz w:val="24"/>
          <w:szCs w:val="24"/>
        </w:rPr>
        <w:t xml:space="preserve"> M., Bumoko Makila-Mabe, G., Tylleskär, T., Sikorskii, A., Banea, J. P., Mumba Ngoyi, D., Tshala-Katumbay, D., &amp; Boivin, M. J. (2018). Dietary cyanogen exposure and early child neurodevelopment: An observational study from the Democratic Republic of Congo.</w:t>
      </w:r>
      <w:r w:rsidRPr="004C56D3">
        <w:rPr>
          <w:rFonts w:ascii="Times New Roman" w:hAnsi="Times New Roman" w:cs="Times New Roman"/>
          <w:sz w:val="24"/>
          <w:szCs w:val="24"/>
        </w:rPr>
        <w:t> </w:t>
      </w:r>
      <w:r w:rsidRPr="004C56D3">
        <w:rPr>
          <w:rFonts w:ascii="Times New Roman" w:hAnsi="Times New Roman" w:cs="Times New Roman"/>
          <w:i/>
          <w:iCs/>
          <w:sz w:val="24"/>
          <w:szCs w:val="24"/>
        </w:rPr>
        <w:t>PloS one</w:t>
      </w:r>
      <w:r w:rsidRPr="004C56D3">
        <w:rPr>
          <w:rFonts w:ascii="Times New Roman" w:hAnsi="Times New Roman" w:cs="Times New Roman"/>
          <w:sz w:val="24"/>
          <w:szCs w:val="24"/>
        </w:rPr>
        <w:t>, </w:t>
      </w:r>
      <w:r w:rsidRPr="004C56D3">
        <w:rPr>
          <w:rFonts w:ascii="Times New Roman" w:hAnsi="Times New Roman" w:cs="Times New Roman"/>
          <w:i/>
          <w:iCs/>
          <w:sz w:val="24"/>
          <w:szCs w:val="24"/>
        </w:rPr>
        <w:t>13</w:t>
      </w:r>
      <w:r w:rsidRPr="004C56D3">
        <w:rPr>
          <w:rFonts w:ascii="Times New Roman" w:hAnsi="Times New Roman" w:cs="Times New Roman"/>
          <w:sz w:val="24"/>
          <w:szCs w:val="24"/>
        </w:rPr>
        <w:t xml:space="preserve">(4), e0193261. </w:t>
      </w:r>
      <w:hyperlink r:id="rId23" w:history="1">
        <w:r w:rsidR="007F23EA" w:rsidRPr="0081759B">
          <w:rPr>
            <w:rStyle w:val="Hyperlink"/>
            <w:rFonts w:ascii="Times New Roman" w:hAnsi="Times New Roman" w:cs="Times New Roman"/>
            <w:sz w:val="24"/>
            <w:szCs w:val="24"/>
          </w:rPr>
          <w:t>https://doi.org/10.1371/journal.pone.0193261</w:t>
        </w:r>
      </w:hyperlink>
      <w:r>
        <w:rPr>
          <w:rFonts w:ascii="Times New Roman" w:hAnsi="Times New Roman" w:cs="Times New Roman"/>
          <w:sz w:val="24"/>
          <w:szCs w:val="24"/>
        </w:rPr>
        <w:t xml:space="preserve"> </w:t>
      </w:r>
    </w:p>
    <w:p w14:paraId="76A62D7B"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Laver, K. E., Lange, B., George, S., Deutsch, J. E., Saposnik, G., &amp; Crotty, M. (2017). Virtual reality for stroke rehabi</w:t>
      </w:r>
      <w:r w:rsidRPr="00825BB8">
        <w:rPr>
          <w:rFonts w:ascii="Times New Roman" w:hAnsi="Times New Roman" w:cs="Times New Roman"/>
          <w:sz w:val="24"/>
          <w:szCs w:val="24"/>
        </w:rPr>
        <w:t>litation. </w:t>
      </w:r>
      <w:r w:rsidRPr="00825BB8">
        <w:rPr>
          <w:rFonts w:ascii="Times New Roman" w:hAnsi="Times New Roman" w:cs="Times New Roman"/>
          <w:i/>
          <w:iCs/>
          <w:sz w:val="24"/>
          <w:szCs w:val="24"/>
        </w:rPr>
        <w:t>The Cochrane database of systematic reviews</w:t>
      </w:r>
      <w:r w:rsidRPr="00825BB8">
        <w:rPr>
          <w:rFonts w:ascii="Times New Roman" w:hAnsi="Times New Roman" w:cs="Times New Roman"/>
          <w:sz w:val="24"/>
          <w:szCs w:val="24"/>
        </w:rPr>
        <w:t>, </w:t>
      </w:r>
      <w:r w:rsidRPr="00825BB8">
        <w:rPr>
          <w:rFonts w:ascii="Times New Roman" w:hAnsi="Times New Roman" w:cs="Times New Roman"/>
          <w:i/>
          <w:iCs/>
          <w:sz w:val="24"/>
          <w:szCs w:val="24"/>
        </w:rPr>
        <w:t>11</w:t>
      </w:r>
      <w:r w:rsidRPr="00825BB8">
        <w:rPr>
          <w:rFonts w:ascii="Times New Roman" w:hAnsi="Times New Roman" w:cs="Times New Roman"/>
          <w:sz w:val="24"/>
          <w:szCs w:val="24"/>
        </w:rPr>
        <w:t xml:space="preserve">(11), CD008349. </w:t>
      </w:r>
      <w:hyperlink r:id="rId24" w:history="1">
        <w:r w:rsidR="007F23EA" w:rsidRPr="0081759B">
          <w:rPr>
            <w:rStyle w:val="Hyperlink"/>
            <w:rFonts w:ascii="Times New Roman" w:hAnsi="Times New Roman" w:cs="Times New Roman"/>
            <w:sz w:val="24"/>
            <w:szCs w:val="24"/>
          </w:rPr>
          <w:t>https://doi.org/10.1002/14651858.CD008349.pub4</w:t>
        </w:r>
      </w:hyperlink>
    </w:p>
    <w:p w14:paraId="602BAFE8" w14:textId="688B09C6" w:rsidR="007F23EA" w:rsidRDefault="008A7800" w:rsidP="007F23EA">
      <w:pPr>
        <w:spacing w:line="360" w:lineRule="auto"/>
        <w:ind w:left="851" w:hanging="851"/>
        <w:jc w:val="both"/>
        <w:rPr>
          <w:rFonts w:ascii="Times New Roman" w:hAnsi="Times New Roman" w:cs="Times New Roman"/>
          <w:sz w:val="24"/>
          <w:szCs w:val="24"/>
        </w:rPr>
      </w:pPr>
      <w:r w:rsidRPr="00AA6A76">
        <w:rPr>
          <w:rFonts w:ascii="Times New Roman" w:hAnsi="Times New Roman" w:cs="Times New Roman"/>
          <w:sz w:val="24"/>
          <w:szCs w:val="24"/>
        </w:rPr>
        <w:t xml:space="preserve">Le Stanc, L., Lunven, M., Giavazzi, M., et al. (2024). Cognitive reserve </w:t>
      </w:r>
      <w:r w:rsidRPr="00AA6A76">
        <w:rPr>
          <w:rFonts w:ascii="Times New Roman" w:hAnsi="Times New Roman" w:cs="Times New Roman"/>
          <w:sz w:val="24"/>
          <w:szCs w:val="24"/>
        </w:rPr>
        <w:t>involves decision</w:t>
      </w:r>
      <w:r w:rsidR="00AF0BC7">
        <w:rPr>
          <w:rFonts w:ascii="Times New Roman" w:hAnsi="Times New Roman" w:cs="Times New Roman"/>
          <w:sz w:val="24"/>
          <w:szCs w:val="24"/>
        </w:rPr>
        <w:t xml:space="preserve"> </w:t>
      </w:r>
      <w:r w:rsidRPr="00AA6A76">
        <w:rPr>
          <w:rFonts w:ascii="Times New Roman" w:hAnsi="Times New Roman" w:cs="Times New Roman"/>
          <w:sz w:val="24"/>
          <w:szCs w:val="24"/>
        </w:rPr>
        <w:t xml:space="preserve">making and is associated with left parietal and hippocampal hypertrophy in neurodegeneration. </w:t>
      </w:r>
      <w:r w:rsidRPr="00AA6A76">
        <w:rPr>
          <w:rFonts w:ascii="Times New Roman" w:hAnsi="Times New Roman" w:cs="Times New Roman"/>
          <w:i/>
          <w:iCs/>
          <w:sz w:val="24"/>
          <w:szCs w:val="24"/>
        </w:rPr>
        <w:t>Communications Biology, 7</w:t>
      </w:r>
      <w:r w:rsidRPr="00AA6A76">
        <w:rPr>
          <w:rFonts w:ascii="Times New Roman" w:hAnsi="Times New Roman" w:cs="Times New Roman"/>
          <w:sz w:val="24"/>
          <w:szCs w:val="24"/>
        </w:rPr>
        <w:t xml:space="preserve">, 741. </w:t>
      </w:r>
      <w:hyperlink r:id="rId25" w:tgtFrame="_new" w:history="1">
        <w:r w:rsidR="007F23EA" w:rsidRPr="00AA6A76">
          <w:rPr>
            <w:rStyle w:val="Hyperlink"/>
            <w:rFonts w:ascii="Times New Roman" w:hAnsi="Times New Roman" w:cs="Times New Roman"/>
            <w:sz w:val="24"/>
            <w:szCs w:val="24"/>
          </w:rPr>
          <w:t>https://doi.org/10.1038/s42003-024-06416-x</w:t>
        </w:r>
      </w:hyperlink>
    </w:p>
    <w:p w14:paraId="07084A9A"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Mak, M. K. Y., Lau, E. T. L., Tam, V. W. K., Woo, C. W. Y., &amp; Yuen, S. K. Y. (2015). Use of Jebsen-Taylor Hand Function Test in evaluating the hand dexterity in people with Parkinson's disease. </w:t>
      </w:r>
      <w:r w:rsidRPr="00825BB8">
        <w:rPr>
          <w:rFonts w:ascii="Times New Roman" w:hAnsi="Times New Roman" w:cs="Times New Roman"/>
          <w:i/>
          <w:iCs/>
          <w:sz w:val="24"/>
          <w:szCs w:val="24"/>
        </w:rPr>
        <w:t>Journal of Hand Therapy, 28</w:t>
      </w:r>
      <w:r w:rsidRPr="00825BB8">
        <w:rPr>
          <w:rFonts w:ascii="Times New Roman" w:hAnsi="Times New Roman" w:cs="Times New Roman"/>
          <w:sz w:val="24"/>
          <w:szCs w:val="24"/>
        </w:rPr>
        <w:t xml:space="preserve">(4), 389–395. </w:t>
      </w:r>
      <w:hyperlink r:id="rId26" w:history="1">
        <w:r w:rsidR="007F23EA" w:rsidRPr="0081759B">
          <w:rPr>
            <w:rStyle w:val="Hyperlink"/>
            <w:rFonts w:ascii="Times New Roman" w:hAnsi="Times New Roman" w:cs="Times New Roman"/>
            <w:sz w:val="24"/>
            <w:szCs w:val="24"/>
          </w:rPr>
          <w:t>https://doi.org/10.1016/j.jht.2015.04.002</w:t>
        </w:r>
      </w:hyperlink>
    </w:p>
    <w:p w14:paraId="642297F6" w14:textId="77777777" w:rsidR="007F23EA" w:rsidRDefault="008A7800" w:rsidP="007F23EA">
      <w:pPr>
        <w:spacing w:line="360" w:lineRule="auto"/>
        <w:ind w:left="851" w:hanging="851"/>
        <w:jc w:val="both"/>
        <w:rPr>
          <w:rFonts w:ascii="Times New Roman" w:hAnsi="Times New Roman" w:cs="Times New Roman"/>
          <w:sz w:val="24"/>
          <w:szCs w:val="24"/>
        </w:rPr>
      </w:pPr>
      <w:r w:rsidRPr="00AA6A76">
        <w:rPr>
          <w:rFonts w:ascii="Times New Roman" w:hAnsi="Times New Roman" w:cs="Times New Roman"/>
          <w:sz w:val="24"/>
          <w:szCs w:val="24"/>
        </w:rPr>
        <w:lastRenderedPageBreak/>
        <w:t>Mohan, A., Lee, T., &amp; Sachdev, P. (2014). Surviving acute cyanide poisoning: a longitudinal neuropsychological investigation with interval MRI. </w:t>
      </w:r>
      <w:r w:rsidRPr="00AA6A76">
        <w:rPr>
          <w:rFonts w:ascii="Times New Roman" w:hAnsi="Times New Roman" w:cs="Times New Roman"/>
          <w:i/>
          <w:iCs/>
          <w:sz w:val="24"/>
          <w:szCs w:val="24"/>
        </w:rPr>
        <w:t>BMJ case reports</w:t>
      </w:r>
      <w:r w:rsidRPr="00AA6A76">
        <w:rPr>
          <w:rFonts w:ascii="Times New Roman" w:hAnsi="Times New Roman" w:cs="Times New Roman"/>
          <w:sz w:val="24"/>
          <w:szCs w:val="24"/>
        </w:rPr>
        <w:t>, </w:t>
      </w:r>
      <w:r w:rsidRPr="00AA6A76">
        <w:rPr>
          <w:rFonts w:ascii="Times New Roman" w:hAnsi="Times New Roman" w:cs="Times New Roman"/>
          <w:i/>
          <w:iCs/>
          <w:sz w:val="24"/>
          <w:szCs w:val="24"/>
        </w:rPr>
        <w:t>2014</w:t>
      </w:r>
      <w:r w:rsidRPr="00AA6A76">
        <w:rPr>
          <w:rFonts w:ascii="Times New Roman" w:hAnsi="Times New Roman" w:cs="Times New Roman"/>
          <w:sz w:val="24"/>
          <w:szCs w:val="24"/>
        </w:rPr>
        <w:t>, bcr201320</w:t>
      </w:r>
      <w:r w:rsidRPr="00AA6A76">
        <w:rPr>
          <w:rFonts w:ascii="Times New Roman" w:hAnsi="Times New Roman" w:cs="Times New Roman"/>
          <w:sz w:val="24"/>
          <w:szCs w:val="24"/>
        </w:rPr>
        <w:t xml:space="preserve">3025. </w:t>
      </w:r>
      <w:hyperlink r:id="rId27" w:history="1">
        <w:r w:rsidR="007F23EA" w:rsidRPr="0081759B">
          <w:rPr>
            <w:rStyle w:val="Hyperlink"/>
            <w:rFonts w:ascii="Times New Roman" w:hAnsi="Times New Roman" w:cs="Times New Roman"/>
            <w:sz w:val="24"/>
            <w:szCs w:val="24"/>
          </w:rPr>
          <w:t>https://doi.org/10.1136/bcr-2013-203025</w:t>
        </w:r>
      </w:hyperlink>
    </w:p>
    <w:p w14:paraId="1E2CA40B" w14:textId="65C63DE1" w:rsidR="007F23EA" w:rsidRDefault="008A7800" w:rsidP="007F23EA">
      <w:pPr>
        <w:spacing w:line="360" w:lineRule="auto"/>
        <w:ind w:left="851" w:hanging="851"/>
        <w:jc w:val="both"/>
        <w:rPr>
          <w:rFonts w:ascii="Times New Roman" w:hAnsi="Times New Roman" w:cs="Times New Roman"/>
          <w:sz w:val="24"/>
          <w:szCs w:val="24"/>
        </w:rPr>
      </w:pPr>
      <w:r w:rsidRPr="00681E29">
        <w:rPr>
          <w:rFonts w:ascii="Times New Roman" w:hAnsi="Times New Roman" w:cs="Times New Roman"/>
          <w:sz w:val="24"/>
          <w:szCs w:val="24"/>
        </w:rPr>
        <w:t>Mokobane, M., Pillay, B. J., &amp; Meyer, A. (2019). Fine motor deficits and attention deficit hyperactivity disorder in primary school children. </w:t>
      </w:r>
      <w:r w:rsidRPr="00681E29">
        <w:rPr>
          <w:rFonts w:ascii="Times New Roman" w:hAnsi="Times New Roman" w:cs="Times New Roman"/>
          <w:i/>
          <w:iCs/>
          <w:sz w:val="24"/>
          <w:szCs w:val="24"/>
        </w:rPr>
        <w:t>The South Af</w:t>
      </w:r>
      <w:r w:rsidRPr="00681E29">
        <w:rPr>
          <w:rFonts w:ascii="Times New Roman" w:hAnsi="Times New Roman" w:cs="Times New Roman"/>
          <w:i/>
          <w:iCs/>
          <w:sz w:val="24"/>
          <w:szCs w:val="24"/>
        </w:rPr>
        <w:t xml:space="preserve">rican journal of </w:t>
      </w:r>
      <w:proofErr w:type="gramStart"/>
      <w:r w:rsidRPr="00681E29">
        <w:rPr>
          <w:rFonts w:ascii="Times New Roman" w:hAnsi="Times New Roman" w:cs="Times New Roman"/>
          <w:i/>
          <w:iCs/>
          <w:sz w:val="24"/>
          <w:szCs w:val="24"/>
        </w:rPr>
        <w:t>psychiatry :</w:t>
      </w:r>
      <w:proofErr w:type="gramEnd"/>
      <w:r w:rsidRPr="00681E29">
        <w:rPr>
          <w:rFonts w:ascii="Times New Roman" w:hAnsi="Times New Roman" w:cs="Times New Roman"/>
          <w:i/>
          <w:iCs/>
          <w:sz w:val="24"/>
          <w:szCs w:val="24"/>
        </w:rPr>
        <w:t xml:space="preserve"> SAJP : the journal of the Society of Psychiatrists of South Africa</w:t>
      </w:r>
      <w:r w:rsidRPr="00681E29">
        <w:rPr>
          <w:rFonts w:ascii="Times New Roman" w:hAnsi="Times New Roman" w:cs="Times New Roman"/>
          <w:sz w:val="24"/>
          <w:szCs w:val="24"/>
        </w:rPr>
        <w:t>, </w:t>
      </w:r>
      <w:r w:rsidRPr="00681E29">
        <w:rPr>
          <w:rFonts w:ascii="Times New Roman" w:hAnsi="Times New Roman" w:cs="Times New Roman"/>
          <w:i/>
          <w:iCs/>
          <w:sz w:val="24"/>
          <w:szCs w:val="24"/>
        </w:rPr>
        <w:t>25</w:t>
      </w:r>
      <w:r w:rsidRPr="00681E29">
        <w:rPr>
          <w:rFonts w:ascii="Times New Roman" w:hAnsi="Times New Roman" w:cs="Times New Roman"/>
          <w:sz w:val="24"/>
          <w:szCs w:val="24"/>
        </w:rPr>
        <w:t xml:space="preserve">, 1232. </w:t>
      </w:r>
      <w:hyperlink r:id="rId28" w:history="1">
        <w:r w:rsidR="007F23EA" w:rsidRPr="0081759B">
          <w:rPr>
            <w:rStyle w:val="Hyperlink"/>
            <w:rFonts w:ascii="Times New Roman" w:hAnsi="Times New Roman" w:cs="Times New Roman"/>
            <w:sz w:val="24"/>
            <w:szCs w:val="24"/>
          </w:rPr>
          <w:t>https://doi.org/10.4102/sajpsychiatry.v25i0.1232</w:t>
        </w:r>
      </w:hyperlink>
      <w:r>
        <w:rPr>
          <w:rFonts w:ascii="Times New Roman" w:hAnsi="Times New Roman" w:cs="Times New Roman"/>
          <w:sz w:val="24"/>
          <w:szCs w:val="24"/>
        </w:rPr>
        <w:t xml:space="preserve"> </w:t>
      </w:r>
    </w:p>
    <w:p w14:paraId="319DEE26" w14:textId="77777777" w:rsidR="007F23EA" w:rsidRDefault="008A7800"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 xml:space="preserve">Nzwalo, H., &amp; Cliff, J. (2011). </w:t>
      </w:r>
      <w:r w:rsidRPr="004C56D3">
        <w:rPr>
          <w:rFonts w:ascii="Times New Roman" w:hAnsi="Times New Roman" w:cs="Times New Roman"/>
          <w:sz w:val="24"/>
          <w:szCs w:val="24"/>
        </w:rPr>
        <w:t>Konzo: from poverty, cassava, and cyanogen intake to toxico-nutritional neurological disease. </w:t>
      </w:r>
      <w:r w:rsidRPr="004C56D3">
        <w:rPr>
          <w:rFonts w:ascii="Times New Roman" w:hAnsi="Times New Roman" w:cs="Times New Roman"/>
          <w:i/>
          <w:iCs/>
          <w:sz w:val="24"/>
          <w:szCs w:val="24"/>
        </w:rPr>
        <w:t>PLoS neglected tropical diseases</w:t>
      </w:r>
      <w:r w:rsidRPr="004C56D3">
        <w:rPr>
          <w:rFonts w:ascii="Times New Roman" w:hAnsi="Times New Roman" w:cs="Times New Roman"/>
          <w:sz w:val="24"/>
          <w:szCs w:val="24"/>
        </w:rPr>
        <w:t>, </w:t>
      </w:r>
      <w:r w:rsidRPr="004C56D3">
        <w:rPr>
          <w:rFonts w:ascii="Times New Roman" w:hAnsi="Times New Roman" w:cs="Times New Roman"/>
          <w:i/>
          <w:iCs/>
          <w:sz w:val="24"/>
          <w:szCs w:val="24"/>
        </w:rPr>
        <w:t>5</w:t>
      </w:r>
      <w:r w:rsidRPr="004C56D3">
        <w:rPr>
          <w:rFonts w:ascii="Times New Roman" w:hAnsi="Times New Roman" w:cs="Times New Roman"/>
          <w:sz w:val="24"/>
          <w:szCs w:val="24"/>
        </w:rPr>
        <w:t xml:space="preserve">(6), e1051. </w:t>
      </w:r>
      <w:hyperlink r:id="rId29" w:history="1">
        <w:r w:rsidR="007F23EA" w:rsidRPr="0081759B">
          <w:rPr>
            <w:rStyle w:val="Hyperlink"/>
            <w:rFonts w:ascii="Times New Roman" w:hAnsi="Times New Roman" w:cs="Times New Roman"/>
            <w:sz w:val="24"/>
            <w:szCs w:val="24"/>
          </w:rPr>
          <w:t>https://doi.org/10.1371/journal.pntd.0001051</w:t>
        </w:r>
      </w:hyperlink>
    </w:p>
    <w:p w14:paraId="12C5EB78" w14:textId="77777777" w:rsidR="007F23EA" w:rsidRDefault="008A7800" w:rsidP="007F23EA">
      <w:pPr>
        <w:spacing w:line="360" w:lineRule="auto"/>
        <w:ind w:left="851" w:hanging="851"/>
        <w:jc w:val="both"/>
        <w:rPr>
          <w:rFonts w:ascii="Times New Roman" w:hAnsi="Times New Roman" w:cs="Times New Roman"/>
          <w:sz w:val="24"/>
          <w:szCs w:val="24"/>
        </w:rPr>
      </w:pPr>
      <w:r w:rsidRPr="00681E29">
        <w:rPr>
          <w:rFonts w:ascii="Times New Roman" w:hAnsi="Times New Roman" w:cs="Times New Roman"/>
          <w:sz w:val="24"/>
          <w:szCs w:val="24"/>
        </w:rPr>
        <w:t>Okakpu, E</w:t>
      </w:r>
      <w:r w:rsidRPr="00681E29">
        <w:rPr>
          <w:rFonts w:ascii="Times New Roman" w:hAnsi="Times New Roman" w:cs="Times New Roman"/>
          <w:sz w:val="24"/>
          <w:szCs w:val="24"/>
        </w:rPr>
        <w:t xml:space="preserve">. E., David, L. K., Okoseimiema, S. C., &amp; Uahomo, P. O. (2024, June). Nutritional approach to ameliorate demyelinating changes expressed in spinal Olig2 immunoreactivity in a Konzo disease rat model. </w:t>
      </w:r>
      <w:r w:rsidRPr="00681E29">
        <w:rPr>
          <w:rFonts w:ascii="Times New Roman" w:hAnsi="Times New Roman" w:cs="Times New Roman"/>
          <w:i/>
          <w:iCs/>
          <w:sz w:val="24"/>
          <w:szCs w:val="24"/>
        </w:rPr>
        <w:t>SAR Journal of Psychiatry and Neuroscience, 5</w:t>
      </w:r>
      <w:r w:rsidRPr="00681E29">
        <w:rPr>
          <w:rFonts w:ascii="Times New Roman" w:hAnsi="Times New Roman" w:cs="Times New Roman"/>
          <w:sz w:val="24"/>
          <w:szCs w:val="24"/>
        </w:rPr>
        <w:t>(2), 23–31.</w:t>
      </w:r>
      <w:r w:rsidRPr="00681E29">
        <w:rPr>
          <w:rFonts w:ascii="Times New Roman" w:hAnsi="Times New Roman" w:cs="Times New Roman"/>
          <w:sz w:val="24"/>
          <w:szCs w:val="24"/>
        </w:rPr>
        <w:t xml:space="preserve"> </w:t>
      </w:r>
      <w:hyperlink r:id="rId30" w:history="1">
        <w:r w:rsidR="007F23EA" w:rsidRPr="0081759B">
          <w:rPr>
            <w:rStyle w:val="Hyperlink"/>
            <w:rFonts w:ascii="Times New Roman" w:hAnsi="Times New Roman" w:cs="Times New Roman"/>
            <w:sz w:val="24"/>
            <w:szCs w:val="24"/>
          </w:rPr>
          <w:t>https://doi.org/10.36346/sarjpn.2024.v05i02.001</w:t>
        </w:r>
      </w:hyperlink>
    </w:p>
    <w:p w14:paraId="4DE70EE5" w14:textId="77777777" w:rsidR="007F23EA" w:rsidRDefault="008A7800" w:rsidP="007F23EA">
      <w:pPr>
        <w:spacing w:line="360" w:lineRule="auto"/>
        <w:ind w:left="851" w:hanging="851"/>
        <w:jc w:val="both"/>
        <w:rPr>
          <w:rFonts w:ascii="Times New Roman" w:hAnsi="Times New Roman" w:cs="Times New Roman"/>
          <w:sz w:val="24"/>
          <w:szCs w:val="24"/>
        </w:rPr>
      </w:pPr>
      <w:r w:rsidRPr="00F30988">
        <w:rPr>
          <w:rFonts w:ascii="Times New Roman" w:hAnsi="Times New Roman" w:cs="Times New Roman"/>
          <w:sz w:val="24"/>
          <w:szCs w:val="24"/>
        </w:rPr>
        <w:t xml:space="preserve">Oluwole, O. S. A. (2015). Climate regimes, El Niño–Southern Oscillation and konzo epidemics. </w:t>
      </w:r>
      <w:r w:rsidRPr="00F30988">
        <w:rPr>
          <w:rFonts w:ascii="Times New Roman" w:hAnsi="Times New Roman" w:cs="Times New Roman"/>
          <w:i/>
          <w:iCs/>
          <w:sz w:val="24"/>
          <w:szCs w:val="24"/>
        </w:rPr>
        <w:t>Frontiers in Environmental Science, 3</w:t>
      </w:r>
      <w:r w:rsidRPr="00F30988">
        <w:rPr>
          <w:rFonts w:ascii="Times New Roman" w:hAnsi="Times New Roman" w:cs="Times New Roman"/>
          <w:sz w:val="24"/>
          <w:szCs w:val="24"/>
        </w:rPr>
        <w:t xml:space="preserve">, 40. </w:t>
      </w:r>
      <w:hyperlink r:id="rId31" w:history="1">
        <w:r w:rsidR="007F23EA" w:rsidRPr="0081759B">
          <w:rPr>
            <w:rStyle w:val="Hyperlink"/>
            <w:rFonts w:ascii="Times New Roman" w:hAnsi="Times New Roman" w:cs="Times New Roman"/>
            <w:sz w:val="24"/>
            <w:szCs w:val="24"/>
          </w:rPr>
          <w:t>https://doi.org/10.3389/fenvs.2015.00040</w:t>
        </w:r>
      </w:hyperlink>
    </w:p>
    <w:p w14:paraId="343338CA" w14:textId="77777777" w:rsidR="007F23EA" w:rsidRDefault="008A7800" w:rsidP="007F23EA">
      <w:pPr>
        <w:spacing w:line="360" w:lineRule="auto"/>
        <w:ind w:left="851" w:hanging="851"/>
        <w:jc w:val="both"/>
        <w:rPr>
          <w:rFonts w:ascii="Times New Roman" w:hAnsi="Times New Roman" w:cs="Times New Roman"/>
          <w:sz w:val="24"/>
          <w:szCs w:val="24"/>
        </w:rPr>
      </w:pPr>
      <w:r w:rsidRPr="00B766B1">
        <w:rPr>
          <w:rFonts w:ascii="Times New Roman" w:hAnsi="Times New Roman" w:cs="Times New Roman"/>
          <w:sz w:val="24"/>
          <w:szCs w:val="24"/>
        </w:rPr>
        <w:t>Procyk, E., &amp; Goldman-Rakic, P. S. (2006). Modulation of dorsolateral prefrontal delay activity during self-organized behavior. </w:t>
      </w:r>
      <w:r w:rsidRPr="00B766B1">
        <w:rPr>
          <w:rFonts w:ascii="Times New Roman" w:hAnsi="Times New Roman" w:cs="Times New Roman"/>
          <w:i/>
          <w:iCs/>
          <w:sz w:val="24"/>
          <w:szCs w:val="24"/>
        </w:rPr>
        <w:t xml:space="preserve">The Journal of </w:t>
      </w:r>
      <w:proofErr w:type="gramStart"/>
      <w:r w:rsidRPr="00B766B1">
        <w:rPr>
          <w:rFonts w:ascii="Times New Roman" w:hAnsi="Times New Roman" w:cs="Times New Roman"/>
          <w:i/>
          <w:iCs/>
          <w:sz w:val="24"/>
          <w:szCs w:val="24"/>
        </w:rPr>
        <w:t>neuroscience :</w:t>
      </w:r>
      <w:proofErr w:type="gramEnd"/>
      <w:r w:rsidRPr="00B766B1">
        <w:rPr>
          <w:rFonts w:ascii="Times New Roman" w:hAnsi="Times New Roman" w:cs="Times New Roman"/>
          <w:i/>
          <w:iCs/>
          <w:sz w:val="24"/>
          <w:szCs w:val="24"/>
        </w:rPr>
        <w:t xml:space="preserve"> th</w:t>
      </w:r>
      <w:r w:rsidRPr="00B766B1">
        <w:rPr>
          <w:rFonts w:ascii="Times New Roman" w:hAnsi="Times New Roman" w:cs="Times New Roman"/>
          <w:i/>
          <w:iCs/>
          <w:sz w:val="24"/>
          <w:szCs w:val="24"/>
        </w:rPr>
        <w:t>e official journal of the Society for Neuroscience</w:t>
      </w:r>
      <w:r w:rsidRPr="00B766B1">
        <w:rPr>
          <w:rFonts w:ascii="Times New Roman" w:hAnsi="Times New Roman" w:cs="Times New Roman"/>
          <w:sz w:val="24"/>
          <w:szCs w:val="24"/>
        </w:rPr>
        <w:t>, </w:t>
      </w:r>
      <w:r w:rsidRPr="00B766B1">
        <w:rPr>
          <w:rFonts w:ascii="Times New Roman" w:hAnsi="Times New Roman" w:cs="Times New Roman"/>
          <w:i/>
          <w:iCs/>
          <w:sz w:val="24"/>
          <w:szCs w:val="24"/>
        </w:rPr>
        <w:t>26</w:t>
      </w:r>
      <w:r w:rsidRPr="00B766B1">
        <w:rPr>
          <w:rFonts w:ascii="Times New Roman" w:hAnsi="Times New Roman" w:cs="Times New Roman"/>
          <w:sz w:val="24"/>
          <w:szCs w:val="24"/>
        </w:rPr>
        <w:t xml:space="preserve">(44), 11313–11323. </w:t>
      </w:r>
      <w:hyperlink r:id="rId32" w:history="1">
        <w:r w:rsidR="007F23EA" w:rsidRPr="0081759B">
          <w:rPr>
            <w:rStyle w:val="Hyperlink"/>
            <w:rFonts w:ascii="Times New Roman" w:hAnsi="Times New Roman" w:cs="Times New Roman"/>
            <w:sz w:val="24"/>
            <w:szCs w:val="24"/>
          </w:rPr>
          <w:t>https://doi.org/10.1523/JNEUROSCI.2157-06.2006</w:t>
        </w:r>
      </w:hyperlink>
    </w:p>
    <w:p w14:paraId="2C166FCE" w14:textId="77777777" w:rsidR="007F23EA" w:rsidRDefault="008A7800" w:rsidP="007F23EA">
      <w:pPr>
        <w:spacing w:line="360" w:lineRule="auto"/>
        <w:ind w:left="851" w:hanging="851"/>
        <w:jc w:val="both"/>
        <w:rPr>
          <w:rFonts w:ascii="Times New Roman" w:hAnsi="Times New Roman" w:cs="Times New Roman"/>
          <w:sz w:val="24"/>
          <w:szCs w:val="24"/>
        </w:rPr>
      </w:pPr>
      <w:r w:rsidRPr="00C35042">
        <w:rPr>
          <w:rFonts w:ascii="Times New Roman" w:hAnsi="Times New Roman" w:cs="Times New Roman"/>
          <w:sz w:val="24"/>
          <w:szCs w:val="24"/>
        </w:rPr>
        <w:t>Rodrigues, A. R., Souza, C. R., Braga, A. M., Rodrigues, P. S., Silveira,</w:t>
      </w:r>
      <w:r w:rsidRPr="00C35042">
        <w:rPr>
          <w:rFonts w:ascii="Times New Roman" w:hAnsi="Times New Roman" w:cs="Times New Roman"/>
          <w:sz w:val="24"/>
          <w:szCs w:val="24"/>
        </w:rPr>
        <w:t xml:space="preserve"> A. T., Damin, E. T., Côrtes, M. I., Castro, A. J., Mello, G. A., Vieira, J. L., Pinheiro, M. C., Ventura, D. F., &amp; Silveira, L. C. (2007). Mercury toxicity in the Amazon: contrast sensitivity and color discrimination of subjects exposed to mercury. </w:t>
      </w:r>
      <w:r w:rsidRPr="00C35042">
        <w:rPr>
          <w:rFonts w:ascii="Times New Roman" w:hAnsi="Times New Roman" w:cs="Times New Roman"/>
          <w:i/>
          <w:iCs/>
          <w:sz w:val="24"/>
          <w:szCs w:val="24"/>
        </w:rPr>
        <w:t>Brazil</w:t>
      </w:r>
      <w:r w:rsidRPr="00C35042">
        <w:rPr>
          <w:rFonts w:ascii="Times New Roman" w:hAnsi="Times New Roman" w:cs="Times New Roman"/>
          <w:i/>
          <w:iCs/>
          <w:sz w:val="24"/>
          <w:szCs w:val="24"/>
        </w:rPr>
        <w:t>ian journal of medical and biological research = Revista brasileira de pesquisas medicas e biologicas</w:t>
      </w:r>
      <w:r w:rsidRPr="00C35042">
        <w:rPr>
          <w:rFonts w:ascii="Times New Roman" w:hAnsi="Times New Roman" w:cs="Times New Roman"/>
          <w:sz w:val="24"/>
          <w:szCs w:val="24"/>
        </w:rPr>
        <w:t>, </w:t>
      </w:r>
      <w:r w:rsidRPr="00C35042">
        <w:rPr>
          <w:rFonts w:ascii="Times New Roman" w:hAnsi="Times New Roman" w:cs="Times New Roman"/>
          <w:i/>
          <w:iCs/>
          <w:sz w:val="24"/>
          <w:szCs w:val="24"/>
        </w:rPr>
        <w:t>40</w:t>
      </w:r>
      <w:r w:rsidRPr="00C35042">
        <w:rPr>
          <w:rFonts w:ascii="Times New Roman" w:hAnsi="Times New Roman" w:cs="Times New Roman"/>
          <w:sz w:val="24"/>
          <w:szCs w:val="24"/>
        </w:rPr>
        <w:t xml:space="preserve">(3), 415–424. </w:t>
      </w:r>
      <w:hyperlink r:id="rId33" w:history="1">
        <w:r w:rsidR="007F23EA" w:rsidRPr="0081759B">
          <w:rPr>
            <w:rStyle w:val="Hyperlink"/>
            <w:rFonts w:ascii="Times New Roman" w:hAnsi="Times New Roman" w:cs="Times New Roman"/>
            <w:sz w:val="24"/>
            <w:szCs w:val="24"/>
          </w:rPr>
          <w:t>https://doi.org/10.1590/s0100-879x2007000300018</w:t>
        </w:r>
      </w:hyperlink>
    </w:p>
    <w:p w14:paraId="73CC042E"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Schaffer, D. H., Poole, N</w:t>
      </w:r>
      <w:r w:rsidRPr="00825BB8">
        <w:rPr>
          <w:rFonts w:ascii="Times New Roman" w:hAnsi="Times New Roman" w:cs="Times New Roman"/>
          <w:sz w:val="24"/>
          <w:szCs w:val="24"/>
        </w:rPr>
        <w:t xml:space="preserve">. D., &amp; Traylor, J. (2025). Cyanide toxicity. In </w:t>
      </w:r>
      <w:r w:rsidRPr="00825BB8">
        <w:rPr>
          <w:rFonts w:ascii="Times New Roman" w:hAnsi="Times New Roman" w:cs="Times New Roman"/>
          <w:i/>
          <w:iCs/>
          <w:sz w:val="24"/>
          <w:szCs w:val="24"/>
        </w:rPr>
        <w:t>StatPearls</w:t>
      </w:r>
      <w:r w:rsidRPr="00825BB8">
        <w:rPr>
          <w:rFonts w:ascii="Times New Roman" w:hAnsi="Times New Roman" w:cs="Times New Roman"/>
          <w:sz w:val="24"/>
          <w:szCs w:val="24"/>
        </w:rPr>
        <w:t xml:space="preserve">. StatPearls Publishing. </w:t>
      </w:r>
      <w:hyperlink r:id="rId34" w:tgtFrame="_new" w:history="1">
        <w:r w:rsidR="007F23EA" w:rsidRPr="00825BB8">
          <w:rPr>
            <w:rStyle w:val="Hyperlink"/>
            <w:rFonts w:ascii="Times New Roman" w:hAnsi="Times New Roman" w:cs="Times New Roman"/>
            <w:sz w:val="24"/>
            <w:szCs w:val="24"/>
          </w:rPr>
          <w:t>https://www.ncbi.nlm.nih.gov/books/NBK507796/</w:t>
        </w:r>
      </w:hyperlink>
    </w:p>
    <w:p w14:paraId="74C94A73"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lastRenderedPageBreak/>
        <w:t xml:space="preserve">Soleimani, M., Ghazisaeedi, M., &amp; Heydari, S. (2024). </w:t>
      </w:r>
      <w:r w:rsidRPr="00825BB8">
        <w:rPr>
          <w:rFonts w:ascii="Times New Roman" w:hAnsi="Times New Roman" w:cs="Times New Roman"/>
          <w:sz w:val="24"/>
          <w:szCs w:val="24"/>
        </w:rPr>
        <w:t xml:space="preserve">The efficacy of virtual reality for upper limb rehabilitation in stroke patients: A systematic review and meta-analysis. </w:t>
      </w:r>
      <w:r w:rsidRPr="00825BB8">
        <w:rPr>
          <w:rFonts w:ascii="Times New Roman" w:hAnsi="Times New Roman" w:cs="Times New Roman"/>
          <w:i/>
          <w:iCs/>
          <w:sz w:val="24"/>
          <w:szCs w:val="24"/>
        </w:rPr>
        <w:t>BMC Medical Informatics and Decision Making, 24</w:t>
      </w:r>
      <w:r w:rsidRPr="00825BB8">
        <w:rPr>
          <w:rFonts w:ascii="Times New Roman" w:hAnsi="Times New Roman" w:cs="Times New Roman"/>
          <w:sz w:val="24"/>
          <w:szCs w:val="24"/>
        </w:rPr>
        <w:t xml:space="preserve">, 135. </w:t>
      </w:r>
      <w:hyperlink r:id="rId35" w:tgtFrame="_new" w:history="1">
        <w:r w:rsidR="007F23EA" w:rsidRPr="00825BB8">
          <w:rPr>
            <w:rStyle w:val="Hyperlink"/>
            <w:rFonts w:ascii="Times New Roman" w:hAnsi="Times New Roman" w:cs="Times New Roman"/>
            <w:sz w:val="24"/>
            <w:szCs w:val="24"/>
          </w:rPr>
          <w:t>https://doi.org/10.1186/s12911-024-02534-y</w:t>
        </w:r>
      </w:hyperlink>
    </w:p>
    <w:p w14:paraId="693A13CA" w14:textId="72D7E0E4" w:rsidR="007F23EA" w:rsidRDefault="008A7800"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t>Sperens, M., Munkholm, M., &amp; Fisher, A. G. (2012). Gender differences in quality of schoolwork task performance among typically developing students and students at risk of or with mild disabilities. </w:t>
      </w:r>
      <w:r w:rsidRPr="00795820">
        <w:rPr>
          <w:rFonts w:ascii="Times New Roman" w:hAnsi="Times New Roman" w:cs="Times New Roman"/>
          <w:i/>
          <w:iCs/>
          <w:sz w:val="24"/>
          <w:szCs w:val="24"/>
        </w:rPr>
        <w:t>Scandinavian journal of oc</w:t>
      </w:r>
      <w:r w:rsidRPr="00795820">
        <w:rPr>
          <w:rFonts w:ascii="Times New Roman" w:hAnsi="Times New Roman" w:cs="Times New Roman"/>
          <w:i/>
          <w:iCs/>
          <w:sz w:val="24"/>
          <w:szCs w:val="24"/>
        </w:rPr>
        <w:t>cupational therapy</w:t>
      </w:r>
      <w:r w:rsidRPr="00795820">
        <w:rPr>
          <w:rFonts w:ascii="Times New Roman" w:hAnsi="Times New Roman" w:cs="Times New Roman"/>
          <w:sz w:val="24"/>
          <w:szCs w:val="24"/>
        </w:rPr>
        <w:t>, </w:t>
      </w:r>
      <w:r w:rsidRPr="00795820">
        <w:rPr>
          <w:rFonts w:ascii="Times New Roman" w:hAnsi="Times New Roman" w:cs="Times New Roman"/>
          <w:i/>
          <w:iCs/>
          <w:sz w:val="24"/>
          <w:szCs w:val="24"/>
        </w:rPr>
        <w:t>19</w:t>
      </w:r>
      <w:r w:rsidRPr="00795820">
        <w:rPr>
          <w:rFonts w:ascii="Times New Roman" w:hAnsi="Times New Roman" w:cs="Times New Roman"/>
          <w:sz w:val="24"/>
          <w:szCs w:val="24"/>
        </w:rPr>
        <w:t xml:space="preserve">(1), 9–16. </w:t>
      </w:r>
      <w:hyperlink r:id="rId36" w:history="1">
        <w:r w:rsidR="007F23EA" w:rsidRPr="0081759B">
          <w:rPr>
            <w:rStyle w:val="Hyperlink"/>
            <w:rFonts w:ascii="Times New Roman" w:hAnsi="Times New Roman" w:cs="Times New Roman"/>
            <w:sz w:val="24"/>
            <w:szCs w:val="24"/>
          </w:rPr>
          <w:t>https://doi.org/10.3109/11038128.2010.533189</w:t>
        </w:r>
      </w:hyperlink>
      <w:r>
        <w:rPr>
          <w:rFonts w:ascii="Times New Roman" w:hAnsi="Times New Roman" w:cs="Times New Roman"/>
          <w:sz w:val="24"/>
          <w:szCs w:val="24"/>
        </w:rPr>
        <w:t xml:space="preserve"> </w:t>
      </w:r>
    </w:p>
    <w:p w14:paraId="74160984" w14:textId="77777777" w:rsidR="007F23EA" w:rsidRDefault="008A7800" w:rsidP="007F23EA">
      <w:pPr>
        <w:spacing w:line="360" w:lineRule="auto"/>
        <w:ind w:left="851" w:hanging="851"/>
        <w:jc w:val="both"/>
        <w:rPr>
          <w:rFonts w:ascii="Times New Roman" w:hAnsi="Times New Roman" w:cs="Times New Roman"/>
          <w:sz w:val="24"/>
          <w:szCs w:val="24"/>
        </w:rPr>
      </w:pPr>
      <w:r w:rsidRPr="002D2B90">
        <w:rPr>
          <w:rFonts w:ascii="Times New Roman" w:hAnsi="Times New Roman" w:cs="Times New Roman"/>
          <w:sz w:val="24"/>
          <w:szCs w:val="24"/>
        </w:rPr>
        <w:t xml:space="preserve">Tofani, M., Castelli, E., Sabbadini, M., Berardi, A., Murgia, M., Servadio, A., &amp; Galeoto, G. (2020). Examining </w:t>
      </w:r>
      <w:r w:rsidRPr="002D2B90">
        <w:rPr>
          <w:rFonts w:ascii="Times New Roman" w:hAnsi="Times New Roman" w:cs="Times New Roman"/>
          <w:sz w:val="24"/>
          <w:szCs w:val="24"/>
        </w:rPr>
        <w:t>Reliability and Validity of the Jebsen-Taylor Hand Function Test Among Children with Cerebral Palsy. </w:t>
      </w:r>
      <w:r w:rsidRPr="002D2B90">
        <w:rPr>
          <w:rFonts w:ascii="Times New Roman" w:hAnsi="Times New Roman" w:cs="Times New Roman"/>
          <w:i/>
          <w:iCs/>
          <w:sz w:val="24"/>
          <w:szCs w:val="24"/>
        </w:rPr>
        <w:t>Perceptual and motor skills</w:t>
      </w:r>
      <w:r w:rsidRPr="002D2B90">
        <w:rPr>
          <w:rFonts w:ascii="Times New Roman" w:hAnsi="Times New Roman" w:cs="Times New Roman"/>
          <w:sz w:val="24"/>
          <w:szCs w:val="24"/>
        </w:rPr>
        <w:t>, </w:t>
      </w:r>
      <w:r w:rsidRPr="002D2B90">
        <w:rPr>
          <w:rFonts w:ascii="Times New Roman" w:hAnsi="Times New Roman" w:cs="Times New Roman"/>
          <w:i/>
          <w:iCs/>
          <w:sz w:val="24"/>
          <w:szCs w:val="24"/>
        </w:rPr>
        <w:t>127</w:t>
      </w:r>
      <w:r w:rsidRPr="002D2B90">
        <w:rPr>
          <w:rFonts w:ascii="Times New Roman" w:hAnsi="Times New Roman" w:cs="Times New Roman"/>
          <w:sz w:val="24"/>
          <w:szCs w:val="24"/>
        </w:rPr>
        <w:t xml:space="preserve">(4), 684–697. </w:t>
      </w:r>
      <w:hyperlink r:id="rId37" w:history="1">
        <w:r w:rsidR="007F23EA" w:rsidRPr="0081759B">
          <w:rPr>
            <w:rStyle w:val="Hyperlink"/>
            <w:rFonts w:ascii="Times New Roman" w:hAnsi="Times New Roman" w:cs="Times New Roman"/>
            <w:sz w:val="24"/>
            <w:szCs w:val="24"/>
          </w:rPr>
          <w:t>https://doi.org/10.1177/0031512520920087</w:t>
        </w:r>
      </w:hyperlink>
    </w:p>
    <w:p w14:paraId="0C7804B1" w14:textId="77777777" w:rsidR="007F23EA" w:rsidRDefault="008A7800"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Tshala-Katu</w:t>
      </w:r>
      <w:r w:rsidRPr="004C56D3">
        <w:rPr>
          <w:rFonts w:ascii="Times New Roman" w:hAnsi="Times New Roman" w:cs="Times New Roman"/>
          <w:sz w:val="24"/>
          <w:szCs w:val="24"/>
        </w:rPr>
        <w:t>mbay, D., Mumba, N., Okitundu, L., Kazadi, K., Banea, M., Tylleskär, T., Boivin, M., &amp; Muyembe-Tamfum, J. J. (2013). Cassava food toxins, konzo disease, and neurodegeneration in sub-Sahara Africans. </w:t>
      </w:r>
      <w:r w:rsidRPr="004C56D3">
        <w:rPr>
          <w:rFonts w:ascii="Times New Roman" w:hAnsi="Times New Roman" w:cs="Times New Roman"/>
          <w:i/>
          <w:iCs/>
          <w:sz w:val="24"/>
          <w:szCs w:val="24"/>
        </w:rPr>
        <w:t>Neurology</w:t>
      </w:r>
      <w:r w:rsidRPr="004C56D3">
        <w:rPr>
          <w:rFonts w:ascii="Times New Roman" w:hAnsi="Times New Roman" w:cs="Times New Roman"/>
          <w:sz w:val="24"/>
          <w:szCs w:val="24"/>
        </w:rPr>
        <w:t>, </w:t>
      </w:r>
      <w:r w:rsidRPr="004C56D3">
        <w:rPr>
          <w:rFonts w:ascii="Times New Roman" w:hAnsi="Times New Roman" w:cs="Times New Roman"/>
          <w:i/>
          <w:iCs/>
          <w:sz w:val="24"/>
          <w:szCs w:val="24"/>
        </w:rPr>
        <w:t>80</w:t>
      </w:r>
      <w:r w:rsidRPr="004C56D3">
        <w:rPr>
          <w:rFonts w:ascii="Times New Roman" w:hAnsi="Times New Roman" w:cs="Times New Roman"/>
          <w:sz w:val="24"/>
          <w:szCs w:val="24"/>
        </w:rPr>
        <w:t xml:space="preserve">(10), 949–951. </w:t>
      </w:r>
      <w:hyperlink r:id="rId38" w:history="1">
        <w:r w:rsidR="007F23EA" w:rsidRPr="0081759B">
          <w:rPr>
            <w:rStyle w:val="Hyperlink"/>
            <w:rFonts w:ascii="Times New Roman" w:hAnsi="Times New Roman" w:cs="Times New Roman"/>
            <w:sz w:val="24"/>
            <w:szCs w:val="24"/>
          </w:rPr>
          <w:t>https://doi.org/10.1212/WNL.0b013e3182840b81</w:t>
        </w:r>
      </w:hyperlink>
    </w:p>
    <w:p w14:paraId="7358B7F7" w14:textId="77777777" w:rsidR="007F23EA" w:rsidRDefault="008A7800"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t>Wilson, B. C., Iacoviello, J. M., Wilson, J. J., &amp; Risucci, D. (1982). Purdue Pegboard performance of normal preschool children. </w:t>
      </w:r>
      <w:r w:rsidRPr="00795820">
        <w:rPr>
          <w:rFonts w:ascii="Times New Roman" w:hAnsi="Times New Roman" w:cs="Times New Roman"/>
          <w:i/>
          <w:iCs/>
          <w:sz w:val="24"/>
          <w:szCs w:val="24"/>
        </w:rPr>
        <w:t>Journal of clinical neuropsychology</w:t>
      </w:r>
      <w:r w:rsidRPr="00795820">
        <w:rPr>
          <w:rFonts w:ascii="Times New Roman" w:hAnsi="Times New Roman" w:cs="Times New Roman"/>
          <w:sz w:val="24"/>
          <w:szCs w:val="24"/>
        </w:rPr>
        <w:t>, </w:t>
      </w:r>
      <w:r w:rsidRPr="00795820">
        <w:rPr>
          <w:rFonts w:ascii="Times New Roman" w:hAnsi="Times New Roman" w:cs="Times New Roman"/>
          <w:i/>
          <w:iCs/>
          <w:sz w:val="24"/>
          <w:szCs w:val="24"/>
        </w:rPr>
        <w:t>4</w:t>
      </w:r>
      <w:r w:rsidRPr="00795820">
        <w:rPr>
          <w:rFonts w:ascii="Times New Roman" w:hAnsi="Times New Roman" w:cs="Times New Roman"/>
          <w:sz w:val="24"/>
          <w:szCs w:val="24"/>
        </w:rPr>
        <w:t xml:space="preserve">(1), 19–26. </w:t>
      </w:r>
      <w:hyperlink r:id="rId39" w:history="1">
        <w:r w:rsidR="007F23EA" w:rsidRPr="0081759B">
          <w:rPr>
            <w:rStyle w:val="Hyperlink"/>
            <w:rFonts w:ascii="Times New Roman" w:hAnsi="Times New Roman" w:cs="Times New Roman"/>
            <w:sz w:val="24"/>
            <w:szCs w:val="24"/>
          </w:rPr>
          <w:t>https://doi.org/10.1080/01688638208401113</w:t>
        </w:r>
      </w:hyperlink>
    </w:p>
    <w:p w14:paraId="2D966B61" w14:textId="77777777" w:rsidR="007F23EA" w:rsidRDefault="008A7800" w:rsidP="007F23EA">
      <w:pPr>
        <w:spacing w:line="360" w:lineRule="auto"/>
        <w:ind w:left="851" w:hanging="851"/>
        <w:jc w:val="both"/>
        <w:rPr>
          <w:rFonts w:ascii="Times New Roman" w:hAnsi="Times New Roman" w:cs="Times New Roman"/>
          <w:sz w:val="24"/>
          <w:szCs w:val="24"/>
        </w:rPr>
      </w:pPr>
      <w:r w:rsidRPr="00AA6A76">
        <w:rPr>
          <w:rFonts w:ascii="Times New Roman" w:hAnsi="Times New Roman" w:cs="Times New Roman"/>
          <w:sz w:val="24"/>
          <w:szCs w:val="24"/>
        </w:rPr>
        <w:t>Zachi, E. C., D F, V., Faria, M. A., &amp; Taub, A. (2007). Neuropsychological dysfunction related to earlier occupational exposure to mercury vapor. </w:t>
      </w:r>
      <w:r w:rsidRPr="00AA6A76">
        <w:rPr>
          <w:rFonts w:ascii="Times New Roman" w:hAnsi="Times New Roman" w:cs="Times New Roman"/>
          <w:i/>
          <w:iCs/>
          <w:sz w:val="24"/>
          <w:szCs w:val="24"/>
        </w:rPr>
        <w:t xml:space="preserve">Brazilian </w:t>
      </w:r>
      <w:r w:rsidRPr="00AA6A76">
        <w:rPr>
          <w:rFonts w:ascii="Times New Roman" w:hAnsi="Times New Roman" w:cs="Times New Roman"/>
          <w:i/>
          <w:iCs/>
          <w:sz w:val="24"/>
          <w:szCs w:val="24"/>
        </w:rPr>
        <w:t>journal of medical and biological research = Revista brasileira de pesquisas medicas e biologicas</w:t>
      </w:r>
      <w:r w:rsidRPr="00AA6A76">
        <w:rPr>
          <w:rFonts w:ascii="Times New Roman" w:hAnsi="Times New Roman" w:cs="Times New Roman"/>
          <w:sz w:val="24"/>
          <w:szCs w:val="24"/>
        </w:rPr>
        <w:t>, </w:t>
      </w:r>
      <w:r w:rsidRPr="00AA6A76">
        <w:rPr>
          <w:rFonts w:ascii="Times New Roman" w:hAnsi="Times New Roman" w:cs="Times New Roman"/>
          <w:i/>
          <w:iCs/>
          <w:sz w:val="24"/>
          <w:szCs w:val="24"/>
        </w:rPr>
        <w:t>40</w:t>
      </w:r>
      <w:r w:rsidRPr="00AA6A76">
        <w:rPr>
          <w:rFonts w:ascii="Times New Roman" w:hAnsi="Times New Roman" w:cs="Times New Roman"/>
          <w:sz w:val="24"/>
          <w:szCs w:val="24"/>
        </w:rPr>
        <w:t xml:space="preserve">(3), 425–433. </w:t>
      </w:r>
      <w:hyperlink r:id="rId40" w:history="1">
        <w:r w:rsidR="007F23EA" w:rsidRPr="0081759B">
          <w:rPr>
            <w:rStyle w:val="Hyperlink"/>
            <w:rFonts w:ascii="Times New Roman" w:hAnsi="Times New Roman" w:cs="Times New Roman"/>
            <w:sz w:val="24"/>
            <w:szCs w:val="24"/>
          </w:rPr>
          <w:t>https://doi.org/10.1590/s0100-879x2007000300019</w:t>
        </w:r>
      </w:hyperlink>
    </w:p>
    <w:p w14:paraId="7EA22A65" w14:textId="77777777" w:rsidR="007F23EA" w:rsidRDefault="008A7800"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Zhong, Y., Xu, T., Wu, X., Li</w:t>
      </w:r>
      <w:r w:rsidRPr="00825BB8">
        <w:rPr>
          <w:rFonts w:ascii="Times New Roman" w:hAnsi="Times New Roman" w:cs="Times New Roman"/>
          <w:sz w:val="24"/>
          <w:szCs w:val="24"/>
        </w:rPr>
        <w:t>, K., Zhang, P., Ji, S., Li, S., Zheng, L., &amp; Lu, B. (2021). Dietary exposure and risk assessment of cyanide via cassava consumption in Chinese population. </w:t>
      </w:r>
      <w:r w:rsidRPr="00825BB8">
        <w:rPr>
          <w:rFonts w:ascii="Times New Roman" w:hAnsi="Times New Roman" w:cs="Times New Roman"/>
          <w:i/>
          <w:iCs/>
          <w:sz w:val="24"/>
          <w:szCs w:val="24"/>
        </w:rPr>
        <w:t>Food chemistry</w:t>
      </w:r>
      <w:r w:rsidRPr="00825BB8">
        <w:rPr>
          <w:rFonts w:ascii="Times New Roman" w:hAnsi="Times New Roman" w:cs="Times New Roman"/>
          <w:sz w:val="24"/>
          <w:szCs w:val="24"/>
        </w:rPr>
        <w:t>, </w:t>
      </w:r>
      <w:r w:rsidRPr="00825BB8">
        <w:rPr>
          <w:rFonts w:ascii="Times New Roman" w:hAnsi="Times New Roman" w:cs="Times New Roman"/>
          <w:i/>
          <w:iCs/>
          <w:sz w:val="24"/>
          <w:szCs w:val="24"/>
        </w:rPr>
        <w:t>354</w:t>
      </w:r>
      <w:r w:rsidRPr="00825BB8">
        <w:rPr>
          <w:rFonts w:ascii="Times New Roman" w:hAnsi="Times New Roman" w:cs="Times New Roman"/>
          <w:sz w:val="24"/>
          <w:szCs w:val="24"/>
        </w:rPr>
        <w:t xml:space="preserve">, 129405. </w:t>
      </w:r>
      <w:hyperlink r:id="rId41" w:history="1">
        <w:r w:rsidR="007F23EA" w:rsidRPr="0081759B">
          <w:rPr>
            <w:rStyle w:val="Hyperlink"/>
            <w:rFonts w:ascii="Times New Roman" w:hAnsi="Times New Roman" w:cs="Times New Roman"/>
            <w:sz w:val="24"/>
            <w:szCs w:val="24"/>
          </w:rPr>
          <w:t>https://doi.org/10.1016/j.foodchem.2021.129405</w:t>
        </w:r>
      </w:hyperlink>
    </w:p>
    <w:sectPr w:rsidR="007F23EA">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CA0FD" w14:textId="77777777" w:rsidR="008A7800" w:rsidRDefault="008A7800" w:rsidP="00C2243A">
      <w:pPr>
        <w:spacing w:after="0" w:line="240" w:lineRule="auto"/>
      </w:pPr>
      <w:r>
        <w:separator/>
      </w:r>
    </w:p>
  </w:endnote>
  <w:endnote w:type="continuationSeparator" w:id="0">
    <w:p w14:paraId="554A4438" w14:textId="77777777" w:rsidR="008A7800" w:rsidRDefault="008A7800" w:rsidP="00C2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AA24" w14:textId="77777777" w:rsidR="00C2243A" w:rsidRDefault="00C22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E50A" w14:textId="77777777" w:rsidR="00C2243A" w:rsidRDefault="00C22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CCFE" w14:textId="77777777" w:rsidR="00C2243A" w:rsidRDefault="00C22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A2B08" w14:textId="77777777" w:rsidR="008A7800" w:rsidRDefault="008A7800" w:rsidP="00C2243A">
      <w:pPr>
        <w:spacing w:after="0" w:line="240" w:lineRule="auto"/>
      </w:pPr>
      <w:r>
        <w:separator/>
      </w:r>
    </w:p>
  </w:footnote>
  <w:footnote w:type="continuationSeparator" w:id="0">
    <w:p w14:paraId="69DF0429" w14:textId="77777777" w:rsidR="008A7800" w:rsidRDefault="008A7800" w:rsidP="00C22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ED99" w14:textId="47A94F07" w:rsidR="00C2243A" w:rsidRDefault="00C2243A">
    <w:pPr>
      <w:pStyle w:val="Header"/>
    </w:pPr>
    <w:r>
      <w:rPr>
        <w:noProof/>
      </w:rPr>
      <w:pict w14:anchorId="21FED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03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6222" w14:textId="410E4717" w:rsidR="00C2243A" w:rsidRDefault="00C2243A">
    <w:pPr>
      <w:pStyle w:val="Header"/>
    </w:pPr>
    <w:r>
      <w:rPr>
        <w:noProof/>
      </w:rPr>
      <w:pict w14:anchorId="766FF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03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C6D4" w14:textId="5438F561" w:rsidR="00C2243A" w:rsidRDefault="00C2243A">
    <w:pPr>
      <w:pStyle w:val="Header"/>
    </w:pPr>
    <w:r>
      <w:rPr>
        <w:noProof/>
      </w:rPr>
      <w:pict w14:anchorId="660B2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03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15"/>
    <w:rsid w:val="00035027"/>
    <w:rsid w:val="00062BEC"/>
    <w:rsid w:val="0009510B"/>
    <w:rsid w:val="00106407"/>
    <w:rsid w:val="00196355"/>
    <w:rsid w:val="001C20E6"/>
    <w:rsid w:val="001D546A"/>
    <w:rsid w:val="00234AA3"/>
    <w:rsid w:val="002625EA"/>
    <w:rsid w:val="00270811"/>
    <w:rsid w:val="002A3165"/>
    <w:rsid w:val="002D2B90"/>
    <w:rsid w:val="003E2421"/>
    <w:rsid w:val="00470EAB"/>
    <w:rsid w:val="004723A2"/>
    <w:rsid w:val="004831B1"/>
    <w:rsid w:val="004C56D3"/>
    <w:rsid w:val="004E20F5"/>
    <w:rsid w:val="005115B8"/>
    <w:rsid w:val="005559C4"/>
    <w:rsid w:val="00632E59"/>
    <w:rsid w:val="00681DEF"/>
    <w:rsid w:val="00681E29"/>
    <w:rsid w:val="006844A3"/>
    <w:rsid w:val="00695DDA"/>
    <w:rsid w:val="006F1EC0"/>
    <w:rsid w:val="00725BF6"/>
    <w:rsid w:val="00732AF5"/>
    <w:rsid w:val="00795820"/>
    <w:rsid w:val="007F23EA"/>
    <w:rsid w:val="00807E98"/>
    <w:rsid w:val="00812F43"/>
    <w:rsid w:val="0081759B"/>
    <w:rsid w:val="00825BB8"/>
    <w:rsid w:val="008455DE"/>
    <w:rsid w:val="008A7800"/>
    <w:rsid w:val="009303F8"/>
    <w:rsid w:val="009A41C2"/>
    <w:rsid w:val="009F704F"/>
    <w:rsid w:val="00A10766"/>
    <w:rsid w:val="00A12554"/>
    <w:rsid w:val="00A32013"/>
    <w:rsid w:val="00A552AC"/>
    <w:rsid w:val="00A661FB"/>
    <w:rsid w:val="00AA6A76"/>
    <w:rsid w:val="00AC519D"/>
    <w:rsid w:val="00AF0BC7"/>
    <w:rsid w:val="00B41B8F"/>
    <w:rsid w:val="00B4503D"/>
    <w:rsid w:val="00B766B1"/>
    <w:rsid w:val="00B97C8C"/>
    <w:rsid w:val="00BA6F75"/>
    <w:rsid w:val="00BA723D"/>
    <w:rsid w:val="00BB0477"/>
    <w:rsid w:val="00C2243A"/>
    <w:rsid w:val="00C35042"/>
    <w:rsid w:val="00C45CF2"/>
    <w:rsid w:val="00C77E45"/>
    <w:rsid w:val="00DD2F12"/>
    <w:rsid w:val="00E74C8F"/>
    <w:rsid w:val="00E955D6"/>
    <w:rsid w:val="00EA1CBD"/>
    <w:rsid w:val="00F029A7"/>
    <w:rsid w:val="00F30988"/>
    <w:rsid w:val="00F56160"/>
    <w:rsid w:val="00FC5923"/>
    <w:rsid w:val="00FC6E15"/>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97893"/>
  <w15:chartTrackingRefBased/>
  <w15:docId w15:val="{5A78245B-E343-436D-8EBC-01194FE6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E15"/>
    <w:rPr>
      <w:color w:val="666666"/>
    </w:rPr>
  </w:style>
  <w:style w:type="paragraph" w:styleId="ListParagraph">
    <w:name w:val="List Paragraph"/>
    <w:basedOn w:val="Normal"/>
    <w:uiPriority w:val="34"/>
    <w:qFormat/>
    <w:rsid w:val="00A12554"/>
    <w:pPr>
      <w:ind w:left="720"/>
      <w:contextualSpacing/>
    </w:pPr>
  </w:style>
  <w:style w:type="character" w:styleId="Hyperlink">
    <w:name w:val="Hyperlink"/>
    <w:basedOn w:val="DefaultParagraphFont"/>
    <w:uiPriority w:val="99"/>
    <w:unhideWhenUsed/>
    <w:rsid w:val="00812F43"/>
    <w:rPr>
      <w:color w:val="0563C1" w:themeColor="hyperlink"/>
      <w:u w:val="single"/>
    </w:rPr>
  </w:style>
  <w:style w:type="character" w:styleId="UnresolvedMention">
    <w:name w:val="Unresolved Mention"/>
    <w:basedOn w:val="DefaultParagraphFont"/>
    <w:uiPriority w:val="99"/>
    <w:semiHidden/>
    <w:unhideWhenUsed/>
    <w:rsid w:val="001C20E6"/>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Header">
    <w:name w:val="header"/>
    <w:basedOn w:val="Normal"/>
    <w:link w:val="HeaderChar"/>
    <w:uiPriority w:val="99"/>
    <w:unhideWhenUsed/>
    <w:rsid w:val="00C22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3A"/>
    <w:rPr>
      <w:lang w:val="en-US"/>
    </w:rPr>
  </w:style>
  <w:style w:type="paragraph" w:styleId="Footer">
    <w:name w:val="footer"/>
    <w:basedOn w:val="Normal"/>
    <w:link w:val="FooterChar"/>
    <w:uiPriority w:val="99"/>
    <w:unhideWhenUsed/>
    <w:rsid w:val="00C22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3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2214-109X(17)30267-X" TargetMode="External"/><Relationship Id="rId18" Type="http://schemas.openxmlformats.org/officeDocument/2006/relationships/hyperlink" Target="https://doi.org/10.1187/cbe.14-01-0018" TargetMode="External"/><Relationship Id="rId26" Type="http://schemas.openxmlformats.org/officeDocument/2006/relationships/hyperlink" Target="https://doi.org/10.1016/j.jht.2015.04.002" TargetMode="External"/><Relationship Id="rId39" Type="http://schemas.openxmlformats.org/officeDocument/2006/relationships/hyperlink" Target="https://doi.org/10.1080/01688638208401113" TargetMode="External"/><Relationship Id="rId21" Type="http://schemas.openxmlformats.org/officeDocument/2006/relationships/hyperlink" Target="https://doi.org/10.5334/aogh.2470" TargetMode="External"/><Relationship Id="rId34" Type="http://schemas.openxmlformats.org/officeDocument/2006/relationships/hyperlink" Target="https://www.ncbi.nlm.nih.gov/books/NBK507796/"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1038/s41598-023-42425-2" TargetMode="External"/><Relationship Id="rId2" Type="http://schemas.openxmlformats.org/officeDocument/2006/relationships/settings" Target="settings.xml"/><Relationship Id="rId16" Type="http://schemas.openxmlformats.org/officeDocument/2006/relationships/hyperlink" Target="https://doi.org/10.36348/sjm.2020.v05i11.005" TargetMode="External"/><Relationship Id="rId29" Type="http://schemas.openxmlformats.org/officeDocument/2006/relationships/hyperlink" Target="https://doi.org/10.1371/journal.pntd.0001051" TargetMode="External"/><Relationship Id="rId11" Type="http://schemas.openxmlformats.org/officeDocument/2006/relationships/hyperlink" Target="https://doi.org/10.3390/nu13082628" TargetMode="External"/><Relationship Id="rId24" Type="http://schemas.openxmlformats.org/officeDocument/2006/relationships/hyperlink" Target="https://doi.org/10.1002/14651858.CD008349.pub4" TargetMode="External"/><Relationship Id="rId32" Type="http://schemas.openxmlformats.org/officeDocument/2006/relationships/hyperlink" Target="https://doi.org/10.1523/JNEUROSCI.2157-06.2006" TargetMode="External"/><Relationship Id="rId37" Type="http://schemas.openxmlformats.org/officeDocument/2006/relationships/hyperlink" Target="https://doi.org/10.1177/0031512520920087" TargetMode="External"/><Relationship Id="rId40" Type="http://schemas.openxmlformats.org/officeDocument/2006/relationships/hyperlink" Target="https://doi.org/10.1590/s0100-879x2007000300019"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9734/indj/2022/v17i130190" TargetMode="External"/><Relationship Id="rId23" Type="http://schemas.openxmlformats.org/officeDocument/2006/relationships/hyperlink" Target="https://doi.org/10.1371/journal.pone.0193261" TargetMode="External"/><Relationship Id="rId28" Type="http://schemas.openxmlformats.org/officeDocument/2006/relationships/hyperlink" Target="https://doi.org/10.4102/sajpsychiatry.v25i0.1232" TargetMode="External"/><Relationship Id="rId36" Type="http://schemas.openxmlformats.org/officeDocument/2006/relationships/hyperlink" Target="https://doi.org/10.3109/11038128.2010.533189" TargetMode="External"/><Relationship Id="rId49" Type="http://schemas.openxmlformats.org/officeDocument/2006/relationships/theme" Target="theme/theme1.xml"/><Relationship Id="rId10" Type="http://schemas.openxmlformats.org/officeDocument/2006/relationships/hyperlink" Target="https://doi.org/10.1016/j.clinph.2017.07.408" TargetMode="External"/><Relationship Id="rId19" Type="http://schemas.openxmlformats.org/officeDocument/2006/relationships/hyperlink" Target="https://doi.org/10.3390/healthcare12131351" TargetMode="External"/><Relationship Id="rId31" Type="http://schemas.openxmlformats.org/officeDocument/2006/relationships/hyperlink" Target="https://doi.org/10.3389/fenvs.2015.00040"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177/201010581102000213" TargetMode="External"/><Relationship Id="rId14" Type="http://schemas.openxmlformats.org/officeDocument/2006/relationships/hyperlink" Target="https://doi.org/10.3389/fnhum.2022.773730" TargetMode="External"/><Relationship Id="rId22" Type="http://schemas.openxmlformats.org/officeDocument/2006/relationships/hyperlink" Target="https://doi.org/10.1016/j.brainresbull.2018.07.001" TargetMode="External"/><Relationship Id="rId27" Type="http://schemas.openxmlformats.org/officeDocument/2006/relationships/hyperlink" Target="https://doi.org/10.1136/bcr-2013-203025" TargetMode="External"/><Relationship Id="rId30" Type="http://schemas.openxmlformats.org/officeDocument/2006/relationships/hyperlink" Target="https://doi.org/10.36346/sarjpn.2024.v05i02.001" TargetMode="External"/><Relationship Id="rId35" Type="http://schemas.openxmlformats.org/officeDocument/2006/relationships/hyperlink" Target="https://doi.org/10.1186/s12911-024-02534-y"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cdc.gov/mmwr/volumes/68/wr/mm6813a3.htm" TargetMode="External"/><Relationship Id="rId3" Type="http://schemas.openxmlformats.org/officeDocument/2006/relationships/webSettings" Target="webSettings.xml"/><Relationship Id="rId12" Type="http://schemas.openxmlformats.org/officeDocument/2006/relationships/hyperlink" Target="https://doi.org/10.1542/peds.2012-3011" TargetMode="External"/><Relationship Id="rId17" Type="http://schemas.openxmlformats.org/officeDocument/2006/relationships/hyperlink" Target="https://doi.org/10.2105/AJPH.2020.306014" TargetMode="External"/><Relationship Id="rId25" Type="http://schemas.openxmlformats.org/officeDocument/2006/relationships/hyperlink" Target="https://doi.org/10.1038/s42003-024-06416-x" TargetMode="External"/><Relationship Id="rId33" Type="http://schemas.openxmlformats.org/officeDocument/2006/relationships/hyperlink" Target="https://doi.org/10.1590/s0100-879x2007000300018" TargetMode="External"/><Relationship Id="rId38" Type="http://schemas.openxmlformats.org/officeDocument/2006/relationships/hyperlink" Target="https://doi.org/10.1212/WNL.0b013e3182840b81" TargetMode="External"/><Relationship Id="rId46" Type="http://schemas.openxmlformats.org/officeDocument/2006/relationships/header" Target="header3.xml"/><Relationship Id="rId20" Type="http://schemas.openxmlformats.org/officeDocument/2006/relationships/hyperlink" Target="https://doi.org/10.1016/S1474-4422(13)70278-3" TargetMode="External"/><Relationship Id="rId41" Type="http://schemas.openxmlformats.org/officeDocument/2006/relationships/hyperlink" Target="https://doi.org/10.1016/j.foodchem.2021.129405" TargetMode="External"/><Relationship Id="rId1" Type="http://schemas.openxmlformats.org/officeDocument/2006/relationships/styles" Target="styles.xml"/><Relationship Id="rId6" Type="http://schemas.openxmlformats.org/officeDocument/2006/relationships/hyperlink" Target="https://doi.org/10.1007/s11011-011-923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6481</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LAWSON</dc:creator>
  <cp:lastModifiedBy>SDI 1180</cp:lastModifiedBy>
  <cp:revision>13</cp:revision>
  <dcterms:created xsi:type="dcterms:W3CDTF">2025-10-19T09:09:00Z</dcterms:created>
  <dcterms:modified xsi:type="dcterms:W3CDTF">2025-10-30T10:51:00Z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2025-05-04T15:55:13Z</vt:filetime>
  </property>
</Properties>
</file>