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AB36" w14:textId="77777777" w:rsidR="00925DDD" w:rsidRPr="00925DDD" w:rsidRDefault="00925DDD" w:rsidP="00925DDD">
      <w:pPr>
        <w:spacing w:line="360" w:lineRule="auto"/>
        <w:jc w:val="center"/>
        <w:rPr>
          <w:rFonts w:asciiTheme="majorBidi" w:hAnsiTheme="majorBidi" w:cstheme="majorBidi"/>
          <w:b/>
          <w:bCs/>
          <w:i/>
          <w:iCs/>
          <w:sz w:val="24"/>
          <w:szCs w:val="24"/>
          <w:u w:val="single"/>
          <w:lang w:val="en-US"/>
        </w:rPr>
      </w:pPr>
      <w:r w:rsidRPr="00925DDD">
        <w:rPr>
          <w:rFonts w:asciiTheme="majorBidi" w:hAnsiTheme="majorBidi" w:cstheme="majorBidi"/>
          <w:b/>
          <w:bCs/>
          <w:i/>
          <w:iCs/>
          <w:sz w:val="24"/>
          <w:szCs w:val="24"/>
          <w:u w:val="single"/>
          <w:lang w:val="en-US"/>
        </w:rPr>
        <w:t>Review Article</w:t>
      </w:r>
    </w:p>
    <w:p w14:paraId="62AB64E5" w14:textId="77777777" w:rsidR="00925DDD" w:rsidRDefault="00925DDD" w:rsidP="00B26E35">
      <w:pPr>
        <w:spacing w:line="360" w:lineRule="auto"/>
        <w:jc w:val="center"/>
        <w:rPr>
          <w:rFonts w:asciiTheme="majorBidi" w:hAnsiTheme="majorBidi" w:cstheme="majorBidi"/>
          <w:b/>
          <w:bCs/>
          <w:sz w:val="24"/>
          <w:szCs w:val="24"/>
        </w:rPr>
      </w:pPr>
    </w:p>
    <w:p w14:paraId="575C357F" w14:textId="1BB3FADB" w:rsidR="009868BD" w:rsidRPr="00B26E35" w:rsidRDefault="00A377D8" w:rsidP="00B26E35">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OPTIMIS</w:t>
      </w:r>
      <w:r w:rsidR="00EC0858" w:rsidRPr="00A377D8">
        <w:rPr>
          <w:rFonts w:asciiTheme="majorBidi" w:hAnsiTheme="majorBidi" w:cstheme="majorBidi"/>
          <w:b/>
          <w:bCs/>
          <w:sz w:val="24"/>
          <w:szCs w:val="24"/>
        </w:rPr>
        <w:t>ING GASTROENTEROLOGY UNITS FOR EARLY COLON CANCER DETECTION: A MULTIFACETED APPROACH TO ENHANCE PATIENT OUTCOMES AND OPERATIONAL EFFICIENCY</w:t>
      </w:r>
    </w:p>
    <w:p w14:paraId="5C688D4D" w14:textId="5F23FB91" w:rsidR="00EC0858" w:rsidRDefault="00EC0858" w:rsidP="00DB510F">
      <w:pPr>
        <w:spacing w:line="360" w:lineRule="auto"/>
        <w:jc w:val="both"/>
        <w:rPr>
          <w:rFonts w:asciiTheme="majorBidi" w:hAnsiTheme="majorBidi" w:cstheme="majorBidi"/>
          <w:sz w:val="24"/>
          <w:szCs w:val="24"/>
        </w:rPr>
      </w:pPr>
    </w:p>
    <w:p w14:paraId="0276C0D2" w14:textId="77777777" w:rsidR="00D75FAA" w:rsidRPr="00DB510F" w:rsidRDefault="00D75FAA" w:rsidP="00DB510F">
      <w:pPr>
        <w:spacing w:line="360" w:lineRule="auto"/>
        <w:jc w:val="both"/>
        <w:rPr>
          <w:rFonts w:asciiTheme="majorBidi" w:hAnsiTheme="majorBidi" w:cstheme="majorBidi"/>
          <w:sz w:val="24"/>
          <w:szCs w:val="24"/>
        </w:rPr>
      </w:pPr>
      <w:bookmarkStart w:id="0" w:name="_GoBack"/>
      <w:bookmarkEnd w:id="0"/>
    </w:p>
    <w:p w14:paraId="3201B77D" w14:textId="77777777" w:rsidR="00A377D8" w:rsidRPr="00A377D8" w:rsidRDefault="00EC0858" w:rsidP="00A377D8">
      <w:pPr>
        <w:spacing w:line="360" w:lineRule="auto"/>
        <w:jc w:val="both"/>
        <w:rPr>
          <w:rFonts w:asciiTheme="majorBidi" w:hAnsiTheme="majorBidi" w:cstheme="majorBidi"/>
          <w:b/>
          <w:bCs/>
          <w:sz w:val="28"/>
          <w:szCs w:val="28"/>
        </w:rPr>
      </w:pPr>
      <w:r w:rsidRPr="00A377D8">
        <w:rPr>
          <w:rFonts w:asciiTheme="majorBidi" w:hAnsiTheme="majorBidi" w:cstheme="majorBidi"/>
          <w:b/>
          <w:bCs/>
          <w:sz w:val="28"/>
          <w:szCs w:val="28"/>
        </w:rPr>
        <w:t>Abstract</w:t>
      </w:r>
    </w:p>
    <w:p w14:paraId="06E8FB33" w14:textId="77777777" w:rsidR="00A377D8" w:rsidRPr="00A377D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Background:</w:t>
      </w:r>
      <w:r>
        <w:rPr>
          <w:rFonts w:asciiTheme="majorBidi" w:hAnsiTheme="majorBidi" w:cstheme="majorBidi"/>
          <w:sz w:val="24"/>
          <w:szCs w:val="24"/>
        </w:rPr>
        <w:t xml:space="preserve"> </w:t>
      </w:r>
      <w:r w:rsidRPr="00A377D8">
        <w:rPr>
          <w:rFonts w:asciiTheme="majorBidi" w:hAnsiTheme="majorBidi" w:cstheme="majorBidi"/>
          <w:sz w:val="24"/>
          <w:szCs w:val="24"/>
        </w:rPr>
        <w:t>The rising incidence of colorectal cancer in younger populations, underscored by revised screening guidelines, has placed gastroenterology units under unprecedented strain. This surge coincides with advancements in personalised therapies, whose efficacy is vastly superior for early-stage disease. A critical disconnect exists between the growing demand for high-quality colonoscopy and the operational capacity of existing services.</w:t>
      </w:r>
    </w:p>
    <w:p w14:paraId="32F97D43" w14:textId="77777777" w:rsidR="00A377D8" w:rsidRPr="00A377D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Objective:</w:t>
      </w:r>
      <w:r>
        <w:rPr>
          <w:rFonts w:asciiTheme="majorBidi" w:hAnsiTheme="majorBidi" w:cstheme="majorBidi"/>
          <w:sz w:val="24"/>
          <w:szCs w:val="24"/>
        </w:rPr>
        <w:t xml:space="preserve"> </w:t>
      </w:r>
      <w:r w:rsidRPr="00A377D8">
        <w:rPr>
          <w:rFonts w:asciiTheme="majorBidi" w:hAnsiTheme="majorBidi" w:cstheme="majorBidi"/>
          <w:sz w:val="24"/>
          <w:szCs w:val="24"/>
        </w:rPr>
        <w:t xml:space="preserve">This paper proposes a comprehensive framework designed to optimise gastroenterology units. The primary aim is to enhance both </w:t>
      </w:r>
      <w:r>
        <w:rPr>
          <w:rFonts w:asciiTheme="majorBidi" w:hAnsiTheme="majorBidi" w:cstheme="majorBidi"/>
          <w:sz w:val="24"/>
          <w:szCs w:val="24"/>
        </w:rPr>
        <w:t xml:space="preserve">the </w:t>
      </w:r>
      <w:r w:rsidRPr="00A377D8">
        <w:rPr>
          <w:rFonts w:asciiTheme="majorBidi" w:hAnsiTheme="majorBidi" w:cstheme="majorBidi"/>
          <w:sz w:val="24"/>
          <w:szCs w:val="24"/>
        </w:rPr>
        <w:t>capacity for early cancer detection and the quality of the diagnostic procedure, thereby creating a more effective bridge to modern therapeutic modalities.</w:t>
      </w:r>
    </w:p>
    <w:p w14:paraId="284753D9" w14:textId="77777777" w:rsidR="00A377D8" w:rsidRPr="00A377D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Methods:</w:t>
      </w:r>
      <w:r>
        <w:rPr>
          <w:rFonts w:asciiTheme="majorBidi" w:hAnsiTheme="majorBidi" w:cstheme="majorBidi"/>
          <w:sz w:val="24"/>
          <w:szCs w:val="24"/>
        </w:rPr>
        <w:t xml:space="preserve"> </w:t>
      </w:r>
      <w:r w:rsidRPr="00A377D8">
        <w:rPr>
          <w:rFonts w:asciiTheme="majorBidi" w:hAnsiTheme="majorBidi" w:cstheme="majorBidi"/>
          <w:sz w:val="24"/>
          <w:szCs w:val="24"/>
        </w:rPr>
        <w:t>A multifaceted approach integrating four core strategies was developed. These include the application of artificial intelligence for workflow and scheduling optimisation, the implementation of lean management principles to eliminate process waste, the adoption of computer-aided detection polyp recognition systems to augment adenoma detection, and the establishment of formal collaborative care models with primary care providers.</w:t>
      </w:r>
    </w:p>
    <w:p w14:paraId="536883DF" w14:textId="77777777" w:rsidR="00A377D8" w:rsidRPr="00A377D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Results:</w:t>
      </w:r>
      <w:r>
        <w:rPr>
          <w:rFonts w:asciiTheme="majorBidi" w:hAnsiTheme="majorBidi" w:cstheme="majorBidi"/>
          <w:sz w:val="24"/>
          <w:szCs w:val="24"/>
        </w:rPr>
        <w:t xml:space="preserve"> </w:t>
      </w:r>
      <w:r w:rsidRPr="00A377D8">
        <w:rPr>
          <w:rFonts w:asciiTheme="majorBidi" w:hAnsiTheme="majorBidi" w:cstheme="majorBidi"/>
          <w:sz w:val="24"/>
          <w:szCs w:val="24"/>
        </w:rPr>
        <w:t xml:space="preserve">Evidence synthesis indicates that this integrated model can significantly improve key performance indicators. AI-driven scheduling can drastically reduce patient wait times and improve resource utilisation. Lean methodologies standardise workflows and improve bowel preparation quality. Computer-aided detection systems demonstrably increase adenoma detection </w:t>
      </w:r>
      <w:r w:rsidRPr="00A377D8">
        <w:rPr>
          <w:rFonts w:asciiTheme="majorBidi" w:hAnsiTheme="majorBidi" w:cstheme="majorBidi"/>
          <w:sz w:val="24"/>
          <w:szCs w:val="24"/>
        </w:rPr>
        <w:lastRenderedPageBreak/>
        <w:t>rates. Collaborative models enhance referral appropriateness and follow-up adherence, closing critical care gaps.</w:t>
      </w:r>
    </w:p>
    <w:p w14:paraId="6B97EC42" w14:textId="77777777" w:rsidR="00EC0858" w:rsidRDefault="00A377D8" w:rsidP="00A377D8">
      <w:pPr>
        <w:spacing w:line="360" w:lineRule="auto"/>
        <w:jc w:val="both"/>
        <w:rPr>
          <w:rFonts w:asciiTheme="majorBidi" w:hAnsiTheme="majorBidi" w:cstheme="majorBidi"/>
          <w:sz w:val="24"/>
          <w:szCs w:val="24"/>
        </w:rPr>
      </w:pPr>
      <w:r w:rsidRPr="00A377D8">
        <w:rPr>
          <w:rFonts w:asciiTheme="majorBidi" w:hAnsiTheme="majorBidi" w:cstheme="majorBidi"/>
          <w:b/>
          <w:bCs/>
          <w:sz w:val="24"/>
          <w:szCs w:val="24"/>
        </w:rPr>
        <w:t>Conclusion:</w:t>
      </w:r>
      <w:r>
        <w:rPr>
          <w:rFonts w:asciiTheme="majorBidi" w:hAnsiTheme="majorBidi" w:cstheme="majorBidi"/>
          <w:sz w:val="24"/>
          <w:szCs w:val="24"/>
        </w:rPr>
        <w:t xml:space="preserve"> </w:t>
      </w:r>
      <w:r w:rsidRPr="00A377D8">
        <w:rPr>
          <w:rFonts w:asciiTheme="majorBidi" w:hAnsiTheme="majorBidi" w:cstheme="majorBidi"/>
          <w:sz w:val="24"/>
          <w:szCs w:val="24"/>
        </w:rPr>
        <w:t>Optimising gastroenterology units requires a holistic strategy that synchronises operational efficiency with clinical excellence. The proposed framework provides a viable roadmap to increase screening accessibility, improve diagnostic quality, and ensure that more patients can benefit from the life-saving potential of early detection coupled with advanced, personalised treatments.</w:t>
      </w:r>
    </w:p>
    <w:p w14:paraId="3E4F8F8C" w14:textId="77777777" w:rsidR="00EA52FB" w:rsidRPr="00EA52FB" w:rsidRDefault="00EA52FB" w:rsidP="00EA52FB">
      <w:pPr>
        <w:spacing w:line="360" w:lineRule="auto"/>
        <w:jc w:val="center"/>
        <w:rPr>
          <w:rFonts w:asciiTheme="majorBidi" w:hAnsiTheme="majorBidi" w:cstheme="majorBidi"/>
          <w:i/>
          <w:iCs/>
          <w:sz w:val="24"/>
          <w:szCs w:val="24"/>
        </w:rPr>
      </w:pPr>
      <w:r w:rsidRPr="00EA52FB">
        <w:rPr>
          <w:rFonts w:asciiTheme="majorBidi" w:hAnsiTheme="majorBidi" w:cstheme="majorBidi"/>
          <w:i/>
          <w:iCs/>
          <w:sz w:val="24"/>
          <w:szCs w:val="24"/>
        </w:rPr>
        <w:t>Keywords: Colorectal Cancer Screening, Operational Efficiency, Artificial Intelligence, Colonoscopy, Capacity Optimisation, Targeted Therapy, Collaborative Care</w:t>
      </w:r>
    </w:p>
    <w:p w14:paraId="0D42B32C" w14:textId="77777777" w:rsidR="00EC0858" w:rsidRPr="00A377D8" w:rsidRDefault="00EC0858" w:rsidP="00DB510F">
      <w:pPr>
        <w:spacing w:line="360" w:lineRule="auto"/>
        <w:jc w:val="both"/>
        <w:rPr>
          <w:rFonts w:asciiTheme="majorBidi" w:hAnsiTheme="majorBidi" w:cstheme="majorBidi"/>
          <w:b/>
          <w:bCs/>
          <w:sz w:val="24"/>
          <w:szCs w:val="24"/>
        </w:rPr>
      </w:pPr>
    </w:p>
    <w:p w14:paraId="52E05322" w14:textId="77777777" w:rsidR="00EC0858" w:rsidRPr="00A377D8" w:rsidRDefault="00EC0858" w:rsidP="00DB510F">
      <w:pPr>
        <w:spacing w:line="360" w:lineRule="auto"/>
        <w:jc w:val="both"/>
        <w:rPr>
          <w:rFonts w:asciiTheme="majorBidi" w:hAnsiTheme="majorBidi" w:cstheme="majorBidi"/>
          <w:b/>
          <w:bCs/>
          <w:sz w:val="28"/>
          <w:szCs w:val="28"/>
        </w:rPr>
      </w:pPr>
      <w:r w:rsidRPr="00A377D8">
        <w:rPr>
          <w:rFonts w:asciiTheme="majorBidi" w:hAnsiTheme="majorBidi" w:cstheme="majorBidi"/>
          <w:b/>
          <w:bCs/>
          <w:sz w:val="28"/>
          <w:szCs w:val="28"/>
        </w:rPr>
        <w:t>Introduction</w:t>
      </w:r>
    </w:p>
    <w:p w14:paraId="02E22961" w14:textId="77777777" w:rsidR="00EC0858" w:rsidRPr="00DB510F" w:rsidRDefault="00EC0858" w:rsidP="009E52CB">
      <w:pPr>
        <w:spacing w:line="360" w:lineRule="auto"/>
        <w:jc w:val="both"/>
        <w:rPr>
          <w:rFonts w:asciiTheme="majorBidi" w:hAnsiTheme="majorBidi" w:cstheme="majorBidi"/>
          <w:sz w:val="24"/>
          <w:szCs w:val="24"/>
        </w:rPr>
      </w:pPr>
      <w:r w:rsidRPr="00DB510F">
        <w:rPr>
          <w:rFonts w:asciiTheme="majorBidi" w:hAnsiTheme="majorBidi" w:cstheme="majorBidi"/>
          <w:sz w:val="24"/>
          <w:szCs w:val="24"/>
        </w:rPr>
        <w:t>The landscape of colorectal cancer care is undergoing a significant transformation. This change is driven</w:t>
      </w:r>
      <w:r w:rsidR="009E52CB">
        <w:rPr>
          <w:rFonts w:asciiTheme="majorBidi" w:hAnsiTheme="majorBidi" w:cstheme="majorBidi"/>
          <w:sz w:val="24"/>
          <w:szCs w:val="24"/>
        </w:rPr>
        <w:t xml:space="preserve"> by two concurrent developments;</w:t>
      </w:r>
      <w:r w:rsidRPr="00DB510F">
        <w:rPr>
          <w:rFonts w:asciiTheme="majorBidi" w:hAnsiTheme="majorBidi" w:cstheme="majorBidi"/>
          <w:sz w:val="24"/>
          <w:szCs w:val="24"/>
        </w:rPr>
        <w:t xml:space="preserve"> an unsettling shift in disease demographics and remarkable progress in therapeutic technologies. In 2021, the United States Preventive Services Task Force revised its guidelines, lowering the recommended age for initial colorectal cancer screening from 50 to 45 years (</w:t>
      </w:r>
      <w:r w:rsidR="009E52CB" w:rsidRPr="009E52CB">
        <w:rPr>
          <w:rFonts w:asciiTheme="majorBidi" w:hAnsiTheme="majorBidi" w:cstheme="majorBidi"/>
          <w:sz w:val="24"/>
          <w:szCs w:val="24"/>
        </w:rPr>
        <w:t>Davidson</w:t>
      </w:r>
      <w:r w:rsidR="009E52CB">
        <w:rPr>
          <w:rFonts w:asciiTheme="majorBidi" w:hAnsiTheme="majorBidi" w:cstheme="majorBidi"/>
          <w:sz w:val="24"/>
          <w:szCs w:val="24"/>
        </w:rPr>
        <w:t xml:space="preserve"> et al.</w:t>
      </w:r>
      <w:r w:rsidRPr="00DB510F">
        <w:rPr>
          <w:rFonts w:asciiTheme="majorBidi" w:hAnsiTheme="majorBidi" w:cstheme="majorBidi"/>
          <w:sz w:val="24"/>
          <w:szCs w:val="24"/>
        </w:rPr>
        <w:t xml:space="preserve">, 2021). This decision reflects a growing body of evidence documenting a steady increase in incidence among younger adult populations. Research by Siegel et al. (2020) indicates that between 2012 and 2016, the incidence of colorectal cancer rose by two percent annually in individuals under 50 years of age, with a </w:t>
      </w:r>
      <w:r w:rsidR="009E52CB">
        <w:rPr>
          <w:rFonts w:asciiTheme="majorBidi" w:hAnsiTheme="majorBidi" w:cstheme="majorBidi"/>
          <w:sz w:val="24"/>
          <w:szCs w:val="24"/>
        </w:rPr>
        <w:t>significant increase</w:t>
      </w:r>
      <w:r w:rsidRPr="00DB510F">
        <w:rPr>
          <w:rFonts w:asciiTheme="majorBidi" w:hAnsiTheme="majorBidi" w:cstheme="majorBidi"/>
          <w:sz w:val="24"/>
          <w:szCs w:val="24"/>
        </w:rPr>
        <w:t xml:space="preserve"> in rectal cancer cases. This trend necessitates a substantial expansion of screening capabilities, placing unprecedented strain on existing gastroenterology service infrastructure.</w:t>
      </w:r>
    </w:p>
    <w:p w14:paraId="395A228A" w14:textId="77777777" w:rsidR="00EC0858" w:rsidRPr="00DB510F" w:rsidRDefault="00EC0858" w:rsidP="007A5CE1">
      <w:pPr>
        <w:spacing w:line="360" w:lineRule="auto"/>
        <w:jc w:val="both"/>
        <w:rPr>
          <w:rFonts w:asciiTheme="majorBidi" w:hAnsiTheme="majorBidi" w:cstheme="majorBidi"/>
          <w:sz w:val="24"/>
          <w:szCs w:val="24"/>
        </w:rPr>
      </w:pPr>
      <w:r w:rsidRPr="00DB510F">
        <w:rPr>
          <w:rFonts w:asciiTheme="majorBidi" w:hAnsiTheme="majorBidi" w:cstheme="majorBidi"/>
          <w:sz w:val="24"/>
          <w:szCs w:val="24"/>
        </w:rPr>
        <w:t xml:space="preserve">The imperative for this expansion is </w:t>
      </w:r>
      <w:r w:rsidR="009E52CB">
        <w:rPr>
          <w:rFonts w:asciiTheme="majorBidi" w:hAnsiTheme="majorBidi" w:cstheme="majorBidi"/>
          <w:sz w:val="24"/>
          <w:szCs w:val="24"/>
        </w:rPr>
        <w:t>highlighted</w:t>
      </w:r>
      <w:r w:rsidRPr="00DB510F">
        <w:rPr>
          <w:rFonts w:asciiTheme="majorBidi" w:hAnsiTheme="majorBidi" w:cstheme="majorBidi"/>
          <w:sz w:val="24"/>
          <w:szCs w:val="24"/>
        </w:rPr>
        <w:t xml:space="preserve"> by the critical importance of early disease detection. </w:t>
      </w:r>
      <w:r w:rsidR="009E52CB" w:rsidRPr="009E52CB">
        <w:rPr>
          <w:rFonts w:asciiTheme="majorBidi" w:hAnsiTheme="majorBidi" w:cstheme="majorBidi"/>
          <w:sz w:val="24"/>
          <w:szCs w:val="24"/>
        </w:rPr>
        <w:t>Yang</w:t>
      </w:r>
      <w:r w:rsidR="009E52CB">
        <w:rPr>
          <w:rFonts w:asciiTheme="majorBidi" w:hAnsiTheme="majorBidi" w:cstheme="majorBidi"/>
          <w:sz w:val="24"/>
          <w:szCs w:val="24"/>
        </w:rPr>
        <w:t xml:space="preserve"> et al (2025) related that r</w:t>
      </w:r>
      <w:r w:rsidRPr="00DB510F">
        <w:rPr>
          <w:rFonts w:asciiTheme="majorBidi" w:hAnsiTheme="majorBidi" w:cstheme="majorBidi"/>
          <w:sz w:val="24"/>
          <w:szCs w:val="24"/>
        </w:rPr>
        <w:t xml:space="preserve">ecent advances in molecular and cellular therapies offer new hope for patients, yet their effectiveness is vastly superior when applied to localised, </w:t>
      </w:r>
      <w:r w:rsidR="009E52CB">
        <w:rPr>
          <w:rFonts w:asciiTheme="majorBidi" w:hAnsiTheme="majorBidi" w:cstheme="majorBidi"/>
          <w:sz w:val="24"/>
          <w:szCs w:val="24"/>
        </w:rPr>
        <w:t>early-stage</w:t>
      </w:r>
      <w:r w:rsidRPr="00DB510F">
        <w:rPr>
          <w:rFonts w:asciiTheme="majorBidi" w:hAnsiTheme="majorBidi" w:cstheme="majorBidi"/>
          <w:sz w:val="24"/>
          <w:szCs w:val="24"/>
        </w:rPr>
        <w:t xml:space="preserve"> malignancies. The </w:t>
      </w:r>
      <w:r w:rsidR="009E52CB">
        <w:rPr>
          <w:rFonts w:asciiTheme="majorBidi" w:hAnsiTheme="majorBidi" w:cstheme="majorBidi"/>
          <w:sz w:val="24"/>
          <w:szCs w:val="24"/>
        </w:rPr>
        <w:t>five-year</w:t>
      </w:r>
      <w:r w:rsidRPr="00DB510F">
        <w:rPr>
          <w:rFonts w:asciiTheme="majorBidi" w:hAnsiTheme="majorBidi" w:cstheme="majorBidi"/>
          <w:sz w:val="24"/>
          <w:szCs w:val="24"/>
        </w:rPr>
        <w:t xml:space="preserve"> survival rate for localised colorectal cancer is 91 </w:t>
      </w:r>
      <w:r w:rsidR="009E52CB">
        <w:rPr>
          <w:rFonts w:asciiTheme="majorBidi" w:hAnsiTheme="majorBidi" w:cstheme="majorBidi"/>
          <w:sz w:val="24"/>
          <w:szCs w:val="24"/>
        </w:rPr>
        <w:t>per cent</w:t>
      </w:r>
      <w:r w:rsidRPr="00DB510F">
        <w:rPr>
          <w:rFonts w:asciiTheme="majorBidi" w:hAnsiTheme="majorBidi" w:cstheme="majorBidi"/>
          <w:sz w:val="24"/>
          <w:szCs w:val="24"/>
        </w:rPr>
        <w:t xml:space="preserve">, a figure which </w:t>
      </w:r>
      <w:r w:rsidR="00C240AE">
        <w:rPr>
          <w:rFonts w:asciiTheme="majorBidi" w:hAnsiTheme="majorBidi" w:cstheme="majorBidi"/>
          <w:sz w:val="24"/>
          <w:szCs w:val="24"/>
        </w:rPr>
        <w:t>drop</w:t>
      </w:r>
      <w:r w:rsidRPr="00DB510F">
        <w:rPr>
          <w:rFonts w:asciiTheme="majorBidi" w:hAnsiTheme="majorBidi" w:cstheme="majorBidi"/>
          <w:sz w:val="24"/>
          <w:szCs w:val="24"/>
        </w:rPr>
        <w:t xml:space="preserve">s to just 14 </w:t>
      </w:r>
      <w:r w:rsidR="009E52CB">
        <w:rPr>
          <w:rFonts w:asciiTheme="majorBidi" w:hAnsiTheme="majorBidi" w:cstheme="majorBidi"/>
          <w:sz w:val="24"/>
          <w:szCs w:val="24"/>
        </w:rPr>
        <w:t>per cent</w:t>
      </w:r>
      <w:r w:rsidRPr="00DB510F">
        <w:rPr>
          <w:rFonts w:asciiTheme="majorBidi" w:hAnsiTheme="majorBidi" w:cstheme="majorBidi"/>
          <w:sz w:val="24"/>
          <w:szCs w:val="24"/>
        </w:rPr>
        <w:t xml:space="preserve"> for disease diagnosed at a distant stage (American Cancer Society, 2023</w:t>
      </w:r>
      <w:r w:rsidR="00A77C78">
        <w:rPr>
          <w:rFonts w:asciiTheme="majorBidi" w:hAnsiTheme="majorBidi" w:cstheme="majorBidi"/>
          <w:sz w:val="24"/>
          <w:szCs w:val="24"/>
        </w:rPr>
        <w:t xml:space="preserve">; </w:t>
      </w:r>
      <w:r w:rsidR="00A77C78" w:rsidRPr="00A77C78">
        <w:rPr>
          <w:rFonts w:asciiTheme="majorBidi" w:hAnsiTheme="majorBidi" w:cstheme="majorBidi"/>
          <w:sz w:val="24"/>
          <w:szCs w:val="24"/>
        </w:rPr>
        <w:t>Ilyas</w:t>
      </w:r>
      <w:r w:rsidR="00A77C78">
        <w:rPr>
          <w:rFonts w:asciiTheme="majorBidi" w:hAnsiTheme="majorBidi" w:cstheme="majorBidi"/>
          <w:sz w:val="24"/>
          <w:szCs w:val="24"/>
        </w:rPr>
        <w:t>, 2023</w:t>
      </w:r>
      <w:r w:rsidRPr="00DB510F">
        <w:rPr>
          <w:rFonts w:asciiTheme="majorBidi" w:hAnsiTheme="majorBidi" w:cstheme="majorBidi"/>
          <w:sz w:val="24"/>
          <w:szCs w:val="24"/>
        </w:rPr>
        <w:t xml:space="preserve">). This </w:t>
      </w:r>
      <w:r w:rsidR="009E52CB">
        <w:rPr>
          <w:rFonts w:asciiTheme="majorBidi" w:hAnsiTheme="majorBidi" w:cstheme="majorBidi"/>
          <w:sz w:val="24"/>
          <w:szCs w:val="24"/>
        </w:rPr>
        <w:t>huge</w:t>
      </w:r>
      <w:r w:rsidRPr="00DB510F">
        <w:rPr>
          <w:rFonts w:asciiTheme="majorBidi" w:hAnsiTheme="majorBidi" w:cstheme="majorBidi"/>
          <w:sz w:val="24"/>
          <w:szCs w:val="24"/>
        </w:rPr>
        <w:t xml:space="preserve"> disparity highlights the </w:t>
      </w:r>
      <w:r w:rsidR="009E52CB">
        <w:rPr>
          <w:rFonts w:asciiTheme="majorBidi" w:hAnsiTheme="majorBidi" w:cstheme="majorBidi"/>
          <w:sz w:val="24"/>
          <w:szCs w:val="24"/>
        </w:rPr>
        <w:t>life-saving</w:t>
      </w:r>
      <w:r w:rsidRPr="00DB510F">
        <w:rPr>
          <w:rFonts w:asciiTheme="majorBidi" w:hAnsiTheme="majorBidi" w:cstheme="majorBidi"/>
          <w:sz w:val="24"/>
          <w:szCs w:val="24"/>
        </w:rPr>
        <w:t xml:space="preserve"> potential of timely intervention. Colonoscopy remains the </w:t>
      </w:r>
      <w:r w:rsidR="00C240AE">
        <w:rPr>
          <w:rFonts w:asciiTheme="majorBidi" w:hAnsiTheme="majorBidi" w:cstheme="majorBidi"/>
          <w:sz w:val="24"/>
          <w:szCs w:val="24"/>
        </w:rPr>
        <w:t>basic</w:t>
      </w:r>
      <w:r w:rsidRPr="00DB510F">
        <w:rPr>
          <w:rFonts w:asciiTheme="majorBidi" w:hAnsiTheme="majorBidi" w:cstheme="majorBidi"/>
          <w:sz w:val="24"/>
          <w:szCs w:val="24"/>
        </w:rPr>
        <w:t xml:space="preserve"> diagnostic and therapeutic procedure, uniquely capable of visualising the colonic mucosa and simultaneously resecting precancerous lesions</w:t>
      </w:r>
      <w:r w:rsidR="00A77C78">
        <w:rPr>
          <w:rFonts w:asciiTheme="majorBidi" w:hAnsiTheme="majorBidi" w:cstheme="majorBidi"/>
          <w:sz w:val="24"/>
          <w:szCs w:val="24"/>
        </w:rPr>
        <w:t xml:space="preserve"> </w:t>
      </w:r>
      <w:r w:rsidR="00A77C78">
        <w:rPr>
          <w:rFonts w:asciiTheme="majorBidi" w:hAnsiTheme="majorBidi" w:cstheme="majorBidi"/>
          <w:sz w:val="24"/>
          <w:szCs w:val="24"/>
        </w:rPr>
        <w:lastRenderedPageBreak/>
        <w:t xml:space="preserve">(Hong </w:t>
      </w:r>
      <w:r w:rsidR="00A77C78" w:rsidRPr="00A77C78">
        <w:rPr>
          <w:rFonts w:asciiTheme="majorBidi" w:hAnsiTheme="majorBidi" w:cstheme="majorBidi"/>
          <w:sz w:val="24"/>
          <w:szCs w:val="24"/>
        </w:rPr>
        <w:t>&amp; Baek</w:t>
      </w:r>
      <w:r w:rsidR="00A77C78">
        <w:rPr>
          <w:rFonts w:asciiTheme="majorBidi" w:hAnsiTheme="majorBidi" w:cstheme="majorBidi"/>
          <w:sz w:val="24"/>
          <w:szCs w:val="24"/>
        </w:rPr>
        <w:t>, 2023)</w:t>
      </w:r>
      <w:r w:rsidRPr="00DB510F">
        <w:rPr>
          <w:rFonts w:asciiTheme="majorBidi" w:hAnsiTheme="majorBidi" w:cstheme="majorBidi"/>
          <w:sz w:val="24"/>
          <w:szCs w:val="24"/>
        </w:rPr>
        <w:t>. Its role is further cemented in the era of personalised medicine, as histopathological and molecular analysis of obtained biopsies informs treatment strategies for advanced diseases.</w:t>
      </w:r>
    </w:p>
    <w:p w14:paraId="51EBD9BB" w14:textId="77777777" w:rsidR="00FB44CF" w:rsidRDefault="00EC0858" w:rsidP="00D53A0B">
      <w:pPr>
        <w:spacing w:line="360" w:lineRule="auto"/>
        <w:jc w:val="both"/>
        <w:rPr>
          <w:rFonts w:asciiTheme="majorBidi" w:hAnsiTheme="majorBidi" w:cstheme="majorBidi"/>
          <w:sz w:val="24"/>
          <w:szCs w:val="24"/>
        </w:rPr>
      </w:pPr>
      <w:r w:rsidRPr="00DB510F">
        <w:rPr>
          <w:rFonts w:asciiTheme="majorBidi" w:hAnsiTheme="majorBidi" w:cstheme="majorBidi"/>
          <w:sz w:val="24"/>
          <w:szCs w:val="24"/>
        </w:rPr>
        <w:t>Therefore, a pressing challenge emerges f</w:t>
      </w:r>
      <w:r w:rsidR="00D53A0B">
        <w:rPr>
          <w:rFonts w:asciiTheme="majorBidi" w:hAnsiTheme="majorBidi" w:cstheme="majorBidi"/>
          <w:sz w:val="24"/>
          <w:szCs w:val="24"/>
        </w:rPr>
        <w:t>or healthcare systems worldwide;</w:t>
      </w:r>
      <w:r w:rsidRPr="00DB510F">
        <w:rPr>
          <w:rFonts w:asciiTheme="majorBidi" w:hAnsiTheme="majorBidi" w:cstheme="majorBidi"/>
          <w:sz w:val="24"/>
          <w:szCs w:val="24"/>
        </w:rPr>
        <w:t xml:space="preserve"> how to meet the rising demand for </w:t>
      </w:r>
      <w:r w:rsidR="00D53A0B">
        <w:rPr>
          <w:rFonts w:asciiTheme="majorBidi" w:hAnsiTheme="majorBidi" w:cstheme="majorBidi"/>
          <w:sz w:val="24"/>
          <w:szCs w:val="24"/>
        </w:rPr>
        <w:t>high-quality</w:t>
      </w:r>
      <w:r w:rsidRPr="00DB510F">
        <w:rPr>
          <w:rFonts w:asciiTheme="majorBidi" w:hAnsiTheme="majorBidi" w:cstheme="majorBidi"/>
          <w:sz w:val="24"/>
          <w:szCs w:val="24"/>
        </w:rPr>
        <w:t xml:space="preserve"> colonoscopy services effectively and sustainably. Simply performing more procedures is an insufficient solution if it leads to longer waiting times, procedural delays, or compromised quality. A more sophisticated approach is required. This </w:t>
      </w:r>
      <w:r w:rsidR="00D53A0B">
        <w:rPr>
          <w:rFonts w:asciiTheme="majorBidi" w:hAnsiTheme="majorBidi" w:cstheme="majorBidi"/>
          <w:sz w:val="24"/>
          <w:szCs w:val="24"/>
        </w:rPr>
        <w:t>research</w:t>
      </w:r>
      <w:r w:rsidRPr="00DB510F">
        <w:rPr>
          <w:rFonts w:asciiTheme="majorBidi" w:hAnsiTheme="majorBidi" w:cstheme="majorBidi"/>
          <w:sz w:val="24"/>
          <w:szCs w:val="24"/>
        </w:rPr>
        <w:t xml:space="preserve"> proposes a novel, multidimensional framework designed to optimise gastroenterology units. The proposed model integrates operational efficiency methodologies, </w:t>
      </w:r>
      <w:r w:rsidR="00D53A0B">
        <w:rPr>
          <w:rFonts w:asciiTheme="majorBidi" w:hAnsiTheme="majorBidi" w:cstheme="majorBidi"/>
          <w:sz w:val="24"/>
          <w:szCs w:val="24"/>
        </w:rPr>
        <w:t>cutting-edge</w:t>
      </w:r>
      <w:r w:rsidRPr="00DB510F">
        <w:rPr>
          <w:rFonts w:asciiTheme="majorBidi" w:hAnsiTheme="majorBidi" w:cstheme="majorBidi"/>
          <w:sz w:val="24"/>
          <w:szCs w:val="24"/>
        </w:rPr>
        <w:t xml:space="preserve"> technological adjuncts, and collaborative care strategies. Its primary aim is to enhance capacity and quality simultaneously, thereby improving patient outcomes through earlier detection and ensuring that the benefits of modern therapeutics are accessible to a greater number of individuals. This holistic perspective bridges the traditionally separate domains of service optimisation and clinical innovation, presenting a cohesive strategy for the future of colorectal cancer care.</w:t>
      </w:r>
    </w:p>
    <w:p w14:paraId="600CC45B" w14:textId="77777777" w:rsidR="004D1ECB" w:rsidRPr="004D1ECB" w:rsidRDefault="004D1ECB" w:rsidP="00D53A0B">
      <w:pPr>
        <w:spacing w:line="360" w:lineRule="auto"/>
        <w:jc w:val="both"/>
        <w:rPr>
          <w:rFonts w:asciiTheme="majorBidi" w:hAnsiTheme="majorBidi" w:cstheme="majorBidi"/>
          <w:b/>
          <w:bCs/>
          <w:sz w:val="24"/>
          <w:szCs w:val="24"/>
          <w:lang w:val="en-US"/>
        </w:rPr>
      </w:pPr>
      <w:r w:rsidRPr="004D1ECB">
        <w:rPr>
          <w:rFonts w:asciiTheme="majorBidi" w:hAnsiTheme="majorBidi" w:cstheme="majorBidi"/>
          <w:b/>
          <w:bCs/>
          <w:sz w:val="24"/>
          <w:szCs w:val="24"/>
          <w:lang w:val="en-US"/>
        </w:rPr>
        <w:t>The Unassailable Role of Colonoscopy in the Precision Medicine Era</w:t>
      </w:r>
    </w:p>
    <w:p w14:paraId="64D5C6B3" w14:textId="77777777" w:rsidR="00030953" w:rsidRPr="00030953" w:rsidRDefault="00030953" w:rsidP="00416627">
      <w:pPr>
        <w:spacing w:line="360" w:lineRule="auto"/>
        <w:jc w:val="both"/>
        <w:rPr>
          <w:rFonts w:asciiTheme="majorBidi" w:hAnsiTheme="majorBidi" w:cstheme="majorBidi"/>
          <w:sz w:val="24"/>
          <w:szCs w:val="24"/>
          <w:lang w:val="en-US"/>
        </w:rPr>
      </w:pPr>
      <w:r w:rsidRPr="00030953">
        <w:rPr>
          <w:rFonts w:asciiTheme="majorBidi" w:hAnsiTheme="majorBidi" w:cstheme="majorBidi"/>
          <w:sz w:val="24"/>
          <w:szCs w:val="24"/>
          <w:lang w:val="en-US"/>
        </w:rPr>
        <w:t xml:space="preserve">Despite the introduction of various non-invasive tests, colonoscopy retains its status as the definitive procedure for colorectal cancer management. Its </w:t>
      </w:r>
      <w:r w:rsidR="00A90B71">
        <w:rPr>
          <w:rFonts w:asciiTheme="majorBidi" w:hAnsiTheme="majorBidi" w:cstheme="majorBidi"/>
          <w:sz w:val="24"/>
          <w:szCs w:val="24"/>
          <w:lang w:val="en-US"/>
        </w:rPr>
        <w:t>preeminence</w:t>
      </w:r>
      <w:r w:rsidRPr="00030953">
        <w:rPr>
          <w:rFonts w:asciiTheme="majorBidi" w:hAnsiTheme="majorBidi" w:cstheme="majorBidi"/>
          <w:sz w:val="24"/>
          <w:szCs w:val="24"/>
          <w:lang w:val="en-US"/>
        </w:rPr>
        <w:t xml:space="preserve"> is founded on a unique capability that other modalities lack, the ability to both visually diagnose and therapeutically resect precancerous adenomas during a single session</w:t>
      </w:r>
      <w:r w:rsidR="00A90B71">
        <w:rPr>
          <w:rFonts w:asciiTheme="majorBidi" w:hAnsiTheme="majorBidi" w:cstheme="majorBidi"/>
          <w:sz w:val="24"/>
          <w:szCs w:val="24"/>
          <w:lang w:val="en-US"/>
        </w:rPr>
        <w:t xml:space="preserve"> (</w:t>
      </w:r>
      <w:r w:rsidR="00A90B71" w:rsidRPr="00A90B71">
        <w:rPr>
          <w:rFonts w:asciiTheme="majorBidi" w:hAnsiTheme="majorBidi" w:cstheme="majorBidi"/>
          <w:sz w:val="24"/>
          <w:szCs w:val="24"/>
          <w:lang w:val="en-US"/>
        </w:rPr>
        <w:t>Maida</w:t>
      </w:r>
      <w:r w:rsidR="00A90B71">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xml:space="preserve">. This direct intervention prevents the development of cancer, a proactive benefit </w:t>
      </w:r>
      <w:r w:rsidR="00416627">
        <w:rPr>
          <w:rFonts w:asciiTheme="majorBidi" w:hAnsiTheme="majorBidi" w:cstheme="majorBidi"/>
          <w:sz w:val="24"/>
          <w:szCs w:val="24"/>
          <w:lang w:val="en-US"/>
        </w:rPr>
        <w:t xml:space="preserve">that </w:t>
      </w:r>
      <w:proofErr w:type="spellStart"/>
      <w:r w:rsidRPr="00030953">
        <w:rPr>
          <w:rFonts w:asciiTheme="majorBidi" w:hAnsiTheme="majorBidi" w:cstheme="majorBidi"/>
          <w:sz w:val="24"/>
          <w:szCs w:val="24"/>
          <w:lang w:val="en-US"/>
        </w:rPr>
        <w:t>faecal</w:t>
      </w:r>
      <w:proofErr w:type="spellEnd"/>
      <w:r w:rsidRPr="00030953">
        <w:rPr>
          <w:rFonts w:asciiTheme="majorBidi" w:hAnsiTheme="majorBidi" w:cstheme="majorBidi"/>
          <w:sz w:val="24"/>
          <w:szCs w:val="24"/>
          <w:lang w:val="en-US"/>
        </w:rPr>
        <w:t xml:space="preserve"> tests cannot offer. The long-term value of this approach is demonstrated by a large-scale meta-analysis</w:t>
      </w:r>
      <w:r w:rsidR="00416627">
        <w:rPr>
          <w:rFonts w:asciiTheme="majorBidi" w:hAnsiTheme="majorBidi" w:cstheme="majorBidi"/>
          <w:sz w:val="24"/>
          <w:szCs w:val="24"/>
          <w:lang w:val="en-US"/>
        </w:rPr>
        <w:t>,</w:t>
      </w:r>
      <w:r w:rsidRPr="00030953">
        <w:rPr>
          <w:rFonts w:asciiTheme="majorBidi" w:hAnsiTheme="majorBidi" w:cstheme="majorBidi"/>
          <w:sz w:val="24"/>
          <w:szCs w:val="24"/>
          <w:lang w:val="en-US"/>
        </w:rPr>
        <w:t xml:space="preserve"> which found that colonoscopy screening was associated with a </w:t>
      </w:r>
      <w:r w:rsidR="00416627">
        <w:rPr>
          <w:rFonts w:asciiTheme="majorBidi" w:hAnsiTheme="majorBidi" w:cstheme="majorBidi"/>
          <w:sz w:val="24"/>
          <w:szCs w:val="24"/>
          <w:lang w:val="en-US"/>
        </w:rPr>
        <w:t>68% reduction in colorectal cancer mortality over a 30-year period</w:t>
      </w:r>
      <w:r w:rsidRPr="00030953">
        <w:rPr>
          <w:rFonts w:asciiTheme="majorBidi" w:hAnsiTheme="majorBidi" w:cstheme="majorBidi"/>
          <w:sz w:val="24"/>
          <w:szCs w:val="24"/>
          <w:lang w:val="en-US"/>
        </w:rPr>
        <w:t xml:space="preserve"> (</w:t>
      </w:r>
      <w:r w:rsidR="00416627" w:rsidRPr="00416627">
        <w:rPr>
          <w:rFonts w:asciiTheme="majorBidi" w:hAnsiTheme="majorBidi" w:cstheme="majorBidi"/>
          <w:sz w:val="24"/>
          <w:szCs w:val="24"/>
          <w:lang w:val="en-US"/>
        </w:rPr>
        <w:t>Heisser</w:t>
      </w:r>
      <w:r w:rsidR="00416627">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This preventive power remains the foundation of its clinical value.</w:t>
      </w:r>
    </w:p>
    <w:p w14:paraId="7834B397" w14:textId="77777777" w:rsidR="00030953" w:rsidRPr="00030953" w:rsidRDefault="00030953" w:rsidP="00310539">
      <w:pPr>
        <w:spacing w:line="360" w:lineRule="auto"/>
        <w:jc w:val="both"/>
        <w:rPr>
          <w:rFonts w:asciiTheme="majorBidi" w:hAnsiTheme="majorBidi" w:cstheme="majorBidi"/>
          <w:sz w:val="24"/>
          <w:szCs w:val="24"/>
          <w:lang w:val="en-US"/>
        </w:rPr>
      </w:pPr>
      <w:r w:rsidRPr="00030953">
        <w:rPr>
          <w:rFonts w:asciiTheme="majorBidi" w:hAnsiTheme="majorBidi" w:cstheme="majorBidi"/>
          <w:sz w:val="24"/>
          <w:szCs w:val="24"/>
          <w:lang w:val="en-US"/>
        </w:rPr>
        <w:t>The function of colonoscopy now extends far beyond population screening and cancer prevention. In the current climate of precision medi</w:t>
      </w:r>
      <w:r w:rsidR="00945F9F">
        <w:rPr>
          <w:rFonts w:asciiTheme="majorBidi" w:hAnsiTheme="majorBidi" w:cstheme="majorBidi"/>
          <w:sz w:val="24"/>
          <w:szCs w:val="24"/>
          <w:lang w:val="en-US"/>
        </w:rPr>
        <w:t>cine, the procedure serves as an important</w:t>
      </w:r>
      <w:r w:rsidRPr="00030953">
        <w:rPr>
          <w:rFonts w:asciiTheme="majorBidi" w:hAnsiTheme="majorBidi" w:cstheme="majorBidi"/>
          <w:sz w:val="24"/>
          <w:szCs w:val="24"/>
          <w:lang w:val="en-US"/>
        </w:rPr>
        <w:t xml:space="preserve"> gateway to </w:t>
      </w:r>
      <w:proofErr w:type="spellStart"/>
      <w:r w:rsidRPr="00030953">
        <w:rPr>
          <w:rFonts w:asciiTheme="majorBidi" w:hAnsiTheme="majorBidi" w:cstheme="majorBidi"/>
          <w:sz w:val="24"/>
          <w:szCs w:val="24"/>
          <w:lang w:val="en-US"/>
        </w:rPr>
        <w:t>personalised</w:t>
      </w:r>
      <w:proofErr w:type="spellEnd"/>
      <w:r w:rsidRPr="00030953">
        <w:rPr>
          <w:rFonts w:asciiTheme="majorBidi" w:hAnsiTheme="majorBidi" w:cstheme="majorBidi"/>
          <w:sz w:val="24"/>
          <w:szCs w:val="24"/>
          <w:lang w:val="en-US"/>
        </w:rPr>
        <w:t xml:space="preserve"> treatment strategies. The tissue samples acquired during a colonoscopy are not merely for histopathological confirmation of cancer</w:t>
      </w:r>
      <w:r w:rsidR="00ED3A45">
        <w:rPr>
          <w:rFonts w:asciiTheme="majorBidi" w:hAnsiTheme="majorBidi" w:cstheme="majorBidi"/>
          <w:sz w:val="24"/>
          <w:szCs w:val="24"/>
          <w:lang w:val="en-US"/>
        </w:rPr>
        <w:t xml:space="preserve"> (</w:t>
      </w:r>
      <w:proofErr w:type="spellStart"/>
      <w:r w:rsidR="00ED3A45" w:rsidRPr="00ED3A45">
        <w:rPr>
          <w:rFonts w:asciiTheme="majorBidi" w:hAnsiTheme="majorBidi" w:cstheme="majorBidi"/>
          <w:sz w:val="24"/>
          <w:szCs w:val="24"/>
          <w:lang w:val="en-US"/>
        </w:rPr>
        <w:t>Oguntoye</w:t>
      </w:r>
      <w:proofErr w:type="spellEnd"/>
      <w:r w:rsidR="00ED3A45">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They provide the essential biological material required for sophisticated molecular profiling. This profiling guides therapeutic decisions, particularly for patients with advanced disease</w:t>
      </w:r>
      <w:r w:rsidR="00227853">
        <w:rPr>
          <w:rFonts w:asciiTheme="majorBidi" w:hAnsiTheme="majorBidi" w:cstheme="majorBidi"/>
          <w:sz w:val="24"/>
          <w:szCs w:val="24"/>
          <w:lang w:val="en-US"/>
        </w:rPr>
        <w:t xml:space="preserve"> (</w:t>
      </w:r>
      <w:r w:rsidR="00227853" w:rsidRPr="00416627">
        <w:rPr>
          <w:rFonts w:asciiTheme="majorBidi" w:hAnsiTheme="majorBidi" w:cstheme="majorBidi"/>
          <w:sz w:val="24"/>
          <w:szCs w:val="24"/>
          <w:lang w:val="en-US"/>
        </w:rPr>
        <w:t>Heisser</w:t>
      </w:r>
      <w:r w:rsidR="00227853">
        <w:rPr>
          <w:rFonts w:asciiTheme="majorBidi" w:hAnsiTheme="majorBidi" w:cstheme="majorBidi"/>
          <w:sz w:val="24"/>
          <w:szCs w:val="24"/>
          <w:lang w:val="en-US"/>
        </w:rPr>
        <w:t xml:space="preserve"> et al., 2024)</w:t>
      </w:r>
      <w:r w:rsidRPr="00030953">
        <w:rPr>
          <w:rFonts w:asciiTheme="majorBidi" w:hAnsiTheme="majorBidi" w:cstheme="majorBidi"/>
          <w:sz w:val="24"/>
          <w:szCs w:val="24"/>
          <w:lang w:val="en-US"/>
        </w:rPr>
        <w:t xml:space="preserve">. For </w:t>
      </w:r>
      <w:r w:rsidR="00945F9F">
        <w:rPr>
          <w:rFonts w:asciiTheme="majorBidi" w:hAnsiTheme="majorBidi" w:cstheme="majorBidi"/>
          <w:sz w:val="24"/>
          <w:szCs w:val="24"/>
          <w:lang w:val="en-US"/>
        </w:rPr>
        <w:t>example</w:t>
      </w:r>
      <w:r w:rsidRPr="00030953">
        <w:rPr>
          <w:rFonts w:asciiTheme="majorBidi" w:hAnsiTheme="majorBidi" w:cstheme="majorBidi"/>
          <w:sz w:val="24"/>
          <w:szCs w:val="24"/>
          <w:lang w:val="en-US"/>
        </w:rPr>
        <w:t xml:space="preserve">, </w:t>
      </w:r>
      <w:r w:rsidRPr="00030953">
        <w:rPr>
          <w:rFonts w:asciiTheme="majorBidi" w:hAnsiTheme="majorBidi" w:cstheme="majorBidi"/>
          <w:sz w:val="24"/>
          <w:szCs w:val="24"/>
          <w:lang w:val="en-US"/>
        </w:rPr>
        <w:lastRenderedPageBreak/>
        <w:t xml:space="preserve">determining the mutational status of genes such as RAS and BRAF is standard practice, as it predicts patient response to epidermal growth factor receptor inhibitor therapies. Similarly, identifying </w:t>
      </w:r>
      <w:proofErr w:type="spellStart"/>
      <w:r w:rsidRPr="00030953">
        <w:rPr>
          <w:rFonts w:asciiTheme="majorBidi" w:hAnsiTheme="majorBidi" w:cstheme="majorBidi"/>
          <w:sz w:val="24"/>
          <w:szCs w:val="24"/>
          <w:lang w:val="en-US"/>
        </w:rPr>
        <w:t>tumours</w:t>
      </w:r>
      <w:proofErr w:type="spellEnd"/>
      <w:r w:rsidRPr="00030953">
        <w:rPr>
          <w:rFonts w:asciiTheme="majorBidi" w:hAnsiTheme="majorBidi" w:cstheme="majorBidi"/>
          <w:sz w:val="24"/>
          <w:szCs w:val="24"/>
          <w:lang w:val="en-US"/>
        </w:rPr>
        <w:t xml:space="preserve"> with high microsatellite instability or mismatch repair deficiency is </w:t>
      </w:r>
      <w:r w:rsidR="00310539">
        <w:rPr>
          <w:rFonts w:asciiTheme="majorBidi" w:hAnsiTheme="majorBidi" w:cstheme="majorBidi"/>
          <w:sz w:val="24"/>
          <w:szCs w:val="24"/>
          <w:lang w:val="en-US"/>
        </w:rPr>
        <w:t>important</w:t>
      </w:r>
      <w:r w:rsidRPr="00030953">
        <w:rPr>
          <w:rFonts w:asciiTheme="majorBidi" w:hAnsiTheme="majorBidi" w:cstheme="majorBidi"/>
          <w:sz w:val="24"/>
          <w:szCs w:val="24"/>
          <w:lang w:val="en-US"/>
        </w:rPr>
        <w:t>, as these biomarkers select patients who may derive exceptional benefit from immunotherapy.</w:t>
      </w:r>
    </w:p>
    <w:p w14:paraId="18DA9DA5" w14:textId="77777777" w:rsidR="00030953" w:rsidRPr="00030953" w:rsidRDefault="00030953" w:rsidP="00C5765C">
      <w:pPr>
        <w:spacing w:line="360" w:lineRule="auto"/>
        <w:jc w:val="both"/>
        <w:rPr>
          <w:rFonts w:asciiTheme="majorBidi" w:hAnsiTheme="majorBidi" w:cstheme="majorBidi"/>
          <w:sz w:val="24"/>
          <w:szCs w:val="24"/>
          <w:lang w:val="en-US"/>
        </w:rPr>
      </w:pPr>
      <w:r w:rsidRPr="00030953">
        <w:rPr>
          <w:rFonts w:asciiTheme="majorBidi" w:hAnsiTheme="majorBidi" w:cstheme="majorBidi"/>
          <w:sz w:val="24"/>
          <w:szCs w:val="24"/>
          <w:lang w:val="en-US"/>
        </w:rPr>
        <w:t>This expanded diagnos</w:t>
      </w:r>
      <w:r w:rsidR="00310539">
        <w:rPr>
          <w:rFonts w:asciiTheme="majorBidi" w:hAnsiTheme="majorBidi" w:cstheme="majorBidi"/>
          <w:sz w:val="24"/>
          <w:szCs w:val="24"/>
          <w:lang w:val="en-US"/>
        </w:rPr>
        <w:t>tic role solidifies colonoscopy’</w:t>
      </w:r>
      <w:r w:rsidRPr="00030953">
        <w:rPr>
          <w:rFonts w:asciiTheme="majorBidi" w:hAnsiTheme="majorBidi" w:cstheme="majorBidi"/>
          <w:sz w:val="24"/>
          <w:szCs w:val="24"/>
          <w:lang w:val="en-US"/>
        </w:rPr>
        <w:t>s position as an indispensable first step in a modern patient care pathway. Its technical execution and the quality of the obtained biopsies directly influence subsequent treatment efficacy. A high-quality examination with a high adenoma detection rate ensures pre-malignant lesions are removed</w:t>
      </w:r>
      <w:r w:rsidR="00776625">
        <w:rPr>
          <w:rFonts w:asciiTheme="majorBidi" w:hAnsiTheme="majorBidi" w:cstheme="majorBidi"/>
          <w:sz w:val="24"/>
          <w:szCs w:val="24"/>
          <w:lang w:val="en-US"/>
        </w:rPr>
        <w:t xml:space="preserve"> (</w:t>
      </w:r>
      <w:proofErr w:type="spellStart"/>
      <w:r w:rsidR="00776625" w:rsidRPr="00776625">
        <w:rPr>
          <w:rFonts w:asciiTheme="majorBidi" w:hAnsiTheme="majorBidi" w:cstheme="majorBidi"/>
          <w:sz w:val="24"/>
          <w:szCs w:val="24"/>
          <w:lang w:val="en-US"/>
        </w:rPr>
        <w:t>Scalvini</w:t>
      </w:r>
      <w:proofErr w:type="spellEnd"/>
      <w:r w:rsidR="00776625" w:rsidRPr="00776625">
        <w:rPr>
          <w:rFonts w:asciiTheme="majorBidi" w:hAnsiTheme="majorBidi" w:cstheme="majorBidi"/>
          <w:sz w:val="24"/>
          <w:szCs w:val="24"/>
          <w:lang w:val="en-US"/>
        </w:rPr>
        <w:t xml:space="preserve"> </w:t>
      </w:r>
      <w:r w:rsidR="00776625">
        <w:rPr>
          <w:rFonts w:asciiTheme="majorBidi" w:hAnsiTheme="majorBidi" w:cstheme="majorBidi"/>
          <w:sz w:val="24"/>
          <w:szCs w:val="24"/>
          <w:lang w:val="en-US"/>
        </w:rPr>
        <w:t>et al., 2025)</w:t>
      </w:r>
      <w:r w:rsidRPr="00030953">
        <w:rPr>
          <w:rFonts w:asciiTheme="majorBidi" w:hAnsiTheme="majorBidi" w:cstheme="majorBidi"/>
          <w:sz w:val="24"/>
          <w:szCs w:val="24"/>
          <w:lang w:val="en-US"/>
        </w:rPr>
        <w:t>. Furthermore, adequate tissue sampling enables accurate genomic analysis, ensuring patients are matched with the most effective available treatments</w:t>
      </w:r>
      <w:r w:rsidR="00B0781B">
        <w:rPr>
          <w:rFonts w:asciiTheme="majorBidi" w:hAnsiTheme="majorBidi" w:cstheme="majorBidi"/>
          <w:sz w:val="24"/>
          <w:szCs w:val="24"/>
          <w:lang w:val="en-US"/>
        </w:rPr>
        <w:t xml:space="preserve"> (</w:t>
      </w:r>
      <w:proofErr w:type="spellStart"/>
      <w:r w:rsidR="00B0781B" w:rsidRPr="00B0781B">
        <w:rPr>
          <w:rFonts w:asciiTheme="majorBidi" w:hAnsiTheme="majorBidi" w:cstheme="majorBidi"/>
          <w:sz w:val="24"/>
          <w:szCs w:val="24"/>
          <w:lang w:val="en-US"/>
        </w:rPr>
        <w:t>Ja</w:t>
      </w:r>
      <w:r w:rsidR="00B0781B">
        <w:rPr>
          <w:rFonts w:asciiTheme="majorBidi" w:hAnsiTheme="majorBidi" w:cstheme="majorBidi"/>
          <w:sz w:val="24"/>
          <w:szCs w:val="24"/>
          <w:lang w:val="en-US"/>
        </w:rPr>
        <w:t>malinia</w:t>
      </w:r>
      <w:proofErr w:type="spellEnd"/>
      <w:r w:rsidR="00B0781B">
        <w:rPr>
          <w:rFonts w:asciiTheme="majorBidi" w:hAnsiTheme="majorBidi" w:cstheme="majorBidi"/>
          <w:sz w:val="24"/>
          <w:szCs w:val="24"/>
          <w:lang w:val="en-US"/>
        </w:rPr>
        <w:t xml:space="preserve"> &amp; </w:t>
      </w:r>
      <w:proofErr w:type="spellStart"/>
      <w:r w:rsidR="00B0781B">
        <w:rPr>
          <w:rFonts w:asciiTheme="majorBidi" w:hAnsiTheme="majorBidi" w:cstheme="majorBidi"/>
          <w:sz w:val="24"/>
          <w:szCs w:val="24"/>
          <w:lang w:val="en-US"/>
        </w:rPr>
        <w:t>Weiskirchen</w:t>
      </w:r>
      <w:proofErr w:type="spellEnd"/>
      <w:r w:rsidR="00B0781B">
        <w:rPr>
          <w:rFonts w:asciiTheme="majorBidi" w:hAnsiTheme="majorBidi" w:cstheme="majorBidi"/>
          <w:sz w:val="24"/>
          <w:szCs w:val="24"/>
          <w:lang w:val="en-US"/>
        </w:rPr>
        <w:t>, 2025)</w:t>
      </w:r>
      <w:r w:rsidRPr="00030953">
        <w:rPr>
          <w:rFonts w:asciiTheme="majorBidi" w:hAnsiTheme="majorBidi" w:cstheme="majorBidi"/>
          <w:sz w:val="24"/>
          <w:szCs w:val="24"/>
          <w:lang w:val="en-US"/>
        </w:rPr>
        <w:t xml:space="preserve">. This synergy between a macroscopic therapeutic procedure and subsequent microscopic molecular analysis </w:t>
      </w:r>
      <w:r w:rsidR="00CF5CDF">
        <w:rPr>
          <w:rFonts w:asciiTheme="majorBidi" w:hAnsiTheme="majorBidi" w:cstheme="majorBidi"/>
          <w:sz w:val="24"/>
          <w:szCs w:val="24"/>
          <w:lang w:val="en-US"/>
        </w:rPr>
        <w:t xml:space="preserve">highlights </w:t>
      </w:r>
      <w:r w:rsidRPr="00030953">
        <w:rPr>
          <w:rFonts w:asciiTheme="majorBidi" w:hAnsiTheme="majorBidi" w:cstheme="majorBidi"/>
          <w:sz w:val="24"/>
          <w:szCs w:val="24"/>
          <w:lang w:val="en-US"/>
        </w:rPr>
        <w:t xml:space="preserve">why </w:t>
      </w:r>
      <w:proofErr w:type="spellStart"/>
      <w:r w:rsidRPr="00030953">
        <w:rPr>
          <w:rFonts w:asciiTheme="majorBidi" w:hAnsiTheme="majorBidi" w:cstheme="majorBidi"/>
          <w:sz w:val="24"/>
          <w:szCs w:val="24"/>
          <w:lang w:val="en-US"/>
        </w:rPr>
        <w:t>optimising</w:t>
      </w:r>
      <w:proofErr w:type="spellEnd"/>
      <w:r w:rsidRPr="00030953">
        <w:rPr>
          <w:rFonts w:asciiTheme="majorBidi" w:hAnsiTheme="majorBidi" w:cstheme="majorBidi"/>
          <w:sz w:val="24"/>
          <w:szCs w:val="24"/>
          <w:lang w:val="en-US"/>
        </w:rPr>
        <w:t xml:space="preserve"> gastroenterology units is so vital. Enhancing capacity cannot come at the expe</w:t>
      </w:r>
      <w:r w:rsidR="00CF5CDF">
        <w:rPr>
          <w:rFonts w:asciiTheme="majorBidi" w:hAnsiTheme="majorBidi" w:cstheme="majorBidi"/>
          <w:sz w:val="24"/>
          <w:szCs w:val="24"/>
          <w:lang w:val="en-US"/>
        </w:rPr>
        <w:t>nse of the procedure’</w:t>
      </w:r>
      <w:r w:rsidRPr="00030953">
        <w:rPr>
          <w:rFonts w:asciiTheme="majorBidi" w:hAnsiTheme="majorBidi" w:cstheme="majorBidi"/>
          <w:sz w:val="24"/>
          <w:szCs w:val="24"/>
          <w:lang w:val="en-US"/>
        </w:rPr>
        <w:t xml:space="preserve">s diagnostic quality or its tissue acquisition role. The data presented in Table 1 </w:t>
      </w:r>
      <w:proofErr w:type="spellStart"/>
      <w:r w:rsidR="00C5765C">
        <w:rPr>
          <w:rFonts w:asciiTheme="majorBidi" w:hAnsiTheme="majorBidi" w:cstheme="majorBidi"/>
          <w:sz w:val="24"/>
          <w:szCs w:val="24"/>
          <w:lang w:val="en-US"/>
        </w:rPr>
        <w:t>summarise</w:t>
      </w:r>
      <w:proofErr w:type="spellEnd"/>
      <w:r w:rsidRPr="00030953">
        <w:rPr>
          <w:rFonts w:asciiTheme="majorBidi" w:hAnsiTheme="majorBidi" w:cstheme="majorBidi"/>
          <w:sz w:val="24"/>
          <w:szCs w:val="24"/>
          <w:lang w:val="en-US"/>
        </w:rPr>
        <w:t xml:space="preserve"> the key molecular markers that depend on colonoscopy-derived tissue.</w:t>
      </w:r>
    </w:p>
    <w:p w14:paraId="15DE8B1A" w14:textId="77777777" w:rsidR="004D1ECB" w:rsidRDefault="00C5765C" w:rsidP="00D53A0B">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1:</w:t>
      </w:r>
      <w:r w:rsidRPr="00C5765C">
        <w:rPr>
          <w:rFonts w:asciiTheme="majorBidi" w:hAnsiTheme="majorBidi" w:cstheme="majorBidi"/>
          <w:sz w:val="24"/>
          <w:szCs w:val="24"/>
          <w:lang w:val="en-US"/>
        </w:rPr>
        <w:t xml:space="preserve"> Key molecular biomarkers in colorectal cancer informed by colonoscopy-acquired tissue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588"/>
        <w:gridCol w:w="3354"/>
        <w:gridCol w:w="3692"/>
      </w:tblGrid>
      <w:tr w:rsidR="00C5765C" w:rsidRPr="00C5765C" w14:paraId="2CE03AE6" w14:textId="77777777" w:rsidTr="00C5765C">
        <w:tc>
          <w:tcPr>
            <w:tcW w:w="0" w:type="auto"/>
            <w:tcMar>
              <w:top w:w="100" w:type="dxa"/>
              <w:left w:w="144" w:type="dxa"/>
              <w:bottom w:w="100" w:type="dxa"/>
              <w:right w:w="160" w:type="dxa"/>
            </w:tcMar>
            <w:vAlign w:val="center"/>
            <w:hideMark/>
          </w:tcPr>
          <w:p w14:paraId="158B14DA" w14:textId="77777777" w:rsidR="00C5765C" w:rsidRPr="00C5765C" w:rsidRDefault="00C5765C" w:rsidP="00C5765C">
            <w:pPr>
              <w:spacing w:after="0" w:line="240" w:lineRule="auto"/>
              <w:jc w:val="both"/>
              <w:rPr>
                <w:rFonts w:asciiTheme="majorBidi" w:hAnsiTheme="majorBidi" w:cstheme="majorBidi"/>
                <w:b/>
                <w:bCs/>
                <w:sz w:val="24"/>
                <w:szCs w:val="24"/>
                <w:lang w:val="en-US"/>
              </w:rPr>
            </w:pPr>
            <w:r w:rsidRPr="00C5765C">
              <w:rPr>
                <w:rFonts w:asciiTheme="majorBidi" w:hAnsiTheme="majorBidi" w:cstheme="majorBidi"/>
                <w:b/>
                <w:bCs/>
                <w:sz w:val="24"/>
                <w:szCs w:val="24"/>
                <w:lang w:val="en-US"/>
              </w:rPr>
              <w:t>Biomarker</w:t>
            </w:r>
          </w:p>
        </w:tc>
        <w:tc>
          <w:tcPr>
            <w:tcW w:w="0" w:type="auto"/>
            <w:tcMar>
              <w:top w:w="100" w:type="dxa"/>
              <w:left w:w="160" w:type="dxa"/>
              <w:bottom w:w="100" w:type="dxa"/>
              <w:right w:w="160" w:type="dxa"/>
            </w:tcMar>
            <w:vAlign w:val="center"/>
            <w:hideMark/>
          </w:tcPr>
          <w:p w14:paraId="13ABAFB6" w14:textId="77777777" w:rsidR="00C5765C" w:rsidRPr="00C5765C" w:rsidRDefault="00C5765C" w:rsidP="00C5765C">
            <w:pPr>
              <w:spacing w:after="0" w:line="240" w:lineRule="auto"/>
              <w:jc w:val="both"/>
              <w:rPr>
                <w:rFonts w:asciiTheme="majorBidi" w:hAnsiTheme="majorBidi" w:cstheme="majorBidi"/>
                <w:b/>
                <w:bCs/>
                <w:sz w:val="24"/>
                <w:szCs w:val="24"/>
                <w:lang w:val="en-US"/>
              </w:rPr>
            </w:pPr>
            <w:r w:rsidRPr="00C5765C">
              <w:rPr>
                <w:rFonts w:asciiTheme="majorBidi" w:hAnsiTheme="majorBidi" w:cstheme="majorBidi"/>
                <w:b/>
                <w:bCs/>
                <w:sz w:val="24"/>
                <w:szCs w:val="24"/>
                <w:lang w:val="en-US"/>
              </w:rPr>
              <w:t>Clinical Significance</w:t>
            </w:r>
          </w:p>
        </w:tc>
        <w:tc>
          <w:tcPr>
            <w:tcW w:w="3692" w:type="dxa"/>
            <w:tcMar>
              <w:top w:w="100" w:type="dxa"/>
              <w:left w:w="160" w:type="dxa"/>
              <w:bottom w:w="100" w:type="dxa"/>
              <w:right w:w="160" w:type="dxa"/>
            </w:tcMar>
            <w:vAlign w:val="center"/>
            <w:hideMark/>
          </w:tcPr>
          <w:p w14:paraId="3C809BA7" w14:textId="77777777" w:rsidR="00C5765C" w:rsidRPr="00C5765C" w:rsidRDefault="00C5765C" w:rsidP="00C5765C">
            <w:pPr>
              <w:spacing w:after="0" w:line="240" w:lineRule="auto"/>
              <w:jc w:val="both"/>
              <w:rPr>
                <w:rFonts w:asciiTheme="majorBidi" w:hAnsiTheme="majorBidi" w:cstheme="majorBidi"/>
                <w:b/>
                <w:bCs/>
                <w:sz w:val="24"/>
                <w:szCs w:val="24"/>
                <w:lang w:val="en-US"/>
              </w:rPr>
            </w:pPr>
            <w:r w:rsidRPr="00C5765C">
              <w:rPr>
                <w:rFonts w:asciiTheme="majorBidi" w:hAnsiTheme="majorBidi" w:cstheme="majorBidi"/>
                <w:b/>
                <w:bCs/>
                <w:sz w:val="24"/>
                <w:szCs w:val="24"/>
                <w:lang w:val="en-US"/>
              </w:rPr>
              <w:t>Impact on Treatment Selection</w:t>
            </w:r>
          </w:p>
        </w:tc>
      </w:tr>
      <w:tr w:rsidR="00C5765C" w:rsidRPr="00C5765C" w14:paraId="473845EB" w14:textId="77777777" w:rsidTr="00C5765C">
        <w:tc>
          <w:tcPr>
            <w:tcW w:w="0" w:type="auto"/>
            <w:tcMar>
              <w:top w:w="100" w:type="dxa"/>
              <w:left w:w="144" w:type="dxa"/>
              <w:bottom w:w="100" w:type="dxa"/>
              <w:right w:w="160" w:type="dxa"/>
            </w:tcMar>
            <w:vAlign w:val="center"/>
            <w:hideMark/>
          </w:tcPr>
          <w:p w14:paraId="31404C3E"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RAS (KRAS/NRAS) status</w:t>
            </w:r>
          </w:p>
        </w:tc>
        <w:tc>
          <w:tcPr>
            <w:tcW w:w="0" w:type="auto"/>
            <w:tcMar>
              <w:top w:w="100" w:type="dxa"/>
              <w:left w:w="160" w:type="dxa"/>
              <w:bottom w:w="100" w:type="dxa"/>
              <w:right w:w="160" w:type="dxa"/>
            </w:tcMar>
            <w:vAlign w:val="center"/>
            <w:hideMark/>
          </w:tcPr>
          <w:p w14:paraId="0AB9B354"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Mutations predict resistance to anti-EGFR monoclonal antibody therapy (e.g., cetuximab, panitumumab).</w:t>
            </w:r>
          </w:p>
        </w:tc>
        <w:tc>
          <w:tcPr>
            <w:tcW w:w="3692" w:type="dxa"/>
            <w:tcMar>
              <w:top w:w="100" w:type="dxa"/>
              <w:left w:w="160" w:type="dxa"/>
              <w:bottom w:w="100" w:type="dxa"/>
              <w:right w:w="144" w:type="dxa"/>
            </w:tcMar>
            <w:vAlign w:val="center"/>
            <w:hideMark/>
          </w:tcPr>
          <w:p w14:paraId="112157F6"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Guides use of targeted therapies; patients with mutant RAS are not candidates for anti-EGFR agents.</w:t>
            </w:r>
          </w:p>
        </w:tc>
      </w:tr>
      <w:tr w:rsidR="00C5765C" w:rsidRPr="00C5765C" w14:paraId="0878C675" w14:textId="77777777" w:rsidTr="00C5765C">
        <w:tc>
          <w:tcPr>
            <w:tcW w:w="0" w:type="auto"/>
            <w:tcMar>
              <w:top w:w="100" w:type="dxa"/>
              <w:left w:w="144" w:type="dxa"/>
              <w:bottom w:w="100" w:type="dxa"/>
              <w:right w:w="160" w:type="dxa"/>
            </w:tcMar>
            <w:vAlign w:val="center"/>
            <w:hideMark/>
          </w:tcPr>
          <w:p w14:paraId="54DF2222"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BRAF V600E mutation</w:t>
            </w:r>
          </w:p>
        </w:tc>
        <w:tc>
          <w:tcPr>
            <w:tcW w:w="0" w:type="auto"/>
            <w:tcMar>
              <w:top w:w="100" w:type="dxa"/>
              <w:left w:w="160" w:type="dxa"/>
              <w:bottom w:w="100" w:type="dxa"/>
              <w:right w:w="160" w:type="dxa"/>
            </w:tcMar>
            <w:vAlign w:val="center"/>
            <w:hideMark/>
          </w:tcPr>
          <w:p w14:paraId="0F2D636C"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 xml:space="preserve">Associated with a poorer prognosis and specific disease </w:t>
            </w:r>
            <w:proofErr w:type="spellStart"/>
            <w:r w:rsidRPr="00C5765C">
              <w:rPr>
                <w:rFonts w:asciiTheme="majorBidi" w:hAnsiTheme="majorBidi" w:cstheme="majorBidi"/>
                <w:sz w:val="24"/>
                <w:szCs w:val="24"/>
                <w:lang w:val="en-US"/>
              </w:rPr>
              <w:t>behaviour</w:t>
            </w:r>
            <w:proofErr w:type="spellEnd"/>
            <w:r w:rsidRPr="00C5765C">
              <w:rPr>
                <w:rFonts w:asciiTheme="majorBidi" w:hAnsiTheme="majorBidi" w:cstheme="majorBidi"/>
                <w:sz w:val="24"/>
                <w:szCs w:val="24"/>
                <w:lang w:val="en-US"/>
              </w:rPr>
              <w:t>.</w:t>
            </w:r>
          </w:p>
        </w:tc>
        <w:tc>
          <w:tcPr>
            <w:tcW w:w="3692" w:type="dxa"/>
            <w:tcMar>
              <w:top w:w="100" w:type="dxa"/>
              <w:left w:w="160" w:type="dxa"/>
              <w:bottom w:w="100" w:type="dxa"/>
              <w:right w:w="144" w:type="dxa"/>
            </w:tcMar>
            <w:vAlign w:val="center"/>
            <w:hideMark/>
          </w:tcPr>
          <w:p w14:paraId="5B4BDD61"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Informs prognosis and is a potential target for combination therapies in metastatic disease.</w:t>
            </w:r>
          </w:p>
        </w:tc>
      </w:tr>
      <w:tr w:rsidR="00C5765C" w:rsidRPr="00C5765C" w14:paraId="21BCF8EA" w14:textId="77777777" w:rsidTr="00C5765C">
        <w:tc>
          <w:tcPr>
            <w:tcW w:w="0" w:type="auto"/>
            <w:tcMar>
              <w:top w:w="100" w:type="dxa"/>
              <w:left w:w="144" w:type="dxa"/>
              <w:bottom w:w="100" w:type="dxa"/>
              <w:right w:w="160" w:type="dxa"/>
            </w:tcMar>
            <w:vAlign w:val="center"/>
            <w:hideMark/>
          </w:tcPr>
          <w:p w14:paraId="1C621F6B" w14:textId="77777777" w:rsidR="00C5765C" w:rsidRPr="00C5765C" w:rsidRDefault="00C5765C" w:rsidP="00C5765C">
            <w:pPr>
              <w:spacing w:after="0" w:line="240" w:lineRule="auto"/>
              <w:rPr>
                <w:rFonts w:asciiTheme="majorBidi" w:hAnsiTheme="majorBidi" w:cstheme="majorBidi"/>
                <w:sz w:val="24"/>
                <w:szCs w:val="24"/>
                <w:lang w:val="en-US"/>
              </w:rPr>
            </w:pPr>
            <w:r w:rsidRPr="00C5765C">
              <w:rPr>
                <w:rFonts w:asciiTheme="majorBidi" w:hAnsiTheme="majorBidi" w:cstheme="majorBidi"/>
                <w:sz w:val="24"/>
                <w:szCs w:val="24"/>
                <w:lang w:val="en-US"/>
              </w:rPr>
              <w:t>Microsatellite Instability (MSI) / Mismatch Repair (</w:t>
            </w:r>
            <w:proofErr w:type="spellStart"/>
            <w:r w:rsidRPr="00C5765C">
              <w:rPr>
                <w:rFonts w:asciiTheme="majorBidi" w:hAnsiTheme="majorBidi" w:cstheme="majorBidi"/>
                <w:sz w:val="24"/>
                <w:szCs w:val="24"/>
                <w:lang w:val="en-US"/>
              </w:rPr>
              <w:t>dMMR</w:t>
            </w:r>
            <w:proofErr w:type="spellEnd"/>
            <w:r w:rsidRPr="00C5765C">
              <w:rPr>
                <w:rFonts w:asciiTheme="majorBidi" w:hAnsiTheme="majorBidi" w:cstheme="majorBidi"/>
                <w:sz w:val="24"/>
                <w:szCs w:val="24"/>
                <w:lang w:val="en-US"/>
              </w:rPr>
              <w:t>)</w:t>
            </w:r>
          </w:p>
        </w:tc>
        <w:tc>
          <w:tcPr>
            <w:tcW w:w="0" w:type="auto"/>
            <w:tcMar>
              <w:top w:w="100" w:type="dxa"/>
              <w:left w:w="160" w:type="dxa"/>
              <w:bottom w:w="100" w:type="dxa"/>
              <w:right w:w="160" w:type="dxa"/>
            </w:tcMar>
            <w:vAlign w:val="center"/>
            <w:hideMark/>
          </w:tcPr>
          <w:p w14:paraId="7B5C0616"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A hallmark of Lynch syndrome and present in some sporadic cancers.</w:t>
            </w:r>
          </w:p>
        </w:tc>
        <w:tc>
          <w:tcPr>
            <w:tcW w:w="3692" w:type="dxa"/>
            <w:tcMar>
              <w:top w:w="100" w:type="dxa"/>
              <w:left w:w="160" w:type="dxa"/>
              <w:bottom w:w="100" w:type="dxa"/>
              <w:right w:w="144" w:type="dxa"/>
            </w:tcMar>
            <w:vAlign w:val="center"/>
            <w:hideMark/>
          </w:tcPr>
          <w:p w14:paraId="14627F5E" w14:textId="77777777" w:rsidR="00C5765C" w:rsidRPr="00C5765C" w:rsidRDefault="00C5765C" w:rsidP="00C5765C">
            <w:pPr>
              <w:spacing w:after="0" w:line="240" w:lineRule="auto"/>
              <w:jc w:val="both"/>
              <w:rPr>
                <w:rFonts w:asciiTheme="majorBidi" w:hAnsiTheme="majorBidi" w:cstheme="majorBidi"/>
                <w:sz w:val="24"/>
                <w:szCs w:val="24"/>
                <w:lang w:val="en-US"/>
              </w:rPr>
            </w:pPr>
            <w:r w:rsidRPr="00C5765C">
              <w:rPr>
                <w:rFonts w:asciiTheme="majorBidi" w:hAnsiTheme="majorBidi" w:cstheme="majorBidi"/>
                <w:sz w:val="24"/>
                <w:szCs w:val="24"/>
                <w:lang w:val="en-US"/>
              </w:rPr>
              <w:t>A strong predictive biomarker for response to immune checkpoint inhibitors (e.g., pembrolizumab).</w:t>
            </w:r>
          </w:p>
        </w:tc>
      </w:tr>
    </w:tbl>
    <w:p w14:paraId="69A5F296" w14:textId="77777777" w:rsidR="00C5765C" w:rsidRDefault="00C5765C" w:rsidP="00D53A0B">
      <w:pPr>
        <w:spacing w:line="360" w:lineRule="auto"/>
        <w:jc w:val="both"/>
        <w:rPr>
          <w:rFonts w:asciiTheme="majorBidi" w:hAnsiTheme="majorBidi" w:cstheme="majorBidi"/>
          <w:sz w:val="24"/>
          <w:szCs w:val="24"/>
          <w:lang w:val="en-US"/>
        </w:rPr>
      </w:pPr>
    </w:p>
    <w:p w14:paraId="1E584C92" w14:textId="77777777" w:rsidR="00C5765C" w:rsidRDefault="00C5765C" w:rsidP="00D53A0B">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Therefore, </w:t>
      </w:r>
      <w:r w:rsidRPr="00C5765C">
        <w:rPr>
          <w:rFonts w:asciiTheme="majorBidi" w:hAnsiTheme="majorBidi" w:cstheme="majorBidi"/>
          <w:sz w:val="24"/>
          <w:szCs w:val="24"/>
          <w:lang w:val="en-US"/>
        </w:rPr>
        <w:t xml:space="preserve">colonoscopy is not a standalone screening tool. It is an integral component of a continuous care pathway that spans from primary prevention to </w:t>
      </w:r>
      <w:proofErr w:type="spellStart"/>
      <w:r w:rsidRPr="00C5765C">
        <w:rPr>
          <w:rFonts w:asciiTheme="majorBidi" w:hAnsiTheme="majorBidi" w:cstheme="majorBidi"/>
          <w:sz w:val="24"/>
          <w:szCs w:val="24"/>
          <w:lang w:val="en-US"/>
        </w:rPr>
        <w:t>individualised</w:t>
      </w:r>
      <w:proofErr w:type="spellEnd"/>
      <w:r w:rsidRPr="00C5765C">
        <w:rPr>
          <w:rFonts w:asciiTheme="majorBidi" w:hAnsiTheme="majorBidi" w:cstheme="majorBidi"/>
          <w:sz w:val="24"/>
          <w:szCs w:val="24"/>
          <w:lang w:val="en-US"/>
        </w:rPr>
        <w:t xml:space="preserve"> oncology. Its </w:t>
      </w:r>
      <w:proofErr w:type="spellStart"/>
      <w:r w:rsidRPr="00C5765C">
        <w:rPr>
          <w:rFonts w:asciiTheme="majorBidi" w:hAnsiTheme="majorBidi" w:cstheme="majorBidi"/>
          <w:sz w:val="24"/>
          <w:szCs w:val="24"/>
          <w:lang w:val="en-US"/>
        </w:rPr>
        <w:t>optimisation</w:t>
      </w:r>
      <w:proofErr w:type="spellEnd"/>
      <w:r w:rsidRPr="00C5765C">
        <w:rPr>
          <w:rFonts w:asciiTheme="majorBidi" w:hAnsiTheme="majorBidi" w:cstheme="majorBidi"/>
          <w:sz w:val="24"/>
          <w:szCs w:val="24"/>
          <w:lang w:val="en-US"/>
        </w:rPr>
        <w:t xml:space="preserve"> is therefore not merely a logistical concern but a fundamental prerequisite for delivering effective, modern colorectal cancer care.</w:t>
      </w:r>
    </w:p>
    <w:p w14:paraId="3C7E3BFB" w14:textId="77777777" w:rsidR="00B81B04" w:rsidRDefault="00B81B04" w:rsidP="00D53A0B">
      <w:pPr>
        <w:spacing w:line="360" w:lineRule="auto"/>
        <w:jc w:val="both"/>
        <w:rPr>
          <w:rFonts w:asciiTheme="majorBidi" w:hAnsiTheme="majorBidi" w:cstheme="majorBidi"/>
          <w:sz w:val="24"/>
          <w:szCs w:val="24"/>
          <w:lang w:val="en-US"/>
        </w:rPr>
      </w:pPr>
    </w:p>
    <w:p w14:paraId="51CFD5D6" w14:textId="77777777" w:rsidR="00B81B04" w:rsidRDefault="00B81B04" w:rsidP="00D53A0B">
      <w:pPr>
        <w:spacing w:line="360" w:lineRule="auto"/>
        <w:jc w:val="both"/>
        <w:rPr>
          <w:rFonts w:asciiTheme="majorBidi" w:hAnsiTheme="majorBidi" w:cstheme="majorBidi"/>
          <w:sz w:val="24"/>
          <w:szCs w:val="24"/>
          <w:lang w:val="en-US"/>
        </w:rPr>
      </w:pPr>
    </w:p>
    <w:p w14:paraId="2D4B61CA" w14:textId="77777777" w:rsidR="00B81B04" w:rsidRDefault="00B81B04" w:rsidP="00D53A0B">
      <w:pPr>
        <w:spacing w:line="360" w:lineRule="auto"/>
        <w:jc w:val="both"/>
        <w:rPr>
          <w:rFonts w:asciiTheme="majorBidi" w:hAnsiTheme="majorBidi" w:cstheme="majorBidi"/>
          <w:sz w:val="24"/>
          <w:szCs w:val="24"/>
          <w:lang w:val="en-US"/>
        </w:rPr>
      </w:pPr>
    </w:p>
    <w:p w14:paraId="3FF33D34" w14:textId="77777777" w:rsidR="007B0261" w:rsidRPr="00A14E58" w:rsidRDefault="00BB427D" w:rsidP="00D53A0B">
      <w:pPr>
        <w:spacing w:line="360" w:lineRule="auto"/>
        <w:jc w:val="both"/>
        <w:rPr>
          <w:rFonts w:asciiTheme="majorBidi" w:hAnsiTheme="majorBidi" w:cstheme="majorBidi"/>
          <w:b/>
          <w:bCs/>
          <w:sz w:val="28"/>
          <w:szCs w:val="28"/>
          <w:lang w:val="en-US"/>
        </w:rPr>
      </w:pPr>
      <w:r w:rsidRPr="00A14E58">
        <w:rPr>
          <w:rFonts w:asciiTheme="majorBidi" w:hAnsiTheme="majorBidi" w:cstheme="majorBidi"/>
          <w:b/>
          <w:bCs/>
          <w:sz w:val="28"/>
          <w:szCs w:val="28"/>
          <w:lang w:val="en-US"/>
        </w:rPr>
        <w:t xml:space="preserve">A Four-Pillar Framework for Capacity and Quality </w:t>
      </w:r>
      <w:proofErr w:type="spellStart"/>
      <w:r w:rsidRPr="00A14E58">
        <w:rPr>
          <w:rFonts w:asciiTheme="majorBidi" w:hAnsiTheme="majorBidi" w:cstheme="majorBidi"/>
          <w:b/>
          <w:bCs/>
          <w:sz w:val="28"/>
          <w:szCs w:val="28"/>
          <w:lang w:val="en-US"/>
        </w:rPr>
        <w:t>Optimisation</w:t>
      </w:r>
      <w:proofErr w:type="spellEnd"/>
    </w:p>
    <w:p w14:paraId="717FBDEB" w14:textId="77777777" w:rsidR="00BB427D" w:rsidRPr="00A14E58" w:rsidRDefault="00A14E58" w:rsidP="00D53A0B">
      <w:pPr>
        <w:spacing w:line="360" w:lineRule="auto"/>
        <w:jc w:val="both"/>
        <w:rPr>
          <w:rFonts w:asciiTheme="majorBidi" w:hAnsiTheme="majorBidi" w:cstheme="majorBidi"/>
          <w:b/>
          <w:bCs/>
          <w:sz w:val="24"/>
          <w:szCs w:val="24"/>
          <w:lang w:val="en-US"/>
        </w:rPr>
      </w:pPr>
      <w:r w:rsidRPr="00A14E58">
        <w:rPr>
          <w:rFonts w:asciiTheme="majorBidi" w:hAnsiTheme="majorBidi" w:cstheme="majorBidi"/>
          <w:b/>
          <w:bCs/>
          <w:sz w:val="24"/>
          <w:szCs w:val="24"/>
          <w:lang w:val="en-US"/>
        </w:rPr>
        <w:t>Pillar 1: Intelligent Systems (AI-Driven Workflow and Scheduling)</w:t>
      </w:r>
    </w:p>
    <w:p w14:paraId="4CA5CBE5" w14:textId="77777777" w:rsidR="00A14E58" w:rsidRPr="00A14E58" w:rsidRDefault="00A14E58" w:rsidP="00926717">
      <w:pPr>
        <w:spacing w:line="360" w:lineRule="auto"/>
        <w:jc w:val="both"/>
        <w:rPr>
          <w:rFonts w:asciiTheme="majorBidi" w:hAnsiTheme="majorBidi" w:cstheme="majorBidi"/>
          <w:sz w:val="24"/>
          <w:szCs w:val="24"/>
          <w:lang w:val="en-US"/>
        </w:rPr>
      </w:pPr>
      <w:r w:rsidRPr="00A14E58">
        <w:rPr>
          <w:rFonts w:asciiTheme="majorBidi" w:hAnsiTheme="majorBidi" w:cstheme="majorBidi"/>
          <w:sz w:val="24"/>
          <w:szCs w:val="24"/>
          <w:lang w:val="en-US"/>
        </w:rPr>
        <w:t>A fundamental reassessment of operational workflows is required to address systemic inefficiencies that plague many gastroenterology units. The first pillar of this framework addresses the critical shortcomings in traditional scheduling and patient flow management. Conventional booking systems often operate on fixed, estimated procedure times that fail to account for patient-specific factors or clinician variability</w:t>
      </w:r>
      <w:r w:rsidR="00926717">
        <w:rPr>
          <w:rFonts w:asciiTheme="majorBidi" w:hAnsiTheme="majorBidi" w:cstheme="majorBidi"/>
          <w:sz w:val="24"/>
          <w:szCs w:val="24"/>
          <w:lang w:val="en-US"/>
        </w:rPr>
        <w:t xml:space="preserve"> (Ala &amp; Chen, 2022)</w:t>
      </w:r>
      <w:r w:rsidRPr="00A14E58">
        <w:rPr>
          <w:rFonts w:asciiTheme="majorBidi" w:hAnsiTheme="majorBidi" w:cstheme="majorBidi"/>
          <w:sz w:val="24"/>
          <w:szCs w:val="24"/>
          <w:lang w:val="en-US"/>
        </w:rPr>
        <w:t xml:space="preserve">. This inflexibility creates significant bottlenecks, leading to prolonged patient waiting times and suboptimal </w:t>
      </w:r>
      <w:proofErr w:type="spellStart"/>
      <w:r w:rsidRPr="00A14E58">
        <w:rPr>
          <w:rFonts w:asciiTheme="majorBidi" w:hAnsiTheme="majorBidi" w:cstheme="majorBidi"/>
          <w:sz w:val="24"/>
          <w:szCs w:val="24"/>
          <w:lang w:val="en-US"/>
        </w:rPr>
        <w:t>utilisation</w:t>
      </w:r>
      <w:proofErr w:type="spellEnd"/>
      <w:r w:rsidRPr="00A14E58">
        <w:rPr>
          <w:rFonts w:asciiTheme="majorBidi" w:hAnsiTheme="majorBidi" w:cstheme="majorBidi"/>
          <w:sz w:val="24"/>
          <w:szCs w:val="24"/>
          <w:lang w:val="en-US"/>
        </w:rPr>
        <w:t xml:space="preserve"> of staff and physical resources</w:t>
      </w:r>
      <w:r w:rsidR="004949EE">
        <w:rPr>
          <w:rFonts w:asciiTheme="majorBidi" w:hAnsiTheme="majorBidi" w:cstheme="majorBidi"/>
          <w:sz w:val="24"/>
          <w:szCs w:val="24"/>
          <w:lang w:val="en-US"/>
        </w:rPr>
        <w:t xml:space="preserve"> (Biya et al., 2022)</w:t>
      </w:r>
      <w:r w:rsidRPr="00A14E58">
        <w:rPr>
          <w:rFonts w:asciiTheme="majorBidi" w:hAnsiTheme="majorBidi" w:cstheme="majorBidi"/>
          <w:sz w:val="24"/>
          <w:szCs w:val="24"/>
          <w:lang w:val="en-US"/>
        </w:rPr>
        <w:t>. These inefficiencies directly constrain unit capacity and can compromise the quality of patient care through rushed preparations or procedural delays.</w:t>
      </w:r>
    </w:p>
    <w:p w14:paraId="0F8BDCD9" w14:textId="77777777" w:rsidR="00A14E58" w:rsidRDefault="00A14E58" w:rsidP="00DD3340">
      <w:pPr>
        <w:spacing w:line="360" w:lineRule="auto"/>
        <w:jc w:val="both"/>
        <w:rPr>
          <w:rFonts w:asciiTheme="majorBidi" w:hAnsiTheme="majorBidi" w:cstheme="majorBidi"/>
          <w:sz w:val="24"/>
          <w:szCs w:val="24"/>
          <w:lang w:val="en-US"/>
        </w:rPr>
      </w:pPr>
      <w:r w:rsidRPr="00A14E58">
        <w:rPr>
          <w:rFonts w:asciiTheme="majorBidi" w:hAnsiTheme="majorBidi" w:cstheme="majorBidi"/>
          <w:sz w:val="24"/>
          <w:szCs w:val="24"/>
          <w:lang w:val="en-US"/>
        </w:rPr>
        <w:t xml:space="preserve">Artificial intelligence presents a tangible solution to these deeply entrenched problems. Machine learning algorithms can </w:t>
      </w:r>
      <w:proofErr w:type="spellStart"/>
      <w:r w:rsidRPr="00A14E58">
        <w:rPr>
          <w:rFonts w:asciiTheme="majorBidi" w:hAnsiTheme="majorBidi" w:cstheme="majorBidi"/>
          <w:sz w:val="24"/>
          <w:szCs w:val="24"/>
          <w:lang w:val="en-US"/>
        </w:rPr>
        <w:t>analyse</w:t>
      </w:r>
      <w:proofErr w:type="spellEnd"/>
      <w:r w:rsidRPr="00A14E58">
        <w:rPr>
          <w:rFonts w:asciiTheme="majorBidi" w:hAnsiTheme="majorBidi" w:cstheme="majorBidi"/>
          <w:sz w:val="24"/>
          <w:szCs w:val="24"/>
          <w:lang w:val="en-US"/>
        </w:rPr>
        <w:t xml:space="preserve"> historical data to predict procedure duration with far greater accuracy than human estimation. A study by Li et al. (2021) demonstrated the practical impact of such a system, where its implementation slashed patient wait times from nearly two hours to just over twenty minutes. This was achieved through dynamic, AI-assisted scheduling that </w:t>
      </w:r>
      <w:proofErr w:type="spellStart"/>
      <w:r w:rsidRPr="00A14E58">
        <w:rPr>
          <w:rFonts w:asciiTheme="majorBidi" w:hAnsiTheme="majorBidi" w:cstheme="majorBidi"/>
          <w:sz w:val="24"/>
          <w:szCs w:val="24"/>
          <w:lang w:val="en-US"/>
        </w:rPr>
        <w:t>optimised</w:t>
      </w:r>
      <w:proofErr w:type="spellEnd"/>
      <w:r w:rsidRPr="00A14E58">
        <w:rPr>
          <w:rFonts w:asciiTheme="majorBidi" w:hAnsiTheme="majorBidi" w:cstheme="majorBidi"/>
          <w:sz w:val="24"/>
          <w:szCs w:val="24"/>
          <w:lang w:val="en-US"/>
        </w:rPr>
        <w:t xml:space="preserve"> the sequence of patients and allocated resources proactively. The potential benefits of this intelligent system are </w:t>
      </w:r>
      <w:proofErr w:type="spellStart"/>
      <w:r w:rsidRPr="00A14E58">
        <w:rPr>
          <w:rFonts w:asciiTheme="majorBidi" w:hAnsiTheme="majorBidi" w:cstheme="majorBidi"/>
          <w:sz w:val="24"/>
          <w:szCs w:val="24"/>
          <w:lang w:val="en-US"/>
        </w:rPr>
        <w:t>summarised</w:t>
      </w:r>
      <w:proofErr w:type="spellEnd"/>
      <w:r w:rsidRPr="00A14E58">
        <w:rPr>
          <w:rFonts w:asciiTheme="majorBidi" w:hAnsiTheme="majorBidi" w:cstheme="majorBidi"/>
          <w:sz w:val="24"/>
          <w:szCs w:val="24"/>
          <w:lang w:val="en-US"/>
        </w:rPr>
        <w:t xml:space="preserve"> in </w:t>
      </w:r>
      <w:r w:rsidR="00DD3340">
        <w:rPr>
          <w:rFonts w:asciiTheme="majorBidi" w:hAnsiTheme="majorBidi" w:cstheme="majorBidi"/>
          <w:sz w:val="24"/>
          <w:szCs w:val="24"/>
          <w:lang w:val="en-US"/>
        </w:rPr>
        <w:t>Table 2</w:t>
      </w:r>
      <w:r w:rsidRPr="00A14E58">
        <w:rPr>
          <w:rFonts w:asciiTheme="majorBidi" w:hAnsiTheme="majorBidi" w:cstheme="majorBidi"/>
          <w:sz w:val="24"/>
          <w:szCs w:val="24"/>
          <w:lang w:val="en-US"/>
        </w:rPr>
        <w:t>. However, a critical barrier remains the initial investment and the integration of these technologies into legacy hospital information systems, which often lack interoperability.</w:t>
      </w:r>
    </w:p>
    <w:tbl>
      <w:tblPr>
        <w:tblpPr w:leftFromText="180" w:rightFromText="180" w:vertAnchor="text" w:horzAnchor="margin" w:tblpY="4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26"/>
        <w:gridCol w:w="3162"/>
        <w:gridCol w:w="3162"/>
      </w:tblGrid>
      <w:tr w:rsidR="0038288F" w:rsidRPr="004E3FD9" w14:paraId="1323864A" w14:textId="77777777" w:rsidTr="0038288F">
        <w:tc>
          <w:tcPr>
            <w:tcW w:w="1618" w:type="pct"/>
            <w:tcMar>
              <w:top w:w="100" w:type="dxa"/>
              <w:left w:w="144" w:type="dxa"/>
              <w:bottom w:w="100" w:type="dxa"/>
              <w:right w:w="160" w:type="dxa"/>
            </w:tcMar>
            <w:vAlign w:val="center"/>
            <w:hideMark/>
          </w:tcPr>
          <w:p w14:paraId="03A41D58"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Metric</w:t>
            </w:r>
          </w:p>
        </w:tc>
        <w:tc>
          <w:tcPr>
            <w:tcW w:w="1691" w:type="pct"/>
            <w:tcMar>
              <w:top w:w="100" w:type="dxa"/>
              <w:left w:w="160" w:type="dxa"/>
              <w:bottom w:w="100" w:type="dxa"/>
              <w:right w:w="160" w:type="dxa"/>
            </w:tcMar>
            <w:vAlign w:val="center"/>
            <w:hideMark/>
          </w:tcPr>
          <w:p w14:paraId="4A066866"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Traditional System</w:t>
            </w:r>
          </w:p>
        </w:tc>
        <w:tc>
          <w:tcPr>
            <w:tcW w:w="1691" w:type="pct"/>
            <w:tcMar>
              <w:top w:w="100" w:type="dxa"/>
              <w:left w:w="160" w:type="dxa"/>
              <w:bottom w:w="100" w:type="dxa"/>
              <w:right w:w="160" w:type="dxa"/>
            </w:tcMar>
            <w:vAlign w:val="center"/>
            <w:hideMark/>
          </w:tcPr>
          <w:p w14:paraId="72DFEA11"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AI-</w:t>
            </w:r>
            <w:proofErr w:type="spellStart"/>
            <w:r w:rsidRPr="004E3FD9">
              <w:rPr>
                <w:rFonts w:asciiTheme="majorBidi" w:hAnsiTheme="majorBidi" w:cstheme="majorBidi"/>
                <w:sz w:val="24"/>
                <w:szCs w:val="24"/>
                <w:lang w:val="en-US"/>
              </w:rPr>
              <w:t>Optimised</w:t>
            </w:r>
            <w:proofErr w:type="spellEnd"/>
            <w:r w:rsidRPr="004E3FD9">
              <w:rPr>
                <w:rFonts w:asciiTheme="majorBidi" w:hAnsiTheme="majorBidi" w:cstheme="majorBidi"/>
                <w:sz w:val="24"/>
                <w:szCs w:val="24"/>
                <w:lang w:val="en-US"/>
              </w:rPr>
              <w:t xml:space="preserve"> System</w:t>
            </w:r>
          </w:p>
        </w:tc>
      </w:tr>
      <w:tr w:rsidR="0038288F" w:rsidRPr="004E3FD9" w14:paraId="5AB6073D" w14:textId="77777777" w:rsidTr="0038288F">
        <w:tc>
          <w:tcPr>
            <w:tcW w:w="1618" w:type="pct"/>
            <w:tcMar>
              <w:top w:w="100" w:type="dxa"/>
              <w:left w:w="144" w:type="dxa"/>
              <w:bottom w:w="100" w:type="dxa"/>
              <w:right w:w="160" w:type="dxa"/>
            </w:tcMar>
            <w:vAlign w:val="center"/>
            <w:hideMark/>
          </w:tcPr>
          <w:p w14:paraId="54E37EF4"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Patient Wait Times</w:t>
            </w:r>
          </w:p>
        </w:tc>
        <w:tc>
          <w:tcPr>
            <w:tcW w:w="1691" w:type="pct"/>
            <w:tcMar>
              <w:top w:w="100" w:type="dxa"/>
              <w:left w:w="160" w:type="dxa"/>
              <w:bottom w:w="100" w:type="dxa"/>
              <w:right w:w="160" w:type="dxa"/>
            </w:tcMar>
            <w:vAlign w:val="center"/>
            <w:hideMark/>
          </w:tcPr>
          <w:p w14:paraId="368A27B7"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Often exceeding 60-90 minutes</w:t>
            </w:r>
          </w:p>
        </w:tc>
        <w:tc>
          <w:tcPr>
            <w:tcW w:w="1691" w:type="pct"/>
            <w:tcMar>
              <w:top w:w="100" w:type="dxa"/>
              <w:left w:w="160" w:type="dxa"/>
              <w:bottom w:w="100" w:type="dxa"/>
              <w:right w:w="144" w:type="dxa"/>
            </w:tcMar>
            <w:vAlign w:val="center"/>
            <w:hideMark/>
          </w:tcPr>
          <w:p w14:paraId="6D225F7C"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Can be reduced to under 30 minutes</w:t>
            </w:r>
          </w:p>
        </w:tc>
      </w:tr>
      <w:tr w:rsidR="0038288F" w:rsidRPr="004E3FD9" w14:paraId="3A20E230" w14:textId="77777777" w:rsidTr="0038288F">
        <w:tc>
          <w:tcPr>
            <w:tcW w:w="1618" w:type="pct"/>
            <w:tcMar>
              <w:top w:w="100" w:type="dxa"/>
              <w:left w:w="144" w:type="dxa"/>
              <w:bottom w:w="100" w:type="dxa"/>
              <w:right w:w="160" w:type="dxa"/>
            </w:tcMar>
            <w:vAlign w:val="center"/>
            <w:hideMark/>
          </w:tcPr>
          <w:p w14:paraId="14409E48"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 xml:space="preserve">Staff &amp; Room </w:t>
            </w:r>
            <w:proofErr w:type="spellStart"/>
            <w:r w:rsidRPr="004E3FD9">
              <w:rPr>
                <w:rFonts w:asciiTheme="majorBidi" w:hAnsiTheme="majorBidi" w:cstheme="majorBidi"/>
                <w:sz w:val="24"/>
                <w:szCs w:val="24"/>
                <w:lang w:val="en-US"/>
              </w:rPr>
              <w:t>Utilisation</w:t>
            </w:r>
            <w:proofErr w:type="spellEnd"/>
          </w:p>
        </w:tc>
        <w:tc>
          <w:tcPr>
            <w:tcW w:w="1691" w:type="pct"/>
            <w:tcMar>
              <w:top w:w="100" w:type="dxa"/>
              <w:left w:w="160" w:type="dxa"/>
              <w:bottom w:w="100" w:type="dxa"/>
              <w:right w:w="160" w:type="dxa"/>
            </w:tcMar>
            <w:vAlign w:val="center"/>
            <w:hideMark/>
          </w:tcPr>
          <w:p w14:paraId="0E04F1F2"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Inconsistent, with frequent idle periods</w:t>
            </w:r>
          </w:p>
        </w:tc>
        <w:tc>
          <w:tcPr>
            <w:tcW w:w="1691" w:type="pct"/>
            <w:tcMar>
              <w:top w:w="100" w:type="dxa"/>
              <w:left w:w="160" w:type="dxa"/>
              <w:bottom w:w="100" w:type="dxa"/>
              <w:right w:w="144" w:type="dxa"/>
            </w:tcMar>
            <w:vAlign w:val="center"/>
            <w:hideMark/>
          </w:tcPr>
          <w:p w14:paraId="6EC296D2"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 xml:space="preserve">Predictable and </w:t>
            </w:r>
            <w:proofErr w:type="spellStart"/>
            <w:r w:rsidRPr="004E3FD9">
              <w:rPr>
                <w:rFonts w:asciiTheme="majorBidi" w:hAnsiTheme="majorBidi" w:cstheme="majorBidi"/>
                <w:sz w:val="24"/>
                <w:szCs w:val="24"/>
                <w:lang w:val="en-US"/>
              </w:rPr>
              <w:t>maximised</w:t>
            </w:r>
            <w:proofErr w:type="spellEnd"/>
          </w:p>
        </w:tc>
      </w:tr>
      <w:tr w:rsidR="0038288F" w:rsidRPr="004E3FD9" w14:paraId="32E640A5" w14:textId="77777777" w:rsidTr="0038288F">
        <w:tc>
          <w:tcPr>
            <w:tcW w:w="1618" w:type="pct"/>
            <w:tcMar>
              <w:top w:w="100" w:type="dxa"/>
              <w:left w:w="144" w:type="dxa"/>
              <w:bottom w:w="100" w:type="dxa"/>
              <w:right w:w="160" w:type="dxa"/>
            </w:tcMar>
            <w:vAlign w:val="center"/>
            <w:hideMark/>
          </w:tcPr>
          <w:p w14:paraId="1A92147F"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lastRenderedPageBreak/>
              <w:t>Scheduling Accuracy</w:t>
            </w:r>
          </w:p>
        </w:tc>
        <w:tc>
          <w:tcPr>
            <w:tcW w:w="1691" w:type="pct"/>
            <w:tcMar>
              <w:top w:w="100" w:type="dxa"/>
              <w:left w:w="160" w:type="dxa"/>
              <w:bottom w:w="100" w:type="dxa"/>
              <w:right w:w="160" w:type="dxa"/>
            </w:tcMar>
            <w:vAlign w:val="center"/>
            <w:hideMark/>
          </w:tcPr>
          <w:p w14:paraId="7129036E"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Based on averages, leading to delays</w:t>
            </w:r>
          </w:p>
        </w:tc>
        <w:tc>
          <w:tcPr>
            <w:tcW w:w="1691" w:type="pct"/>
            <w:tcMar>
              <w:top w:w="100" w:type="dxa"/>
              <w:left w:w="160" w:type="dxa"/>
              <w:bottom w:w="100" w:type="dxa"/>
              <w:right w:w="144" w:type="dxa"/>
            </w:tcMar>
            <w:vAlign w:val="center"/>
            <w:hideMark/>
          </w:tcPr>
          <w:p w14:paraId="4D75951C" w14:textId="77777777" w:rsidR="0038288F" w:rsidRPr="004E3FD9" w:rsidRDefault="0038288F" w:rsidP="0038288F">
            <w:pPr>
              <w:spacing w:after="0" w:line="240" w:lineRule="auto"/>
              <w:jc w:val="both"/>
              <w:rPr>
                <w:rFonts w:asciiTheme="majorBidi" w:hAnsiTheme="majorBidi" w:cstheme="majorBidi"/>
                <w:sz w:val="24"/>
                <w:szCs w:val="24"/>
                <w:lang w:val="en-US"/>
              </w:rPr>
            </w:pPr>
            <w:r w:rsidRPr="004E3FD9">
              <w:rPr>
                <w:rFonts w:asciiTheme="majorBidi" w:hAnsiTheme="majorBidi" w:cstheme="majorBidi"/>
                <w:sz w:val="24"/>
                <w:szCs w:val="24"/>
                <w:lang w:val="en-US"/>
              </w:rPr>
              <w:t>Tailored to patient and procedure complexity</w:t>
            </w:r>
          </w:p>
        </w:tc>
      </w:tr>
    </w:tbl>
    <w:p w14:paraId="464ABBE1" w14:textId="77777777" w:rsidR="00DD3340" w:rsidRDefault="00DD3340" w:rsidP="00DD3340">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2: P</w:t>
      </w:r>
      <w:r w:rsidRPr="00DD3340">
        <w:rPr>
          <w:rFonts w:asciiTheme="majorBidi" w:hAnsiTheme="majorBidi" w:cstheme="majorBidi"/>
          <w:sz w:val="24"/>
          <w:szCs w:val="24"/>
          <w:lang w:val="en-US"/>
        </w:rPr>
        <w:t xml:space="preserve">otential impacts of AI-driven workflow </w:t>
      </w:r>
      <w:r w:rsidR="004E3FD9">
        <w:rPr>
          <w:rFonts w:asciiTheme="majorBidi" w:hAnsiTheme="majorBidi" w:cstheme="majorBidi"/>
          <w:sz w:val="24"/>
          <w:szCs w:val="24"/>
          <w:lang w:val="en-US"/>
        </w:rPr>
        <w:t>optimization</w:t>
      </w:r>
    </w:p>
    <w:p w14:paraId="3C167A95" w14:textId="77777777" w:rsidR="004E3FD9" w:rsidRDefault="004E3FD9" w:rsidP="00DD3340">
      <w:pPr>
        <w:spacing w:line="360" w:lineRule="auto"/>
        <w:jc w:val="both"/>
        <w:rPr>
          <w:rFonts w:asciiTheme="majorBidi" w:hAnsiTheme="majorBidi" w:cstheme="majorBidi"/>
          <w:sz w:val="24"/>
          <w:szCs w:val="24"/>
          <w:lang w:val="en-US"/>
        </w:rPr>
      </w:pPr>
    </w:p>
    <w:p w14:paraId="456989C9" w14:textId="77777777" w:rsidR="00894293" w:rsidRDefault="00894293" w:rsidP="00B43FA8">
      <w:pPr>
        <w:spacing w:line="360" w:lineRule="auto"/>
        <w:jc w:val="both"/>
        <w:rPr>
          <w:rFonts w:asciiTheme="majorBidi" w:hAnsiTheme="majorBidi" w:cstheme="majorBidi"/>
          <w:sz w:val="24"/>
          <w:szCs w:val="24"/>
          <w:lang w:val="en-US"/>
        </w:rPr>
      </w:pPr>
      <w:r w:rsidRPr="00894293">
        <w:rPr>
          <w:rFonts w:asciiTheme="majorBidi" w:hAnsiTheme="majorBidi" w:cstheme="majorBidi"/>
          <w:sz w:val="24"/>
          <w:szCs w:val="24"/>
          <w:lang w:val="en-US"/>
        </w:rPr>
        <w:t>The implementation of AI-driven scheduling is not merely a technical upgrade but a necessary step towards a more rational and responsive service. It moves units away from reactive practices and towards a data-driven model that can adapt to real-world demands. Failure to adopt such intelligent systems will perpetuate existing inefficiencies,</w:t>
      </w:r>
      <w:r w:rsidR="00B43FA8">
        <w:rPr>
          <w:rFonts w:asciiTheme="majorBidi" w:hAnsiTheme="majorBidi" w:cstheme="majorBidi"/>
          <w:sz w:val="24"/>
          <w:szCs w:val="24"/>
          <w:lang w:val="en-US"/>
        </w:rPr>
        <w:t xml:space="preserve"> thereby limiting a unit’</w:t>
      </w:r>
      <w:r w:rsidRPr="00894293">
        <w:rPr>
          <w:rFonts w:asciiTheme="majorBidi" w:hAnsiTheme="majorBidi" w:cstheme="majorBidi"/>
          <w:sz w:val="24"/>
          <w:szCs w:val="24"/>
          <w:lang w:val="en-US"/>
        </w:rPr>
        <w:t>s ability to meet rising screening demands effectively.</w:t>
      </w:r>
      <w:r>
        <w:rPr>
          <w:rFonts w:asciiTheme="majorBidi" w:hAnsiTheme="majorBidi" w:cstheme="majorBidi"/>
          <w:sz w:val="24"/>
          <w:szCs w:val="24"/>
          <w:lang w:val="en-US"/>
        </w:rPr>
        <w:t xml:space="preserve"> </w:t>
      </w:r>
    </w:p>
    <w:p w14:paraId="7CD7ADD2" w14:textId="77777777" w:rsidR="00640B0D" w:rsidRDefault="00640B0D" w:rsidP="00B43FA8">
      <w:pP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Pillar 2: Process Excellence (</w:t>
      </w:r>
      <w:r w:rsidRPr="00640B0D">
        <w:rPr>
          <w:rFonts w:asciiTheme="majorBidi" w:hAnsiTheme="majorBidi" w:cstheme="majorBidi"/>
          <w:b/>
          <w:bCs/>
          <w:sz w:val="24"/>
          <w:szCs w:val="24"/>
          <w:lang w:val="en-US"/>
        </w:rPr>
        <w:t>The Application of Lean Management</w:t>
      </w:r>
      <w:r>
        <w:rPr>
          <w:rFonts w:asciiTheme="majorBidi" w:hAnsiTheme="majorBidi" w:cstheme="majorBidi"/>
          <w:b/>
          <w:bCs/>
          <w:sz w:val="24"/>
          <w:szCs w:val="24"/>
          <w:lang w:val="en-US"/>
        </w:rPr>
        <w:t>)</w:t>
      </w:r>
    </w:p>
    <w:p w14:paraId="79344E44" w14:textId="77777777" w:rsidR="00AB75CC" w:rsidRPr="00AB75CC" w:rsidRDefault="00AB75CC" w:rsidP="00AB75CC">
      <w:pPr>
        <w:spacing w:line="360" w:lineRule="auto"/>
        <w:jc w:val="both"/>
        <w:rPr>
          <w:rFonts w:asciiTheme="majorBidi" w:hAnsiTheme="majorBidi" w:cstheme="majorBidi"/>
          <w:sz w:val="24"/>
          <w:szCs w:val="24"/>
          <w:lang w:val="en-US"/>
        </w:rPr>
      </w:pPr>
      <w:r w:rsidRPr="00AB75CC">
        <w:rPr>
          <w:rFonts w:asciiTheme="majorBidi" w:hAnsiTheme="majorBidi" w:cstheme="majorBidi"/>
          <w:sz w:val="24"/>
          <w:szCs w:val="24"/>
          <w:lang w:val="en-US"/>
        </w:rPr>
        <w:t>Many gastroenterology units suffer from ingrained process waste and workflow inconsistency that technology alone cannot solve. The second pillar advocates for the rigorous application of Lean management principles, a methodology often discussed but poorly implemented in healthcare. The core objective is to systematically identify and eliminate non-value-added activities that consume staff time and delay patient care. These inefficiencies range from redundant documentation and poor inventory control to unpredictable patient preparation quality</w:t>
      </w:r>
      <w:r>
        <w:rPr>
          <w:rFonts w:asciiTheme="majorBidi" w:hAnsiTheme="majorBidi" w:cstheme="majorBidi"/>
          <w:sz w:val="24"/>
          <w:szCs w:val="24"/>
          <w:lang w:val="en-US"/>
        </w:rPr>
        <w:t xml:space="preserve"> (Balkhi, Alshahrani, &amp; Khan, 2022)</w:t>
      </w:r>
      <w:r w:rsidRPr="00AB75CC">
        <w:rPr>
          <w:rFonts w:asciiTheme="majorBidi" w:hAnsiTheme="majorBidi" w:cstheme="majorBidi"/>
          <w:sz w:val="24"/>
          <w:szCs w:val="24"/>
          <w:lang w:val="en-US"/>
        </w:rPr>
        <w:t>. A study focusing on inpatient colonoscopy found that applying Lean principles significantly reduced process variability without requiring additional resources (Strauss et al., 2021). This demonstrates that substantial gains are possible through better use of existing assets.</w:t>
      </w:r>
    </w:p>
    <w:p w14:paraId="66AB8601" w14:textId="77777777" w:rsidR="00640B0D" w:rsidRDefault="00AB75CC" w:rsidP="0034091C">
      <w:pPr>
        <w:spacing w:line="360" w:lineRule="auto"/>
        <w:jc w:val="both"/>
        <w:rPr>
          <w:rFonts w:asciiTheme="majorBidi" w:hAnsiTheme="majorBidi" w:cstheme="majorBidi"/>
          <w:sz w:val="24"/>
          <w:szCs w:val="24"/>
          <w:lang w:val="en-US"/>
        </w:rPr>
      </w:pPr>
      <w:r w:rsidRPr="00AB75CC">
        <w:rPr>
          <w:rFonts w:asciiTheme="majorBidi" w:hAnsiTheme="majorBidi" w:cstheme="majorBidi"/>
          <w:sz w:val="24"/>
          <w:szCs w:val="24"/>
          <w:lang w:val="en-US"/>
        </w:rPr>
        <w:t xml:space="preserve">A principal target for Lean intervention is the bowel preparation process, a well-documented source of procedure cancellation and suboptimal mucosal </w:t>
      </w:r>
      <w:proofErr w:type="spellStart"/>
      <w:r w:rsidRPr="00AB75CC">
        <w:rPr>
          <w:rFonts w:asciiTheme="majorBidi" w:hAnsiTheme="majorBidi" w:cstheme="majorBidi"/>
          <w:sz w:val="24"/>
          <w:szCs w:val="24"/>
          <w:lang w:val="en-US"/>
        </w:rPr>
        <w:t>visualisation</w:t>
      </w:r>
      <w:proofErr w:type="spellEnd"/>
      <w:r w:rsidRPr="00AB75CC">
        <w:rPr>
          <w:rFonts w:asciiTheme="majorBidi" w:hAnsiTheme="majorBidi" w:cstheme="majorBidi"/>
          <w:sz w:val="24"/>
          <w:szCs w:val="24"/>
          <w:lang w:val="en-US"/>
        </w:rPr>
        <w:t>. Inconsistent patient instructions and variable adherence lead to inadequate prep, which directly increases adenoma miss rates and necessitates earlier repeat procedures, thereby straining capacity further</w:t>
      </w:r>
      <w:r w:rsidR="0034091C">
        <w:rPr>
          <w:rFonts w:asciiTheme="majorBidi" w:hAnsiTheme="majorBidi" w:cstheme="majorBidi"/>
          <w:sz w:val="24"/>
          <w:szCs w:val="24"/>
          <w:lang w:val="en-US"/>
        </w:rPr>
        <w:t xml:space="preserve"> (Maramraj, Yeap</w:t>
      </w:r>
      <w:r w:rsidR="0034091C" w:rsidRPr="0034091C">
        <w:rPr>
          <w:rFonts w:asciiTheme="majorBidi" w:hAnsiTheme="majorBidi" w:cstheme="majorBidi"/>
          <w:sz w:val="24"/>
          <w:szCs w:val="24"/>
          <w:lang w:val="en-US"/>
        </w:rPr>
        <w:t xml:space="preserve"> </w:t>
      </w:r>
      <w:r w:rsidR="0034091C">
        <w:rPr>
          <w:rFonts w:asciiTheme="majorBidi" w:hAnsiTheme="majorBidi" w:cstheme="majorBidi"/>
          <w:sz w:val="24"/>
          <w:szCs w:val="24"/>
          <w:lang w:val="en-US"/>
        </w:rPr>
        <w:t>&amp;</w:t>
      </w:r>
      <w:r w:rsidR="0034091C" w:rsidRPr="0034091C">
        <w:rPr>
          <w:rFonts w:asciiTheme="majorBidi" w:hAnsiTheme="majorBidi" w:cstheme="majorBidi"/>
          <w:sz w:val="24"/>
          <w:szCs w:val="24"/>
          <w:lang w:val="en-US"/>
        </w:rPr>
        <w:t xml:space="preserve"> Yeap</w:t>
      </w:r>
      <w:r w:rsidR="0034091C">
        <w:rPr>
          <w:rFonts w:asciiTheme="majorBidi" w:hAnsiTheme="majorBidi" w:cstheme="majorBidi"/>
          <w:sz w:val="24"/>
          <w:szCs w:val="24"/>
          <w:lang w:val="en-US"/>
        </w:rPr>
        <w:t>, 2025)</w:t>
      </w:r>
      <w:r w:rsidRPr="00AB75CC">
        <w:rPr>
          <w:rFonts w:asciiTheme="majorBidi" w:hAnsiTheme="majorBidi" w:cstheme="majorBidi"/>
          <w:sz w:val="24"/>
          <w:szCs w:val="24"/>
          <w:lang w:val="en-US"/>
        </w:rPr>
        <w:t xml:space="preserve">. Lean methodology maps the entire patient journey to pinpoint failure points, leading to </w:t>
      </w:r>
      <w:proofErr w:type="spellStart"/>
      <w:r w:rsidRPr="00AB75CC">
        <w:rPr>
          <w:rFonts w:asciiTheme="majorBidi" w:hAnsiTheme="majorBidi" w:cstheme="majorBidi"/>
          <w:sz w:val="24"/>
          <w:szCs w:val="24"/>
          <w:lang w:val="en-US"/>
        </w:rPr>
        <w:t>standardised</w:t>
      </w:r>
      <w:proofErr w:type="spellEnd"/>
      <w:r w:rsidRPr="00AB75CC">
        <w:rPr>
          <w:rFonts w:asciiTheme="majorBidi" w:hAnsiTheme="majorBidi" w:cstheme="majorBidi"/>
          <w:sz w:val="24"/>
          <w:szCs w:val="24"/>
          <w:lang w:val="en-US"/>
        </w:rPr>
        <w:t xml:space="preserve"> protocols and improved patient education. The outcomes of such an approach, when executed corr</w:t>
      </w:r>
      <w:r w:rsidR="004C5EA8">
        <w:rPr>
          <w:rFonts w:asciiTheme="majorBidi" w:hAnsiTheme="majorBidi" w:cstheme="majorBidi"/>
          <w:sz w:val="24"/>
          <w:szCs w:val="24"/>
          <w:lang w:val="en-US"/>
        </w:rPr>
        <w:t>ectly, are quantified in Table 3</w:t>
      </w:r>
      <w:r w:rsidRPr="00AB75CC">
        <w:rPr>
          <w:rFonts w:asciiTheme="majorBidi" w:hAnsiTheme="majorBidi" w:cstheme="majorBidi"/>
          <w:sz w:val="24"/>
          <w:szCs w:val="24"/>
          <w:lang w:val="en-US"/>
        </w:rPr>
        <w:t>. Critics rightly argue that Lean initiatives can falter without sustained staff engagement and may be perceived as a top-down demand for increased productivity. A superficial implementation that focuses only on speed, rather than value, risks compromising patient safety and staff morale.</w:t>
      </w:r>
    </w:p>
    <w:p w14:paraId="5D40C594" w14:textId="77777777" w:rsidR="00E20A49" w:rsidRDefault="00E20A49" w:rsidP="0034091C">
      <w:pPr>
        <w:spacing w:line="360" w:lineRule="auto"/>
        <w:jc w:val="both"/>
        <w:rPr>
          <w:rFonts w:asciiTheme="majorBidi" w:hAnsiTheme="majorBidi" w:cstheme="majorBidi"/>
          <w:sz w:val="24"/>
          <w:szCs w:val="24"/>
          <w:lang w:val="en-US"/>
        </w:rPr>
      </w:pPr>
    </w:p>
    <w:p w14:paraId="18E8AA37" w14:textId="77777777" w:rsidR="00E20A49" w:rsidRDefault="00E20A49" w:rsidP="0034091C">
      <w:pPr>
        <w:spacing w:line="360" w:lineRule="auto"/>
        <w:jc w:val="both"/>
        <w:rPr>
          <w:rFonts w:asciiTheme="majorBidi" w:hAnsiTheme="majorBidi" w:cstheme="majorBidi"/>
          <w:sz w:val="24"/>
          <w:szCs w:val="24"/>
          <w:lang w:val="en-US"/>
        </w:rPr>
      </w:pPr>
    </w:p>
    <w:p w14:paraId="30D6C597" w14:textId="77777777" w:rsidR="00E20A49" w:rsidRDefault="00E20A49" w:rsidP="0034091C">
      <w:pPr>
        <w:spacing w:line="360" w:lineRule="auto"/>
        <w:jc w:val="both"/>
        <w:rPr>
          <w:rFonts w:asciiTheme="majorBidi" w:hAnsiTheme="majorBidi" w:cstheme="majorBidi"/>
          <w:sz w:val="24"/>
          <w:szCs w:val="24"/>
          <w:lang w:val="en-US"/>
        </w:rPr>
      </w:pPr>
    </w:p>
    <w:p w14:paraId="3A6701E1" w14:textId="77777777" w:rsidR="004C5EA8" w:rsidRDefault="004C5EA8" w:rsidP="0034091C">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3:</w:t>
      </w:r>
      <w:r w:rsidRPr="004C5EA8">
        <w:rPr>
          <w:rFonts w:asciiTheme="majorBidi" w:hAnsiTheme="majorBidi" w:cstheme="majorBidi"/>
          <w:sz w:val="24"/>
          <w:szCs w:val="24"/>
          <w:lang w:val="en-US"/>
        </w:rPr>
        <w:t xml:space="preserve"> Impact of Lean management on key process metrics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379"/>
        <w:gridCol w:w="3135"/>
        <w:gridCol w:w="3836"/>
      </w:tblGrid>
      <w:tr w:rsidR="00E20A49" w:rsidRPr="00E20A49" w14:paraId="5F1B43AE" w14:textId="77777777" w:rsidTr="000B5047">
        <w:tc>
          <w:tcPr>
            <w:tcW w:w="0" w:type="auto"/>
            <w:tcMar>
              <w:top w:w="100" w:type="dxa"/>
              <w:left w:w="144" w:type="dxa"/>
              <w:bottom w:w="100" w:type="dxa"/>
              <w:right w:w="160" w:type="dxa"/>
            </w:tcMar>
            <w:vAlign w:val="center"/>
            <w:hideMark/>
          </w:tcPr>
          <w:p w14:paraId="1CBFEE48" w14:textId="77777777" w:rsidR="00E20A49" w:rsidRPr="000B5047" w:rsidRDefault="00E20A49" w:rsidP="00E20A49">
            <w:pPr>
              <w:spacing w:after="0" w:line="240" w:lineRule="auto"/>
              <w:jc w:val="both"/>
              <w:rPr>
                <w:rFonts w:asciiTheme="majorBidi" w:hAnsiTheme="majorBidi" w:cstheme="majorBidi"/>
                <w:b/>
                <w:bCs/>
                <w:sz w:val="24"/>
                <w:szCs w:val="24"/>
                <w:lang w:val="en-US"/>
              </w:rPr>
            </w:pPr>
            <w:r w:rsidRPr="000B5047">
              <w:rPr>
                <w:rFonts w:asciiTheme="majorBidi" w:hAnsiTheme="majorBidi" w:cstheme="majorBidi"/>
                <w:b/>
                <w:bCs/>
                <w:sz w:val="24"/>
                <w:szCs w:val="24"/>
                <w:lang w:val="en-US"/>
              </w:rPr>
              <w:t>Process Metric</w:t>
            </w:r>
          </w:p>
        </w:tc>
        <w:tc>
          <w:tcPr>
            <w:tcW w:w="0" w:type="auto"/>
            <w:tcMar>
              <w:top w:w="100" w:type="dxa"/>
              <w:left w:w="160" w:type="dxa"/>
              <w:bottom w:w="100" w:type="dxa"/>
              <w:right w:w="160" w:type="dxa"/>
            </w:tcMar>
            <w:vAlign w:val="center"/>
            <w:hideMark/>
          </w:tcPr>
          <w:p w14:paraId="0A24F5F5" w14:textId="77777777" w:rsidR="00E20A49" w:rsidRPr="000B5047" w:rsidRDefault="00E20A49" w:rsidP="00E20A49">
            <w:pPr>
              <w:spacing w:after="0" w:line="240" w:lineRule="auto"/>
              <w:jc w:val="both"/>
              <w:rPr>
                <w:rFonts w:asciiTheme="majorBidi" w:hAnsiTheme="majorBidi" w:cstheme="majorBidi"/>
                <w:b/>
                <w:bCs/>
                <w:sz w:val="24"/>
                <w:szCs w:val="24"/>
                <w:lang w:val="en-US"/>
              </w:rPr>
            </w:pPr>
            <w:r w:rsidRPr="000B5047">
              <w:rPr>
                <w:rFonts w:asciiTheme="majorBidi" w:hAnsiTheme="majorBidi" w:cstheme="majorBidi"/>
                <w:b/>
                <w:bCs/>
                <w:sz w:val="24"/>
                <w:szCs w:val="24"/>
                <w:lang w:val="en-US"/>
              </w:rPr>
              <w:t>Pre-Lean Implementation</w:t>
            </w:r>
          </w:p>
        </w:tc>
        <w:tc>
          <w:tcPr>
            <w:tcW w:w="3836" w:type="dxa"/>
            <w:tcMar>
              <w:top w:w="100" w:type="dxa"/>
              <w:left w:w="160" w:type="dxa"/>
              <w:bottom w:w="100" w:type="dxa"/>
              <w:right w:w="160" w:type="dxa"/>
            </w:tcMar>
            <w:vAlign w:val="center"/>
            <w:hideMark/>
          </w:tcPr>
          <w:p w14:paraId="46FC7B84" w14:textId="77777777" w:rsidR="00E20A49" w:rsidRPr="000B5047" w:rsidRDefault="00E20A49" w:rsidP="00E20A49">
            <w:pPr>
              <w:spacing w:after="0" w:line="240" w:lineRule="auto"/>
              <w:jc w:val="both"/>
              <w:rPr>
                <w:rFonts w:asciiTheme="majorBidi" w:hAnsiTheme="majorBidi" w:cstheme="majorBidi"/>
                <w:b/>
                <w:bCs/>
                <w:sz w:val="24"/>
                <w:szCs w:val="24"/>
                <w:lang w:val="en-US"/>
              </w:rPr>
            </w:pPr>
            <w:r w:rsidRPr="000B5047">
              <w:rPr>
                <w:rFonts w:asciiTheme="majorBidi" w:hAnsiTheme="majorBidi" w:cstheme="majorBidi"/>
                <w:b/>
                <w:bCs/>
                <w:sz w:val="24"/>
                <w:szCs w:val="24"/>
                <w:lang w:val="en-US"/>
              </w:rPr>
              <w:t>Post-Lean Implementation</w:t>
            </w:r>
          </w:p>
        </w:tc>
      </w:tr>
      <w:tr w:rsidR="00E20A49" w:rsidRPr="00E20A49" w14:paraId="420FB7DB" w14:textId="77777777" w:rsidTr="000B5047">
        <w:tc>
          <w:tcPr>
            <w:tcW w:w="0" w:type="auto"/>
            <w:tcMar>
              <w:top w:w="100" w:type="dxa"/>
              <w:left w:w="144" w:type="dxa"/>
              <w:bottom w:w="100" w:type="dxa"/>
              <w:right w:w="160" w:type="dxa"/>
            </w:tcMar>
            <w:vAlign w:val="center"/>
            <w:hideMark/>
          </w:tcPr>
          <w:p w14:paraId="3400440D" w14:textId="77777777" w:rsidR="00E20A49" w:rsidRPr="00E20A49" w:rsidRDefault="00E20A49" w:rsidP="000B5047">
            <w:pPr>
              <w:spacing w:after="0" w:line="240" w:lineRule="auto"/>
              <w:rPr>
                <w:rFonts w:asciiTheme="majorBidi" w:hAnsiTheme="majorBidi" w:cstheme="majorBidi"/>
                <w:sz w:val="24"/>
                <w:szCs w:val="24"/>
                <w:lang w:val="en-US"/>
              </w:rPr>
            </w:pPr>
            <w:r w:rsidRPr="00E20A49">
              <w:rPr>
                <w:rFonts w:asciiTheme="majorBidi" w:hAnsiTheme="majorBidi" w:cstheme="majorBidi"/>
                <w:sz w:val="24"/>
                <w:szCs w:val="24"/>
                <w:lang w:val="en-US"/>
              </w:rPr>
              <w:t>Bowel Preparation Adequacy Rate</w:t>
            </w:r>
          </w:p>
        </w:tc>
        <w:tc>
          <w:tcPr>
            <w:tcW w:w="0" w:type="auto"/>
            <w:tcMar>
              <w:top w:w="100" w:type="dxa"/>
              <w:left w:w="160" w:type="dxa"/>
              <w:bottom w:w="100" w:type="dxa"/>
              <w:right w:w="160" w:type="dxa"/>
            </w:tcMar>
            <w:vAlign w:val="center"/>
            <w:hideMark/>
          </w:tcPr>
          <w:p w14:paraId="093F7866"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Variable, often below 85%</w:t>
            </w:r>
            <w:r w:rsidR="00FF04ED">
              <w:rPr>
                <w:rFonts w:asciiTheme="majorBidi" w:hAnsiTheme="majorBidi" w:cstheme="majorBidi"/>
                <w:sz w:val="24"/>
                <w:szCs w:val="24"/>
                <w:lang w:val="en-US"/>
              </w:rPr>
              <w:t>.</w:t>
            </w:r>
          </w:p>
        </w:tc>
        <w:tc>
          <w:tcPr>
            <w:tcW w:w="3836" w:type="dxa"/>
            <w:tcMar>
              <w:top w:w="100" w:type="dxa"/>
              <w:left w:w="160" w:type="dxa"/>
              <w:bottom w:w="100" w:type="dxa"/>
              <w:right w:w="144" w:type="dxa"/>
            </w:tcMar>
            <w:vAlign w:val="center"/>
            <w:hideMark/>
          </w:tcPr>
          <w:p w14:paraId="62FA9414"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 xml:space="preserve">Can be </w:t>
            </w:r>
            <w:proofErr w:type="spellStart"/>
            <w:r w:rsidRPr="00E20A49">
              <w:rPr>
                <w:rFonts w:asciiTheme="majorBidi" w:hAnsiTheme="majorBidi" w:cstheme="majorBidi"/>
                <w:sz w:val="24"/>
                <w:szCs w:val="24"/>
                <w:lang w:val="en-US"/>
              </w:rPr>
              <w:t>stabilised</w:t>
            </w:r>
            <w:proofErr w:type="spellEnd"/>
            <w:r w:rsidRPr="00E20A49">
              <w:rPr>
                <w:rFonts w:asciiTheme="majorBidi" w:hAnsiTheme="majorBidi" w:cstheme="majorBidi"/>
                <w:sz w:val="24"/>
                <w:szCs w:val="24"/>
                <w:lang w:val="en-US"/>
              </w:rPr>
              <w:t xml:space="preserve"> above 90-95%</w:t>
            </w:r>
            <w:r w:rsidR="00FF04ED">
              <w:rPr>
                <w:rFonts w:asciiTheme="majorBidi" w:hAnsiTheme="majorBidi" w:cstheme="majorBidi"/>
                <w:sz w:val="24"/>
                <w:szCs w:val="24"/>
                <w:lang w:val="en-US"/>
              </w:rPr>
              <w:t>.</w:t>
            </w:r>
          </w:p>
        </w:tc>
      </w:tr>
      <w:tr w:rsidR="00E20A49" w:rsidRPr="00E20A49" w14:paraId="4E7B8537" w14:textId="77777777" w:rsidTr="000B5047">
        <w:tc>
          <w:tcPr>
            <w:tcW w:w="0" w:type="auto"/>
            <w:tcMar>
              <w:top w:w="100" w:type="dxa"/>
              <w:left w:w="144" w:type="dxa"/>
              <w:bottom w:w="100" w:type="dxa"/>
              <w:right w:w="160" w:type="dxa"/>
            </w:tcMar>
            <w:vAlign w:val="center"/>
            <w:hideMark/>
          </w:tcPr>
          <w:p w14:paraId="700D184F" w14:textId="77777777" w:rsidR="00E20A49" w:rsidRPr="00E20A49" w:rsidRDefault="00E20A49" w:rsidP="000B5047">
            <w:pPr>
              <w:spacing w:after="0" w:line="240" w:lineRule="auto"/>
              <w:rPr>
                <w:rFonts w:asciiTheme="majorBidi" w:hAnsiTheme="majorBidi" w:cstheme="majorBidi"/>
                <w:sz w:val="24"/>
                <w:szCs w:val="24"/>
                <w:lang w:val="en-US"/>
              </w:rPr>
            </w:pPr>
            <w:r w:rsidRPr="00E20A49">
              <w:rPr>
                <w:rFonts w:asciiTheme="majorBidi" w:hAnsiTheme="majorBidi" w:cstheme="majorBidi"/>
                <w:sz w:val="24"/>
                <w:szCs w:val="24"/>
                <w:lang w:val="en-US"/>
              </w:rPr>
              <w:t>Procedure Cancellation Rate</w:t>
            </w:r>
          </w:p>
        </w:tc>
        <w:tc>
          <w:tcPr>
            <w:tcW w:w="0" w:type="auto"/>
            <w:tcMar>
              <w:top w:w="100" w:type="dxa"/>
              <w:left w:w="160" w:type="dxa"/>
              <w:bottom w:w="100" w:type="dxa"/>
              <w:right w:w="160" w:type="dxa"/>
            </w:tcMar>
            <w:vAlign w:val="center"/>
            <w:hideMark/>
          </w:tcPr>
          <w:p w14:paraId="416A810A"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Higher due to inadequate prep or admin issues</w:t>
            </w:r>
            <w:r w:rsidR="00FF04ED">
              <w:rPr>
                <w:rFonts w:asciiTheme="majorBidi" w:hAnsiTheme="majorBidi" w:cstheme="majorBidi"/>
                <w:sz w:val="24"/>
                <w:szCs w:val="24"/>
                <w:lang w:val="en-US"/>
              </w:rPr>
              <w:t>.</w:t>
            </w:r>
          </w:p>
        </w:tc>
        <w:tc>
          <w:tcPr>
            <w:tcW w:w="3836" w:type="dxa"/>
            <w:tcMar>
              <w:top w:w="100" w:type="dxa"/>
              <w:left w:w="160" w:type="dxa"/>
              <w:bottom w:w="100" w:type="dxa"/>
              <w:right w:w="144" w:type="dxa"/>
            </w:tcMar>
            <w:vAlign w:val="center"/>
            <w:hideMark/>
          </w:tcPr>
          <w:p w14:paraId="2DE53DAB"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Significantly reduced</w:t>
            </w:r>
            <w:r w:rsidR="00FF04ED">
              <w:rPr>
                <w:rFonts w:asciiTheme="majorBidi" w:hAnsiTheme="majorBidi" w:cstheme="majorBidi"/>
                <w:sz w:val="24"/>
                <w:szCs w:val="24"/>
                <w:lang w:val="en-US"/>
              </w:rPr>
              <w:t>.</w:t>
            </w:r>
          </w:p>
        </w:tc>
      </w:tr>
      <w:tr w:rsidR="00E20A49" w:rsidRPr="00E20A49" w14:paraId="1427560C" w14:textId="77777777" w:rsidTr="000B5047">
        <w:tc>
          <w:tcPr>
            <w:tcW w:w="0" w:type="auto"/>
            <w:tcMar>
              <w:top w:w="100" w:type="dxa"/>
              <w:left w:w="144" w:type="dxa"/>
              <w:bottom w:w="100" w:type="dxa"/>
              <w:right w:w="160" w:type="dxa"/>
            </w:tcMar>
            <w:vAlign w:val="center"/>
            <w:hideMark/>
          </w:tcPr>
          <w:p w14:paraId="73B25C61" w14:textId="77777777" w:rsidR="00E20A49" w:rsidRPr="00E20A49" w:rsidRDefault="00E20A49" w:rsidP="000B5047">
            <w:pPr>
              <w:spacing w:after="0" w:line="240" w:lineRule="auto"/>
              <w:rPr>
                <w:rFonts w:asciiTheme="majorBidi" w:hAnsiTheme="majorBidi" w:cstheme="majorBidi"/>
                <w:sz w:val="24"/>
                <w:szCs w:val="24"/>
                <w:lang w:val="en-US"/>
              </w:rPr>
            </w:pPr>
            <w:r w:rsidRPr="00E20A49">
              <w:rPr>
                <w:rFonts w:asciiTheme="majorBidi" w:hAnsiTheme="majorBidi" w:cstheme="majorBidi"/>
                <w:sz w:val="24"/>
                <w:szCs w:val="24"/>
                <w:lang w:val="en-US"/>
              </w:rPr>
              <w:t>Staff Time on Non-Value Tasks</w:t>
            </w:r>
          </w:p>
        </w:tc>
        <w:tc>
          <w:tcPr>
            <w:tcW w:w="0" w:type="auto"/>
            <w:tcMar>
              <w:top w:w="100" w:type="dxa"/>
              <w:left w:w="160" w:type="dxa"/>
              <w:bottom w:w="100" w:type="dxa"/>
              <w:right w:w="160" w:type="dxa"/>
            </w:tcMar>
            <w:vAlign w:val="center"/>
            <w:hideMark/>
          </w:tcPr>
          <w:p w14:paraId="1C8EE76E"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High (e.g., searching for equipment)</w:t>
            </w:r>
            <w:r w:rsidR="00FF04ED">
              <w:rPr>
                <w:rFonts w:asciiTheme="majorBidi" w:hAnsiTheme="majorBidi" w:cstheme="majorBidi"/>
                <w:sz w:val="24"/>
                <w:szCs w:val="24"/>
                <w:lang w:val="en-US"/>
              </w:rPr>
              <w:t>.</w:t>
            </w:r>
          </w:p>
        </w:tc>
        <w:tc>
          <w:tcPr>
            <w:tcW w:w="3836" w:type="dxa"/>
            <w:tcMar>
              <w:top w:w="100" w:type="dxa"/>
              <w:left w:w="160" w:type="dxa"/>
              <w:bottom w:w="100" w:type="dxa"/>
              <w:right w:w="144" w:type="dxa"/>
            </w:tcMar>
            <w:vAlign w:val="center"/>
            <w:hideMark/>
          </w:tcPr>
          <w:p w14:paraId="315139E8" w14:textId="77777777" w:rsidR="00E20A49" w:rsidRPr="00E20A49" w:rsidRDefault="00E20A49" w:rsidP="00E20A49">
            <w:pPr>
              <w:spacing w:after="0" w:line="240" w:lineRule="auto"/>
              <w:jc w:val="both"/>
              <w:rPr>
                <w:rFonts w:asciiTheme="majorBidi" w:hAnsiTheme="majorBidi" w:cstheme="majorBidi"/>
                <w:sz w:val="24"/>
                <w:szCs w:val="24"/>
                <w:lang w:val="en-US"/>
              </w:rPr>
            </w:pPr>
            <w:r w:rsidRPr="00E20A49">
              <w:rPr>
                <w:rFonts w:asciiTheme="majorBidi" w:hAnsiTheme="majorBidi" w:cstheme="majorBidi"/>
                <w:sz w:val="24"/>
                <w:szCs w:val="24"/>
                <w:lang w:val="en-US"/>
              </w:rPr>
              <w:t>Reduced, freeing time for direct care</w:t>
            </w:r>
            <w:r w:rsidR="00FF04ED">
              <w:rPr>
                <w:rFonts w:asciiTheme="majorBidi" w:hAnsiTheme="majorBidi" w:cstheme="majorBidi"/>
                <w:sz w:val="24"/>
                <w:szCs w:val="24"/>
                <w:lang w:val="en-US"/>
              </w:rPr>
              <w:t>.</w:t>
            </w:r>
          </w:p>
        </w:tc>
      </w:tr>
    </w:tbl>
    <w:p w14:paraId="441CB8E4" w14:textId="77777777" w:rsidR="004C5EA8" w:rsidRDefault="004C5EA8" w:rsidP="0034091C">
      <w:pPr>
        <w:spacing w:line="360" w:lineRule="auto"/>
        <w:jc w:val="both"/>
        <w:rPr>
          <w:rFonts w:asciiTheme="majorBidi" w:hAnsiTheme="majorBidi" w:cstheme="majorBidi"/>
          <w:sz w:val="24"/>
          <w:szCs w:val="24"/>
          <w:lang w:val="en-US"/>
        </w:rPr>
      </w:pPr>
    </w:p>
    <w:p w14:paraId="1CEDD4F4" w14:textId="77777777" w:rsidR="00415877" w:rsidRDefault="00415877" w:rsidP="0034091C">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Therefore, </w:t>
      </w:r>
      <w:r w:rsidRPr="00415877">
        <w:rPr>
          <w:rFonts w:asciiTheme="majorBidi" w:hAnsiTheme="majorBidi" w:cstheme="majorBidi"/>
          <w:sz w:val="24"/>
          <w:szCs w:val="24"/>
          <w:lang w:val="en-US"/>
        </w:rPr>
        <w:t>Lean management is not a cost-cutting exercise but a cultural shift towards continuous improvement. Its success is entirely dependent on clinical ownership and a focus on quality as the primary driver of efficiency. When properly embedded, it creates a more predictable and resilient system, forming a stable foundation upon which technological solutions can deliver their full potential.</w:t>
      </w:r>
    </w:p>
    <w:p w14:paraId="6B0F4B1C" w14:textId="77777777" w:rsidR="00415877" w:rsidRDefault="002F04FF" w:rsidP="0034091C">
      <w:pPr>
        <w:spacing w:line="360" w:lineRule="auto"/>
        <w:jc w:val="both"/>
        <w:rPr>
          <w:rFonts w:asciiTheme="majorBidi" w:hAnsiTheme="majorBidi" w:cstheme="majorBidi"/>
          <w:b/>
          <w:bCs/>
          <w:sz w:val="24"/>
          <w:szCs w:val="24"/>
          <w:lang w:val="en-US"/>
        </w:rPr>
      </w:pPr>
      <w:r w:rsidRPr="00AC036D">
        <w:rPr>
          <w:rFonts w:asciiTheme="majorBidi" w:hAnsiTheme="majorBidi" w:cstheme="majorBidi"/>
          <w:b/>
          <w:bCs/>
          <w:sz w:val="24"/>
          <w:szCs w:val="24"/>
          <w:lang w:val="en-US"/>
        </w:rPr>
        <w:t xml:space="preserve">Pillar 3: Technological Augmentation (Advanced Imaging and </w:t>
      </w:r>
      <w:proofErr w:type="spellStart"/>
      <w:r w:rsidRPr="00AC036D">
        <w:rPr>
          <w:rFonts w:asciiTheme="majorBidi" w:hAnsiTheme="majorBidi" w:cstheme="majorBidi"/>
          <w:b/>
          <w:bCs/>
          <w:sz w:val="24"/>
          <w:szCs w:val="24"/>
          <w:lang w:val="en-US"/>
        </w:rPr>
        <w:t>CADe</w:t>
      </w:r>
      <w:proofErr w:type="spellEnd"/>
      <w:r w:rsidRPr="00AC036D">
        <w:rPr>
          <w:rFonts w:asciiTheme="majorBidi" w:hAnsiTheme="majorBidi" w:cstheme="majorBidi"/>
          <w:b/>
          <w:bCs/>
          <w:sz w:val="24"/>
          <w:szCs w:val="24"/>
          <w:lang w:val="en-US"/>
        </w:rPr>
        <w:t>)</w:t>
      </w:r>
    </w:p>
    <w:p w14:paraId="44C17366" w14:textId="77777777" w:rsidR="00AC036D" w:rsidRPr="00AC036D" w:rsidRDefault="00AC036D" w:rsidP="0094237E">
      <w:pPr>
        <w:spacing w:line="360" w:lineRule="auto"/>
        <w:jc w:val="both"/>
        <w:rPr>
          <w:rFonts w:asciiTheme="majorBidi" w:hAnsiTheme="majorBidi" w:cstheme="majorBidi"/>
          <w:sz w:val="24"/>
          <w:szCs w:val="24"/>
          <w:lang w:val="en-US"/>
        </w:rPr>
      </w:pPr>
      <w:r w:rsidRPr="00AC036D">
        <w:rPr>
          <w:rFonts w:asciiTheme="majorBidi" w:hAnsiTheme="majorBidi" w:cstheme="majorBidi"/>
          <w:sz w:val="24"/>
          <w:szCs w:val="24"/>
          <w:lang w:val="en-US"/>
        </w:rPr>
        <w:t>A significant challenge</w:t>
      </w:r>
      <w:r w:rsidR="0094237E">
        <w:rPr>
          <w:rFonts w:asciiTheme="majorBidi" w:hAnsiTheme="majorBidi" w:cstheme="majorBidi"/>
          <w:sz w:val="24"/>
          <w:szCs w:val="24"/>
          <w:lang w:val="en-US"/>
        </w:rPr>
        <w:t xml:space="preserve"> in colonoscopy practice is the</w:t>
      </w:r>
      <w:r w:rsidRPr="00AC036D">
        <w:rPr>
          <w:rFonts w:asciiTheme="majorBidi" w:hAnsiTheme="majorBidi" w:cstheme="majorBidi"/>
          <w:sz w:val="24"/>
          <w:szCs w:val="24"/>
          <w:lang w:val="en-US"/>
        </w:rPr>
        <w:t xml:space="preserve"> variability in adenoma detection rates among endoscopists. This variation represents a critical quality gap, as missed lesions can lead to interval cancers. The third pillar examines computer-aided detection systems, which use artificial intelligence to </w:t>
      </w:r>
      <w:proofErr w:type="spellStart"/>
      <w:r w:rsidRPr="00AC036D">
        <w:rPr>
          <w:rFonts w:asciiTheme="majorBidi" w:hAnsiTheme="majorBidi" w:cstheme="majorBidi"/>
          <w:sz w:val="24"/>
          <w:szCs w:val="24"/>
          <w:lang w:val="en-US"/>
        </w:rPr>
        <w:t>analyse</w:t>
      </w:r>
      <w:proofErr w:type="spellEnd"/>
      <w:r w:rsidRPr="00AC036D">
        <w:rPr>
          <w:rFonts w:asciiTheme="majorBidi" w:hAnsiTheme="majorBidi" w:cstheme="majorBidi"/>
          <w:sz w:val="24"/>
          <w:szCs w:val="24"/>
          <w:lang w:val="en-US"/>
        </w:rPr>
        <w:t xml:space="preserve"> the video feed in real-time and highlight suspicious regions for the endoscopist. Evidence from a large, international tandem trial indicated that AI-assisted colonoscopy increased adenoma detection rates by approximately twenty </w:t>
      </w:r>
      <w:r w:rsidR="0094237E">
        <w:rPr>
          <w:rFonts w:asciiTheme="majorBidi" w:hAnsiTheme="majorBidi" w:cstheme="majorBidi"/>
          <w:sz w:val="24"/>
          <w:szCs w:val="24"/>
          <w:lang w:val="en-US"/>
        </w:rPr>
        <w:t>per cent</w:t>
      </w:r>
      <w:r w:rsidRPr="00AC036D">
        <w:rPr>
          <w:rFonts w:asciiTheme="majorBidi" w:hAnsiTheme="majorBidi" w:cstheme="majorBidi"/>
          <w:sz w:val="24"/>
          <w:szCs w:val="24"/>
          <w:lang w:val="en-US"/>
        </w:rPr>
        <w:t xml:space="preserve"> compared to standard high-definition white-light endoscopy (Maas et al., 2023). This technology ostensibly serves as a cognitive second observer, potentially mitigating human error from factors like fatigue.</w:t>
      </w:r>
    </w:p>
    <w:p w14:paraId="4C74DE34" w14:textId="77777777" w:rsidR="00AC036D" w:rsidRDefault="00AC036D" w:rsidP="00AC036D">
      <w:pPr>
        <w:spacing w:line="360" w:lineRule="auto"/>
        <w:jc w:val="both"/>
        <w:rPr>
          <w:rFonts w:asciiTheme="majorBidi" w:hAnsiTheme="majorBidi" w:cstheme="majorBidi"/>
          <w:sz w:val="24"/>
          <w:szCs w:val="24"/>
          <w:lang w:val="en-US"/>
        </w:rPr>
      </w:pPr>
      <w:r w:rsidRPr="00AC036D">
        <w:rPr>
          <w:rFonts w:asciiTheme="majorBidi" w:hAnsiTheme="majorBidi" w:cstheme="majorBidi"/>
          <w:sz w:val="24"/>
          <w:szCs w:val="24"/>
          <w:lang w:val="en-US"/>
        </w:rPr>
        <w:t xml:space="preserve">However, the integration of </w:t>
      </w:r>
      <w:proofErr w:type="spellStart"/>
      <w:r w:rsidRPr="00AC036D">
        <w:rPr>
          <w:rFonts w:asciiTheme="majorBidi" w:hAnsiTheme="majorBidi" w:cstheme="majorBidi"/>
          <w:sz w:val="24"/>
          <w:szCs w:val="24"/>
          <w:lang w:val="en-US"/>
        </w:rPr>
        <w:t>CADe</w:t>
      </w:r>
      <w:proofErr w:type="spellEnd"/>
      <w:r w:rsidRPr="00AC036D">
        <w:rPr>
          <w:rFonts w:asciiTheme="majorBidi" w:hAnsiTheme="majorBidi" w:cstheme="majorBidi"/>
          <w:sz w:val="24"/>
          <w:szCs w:val="24"/>
          <w:lang w:val="en-US"/>
        </w:rPr>
        <w:t xml:space="preserve"> is not an unambiguous solution. A primary criticism </w:t>
      </w:r>
      <w:proofErr w:type="spellStart"/>
      <w:r w:rsidRPr="00AC036D">
        <w:rPr>
          <w:rFonts w:asciiTheme="majorBidi" w:hAnsiTheme="majorBidi" w:cstheme="majorBidi"/>
          <w:sz w:val="24"/>
          <w:szCs w:val="24"/>
          <w:lang w:val="en-US"/>
        </w:rPr>
        <w:t>centres</w:t>
      </w:r>
      <w:proofErr w:type="spellEnd"/>
      <w:r w:rsidRPr="00AC036D">
        <w:rPr>
          <w:rFonts w:asciiTheme="majorBidi" w:hAnsiTheme="majorBidi" w:cstheme="majorBidi"/>
          <w:sz w:val="24"/>
          <w:szCs w:val="24"/>
          <w:lang w:val="en-US"/>
        </w:rPr>
        <w:t xml:space="preserve"> on the risk of deskilling, where endoscopists might become over-reliant on the technology, potentially </w:t>
      </w:r>
      <w:r w:rsidRPr="00AC036D">
        <w:rPr>
          <w:rFonts w:asciiTheme="majorBidi" w:hAnsiTheme="majorBidi" w:cstheme="majorBidi"/>
          <w:sz w:val="24"/>
          <w:szCs w:val="24"/>
          <w:lang w:val="en-US"/>
        </w:rPr>
        <w:lastRenderedPageBreak/>
        <w:t xml:space="preserve">allowing their own perceptual skills to atrophy. Furthermore, these systems generate a high number of false positive alerts, typically for innocuous features like bubbles or residual stool. This can disrupt the procedural rhythm and lead to unnecessary biopsies, increasing both procedure time and pathology costs. The purported increase in detection must also be </w:t>
      </w:r>
      <w:proofErr w:type="spellStart"/>
      <w:r w:rsidRPr="00AC036D">
        <w:rPr>
          <w:rFonts w:asciiTheme="majorBidi" w:hAnsiTheme="majorBidi" w:cstheme="majorBidi"/>
          <w:sz w:val="24"/>
          <w:szCs w:val="24"/>
          <w:lang w:val="en-US"/>
        </w:rPr>
        <w:t>scrutinised</w:t>
      </w:r>
      <w:proofErr w:type="spellEnd"/>
      <w:r w:rsidRPr="00AC036D">
        <w:rPr>
          <w:rFonts w:asciiTheme="majorBidi" w:hAnsiTheme="majorBidi" w:cstheme="majorBidi"/>
          <w:sz w:val="24"/>
          <w:szCs w:val="24"/>
          <w:lang w:val="en-US"/>
        </w:rPr>
        <w:t xml:space="preserve"> for its clinical impact, as it often involves a higher yield of diminutive, low-risk adenomas whose removal may not significantly alter cancer risk. The comparative outcomes a</w:t>
      </w:r>
      <w:r>
        <w:rPr>
          <w:rFonts w:asciiTheme="majorBidi" w:hAnsiTheme="majorBidi" w:cstheme="majorBidi"/>
          <w:sz w:val="24"/>
          <w:szCs w:val="24"/>
          <w:lang w:val="en-US"/>
        </w:rPr>
        <w:t>re illustrated in Table 4</w:t>
      </w:r>
      <w:r w:rsidRPr="00AC036D">
        <w:rPr>
          <w:rFonts w:asciiTheme="majorBidi" w:hAnsiTheme="majorBidi" w:cstheme="majorBidi"/>
          <w:sz w:val="24"/>
          <w:szCs w:val="24"/>
          <w:lang w:val="en-US"/>
        </w:rPr>
        <w:t>.</w:t>
      </w:r>
    </w:p>
    <w:p w14:paraId="3A7D5C0A" w14:textId="77777777" w:rsidR="0094237E" w:rsidRDefault="0094237E" w:rsidP="00AC036D">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4:</w:t>
      </w:r>
      <w:r w:rsidRPr="0094237E">
        <w:rPr>
          <w:rFonts w:asciiTheme="majorBidi" w:hAnsiTheme="majorBidi" w:cstheme="majorBidi"/>
          <w:sz w:val="24"/>
          <w:szCs w:val="24"/>
          <w:lang w:val="en-US"/>
        </w:rPr>
        <w:t xml:space="preserve"> A comparison of conventional colonoscopy and AI-assisted colonoscopy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939"/>
        <w:gridCol w:w="2722"/>
        <w:gridCol w:w="3832"/>
      </w:tblGrid>
      <w:tr w:rsidR="0094237E" w:rsidRPr="0094237E" w14:paraId="01B1E49C" w14:textId="77777777" w:rsidTr="0094237E">
        <w:tc>
          <w:tcPr>
            <w:tcW w:w="0" w:type="auto"/>
            <w:tcMar>
              <w:top w:w="100" w:type="dxa"/>
              <w:left w:w="144" w:type="dxa"/>
              <w:bottom w:w="100" w:type="dxa"/>
              <w:right w:w="160" w:type="dxa"/>
            </w:tcMar>
            <w:vAlign w:val="center"/>
            <w:hideMark/>
          </w:tcPr>
          <w:p w14:paraId="7640BBBA" w14:textId="77777777" w:rsidR="0094237E" w:rsidRPr="0094237E" w:rsidRDefault="0094237E" w:rsidP="0094237E">
            <w:pPr>
              <w:spacing w:after="0" w:line="240" w:lineRule="auto"/>
              <w:jc w:val="center"/>
              <w:rPr>
                <w:rFonts w:asciiTheme="majorBidi" w:hAnsiTheme="majorBidi" w:cstheme="majorBidi"/>
                <w:b/>
                <w:bCs/>
                <w:sz w:val="24"/>
                <w:szCs w:val="24"/>
                <w:lang w:val="en-US"/>
              </w:rPr>
            </w:pPr>
            <w:r w:rsidRPr="0094237E">
              <w:rPr>
                <w:rFonts w:asciiTheme="majorBidi" w:hAnsiTheme="majorBidi" w:cstheme="majorBidi"/>
                <w:b/>
                <w:bCs/>
                <w:sz w:val="24"/>
                <w:szCs w:val="24"/>
                <w:lang w:val="en-US"/>
              </w:rPr>
              <w:t>Performance Metric</w:t>
            </w:r>
          </w:p>
        </w:tc>
        <w:tc>
          <w:tcPr>
            <w:tcW w:w="0" w:type="auto"/>
            <w:tcMar>
              <w:top w:w="100" w:type="dxa"/>
              <w:left w:w="160" w:type="dxa"/>
              <w:bottom w:w="100" w:type="dxa"/>
              <w:right w:w="160" w:type="dxa"/>
            </w:tcMar>
            <w:vAlign w:val="center"/>
            <w:hideMark/>
          </w:tcPr>
          <w:p w14:paraId="2C6ED571" w14:textId="77777777" w:rsidR="0094237E" w:rsidRPr="0094237E" w:rsidRDefault="0094237E" w:rsidP="0094237E">
            <w:pPr>
              <w:spacing w:after="0" w:line="240" w:lineRule="auto"/>
              <w:jc w:val="center"/>
              <w:rPr>
                <w:rFonts w:asciiTheme="majorBidi" w:hAnsiTheme="majorBidi" w:cstheme="majorBidi"/>
                <w:b/>
                <w:bCs/>
                <w:sz w:val="24"/>
                <w:szCs w:val="24"/>
                <w:lang w:val="en-US"/>
              </w:rPr>
            </w:pPr>
            <w:r w:rsidRPr="0094237E">
              <w:rPr>
                <w:rFonts w:asciiTheme="majorBidi" w:hAnsiTheme="majorBidi" w:cstheme="majorBidi"/>
                <w:b/>
                <w:bCs/>
                <w:sz w:val="24"/>
                <w:szCs w:val="24"/>
                <w:lang w:val="en-US"/>
              </w:rPr>
              <w:t>Conventional Colonoscopy</w:t>
            </w:r>
          </w:p>
        </w:tc>
        <w:tc>
          <w:tcPr>
            <w:tcW w:w="3832" w:type="dxa"/>
            <w:tcMar>
              <w:top w:w="100" w:type="dxa"/>
              <w:left w:w="160" w:type="dxa"/>
              <w:bottom w:w="100" w:type="dxa"/>
              <w:right w:w="160" w:type="dxa"/>
            </w:tcMar>
            <w:vAlign w:val="center"/>
            <w:hideMark/>
          </w:tcPr>
          <w:p w14:paraId="32FF2818" w14:textId="77777777" w:rsidR="0094237E" w:rsidRPr="0094237E" w:rsidRDefault="0094237E" w:rsidP="0094237E">
            <w:pPr>
              <w:spacing w:after="0" w:line="240" w:lineRule="auto"/>
              <w:jc w:val="center"/>
              <w:rPr>
                <w:rFonts w:asciiTheme="majorBidi" w:hAnsiTheme="majorBidi" w:cstheme="majorBidi"/>
                <w:b/>
                <w:bCs/>
                <w:sz w:val="24"/>
                <w:szCs w:val="24"/>
                <w:lang w:val="en-US"/>
              </w:rPr>
            </w:pPr>
            <w:r w:rsidRPr="0094237E">
              <w:rPr>
                <w:rFonts w:asciiTheme="majorBidi" w:hAnsiTheme="majorBidi" w:cstheme="majorBidi"/>
                <w:b/>
                <w:bCs/>
                <w:sz w:val="24"/>
                <w:szCs w:val="24"/>
                <w:lang w:val="en-US"/>
              </w:rPr>
              <w:t>AI-Assisted Colonoscopy (</w:t>
            </w:r>
            <w:proofErr w:type="spellStart"/>
            <w:r w:rsidRPr="0094237E">
              <w:rPr>
                <w:rFonts w:asciiTheme="majorBidi" w:hAnsiTheme="majorBidi" w:cstheme="majorBidi"/>
                <w:b/>
                <w:bCs/>
                <w:sz w:val="24"/>
                <w:szCs w:val="24"/>
                <w:lang w:val="en-US"/>
              </w:rPr>
              <w:t>CADe</w:t>
            </w:r>
            <w:proofErr w:type="spellEnd"/>
            <w:r w:rsidRPr="0094237E">
              <w:rPr>
                <w:rFonts w:asciiTheme="majorBidi" w:hAnsiTheme="majorBidi" w:cstheme="majorBidi"/>
                <w:b/>
                <w:bCs/>
                <w:sz w:val="24"/>
                <w:szCs w:val="24"/>
                <w:lang w:val="en-US"/>
              </w:rPr>
              <w:t>)</w:t>
            </w:r>
          </w:p>
        </w:tc>
      </w:tr>
      <w:tr w:rsidR="0094237E" w:rsidRPr="0094237E" w14:paraId="0D2D5FA1" w14:textId="77777777" w:rsidTr="0094237E">
        <w:tc>
          <w:tcPr>
            <w:tcW w:w="0" w:type="auto"/>
            <w:tcMar>
              <w:top w:w="100" w:type="dxa"/>
              <w:left w:w="144" w:type="dxa"/>
              <w:bottom w:w="100" w:type="dxa"/>
              <w:right w:w="160" w:type="dxa"/>
            </w:tcMar>
            <w:vAlign w:val="center"/>
            <w:hideMark/>
          </w:tcPr>
          <w:p w14:paraId="209BD784"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Adenoma Detection Rate (ADR)</w:t>
            </w:r>
          </w:p>
        </w:tc>
        <w:tc>
          <w:tcPr>
            <w:tcW w:w="0" w:type="auto"/>
            <w:tcMar>
              <w:top w:w="100" w:type="dxa"/>
              <w:left w:w="160" w:type="dxa"/>
              <w:bottom w:w="100" w:type="dxa"/>
              <w:right w:w="160" w:type="dxa"/>
            </w:tcMar>
            <w:vAlign w:val="center"/>
            <w:hideMark/>
          </w:tcPr>
          <w:p w14:paraId="15A7A831"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Variable, operator-dependent</w:t>
            </w:r>
          </w:p>
        </w:tc>
        <w:tc>
          <w:tcPr>
            <w:tcW w:w="3832" w:type="dxa"/>
            <w:tcMar>
              <w:top w:w="100" w:type="dxa"/>
              <w:left w:w="160" w:type="dxa"/>
              <w:bottom w:w="100" w:type="dxa"/>
              <w:right w:w="144" w:type="dxa"/>
            </w:tcMar>
            <w:vAlign w:val="center"/>
            <w:hideMark/>
          </w:tcPr>
          <w:p w14:paraId="5BEC23FC" w14:textId="77777777" w:rsidR="0094237E" w:rsidRPr="0094237E" w:rsidRDefault="0094237E" w:rsidP="0094237E">
            <w:pPr>
              <w:spacing w:after="0" w:line="240" w:lineRule="auto"/>
              <w:jc w:val="both"/>
              <w:rPr>
                <w:rFonts w:asciiTheme="majorBidi" w:hAnsiTheme="majorBidi" w:cstheme="majorBidi"/>
                <w:sz w:val="24"/>
                <w:szCs w:val="24"/>
                <w:lang w:val="en-US"/>
              </w:rPr>
            </w:pPr>
            <w:r w:rsidRPr="0094237E">
              <w:rPr>
                <w:rFonts w:asciiTheme="majorBidi" w:hAnsiTheme="majorBidi" w:cstheme="majorBidi"/>
                <w:sz w:val="24"/>
                <w:szCs w:val="24"/>
                <w:lang w:val="en-US"/>
              </w:rPr>
              <w:t>Demonstrates a significant increase</w:t>
            </w:r>
            <w:r>
              <w:rPr>
                <w:rFonts w:asciiTheme="majorBidi" w:hAnsiTheme="majorBidi" w:cstheme="majorBidi"/>
                <w:sz w:val="24"/>
                <w:szCs w:val="24"/>
                <w:lang w:val="en-US"/>
              </w:rPr>
              <w:t>.</w:t>
            </w:r>
          </w:p>
        </w:tc>
      </w:tr>
      <w:tr w:rsidR="0094237E" w:rsidRPr="0094237E" w14:paraId="076839E0" w14:textId="77777777" w:rsidTr="0094237E">
        <w:tc>
          <w:tcPr>
            <w:tcW w:w="0" w:type="auto"/>
            <w:tcMar>
              <w:top w:w="100" w:type="dxa"/>
              <w:left w:w="144" w:type="dxa"/>
              <w:bottom w:w="100" w:type="dxa"/>
              <w:right w:w="160" w:type="dxa"/>
            </w:tcMar>
            <w:vAlign w:val="center"/>
            <w:hideMark/>
          </w:tcPr>
          <w:p w14:paraId="20BA583D"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False Positive Alerts</w:t>
            </w:r>
          </w:p>
        </w:tc>
        <w:tc>
          <w:tcPr>
            <w:tcW w:w="0" w:type="auto"/>
            <w:tcMar>
              <w:top w:w="100" w:type="dxa"/>
              <w:left w:w="160" w:type="dxa"/>
              <w:bottom w:w="100" w:type="dxa"/>
              <w:right w:w="160" w:type="dxa"/>
            </w:tcMar>
            <w:vAlign w:val="center"/>
            <w:hideMark/>
          </w:tcPr>
          <w:p w14:paraId="27D7F135"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Not applicable</w:t>
            </w:r>
          </w:p>
        </w:tc>
        <w:tc>
          <w:tcPr>
            <w:tcW w:w="3832" w:type="dxa"/>
            <w:tcMar>
              <w:top w:w="100" w:type="dxa"/>
              <w:left w:w="160" w:type="dxa"/>
              <w:bottom w:w="100" w:type="dxa"/>
              <w:right w:w="144" w:type="dxa"/>
            </w:tcMar>
            <w:vAlign w:val="center"/>
            <w:hideMark/>
          </w:tcPr>
          <w:p w14:paraId="224D37F3" w14:textId="77777777" w:rsidR="0094237E" w:rsidRPr="0094237E" w:rsidRDefault="0094237E" w:rsidP="0094237E">
            <w:pPr>
              <w:spacing w:after="0" w:line="240" w:lineRule="auto"/>
              <w:jc w:val="both"/>
              <w:rPr>
                <w:rFonts w:asciiTheme="majorBidi" w:hAnsiTheme="majorBidi" w:cstheme="majorBidi"/>
                <w:sz w:val="24"/>
                <w:szCs w:val="24"/>
                <w:lang w:val="en-US"/>
              </w:rPr>
            </w:pPr>
            <w:r w:rsidRPr="0094237E">
              <w:rPr>
                <w:rFonts w:asciiTheme="majorBidi" w:hAnsiTheme="majorBidi" w:cstheme="majorBidi"/>
                <w:sz w:val="24"/>
                <w:szCs w:val="24"/>
                <w:lang w:val="en-US"/>
              </w:rPr>
              <w:t>Frequent, for non-neoplastic features</w:t>
            </w:r>
            <w:r>
              <w:rPr>
                <w:rFonts w:asciiTheme="majorBidi" w:hAnsiTheme="majorBidi" w:cstheme="majorBidi"/>
                <w:sz w:val="24"/>
                <w:szCs w:val="24"/>
                <w:lang w:val="en-US"/>
              </w:rPr>
              <w:t>.</w:t>
            </w:r>
          </w:p>
        </w:tc>
      </w:tr>
      <w:tr w:rsidR="0094237E" w:rsidRPr="0094237E" w14:paraId="109A045D" w14:textId="77777777" w:rsidTr="0094237E">
        <w:tc>
          <w:tcPr>
            <w:tcW w:w="0" w:type="auto"/>
            <w:tcMar>
              <w:top w:w="100" w:type="dxa"/>
              <w:left w:w="144" w:type="dxa"/>
              <w:bottom w:w="100" w:type="dxa"/>
              <w:right w:w="160" w:type="dxa"/>
            </w:tcMar>
            <w:vAlign w:val="center"/>
            <w:hideMark/>
          </w:tcPr>
          <w:p w14:paraId="4480FCA0"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Impact on Procedure Time</w:t>
            </w:r>
          </w:p>
        </w:tc>
        <w:tc>
          <w:tcPr>
            <w:tcW w:w="0" w:type="auto"/>
            <w:tcMar>
              <w:top w:w="100" w:type="dxa"/>
              <w:left w:w="160" w:type="dxa"/>
              <w:bottom w:w="100" w:type="dxa"/>
              <w:right w:w="160" w:type="dxa"/>
            </w:tcMar>
            <w:vAlign w:val="center"/>
            <w:hideMark/>
          </w:tcPr>
          <w:p w14:paraId="23684D16" w14:textId="77777777" w:rsidR="0094237E" w:rsidRPr="0094237E" w:rsidRDefault="0094237E" w:rsidP="0094237E">
            <w:pPr>
              <w:spacing w:after="0" w:line="240" w:lineRule="auto"/>
              <w:rPr>
                <w:rFonts w:asciiTheme="majorBidi" w:hAnsiTheme="majorBidi" w:cstheme="majorBidi"/>
                <w:sz w:val="24"/>
                <w:szCs w:val="24"/>
                <w:lang w:val="en-US"/>
              </w:rPr>
            </w:pPr>
            <w:r w:rsidRPr="0094237E">
              <w:rPr>
                <w:rFonts w:asciiTheme="majorBidi" w:hAnsiTheme="majorBidi" w:cstheme="majorBidi"/>
                <w:sz w:val="24"/>
                <w:szCs w:val="24"/>
                <w:lang w:val="en-US"/>
              </w:rPr>
              <w:t>Stable</w:t>
            </w:r>
          </w:p>
        </w:tc>
        <w:tc>
          <w:tcPr>
            <w:tcW w:w="3832" w:type="dxa"/>
            <w:tcMar>
              <w:top w:w="100" w:type="dxa"/>
              <w:left w:w="160" w:type="dxa"/>
              <w:bottom w:w="100" w:type="dxa"/>
              <w:right w:w="144" w:type="dxa"/>
            </w:tcMar>
            <w:vAlign w:val="center"/>
            <w:hideMark/>
          </w:tcPr>
          <w:p w14:paraId="7361F8FD" w14:textId="77777777" w:rsidR="0094237E" w:rsidRPr="0094237E" w:rsidRDefault="0094237E" w:rsidP="0094237E">
            <w:pPr>
              <w:spacing w:after="0" w:line="240" w:lineRule="auto"/>
              <w:jc w:val="both"/>
              <w:rPr>
                <w:rFonts w:asciiTheme="majorBidi" w:hAnsiTheme="majorBidi" w:cstheme="majorBidi"/>
                <w:sz w:val="24"/>
                <w:szCs w:val="24"/>
                <w:lang w:val="en-US"/>
              </w:rPr>
            </w:pPr>
            <w:r w:rsidRPr="0094237E">
              <w:rPr>
                <w:rFonts w:asciiTheme="majorBidi" w:hAnsiTheme="majorBidi" w:cstheme="majorBidi"/>
                <w:sz w:val="24"/>
                <w:szCs w:val="24"/>
                <w:lang w:val="en-US"/>
              </w:rPr>
              <w:t xml:space="preserve">Can be prolonged due to </w:t>
            </w:r>
            <w:r>
              <w:rPr>
                <w:rFonts w:asciiTheme="majorBidi" w:hAnsiTheme="majorBidi" w:cstheme="majorBidi"/>
                <w:sz w:val="24"/>
                <w:szCs w:val="24"/>
                <w:lang w:val="en-US"/>
              </w:rPr>
              <w:t xml:space="preserve">an </w:t>
            </w:r>
            <w:r w:rsidRPr="0094237E">
              <w:rPr>
                <w:rFonts w:asciiTheme="majorBidi" w:hAnsiTheme="majorBidi" w:cstheme="majorBidi"/>
                <w:sz w:val="24"/>
                <w:szCs w:val="24"/>
                <w:lang w:val="en-US"/>
              </w:rPr>
              <w:t>alert investigation</w:t>
            </w:r>
            <w:r>
              <w:rPr>
                <w:rFonts w:asciiTheme="majorBidi" w:hAnsiTheme="majorBidi" w:cstheme="majorBidi"/>
                <w:sz w:val="24"/>
                <w:szCs w:val="24"/>
                <w:lang w:val="en-US"/>
              </w:rPr>
              <w:t>.</w:t>
            </w:r>
          </w:p>
        </w:tc>
      </w:tr>
    </w:tbl>
    <w:p w14:paraId="7FA62066" w14:textId="77777777" w:rsidR="0094237E" w:rsidRDefault="0094237E" w:rsidP="00AC036D">
      <w:pPr>
        <w:spacing w:line="360" w:lineRule="auto"/>
        <w:jc w:val="both"/>
        <w:rPr>
          <w:rFonts w:asciiTheme="majorBidi" w:hAnsiTheme="majorBidi" w:cstheme="majorBidi"/>
          <w:sz w:val="24"/>
          <w:szCs w:val="24"/>
          <w:lang w:val="en-US"/>
        </w:rPr>
      </w:pPr>
    </w:p>
    <w:p w14:paraId="2335E73C" w14:textId="77777777" w:rsidR="0094237E" w:rsidRDefault="0059771B" w:rsidP="00AC036D">
      <w:pPr>
        <w:spacing w:line="360" w:lineRule="auto"/>
        <w:jc w:val="both"/>
        <w:rPr>
          <w:rFonts w:asciiTheme="majorBidi" w:hAnsiTheme="majorBidi" w:cstheme="majorBidi"/>
          <w:sz w:val="24"/>
          <w:szCs w:val="24"/>
          <w:lang w:val="en-US"/>
        </w:rPr>
      </w:pPr>
      <w:r w:rsidRPr="0059771B">
        <w:rPr>
          <w:rFonts w:asciiTheme="majorBidi" w:hAnsiTheme="majorBidi" w:cstheme="majorBidi"/>
          <w:sz w:val="24"/>
          <w:szCs w:val="24"/>
          <w:lang w:val="en-US"/>
        </w:rPr>
        <w:t xml:space="preserve">The financial investment required for </w:t>
      </w:r>
      <w:proofErr w:type="spellStart"/>
      <w:r w:rsidRPr="0059771B">
        <w:rPr>
          <w:rFonts w:asciiTheme="majorBidi" w:hAnsiTheme="majorBidi" w:cstheme="majorBidi"/>
          <w:sz w:val="24"/>
          <w:szCs w:val="24"/>
          <w:lang w:val="en-US"/>
        </w:rPr>
        <w:t>CADe</w:t>
      </w:r>
      <w:proofErr w:type="spellEnd"/>
      <w:r w:rsidRPr="0059771B">
        <w:rPr>
          <w:rFonts w:asciiTheme="majorBidi" w:hAnsiTheme="majorBidi" w:cstheme="majorBidi"/>
          <w:sz w:val="24"/>
          <w:szCs w:val="24"/>
          <w:lang w:val="en-US"/>
        </w:rPr>
        <w:t xml:space="preserve"> systems is substantial, raising questions about cost-effectiveness. The benefit must be weighed against other potential investments in training or staffing. Therefore, while </w:t>
      </w:r>
      <w:proofErr w:type="spellStart"/>
      <w:r w:rsidRPr="0059771B">
        <w:rPr>
          <w:rFonts w:asciiTheme="majorBidi" w:hAnsiTheme="majorBidi" w:cstheme="majorBidi"/>
          <w:sz w:val="24"/>
          <w:szCs w:val="24"/>
          <w:lang w:val="en-US"/>
        </w:rPr>
        <w:t>CADe</w:t>
      </w:r>
      <w:proofErr w:type="spellEnd"/>
      <w:r w:rsidRPr="0059771B">
        <w:rPr>
          <w:rFonts w:asciiTheme="majorBidi" w:hAnsiTheme="majorBidi" w:cstheme="majorBidi"/>
          <w:sz w:val="24"/>
          <w:szCs w:val="24"/>
          <w:lang w:val="en-US"/>
        </w:rPr>
        <w:t xml:space="preserve"> represents a powerful technological advance, its deployment must be accompanied by robust training on its intelligent use. It should be viewed as a tool to augment, not replace, endoscopic expertise, and its value is </w:t>
      </w:r>
      <w:proofErr w:type="spellStart"/>
      <w:r w:rsidRPr="0059771B">
        <w:rPr>
          <w:rFonts w:asciiTheme="majorBidi" w:hAnsiTheme="majorBidi" w:cstheme="majorBidi"/>
          <w:sz w:val="24"/>
          <w:szCs w:val="24"/>
          <w:lang w:val="en-US"/>
        </w:rPr>
        <w:t>maximised</w:t>
      </w:r>
      <w:proofErr w:type="spellEnd"/>
      <w:r w:rsidRPr="0059771B">
        <w:rPr>
          <w:rFonts w:asciiTheme="majorBidi" w:hAnsiTheme="majorBidi" w:cstheme="majorBidi"/>
          <w:sz w:val="24"/>
          <w:szCs w:val="24"/>
          <w:lang w:val="en-US"/>
        </w:rPr>
        <w:t xml:space="preserve"> only when endoscopists retain critical control over the examination.</w:t>
      </w:r>
      <w:r>
        <w:rPr>
          <w:rFonts w:asciiTheme="majorBidi" w:hAnsiTheme="majorBidi" w:cstheme="majorBidi"/>
          <w:sz w:val="24"/>
          <w:szCs w:val="24"/>
          <w:lang w:val="en-US"/>
        </w:rPr>
        <w:t xml:space="preserve"> </w:t>
      </w:r>
    </w:p>
    <w:p w14:paraId="65F4BE23" w14:textId="77777777" w:rsidR="00ED1DBD" w:rsidRPr="00ED1DBD" w:rsidRDefault="00ED1DBD" w:rsidP="00AC036D">
      <w:pPr>
        <w:spacing w:line="360" w:lineRule="auto"/>
        <w:jc w:val="both"/>
        <w:rPr>
          <w:rFonts w:asciiTheme="majorBidi" w:hAnsiTheme="majorBidi" w:cstheme="majorBidi"/>
          <w:b/>
          <w:bCs/>
          <w:sz w:val="24"/>
          <w:szCs w:val="24"/>
          <w:lang w:val="en-US"/>
        </w:rPr>
      </w:pPr>
      <w:r w:rsidRPr="00ED1DBD">
        <w:rPr>
          <w:rFonts w:asciiTheme="majorBidi" w:hAnsiTheme="majorBidi" w:cstheme="majorBidi"/>
          <w:b/>
          <w:bCs/>
          <w:sz w:val="24"/>
          <w:szCs w:val="24"/>
          <w:lang w:val="en-US"/>
        </w:rPr>
        <w:t>Pillar 4: Integrated Care (Collaborative Patient Management)</w:t>
      </w:r>
    </w:p>
    <w:p w14:paraId="792F40A5" w14:textId="77777777" w:rsidR="00ED1DBD" w:rsidRPr="00ED1DBD" w:rsidRDefault="00ED1DBD" w:rsidP="001E2A0C">
      <w:pPr>
        <w:spacing w:line="360" w:lineRule="auto"/>
        <w:jc w:val="both"/>
        <w:rPr>
          <w:rFonts w:asciiTheme="majorBidi" w:hAnsiTheme="majorBidi" w:cstheme="majorBidi"/>
          <w:sz w:val="24"/>
          <w:szCs w:val="24"/>
          <w:lang w:val="en-US"/>
        </w:rPr>
      </w:pPr>
      <w:r w:rsidRPr="00ED1DBD">
        <w:rPr>
          <w:rFonts w:asciiTheme="majorBidi" w:hAnsiTheme="majorBidi" w:cstheme="majorBidi"/>
          <w:sz w:val="24"/>
          <w:szCs w:val="24"/>
          <w:lang w:val="en-US"/>
        </w:rPr>
        <w:t>The final pillar addresses a fundamental weakness in the patient pathway, the persistent disconnect between primary care and specialist gastroenterology services. This fragmentation often results in inappropriate referrals, poor patient preparation, and inadequate follow-up, which severely undermine the efficiency of the entire screening system.</w:t>
      </w:r>
      <w:r>
        <w:rPr>
          <w:rFonts w:asciiTheme="majorBidi" w:hAnsiTheme="majorBidi" w:cstheme="majorBidi"/>
          <w:sz w:val="24"/>
          <w:szCs w:val="24"/>
          <w:lang w:val="en-US"/>
        </w:rPr>
        <w:t xml:space="preserve"> A collaborative care model aim</w:t>
      </w:r>
      <w:r w:rsidRPr="00ED1DBD">
        <w:rPr>
          <w:rFonts w:asciiTheme="majorBidi" w:hAnsiTheme="majorBidi" w:cstheme="majorBidi"/>
          <w:sz w:val="24"/>
          <w:szCs w:val="24"/>
          <w:lang w:val="en-US"/>
        </w:rPr>
        <w:t xml:space="preserve">s to create a seamless continuum from initial risk assessment through to post-procedure management. Research by Schiff et al. (2017) demonstrated that structured collaboration between primary care providers and gastroenterologists can lead to measurable improvements in screening adherence </w:t>
      </w:r>
      <w:r w:rsidRPr="00ED1DBD">
        <w:rPr>
          <w:rFonts w:asciiTheme="majorBidi" w:hAnsiTheme="majorBidi" w:cstheme="majorBidi"/>
          <w:sz w:val="24"/>
          <w:szCs w:val="24"/>
          <w:lang w:val="en-US"/>
        </w:rPr>
        <w:lastRenderedPageBreak/>
        <w:t xml:space="preserve">and follow-up completion rates. The theoretical benefits of such integration are contrasted with common current failures in </w:t>
      </w:r>
      <w:r w:rsidR="001E2A0C">
        <w:rPr>
          <w:rFonts w:asciiTheme="majorBidi" w:hAnsiTheme="majorBidi" w:cstheme="majorBidi"/>
          <w:sz w:val="24"/>
          <w:szCs w:val="24"/>
          <w:lang w:val="en-US"/>
        </w:rPr>
        <w:t>figure 1 below</w:t>
      </w:r>
      <w:r w:rsidRPr="00ED1DBD">
        <w:rPr>
          <w:rFonts w:asciiTheme="majorBidi" w:hAnsiTheme="majorBidi" w:cstheme="majorBidi"/>
          <w:sz w:val="24"/>
          <w:szCs w:val="24"/>
          <w:lang w:val="en-US"/>
        </w:rPr>
        <w:t>.</w:t>
      </w:r>
    </w:p>
    <w:p w14:paraId="24CFE46B" w14:textId="77777777" w:rsidR="00ED1DBD" w:rsidRDefault="00ED1DBD" w:rsidP="00ED1DBD">
      <w:pPr>
        <w:spacing w:line="360" w:lineRule="auto"/>
        <w:jc w:val="both"/>
        <w:rPr>
          <w:rFonts w:asciiTheme="majorBidi" w:hAnsiTheme="majorBidi" w:cstheme="majorBidi"/>
          <w:sz w:val="24"/>
          <w:szCs w:val="24"/>
          <w:lang w:val="en-US"/>
        </w:rPr>
      </w:pPr>
    </w:p>
    <w:p w14:paraId="567A94B1" w14:textId="77777777" w:rsidR="001E2A0C" w:rsidRDefault="001E2A0C" w:rsidP="00ED1DBD">
      <w:pPr>
        <w:spacing w:line="360" w:lineRule="auto"/>
        <w:jc w:val="both"/>
        <w:rPr>
          <w:rFonts w:asciiTheme="majorBidi" w:hAnsiTheme="majorBidi" w:cstheme="majorBidi"/>
          <w:sz w:val="24"/>
          <w:szCs w:val="24"/>
          <w:lang w:val="en-US"/>
        </w:rPr>
      </w:pPr>
      <w:r>
        <w:rPr>
          <w:noProof/>
          <w:lang w:val="en-US"/>
        </w:rPr>
        <w:drawing>
          <wp:anchor distT="0" distB="0" distL="114300" distR="114300" simplePos="0" relativeHeight="251658240" behindDoc="0" locked="0" layoutInCell="1" allowOverlap="1" wp14:anchorId="1BC0202C" wp14:editId="349F0889">
            <wp:simplePos x="0" y="0"/>
            <wp:positionH relativeFrom="column">
              <wp:posOffset>1588135</wp:posOffset>
            </wp:positionH>
            <wp:positionV relativeFrom="paragraph">
              <wp:posOffset>0</wp:posOffset>
            </wp:positionV>
            <wp:extent cx="3180080" cy="1949450"/>
            <wp:effectExtent l="0" t="0" r="1270" b="0"/>
            <wp:wrapSquare wrapText="bothSides"/>
            <wp:docPr id="1" name="Picture 1" descr="C:\Users\HP-PC\Downloads\Pathway StageFragmented Care ModelIntegrated Care Model - visual sele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C\Downloads\Pathway StageFragmented Care ModelIntegrated Care Model - visual selection.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655" t="23950" r="8729" b="10741"/>
                    <a:stretch/>
                  </pic:blipFill>
                  <pic:spPr bwMode="auto">
                    <a:xfrm>
                      <a:off x="0" y="0"/>
                      <a:ext cx="3180080" cy="194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A73081" w14:textId="77777777" w:rsidR="001E2A0C" w:rsidRDefault="001E2A0C" w:rsidP="001E2A0C">
      <w:pPr>
        <w:pStyle w:val="NormalWeb"/>
        <w:rPr>
          <w:noProof/>
        </w:rPr>
      </w:pPr>
    </w:p>
    <w:p w14:paraId="23FC956A" w14:textId="77777777" w:rsidR="001E2A0C" w:rsidRDefault="001E2A0C" w:rsidP="001E2A0C">
      <w:pPr>
        <w:pStyle w:val="NormalWeb"/>
      </w:pPr>
    </w:p>
    <w:p w14:paraId="2BFCC11A" w14:textId="77777777" w:rsidR="001E2A0C" w:rsidRPr="00ED1DBD" w:rsidRDefault="001E2A0C" w:rsidP="00ED1DBD">
      <w:pPr>
        <w:spacing w:line="360" w:lineRule="auto"/>
        <w:jc w:val="both"/>
        <w:rPr>
          <w:rFonts w:asciiTheme="majorBidi" w:hAnsiTheme="majorBidi" w:cstheme="majorBidi"/>
          <w:sz w:val="24"/>
          <w:szCs w:val="24"/>
          <w:lang w:val="en-US"/>
        </w:rPr>
      </w:pPr>
    </w:p>
    <w:p w14:paraId="1A88C1C3" w14:textId="77777777" w:rsidR="001E2A0C" w:rsidRDefault="001E2A0C" w:rsidP="00ED1DBD">
      <w:pPr>
        <w:spacing w:line="360" w:lineRule="auto"/>
        <w:jc w:val="both"/>
        <w:rPr>
          <w:rFonts w:asciiTheme="majorBidi" w:hAnsiTheme="majorBidi" w:cstheme="majorBidi"/>
          <w:sz w:val="24"/>
          <w:szCs w:val="24"/>
          <w:lang w:val="en-US"/>
        </w:rPr>
      </w:pPr>
    </w:p>
    <w:p w14:paraId="0B7E1BFA" w14:textId="77777777" w:rsidR="001E2A0C" w:rsidRPr="001E2A0C" w:rsidRDefault="001E2A0C" w:rsidP="00ED1DBD">
      <w:pPr>
        <w:spacing w:line="360" w:lineRule="auto"/>
        <w:jc w:val="both"/>
        <w:rPr>
          <w:rFonts w:asciiTheme="majorBidi" w:hAnsiTheme="majorBidi" w:cstheme="majorBidi"/>
          <w:i/>
          <w:iCs/>
          <w:sz w:val="24"/>
          <w:szCs w:val="24"/>
          <w:lang w:val="en-US"/>
        </w:rPr>
      </w:pPr>
    </w:p>
    <w:p w14:paraId="0003F9E6" w14:textId="77777777" w:rsidR="001E2A0C" w:rsidRPr="001E2A0C" w:rsidRDefault="001E2A0C" w:rsidP="00EE5474">
      <w:pPr>
        <w:spacing w:line="360" w:lineRule="auto"/>
        <w:jc w:val="center"/>
        <w:rPr>
          <w:rFonts w:asciiTheme="majorBidi" w:hAnsiTheme="majorBidi" w:cstheme="majorBidi"/>
          <w:i/>
          <w:iCs/>
          <w:sz w:val="24"/>
          <w:szCs w:val="24"/>
          <w:lang w:val="en-US"/>
        </w:rPr>
      </w:pPr>
      <w:r w:rsidRPr="001E2A0C">
        <w:rPr>
          <w:rFonts w:asciiTheme="majorBidi" w:hAnsiTheme="majorBidi" w:cstheme="majorBidi"/>
          <w:i/>
          <w:iCs/>
          <w:sz w:val="24"/>
          <w:szCs w:val="24"/>
          <w:lang w:val="en-US"/>
        </w:rPr>
        <w:t xml:space="preserve">Figure 1: </w:t>
      </w:r>
      <w:r w:rsidR="00EE5474" w:rsidRPr="00EE5474">
        <w:rPr>
          <w:rFonts w:asciiTheme="majorBidi" w:hAnsiTheme="majorBidi" w:cstheme="majorBidi"/>
          <w:i/>
          <w:iCs/>
          <w:sz w:val="24"/>
          <w:szCs w:val="24"/>
          <w:lang w:val="en-US"/>
        </w:rPr>
        <w:t>The impact of collaborative care models on patient pathway gaps</w:t>
      </w:r>
      <w:r w:rsidR="00931C3C">
        <w:rPr>
          <w:rFonts w:asciiTheme="majorBidi" w:hAnsiTheme="majorBidi" w:cstheme="majorBidi"/>
          <w:i/>
          <w:iCs/>
          <w:sz w:val="24"/>
          <w:szCs w:val="24"/>
          <w:lang w:val="en-US"/>
        </w:rPr>
        <w:t xml:space="preserve"> </w:t>
      </w:r>
    </w:p>
    <w:p w14:paraId="3396A93F" w14:textId="77777777" w:rsidR="00ED1DBD" w:rsidRDefault="00ED1DBD" w:rsidP="00ED1DBD">
      <w:pPr>
        <w:spacing w:line="360" w:lineRule="auto"/>
        <w:jc w:val="both"/>
        <w:rPr>
          <w:rFonts w:asciiTheme="majorBidi" w:hAnsiTheme="majorBidi" w:cstheme="majorBidi"/>
          <w:sz w:val="24"/>
          <w:szCs w:val="24"/>
          <w:lang w:val="en-US"/>
        </w:rPr>
      </w:pPr>
      <w:r w:rsidRPr="00ED1DBD">
        <w:rPr>
          <w:rFonts w:asciiTheme="majorBidi" w:hAnsiTheme="majorBidi" w:cstheme="majorBidi"/>
          <w:sz w:val="24"/>
          <w:szCs w:val="24"/>
          <w:lang w:val="en-US"/>
        </w:rPr>
        <w:t>The practical implementation of these models, however, faces considerable obstacles. Primary care practices are frequently overburdened, and introducing new referral protocols or shared care responsibilities can be met with resistance without additional funding or time allocation</w:t>
      </w:r>
      <w:r w:rsidR="00625B49">
        <w:rPr>
          <w:rFonts w:asciiTheme="majorBidi" w:hAnsiTheme="majorBidi" w:cstheme="majorBidi"/>
          <w:sz w:val="24"/>
          <w:szCs w:val="24"/>
          <w:lang w:val="en-US"/>
        </w:rPr>
        <w:t xml:space="preserve"> (</w:t>
      </w:r>
      <w:r w:rsidR="00625B49" w:rsidRPr="00625B49">
        <w:rPr>
          <w:rFonts w:asciiTheme="majorBidi" w:hAnsiTheme="majorBidi" w:cstheme="majorBidi"/>
          <w:sz w:val="24"/>
          <w:szCs w:val="24"/>
          <w:lang w:val="en-US"/>
        </w:rPr>
        <w:t>Seyed-</w:t>
      </w:r>
      <w:r w:rsidR="00625B49">
        <w:rPr>
          <w:rFonts w:asciiTheme="majorBidi" w:hAnsiTheme="majorBidi" w:cstheme="majorBidi"/>
          <w:sz w:val="24"/>
          <w:szCs w:val="24"/>
          <w:lang w:val="en-US"/>
        </w:rPr>
        <w:t>Nezhad, Ahmadi, &amp; Akbari-Sari, 2021)</w:t>
      </w:r>
      <w:r w:rsidRPr="00ED1DBD">
        <w:rPr>
          <w:rFonts w:asciiTheme="majorBidi" w:hAnsiTheme="majorBidi" w:cstheme="majorBidi"/>
          <w:sz w:val="24"/>
          <w:szCs w:val="24"/>
          <w:lang w:val="en-US"/>
        </w:rPr>
        <w:t>. The digital infrastructure required for seamless information sharing, such as interoperable electronic health records, is often lacking, leading to communication that remains dependent on outdated methods like fax or post</w:t>
      </w:r>
      <w:r w:rsidR="00960054">
        <w:rPr>
          <w:rFonts w:asciiTheme="majorBidi" w:hAnsiTheme="majorBidi" w:cstheme="majorBidi"/>
          <w:sz w:val="24"/>
          <w:szCs w:val="24"/>
          <w:lang w:val="en-US"/>
        </w:rPr>
        <w:t xml:space="preserve"> (</w:t>
      </w:r>
      <w:r w:rsidR="00960054" w:rsidRPr="00960054">
        <w:rPr>
          <w:rFonts w:asciiTheme="majorBidi" w:hAnsiTheme="majorBidi" w:cstheme="majorBidi"/>
          <w:sz w:val="24"/>
          <w:szCs w:val="24"/>
          <w:lang w:val="en-US"/>
        </w:rPr>
        <w:t xml:space="preserve">Tsai </w:t>
      </w:r>
      <w:r w:rsidR="00960054">
        <w:rPr>
          <w:rFonts w:asciiTheme="majorBidi" w:hAnsiTheme="majorBidi" w:cstheme="majorBidi"/>
          <w:sz w:val="24"/>
          <w:szCs w:val="24"/>
          <w:lang w:val="en-US"/>
        </w:rPr>
        <w:t>et al., 2020)</w:t>
      </w:r>
      <w:r w:rsidRPr="00ED1DBD">
        <w:rPr>
          <w:rFonts w:asciiTheme="majorBidi" w:hAnsiTheme="majorBidi" w:cstheme="majorBidi"/>
          <w:sz w:val="24"/>
          <w:szCs w:val="24"/>
          <w:lang w:val="en-US"/>
        </w:rPr>
        <w:t>. This creates information silos where critical patient data, such as family history or comorbidities, is not readily available to the endoscopist. Furthermore, unclear lines of responsibility for follow-up can lead to patients with abnormal findings being lost to the system entirely.</w:t>
      </w:r>
    </w:p>
    <w:p w14:paraId="35E7B4AC" w14:textId="77777777" w:rsidR="001E2A0C" w:rsidRDefault="00931C3C" w:rsidP="00EE5474">
      <w:pPr>
        <w:spacing w:line="360" w:lineRule="auto"/>
        <w:jc w:val="both"/>
        <w:rPr>
          <w:rFonts w:asciiTheme="majorBidi" w:hAnsiTheme="majorBidi" w:cstheme="majorBidi"/>
          <w:sz w:val="24"/>
          <w:szCs w:val="24"/>
          <w:lang w:val="en-US"/>
        </w:rPr>
      </w:pPr>
      <w:r w:rsidRPr="00931C3C">
        <w:rPr>
          <w:rFonts w:asciiTheme="majorBidi" w:hAnsiTheme="majorBidi" w:cstheme="majorBidi"/>
          <w:sz w:val="24"/>
          <w:szCs w:val="24"/>
          <w:lang w:val="en-US"/>
        </w:rPr>
        <w:t>Successful collaboration therefore</w:t>
      </w:r>
      <w:r>
        <w:rPr>
          <w:rFonts w:asciiTheme="majorBidi" w:hAnsiTheme="majorBidi" w:cstheme="majorBidi"/>
          <w:sz w:val="24"/>
          <w:szCs w:val="24"/>
          <w:lang w:val="en-US"/>
        </w:rPr>
        <w:t>,</w:t>
      </w:r>
      <w:r w:rsidRPr="00931C3C">
        <w:rPr>
          <w:rFonts w:asciiTheme="majorBidi" w:hAnsiTheme="majorBidi" w:cstheme="majorBidi"/>
          <w:sz w:val="24"/>
          <w:szCs w:val="24"/>
          <w:lang w:val="en-US"/>
        </w:rPr>
        <w:t xml:space="preserve"> demands more than goodwill. It requires a formal re-engineering of workflows, investment in shared digital platforms, and a clear definition of responsibilities across the primary-secondary care interface. Without this structural and financial support, collaborative models risk becoming another well-intentioned but ultimately ineffective initiative, failing to resolve the very coordination problems they are designed to fix.</w:t>
      </w:r>
    </w:p>
    <w:p w14:paraId="150B0989" w14:textId="77777777" w:rsidR="006351AF" w:rsidRDefault="006351AF" w:rsidP="00EE5474">
      <w:pPr>
        <w:spacing w:line="360" w:lineRule="auto"/>
        <w:jc w:val="both"/>
        <w:rPr>
          <w:rFonts w:asciiTheme="majorBidi" w:hAnsiTheme="majorBidi" w:cstheme="majorBidi"/>
          <w:sz w:val="24"/>
          <w:szCs w:val="24"/>
          <w:lang w:val="en-US"/>
        </w:rPr>
      </w:pPr>
    </w:p>
    <w:p w14:paraId="63797CDF" w14:textId="77777777" w:rsidR="006351AF" w:rsidRDefault="006351AF" w:rsidP="00EE5474">
      <w:pPr>
        <w:spacing w:line="360" w:lineRule="auto"/>
        <w:jc w:val="both"/>
        <w:rPr>
          <w:rFonts w:asciiTheme="majorBidi" w:hAnsiTheme="majorBidi" w:cstheme="majorBidi"/>
          <w:sz w:val="24"/>
          <w:szCs w:val="24"/>
          <w:lang w:val="en-US"/>
        </w:rPr>
      </w:pPr>
    </w:p>
    <w:p w14:paraId="46B86861" w14:textId="77777777" w:rsidR="006351AF" w:rsidRDefault="006351AF" w:rsidP="00EE5474">
      <w:pPr>
        <w:spacing w:line="360" w:lineRule="auto"/>
        <w:jc w:val="both"/>
        <w:rPr>
          <w:rFonts w:asciiTheme="majorBidi" w:hAnsiTheme="majorBidi" w:cstheme="majorBidi"/>
          <w:sz w:val="24"/>
          <w:szCs w:val="24"/>
          <w:lang w:val="en-US"/>
        </w:rPr>
      </w:pPr>
    </w:p>
    <w:p w14:paraId="2B892443" w14:textId="77777777" w:rsidR="006351AF" w:rsidRDefault="006351AF" w:rsidP="00EE5474">
      <w:pPr>
        <w:spacing w:line="360" w:lineRule="auto"/>
        <w:jc w:val="both"/>
        <w:rPr>
          <w:rFonts w:asciiTheme="majorBidi" w:hAnsiTheme="majorBidi" w:cstheme="majorBidi"/>
          <w:sz w:val="24"/>
          <w:szCs w:val="24"/>
          <w:lang w:val="en-US"/>
        </w:rPr>
      </w:pPr>
    </w:p>
    <w:p w14:paraId="4740DBB5" w14:textId="77777777" w:rsidR="006351AF" w:rsidRDefault="006351AF" w:rsidP="00EE5474">
      <w:pPr>
        <w:spacing w:line="360" w:lineRule="auto"/>
        <w:jc w:val="both"/>
        <w:rPr>
          <w:rFonts w:asciiTheme="majorBidi" w:hAnsiTheme="majorBidi" w:cstheme="majorBidi"/>
          <w:sz w:val="24"/>
          <w:szCs w:val="24"/>
          <w:lang w:val="en-US"/>
        </w:rPr>
      </w:pPr>
    </w:p>
    <w:p w14:paraId="1E397F87" w14:textId="77777777" w:rsidR="006351AF" w:rsidRPr="00B81B04" w:rsidRDefault="006351AF" w:rsidP="00EE5474">
      <w:pPr>
        <w:spacing w:line="360" w:lineRule="auto"/>
        <w:jc w:val="both"/>
        <w:rPr>
          <w:rFonts w:asciiTheme="majorBidi" w:hAnsiTheme="majorBidi" w:cstheme="majorBidi"/>
          <w:b/>
          <w:bCs/>
          <w:sz w:val="28"/>
          <w:szCs w:val="28"/>
          <w:lang w:val="en-US"/>
        </w:rPr>
      </w:pPr>
      <w:r w:rsidRPr="00B81B04">
        <w:rPr>
          <w:rFonts w:asciiTheme="majorBidi" w:hAnsiTheme="majorBidi" w:cstheme="majorBidi"/>
          <w:b/>
          <w:bCs/>
          <w:sz w:val="28"/>
          <w:szCs w:val="28"/>
          <w:lang w:val="en-US"/>
        </w:rPr>
        <w:t>Bridging the Diagnostic-Therapeutic Divide from Early Detection to Advanced Therapies</w:t>
      </w:r>
    </w:p>
    <w:p w14:paraId="1EDE308B" w14:textId="77777777" w:rsidR="006351AF" w:rsidRPr="002F5146" w:rsidRDefault="006351AF" w:rsidP="00C11BB4">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The </w:t>
      </w:r>
      <w:proofErr w:type="spellStart"/>
      <w:r w:rsidRPr="002F5146">
        <w:rPr>
          <w:rFonts w:asciiTheme="majorBidi" w:hAnsiTheme="majorBidi" w:cstheme="majorBidi"/>
          <w:sz w:val="24"/>
          <w:szCs w:val="24"/>
          <w:lang w:val="en-US"/>
        </w:rPr>
        <w:t>optimisation</w:t>
      </w:r>
      <w:proofErr w:type="spellEnd"/>
      <w:r w:rsidRPr="002F5146">
        <w:rPr>
          <w:rFonts w:asciiTheme="majorBidi" w:hAnsiTheme="majorBidi" w:cstheme="majorBidi"/>
          <w:sz w:val="24"/>
          <w:szCs w:val="24"/>
          <w:lang w:val="en-US"/>
        </w:rPr>
        <w:t xml:space="preserve"> of gastroenterology units holds little purpose if it serves only to increase procedural throughput. Its true value is </w:t>
      </w:r>
      <w:proofErr w:type="spellStart"/>
      <w:r w:rsidRPr="002F5146">
        <w:rPr>
          <w:rFonts w:asciiTheme="majorBidi" w:hAnsiTheme="majorBidi" w:cstheme="majorBidi"/>
          <w:sz w:val="24"/>
          <w:szCs w:val="24"/>
          <w:lang w:val="en-US"/>
        </w:rPr>
        <w:t>realised</w:t>
      </w:r>
      <w:proofErr w:type="spellEnd"/>
      <w:r w:rsidRPr="002F5146">
        <w:rPr>
          <w:rFonts w:asciiTheme="majorBidi" w:hAnsiTheme="majorBidi" w:cstheme="majorBidi"/>
          <w:sz w:val="24"/>
          <w:szCs w:val="24"/>
          <w:lang w:val="en-US"/>
        </w:rPr>
        <w:t xml:space="preserve"> only when it functions as an extensive bridge connecting early detection to the contemporary landscape of advanced oncology treatments (Kidambi et al., 2024). Recent therapeutic breakthroughs have created a paradoxical situation. While we possess an expanding arsenal of highly effective treatments, their application is often critically dependent on the quality and timing of the initial diagnostic encounter</w:t>
      </w:r>
      <w:r w:rsidR="00C11BB4" w:rsidRPr="002F5146">
        <w:rPr>
          <w:rFonts w:asciiTheme="majorBidi" w:hAnsiTheme="majorBidi" w:cstheme="majorBidi"/>
          <w:sz w:val="24"/>
          <w:szCs w:val="24"/>
          <w:lang w:val="en-US"/>
        </w:rPr>
        <w:t xml:space="preserve"> (Alharbi et al., 2025)</w:t>
      </w:r>
      <w:r w:rsidRPr="002F5146">
        <w:rPr>
          <w:rFonts w:asciiTheme="majorBidi" w:hAnsiTheme="majorBidi" w:cstheme="majorBidi"/>
          <w:sz w:val="24"/>
          <w:szCs w:val="24"/>
          <w:lang w:val="en-US"/>
        </w:rPr>
        <w:t xml:space="preserve">. The tissue samples </w:t>
      </w:r>
      <w:r w:rsidR="00C11BB4" w:rsidRPr="002F5146">
        <w:rPr>
          <w:rFonts w:asciiTheme="majorBidi" w:hAnsiTheme="majorBidi" w:cstheme="majorBidi"/>
          <w:sz w:val="24"/>
          <w:szCs w:val="24"/>
          <w:lang w:val="en-US"/>
        </w:rPr>
        <w:t>obtained</w:t>
      </w:r>
      <w:r w:rsidRPr="002F5146">
        <w:rPr>
          <w:rFonts w:asciiTheme="majorBidi" w:hAnsiTheme="majorBidi" w:cstheme="majorBidi"/>
          <w:sz w:val="24"/>
          <w:szCs w:val="24"/>
          <w:lang w:val="en-US"/>
        </w:rPr>
        <w:t xml:space="preserve"> during a colonoscopy are the fundamental substrate for the molecular analyses that now guide therapeutic decisions. An inadequate biopsy or a delayed diagnosis can therefore nullify the potential benefits of these sophisticated drugs.</w:t>
      </w:r>
    </w:p>
    <w:p w14:paraId="4CF8F772" w14:textId="77777777" w:rsidR="00B533DD" w:rsidRPr="002F5146" w:rsidRDefault="006351AF" w:rsidP="002F5146">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The efficacy of targeted therapies, for instance, is contingent upon precise molecular stratification. Drugs such as anti-EGFR monoclonal antibodies are only effective for patients whose </w:t>
      </w:r>
      <w:proofErr w:type="spellStart"/>
      <w:r w:rsidRPr="002F5146">
        <w:rPr>
          <w:rFonts w:asciiTheme="majorBidi" w:hAnsiTheme="majorBidi" w:cstheme="majorBidi"/>
          <w:sz w:val="24"/>
          <w:szCs w:val="24"/>
          <w:lang w:val="en-US"/>
        </w:rPr>
        <w:t>tumours</w:t>
      </w:r>
      <w:proofErr w:type="spellEnd"/>
      <w:r w:rsidRPr="002F5146">
        <w:rPr>
          <w:rFonts w:asciiTheme="majorBidi" w:hAnsiTheme="majorBidi" w:cstheme="majorBidi"/>
          <w:sz w:val="24"/>
          <w:szCs w:val="24"/>
          <w:lang w:val="en-US"/>
        </w:rPr>
        <w:t xml:space="preserve"> </w:t>
      </w:r>
      <w:proofErr w:type="spellStart"/>
      <w:r w:rsidRPr="002F5146">
        <w:rPr>
          <w:rFonts w:asciiTheme="majorBidi" w:hAnsiTheme="majorBidi" w:cstheme="majorBidi"/>
          <w:sz w:val="24"/>
          <w:szCs w:val="24"/>
          <w:lang w:val="en-US"/>
        </w:rPr>
        <w:t>harbour</w:t>
      </w:r>
      <w:proofErr w:type="spellEnd"/>
      <w:r w:rsidRPr="002F5146">
        <w:rPr>
          <w:rFonts w:asciiTheme="majorBidi" w:hAnsiTheme="majorBidi" w:cstheme="majorBidi"/>
          <w:sz w:val="24"/>
          <w:szCs w:val="24"/>
          <w:lang w:val="en-US"/>
        </w:rPr>
        <w:t xml:space="preserve"> wild-type RAS genes. Research by Watanabe et al. (2023) confirmed a significant overall survival benefit for patients with RAS wild-type metastatic colorectal cancer receiving panitumumab, but this benefit is exclusively available to those whose </w:t>
      </w:r>
      <w:proofErr w:type="spellStart"/>
      <w:r w:rsidRPr="002F5146">
        <w:rPr>
          <w:rFonts w:asciiTheme="majorBidi" w:hAnsiTheme="majorBidi" w:cstheme="majorBidi"/>
          <w:sz w:val="24"/>
          <w:szCs w:val="24"/>
          <w:lang w:val="en-US"/>
        </w:rPr>
        <w:t>tumour</w:t>
      </w:r>
      <w:proofErr w:type="spellEnd"/>
      <w:r w:rsidRPr="002F5146">
        <w:rPr>
          <w:rFonts w:asciiTheme="majorBidi" w:hAnsiTheme="majorBidi" w:cstheme="majorBidi"/>
          <w:sz w:val="24"/>
          <w:szCs w:val="24"/>
          <w:lang w:val="en-US"/>
        </w:rPr>
        <w:t xml:space="preserve"> tissue has been properly genotyped. Similarly, the remarkable success of immunotherapy with PD-1 inhibitors like pembrolizumab is confined to the subset of patients with microsatellite instability-high </w:t>
      </w:r>
      <w:proofErr w:type="spellStart"/>
      <w:r w:rsidRPr="002F5146">
        <w:rPr>
          <w:rFonts w:asciiTheme="majorBidi" w:hAnsiTheme="majorBidi" w:cstheme="majorBidi"/>
          <w:sz w:val="24"/>
          <w:szCs w:val="24"/>
          <w:lang w:val="en-US"/>
        </w:rPr>
        <w:t>tumours</w:t>
      </w:r>
      <w:proofErr w:type="spellEnd"/>
      <w:r w:rsidRPr="002F5146">
        <w:rPr>
          <w:rFonts w:asciiTheme="majorBidi" w:hAnsiTheme="majorBidi" w:cstheme="majorBidi"/>
          <w:sz w:val="24"/>
          <w:szCs w:val="24"/>
          <w:lang w:val="en-US"/>
        </w:rPr>
        <w:t>, a status determined from colonoscopy-derived tissue. The Phase III KEYNOTE 177 study reported an objective response rate of 43.8 percent in this patient group (Diaz et al., 2018). These d</w:t>
      </w:r>
      <w:r w:rsidR="00B533DD" w:rsidRPr="002F5146">
        <w:rPr>
          <w:rFonts w:asciiTheme="majorBidi" w:hAnsiTheme="majorBidi" w:cstheme="majorBidi"/>
          <w:sz w:val="24"/>
          <w:szCs w:val="24"/>
          <w:lang w:val="en-US"/>
        </w:rPr>
        <w:t>ependencies are mapped in Table 5</w:t>
      </w:r>
      <w:r w:rsidRPr="002F5146">
        <w:rPr>
          <w:rFonts w:asciiTheme="majorBidi" w:hAnsiTheme="majorBidi" w:cstheme="majorBidi"/>
          <w:sz w:val="24"/>
          <w:szCs w:val="24"/>
          <w:lang w:val="en-US"/>
        </w:rPr>
        <w:t>, illustrating the direct link between diagnostic quality and therapeutic eligibility.</w:t>
      </w:r>
    </w:p>
    <w:p w14:paraId="0639BE0A" w14:textId="77777777" w:rsidR="00B533DD" w:rsidRPr="002F5146" w:rsidRDefault="00B533DD" w:rsidP="006351AF">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Table 5: The pathway from colonoscopy to </w:t>
      </w:r>
      <w:proofErr w:type="spellStart"/>
      <w:r w:rsidRPr="002F5146">
        <w:rPr>
          <w:rFonts w:asciiTheme="majorBidi" w:hAnsiTheme="majorBidi" w:cstheme="majorBidi"/>
          <w:sz w:val="24"/>
          <w:szCs w:val="24"/>
          <w:lang w:val="en-US"/>
        </w:rPr>
        <w:t>personalised</w:t>
      </w:r>
      <w:proofErr w:type="spellEnd"/>
      <w:r w:rsidRPr="002F5146">
        <w:rPr>
          <w:rFonts w:asciiTheme="majorBidi" w:hAnsiTheme="majorBidi" w:cstheme="majorBidi"/>
          <w:sz w:val="24"/>
          <w:szCs w:val="24"/>
          <w:lang w:val="en-US"/>
        </w:rPr>
        <w:t xml:space="preserve"> therapy selection</w:t>
      </w:r>
    </w:p>
    <w:tbl>
      <w:tblPr>
        <w:tblW w:w="0" w:type="auto"/>
        <w:tblCellMar>
          <w:left w:w="0" w:type="dxa"/>
          <w:right w:w="0" w:type="dxa"/>
        </w:tblCellMar>
        <w:tblLook w:val="0600" w:firstRow="0" w:lastRow="0" w:firstColumn="0" w:lastColumn="0" w:noHBand="1" w:noVBand="1"/>
      </w:tblPr>
      <w:tblGrid>
        <w:gridCol w:w="2847"/>
        <w:gridCol w:w="2635"/>
        <w:gridCol w:w="3858"/>
      </w:tblGrid>
      <w:tr w:rsidR="00B533DD" w:rsidRPr="002F5146" w14:paraId="3F696E0D" w14:textId="77777777" w:rsidTr="00B533DD">
        <w:tc>
          <w:tcPr>
            <w:tcW w:w="3109" w:type="dxa"/>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703C2F24" w14:textId="77777777" w:rsidR="00B533DD" w:rsidRPr="002F5146" w:rsidRDefault="00B533DD" w:rsidP="00B533DD">
            <w:pPr>
              <w:spacing w:after="0" w:line="240" w:lineRule="auto"/>
              <w:jc w:val="center"/>
              <w:rPr>
                <w:rFonts w:asciiTheme="majorBidi" w:hAnsiTheme="majorBidi" w:cstheme="majorBidi"/>
                <w:b/>
                <w:bCs/>
                <w:sz w:val="24"/>
                <w:szCs w:val="24"/>
                <w:lang w:val="en-US"/>
              </w:rPr>
            </w:pPr>
            <w:r w:rsidRPr="002F5146">
              <w:rPr>
                <w:rFonts w:asciiTheme="majorBidi" w:hAnsiTheme="majorBidi" w:cstheme="majorBidi"/>
                <w:b/>
                <w:bCs/>
                <w:sz w:val="24"/>
                <w:szCs w:val="24"/>
                <w:lang w:val="en-US"/>
              </w:rPr>
              <w:t>Diagnostic Prerequisite</w:t>
            </w:r>
          </w:p>
        </w:tc>
        <w:tc>
          <w:tcPr>
            <w:tcW w:w="1984"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4FE96A0B" w14:textId="77777777" w:rsidR="00B533DD" w:rsidRPr="002F5146" w:rsidRDefault="00B533DD" w:rsidP="00B533DD">
            <w:pPr>
              <w:spacing w:after="0" w:line="240" w:lineRule="auto"/>
              <w:jc w:val="center"/>
              <w:rPr>
                <w:rFonts w:asciiTheme="majorBidi" w:hAnsiTheme="majorBidi" w:cstheme="majorBidi"/>
                <w:b/>
                <w:bCs/>
                <w:sz w:val="24"/>
                <w:szCs w:val="24"/>
                <w:lang w:val="en-US"/>
              </w:rPr>
            </w:pPr>
            <w:r w:rsidRPr="002F5146">
              <w:rPr>
                <w:rFonts w:asciiTheme="majorBidi" w:hAnsiTheme="majorBidi" w:cstheme="majorBidi"/>
                <w:b/>
                <w:bCs/>
                <w:sz w:val="24"/>
                <w:szCs w:val="24"/>
                <w:lang w:val="en-US"/>
              </w:rPr>
              <w:t>Subsequent Analysis</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48960C7A" w14:textId="77777777" w:rsidR="00B533DD" w:rsidRPr="002F5146" w:rsidRDefault="00B533DD" w:rsidP="00B533DD">
            <w:pPr>
              <w:spacing w:after="0" w:line="240" w:lineRule="auto"/>
              <w:jc w:val="center"/>
              <w:rPr>
                <w:rFonts w:asciiTheme="majorBidi" w:hAnsiTheme="majorBidi" w:cstheme="majorBidi"/>
                <w:b/>
                <w:bCs/>
                <w:sz w:val="24"/>
                <w:szCs w:val="24"/>
                <w:lang w:val="en-US"/>
              </w:rPr>
            </w:pPr>
            <w:r w:rsidRPr="002F5146">
              <w:rPr>
                <w:rFonts w:asciiTheme="majorBidi" w:hAnsiTheme="majorBidi" w:cstheme="majorBidi"/>
                <w:b/>
                <w:bCs/>
                <w:sz w:val="24"/>
                <w:szCs w:val="24"/>
                <w:lang w:val="en-US"/>
              </w:rPr>
              <w:t>Therapeutic Implication</w:t>
            </w:r>
          </w:p>
        </w:tc>
      </w:tr>
      <w:tr w:rsidR="00B533DD" w:rsidRPr="002F5146" w14:paraId="77C1ECD5" w14:textId="77777777" w:rsidTr="00B533DD">
        <w:tc>
          <w:tcPr>
            <w:tcW w:w="0" w:type="auto"/>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4AAFB85F"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lastRenderedPageBreak/>
              <w:t xml:space="preserve">Adequate </w:t>
            </w:r>
            <w:proofErr w:type="spellStart"/>
            <w:r w:rsidRPr="002F5146">
              <w:rPr>
                <w:rFonts w:asciiTheme="majorBidi" w:hAnsiTheme="majorBidi" w:cstheme="majorBidi"/>
                <w:sz w:val="24"/>
                <w:szCs w:val="24"/>
                <w:lang w:val="en-US"/>
              </w:rPr>
              <w:t>Tumour</w:t>
            </w:r>
            <w:proofErr w:type="spellEnd"/>
            <w:r w:rsidRPr="002F5146">
              <w:rPr>
                <w:rFonts w:asciiTheme="majorBidi" w:hAnsiTheme="majorBidi" w:cstheme="majorBidi"/>
                <w:sz w:val="24"/>
                <w:szCs w:val="24"/>
                <w:lang w:val="en-US"/>
              </w:rPr>
              <w:t xml:space="preserve"> Biopsy</w:t>
            </w:r>
          </w:p>
        </w:tc>
        <w:tc>
          <w:tcPr>
            <w:tcW w:w="2865"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240F192" w14:textId="77777777" w:rsidR="00B533DD" w:rsidRPr="002F5146" w:rsidRDefault="00B533DD" w:rsidP="00B533DD">
            <w:pPr>
              <w:spacing w:after="0" w:line="24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RAS/RAF Mutation Testing</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20805ECF"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Determines eligibility for anti-EGFR targeted therapies.</w:t>
            </w:r>
          </w:p>
        </w:tc>
      </w:tr>
      <w:tr w:rsidR="00B533DD" w:rsidRPr="002F5146" w14:paraId="1D581FB8" w14:textId="77777777" w:rsidTr="00B533DD">
        <w:tc>
          <w:tcPr>
            <w:tcW w:w="0" w:type="auto"/>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65A7AC13"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 xml:space="preserve">Adequate </w:t>
            </w:r>
            <w:proofErr w:type="spellStart"/>
            <w:r w:rsidRPr="002F5146">
              <w:rPr>
                <w:rFonts w:asciiTheme="majorBidi" w:hAnsiTheme="majorBidi" w:cstheme="majorBidi"/>
                <w:sz w:val="24"/>
                <w:szCs w:val="24"/>
                <w:lang w:val="en-US"/>
              </w:rPr>
              <w:t>Tumour</w:t>
            </w:r>
            <w:proofErr w:type="spellEnd"/>
            <w:r w:rsidRPr="002F5146">
              <w:rPr>
                <w:rFonts w:asciiTheme="majorBidi" w:hAnsiTheme="majorBidi" w:cstheme="majorBidi"/>
                <w:sz w:val="24"/>
                <w:szCs w:val="24"/>
                <w:lang w:val="en-US"/>
              </w:rPr>
              <w:t xml:space="preserve"> Biopsy</w:t>
            </w:r>
          </w:p>
        </w:tc>
        <w:tc>
          <w:tcPr>
            <w:tcW w:w="2865"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6C81491D" w14:textId="77777777" w:rsidR="00B533DD" w:rsidRPr="002F5146" w:rsidRDefault="00B533DD" w:rsidP="00B533DD">
            <w:pPr>
              <w:spacing w:after="0" w:line="24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MSI/MMR Testing</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36DED32C"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Identifies candidates for immunotherapy (e.g., pembrolizumab).</w:t>
            </w:r>
          </w:p>
        </w:tc>
      </w:tr>
      <w:tr w:rsidR="00B533DD" w:rsidRPr="002F5146" w14:paraId="34EADDE8" w14:textId="77777777" w:rsidTr="00B533DD">
        <w:tc>
          <w:tcPr>
            <w:tcW w:w="0" w:type="auto"/>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58C59C6D"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Early-Stage Detection</w:t>
            </w:r>
          </w:p>
        </w:tc>
        <w:tc>
          <w:tcPr>
            <w:tcW w:w="2865"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300EDF7C" w14:textId="77777777" w:rsidR="00B533DD" w:rsidRPr="002F5146" w:rsidRDefault="00B533DD" w:rsidP="00B533DD">
            <w:pPr>
              <w:spacing w:after="0" w:line="24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N/A</w:t>
            </w:r>
          </w:p>
        </w:tc>
        <w:tc>
          <w:tcPr>
            <w:tcW w:w="4247" w:type="dxa"/>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45A06260" w14:textId="77777777" w:rsidR="00B533DD" w:rsidRPr="002F5146" w:rsidRDefault="00B533DD" w:rsidP="00B533DD">
            <w:pPr>
              <w:spacing w:after="0" w:line="240" w:lineRule="auto"/>
              <w:rPr>
                <w:rFonts w:asciiTheme="majorBidi" w:hAnsiTheme="majorBidi" w:cstheme="majorBidi"/>
                <w:sz w:val="24"/>
                <w:szCs w:val="24"/>
                <w:lang w:val="en-US"/>
              </w:rPr>
            </w:pPr>
            <w:r w:rsidRPr="002F5146">
              <w:rPr>
                <w:rFonts w:asciiTheme="majorBidi" w:hAnsiTheme="majorBidi" w:cstheme="majorBidi"/>
                <w:sz w:val="24"/>
                <w:szCs w:val="24"/>
                <w:lang w:val="en-US"/>
              </w:rPr>
              <w:t>Enables curative resection; expands window for adjuvant/novel therapies.</w:t>
            </w:r>
          </w:p>
        </w:tc>
      </w:tr>
    </w:tbl>
    <w:p w14:paraId="314FEFBD" w14:textId="77777777" w:rsidR="00B533DD" w:rsidRPr="002F5146" w:rsidRDefault="00B533DD" w:rsidP="006351AF">
      <w:pPr>
        <w:spacing w:line="360" w:lineRule="auto"/>
        <w:jc w:val="both"/>
        <w:rPr>
          <w:rFonts w:asciiTheme="majorBidi" w:hAnsiTheme="majorBidi" w:cstheme="majorBidi"/>
          <w:sz w:val="24"/>
          <w:szCs w:val="24"/>
          <w:lang w:val="en-US"/>
        </w:rPr>
      </w:pPr>
    </w:p>
    <w:p w14:paraId="62ACF30F" w14:textId="77777777" w:rsidR="00B533DD" w:rsidRPr="002F5146" w:rsidRDefault="006D6F48" w:rsidP="006351AF">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A critical failure occurs when a patient receives a delayed diagnosis or an insufficient biopsy that precludes comprehensive biomarker testing. This effectively disqualifies them from receiving the most appropriate and potent treatments, relegating them to less effective, generic chemotherapy regimens. The promise of emerging modalities, such as CAR-T cell therapies, will further intensify this diagnostic-therapeutic link. These treatments are likely to be most applicable in minimal residual disease settings following early-stage cancer resection. Therefore, the capacity to detect cancers at their earliest stages directly determines the future patient population eligible for these next-generation interventions. </w:t>
      </w:r>
      <w:proofErr w:type="spellStart"/>
      <w:r w:rsidRPr="002F5146">
        <w:rPr>
          <w:rFonts w:asciiTheme="majorBidi" w:hAnsiTheme="majorBidi" w:cstheme="majorBidi"/>
          <w:sz w:val="24"/>
          <w:szCs w:val="24"/>
          <w:lang w:val="en-US"/>
        </w:rPr>
        <w:t>Optimising</w:t>
      </w:r>
      <w:proofErr w:type="spellEnd"/>
      <w:r w:rsidRPr="002F5146">
        <w:rPr>
          <w:rFonts w:asciiTheme="majorBidi" w:hAnsiTheme="majorBidi" w:cstheme="majorBidi"/>
          <w:sz w:val="24"/>
          <w:szCs w:val="24"/>
          <w:lang w:val="en-US"/>
        </w:rPr>
        <w:t xml:space="preserve"> gastroenterology units is not merely an operational goal but a fundamental prerequisite for unlocking the full potential of modern oncology.</w:t>
      </w:r>
      <w:r w:rsidR="002F5146" w:rsidRPr="002F5146">
        <w:rPr>
          <w:rFonts w:asciiTheme="majorBidi" w:hAnsiTheme="majorBidi" w:cstheme="majorBidi"/>
          <w:sz w:val="24"/>
          <w:szCs w:val="24"/>
          <w:lang w:val="en-US"/>
        </w:rPr>
        <w:t xml:space="preserve"> </w:t>
      </w:r>
    </w:p>
    <w:p w14:paraId="1FF578A4" w14:textId="77777777" w:rsidR="006351AF" w:rsidRDefault="006351AF" w:rsidP="00EE5474">
      <w:pPr>
        <w:spacing w:line="360" w:lineRule="auto"/>
        <w:jc w:val="both"/>
        <w:rPr>
          <w:rFonts w:asciiTheme="majorBidi" w:hAnsiTheme="majorBidi" w:cstheme="majorBidi"/>
          <w:sz w:val="26"/>
          <w:szCs w:val="26"/>
          <w:lang w:val="en-US"/>
        </w:rPr>
      </w:pPr>
    </w:p>
    <w:p w14:paraId="2721FE87" w14:textId="77777777" w:rsidR="002F5146" w:rsidRPr="00B81B04" w:rsidRDefault="002F5146" w:rsidP="00EE5474">
      <w:pPr>
        <w:spacing w:line="360" w:lineRule="auto"/>
        <w:jc w:val="both"/>
        <w:rPr>
          <w:rFonts w:asciiTheme="majorBidi" w:hAnsiTheme="majorBidi" w:cstheme="majorBidi"/>
          <w:b/>
          <w:bCs/>
          <w:sz w:val="28"/>
          <w:szCs w:val="28"/>
          <w:lang w:val="en-US"/>
        </w:rPr>
      </w:pPr>
      <w:r w:rsidRPr="00B81B04">
        <w:rPr>
          <w:rFonts w:asciiTheme="majorBidi" w:hAnsiTheme="majorBidi" w:cstheme="majorBidi"/>
          <w:b/>
          <w:bCs/>
          <w:sz w:val="28"/>
          <w:szCs w:val="28"/>
          <w:lang w:val="en-US"/>
        </w:rPr>
        <w:t xml:space="preserve">A Collaborative Blueprint for Implementation </w:t>
      </w:r>
    </w:p>
    <w:p w14:paraId="5E2E3770" w14:textId="77777777" w:rsidR="002F5146" w:rsidRPr="002F5146" w:rsidRDefault="00401160" w:rsidP="00F9370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Translating the proposed </w:t>
      </w:r>
      <w:proofErr w:type="spellStart"/>
      <w:r>
        <w:rPr>
          <w:rFonts w:asciiTheme="majorBidi" w:hAnsiTheme="majorBidi" w:cstheme="majorBidi"/>
          <w:sz w:val="24"/>
          <w:szCs w:val="24"/>
          <w:lang w:val="en-US"/>
        </w:rPr>
        <w:t>optimis</w:t>
      </w:r>
      <w:r w:rsidR="002F5146" w:rsidRPr="002F5146">
        <w:rPr>
          <w:rFonts w:asciiTheme="majorBidi" w:hAnsiTheme="majorBidi" w:cstheme="majorBidi"/>
          <w:sz w:val="24"/>
          <w:szCs w:val="24"/>
          <w:lang w:val="en-US"/>
        </w:rPr>
        <w:t>ation</w:t>
      </w:r>
      <w:proofErr w:type="spellEnd"/>
      <w:r w:rsidR="002F5146" w:rsidRPr="002F5146">
        <w:rPr>
          <w:rFonts w:asciiTheme="majorBidi" w:hAnsiTheme="majorBidi" w:cstheme="majorBidi"/>
          <w:sz w:val="24"/>
          <w:szCs w:val="24"/>
          <w:lang w:val="en-US"/>
        </w:rPr>
        <w:t xml:space="preserve"> framework from theory into practice demands a concerted effort from multiple stakeholders, each with their own competing priorities and institutional constraints. Success is improbable without acknowledging and addressing these inherent tensions. A collaborative blueprint must therefore move beyond aspirational statements to define concrete responsibilities and confront the barriers each group presents. The engagement of five key stakeholder groups is non-negotiable, yet each introduces a distinct set of challenges that have historically stifled similar initiatives.</w:t>
      </w:r>
    </w:p>
    <w:p w14:paraId="2E11BEF2" w14:textId="77777777" w:rsidR="002F5146" w:rsidRPr="002F5146" w:rsidRDefault="002F5146" w:rsidP="00F9370A">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Healthcare providers, including gastroenterologists and endoscopy nurses, are the ultimate end-users of any new system</w:t>
      </w:r>
      <w:r w:rsidR="00401160">
        <w:rPr>
          <w:rFonts w:asciiTheme="majorBidi" w:hAnsiTheme="majorBidi" w:cstheme="majorBidi"/>
          <w:sz w:val="24"/>
          <w:szCs w:val="24"/>
          <w:lang w:val="en-US"/>
        </w:rPr>
        <w:t xml:space="preserve"> (</w:t>
      </w:r>
      <w:proofErr w:type="spellStart"/>
      <w:r w:rsidR="00401160" w:rsidRPr="00401160">
        <w:rPr>
          <w:rFonts w:asciiTheme="majorBidi" w:hAnsiTheme="majorBidi" w:cstheme="majorBidi"/>
          <w:sz w:val="24"/>
          <w:szCs w:val="24"/>
          <w:lang w:val="en-US"/>
        </w:rPr>
        <w:t>Bucobo</w:t>
      </w:r>
      <w:proofErr w:type="spellEnd"/>
      <w:r w:rsidR="00401160">
        <w:rPr>
          <w:rFonts w:asciiTheme="majorBidi" w:hAnsiTheme="majorBidi" w:cstheme="majorBidi"/>
          <w:sz w:val="24"/>
          <w:szCs w:val="24"/>
          <w:lang w:val="en-US"/>
        </w:rPr>
        <w:t xml:space="preserve"> et al., 2024)</w:t>
      </w:r>
      <w:r w:rsidRPr="002F5146">
        <w:rPr>
          <w:rFonts w:asciiTheme="majorBidi" w:hAnsiTheme="majorBidi" w:cstheme="majorBidi"/>
          <w:sz w:val="24"/>
          <w:szCs w:val="24"/>
          <w:lang w:val="en-US"/>
        </w:rPr>
        <w:t xml:space="preserve">. Their engagement is critical, yet they are often </w:t>
      </w:r>
      <w:proofErr w:type="spellStart"/>
      <w:r w:rsidRPr="002F5146">
        <w:rPr>
          <w:rFonts w:asciiTheme="majorBidi" w:hAnsiTheme="majorBidi" w:cstheme="majorBidi"/>
          <w:sz w:val="24"/>
          <w:szCs w:val="24"/>
          <w:lang w:val="en-US"/>
        </w:rPr>
        <w:t>sceptical</w:t>
      </w:r>
      <w:proofErr w:type="spellEnd"/>
      <w:r w:rsidRPr="002F5146">
        <w:rPr>
          <w:rFonts w:asciiTheme="majorBidi" w:hAnsiTheme="majorBidi" w:cstheme="majorBidi"/>
          <w:sz w:val="24"/>
          <w:szCs w:val="24"/>
          <w:lang w:val="en-US"/>
        </w:rPr>
        <w:t xml:space="preserve"> of top-down mandates that appear to </w:t>
      </w:r>
      <w:proofErr w:type="spellStart"/>
      <w:r w:rsidRPr="002F5146">
        <w:rPr>
          <w:rFonts w:asciiTheme="majorBidi" w:hAnsiTheme="majorBidi" w:cstheme="majorBidi"/>
          <w:sz w:val="24"/>
          <w:szCs w:val="24"/>
          <w:lang w:val="en-US"/>
        </w:rPr>
        <w:t>prioritise</w:t>
      </w:r>
      <w:proofErr w:type="spellEnd"/>
      <w:r w:rsidRPr="002F5146">
        <w:rPr>
          <w:rFonts w:asciiTheme="majorBidi" w:hAnsiTheme="majorBidi" w:cstheme="majorBidi"/>
          <w:sz w:val="24"/>
          <w:szCs w:val="24"/>
          <w:lang w:val="en-US"/>
        </w:rPr>
        <w:t xml:space="preserve"> efficiency over clinical judgement. They </w:t>
      </w:r>
      <w:r w:rsidRPr="002F5146">
        <w:rPr>
          <w:rFonts w:asciiTheme="majorBidi" w:hAnsiTheme="majorBidi" w:cstheme="majorBidi"/>
          <w:sz w:val="24"/>
          <w:szCs w:val="24"/>
          <w:lang w:val="en-US"/>
        </w:rPr>
        <w:lastRenderedPageBreak/>
        <w:t>must be integral to the design and testing of new workflows to ensure these changes are practical and do not compromise patient safety. Hospital administrators control the necessary financial and human resources. Their support hinges on a compelling business case, a requirement that often clashes with the long-term, qualitative benefits of prevention and quality improvement</w:t>
      </w:r>
      <w:r w:rsidR="00F9370A">
        <w:rPr>
          <w:rFonts w:asciiTheme="majorBidi" w:hAnsiTheme="majorBidi" w:cstheme="majorBidi"/>
          <w:sz w:val="24"/>
          <w:szCs w:val="24"/>
          <w:lang w:val="en-US"/>
        </w:rPr>
        <w:t xml:space="preserve"> (</w:t>
      </w:r>
      <w:proofErr w:type="spellStart"/>
      <w:r w:rsidR="00F9370A">
        <w:rPr>
          <w:rFonts w:asciiTheme="majorBidi" w:hAnsiTheme="majorBidi" w:cstheme="majorBidi"/>
          <w:sz w:val="24"/>
          <w:szCs w:val="24"/>
          <w:lang w:val="en-US"/>
        </w:rPr>
        <w:t>Bhati</w:t>
      </w:r>
      <w:proofErr w:type="spellEnd"/>
      <w:r w:rsidR="00F9370A">
        <w:rPr>
          <w:rFonts w:asciiTheme="majorBidi" w:hAnsiTheme="majorBidi" w:cstheme="majorBidi"/>
          <w:sz w:val="24"/>
          <w:szCs w:val="24"/>
          <w:lang w:val="en-US"/>
        </w:rPr>
        <w:t xml:space="preserve">, </w:t>
      </w:r>
      <w:proofErr w:type="spellStart"/>
      <w:r w:rsidR="00F9370A">
        <w:rPr>
          <w:rFonts w:asciiTheme="majorBidi" w:hAnsiTheme="majorBidi" w:cstheme="majorBidi"/>
          <w:sz w:val="24"/>
          <w:szCs w:val="24"/>
          <w:lang w:val="en-US"/>
        </w:rPr>
        <w:t>Deogade</w:t>
      </w:r>
      <w:proofErr w:type="spellEnd"/>
      <w:r w:rsidR="00F9370A">
        <w:rPr>
          <w:rFonts w:asciiTheme="majorBidi" w:hAnsiTheme="majorBidi" w:cstheme="majorBidi"/>
          <w:sz w:val="24"/>
          <w:szCs w:val="24"/>
          <w:lang w:val="en-US"/>
        </w:rPr>
        <w:t xml:space="preserve"> &amp; </w:t>
      </w:r>
      <w:proofErr w:type="spellStart"/>
      <w:proofErr w:type="gramStart"/>
      <w:r w:rsidR="00F9370A" w:rsidRPr="00F9370A">
        <w:rPr>
          <w:rFonts w:asciiTheme="majorBidi" w:hAnsiTheme="majorBidi" w:cstheme="majorBidi"/>
          <w:sz w:val="24"/>
          <w:szCs w:val="24"/>
          <w:lang w:val="en-US"/>
        </w:rPr>
        <w:t>Kanyal</w:t>
      </w:r>
      <w:proofErr w:type="spellEnd"/>
      <w:r w:rsidR="00F9370A" w:rsidRPr="00F9370A">
        <w:rPr>
          <w:rFonts w:asciiTheme="majorBidi" w:hAnsiTheme="majorBidi" w:cstheme="majorBidi"/>
          <w:sz w:val="24"/>
          <w:szCs w:val="24"/>
          <w:lang w:val="en-US"/>
        </w:rPr>
        <w:t xml:space="preserve"> </w:t>
      </w:r>
      <w:r w:rsidR="00F9370A">
        <w:rPr>
          <w:rFonts w:asciiTheme="majorBidi" w:hAnsiTheme="majorBidi" w:cstheme="majorBidi"/>
          <w:sz w:val="24"/>
          <w:szCs w:val="24"/>
          <w:lang w:val="en-US"/>
        </w:rPr>
        <w:t>,</w:t>
      </w:r>
      <w:proofErr w:type="gramEnd"/>
      <w:r w:rsidR="00F9370A">
        <w:rPr>
          <w:rFonts w:asciiTheme="majorBidi" w:hAnsiTheme="majorBidi" w:cstheme="majorBidi"/>
          <w:sz w:val="24"/>
          <w:szCs w:val="24"/>
          <w:lang w:val="en-US"/>
        </w:rPr>
        <w:t xml:space="preserve"> 2023)</w:t>
      </w:r>
      <w:r w:rsidRPr="002F5146">
        <w:rPr>
          <w:rFonts w:asciiTheme="majorBidi" w:hAnsiTheme="majorBidi" w:cstheme="majorBidi"/>
          <w:sz w:val="24"/>
          <w:szCs w:val="24"/>
          <w:lang w:val="en-US"/>
        </w:rPr>
        <w:t>. Their focus on short-term financial metrics can derail investments in AI or lean training that offer returns over a longer horizon.</w:t>
      </w:r>
    </w:p>
    <w:p w14:paraId="79D71C08" w14:textId="77777777" w:rsidR="002F5146" w:rsidRDefault="002F5146" w:rsidP="00F9370A">
      <w:pPr>
        <w:spacing w:line="360" w:lineRule="auto"/>
        <w:jc w:val="both"/>
        <w:rPr>
          <w:rFonts w:asciiTheme="majorBidi" w:hAnsiTheme="majorBidi" w:cstheme="majorBidi"/>
          <w:sz w:val="24"/>
          <w:szCs w:val="24"/>
          <w:lang w:val="en-US"/>
        </w:rPr>
      </w:pPr>
      <w:r w:rsidRPr="002F5146">
        <w:rPr>
          <w:rFonts w:asciiTheme="majorBidi" w:hAnsiTheme="majorBidi" w:cstheme="majorBidi"/>
          <w:sz w:val="24"/>
          <w:szCs w:val="24"/>
          <w:lang w:val="en-US"/>
        </w:rPr>
        <w:t xml:space="preserve">Technology vendors provide the essential tools for AI-driven scheduling and </w:t>
      </w:r>
      <w:proofErr w:type="spellStart"/>
      <w:r w:rsidRPr="002F5146">
        <w:rPr>
          <w:rFonts w:asciiTheme="majorBidi" w:hAnsiTheme="majorBidi" w:cstheme="majorBidi"/>
          <w:sz w:val="24"/>
          <w:szCs w:val="24"/>
          <w:lang w:val="en-US"/>
        </w:rPr>
        <w:t>CADe</w:t>
      </w:r>
      <w:proofErr w:type="spellEnd"/>
      <w:r w:rsidRPr="002F5146">
        <w:rPr>
          <w:rFonts w:asciiTheme="majorBidi" w:hAnsiTheme="majorBidi" w:cstheme="majorBidi"/>
          <w:sz w:val="24"/>
          <w:szCs w:val="24"/>
          <w:lang w:val="en-US"/>
        </w:rPr>
        <w:t xml:space="preserve"> systems. However, their proprietary platforms often lack interoperability with existing hospital electronic health records, creating data siloes and frustrating clinical staff. Pharmaceutical companies and payers represent two further pillars. Drug developers must align clinical trial designs with the biomarkers identified through improved colonoscopy, while payers must be persuaded to redesign reimbursement models that currently </w:t>
      </w:r>
      <w:proofErr w:type="spellStart"/>
      <w:r w:rsidRPr="002F5146">
        <w:rPr>
          <w:rFonts w:asciiTheme="majorBidi" w:hAnsiTheme="majorBidi" w:cstheme="majorBidi"/>
          <w:sz w:val="24"/>
          <w:szCs w:val="24"/>
          <w:lang w:val="en-US"/>
        </w:rPr>
        <w:t>favour</w:t>
      </w:r>
      <w:proofErr w:type="spellEnd"/>
      <w:r w:rsidRPr="002F5146">
        <w:rPr>
          <w:rFonts w:asciiTheme="majorBidi" w:hAnsiTheme="majorBidi" w:cstheme="majorBidi"/>
          <w:sz w:val="24"/>
          <w:szCs w:val="24"/>
          <w:lang w:val="en-US"/>
        </w:rPr>
        <w:t xml:space="preserve"> procedural volume over quality outcomes or prevention. This misalignment of incentives is a fundamental roadblock. The specific roles and primary challenges for these groups are detailed in Table 6.</w:t>
      </w:r>
    </w:p>
    <w:p w14:paraId="4C5B621B" w14:textId="77777777" w:rsidR="00F9370A" w:rsidRDefault="00F9370A" w:rsidP="00F9370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Table 6:</w:t>
      </w:r>
      <w:r w:rsidRPr="00F9370A">
        <w:rPr>
          <w:rFonts w:asciiTheme="majorBidi" w:hAnsiTheme="majorBidi" w:cstheme="majorBidi"/>
          <w:sz w:val="24"/>
          <w:szCs w:val="24"/>
          <w:lang w:val="en-US"/>
        </w:rPr>
        <w:t xml:space="preserve"> Stakeholder roles and implementation challenges</w:t>
      </w:r>
    </w:p>
    <w:tbl>
      <w:tblPr>
        <w:tblW w:w="5000" w:type="pct"/>
        <w:tblCellMar>
          <w:left w:w="0" w:type="dxa"/>
          <w:right w:w="0" w:type="dxa"/>
        </w:tblCellMar>
        <w:tblLook w:val="0600" w:firstRow="0" w:lastRow="0" w:firstColumn="0" w:lastColumn="0" w:noHBand="1" w:noVBand="1"/>
      </w:tblPr>
      <w:tblGrid>
        <w:gridCol w:w="3022"/>
        <w:gridCol w:w="3159"/>
        <w:gridCol w:w="3159"/>
      </w:tblGrid>
      <w:tr w:rsidR="00F9370A" w:rsidRPr="00F9370A" w14:paraId="581F2F98"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68CF81BE" w14:textId="77777777" w:rsidR="00F9370A" w:rsidRPr="00F9370A" w:rsidRDefault="00F9370A" w:rsidP="00F9370A">
            <w:pPr>
              <w:spacing w:after="0" w:line="240" w:lineRule="auto"/>
              <w:jc w:val="center"/>
              <w:rPr>
                <w:rFonts w:asciiTheme="majorBidi" w:hAnsiTheme="majorBidi" w:cstheme="majorBidi"/>
                <w:b/>
                <w:bCs/>
                <w:sz w:val="24"/>
                <w:szCs w:val="24"/>
                <w:lang w:val="en-US"/>
              </w:rPr>
            </w:pPr>
            <w:r w:rsidRPr="00F9370A">
              <w:rPr>
                <w:rFonts w:asciiTheme="majorBidi" w:hAnsiTheme="majorBidi" w:cstheme="majorBidi"/>
                <w:b/>
                <w:bCs/>
                <w:sz w:val="24"/>
                <w:szCs w:val="24"/>
                <w:lang w:val="en-US"/>
              </w:rPr>
              <w:t>Stakeholder Group</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7BB1515A" w14:textId="77777777" w:rsidR="00F9370A" w:rsidRPr="00F9370A" w:rsidRDefault="00F9370A" w:rsidP="00F9370A">
            <w:pPr>
              <w:spacing w:after="0" w:line="240" w:lineRule="auto"/>
              <w:jc w:val="center"/>
              <w:rPr>
                <w:rFonts w:asciiTheme="majorBidi" w:hAnsiTheme="majorBidi" w:cstheme="majorBidi"/>
                <w:b/>
                <w:bCs/>
                <w:sz w:val="24"/>
                <w:szCs w:val="24"/>
                <w:lang w:val="en-US"/>
              </w:rPr>
            </w:pPr>
            <w:r w:rsidRPr="00F9370A">
              <w:rPr>
                <w:rFonts w:asciiTheme="majorBidi" w:hAnsiTheme="majorBidi" w:cstheme="majorBidi"/>
                <w:b/>
                <w:bCs/>
                <w:sz w:val="24"/>
                <w:szCs w:val="24"/>
                <w:lang w:val="en-US"/>
              </w:rPr>
              <w:t>Primary Implementation Role</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C8AE926" w14:textId="77777777" w:rsidR="00F9370A" w:rsidRPr="00F9370A" w:rsidRDefault="00F9370A" w:rsidP="00F9370A">
            <w:pPr>
              <w:spacing w:after="0" w:line="240" w:lineRule="auto"/>
              <w:jc w:val="center"/>
              <w:rPr>
                <w:rFonts w:asciiTheme="majorBidi" w:hAnsiTheme="majorBidi" w:cstheme="majorBidi"/>
                <w:b/>
                <w:bCs/>
                <w:sz w:val="24"/>
                <w:szCs w:val="24"/>
                <w:lang w:val="en-US"/>
              </w:rPr>
            </w:pPr>
            <w:r w:rsidRPr="00F9370A">
              <w:rPr>
                <w:rFonts w:asciiTheme="majorBidi" w:hAnsiTheme="majorBidi" w:cstheme="majorBidi"/>
                <w:b/>
                <w:bCs/>
                <w:sz w:val="24"/>
                <w:szCs w:val="24"/>
                <w:lang w:val="en-US"/>
              </w:rPr>
              <w:t>Principal Challenge</w:t>
            </w:r>
          </w:p>
        </w:tc>
      </w:tr>
      <w:tr w:rsidR="00F9370A" w:rsidRPr="00F9370A" w14:paraId="20B1A13E"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3F71BD6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Healthcare Providers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097CC4F5"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Lead workflow adoption and provide clinical feedback</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129CB3F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Resistance to perceived deskilling or increased workload</w:t>
            </w:r>
            <w:r w:rsidR="0043486F">
              <w:rPr>
                <w:rFonts w:asciiTheme="majorBidi" w:hAnsiTheme="majorBidi" w:cstheme="majorBidi"/>
                <w:sz w:val="24"/>
                <w:szCs w:val="24"/>
                <w:lang w:val="en-US"/>
              </w:rPr>
              <w:t>.</w:t>
            </w:r>
          </w:p>
        </w:tc>
      </w:tr>
      <w:tr w:rsidR="00F9370A" w:rsidRPr="00F9370A" w14:paraId="39FC0306"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59838111"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Hospital Administrators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24FB5633"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Provide strategic direction and capital investment</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5926A104"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Focus on short-term financial returns over long-term value</w:t>
            </w:r>
            <w:r w:rsidR="0043486F">
              <w:rPr>
                <w:rFonts w:asciiTheme="majorBidi" w:hAnsiTheme="majorBidi" w:cstheme="majorBidi"/>
                <w:sz w:val="24"/>
                <w:szCs w:val="24"/>
                <w:lang w:val="en-US"/>
              </w:rPr>
              <w:t>.</w:t>
            </w:r>
          </w:p>
        </w:tc>
      </w:tr>
      <w:tr w:rsidR="00F9370A" w:rsidRPr="00F9370A" w14:paraId="04A3FB2E"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140CDE97"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Technology Vendors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4CC3FF6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Ensure system integration and user training</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162AD7C2"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Proprietary systems that lack interoperability</w:t>
            </w:r>
            <w:r w:rsidR="0043486F">
              <w:rPr>
                <w:rFonts w:asciiTheme="majorBidi" w:hAnsiTheme="majorBidi" w:cstheme="majorBidi"/>
                <w:sz w:val="24"/>
                <w:szCs w:val="24"/>
                <w:lang w:val="en-US"/>
              </w:rPr>
              <w:t>.</w:t>
            </w:r>
          </w:p>
        </w:tc>
      </w:tr>
      <w:tr w:rsidR="00F9370A" w:rsidRPr="00F9370A" w14:paraId="6207950C"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21E7D50D"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Pharmaceutical Industry</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5E5162F"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Align drug development with diagnostic biomarkers</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5090E755" w14:textId="77777777" w:rsidR="00F9370A" w:rsidRPr="00F9370A" w:rsidRDefault="00F9370A" w:rsidP="00F9370A">
            <w:pPr>
              <w:spacing w:after="0" w:line="240" w:lineRule="auto"/>
              <w:jc w:val="both"/>
              <w:rPr>
                <w:rFonts w:asciiTheme="majorBidi" w:hAnsiTheme="majorBidi" w:cstheme="majorBidi"/>
                <w:sz w:val="24"/>
                <w:szCs w:val="24"/>
                <w:lang w:val="en-US"/>
              </w:rPr>
            </w:pPr>
            <w:proofErr w:type="spellStart"/>
            <w:r w:rsidRPr="00F9370A">
              <w:rPr>
                <w:rFonts w:asciiTheme="majorBidi" w:hAnsiTheme="majorBidi" w:cstheme="majorBidi"/>
                <w:sz w:val="24"/>
                <w:szCs w:val="24"/>
                <w:lang w:val="en-US"/>
              </w:rPr>
              <w:t>Prioritisation</w:t>
            </w:r>
            <w:proofErr w:type="spellEnd"/>
            <w:r w:rsidRPr="00F9370A">
              <w:rPr>
                <w:rFonts w:asciiTheme="majorBidi" w:hAnsiTheme="majorBidi" w:cstheme="majorBidi"/>
                <w:sz w:val="24"/>
                <w:szCs w:val="24"/>
                <w:lang w:val="en-US"/>
              </w:rPr>
              <w:t xml:space="preserve"> of late-stage over early-intervention trials</w:t>
            </w:r>
            <w:r w:rsidR="0043486F">
              <w:rPr>
                <w:rFonts w:asciiTheme="majorBidi" w:hAnsiTheme="majorBidi" w:cstheme="majorBidi"/>
                <w:sz w:val="24"/>
                <w:szCs w:val="24"/>
                <w:lang w:val="en-US"/>
              </w:rPr>
              <w:t>.</w:t>
            </w:r>
          </w:p>
        </w:tc>
      </w:tr>
      <w:tr w:rsidR="00F9370A" w:rsidRPr="00F9370A" w14:paraId="2EBF4B1E" w14:textId="77777777" w:rsidTr="00F9370A">
        <w:tc>
          <w:tcPr>
            <w:tcW w:w="1618" w:type="pct"/>
            <w:tcBorders>
              <w:top w:val="single" w:sz="8" w:space="0" w:color="000000"/>
              <w:left w:val="single" w:sz="8" w:space="0" w:color="000000"/>
              <w:bottom w:val="single" w:sz="8" w:space="0" w:color="000000"/>
              <w:right w:val="single" w:sz="8" w:space="0" w:color="000000"/>
            </w:tcBorders>
            <w:tcMar>
              <w:top w:w="100" w:type="dxa"/>
              <w:left w:w="144" w:type="dxa"/>
              <w:bottom w:w="100" w:type="dxa"/>
              <w:right w:w="160" w:type="dxa"/>
            </w:tcMar>
            <w:vAlign w:val="center"/>
            <w:hideMark/>
          </w:tcPr>
          <w:p w14:paraId="57EDE026"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Payers (Insurers)</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60" w:type="dxa"/>
            </w:tcMar>
            <w:vAlign w:val="center"/>
            <w:hideMark/>
          </w:tcPr>
          <w:p w14:paraId="5BBCF622"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Develop reimbursement for quality and prevention</w:t>
            </w:r>
            <w:r w:rsidR="0043486F">
              <w:rPr>
                <w:rFonts w:asciiTheme="majorBidi" w:hAnsiTheme="majorBidi" w:cstheme="majorBidi"/>
                <w:sz w:val="24"/>
                <w:szCs w:val="24"/>
                <w:lang w:val="en-US"/>
              </w:rPr>
              <w:t>.</w:t>
            </w:r>
          </w:p>
        </w:tc>
        <w:tc>
          <w:tcPr>
            <w:tcW w:w="1691" w:type="pct"/>
            <w:tcBorders>
              <w:top w:val="single" w:sz="8" w:space="0" w:color="000000"/>
              <w:left w:val="single" w:sz="8" w:space="0" w:color="000000"/>
              <w:bottom w:val="single" w:sz="8" w:space="0" w:color="000000"/>
              <w:right w:val="single" w:sz="8" w:space="0" w:color="000000"/>
            </w:tcBorders>
            <w:tcMar>
              <w:top w:w="100" w:type="dxa"/>
              <w:left w:w="160" w:type="dxa"/>
              <w:bottom w:w="100" w:type="dxa"/>
              <w:right w:w="144" w:type="dxa"/>
            </w:tcMar>
            <w:vAlign w:val="center"/>
            <w:hideMark/>
          </w:tcPr>
          <w:p w14:paraId="7B3B5881" w14:textId="77777777" w:rsidR="00F9370A" w:rsidRPr="00F9370A" w:rsidRDefault="00F9370A" w:rsidP="00F9370A">
            <w:pPr>
              <w:spacing w:after="0" w:line="240" w:lineRule="auto"/>
              <w:jc w:val="both"/>
              <w:rPr>
                <w:rFonts w:asciiTheme="majorBidi" w:hAnsiTheme="majorBidi" w:cstheme="majorBidi"/>
                <w:sz w:val="24"/>
                <w:szCs w:val="24"/>
                <w:lang w:val="en-US"/>
              </w:rPr>
            </w:pPr>
            <w:r w:rsidRPr="00F9370A">
              <w:rPr>
                <w:rFonts w:asciiTheme="majorBidi" w:hAnsiTheme="majorBidi" w:cstheme="majorBidi"/>
                <w:sz w:val="24"/>
                <w:szCs w:val="24"/>
                <w:lang w:val="en-US"/>
              </w:rPr>
              <w:t xml:space="preserve">Adherence to fee-for-service models that </w:t>
            </w:r>
            <w:proofErr w:type="spellStart"/>
            <w:r w:rsidRPr="00F9370A">
              <w:rPr>
                <w:rFonts w:asciiTheme="majorBidi" w:hAnsiTheme="majorBidi" w:cstheme="majorBidi"/>
                <w:sz w:val="24"/>
                <w:szCs w:val="24"/>
                <w:lang w:val="en-US"/>
              </w:rPr>
              <w:t>incentivise</w:t>
            </w:r>
            <w:proofErr w:type="spellEnd"/>
            <w:r w:rsidRPr="00F9370A">
              <w:rPr>
                <w:rFonts w:asciiTheme="majorBidi" w:hAnsiTheme="majorBidi" w:cstheme="majorBidi"/>
                <w:sz w:val="24"/>
                <w:szCs w:val="24"/>
                <w:lang w:val="en-US"/>
              </w:rPr>
              <w:t xml:space="preserve"> volume</w:t>
            </w:r>
            <w:r w:rsidR="0043486F">
              <w:rPr>
                <w:rFonts w:asciiTheme="majorBidi" w:hAnsiTheme="majorBidi" w:cstheme="majorBidi"/>
                <w:sz w:val="24"/>
                <w:szCs w:val="24"/>
                <w:lang w:val="en-US"/>
              </w:rPr>
              <w:t>.</w:t>
            </w:r>
          </w:p>
        </w:tc>
      </w:tr>
    </w:tbl>
    <w:p w14:paraId="7BB19A48" w14:textId="77777777" w:rsidR="00F9370A" w:rsidRDefault="00F9370A" w:rsidP="00F9370A">
      <w:pPr>
        <w:spacing w:line="360" w:lineRule="auto"/>
        <w:jc w:val="both"/>
        <w:rPr>
          <w:rFonts w:asciiTheme="majorBidi" w:hAnsiTheme="majorBidi" w:cstheme="majorBidi"/>
          <w:sz w:val="24"/>
          <w:szCs w:val="24"/>
          <w:lang w:val="en-US"/>
        </w:rPr>
      </w:pPr>
    </w:p>
    <w:p w14:paraId="6778BAEF" w14:textId="77777777" w:rsidR="00CE3A44" w:rsidRDefault="00CE3A44" w:rsidP="00F9370A">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Therefore</w:t>
      </w:r>
      <w:r w:rsidRPr="00CE3A44">
        <w:rPr>
          <w:rFonts w:asciiTheme="majorBidi" w:hAnsiTheme="majorBidi" w:cstheme="majorBidi"/>
          <w:sz w:val="24"/>
          <w:szCs w:val="24"/>
          <w:lang w:val="en-US"/>
        </w:rPr>
        <w:t>, this blueprint will fail without a governance structure that forces collaboration and manages conflict. A multidisciplinary steering group with representatives from all five stakeholder groups is essential to hold each party accountable. Without this enf</w:t>
      </w:r>
      <w:r>
        <w:rPr>
          <w:rFonts w:asciiTheme="majorBidi" w:hAnsiTheme="majorBidi" w:cstheme="majorBidi"/>
          <w:sz w:val="24"/>
          <w:szCs w:val="24"/>
          <w:lang w:val="en-US"/>
        </w:rPr>
        <w:t xml:space="preserve">orced collaboration, the </w:t>
      </w:r>
      <w:proofErr w:type="spellStart"/>
      <w:r>
        <w:rPr>
          <w:rFonts w:asciiTheme="majorBidi" w:hAnsiTheme="majorBidi" w:cstheme="majorBidi"/>
          <w:sz w:val="24"/>
          <w:szCs w:val="24"/>
          <w:lang w:val="en-US"/>
        </w:rPr>
        <w:t>optimis</w:t>
      </w:r>
      <w:r w:rsidRPr="00CE3A44">
        <w:rPr>
          <w:rFonts w:asciiTheme="majorBidi" w:hAnsiTheme="majorBidi" w:cstheme="majorBidi"/>
          <w:sz w:val="24"/>
          <w:szCs w:val="24"/>
          <w:lang w:val="en-US"/>
        </w:rPr>
        <w:t>ation</w:t>
      </w:r>
      <w:proofErr w:type="spellEnd"/>
      <w:r w:rsidRPr="00CE3A44">
        <w:rPr>
          <w:rFonts w:asciiTheme="majorBidi" w:hAnsiTheme="majorBidi" w:cstheme="majorBidi"/>
          <w:sz w:val="24"/>
          <w:szCs w:val="24"/>
          <w:lang w:val="en-US"/>
        </w:rPr>
        <w:t xml:space="preserve"> framework risks becoming another document that acknowledges complexity but achieves little tangible change in the clinical environment.</w:t>
      </w:r>
    </w:p>
    <w:p w14:paraId="1DA8498E" w14:textId="77777777" w:rsidR="007B77B6" w:rsidRPr="00B81B04" w:rsidRDefault="007B77B6" w:rsidP="007B77B6">
      <w:pPr>
        <w:spacing w:line="360" w:lineRule="auto"/>
        <w:jc w:val="both"/>
        <w:rPr>
          <w:rFonts w:asciiTheme="majorBidi" w:hAnsiTheme="majorBidi" w:cstheme="majorBidi"/>
          <w:b/>
          <w:bCs/>
          <w:sz w:val="28"/>
          <w:szCs w:val="28"/>
          <w:lang w:val="en-US"/>
        </w:rPr>
      </w:pPr>
      <w:r w:rsidRPr="00B81B04">
        <w:rPr>
          <w:rFonts w:asciiTheme="majorBidi" w:hAnsiTheme="majorBidi" w:cstheme="majorBidi"/>
          <w:b/>
          <w:bCs/>
          <w:sz w:val="28"/>
          <w:szCs w:val="28"/>
          <w:lang w:val="en-US"/>
        </w:rPr>
        <w:t>Conclusion</w:t>
      </w:r>
    </w:p>
    <w:p w14:paraId="5C1A812F" w14:textId="77777777" w:rsidR="007B77B6" w:rsidRPr="007B77B6" w:rsidRDefault="007B77B6" w:rsidP="007B77B6">
      <w:pPr>
        <w:spacing w:line="360" w:lineRule="auto"/>
        <w:jc w:val="both"/>
        <w:rPr>
          <w:rFonts w:asciiTheme="majorBidi" w:hAnsiTheme="majorBidi" w:cstheme="majorBidi"/>
          <w:sz w:val="24"/>
          <w:szCs w:val="24"/>
          <w:lang w:val="en-US"/>
        </w:rPr>
      </w:pPr>
      <w:r w:rsidRPr="007B77B6">
        <w:rPr>
          <w:rFonts w:asciiTheme="majorBidi" w:hAnsiTheme="majorBidi" w:cstheme="majorBidi"/>
          <w:sz w:val="24"/>
          <w:szCs w:val="24"/>
          <w:lang w:val="en-US"/>
        </w:rPr>
        <w:t xml:space="preserve">This proposed framework for </w:t>
      </w:r>
      <w:proofErr w:type="spellStart"/>
      <w:r w:rsidRPr="007B77B6">
        <w:rPr>
          <w:rFonts w:asciiTheme="majorBidi" w:hAnsiTheme="majorBidi" w:cstheme="majorBidi"/>
          <w:sz w:val="24"/>
          <w:szCs w:val="24"/>
          <w:lang w:val="en-US"/>
        </w:rPr>
        <w:t>optimising</w:t>
      </w:r>
      <w:proofErr w:type="spellEnd"/>
      <w:r w:rsidRPr="007B77B6">
        <w:rPr>
          <w:rFonts w:asciiTheme="majorBidi" w:hAnsiTheme="majorBidi" w:cstheme="majorBidi"/>
          <w:sz w:val="24"/>
          <w:szCs w:val="24"/>
          <w:lang w:val="en-US"/>
        </w:rPr>
        <w:t xml:space="preserve"> gastroenterology units presents a necessary shift from a volume-based service to a value-driven integrated system. The four pillars of AI-driven workflow, lean management, advanced imaging, and collaborative care are not standalone solutions but interconnected components. Their combined implementation addresses the urgent need to expand capacity for colorectal cancer screening while simultaneously enhancing the quality of each procedu</w:t>
      </w:r>
      <w:r w:rsidR="00A377D8">
        <w:rPr>
          <w:rFonts w:asciiTheme="majorBidi" w:hAnsiTheme="majorBidi" w:cstheme="majorBidi"/>
          <w:sz w:val="24"/>
          <w:szCs w:val="24"/>
          <w:lang w:val="en-US"/>
        </w:rPr>
        <w:t>re. This dual focus is important</w:t>
      </w:r>
      <w:r w:rsidRPr="007B77B6">
        <w:rPr>
          <w:rFonts w:asciiTheme="majorBidi" w:hAnsiTheme="majorBidi" w:cstheme="majorBidi"/>
          <w:sz w:val="24"/>
          <w:szCs w:val="24"/>
          <w:lang w:val="en-US"/>
        </w:rPr>
        <w:t>, as the diagnostic accuracy of the initial colonoscop</w:t>
      </w:r>
      <w:r w:rsidR="00A377D8">
        <w:rPr>
          <w:rFonts w:asciiTheme="majorBidi" w:hAnsiTheme="majorBidi" w:cstheme="majorBidi"/>
          <w:sz w:val="24"/>
          <w:szCs w:val="24"/>
          <w:lang w:val="en-US"/>
        </w:rPr>
        <w:t>y directly determines a patient’</w:t>
      </w:r>
      <w:r w:rsidRPr="007B77B6">
        <w:rPr>
          <w:rFonts w:asciiTheme="majorBidi" w:hAnsiTheme="majorBidi" w:cstheme="majorBidi"/>
          <w:sz w:val="24"/>
          <w:szCs w:val="24"/>
          <w:lang w:val="en-US"/>
        </w:rPr>
        <w:t xml:space="preserve">s eligibility for increasingly </w:t>
      </w:r>
      <w:proofErr w:type="spellStart"/>
      <w:r w:rsidRPr="007B77B6">
        <w:rPr>
          <w:rFonts w:asciiTheme="majorBidi" w:hAnsiTheme="majorBidi" w:cstheme="majorBidi"/>
          <w:sz w:val="24"/>
          <w:szCs w:val="24"/>
          <w:lang w:val="en-US"/>
        </w:rPr>
        <w:t>personalised</w:t>
      </w:r>
      <w:proofErr w:type="spellEnd"/>
      <w:r w:rsidRPr="007B77B6">
        <w:rPr>
          <w:rFonts w:asciiTheme="majorBidi" w:hAnsiTheme="majorBidi" w:cstheme="majorBidi"/>
          <w:sz w:val="24"/>
          <w:szCs w:val="24"/>
          <w:lang w:val="en-US"/>
        </w:rPr>
        <w:t xml:space="preserve"> and effective advanced therapies.</w:t>
      </w:r>
    </w:p>
    <w:p w14:paraId="7FDAD58A" w14:textId="77777777" w:rsidR="007B77B6" w:rsidRDefault="007B77B6" w:rsidP="007B77B6">
      <w:pPr>
        <w:spacing w:line="360" w:lineRule="auto"/>
        <w:jc w:val="both"/>
        <w:rPr>
          <w:rFonts w:asciiTheme="majorBidi" w:hAnsiTheme="majorBidi" w:cstheme="majorBidi"/>
          <w:sz w:val="24"/>
          <w:szCs w:val="24"/>
          <w:lang w:val="en-US"/>
        </w:rPr>
      </w:pPr>
      <w:r w:rsidRPr="007B77B6">
        <w:rPr>
          <w:rFonts w:asciiTheme="majorBidi" w:hAnsiTheme="majorBidi" w:cstheme="majorBidi"/>
          <w:sz w:val="24"/>
          <w:szCs w:val="24"/>
          <w:lang w:val="en-US"/>
        </w:rPr>
        <w:t>The true innovation of this model lies in its holistic bridging of operational efficiency and therapeutic progress. It ensures that gains in procedural throughput directly translate into more patients being diagnosed at a stage where modern treatments can achieve their greatest impact. Facing rising incidence rates, healthcare systems must adopt such a synergistic approach. The strategies outlined provide a realistic roadmap for units to improve accessibility, fortify their role in the cancer care pathway, and ultimately deliver superior patient outcomes. Future efforts must now focus on practical implementation and rigorous evaluation of this model in diverse clinical settings.</w:t>
      </w:r>
    </w:p>
    <w:p w14:paraId="7AEB096B" w14:textId="77777777" w:rsidR="00B81B04" w:rsidRDefault="00B81B04" w:rsidP="007B77B6">
      <w:pPr>
        <w:spacing w:line="360" w:lineRule="auto"/>
        <w:jc w:val="both"/>
        <w:rPr>
          <w:rFonts w:asciiTheme="majorBidi" w:hAnsiTheme="majorBidi" w:cstheme="majorBidi"/>
          <w:b/>
          <w:bCs/>
          <w:sz w:val="28"/>
          <w:szCs w:val="28"/>
          <w:lang w:val="en-US"/>
        </w:rPr>
      </w:pPr>
      <w:r w:rsidRPr="00841CED">
        <w:rPr>
          <w:rFonts w:asciiTheme="majorBidi" w:hAnsiTheme="majorBidi" w:cstheme="majorBidi"/>
          <w:b/>
          <w:bCs/>
          <w:sz w:val="28"/>
          <w:szCs w:val="28"/>
          <w:lang w:val="en-US"/>
        </w:rPr>
        <w:t>References</w:t>
      </w:r>
    </w:p>
    <w:p w14:paraId="25D5514C" w14:textId="77777777" w:rsidR="00841CED" w:rsidRDefault="00841CED" w:rsidP="00841CED">
      <w:pPr>
        <w:pStyle w:val="NormalWeb"/>
        <w:spacing w:line="360" w:lineRule="auto"/>
      </w:pPr>
      <w:r>
        <w:t xml:space="preserve">Ala, A. and Chen, F. (2022). Appointment Scheduling Problem in Complexity Systems of the Healthcare Services: A Comprehensive Review. </w:t>
      </w:r>
      <w:r>
        <w:rPr>
          <w:rStyle w:val="Emphasis"/>
        </w:rPr>
        <w:t>Journal of Healthcare Engineering</w:t>
      </w:r>
      <w:r>
        <w:t>, 2022, p.5819813. doi:10.1155/2022/5819813.</w:t>
      </w:r>
    </w:p>
    <w:p w14:paraId="039C9B2B" w14:textId="77777777" w:rsidR="00841CED" w:rsidRDefault="00841CED" w:rsidP="00841CED">
      <w:pPr>
        <w:pStyle w:val="NormalWeb"/>
        <w:spacing w:line="360" w:lineRule="auto"/>
      </w:pPr>
      <w:r>
        <w:lastRenderedPageBreak/>
        <w:t xml:space="preserve">Alharbi, T.A.F., Rababa, M., </w:t>
      </w:r>
      <w:proofErr w:type="spellStart"/>
      <w:r>
        <w:t>Alsuwayl</w:t>
      </w:r>
      <w:proofErr w:type="spellEnd"/>
      <w:r>
        <w:t xml:space="preserve">, H., </w:t>
      </w:r>
      <w:proofErr w:type="spellStart"/>
      <w:r>
        <w:t>Alsubail</w:t>
      </w:r>
      <w:proofErr w:type="spellEnd"/>
      <w:r>
        <w:t xml:space="preserve">, A. and </w:t>
      </w:r>
      <w:proofErr w:type="spellStart"/>
      <w:r>
        <w:t>Alenizi</w:t>
      </w:r>
      <w:proofErr w:type="spellEnd"/>
      <w:r>
        <w:t xml:space="preserve">, W.S. (2025). Diagnostic Challenges and Patient Safety: The Critical Role of Accuracy - A Systematic Review. </w:t>
      </w:r>
      <w:r>
        <w:rPr>
          <w:rStyle w:val="Emphasis"/>
        </w:rPr>
        <w:t>Journal of Multidisciplinary Healthcare</w:t>
      </w:r>
      <w:r>
        <w:t>, 18, pp.3051-3064. doi:10.2147/JMDH.S512254.</w:t>
      </w:r>
    </w:p>
    <w:p w14:paraId="29F969D5" w14:textId="77777777" w:rsidR="00841CED" w:rsidRDefault="00841CED" w:rsidP="00841CED">
      <w:pPr>
        <w:pStyle w:val="NormalWeb"/>
        <w:spacing w:line="360" w:lineRule="auto"/>
      </w:pPr>
      <w:r>
        <w:t xml:space="preserve">American Cancer Society. (2023). </w:t>
      </w:r>
      <w:r>
        <w:rPr>
          <w:rStyle w:val="Emphasis"/>
        </w:rPr>
        <w:t>Colorectal Cancer Facts &amp; Figures 2023-2025</w:t>
      </w:r>
      <w:r>
        <w:t xml:space="preserve">. American Cancer Society. Available at: </w:t>
      </w:r>
      <w:hyperlink r:id="rId7" w:tgtFrame="_new" w:history="1">
        <w:r>
          <w:rPr>
            <w:rStyle w:val="Hyperlink"/>
          </w:rPr>
          <w:t>https://www.cancer.org/content/dam/cancer-org/research/cancer-facts-and-statistics/colorectal-cancer-facts-and-figures/colorectal-cancer-facts-and-figures-2023.pdf</w:t>
        </w:r>
      </w:hyperlink>
    </w:p>
    <w:p w14:paraId="605DE678" w14:textId="77777777" w:rsidR="00841CED" w:rsidRDefault="00841CED" w:rsidP="00841CED">
      <w:pPr>
        <w:pStyle w:val="NormalWeb"/>
        <w:spacing w:line="360" w:lineRule="auto"/>
      </w:pPr>
      <w:r>
        <w:t xml:space="preserve">Balkhi, B., Alshahrani, A. and Khan, A. (2022). Just-in-time approach in healthcare inventory management: Does it really work? </w:t>
      </w:r>
      <w:r>
        <w:rPr>
          <w:rStyle w:val="Emphasis"/>
        </w:rPr>
        <w:t>Saudi Pharmaceutical Journal</w:t>
      </w:r>
      <w:r>
        <w:t>, 30(12), pp.1830-1835. doi:10.1016/j.jsps.2022.10.013.</w:t>
      </w:r>
    </w:p>
    <w:p w14:paraId="0D5F7E7C" w14:textId="77777777" w:rsidR="00841CED" w:rsidRDefault="00841CED" w:rsidP="00841CED">
      <w:pPr>
        <w:pStyle w:val="NormalWeb"/>
        <w:spacing w:line="360" w:lineRule="auto"/>
      </w:pPr>
      <w:r>
        <w:t xml:space="preserve">Bhati, D., Deogade, M.S. and </w:t>
      </w:r>
      <w:proofErr w:type="spellStart"/>
      <w:r>
        <w:t>Kanyal</w:t>
      </w:r>
      <w:proofErr w:type="spellEnd"/>
      <w:r>
        <w:t xml:space="preserve">, D. (2023). Improving Patient Outcomes Through Effective Hospital Administration: A Comprehensive Review. </w:t>
      </w:r>
      <w:r>
        <w:rPr>
          <w:rStyle w:val="Emphasis"/>
        </w:rPr>
        <w:t>Cureus</w:t>
      </w:r>
      <w:r>
        <w:t xml:space="preserve">, 15(10), e47731. doi:10.7759/cureus.47731. </w:t>
      </w:r>
    </w:p>
    <w:p w14:paraId="23841C50" w14:textId="77777777" w:rsidR="00841CED" w:rsidRDefault="00841CED" w:rsidP="00841CED">
      <w:pPr>
        <w:pStyle w:val="NormalWeb"/>
        <w:spacing w:line="360" w:lineRule="auto"/>
      </w:pPr>
      <w:r>
        <w:t xml:space="preserve">Biya, M., </w:t>
      </w:r>
      <w:proofErr w:type="spellStart"/>
      <w:r>
        <w:t>Gezahagn</w:t>
      </w:r>
      <w:proofErr w:type="spellEnd"/>
      <w:r>
        <w:t xml:space="preserve">, M., Birhanu, B., </w:t>
      </w:r>
      <w:proofErr w:type="spellStart"/>
      <w:r>
        <w:t>Yitbarek</w:t>
      </w:r>
      <w:proofErr w:type="spellEnd"/>
      <w:r>
        <w:t xml:space="preserve">, K., Getachew, N. and Beyene, W. (2022). Waiting time and its associated factors in patients presenting to outpatient departments at Public Hospitals of Jimma Zone, Southwest Ethiopia. </w:t>
      </w:r>
      <w:r>
        <w:rPr>
          <w:rStyle w:val="Emphasis"/>
        </w:rPr>
        <w:t>BMC Health Services Research</w:t>
      </w:r>
      <w:r>
        <w:t xml:space="preserve">, 22(1), p.107. </w:t>
      </w:r>
      <w:hyperlink r:id="rId8" w:tgtFrame="_new" w:history="1">
        <w:r>
          <w:rPr>
            <w:rStyle w:val="Hyperlink"/>
          </w:rPr>
          <w:t>https://doi.org/10.1186/s12913-022-07502-8</w:t>
        </w:r>
      </w:hyperlink>
      <w:r>
        <w:t>.</w:t>
      </w:r>
    </w:p>
    <w:p w14:paraId="1E3EE48F" w14:textId="77777777" w:rsidR="00841CED" w:rsidRDefault="00841CED" w:rsidP="00841CED">
      <w:pPr>
        <w:pStyle w:val="NormalWeb"/>
        <w:spacing w:line="360" w:lineRule="auto"/>
      </w:pPr>
      <w:proofErr w:type="spellStart"/>
      <w:r>
        <w:t>Bucobo</w:t>
      </w:r>
      <w:proofErr w:type="spellEnd"/>
      <w:r>
        <w:t xml:space="preserve">, J.C., </w:t>
      </w:r>
      <w:proofErr w:type="spellStart"/>
      <w:r>
        <w:t>Kassim</w:t>
      </w:r>
      <w:proofErr w:type="spellEnd"/>
      <w:r>
        <w:t xml:space="preserve">, O., </w:t>
      </w:r>
      <w:proofErr w:type="spellStart"/>
      <w:r>
        <w:t>Konijeti</w:t>
      </w:r>
      <w:proofErr w:type="spellEnd"/>
      <w:r>
        <w:t xml:space="preserve">, G.G., Abraham, B.P., Abegunde, A.T., Farraye, F.A., Guha, S., Kowalski, T., Kumar, A., Markowitz, A.J. and Schoeppner, H.L. (2024). Role of the industry representative in the practice of gastroenterology and GI endoscopy. </w:t>
      </w:r>
      <w:r>
        <w:rPr>
          <w:rStyle w:val="Emphasis"/>
        </w:rPr>
        <w:t>Gastrointestinal Endoscopy</w:t>
      </w:r>
      <w:r>
        <w:t>, 99(3), pp.307-313.</w:t>
      </w:r>
    </w:p>
    <w:p w14:paraId="6DD2FDF7" w14:textId="77777777" w:rsidR="00841CED" w:rsidRDefault="00841CED" w:rsidP="00841CED">
      <w:pPr>
        <w:pStyle w:val="NormalWeb"/>
        <w:spacing w:line="360" w:lineRule="auto"/>
      </w:pPr>
      <w:r>
        <w:t xml:space="preserve">Davidson, K.W., Barry, M.J., Mangione, C.M., Cabana, M., Caughey, A.B., Davis, E.M., Donahue, K.E., Doubeni, C.A., Krist, A.H., Kubik, M. and Li, L. (2021). Screening for colorectal cancer: US Preventive Services Task Force recommendation statement. </w:t>
      </w:r>
      <w:r>
        <w:rPr>
          <w:rStyle w:val="Emphasis"/>
        </w:rPr>
        <w:t>JAMA</w:t>
      </w:r>
      <w:r>
        <w:t>, 325(19), pp.1965-1977. doi:10.1001/jama.2021.6238.</w:t>
      </w:r>
    </w:p>
    <w:p w14:paraId="5265D987" w14:textId="77777777" w:rsidR="00841CED" w:rsidRDefault="00841CED" w:rsidP="00841CED">
      <w:pPr>
        <w:pStyle w:val="NormalWeb"/>
        <w:spacing w:line="360" w:lineRule="auto"/>
      </w:pPr>
      <w:r>
        <w:lastRenderedPageBreak/>
        <w:t>Diaz, L.A., Le, D.T., Yoshino, T., André, T., Bendell, J.C., Rosales, M., Kang, S.P., Lam, B. and Jäger, D. (2018). KEYNOTE-177: Phase 3, open-label, randomized study of first-line pembrolizumab (</w:t>
      </w:r>
      <w:proofErr w:type="spellStart"/>
      <w:r>
        <w:t>Pembro</w:t>
      </w:r>
      <w:proofErr w:type="spellEnd"/>
      <w:r>
        <w:t>) versus investigator-choice chemotherapy for mismatch repair-deficient (</w:t>
      </w:r>
      <w:proofErr w:type="spellStart"/>
      <w:r>
        <w:t>dMMR</w:t>
      </w:r>
      <w:proofErr w:type="spellEnd"/>
      <w:r>
        <w:t xml:space="preserve">) or microsatellite instability-high (MSI-H) metastatic colorectal carcinoma (mCRC). </w:t>
      </w:r>
      <w:r>
        <w:rPr>
          <w:rStyle w:val="Emphasis"/>
        </w:rPr>
        <w:t>Journal of Clinical Oncology</w:t>
      </w:r>
      <w:r>
        <w:t xml:space="preserve">, 36(4_suppl), TPS877. </w:t>
      </w:r>
      <w:hyperlink r:id="rId9" w:tgtFrame="_new" w:history="1">
        <w:r>
          <w:rPr>
            <w:rStyle w:val="Hyperlink"/>
          </w:rPr>
          <w:t>https://doi.org/10.1200/JCO.2018.36.4_suppl.TPS877</w:t>
        </w:r>
      </w:hyperlink>
      <w:r>
        <w:t>.</w:t>
      </w:r>
    </w:p>
    <w:p w14:paraId="2856DFFE" w14:textId="77777777" w:rsidR="00841CED" w:rsidRDefault="00841CED" w:rsidP="00841CED">
      <w:pPr>
        <w:pStyle w:val="NormalWeb"/>
        <w:spacing w:line="360" w:lineRule="auto"/>
      </w:pPr>
      <w:r>
        <w:t xml:space="preserve">Heisser, T., Sergeev, D., Hoffmeister, M. and Brenner, H. (2024). Contributions of early detection and cancer prevention to colorectal cancer mortality reduction by screening colonoscopy: a validated modeling study. </w:t>
      </w:r>
      <w:r>
        <w:rPr>
          <w:rStyle w:val="Emphasis"/>
        </w:rPr>
        <w:t>Gastrointestinal Endoscopy</w:t>
      </w:r>
      <w:r>
        <w:t xml:space="preserve">, 100(4), pp.710-717. </w:t>
      </w:r>
      <w:hyperlink r:id="rId10" w:tgtFrame="_new" w:history="1">
        <w:r>
          <w:rPr>
            <w:rStyle w:val="Hyperlink"/>
          </w:rPr>
          <w:t>https://doi.org/10.1016/j.gie.2024.03.010</w:t>
        </w:r>
      </w:hyperlink>
      <w:r>
        <w:t>.</w:t>
      </w:r>
    </w:p>
    <w:p w14:paraId="27DBE5D9" w14:textId="77777777" w:rsidR="00841CED" w:rsidRDefault="00841CED" w:rsidP="00841CED">
      <w:pPr>
        <w:pStyle w:val="NormalWeb"/>
        <w:spacing w:line="360" w:lineRule="auto"/>
      </w:pPr>
      <w:r>
        <w:t xml:space="preserve">Hong, S.M. and Baek, D.H. (2023). A Review of Colonoscopy in Intestinal Diseases. </w:t>
      </w:r>
      <w:r>
        <w:rPr>
          <w:rStyle w:val="Emphasis"/>
        </w:rPr>
        <w:t>Diagnostics</w:t>
      </w:r>
      <w:r>
        <w:t xml:space="preserve">, 13(7), p.1262. </w:t>
      </w:r>
      <w:hyperlink r:id="rId11" w:tgtFrame="_new" w:history="1">
        <w:r>
          <w:rPr>
            <w:rStyle w:val="Hyperlink"/>
          </w:rPr>
          <w:t>https://doi.org/10.3390/diagnostics13071262</w:t>
        </w:r>
      </w:hyperlink>
      <w:r>
        <w:t>.</w:t>
      </w:r>
    </w:p>
    <w:p w14:paraId="3A0D6FC1" w14:textId="77777777" w:rsidR="00841CED" w:rsidRDefault="00841CED" w:rsidP="00841CED">
      <w:pPr>
        <w:pStyle w:val="NormalWeb"/>
        <w:spacing w:line="360" w:lineRule="auto"/>
      </w:pPr>
      <w:r>
        <w:t xml:space="preserve">Ilyas, M.I.M. (2023). Epidemiology of Stage IV Colorectal Cancer: Trends in the Incidence, Prevalence, Age Distribution, and Impact on Life Span. </w:t>
      </w:r>
      <w:r>
        <w:rPr>
          <w:rStyle w:val="Emphasis"/>
        </w:rPr>
        <w:t>Clinical Colon and Rectal Surgery</w:t>
      </w:r>
      <w:r>
        <w:t>, 37(2), pp.57-61. doi:10.1055/s-0043-1761447.</w:t>
      </w:r>
    </w:p>
    <w:p w14:paraId="30850240" w14:textId="77777777" w:rsidR="00841CED" w:rsidRDefault="00841CED" w:rsidP="00841CED">
      <w:pPr>
        <w:pStyle w:val="NormalWeb"/>
        <w:spacing w:line="360" w:lineRule="auto"/>
      </w:pPr>
      <w:proofErr w:type="spellStart"/>
      <w:r>
        <w:t>Jamalinia</w:t>
      </w:r>
      <w:proofErr w:type="spellEnd"/>
      <w:r>
        <w:t xml:space="preserve">, M. and </w:t>
      </w:r>
      <w:proofErr w:type="spellStart"/>
      <w:r>
        <w:t>Weiskirchen</w:t>
      </w:r>
      <w:proofErr w:type="spellEnd"/>
      <w:r>
        <w:t xml:space="preserve">, R. (2025). Advances in personalized medicine: translating genomic insights into targeted therapies for cancer treatment. </w:t>
      </w:r>
      <w:r>
        <w:rPr>
          <w:rStyle w:val="Emphasis"/>
        </w:rPr>
        <w:t>Annals of Translational Medicine</w:t>
      </w:r>
      <w:r>
        <w:t>, 13(2), p.18. doi:10.21037/atm-25-34.</w:t>
      </w:r>
    </w:p>
    <w:p w14:paraId="79B4217F" w14:textId="77777777" w:rsidR="00841CED" w:rsidRDefault="00841CED" w:rsidP="00841CED">
      <w:pPr>
        <w:pStyle w:val="NormalWeb"/>
        <w:spacing w:line="360" w:lineRule="auto"/>
      </w:pPr>
      <w:r>
        <w:t xml:space="preserve">Kidambi, T.D., Trieu, H., Lilienstein, B., Hirsch, P., Erwing, C., Sullivan, M.J., Day, L.W. and Lew, M.W. (2024). LEAN Methodology to Improve Endoscopy Unit Efficiency in a Multi-subspecialty Ambulatory Surgery Center: A Pilot Study. </w:t>
      </w:r>
      <w:r>
        <w:rPr>
          <w:rStyle w:val="Emphasis"/>
        </w:rPr>
        <w:t>Cureus</w:t>
      </w:r>
      <w:r>
        <w:t>, 16(9), e69447. doi:10.7759/cureus.69447.</w:t>
      </w:r>
    </w:p>
    <w:p w14:paraId="0E75F396" w14:textId="77777777" w:rsidR="00841CED" w:rsidRDefault="00841CED" w:rsidP="00841CED">
      <w:pPr>
        <w:pStyle w:val="NormalWeb"/>
        <w:spacing w:line="360" w:lineRule="auto"/>
      </w:pPr>
      <w:r>
        <w:t xml:space="preserve">Li, X., Tian, D., Li, W., Dong, B., Wang, H., Yuan, J., Li, B., Shi, L., Lin, X., Zhao, L. and Liu, S. (2021). Artificial intelligence-assisted reduction in patients’ waiting time for outpatient process: a retrospective cohort study. </w:t>
      </w:r>
      <w:r>
        <w:rPr>
          <w:rStyle w:val="Emphasis"/>
        </w:rPr>
        <w:t>BMC Health Services Research</w:t>
      </w:r>
      <w:r>
        <w:t>, 21(1), p.237. doi:10.1186/s12913-021-06248-z.</w:t>
      </w:r>
    </w:p>
    <w:p w14:paraId="5E0E6B13" w14:textId="77777777" w:rsidR="00841CED" w:rsidRDefault="00841CED" w:rsidP="00841CED">
      <w:pPr>
        <w:pStyle w:val="NormalWeb"/>
        <w:spacing w:line="360" w:lineRule="auto"/>
      </w:pPr>
      <w:r>
        <w:lastRenderedPageBreak/>
        <w:t xml:space="preserve">Maas, M.H.J., Neumann, H., Shirin, H., Katz, L.H., Benson, A.A., Kahloon, A., Soons, E., Hazzan, R., Landsman, M.J., Lebwohl, B., Lewis, S.K., Sivanathan, V., </w:t>
      </w:r>
      <w:proofErr w:type="spellStart"/>
      <w:r>
        <w:t>Ngamruengphong</w:t>
      </w:r>
      <w:proofErr w:type="spellEnd"/>
      <w:r>
        <w:t xml:space="preserve">, S., Jacob, H. and </w:t>
      </w:r>
      <w:proofErr w:type="spellStart"/>
      <w:r>
        <w:t>Siersema</w:t>
      </w:r>
      <w:proofErr w:type="spellEnd"/>
      <w:r>
        <w:t xml:space="preserve">, P.D. (2024). A computer-aided polyp detection system in screening and surveillance colonoscopy: an international, </w:t>
      </w:r>
      <w:proofErr w:type="spellStart"/>
      <w:r>
        <w:t>multicentre</w:t>
      </w:r>
      <w:proofErr w:type="spellEnd"/>
      <w:r>
        <w:t xml:space="preserve">, </w:t>
      </w:r>
      <w:proofErr w:type="spellStart"/>
      <w:r>
        <w:t>randomised</w:t>
      </w:r>
      <w:proofErr w:type="spellEnd"/>
      <w:r>
        <w:t xml:space="preserve">, tandem trial. </w:t>
      </w:r>
      <w:r>
        <w:rPr>
          <w:rStyle w:val="Emphasis"/>
        </w:rPr>
        <w:t>The Lancet Digital Health</w:t>
      </w:r>
      <w:r>
        <w:t>, 6(3), pp.e157-e165. doi:10.1016/S2589-7500(23)00242-X.</w:t>
      </w:r>
    </w:p>
    <w:p w14:paraId="6A2EB0D6" w14:textId="77777777" w:rsidR="00841CED" w:rsidRDefault="00841CED" w:rsidP="00841CED">
      <w:pPr>
        <w:pStyle w:val="NormalWeb"/>
        <w:spacing w:line="360" w:lineRule="auto"/>
      </w:pPr>
      <w:r>
        <w:t xml:space="preserve">Maida, M., Dahiya, D.S., Shah, Y.R., Tiwari, A., </w:t>
      </w:r>
      <w:proofErr w:type="spellStart"/>
      <w:r>
        <w:t>Gopakumar</w:t>
      </w:r>
      <w:proofErr w:type="spellEnd"/>
      <w:r>
        <w:t xml:space="preserve">, H., Vohra, I., Khan, A., Jaber, F., Ramai, D. and </w:t>
      </w:r>
      <w:proofErr w:type="spellStart"/>
      <w:r>
        <w:t>Facciorusso</w:t>
      </w:r>
      <w:proofErr w:type="spellEnd"/>
      <w:r>
        <w:t xml:space="preserve">, A. (2024). Screening and Surveillance of Colorectal Cancer: A Review of the Literature. </w:t>
      </w:r>
      <w:r>
        <w:rPr>
          <w:rStyle w:val="Emphasis"/>
        </w:rPr>
        <w:t>Cancers</w:t>
      </w:r>
      <w:r>
        <w:t xml:space="preserve">, 16(15), p.2746. </w:t>
      </w:r>
      <w:hyperlink r:id="rId12" w:tgtFrame="_new" w:history="1">
        <w:r>
          <w:rPr>
            <w:rStyle w:val="Hyperlink"/>
          </w:rPr>
          <w:t>https://doi.org/10.3390/cancers16152746</w:t>
        </w:r>
      </w:hyperlink>
      <w:r>
        <w:t>.</w:t>
      </w:r>
    </w:p>
    <w:p w14:paraId="1C42E207" w14:textId="77777777" w:rsidR="00841CED" w:rsidRDefault="00841CED" w:rsidP="00841CED">
      <w:pPr>
        <w:pStyle w:val="NormalWeb"/>
        <w:spacing w:line="360" w:lineRule="auto"/>
      </w:pPr>
      <w:r>
        <w:t xml:space="preserve">Maramraj, S., Yeap, E. and Yeap, E.E. (2025). Impact of Bowel Preparation Type on Colonoscopy Quality and Adenoma Detection: A Comparative Study. </w:t>
      </w:r>
      <w:r>
        <w:rPr>
          <w:rStyle w:val="Emphasis"/>
        </w:rPr>
        <w:t>Cureus</w:t>
      </w:r>
      <w:r>
        <w:t>, 17(4). doi:10.7759/cureus.82969.</w:t>
      </w:r>
    </w:p>
    <w:p w14:paraId="4CE5E9AE" w14:textId="77777777" w:rsidR="00841CED" w:rsidRDefault="00841CED" w:rsidP="00841CED">
      <w:pPr>
        <w:pStyle w:val="NormalWeb"/>
        <w:spacing w:line="360" w:lineRule="auto"/>
      </w:pPr>
      <w:proofErr w:type="spellStart"/>
      <w:r>
        <w:t>Oguntoye</w:t>
      </w:r>
      <w:proofErr w:type="spellEnd"/>
      <w:r>
        <w:t xml:space="preserve">, O.O., </w:t>
      </w:r>
      <w:proofErr w:type="spellStart"/>
      <w:r>
        <w:t>Oguntoye</w:t>
      </w:r>
      <w:proofErr w:type="spellEnd"/>
      <w:r>
        <w:t xml:space="preserve">, O.A., Adeniyi, O.M. and Jegede, O.S. (2024). Histopathological Outcome of </w:t>
      </w:r>
      <w:proofErr w:type="spellStart"/>
      <w:r>
        <w:t>Colonoscopic</w:t>
      </w:r>
      <w:proofErr w:type="spellEnd"/>
      <w:r>
        <w:t xml:space="preserve"> Biopsies in a Tertiary Hospital in Southwestern Nigeria: A 7-Year Retrospective Study. </w:t>
      </w:r>
      <w:r>
        <w:rPr>
          <w:rStyle w:val="Emphasis"/>
        </w:rPr>
        <w:t>Annals of African Medicine</w:t>
      </w:r>
      <w:r>
        <w:t>, 23(2), pp.213-221. doi:10.4103/aam.aam_43_23.</w:t>
      </w:r>
    </w:p>
    <w:p w14:paraId="2B428876" w14:textId="77777777" w:rsidR="00841CED" w:rsidRDefault="00841CED" w:rsidP="00841CED">
      <w:pPr>
        <w:pStyle w:val="NormalWeb"/>
        <w:spacing w:line="360" w:lineRule="auto"/>
      </w:pPr>
      <w:proofErr w:type="spellStart"/>
      <w:r>
        <w:t>Scalvini</w:t>
      </w:r>
      <w:proofErr w:type="spellEnd"/>
      <w:r>
        <w:t xml:space="preserve">, D., Agazzi, S., </w:t>
      </w:r>
      <w:proofErr w:type="spellStart"/>
      <w:r>
        <w:t>Maimaris</w:t>
      </w:r>
      <w:proofErr w:type="spellEnd"/>
      <w:r>
        <w:t xml:space="preserve">, S., </w:t>
      </w:r>
      <w:proofErr w:type="spellStart"/>
      <w:r>
        <w:t>Rovedatti</w:t>
      </w:r>
      <w:proofErr w:type="spellEnd"/>
      <w:r>
        <w:t xml:space="preserve">, L., Brinch, D., Cappellini, A., </w:t>
      </w:r>
      <w:proofErr w:type="spellStart"/>
      <w:r>
        <w:t>Ciccioli</w:t>
      </w:r>
      <w:proofErr w:type="spellEnd"/>
      <w:r>
        <w:t xml:space="preserve">, C., Puricelli, M., Bartolotta, E. and Alfieri, D. et al. (2025). Strategies to Enhance the Adenoma Detection Rate (ADR) and the Serrated Polyp Detection Rate (SPDR) in Colonoscopy: A Comprehensive Review. </w:t>
      </w:r>
      <w:r>
        <w:rPr>
          <w:rStyle w:val="Emphasis"/>
        </w:rPr>
        <w:t>Gastroenterology Insights</w:t>
      </w:r>
      <w:r>
        <w:t xml:space="preserve">, 16(1), p.9. </w:t>
      </w:r>
      <w:hyperlink r:id="rId13" w:tgtFrame="_new" w:history="1">
        <w:r>
          <w:rPr>
            <w:rStyle w:val="Hyperlink"/>
          </w:rPr>
          <w:t>https://doi.org/10.3390/gastroent16010009</w:t>
        </w:r>
      </w:hyperlink>
      <w:r>
        <w:t>.</w:t>
      </w:r>
    </w:p>
    <w:p w14:paraId="3279DEF3" w14:textId="77777777" w:rsidR="00841CED" w:rsidRDefault="00841CED" w:rsidP="00841CED">
      <w:pPr>
        <w:pStyle w:val="NormalWeb"/>
        <w:spacing w:line="360" w:lineRule="auto"/>
      </w:pPr>
    </w:p>
    <w:p w14:paraId="086AE014" w14:textId="77777777" w:rsidR="00841CED" w:rsidRDefault="00841CED" w:rsidP="00841CED">
      <w:pPr>
        <w:pStyle w:val="NormalWeb"/>
        <w:spacing w:line="360" w:lineRule="auto"/>
      </w:pPr>
      <w:r>
        <w:t xml:space="preserve">Schiff, G.D., Bearden, T., Hunt, L.S., Azzara, J., Larmon, J., Phillips, R.S., Singer, S., Bennett, B., Sugarman, J.R., Bitton, A. and Ellner, A. (2017). Primary Care Collaboration to Improve Diagnosis and Screening for Colorectal Cancer. </w:t>
      </w:r>
      <w:r>
        <w:rPr>
          <w:rStyle w:val="Emphasis"/>
        </w:rPr>
        <w:t>The Joint Commission Journal on Quality and Patient Safety</w:t>
      </w:r>
      <w:r>
        <w:t>, 43(7), pp.338-350. doi:10.1016/j.jcjq.2017.03.004.</w:t>
      </w:r>
    </w:p>
    <w:p w14:paraId="072323E7" w14:textId="77777777" w:rsidR="00841CED" w:rsidRDefault="00841CED" w:rsidP="00841CED">
      <w:pPr>
        <w:pStyle w:val="NormalWeb"/>
        <w:spacing w:line="360" w:lineRule="auto"/>
      </w:pPr>
      <w:r>
        <w:lastRenderedPageBreak/>
        <w:t xml:space="preserve">Seyed-Nezhad, M., Ahmadi, B. and Akbari-Sari, A. (2021). Factors affecting the successful implementation of the referral system: A scoping review. </w:t>
      </w:r>
      <w:r>
        <w:rPr>
          <w:rStyle w:val="Emphasis"/>
        </w:rPr>
        <w:t>Journal of Family Medicine and Primary Care</w:t>
      </w:r>
      <w:r>
        <w:t>, 10(12), pp.4364-4375. doi:10.4103/jfmpc.jfmpc_514_21.</w:t>
      </w:r>
    </w:p>
    <w:p w14:paraId="6A251714" w14:textId="77777777" w:rsidR="00841CED" w:rsidRDefault="00841CED" w:rsidP="00841CED">
      <w:pPr>
        <w:pStyle w:val="NormalWeb"/>
        <w:spacing w:line="360" w:lineRule="auto"/>
      </w:pPr>
      <w:r>
        <w:t xml:space="preserve">Siegel, R.L., Miller, K.D., Goding Sauer, A., Fedewa, S.A., Butterly, L.F., Anderson, J.C., Cercek, A., Smith, R.A. and Jemal, A. (2020). Colorectal cancer statistics, 2020. </w:t>
      </w:r>
      <w:r>
        <w:rPr>
          <w:rStyle w:val="Emphasis"/>
        </w:rPr>
        <w:t>CA: A Cancer Journal for Clinicians</w:t>
      </w:r>
      <w:r>
        <w:t xml:space="preserve">, 70(3), pp.145-164. </w:t>
      </w:r>
      <w:hyperlink r:id="rId14" w:tgtFrame="_new" w:history="1">
        <w:r>
          <w:rPr>
            <w:rStyle w:val="Hyperlink"/>
          </w:rPr>
          <w:t>https://doi.org/10.3322/caac.21601</w:t>
        </w:r>
      </w:hyperlink>
      <w:r>
        <w:t>.</w:t>
      </w:r>
    </w:p>
    <w:p w14:paraId="2BF34304" w14:textId="77777777" w:rsidR="00841CED" w:rsidRDefault="00841CED" w:rsidP="00841CED">
      <w:pPr>
        <w:pStyle w:val="NormalWeb"/>
        <w:spacing w:line="360" w:lineRule="auto"/>
      </w:pPr>
      <w:r>
        <w:t xml:space="preserve">Strauss, A.T., Yeh, J., Martinez, D.A., </w:t>
      </w:r>
      <w:proofErr w:type="spellStart"/>
      <w:r>
        <w:t>Yenokyan</w:t>
      </w:r>
      <w:proofErr w:type="spellEnd"/>
      <w:r>
        <w:t xml:space="preserve">, G., Yoder, J., Nehra, R., Feller, T., Bull-Henry, K., Stein, E., Hsu, L.C. and Al-Grain, H. (2021). A patient-centered framework for health systems engineering in gastroenterology: improving inpatient colonoscopy bowel preparation. </w:t>
      </w:r>
      <w:r>
        <w:rPr>
          <w:rStyle w:val="Emphasis"/>
        </w:rPr>
        <w:t>BMC Gastroenterology</w:t>
      </w:r>
      <w:r>
        <w:t xml:space="preserve">, 21(1), p.89. </w:t>
      </w:r>
      <w:hyperlink r:id="rId15" w:tgtFrame="_new" w:history="1">
        <w:r>
          <w:rPr>
            <w:rStyle w:val="Hyperlink"/>
          </w:rPr>
          <w:t>https://doi.org/10.1186/s12876-021-01661-4</w:t>
        </w:r>
      </w:hyperlink>
      <w:r>
        <w:t>.</w:t>
      </w:r>
    </w:p>
    <w:p w14:paraId="2E5EC7BF" w14:textId="77777777" w:rsidR="00841CED" w:rsidRDefault="00841CED" w:rsidP="00841CED">
      <w:pPr>
        <w:pStyle w:val="NormalWeb"/>
        <w:spacing w:line="360" w:lineRule="auto"/>
      </w:pPr>
      <w:r>
        <w:t xml:space="preserve">Tsai, C.H., </w:t>
      </w:r>
      <w:proofErr w:type="spellStart"/>
      <w:r>
        <w:t>Eghdam</w:t>
      </w:r>
      <w:proofErr w:type="spellEnd"/>
      <w:r>
        <w:t xml:space="preserve">, A., </w:t>
      </w:r>
      <w:proofErr w:type="spellStart"/>
      <w:r>
        <w:t>Davoody</w:t>
      </w:r>
      <w:proofErr w:type="spellEnd"/>
      <w:r>
        <w:t xml:space="preserve">, N., Wright, G., Flowerday, S. and Koch, S. (2020). Effects of Electronic Health Record Implementation and Barriers to Adoption and Use: A Scoping Review and Qualitative Analysis of the Content. </w:t>
      </w:r>
      <w:r>
        <w:rPr>
          <w:rStyle w:val="Emphasis"/>
        </w:rPr>
        <w:t>Life (Basel)</w:t>
      </w:r>
      <w:r>
        <w:t>, 10(12), p.327. doi:10.3390/life10120327.</w:t>
      </w:r>
    </w:p>
    <w:p w14:paraId="0521B552" w14:textId="77777777" w:rsidR="00841CED" w:rsidRDefault="00841CED" w:rsidP="00841CED">
      <w:pPr>
        <w:pStyle w:val="NormalWeb"/>
        <w:spacing w:line="360" w:lineRule="auto"/>
      </w:pPr>
      <w:r>
        <w:t xml:space="preserve">Watanabe, J., Muro, K., Shitara, K., Yamazaki, K., Shiozawa, M., Ohori, H., Takashima, A., Yokota, M., </w:t>
      </w:r>
      <w:proofErr w:type="spellStart"/>
      <w:r>
        <w:t>Makiyama</w:t>
      </w:r>
      <w:proofErr w:type="spellEnd"/>
      <w:r>
        <w:t xml:space="preserve">, A., Akazawa, N., Ojima, H., Yuasa, Y., Miwa, K., Yasui, H., Oki, E., Sato, T., </w:t>
      </w:r>
      <w:proofErr w:type="spellStart"/>
      <w:r>
        <w:t>Naitoh</w:t>
      </w:r>
      <w:proofErr w:type="spellEnd"/>
      <w:r>
        <w:t xml:space="preserve">, T., Komatsu, Y., Kato, T., </w:t>
      </w:r>
      <w:proofErr w:type="spellStart"/>
      <w:r>
        <w:t>Hihara</w:t>
      </w:r>
      <w:proofErr w:type="spellEnd"/>
      <w:r>
        <w:t xml:space="preserve">, M., Soeda, J., Misumi, T., Yamamoto, K., Akagi, K., Ochiai, A., </w:t>
      </w:r>
      <w:proofErr w:type="spellStart"/>
      <w:r>
        <w:t>Uetake</w:t>
      </w:r>
      <w:proofErr w:type="spellEnd"/>
      <w:r>
        <w:t xml:space="preserve">, H., </w:t>
      </w:r>
      <w:proofErr w:type="spellStart"/>
      <w:r>
        <w:t>Tsuchihara</w:t>
      </w:r>
      <w:proofErr w:type="spellEnd"/>
      <w:r>
        <w:t xml:space="preserve">, K. and Yoshino, T. (2023). Panitumumab vs Bevacizumab Added to Standard First-line Chemotherapy and Overall Survival Among Patients </w:t>
      </w:r>
      <w:proofErr w:type="gramStart"/>
      <w:r>
        <w:t>With</w:t>
      </w:r>
      <w:proofErr w:type="gramEnd"/>
      <w:r>
        <w:t xml:space="preserve"> RAS Wild-type, Left-Sided Metastatic Colorectal Cancer: A Randomized Clinical Trial. </w:t>
      </w:r>
      <w:r>
        <w:rPr>
          <w:rStyle w:val="Emphasis"/>
        </w:rPr>
        <w:t>JAMA</w:t>
      </w:r>
      <w:r>
        <w:t>, 329(15), pp.1271-1282. doi:10.1001/jama.2023.4428.</w:t>
      </w:r>
    </w:p>
    <w:p w14:paraId="7935B07A" w14:textId="77777777" w:rsidR="00B81B04" w:rsidRPr="00A469FB" w:rsidRDefault="00841CED" w:rsidP="00A469FB">
      <w:pPr>
        <w:pStyle w:val="NormalWeb"/>
        <w:spacing w:line="360" w:lineRule="auto"/>
      </w:pPr>
      <w:r>
        <w:t xml:space="preserve">Yang, C., Liu, Y., Huang, Z., Liu, S., Zhang, X., Liu, Q. and Dai, J. (2025). Recent advances and challenges of cellular immunotherapies in lung cancer treatment. </w:t>
      </w:r>
      <w:r>
        <w:rPr>
          <w:rStyle w:val="Emphasis"/>
        </w:rPr>
        <w:t>Experimental Hematology &amp; Oncology</w:t>
      </w:r>
      <w:r>
        <w:t>, 14(1), p.94. doi:10.1186/s40164-025-00679-8.</w:t>
      </w:r>
    </w:p>
    <w:sectPr w:rsidR="00B81B04" w:rsidRPr="00A469F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AECF3" w14:textId="77777777" w:rsidR="00794731" w:rsidRDefault="00794731" w:rsidP="00866083">
      <w:pPr>
        <w:spacing w:after="0" w:line="240" w:lineRule="auto"/>
      </w:pPr>
      <w:r>
        <w:separator/>
      </w:r>
    </w:p>
  </w:endnote>
  <w:endnote w:type="continuationSeparator" w:id="0">
    <w:p w14:paraId="7043F11A" w14:textId="77777777" w:rsidR="00794731" w:rsidRDefault="00794731" w:rsidP="0086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88D3" w14:textId="77777777" w:rsidR="00D75FAA" w:rsidRDefault="00D75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092457"/>
      <w:docPartObj>
        <w:docPartGallery w:val="Page Numbers (Bottom of Page)"/>
        <w:docPartUnique/>
      </w:docPartObj>
    </w:sdtPr>
    <w:sdtEndPr>
      <w:rPr>
        <w:noProof/>
      </w:rPr>
    </w:sdtEndPr>
    <w:sdtContent>
      <w:p w14:paraId="5D35C69E" w14:textId="77777777" w:rsidR="00866083" w:rsidRDefault="00866083">
        <w:pPr>
          <w:pStyle w:val="Footer"/>
          <w:jc w:val="center"/>
        </w:pPr>
        <w:r>
          <w:fldChar w:fldCharType="begin"/>
        </w:r>
        <w:r>
          <w:instrText xml:space="preserve"> PAGE   \* MERGEFORMAT </w:instrText>
        </w:r>
        <w:r>
          <w:fldChar w:fldCharType="separate"/>
        </w:r>
        <w:r w:rsidR="00A469FB">
          <w:rPr>
            <w:noProof/>
          </w:rPr>
          <w:t>16</w:t>
        </w:r>
        <w:r>
          <w:rPr>
            <w:noProof/>
          </w:rPr>
          <w:fldChar w:fldCharType="end"/>
        </w:r>
      </w:p>
    </w:sdtContent>
  </w:sdt>
  <w:p w14:paraId="73117C81" w14:textId="77777777" w:rsidR="00866083" w:rsidRDefault="008660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62E5" w14:textId="77777777" w:rsidR="00D75FAA" w:rsidRDefault="00D75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876CF" w14:textId="77777777" w:rsidR="00794731" w:rsidRDefault="00794731" w:rsidP="00866083">
      <w:pPr>
        <w:spacing w:after="0" w:line="240" w:lineRule="auto"/>
      </w:pPr>
      <w:r>
        <w:separator/>
      </w:r>
    </w:p>
  </w:footnote>
  <w:footnote w:type="continuationSeparator" w:id="0">
    <w:p w14:paraId="030A3150" w14:textId="77777777" w:rsidR="00794731" w:rsidRDefault="00794731" w:rsidP="00866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19F73" w14:textId="00077DB5" w:rsidR="00D75FAA" w:rsidRDefault="00D75FAA">
    <w:pPr>
      <w:pStyle w:val="Header"/>
    </w:pPr>
    <w:r>
      <w:rPr>
        <w:noProof/>
      </w:rPr>
      <w:pict w14:anchorId="32765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57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387B" w14:textId="483239C0" w:rsidR="00D75FAA" w:rsidRDefault="00D75FAA">
    <w:pPr>
      <w:pStyle w:val="Header"/>
    </w:pPr>
    <w:r>
      <w:rPr>
        <w:noProof/>
      </w:rPr>
      <w:pict w14:anchorId="18351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57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0600" w14:textId="32286182" w:rsidR="00D75FAA" w:rsidRDefault="00D75FAA">
    <w:pPr>
      <w:pStyle w:val="Header"/>
    </w:pPr>
    <w:r>
      <w:rPr>
        <w:noProof/>
      </w:rPr>
      <w:pict w14:anchorId="2615E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257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858"/>
    <w:rsid w:val="00001952"/>
    <w:rsid w:val="00030953"/>
    <w:rsid w:val="000B5047"/>
    <w:rsid w:val="001E2A0C"/>
    <w:rsid w:val="00200F2C"/>
    <w:rsid w:val="00227853"/>
    <w:rsid w:val="002B1307"/>
    <w:rsid w:val="002F04FF"/>
    <w:rsid w:val="002F5146"/>
    <w:rsid w:val="00310539"/>
    <w:rsid w:val="0034091C"/>
    <w:rsid w:val="0038288F"/>
    <w:rsid w:val="00401160"/>
    <w:rsid w:val="00415877"/>
    <w:rsid w:val="00416627"/>
    <w:rsid w:val="0043486F"/>
    <w:rsid w:val="00454E02"/>
    <w:rsid w:val="004949EE"/>
    <w:rsid w:val="004C5EA8"/>
    <w:rsid w:val="004D1ECB"/>
    <w:rsid w:val="004E3FD9"/>
    <w:rsid w:val="0059771B"/>
    <w:rsid w:val="00625B49"/>
    <w:rsid w:val="006351AF"/>
    <w:rsid w:val="00640B0D"/>
    <w:rsid w:val="006D6F48"/>
    <w:rsid w:val="00776625"/>
    <w:rsid w:val="00794731"/>
    <w:rsid w:val="007A5CE1"/>
    <w:rsid w:val="007B0261"/>
    <w:rsid w:val="007B77B6"/>
    <w:rsid w:val="00841CED"/>
    <w:rsid w:val="00866083"/>
    <w:rsid w:val="00894293"/>
    <w:rsid w:val="008963EF"/>
    <w:rsid w:val="00925DDD"/>
    <w:rsid w:val="00926717"/>
    <w:rsid w:val="00931C3C"/>
    <w:rsid w:val="0094237E"/>
    <w:rsid w:val="00945F9F"/>
    <w:rsid w:val="00960054"/>
    <w:rsid w:val="009868BD"/>
    <w:rsid w:val="009E52CB"/>
    <w:rsid w:val="00A14E58"/>
    <w:rsid w:val="00A377D8"/>
    <w:rsid w:val="00A469FB"/>
    <w:rsid w:val="00A77C78"/>
    <w:rsid w:val="00A90B71"/>
    <w:rsid w:val="00AB75CC"/>
    <w:rsid w:val="00AC036D"/>
    <w:rsid w:val="00B0781B"/>
    <w:rsid w:val="00B20ED1"/>
    <w:rsid w:val="00B26E35"/>
    <w:rsid w:val="00B43FA8"/>
    <w:rsid w:val="00B533DD"/>
    <w:rsid w:val="00B81B04"/>
    <w:rsid w:val="00BB427D"/>
    <w:rsid w:val="00BC64DA"/>
    <w:rsid w:val="00C00EC7"/>
    <w:rsid w:val="00C11BB4"/>
    <w:rsid w:val="00C240AE"/>
    <w:rsid w:val="00C5765C"/>
    <w:rsid w:val="00C728A2"/>
    <w:rsid w:val="00CE3A44"/>
    <w:rsid w:val="00CF5CDF"/>
    <w:rsid w:val="00D53A0B"/>
    <w:rsid w:val="00D75FAA"/>
    <w:rsid w:val="00DB510F"/>
    <w:rsid w:val="00DD3340"/>
    <w:rsid w:val="00E20A49"/>
    <w:rsid w:val="00EA52FB"/>
    <w:rsid w:val="00EC0858"/>
    <w:rsid w:val="00EC5ECC"/>
    <w:rsid w:val="00ED1DBD"/>
    <w:rsid w:val="00ED3A45"/>
    <w:rsid w:val="00EE5474"/>
    <w:rsid w:val="00F33089"/>
    <w:rsid w:val="00F9370A"/>
    <w:rsid w:val="00FB44CF"/>
    <w:rsid w:val="00FF0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718A0AF"/>
  <w15:chartTrackingRefBased/>
  <w15:docId w15:val="{21DAB67F-A497-4503-8FA0-5420CD77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B0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083"/>
    <w:rPr>
      <w:lang w:val="en-GB"/>
    </w:rPr>
  </w:style>
  <w:style w:type="paragraph" w:styleId="Footer">
    <w:name w:val="footer"/>
    <w:basedOn w:val="Normal"/>
    <w:link w:val="FooterChar"/>
    <w:uiPriority w:val="99"/>
    <w:unhideWhenUsed/>
    <w:rsid w:val="00866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083"/>
    <w:rPr>
      <w:lang w:val="en-GB"/>
    </w:rPr>
  </w:style>
  <w:style w:type="paragraph" w:styleId="NormalWeb">
    <w:name w:val="Normal (Web)"/>
    <w:basedOn w:val="Normal"/>
    <w:uiPriority w:val="99"/>
    <w:unhideWhenUsed/>
    <w:rsid w:val="001E2A0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41CED"/>
    <w:rPr>
      <w:i/>
      <w:iCs/>
    </w:rPr>
  </w:style>
  <w:style w:type="character" w:styleId="Hyperlink">
    <w:name w:val="Hyperlink"/>
    <w:basedOn w:val="DefaultParagraphFont"/>
    <w:uiPriority w:val="99"/>
    <w:unhideWhenUsed/>
    <w:rsid w:val="00841CED"/>
    <w:rPr>
      <w:color w:val="0000FF"/>
      <w:u w:val="single"/>
    </w:rPr>
  </w:style>
  <w:style w:type="character" w:styleId="UnresolvedMention">
    <w:name w:val="Unresolved Mention"/>
    <w:basedOn w:val="DefaultParagraphFont"/>
    <w:uiPriority w:val="99"/>
    <w:semiHidden/>
    <w:unhideWhenUsed/>
    <w:rsid w:val="00925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63522">
      <w:bodyDiv w:val="1"/>
      <w:marLeft w:val="0"/>
      <w:marRight w:val="0"/>
      <w:marTop w:val="0"/>
      <w:marBottom w:val="0"/>
      <w:divBdr>
        <w:top w:val="none" w:sz="0" w:space="0" w:color="auto"/>
        <w:left w:val="none" w:sz="0" w:space="0" w:color="auto"/>
        <w:bottom w:val="none" w:sz="0" w:space="0" w:color="auto"/>
        <w:right w:val="none" w:sz="0" w:space="0" w:color="auto"/>
      </w:divBdr>
    </w:div>
    <w:div w:id="186875826">
      <w:bodyDiv w:val="1"/>
      <w:marLeft w:val="0"/>
      <w:marRight w:val="0"/>
      <w:marTop w:val="0"/>
      <w:marBottom w:val="0"/>
      <w:divBdr>
        <w:top w:val="none" w:sz="0" w:space="0" w:color="auto"/>
        <w:left w:val="none" w:sz="0" w:space="0" w:color="auto"/>
        <w:bottom w:val="none" w:sz="0" w:space="0" w:color="auto"/>
        <w:right w:val="none" w:sz="0" w:space="0" w:color="auto"/>
      </w:divBdr>
    </w:div>
    <w:div w:id="301158683">
      <w:bodyDiv w:val="1"/>
      <w:marLeft w:val="0"/>
      <w:marRight w:val="0"/>
      <w:marTop w:val="0"/>
      <w:marBottom w:val="0"/>
      <w:divBdr>
        <w:top w:val="none" w:sz="0" w:space="0" w:color="auto"/>
        <w:left w:val="none" w:sz="0" w:space="0" w:color="auto"/>
        <w:bottom w:val="none" w:sz="0" w:space="0" w:color="auto"/>
        <w:right w:val="none" w:sz="0" w:space="0" w:color="auto"/>
      </w:divBdr>
    </w:div>
    <w:div w:id="598290890">
      <w:bodyDiv w:val="1"/>
      <w:marLeft w:val="0"/>
      <w:marRight w:val="0"/>
      <w:marTop w:val="0"/>
      <w:marBottom w:val="0"/>
      <w:divBdr>
        <w:top w:val="none" w:sz="0" w:space="0" w:color="auto"/>
        <w:left w:val="none" w:sz="0" w:space="0" w:color="auto"/>
        <w:bottom w:val="none" w:sz="0" w:space="0" w:color="auto"/>
        <w:right w:val="none" w:sz="0" w:space="0" w:color="auto"/>
      </w:divBdr>
    </w:div>
    <w:div w:id="915942381">
      <w:bodyDiv w:val="1"/>
      <w:marLeft w:val="0"/>
      <w:marRight w:val="0"/>
      <w:marTop w:val="0"/>
      <w:marBottom w:val="0"/>
      <w:divBdr>
        <w:top w:val="none" w:sz="0" w:space="0" w:color="auto"/>
        <w:left w:val="none" w:sz="0" w:space="0" w:color="auto"/>
        <w:bottom w:val="none" w:sz="0" w:space="0" w:color="auto"/>
        <w:right w:val="none" w:sz="0" w:space="0" w:color="auto"/>
      </w:divBdr>
    </w:div>
    <w:div w:id="1032461686">
      <w:bodyDiv w:val="1"/>
      <w:marLeft w:val="0"/>
      <w:marRight w:val="0"/>
      <w:marTop w:val="0"/>
      <w:marBottom w:val="0"/>
      <w:divBdr>
        <w:top w:val="none" w:sz="0" w:space="0" w:color="auto"/>
        <w:left w:val="none" w:sz="0" w:space="0" w:color="auto"/>
        <w:bottom w:val="none" w:sz="0" w:space="0" w:color="auto"/>
        <w:right w:val="none" w:sz="0" w:space="0" w:color="auto"/>
      </w:divBdr>
    </w:div>
    <w:div w:id="1162890284">
      <w:bodyDiv w:val="1"/>
      <w:marLeft w:val="0"/>
      <w:marRight w:val="0"/>
      <w:marTop w:val="0"/>
      <w:marBottom w:val="0"/>
      <w:divBdr>
        <w:top w:val="none" w:sz="0" w:space="0" w:color="auto"/>
        <w:left w:val="none" w:sz="0" w:space="0" w:color="auto"/>
        <w:bottom w:val="none" w:sz="0" w:space="0" w:color="auto"/>
        <w:right w:val="none" w:sz="0" w:space="0" w:color="auto"/>
      </w:divBdr>
    </w:div>
    <w:div w:id="1354578062">
      <w:bodyDiv w:val="1"/>
      <w:marLeft w:val="0"/>
      <w:marRight w:val="0"/>
      <w:marTop w:val="0"/>
      <w:marBottom w:val="0"/>
      <w:divBdr>
        <w:top w:val="none" w:sz="0" w:space="0" w:color="auto"/>
        <w:left w:val="none" w:sz="0" w:space="0" w:color="auto"/>
        <w:bottom w:val="none" w:sz="0" w:space="0" w:color="auto"/>
        <w:right w:val="none" w:sz="0" w:space="0" w:color="auto"/>
      </w:divBdr>
    </w:div>
    <w:div w:id="1395619339">
      <w:bodyDiv w:val="1"/>
      <w:marLeft w:val="0"/>
      <w:marRight w:val="0"/>
      <w:marTop w:val="0"/>
      <w:marBottom w:val="0"/>
      <w:divBdr>
        <w:top w:val="none" w:sz="0" w:space="0" w:color="auto"/>
        <w:left w:val="none" w:sz="0" w:space="0" w:color="auto"/>
        <w:bottom w:val="none" w:sz="0" w:space="0" w:color="auto"/>
        <w:right w:val="none" w:sz="0" w:space="0" w:color="auto"/>
      </w:divBdr>
    </w:div>
    <w:div w:id="1406025374">
      <w:bodyDiv w:val="1"/>
      <w:marLeft w:val="0"/>
      <w:marRight w:val="0"/>
      <w:marTop w:val="0"/>
      <w:marBottom w:val="0"/>
      <w:divBdr>
        <w:top w:val="none" w:sz="0" w:space="0" w:color="auto"/>
        <w:left w:val="none" w:sz="0" w:space="0" w:color="auto"/>
        <w:bottom w:val="none" w:sz="0" w:space="0" w:color="auto"/>
        <w:right w:val="none" w:sz="0" w:space="0" w:color="auto"/>
      </w:divBdr>
    </w:div>
    <w:div w:id="1500995643">
      <w:bodyDiv w:val="1"/>
      <w:marLeft w:val="0"/>
      <w:marRight w:val="0"/>
      <w:marTop w:val="0"/>
      <w:marBottom w:val="0"/>
      <w:divBdr>
        <w:top w:val="none" w:sz="0" w:space="0" w:color="auto"/>
        <w:left w:val="none" w:sz="0" w:space="0" w:color="auto"/>
        <w:bottom w:val="none" w:sz="0" w:space="0" w:color="auto"/>
        <w:right w:val="none" w:sz="0" w:space="0" w:color="auto"/>
      </w:divBdr>
    </w:div>
    <w:div w:id="16533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913-022-07502-8" TargetMode="External"/><Relationship Id="rId13" Type="http://schemas.openxmlformats.org/officeDocument/2006/relationships/hyperlink" Target="https://doi.org/10.3390/gastroent16010009"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www.cancer.org/content/dam/cancer-org/research/cancer-facts-and-statistics/colorectal-cancer-facts-and-figures/colorectal-cancer-facts-and-figures-2023.pdf" TargetMode="External"/><Relationship Id="rId12" Type="http://schemas.openxmlformats.org/officeDocument/2006/relationships/hyperlink" Target="https://doi.org/10.3390/cancers16152746"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3390/diagnostics13071262" TargetMode="External"/><Relationship Id="rId5" Type="http://schemas.openxmlformats.org/officeDocument/2006/relationships/endnotes" Target="endnotes.xml"/><Relationship Id="rId15" Type="http://schemas.openxmlformats.org/officeDocument/2006/relationships/hyperlink" Target="https://doi.org/10.1186/s12876-021-01661-4" TargetMode="External"/><Relationship Id="rId23" Type="http://schemas.openxmlformats.org/officeDocument/2006/relationships/theme" Target="theme/theme1.xml"/><Relationship Id="rId10" Type="http://schemas.openxmlformats.org/officeDocument/2006/relationships/hyperlink" Target="https://doi.org/10.1016/j.gie.2024.03.010"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200/JCO.2018.36.4_suppl.TPS877" TargetMode="External"/><Relationship Id="rId14" Type="http://schemas.openxmlformats.org/officeDocument/2006/relationships/hyperlink" Target="https://doi.org/10.3322/caac.216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17</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67</cp:revision>
  <dcterms:created xsi:type="dcterms:W3CDTF">2025-09-29T11:56:00Z</dcterms:created>
  <dcterms:modified xsi:type="dcterms:W3CDTF">2025-10-28T10:04:00Z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dbcbc57f-d97a-44a3-ab29-43d5f6cd4793</vt:lpwstr>
  </property>
</Properties>
</file>