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DD386" w14:textId="77777777" w:rsidR="00013EA3" w:rsidRPr="00013EA3" w:rsidRDefault="00013EA3" w:rsidP="00013EA3">
      <w:pPr>
        <w:pStyle w:val="Title"/>
        <w:jc w:val="both"/>
        <w:rPr>
          <w:rFonts w:ascii="Arial" w:hAnsi="Arial" w:cs="Arial"/>
          <w:bCs/>
          <w:i/>
          <w:iCs/>
          <w:u w:val="single"/>
        </w:rPr>
      </w:pPr>
      <w:bookmarkStart w:id="0" w:name="_GoBack"/>
      <w:bookmarkEnd w:id="0"/>
      <w:r w:rsidRPr="00013EA3">
        <w:rPr>
          <w:rFonts w:ascii="Arial" w:hAnsi="Arial" w:cs="Arial"/>
          <w:bCs/>
          <w:i/>
          <w:iCs/>
          <w:u w:val="single"/>
        </w:rPr>
        <w:t xml:space="preserve">Case report </w:t>
      </w:r>
    </w:p>
    <w:p w14:paraId="5141F20F" w14:textId="77777777" w:rsidR="00754C9A" w:rsidRDefault="00754C9A" w:rsidP="00441B6F">
      <w:pPr>
        <w:pStyle w:val="Title"/>
        <w:spacing w:after="0"/>
        <w:jc w:val="both"/>
        <w:rPr>
          <w:rFonts w:ascii="Arial" w:hAnsi="Arial" w:cs="Arial"/>
        </w:rPr>
      </w:pPr>
    </w:p>
    <w:p w14:paraId="36313146" w14:textId="5BF2728D" w:rsidR="00A258C3" w:rsidRDefault="00A55C7E" w:rsidP="00441B6F">
      <w:pPr>
        <w:pStyle w:val="Author"/>
        <w:spacing w:line="240" w:lineRule="auto"/>
        <w:jc w:val="both"/>
        <w:rPr>
          <w:rFonts w:ascii="Arial" w:hAnsi="Arial" w:cs="Arial"/>
          <w:bCs/>
          <w:iCs/>
          <w:kern w:val="28"/>
          <w:sz w:val="36"/>
        </w:rPr>
      </w:pPr>
      <w:r w:rsidRPr="00A55C7E">
        <w:rPr>
          <w:rFonts w:ascii="Arial" w:hAnsi="Arial" w:cs="Arial"/>
          <w:bCs/>
          <w:iCs/>
          <w:kern w:val="28"/>
          <w:sz w:val="36"/>
        </w:rPr>
        <w:t xml:space="preserve">Listeria monocytogenes Meningitis in </w:t>
      </w:r>
      <w:r w:rsidR="003D74C8" w:rsidRPr="00A55C7E">
        <w:rPr>
          <w:rFonts w:ascii="Arial" w:hAnsi="Arial" w:cs="Arial"/>
          <w:bCs/>
          <w:iCs/>
          <w:kern w:val="28"/>
          <w:sz w:val="36"/>
        </w:rPr>
        <w:t>Patient</w:t>
      </w:r>
      <w:r w:rsidR="003D74C8">
        <w:rPr>
          <w:rFonts w:ascii="Arial" w:hAnsi="Arial" w:cs="Arial"/>
          <w:bCs/>
          <w:iCs/>
          <w:kern w:val="28"/>
          <w:sz w:val="36"/>
        </w:rPr>
        <w:t xml:space="preserve">s with </w:t>
      </w:r>
      <w:r w:rsidRPr="00A55C7E">
        <w:rPr>
          <w:rFonts w:ascii="Arial" w:hAnsi="Arial" w:cs="Arial"/>
          <w:bCs/>
          <w:iCs/>
          <w:kern w:val="28"/>
          <w:sz w:val="36"/>
        </w:rPr>
        <w:t>an Elderly Diabetic: Literature Review</w:t>
      </w:r>
      <w:r w:rsidR="00E30790" w:rsidRPr="00E30790">
        <w:rPr>
          <w:rFonts w:ascii="Arial" w:hAnsi="Arial" w:cs="Arial"/>
          <w:bCs/>
          <w:iCs/>
          <w:kern w:val="28"/>
          <w:sz w:val="36"/>
        </w:rPr>
        <w:t xml:space="preserve"> </w:t>
      </w:r>
      <w:r w:rsidR="00E30790" w:rsidRPr="00A55C7E">
        <w:rPr>
          <w:rFonts w:ascii="Arial" w:hAnsi="Arial" w:cs="Arial"/>
          <w:bCs/>
          <w:iCs/>
          <w:kern w:val="28"/>
          <w:sz w:val="36"/>
        </w:rPr>
        <w:t>and A Case Report</w:t>
      </w:r>
    </w:p>
    <w:p w14:paraId="24E24753" w14:textId="77777777" w:rsidR="00E30790" w:rsidRPr="00790ADA" w:rsidRDefault="00E30790" w:rsidP="00441B6F">
      <w:pPr>
        <w:pStyle w:val="Author"/>
        <w:spacing w:line="240" w:lineRule="auto"/>
        <w:jc w:val="both"/>
        <w:rPr>
          <w:rFonts w:ascii="Arial" w:hAnsi="Arial" w:cs="Arial"/>
          <w:sz w:val="36"/>
        </w:rPr>
      </w:pPr>
    </w:p>
    <w:p w14:paraId="37C16DD5" w14:textId="77777777" w:rsidR="001956F1" w:rsidRDefault="001956F1" w:rsidP="00441B6F">
      <w:pPr>
        <w:pStyle w:val="Copyright"/>
        <w:spacing w:after="0" w:line="240" w:lineRule="auto"/>
        <w:jc w:val="both"/>
        <w:rPr>
          <w:rFonts w:ascii="Arial" w:hAnsi="Arial" w:cs="Arial"/>
        </w:rPr>
      </w:pPr>
    </w:p>
    <w:p w14:paraId="365AEE94" w14:textId="3505BA1B" w:rsidR="00B01FCD" w:rsidRPr="00FB3A86" w:rsidRDefault="00D57401" w:rsidP="00441B6F">
      <w:pPr>
        <w:pStyle w:val="Copyright"/>
        <w:spacing w:after="0" w:line="240" w:lineRule="auto"/>
        <w:jc w:val="both"/>
        <w:rPr>
          <w:rFonts w:ascii="Arial" w:hAnsi="Arial" w:cs="Arial"/>
        </w:rPr>
        <w:sectPr w:rsidR="00B01FCD" w:rsidRPr="00FB3A86" w:rsidSect="00262C1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7F698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6A8D14A" w14:textId="0F4BC835" w:rsidR="00B01FCD" w:rsidRDefault="00B01FCD" w:rsidP="00901EE2">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571C0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1F7232D" w14:textId="77777777" w:rsidTr="001E44FE">
        <w:tc>
          <w:tcPr>
            <w:tcW w:w="9576" w:type="dxa"/>
            <w:shd w:val="clear" w:color="auto" w:fill="F2F2F2"/>
          </w:tcPr>
          <w:p w14:paraId="6B2212FC" w14:textId="367B69DB" w:rsidR="00A03B96" w:rsidRDefault="00B32F33" w:rsidP="00441B6F">
            <w:pPr>
              <w:pStyle w:val="Body"/>
              <w:spacing w:after="0"/>
              <w:rPr>
                <w:rFonts w:ascii="Arial" w:eastAsia="Calibri" w:hAnsi="Arial" w:cs="Arial"/>
                <w:szCs w:val="22"/>
              </w:rPr>
            </w:pPr>
            <w:r w:rsidRPr="00635FEB">
              <w:rPr>
                <w:rFonts w:asciiTheme="minorBidi" w:hAnsiTheme="minorBidi" w:cstheme="minorBidi"/>
              </w:rPr>
              <w:t>Listeria monocytogenes is a Gram positive, facultative intracellular pathogen that may cause severe invasive infections such as meningitis and meningoencephalitis especially in elderly or immunocompromised patients. This report offers the presentation of a 71-year-old male patient with a history of diabetes mellitus type 2 with a fever, confusion, and neck stiffness and sent to the hospital with the diagnosis of Listeria meningitis in the absence of apparent foodborne exposure. The report focuses on the diagnosis issues of the atypical bacterial meningitis, the antimicrobial treatment, and the need to focus on the initial clinical suspicion in the risk population. Recent literature review is given to provide a context to clinical presentation, pathogenesis and therapeutic strategies</w:t>
            </w:r>
            <w:r w:rsidR="00A44518">
              <w:t>.</w:t>
            </w:r>
          </w:p>
          <w:p w14:paraId="153F48BB" w14:textId="77777777" w:rsidR="00E3114E" w:rsidRDefault="00E3114E" w:rsidP="00441B6F">
            <w:pPr>
              <w:pStyle w:val="Body"/>
              <w:spacing w:after="0"/>
              <w:rPr>
                <w:rFonts w:ascii="Arial" w:eastAsia="Calibri" w:hAnsi="Arial" w:cs="Arial"/>
                <w:szCs w:val="22"/>
              </w:rPr>
            </w:pPr>
          </w:p>
          <w:p w14:paraId="28EAC793" w14:textId="7DDEFA4F" w:rsidR="00505F06" w:rsidRPr="00BA1B01" w:rsidRDefault="00505F06" w:rsidP="00441B6F">
            <w:pPr>
              <w:pStyle w:val="Body"/>
              <w:spacing w:after="0"/>
              <w:rPr>
                <w:rFonts w:ascii="Arial" w:eastAsia="Calibri" w:hAnsi="Arial" w:cs="Arial"/>
                <w:szCs w:val="22"/>
              </w:rPr>
            </w:pPr>
          </w:p>
        </w:tc>
      </w:tr>
    </w:tbl>
    <w:p w14:paraId="110D47D9" w14:textId="77777777" w:rsidR="00636EB2" w:rsidRDefault="00636EB2" w:rsidP="00441B6F">
      <w:pPr>
        <w:pStyle w:val="Body"/>
        <w:spacing w:after="0"/>
        <w:rPr>
          <w:rFonts w:ascii="Arial" w:hAnsi="Arial" w:cs="Arial"/>
          <w:i/>
        </w:rPr>
      </w:pPr>
    </w:p>
    <w:p w14:paraId="12D99EB9" w14:textId="77777777" w:rsidR="00013EA3" w:rsidRDefault="00CD76C6" w:rsidP="005B12D9">
      <w:pPr>
        <w:pStyle w:val="Body"/>
        <w:rPr>
          <w:rFonts w:ascii="Arial" w:hAnsi="Arial" w:cs="Arial"/>
          <w:b/>
          <w:caps/>
          <w:sz w:val="22"/>
        </w:rPr>
      </w:pPr>
      <w:r w:rsidRPr="00CD76C6">
        <w:rPr>
          <w:rFonts w:asciiTheme="minorBidi" w:hAnsiTheme="minorBidi" w:cstheme="minorBidi"/>
          <w:i/>
          <w:iCs/>
        </w:rPr>
        <w:t>Keywords: Antimicrobial resistance, case report, Listeria monocytogenes, meningitis, and diabetes mellitus</w:t>
      </w:r>
      <w:r w:rsidRPr="00E8560A">
        <w:rPr>
          <w:rFonts w:ascii="Arial" w:hAnsi="Arial" w:cs="Arial"/>
          <w:b/>
          <w:caps/>
          <w:sz w:val="22"/>
        </w:rPr>
        <w:t xml:space="preserve"> </w:t>
      </w:r>
    </w:p>
    <w:p w14:paraId="1AD1C399" w14:textId="4D64107E" w:rsidR="00E8560A" w:rsidRPr="00E8560A" w:rsidRDefault="00E8560A" w:rsidP="005B12D9">
      <w:pPr>
        <w:pStyle w:val="Body"/>
        <w:rPr>
          <w:rFonts w:ascii="Arial" w:hAnsi="Arial" w:cs="Arial"/>
          <w:b/>
          <w:caps/>
          <w:sz w:val="22"/>
        </w:rPr>
      </w:pPr>
      <w:r w:rsidRPr="00E8560A">
        <w:rPr>
          <w:rFonts w:ascii="Arial" w:hAnsi="Arial" w:cs="Arial"/>
          <w:b/>
          <w:caps/>
          <w:sz w:val="22"/>
        </w:rPr>
        <w:t xml:space="preserve">INTRODUCTION </w:t>
      </w:r>
    </w:p>
    <w:p w14:paraId="57B4CD9E" w14:textId="77777777" w:rsidR="00A044CF" w:rsidRPr="00635FEB" w:rsidRDefault="00A044CF" w:rsidP="00A044CF">
      <w:pPr>
        <w:spacing w:line="276" w:lineRule="auto"/>
        <w:jc w:val="both"/>
        <w:rPr>
          <w:rFonts w:asciiTheme="minorBidi" w:hAnsiTheme="minorBidi" w:cstheme="minorBidi"/>
          <w:rtl/>
        </w:rPr>
      </w:pPr>
      <w:r w:rsidRPr="00635FEB">
        <w:rPr>
          <w:rFonts w:asciiTheme="minorBidi" w:hAnsiTheme="minorBidi" w:cstheme="minorBidi"/>
        </w:rPr>
        <w:t xml:space="preserve">Listeria monocytogenes is a Gram-positive, facultative intracellular pathogen that is capable of invading and replicating host cells, which allows it to spread systemically and infect the central nervous system (CNS) (Lorber, 2020; </w:t>
      </w:r>
      <w:proofErr w:type="spellStart"/>
      <w:r w:rsidRPr="00635FEB">
        <w:rPr>
          <w:rFonts w:asciiTheme="minorBidi" w:hAnsiTheme="minorBidi" w:cstheme="minorBidi"/>
        </w:rPr>
        <w:t>Radoshevich</w:t>
      </w:r>
      <w:proofErr w:type="spellEnd"/>
      <w:r w:rsidRPr="00635FEB">
        <w:rPr>
          <w:rFonts w:asciiTheme="minorBidi" w:hAnsiTheme="minorBidi" w:cstheme="minorBidi"/>
        </w:rPr>
        <w:t xml:space="preserve"> and </w:t>
      </w:r>
      <w:proofErr w:type="spellStart"/>
      <w:r w:rsidRPr="00635FEB">
        <w:rPr>
          <w:rFonts w:asciiTheme="minorBidi" w:hAnsiTheme="minorBidi" w:cstheme="minorBidi"/>
        </w:rPr>
        <w:t>Cossart</w:t>
      </w:r>
      <w:proofErr w:type="spellEnd"/>
      <w:r w:rsidRPr="00635FEB">
        <w:rPr>
          <w:rFonts w:asciiTheme="minorBidi" w:hAnsiTheme="minorBidi" w:cstheme="minorBidi"/>
        </w:rPr>
        <w:t xml:space="preserve">, 2018). Even though it is rather uncommon, Listeria meningitis is deadly in adults at 20 to 30 percent and is especially fatal in infants, pregnant women, and immunocompromised people, such as those with diabetes mellitus (Charlier et al., 2017; de </w:t>
      </w:r>
      <w:proofErr w:type="spellStart"/>
      <w:r w:rsidRPr="00635FEB">
        <w:rPr>
          <w:rFonts w:asciiTheme="minorBidi" w:hAnsiTheme="minorBidi" w:cstheme="minorBidi"/>
        </w:rPr>
        <w:t>Noordhout</w:t>
      </w:r>
      <w:proofErr w:type="spellEnd"/>
      <w:r w:rsidRPr="00635FEB">
        <w:rPr>
          <w:rFonts w:asciiTheme="minorBidi" w:hAnsiTheme="minorBidi" w:cstheme="minorBidi"/>
        </w:rPr>
        <w:t xml:space="preserve"> et al., 2014)</w:t>
      </w:r>
      <w:r w:rsidRPr="00635FEB">
        <w:rPr>
          <w:rFonts w:asciiTheme="minorBidi" w:hAnsiTheme="minorBidi" w:cstheme="minorBidi"/>
          <w:rtl/>
        </w:rPr>
        <w:t>.</w:t>
      </w:r>
    </w:p>
    <w:p w14:paraId="4E410D46" w14:textId="77777777" w:rsidR="00A044CF" w:rsidRPr="00635FEB" w:rsidRDefault="00A044CF" w:rsidP="00A044CF">
      <w:pPr>
        <w:spacing w:line="276" w:lineRule="auto"/>
        <w:jc w:val="both"/>
        <w:rPr>
          <w:rFonts w:asciiTheme="minorBidi" w:hAnsiTheme="minorBidi" w:cstheme="minorBidi"/>
          <w:rtl/>
        </w:rPr>
      </w:pPr>
      <w:r w:rsidRPr="00635FEB">
        <w:rPr>
          <w:rFonts w:asciiTheme="minorBidi" w:hAnsiTheme="minorBidi" w:cstheme="minorBidi"/>
        </w:rPr>
        <w:t>It is generally foodborne with contaminated dairy items, soft cheeses, or ready-to-eat meat being a common cause; nonetheless, cases of no apparent exposure and consequent sporadic infection are reported (</w:t>
      </w:r>
      <w:proofErr w:type="spellStart"/>
      <w:r w:rsidRPr="00635FEB">
        <w:rPr>
          <w:rFonts w:asciiTheme="minorBidi" w:hAnsiTheme="minorBidi" w:cstheme="minorBidi"/>
        </w:rPr>
        <w:t>Allerberger</w:t>
      </w:r>
      <w:proofErr w:type="spellEnd"/>
      <w:r w:rsidRPr="00635FEB">
        <w:rPr>
          <w:rFonts w:asciiTheme="minorBidi" w:hAnsiTheme="minorBidi" w:cstheme="minorBidi"/>
        </w:rPr>
        <w:t xml:space="preserve"> and Wagner, 2010; Jordan et al., 2023). Diabetes mellitus impairs cell-mediated immunity, depletes macrophage and neutrophil activation, and makes cells more vulnerable to intracellular pathogens such as L. monocytogenes (Farber &amp; Peterkin, 1991; Jeffers et al., 2019)</w:t>
      </w:r>
      <w:r w:rsidRPr="00635FEB">
        <w:rPr>
          <w:rFonts w:asciiTheme="minorBidi" w:hAnsiTheme="minorBidi" w:cstheme="minorBidi"/>
          <w:rtl/>
        </w:rPr>
        <w:t>.</w:t>
      </w:r>
    </w:p>
    <w:p w14:paraId="30A71F55" w14:textId="77777777" w:rsidR="00A044CF" w:rsidRPr="00635FEB" w:rsidRDefault="00A044CF" w:rsidP="00A044CF">
      <w:pPr>
        <w:spacing w:line="276" w:lineRule="auto"/>
        <w:jc w:val="both"/>
        <w:rPr>
          <w:rFonts w:asciiTheme="minorBidi" w:hAnsiTheme="minorBidi" w:cstheme="minorBidi"/>
          <w:rtl/>
        </w:rPr>
      </w:pPr>
      <w:r w:rsidRPr="00635FEB">
        <w:rPr>
          <w:rFonts w:asciiTheme="minorBidi" w:hAnsiTheme="minorBidi" w:cstheme="minorBidi"/>
        </w:rPr>
        <w:t xml:space="preserve">It has a non-characteristic clinical presentation that makes its diagnosis difficult. In contrast to traditional pyogenic meningitis due to Streptococcus pneumoniae or Neisseria meningitidis, Listeria meningitis is normally subacute with fever, a headache, and confusion as opposed to fulminant manifestation. The morphology on gram-stain is often misleading and indicates small pleomorphic coccobacilli or short rods (Temple &amp; </w:t>
      </w:r>
      <w:proofErr w:type="spellStart"/>
      <w:r w:rsidRPr="00635FEB">
        <w:rPr>
          <w:rFonts w:asciiTheme="minorBidi" w:hAnsiTheme="minorBidi" w:cstheme="minorBidi"/>
        </w:rPr>
        <w:t>Nahata</w:t>
      </w:r>
      <w:proofErr w:type="spellEnd"/>
      <w:r w:rsidRPr="00635FEB">
        <w:rPr>
          <w:rFonts w:asciiTheme="minorBidi" w:hAnsiTheme="minorBidi" w:cstheme="minorBidi"/>
        </w:rPr>
        <w:t xml:space="preserve">, 2000; Brouwer et al., 2006). Late or inappropriate empirical therapy, especially use of third-generation </w:t>
      </w:r>
      <w:proofErr w:type="spellStart"/>
      <w:r w:rsidRPr="00635FEB">
        <w:rPr>
          <w:rFonts w:asciiTheme="minorBidi" w:hAnsiTheme="minorBidi" w:cstheme="minorBidi"/>
        </w:rPr>
        <w:t>cephalospin</w:t>
      </w:r>
      <w:proofErr w:type="spellEnd"/>
      <w:r w:rsidRPr="00635FEB">
        <w:rPr>
          <w:rFonts w:asciiTheme="minorBidi" w:hAnsiTheme="minorBidi" w:cstheme="minorBidi"/>
        </w:rPr>
        <w:t>, may greatly contribute towards morbidity and mortality</w:t>
      </w:r>
      <w:r w:rsidRPr="00635FEB">
        <w:rPr>
          <w:rFonts w:asciiTheme="minorBidi" w:hAnsiTheme="minorBidi" w:cstheme="minorBidi"/>
          <w:rtl/>
        </w:rPr>
        <w:t>.</w:t>
      </w:r>
    </w:p>
    <w:p w14:paraId="2A252266" w14:textId="1669BEBF" w:rsidR="00E8560A" w:rsidRPr="00E8560A" w:rsidRDefault="00A044CF" w:rsidP="00A044CF">
      <w:pPr>
        <w:pStyle w:val="Body"/>
        <w:spacing w:line="276" w:lineRule="auto"/>
        <w:rPr>
          <w:rFonts w:ascii="Arial" w:hAnsi="Arial" w:cs="Arial"/>
          <w:b/>
          <w:caps/>
          <w:sz w:val="22"/>
        </w:rPr>
      </w:pPr>
      <w:r w:rsidRPr="00635FEB">
        <w:rPr>
          <w:rFonts w:asciiTheme="minorBidi" w:hAnsiTheme="minorBidi" w:cstheme="minorBidi"/>
        </w:rPr>
        <w:t>The presented case report describes the clinical progression of Listeria meningitis in an older diabetic patient and presents a literature review of the pathogenesis, diagnosis, selection, and prognosis</w:t>
      </w:r>
    </w:p>
    <w:p w14:paraId="6DA5661D" w14:textId="77777777" w:rsidR="00E8560A" w:rsidRPr="00E8560A" w:rsidRDefault="00E8560A" w:rsidP="00E8560A">
      <w:pPr>
        <w:pStyle w:val="Body"/>
        <w:rPr>
          <w:rFonts w:ascii="Arial" w:hAnsi="Arial" w:cs="Arial"/>
          <w:b/>
          <w:caps/>
          <w:sz w:val="22"/>
        </w:rPr>
      </w:pPr>
      <w:r w:rsidRPr="00E8560A">
        <w:rPr>
          <w:rFonts w:ascii="Arial" w:hAnsi="Arial" w:cs="Arial"/>
          <w:b/>
          <w:caps/>
          <w:sz w:val="22"/>
        </w:rPr>
        <w:lastRenderedPageBreak/>
        <w:t>CASE PRESENTATION</w:t>
      </w:r>
    </w:p>
    <w:p w14:paraId="76F1BF20" w14:textId="1566D4D9" w:rsidR="00132A09" w:rsidRPr="00132A09" w:rsidRDefault="00132A09" w:rsidP="00153377">
      <w:pPr>
        <w:pStyle w:val="Body"/>
        <w:rPr>
          <w:rFonts w:ascii="Arial" w:hAnsi="Arial" w:cs="Arial"/>
          <w:bCs/>
          <w:szCs w:val="18"/>
          <w:rtl/>
        </w:rPr>
      </w:pPr>
      <w:r w:rsidRPr="00132A09">
        <w:rPr>
          <w:rFonts w:ascii="Arial" w:hAnsi="Arial" w:cs="Arial"/>
          <w:bCs/>
          <w:szCs w:val="18"/>
        </w:rPr>
        <w:t>The patient is a 71-year-old male with a history of type 2 diabetes mellitus of 12 years old with three days of fever, gradual confusion, headache, and vomiting. According to family members, their patient experienced lethargy, problems distinguishing familiar faces, and some mild gait instability. He refuted recent travel, contact with animals or ingestion of unpasteurized milk or soft cheeses</w:t>
      </w:r>
      <w:r w:rsidRPr="00132A09">
        <w:rPr>
          <w:rFonts w:ascii="Arial" w:hAnsi="Arial" w:cs="Arial"/>
          <w:bCs/>
          <w:szCs w:val="18"/>
          <w:rtl/>
        </w:rPr>
        <w:t>.</w:t>
      </w:r>
    </w:p>
    <w:p w14:paraId="333E240A" w14:textId="77777777" w:rsidR="00132A09" w:rsidRPr="00153377" w:rsidRDefault="00132A09" w:rsidP="00132A09">
      <w:pPr>
        <w:pStyle w:val="Body"/>
        <w:rPr>
          <w:rFonts w:ascii="Arial" w:hAnsi="Arial" w:cs="Arial"/>
          <w:b/>
          <w:sz w:val="22"/>
          <w:szCs w:val="22"/>
        </w:rPr>
      </w:pPr>
      <w:r w:rsidRPr="00153377">
        <w:rPr>
          <w:rFonts w:ascii="Arial" w:hAnsi="Arial" w:cs="Arial"/>
          <w:b/>
          <w:sz w:val="22"/>
          <w:szCs w:val="22"/>
        </w:rPr>
        <w:t>Clinical Examination</w:t>
      </w:r>
      <w:r w:rsidRPr="00153377">
        <w:rPr>
          <w:rFonts w:ascii="Arial" w:hAnsi="Arial" w:cs="Arial"/>
          <w:b/>
          <w:sz w:val="22"/>
          <w:szCs w:val="22"/>
          <w:rtl/>
        </w:rPr>
        <w:t>:</w:t>
      </w:r>
    </w:p>
    <w:p w14:paraId="06CD24F2" w14:textId="5A6A3124" w:rsidR="00132A09" w:rsidRPr="00132A09" w:rsidRDefault="00132A09" w:rsidP="00153377">
      <w:pPr>
        <w:pStyle w:val="Body"/>
        <w:rPr>
          <w:rFonts w:ascii="Arial" w:hAnsi="Arial" w:cs="Arial"/>
          <w:bCs/>
          <w:szCs w:val="18"/>
          <w:rtl/>
        </w:rPr>
      </w:pPr>
      <w:r w:rsidRPr="00132A09">
        <w:rPr>
          <w:rFonts w:ascii="Arial" w:hAnsi="Arial" w:cs="Arial"/>
          <w:bCs/>
          <w:szCs w:val="18"/>
        </w:rPr>
        <w:t>Vital signs on admission included: temperature 38.9degC, pulse 104 bpm, blood pressure 140/90 mmHg, and the respiratory rate at 22/min. The neurologic examination was characterized by stiffness of the neck, positive Kernig’s and Brudzinski signs, and the Glasgow Coma Scale of 13/15. Cardiopulmonary and abdominal physical examinations were insignificant</w:t>
      </w:r>
      <w:r w:rsidRPr="00132A09">
        <w:rPr>
          <w:rFonts w:ascii="Arial" w:hAnsi="Arial" w:cs="Arial"/>
          <w:bCs/>
          <w:szCs w:val="18"/>
          <w:rtl/>
        </w:rPr>
        <w:t>.</w:t>
      </w:r>
    </w:p>
    <w:p w14:paraId="6848C095" w14:textId="49A6EBC7" w:rsidR="00132A09" w:rsidRPr="00153377" w:rsidRDefault="00132A09" w:rsidP="00153377">
      <w:pPr>
        <w:pStyle w:val="Body"/>
        <w:rPr>
          <w:rFonts w:ascii="Arial" w:hAnsi="Arial" w:cs="Arial"/>
          <w:b/>
          <w:sz w:val="22"/>
          <w:szCs w:val="22"/>
          <w:rtl/>
        </w:rPr>
      </w:pPr>
      <w:r w:rsidRPr="00153377">
        <w:rPr>
          <w:rFonts w:ascii="Arial" w:hAnsi="Arial" w:cs="Arial"/>
          <w:b/>
          <w:sz w:val="22"/>
          <w:szCs w:val="22"/>
        </w:rPr>
        <w:t>Laboratory Findings</w:t>
      </w:r>
      <w:r w:rsidRPr="00153377">
        <w:rPr>
          <w:rFonts w:ascii="Arial" w:hAnsi="Arial" w:cs="Arial"/>
          <w:b/>
          <w:sz w:val="22"/>
          <w:szCs w:val="22"/>
          <w:rtl/>
        </w:rPr>
        <w:t>:</w:t>
      </w:r>
    </w:p>
    <w:p w14:paraId="0A68A806" w14:textId="01BD6CBD" w:rsidR="00132A09" w:rsidRPr="00132A09" w:rsidRDefault="00132A09" w:rsidP="00153377">
      <w:pPr>
        <w:pStyle w:val="Body"/>
        <w:rPr>
          <w:rFonts w:ascii="Arial" w:hAnsi="Arial" w:cs="Arial"/>
          <w:bCs/>
          <w:szCs w:val="18"/>
          <w:rtl/>
        </w:rPr>
      </w:pPr>
      <w:r w:rsidRPr="00E22CB7">
        <w:rPr>
          <w:rFonts w:ascii="Arial" w:hAnsi="Arial" w:cs="Arial"/>
          <w:b/>
          <w:szCs w:val="18"/>
        </w:rPr>
        <w:t>WBC</w:t>
      </w:r>
      <w:r w:rsidR="00E22CB7">
        <w:rPr>
          <w:rFonts w:ascii="Arial" w:hAnsi="Arial" w:cs="Arial"/>
          <w:bCs/>
          <w:szCs w:val="18"/>
        </w:rPr>
        <w:t>:</w:t>
      </w:r>
      <w:r w:rsidRPr="00132A09">
        <w:rPr>
          <w:rFonts w:ascii="Arial" w:hAnsi="Arial" w:cs="Arial"/>
          <w:bCs/>
          <w:szCs w:val="18"/>
        </w:rPr>
        <w:t xml:space="preserve"> 14.8 x 10^9/L (neutrophils 89%)</w:t>
      </w:r>
    </w:p>
    <w:p w14:paraId="3AF8079A" w14:textId="76C91B50" w:rsidR="00132A09" w:rsidRPr="00132A09" w:rsidRDefault="00132A09" w:rsidP="00153377">
      <w:pPr>
        <w:pStyle w:val="Body"/>
        <w:rPr>
          <w:rFonts w:ascii="Arial" w:hAnsi="Arial" w:cs="Arial"/>
          <w:bCs/>
          <w:szCs w:val="18"/>
          <w:rtl/>
        </w:rPr>
      </w:pPr>
      <w:r w:rsidRPr="00E22CB7">
        <w:rPr>
          <w:rFonts w:ascii="Arial" w:hAnsi="Arial" w:cs="Arial"/>
          <w:b/>
          <w:szCs w:val="18"/>
        </w:rPr>
        <w:t>C-reactive protein</w:t>
      </w:r>
      <w:r w:rsidR="00E22CB7">
        <w:rPr>
          <w:rFonts w:ascii="Arial" w:hAnsi="Arial" w:cs="Arial"/>
          <w:bCs/>
          <w:szCs w:val="18"/>
        </w:rPr>
        <w:t>:</w:t>
      </w:r>
      <w:r w:rsidRPr="00132A09">
        <w:rPr>
          <w:rFonts w:ascii="Arial" w:hAnsi="Arial" w:cs="Arial"/>
          <w:bCs/>
          <w:szCs w:val="18"/>
        </w:rPr>
        <w:t xml:space="preserve"> 88 mg/L</w:t>
      </w:r>
    </w:p>
    <w:p w14:paraId="6E9690F7" w14:textId="5E4D5E72" w:rsidR="00132A09" w:rsidRPr="00132A09" w:rsidRDefault="00132A09" w:rsidP="00153377">
      <w:pPr>
        <w:pStyle w:val="Body"/>
        <w:rPr>
          <w:rFonts w:ascii="Arial" w:hAnsi="Arial" w:cs="Arial"/>
          <w:bCs/>
          <w:szCs w:val="18"/>
          <w:rtl/>
        </w:rPr>
      </w:pPr>
      <w:r w:rsidRPr="00E22CB7">
        <w:rPr>
          <w:rFonts w:ascii="Arial" w:hAnsi="Arial" w:cs="Arial"/>
          <w:b/>
          <w:szCs w:val="18"/>
        </w:rPr>
        <w:t>Random blood glucose</w:t>
      </w:r>
      <w:r w:rsidR="00E22CB7">
        <w:rPr>
          <w:rFonts w:ascii="Arial" w:hAnsi="Arial" w:cs="Arial"/>
          <w:bCs/>
          <w:szCs w:val="18"/>
        </w:rPr>
        <w:t>:</w:t>
      </w:r>
      <w:r w:rsidRPr="00132A09">
        <w:rPr>
          <w:rFonts w:ascii="Arial" w:hAnsi="Arial" w:cs="Arial"/>
          <w:bCs/>
          <w:szCs w:val="18"/>
        </w:rPr>
        <w:t xml:space="preserve"> 282 mg/dL</w:t>
      </w:r>
    </w:p>
    <w:p w14:paraId="548B929F" w14:textId="7298748F" w:rsidR="00132A09" w:rsidRPr="00132A09" w:rsidRDefault="00132A09" w:rsidP="00153377">
      <w:pPr>
        <w:pStyle w:val="Body"/>
        <w:rPr>
          <w:rFonts w:ascii="Arial" w:hAnsi="Arial" w:cs="Arial"/>
          <w:bCs/>
          <w:szCs w:val="18"/>
          <w:rtl/>
        </w:rPr>
      </w:pPr>
      <w:r w:rsidRPr="00E22CB7">
        <w:rPr>
          <w:rFonts w:ascii="Arial" w:hAnsi="Arial" w:cs="Arial"/>
          <w:b/>
          <w:szCs w:val="18"/>
        </w:rPr>
        <w:t>HbA1c</w:t>
      </w:r>
      <w:r w:rsidR="00E22CB7">
        <w:rPr>
          <w:rFonts w:ascii="Arial" w:hAnsi="Arial" w:cs="Arial"/>
          <w:bCs/>
          <w:szCs w:val="18"/>
        </w:rPr>
        <w:t>:</w:t>
      </w:r>
      <w:r w:rsidRPr="00132A09">
        <w:rPr>
          <w:rFonts w:ascii="Arial" w:hAnsi="Arial" w:cs="Arial"/>
          <w:bCs/>
          <w:szCs w:val="18"/>
        </w:rPr>
        <w:t xml:space="preserve"> 8.7%</w:t>
      </w:r>
    </w:p>
    <w:p w14:paraId="477B12F7" w14:textId="7F29730A" w:rsidR="00132A09" w:rsidRPr="00132A09" w:rsidRDefault="00132A09" w:rsidP="00153377">
      <w:pPr>
        <w:pStyle w:val="Body"/>
        <w:rPr>
          <w:rFonts w:ascii="Arial" w:hAnsi="Arial" w:cs="Arial"/>
          <w:bCs/>
          <w:szCs w:val="18"/>
          <w:rtl/>
        </w:rPr>
      </w:pPr>
      <w:r w:rsidRPr="00E22CB7">
        <w:rPr>
          <w:rFonts w:ascii="Arial" w:hAnsi="Arial" w:cs="Arial"/>
          <w:b/>
          <w:szCs w:val="18"/>
        </w:rPr>
        <w:t>HIV and syphilis</w:t>
      </w:r>
      <w:r w:rsidR="00E22CB7">
        <w:rPr>
          <w:rFonts w:ascii="Arial" w:hAnsi="Arial" w:cs="Arial"/>
          <w:bCs/>
          <w:szCs w:val="18"/>
        </w:rPr>
        <w:t>:</w:t>
      </w:r>
      <w:r w:rsidRPr="00132A09">
        <w:rPr>
          <w:rFonts w:ascii="Arial" w:hAnsi="Arial" w:cs="Arial"/>
          <w:bCs/>
          <w:szCs w:val="18"/>
        </w:rPr>
        <w:t xml:space="preserve"> </w:t>
      </w:r>
      <w:r w:rsidR="00E22CB7">
        <w:rPr>
          <w:rFonts w:ascii="Arial" w:hAnsi="Arial" w:cs="Arial"/>
          <w:bCs/>
          <w:szCs w:val="18"/>
        </w:rPr>
        <w:t>N</w:t>
      </w:r>
      <w:r w:rsidRPr="00132A09">
        <w:rPr>
          <w:rFonts w:ascii="Arial" w:hAnsi="Arial" w:cs="Arial"/>
          <w:bCs/>
          <w:szCs w:val="18"/>
        </w:rPr>
        <w:t>egative</w:t>
      </w:r>
      <w:r w:rsidRPr="00132A09">
        <w:rPr>
          <w:rFonts w:ascii="Arial" w:hAnsi="Arial" w:cs="Arial"/>
          <w:bCs/>
          <w:szCs w:val="18"/>
          <w:rtl/>
        </w:rPr>
        <w:t>.</w:t>
      </w:r>
    </w:p>
    <w:p w14:paraId="4D5DB92F" w14:textId="7720D1B1" w:rsidR="00132A09" w:rsidRPr="00132A09" w:rsidRDefault="00132A09" w:rsidP="00153377">
      <w:pPr>
        <w:pStyle w:val="Body"/>
        <w:rPr>
          <w:rFonts w:ascii="Arial" w:hAnsi="Arial" w:cs="Arial"/>
          <w:bCs/>
          <w:szCs w:val="18"/>
          <w:rtl/>
        </w:rPr>
      </w:pPr>
      <w:r w:rsidRPr="00E22CB7">
        <w:rPr>
          <w:rFonts w:ascii="Arial" w:hAnsi="Arial" w:cs="Arial"/>
          <w:b/>
          <w:szCs w:val="18"/>
        </w:rPr>
        <w:t>Renal and hepatic function</w:t>
      </w:r>
      <w:r w:rsidR="00E22CB7">
        <w:rPr>
          <w:rFonts w:ascii="Arial" w:hAnsi="Arial" w:cs="Arial"/>
          <w:bCs/>
          <w:szCs w:val="18"/>
        </w:rPr>
        <w:t>:</w:t>
      </w:r>
      <w:r w:rsidRPr="00132A09">
        <w:rPr>
          <w:rFonts w:ascii="Arial" w:hAnsi="Arial" w:cs="Arial"/>
          <w:bCs/>
          <w:szCs w:val="18"/>
        </w:rPr>
        <w:t xml:space="preserve"> </w:t>
      </w:r>
      <w:r w:rsidR="00E22CB7">
        <w:rPr>
          <w:rFonts w:ascii="Arial" w:hAnsi="Arial" w:cs="Arial"/>
          <w:bCs/>
          <w:szCs w:val="18"/>
        </w:rPr>
        <w:t>N</w:t>
      </w:r>
      <w:r w:rsidRPr="00132A09">
        <w:rPr>
          <w:rFonts w:ascii="Arial" w:hAnsi="Arial" w:cs="Arial"/>
          <w:bCs/>
          <w:szCs w:val="18"/>
        </w:rPr>
        <w:t>ormal</w:t>
      </w:r>
      <w:r w:rsidRPr="00132A09">
        <w:rPr>
          <w:rFonts w:ascii="Arial" w:hAnsi="Arial" w:cs="Arial"/>
          <w:bCs/>
          <w:szCs w:val="18"/>
          <w:rtl/>
        </w:rPr>
        <w:t>.</w:t>
      </w:r>
    </w:p>
    <w:p w14:paraId="1F9622AF" w14:textId="77777777" w:rsidR="00132A09" w:rsidRPr="00132A09" w:rsidRDefault="00132A09" w:rsidP="00132A09">
      <w:pPr>
        <w:pStyle w:val="Body"/>
        <w:rPr>
          <w:rFonts w:ascii="Arial" w:hAnsi="Arial" w:cs="Arial"/>
          <w:bCs/>
          <w:szCs w:val="18"/>
        </w:rPr>
      </w:pPr>
      <w:r w:rsidRPr="00E22CB7">
        <w:rPr>
          <w:rFonts w:ascii="Arial" w:hAnsi="Arial" w:cs="Arial"/>
          <w:b/>
          <w:szCs w:val="18"/>
        </w:rPr>
        <w:t>Cerebrospinal Fluid:</w:t>
      </w:r>
      <w:r w:rsidRPr="00132A09">
        <w:rPr>
          <w:rFonts w:ascii="Arial" w:hAnsi="Arial" w:cs="Arial"/>
          <w:bCs/>
          <w:szCs w:val="18"/>
        </w:rPr>
        <w:t xml:space="preserve"> Normal</w:t>
      </w:r>
      <w:r w:rsidRPr="00132A09">
        <w:rPr>
          <w:rFonts w:ascii="Arial" w:hAnsi="Arial" w:cs="Arial"/>
          <w:bCs/>
          <w:szCs w:val="18"/>
          <w:rtl/>
        </w:rPr>
        <w:t>.</w:t>
      </w:r>
    </w:p>
    <w:p w14:paraId="41950CCF" w14:textId="5B9B081B" w:rsidR="00132A09" w:rsidRPr="00E22CB7" w:rsidRDefault="00132A09" w:rsidP="00153377">
      <w:pPr>
        <w:pStyle w:val="Body"/>
        <w:rPr>
          <w:rFonts w:ascii="Arial" w:hAnsi="Arial" w:cs="Arial"/>
          <w:b/>
          <w:sz w:val="22"/>
          <w:szCs w:val="22"/>
          <w:rtl/>
        </w:rPr>
      </w:pPr>
      <w:r w:rsidRPr="00E22CB7">
        <w:rPr>
          <w:rFonts w:ascii="Arial" w:hAnsi="Arial" w:cs="Arial"/>
          <w:b/>
          <w:sz w:val="22"/>
          <w:szCs w:val="22"/>
        </w:rPr>
        <w:t>Lumbar puncture showed turbid CSF with</w:t>
      </w:r>
      <w:r w:rsidRPr="00E22CB7">
        <w:rPr>
          <w:rFonts w:ascii="Arial" w:hAnsi="Arial" w:cs="Arial"/>
          <w:b/>
          <w:sz w:val="22"/>
          <w:szCs w:val="22"/>
          <w:rtl/>
        </w:rPr>
        <w:t>:</w:t>
      </w:r>
    </w:p>
    <w:p w14:paraId="780F0AE8" w14:textId="45360549" w:rsidR="00132A09" w:rsidRPr="00132A09" w:rsidRDefault="00132A09" w:rsidP="00153377">
      <w:pPr>
        <w:pStyle w:val="Body"/>
        <w:rPr>
          <w:rFonts w:ascii="Arial" w:hAnsi="Arial" w:cs="Arial"/>
          <w:bCs/>
          <w:szCs w:val="18"/>
          <w:rtl/>
        </w:rPr>
      </w:pPr>
      <w:r w:rsidRPr="00132A09">
        <w:rPr>
          <w:rFonts w:ascii="Arial" w:hAnsi="Arial" w:cs="Arial"/>
          <w:bCs/>
          <w:szCs w:val="18"/>
        </w:rPr>
        <w:t>WBC 420/mm^3 (70% lymphocytes)</w:t>
      </w:r>
    </w:p>
    <w:p w14:paraId="6597823E" w14:textId="5929504B" w:rsidR="00132A09" w:rsidRPr="00132A09" w:rsidRDefault="00132A09" w:rsidP="00153377">
      <w:pPr>
        <w:pStyle w:val="Body"/>
        <w:rPr>
          <w:rFonts w:ascii="Arial" w:hAnsi="Arial" w:cs="Arial"/>
          <w:bCs/>
          <w:szCs w:val="18"/>
          <w:rtl/>
        </w:rPr>
      </w:pPr>
      <w:r w:rsidRPr="00132A09">
        <w:rPr>
          <w:rFonts w:ascii="Arial" w:hAnsi="Arial" w:cs="Arial"/>
          <w:bCs/>
          <w:szCs w:val="18"/>
        </w:rPr>
        <w:t>Protein 234 mg/dL</w:t>
      </w:r>
    </w:p>
    <w:p w14:paraId="006C6B8E" w14:textId="77777777" w:rsidR="00132A09" w:rsidRPr="00132A09" w:rsidRDefault="00132A09" w:rsidP="00132A09">
      <w:pPr>
        <w:pStyle w:val="Body"/>
        <w:rPr>
          <w:rFonts w:ascii="Arial" w:hAnsi="Arial" w:cs="Arial"/>
          <w:bCs/>
          <w:szCs w:val="18"/>
        </w:rPr>
      </w:pPr>
      <w:r w:rsidRPr="00132A09">
        <w:rPr>
          <w:rFonts w:ascii="Arial" w:hAnsi="Arial" w:cs="Arial"/>
          <w:bCs/>
          <w:szCs w:val="18"/>
        </w:rPr>
        <w:t>Glucose 24 mg/dl (serum glucose 130 mg/dl)</w:t>
      </w:r>
    </w:p>
    <w:p w14:paraId="356119A7" w14:textId="2B7D31B4" w:rsidR="00132A09" w:rsidRPr="00132A09" w:rsidRDefault="00132A09" w:rsidP="00153377">
      <w:pPr>
        <w:pStyle w:val="Body"/>
        <w:rPr>
          <w:rFonts w:ascii="Arial" w:hAnsi="Arial" w:cs="Arial"/>
          <w:bCs/>
          <w:szCs w:val="18"/>
          <w:rtl/>
        </w:rPr>
      </w:pPr>
      <w:r w:rsidRPr="00132A09">
        <w:rPr>
          <w:rFonts w:ascii="Arial" w:hAnsi="Arial" w:cs="Arial"/>
          <w:bCs/>
          <w:szCs w:val="18"/>
        </w:rPr>
        <w:t xml:space="preserve">Gram staining revealed small </w:t>
      </w:r>
      <w:proofErr w:type="gramStart"/>
      <w:r w:rsidRPr="00132A09">
        <w:rPr>
          <w:rFonts w:ascii="Arial" w:hAnsi="Arial" w:cs="Arial"/>
          <w:bCs/>
          <w:szCs w:val="18"/>
        </w:rPr>
        <w:t xml:space="preserve">Gram </w:t>
      </w:r>
      <w:r w:rsidR="00621659">
        <w:rPr>
          <w:rFonts w:ascii="Arial" w:hAnsi="Arial" w:cs="Arial"/>
          <w:bCs/>
          <w:szCs w:val="18"/>
        </w:rPr>
        <w:t>P</w:t>
      </w:r>
      <w:r w:rsidRPr="00132A09">
        <w:rPr>
          <w:rFonts w:ascii="Arial" w:hAnsi="Arial" w:cs="Arial"/>
          <w:bCs/>
          <w:szCs w:val="18"/>
        </w:rPr>
        <w:t>ositive</w:t>
      </w:r>
      <w:proofErr w:type="gramEnd"/>
      <w:r w:rsidRPr="00132A09">
        <w:rPr>
          <w:rFonts w:ascii="Arial" w:hAnsi="Arial" w:cs="Arial"/>
          <w:bCs/>
          <w:szCs w:val="18"/>
        </w:rPr>
        <w:t xml:space="preserve"> coccobacilli</w:t>
      </w:r>
      <w:r w:rsidRPr="00132A09">
        <w:rPr>
          <w:rFonts w:ascii="Arial" w:hAnsi="Arial" w:cs="Arial"/>
          <w:bCs/>
          <w:szCs w:val="18"/>
          <w:rtl/>
        </w:rPr>
        <w:t>.</w:t>
      </w:r>
    </w:p>
    <w:p w14:paraId="6921EA91" w14:textId="77777777" w:rsidR="00132A09" w:rsidRPr="00153377" w:rsidRDefault="00132A09" w:rsidP="00132A09">
      <w:pPr>
        <w:pStyle w:val="Body"/>
        <w:rPr>
          <w:rFonts w:ascii="Arial" w:hAnsi="Arial" w:cs="Arial"/>
          <w:b/>
          <w:sz w:val="22"/>
          <w:szCs w:val="22"/>
        </w:rPr>
      </w:pPr>
      <w:r w:rsidRPr="00153377">
        <w:rPr>
          <w:rFonts w:ascii="Arial" w:hAnsi="Arial" w:cs="Arial"/>
          <w:b/>
          <w:sz w:val="22"/>
          <w:szCs w:val="22"/>
        </w:rPr>
        <w:t>Microbiological Findings</w:t>
      </w:r>
      <w:r w:rsidRPr="00153377">
        <w:rPr>
          <w:rFonts w:ascii="Arial" w:hAnsi="Arial" w:cs="Arial"/>
          <w:b/>
          <w:sz w:val="22"/>
          <w:szCs w:val="22"/>
          <w:rtl/>
        </w:rPr>
        <w:t>:</w:t>
      </w:r>
    </w:p>
    <w:p w14:paraId="4594E5E8" w14:textId="5815D461" w:rsidR="00132A09" w:rsidRPr="00132A09" w:rsidRDefault="00132A09" w:rsidP="00153377">
      <w:pPr>
        <w:pStyle w:val="Body"/>
        <w:rPr>
          <w:rFonts w:ascii="Arial" w:hAnsi="Arial" w:cs="Arial"/>
          <w:bCs/>
          <w:szCs w:val="18"/>
          <w:rtl/>
        </w:rPr>
      </w:pPr>
      <w:r w:rsidRPr="00132A09">
        <w:rPr>
          <w:rFonts w:ascii="Arial" w:hAnsi="Arial" w:cs="Arial"/>
          <w:bCs/>
          <w:szCs w:val="18"/>
        </w:rPr>
        <w:t>Following the 48 hours of incubation in the 5% sheep blood agar at 37degC, small grayish colonies containing narrow b-hemolysis were seen. The isolate was catalase positive, motile at 25 deg C and CAMP positive to Staphylococcus aureus streak. Listeria monocytogenes was confirmed using API Listeria biochemical test. Blood cultures were kept sterile. Susceptibility to ampicillin, penicillin G and gentamicin with resistance to tetracycline and erythromycin was demonstrated by antimicrobial susceptibility testing (E-test, CLSI M45-A3)</w:t>
      </w:r>
      <w:r w:rsidRPr="00132A09">
        <w:rPr>
          <w:rFonts w:ascii="Arial" w:hAnsi="Arial" w:cs="Arial"/>
          <w:bCs/>
          <w:szCs w:val="18"/>
          <w:rtl/>
        </w:rPr>
        <w:t>.</w:t>
      </w:r>
    </w:p>
    <w:p w14:paraId="7C44D988" w14:textId="77777777" w:rsidR="00132A09" w:rsidRPr="00153377" w:rsidRDefault="00132A09" w:rsidP="00132A09">
      <w:pPr>
        <w:pStyle w:val="Body"/>
        <w:rPr>
          <w:rFonts w:ascii="Arial" w:hAnsi="Arial" w:cs="Arial"/>
          <w:b/>
          <w:sz w:val="22"/>
          <w:szCs w:val="22"/>
        </w:rPr>
      </w:pPr>
      <w:r w:rsidRPr="00153377">
        <w:rPr>
          <w:rFonts w:ascii="Arial" w:hAnsi="Arial" w:cs="Arial"/>
          <w:b/>
          <w:sz w:val="22"/>
          <w:szCs w:val="22"/>
        </w:rPr>
        <w:t>Treatment and Outcome</w:t>
      </w:r>
      <w:r w:rsidRPr="00153377">
        <w:rPr>
          <w:rFonts w:ascii="Arial" w:hAnsi="Arial" w:cs="Arial"/>
          <w:b/>
          <w:sz w:val="22"/>
          <w:szCs w:val="22"/>
          <w:rtl/>
        </w:rPr>
        <w:t>:</w:t>
      </w:r>
    </w:p>
    <w:p w14:paraId="422E9F0A" w14:textId="77777777" w:rsidR="00153377" w:rsidRDefault="00132A09" w:rsidP="00132A09">
      <w:pPr>
        <w:pStyle w:val="Body"/>
        <w:rPr>
          <w:rFonts w:ascii="Arial" w:hAnsi="Arial" w:cs="Arial"/>
          <w:bCs/>
          <w:szCs w:val="18"/>
          <w:rtl/>
        </w:rPr>
      </w:pPr>
      <w:r w:rsidRPr="00132A09">
        <w:rPr>
          <w:rFonts w:ascii="Arial" w:hAnsi="Arial" w:cs="Arial"/>
          <w:bCs/>
          <w:szCs w:val="18"/>
        </w:rPr>
        <w:t>Ceftriaxone and vancomycin were first given empirically. Therapy on suspicion of Listeria was changed to intravenous ampicillin (2 g every 4 hours) plus gentamicin (80 mg every 8 hours) and Gram-stain was reviewed. By day 5, clinical improvement (normalization of mental status and elimination of fever) was noted. The patient took 21 days of intravenous therapy with 7 days of oral amoxicillin. He was released without neurological impairments. At two months follow-up, there was complete recovery, and no relapse</w:t>
      </w:r>
    </w:p>
    <w:p w14:paraId="539E3179" w14:textId="2E903E6D" w:rsidR="00E8560A" w:rsidRPr="00E8560A" w:rsidRDefault="00E8560A" w:rsidP="00132A09">
      <w:pPr>
        <w:pStyle w:val="Body"/>
        <w:rPr>
          <w:rFonts w:ascii="Arial" w:hAnsi="Arial" w:cs="Arial"/>
          <w:b/>
          <w:caps/>
          <w:sz w:val="22"/>
        </w:rPr>
      </w:pPr>
      <w:r w:rsidRPr="00E8560A">
        <w:rPr>
          <w:rFonts w:ascii="Arial" w:hAnsi="Arial" w:cs="Arial"/>
          <w:b/>
          <w:caps/>
          <w:sz w:val="22"/>
        </w:rPr>
        <w:t>DISCUSSION</w:t>
      </w:r>
    </w:p>
    <w:p w14:paraId="12978DFC" w14:textId="77777777" w:rsidR="0031020C" w:rsidRPr="0031020C" w:rsidRDefault="0031020C" w:rsidP="0031020C">
      <w:pPr>
        <w:pStyle w:val="Body"/>
        <w:spacing w:after="0"/>
        <w:rPr>
          <w:rFonts w:ascii="Arial" w:hAnsi="Arial" w:cs="Arial"/>
          <w:bCs/>
          <w:szCs w:val="18"/>
        </w:rPr>
      </w:pPr>
      <w:r w:rsidRPr="0031020C">
        <w:rPr>
          <w:rFonts w:ascii="Arial" w:hAnsi="Arial" w:cs="Arial"/>
          <w:bCs/>
          <w:szCs w:val="18"/>
        </w:rPr>
        <w:lastRenderedPageBreak/>
        <w:t xml:space="preserve">Epidemiology and Pathogenesis Epidemiology and the Pathogenesis of Staphylococcus aureus is the infection pathology that is described in the </w:t>
      </w:r>
      <w:proofErr w:type="gramStart"/>
      <w:r w:rsidRPr="0031020C">
        <w:rPr>
          <w:rFonts w:ascii="Arial" w:hAnsi="Arial" w:cs="Arial"/>
          <w:bCs/>
          <w:szCs w:val="18"/>
        </w:rPr>
        <w:t>article.&lt;</w:t>
      </w:r>
      <w:proofErr w:type="gramEnd"/>
      <w:r w:rsidRPr="0031020C">
        <w:rPr>
          <w:rFonts w:ascii="Arial" w:hAnsi="Arial" w:cs="Arial"/>
          <w:bCs/>
          <w:szCs w:val="18"/>
        </w:rPr>
        <w:t>|human|&gt;Epidemiology and Pathogenesis The article describes the infection pathology called Epidemiology and Pathogenesis of Staphylococcus aureus</w:t>
      </w:r>
      <w:r w:rsidRPr="0031020C">
        <w:rPr>
          <w:rFonts w:ascii="Arial" w:hAnsi="Arial" w:cs="Arial"/>
          <w:bCs/>
          <w:szCs w:val="18"/>
          <w:rtl/>
        </w:rPr>
        <w:t>.</w:t>
      </w:r>
    </w:p>
    <w:p w14:paraId="5B2EC8F9" w14:textId="77777777" w:rsidR="0031020C" w:rsidRPr="0031020C" w:rsidRDefault="0031020C" w:rsidP="0031020C">
      <w:pPr>
        <w:pStyle w:val="Body"/>
        <w:spacing w:after="0"/>
        <w:rPr>
          <w:rFonts w:ascii="Arial" w:hAnsi="Arial" w:cs="Arial"/>
          <w:bCs/>
          <w:szCs w:val="18"/>
          <w:rtl/>
        </w:rPr>
      </w:pPr>
    </w:p>
    <w:p w14:paraId="2CE0DCCA" w14:textId="55CD689B" w:rsidR="0031020C" w:rsidRDefault="0031020C" w:rsidP="0031020C">
      <w:pPr>
        <w:pStyle w:val="Body"/>
        <w:spacing w:after="0"/>
        <w:rPr>
          <w:rFonts w:ascii="Arial" w:hAnsi="Arial" w:cs="Arial"/>
          <w:bCs/>
          <w:szCs w:val="18"/>
        </w:rPr>
      </w:pPr>
      <w:r w:rsidRPr="0031020C">
        <w:rPr>
          <w:rFonts w:ascii="Arial" w:hAnsi="Arial" w:cs="Arial"/>
          <w:bCs/>
          <w:szCs w:val="18"/>
        </w:rPr>
        <w:t xml:space="preserve">Listeria monocytogenes may invade the intestinal epithelial cell by interacting intestinal </w:t>
      </w:r>
      <w:proofErr w:type="spellStart"/>
      <w:r w:rsidRPr="0031020C">
        <w:rPr>
          <w:rFonts w:ascii="Arial" w:hAnsi="Arial" w:cs="Arial"/>
          <w:bCs/>
          <w:szCs w:val="18"/>
        </w:rPr>
        <w:t>internalins</w:t>
      </w:r>
      <w:proofErr w:type="spellEnd"/>
      <w:r w:rsidRPr="0031020C">
        <w:rPr>
          <w:rFonts w:ascii="Arial" w:hAnsi="Arial" w:cs="Arial"/>
          <w:bCs/>
          <w:szCs w:val="18"/>
        </w:rPr>
        <w:t xml:space="preserve"> (</w:t>
      </w:r>
      <w:proofErr w:type="spellStart"/>
      <w:r w:rsidRPr="0031020C">
        <w:rPr>
          <w:rFonts w:ascii="Arial" w:hAnsi="Arial" w:cs="Arial"/>
          <w:bCs/>
          <w:szCs w:val="18"/>
        </w:rPr>
        <w:t>InlA</w:t>
      </w:r>
      <w:proofErr w:type="spellEnd"/>
      <w:r w:rsidRPr="0031020C">
        <w:rPr>
          <w:rFonts w:ascii="Arial" w:hAnsi="Arial" w:cs="Arial"/>
          <w:bCs/>
          <w:szCs w:val="18"/>
        </w:rPr>
        <w:t xml:space="preserve"> and </w:t>
      </w:r>
      <w:proofErr w:type="spellStart"/>
      <w:r w:rsidRPr="0031020C">
        <w:rPr>
          <w:rFonts w:ascii="Arial" w:hAnsi="Arial" w:cs="Arial"/>
          <w:bCs/>
          <w:szCs w:val="18"/>
        </w:rPr>
        <w:t>InlB</w:t>
      </w:r>
      <w:proofErr w:type="spellEnd"/>
      <w:r w:rsidRPr="0031020C">
        <w:rPr>
          <w:rFonts w:ascii="Arial" w:hAnsi="Arial" w:cs="Arial"/>
          <w:bCs/>
          <w:szCs w:val="18"/>
        </w:rPr>
        <w:t xml:space="preserve">) with host E-cadherin, survive within those cells and be transmitted by macrophages (Hamon et al., 2006; Ghosh et al., 2021). The CNS is invaded by the direct translocation across the endothelial barriers or by the infected immune cells </w:t>
      </w:r>
      <w:r w:rsidR="00CA15B5">
        <w:rPr>
          <w:rFonts w:ascii="Arial" w:hAnsi="Arial" w:cs="Arial"/>
          <w:bCs/>
          <w:szCs w:val="18"/>
        </w:rPr>
        <w:t>(Fig</w:t>
      </w:r>
      <w:r w:rsidR="00B77660">
        <w:rPr>
          <w:rFonts w:ascii="Arial" w:hAnsi="Arial" w:cs="Arial"/>
          <w:bCs/>
          <w:szCs w:val="18"/>
        </w:rPr>
        <w:t>ure-1</w:t>
      </w:r>
      <w:r w:rsidR="001378C4">
        <w:rPr>
          <w:rFonts w:ascii="Arial" w:hAnsi="Arial" w:cs="Arial"/>
          <w:bCs/>
          <w:szCs w:val="18"/>
        </w:rPr>
        <w:t>)</w:t>
      </w:r>
      <w:r w:rsidRPr="0031020C">
        <w:rPr>
          <w:rFonts w:ascii="Arial" w:hAnsi="Arial" w:cs="Arial"/>
          <w:bCs/>
          <w:szCs w:val="18"/>
        </w:rPr>
        <w:t>. After entering the CNS, it leads to a powerful inflammatory reaction with increased IL-6 and TNF-a, which cause neuronal damage (</w:t>
      </w:r>
      <w:proofErr w:type="spellStart"/>
      <w:r w:rsidRPr="0031020C">
        <w:rPr>
          <w:rFonts w:ascii="Arial" w:hAnsi="Arial" w:cs="Arial"/>
          <w:bCs/>
          <w:szCs w:val="18"/>
        </w:rPr>
        <w:t>Radoshevich</w:t>
      </w:r>
      <w:proofErr w:type="spellEnd"/>
      <w:r w:rsidRPr="0031020C">
        <w:rPr>
          <w:rFonts w:ascii="Arial" w:hAnsi="Arial" w:cs="Arial"/>
          <w:bCs/>
          <w:szCs w:val="18"/>
        </w:rPr>
        <w:t xml:space="preserve"> &amp; </w:t>
      </w:r>
      <w:proofErr w:type="spellStart"/>
      <w:r w:rsidRPr="0031020C">
        <w:rPr>
          <w:rFonts w:ascii="Arial" w:hAnsi="Arial" w:cs="Arial"/>
          <w:bCs/>
          <w:szCs w:val="18"/>
        </w:rPr>
        <w:t>Cossart</w:t>
      </w:r>
      <w:proofErr w:type="spellEnd"/>
      <w:r w:rsidRPr="0031020C">
        <w:rPr>
          <w:rFonts w:ascii="Arial" w:hAnsi="Arial" w:cs="Arial"/>
          <w:bCs/>
          <w:szCs w:val="18"/>
        </w:rPr>
        <w:t>, 2018)</w:t>
      </w:r>
      <w:r w:rsidRPr="0031020C">
        <w:rPr>
          <w:rFonts w:ascii="Arial" w:hAnsi="Arial" w:cs="Arial"/>
          <w:bCs/>
          <w:szCs w:val="18"/>
          <w:rtl/>
        </w:rPr>
        <w:t>.</w:t>
      </w:r>
    </w:p>
    <w:p w14:paraId="6031A9D0" w14:textId="4432D4F4" w:rsidR="001378C4" w:rsidRPr="0031020C" w:rsidRDefault="00124CB3" w:rsidP="0031020C">
      <w:pPr>
        <w:pStyle w:val="Body"/>
        <w:spacing w:after="0"/>
        <w:rPr>
          <w:rFonts w:ascii="Arial" w:hAnsi="Arial" w:cs="Arial"/>
          <w:bCs/>
          <w:szCs w:val="18"/>
        </w:rPr>
      </w:pPr>
      <w:r>
        <w:rPr>
          <w:rFonts w:ascii="Arial" w:hAnsi="Arial" w:cs="Arial"/>
          <w:bCs/>
          <w:noProof/>
          <w:szCs w:val="18"/>
        </w:rPr>
        <w:drawing>
          <wp:anchor distT="0" distB="0" distL="114300" distR="114300" simplePos="0" relativeHeight="251658240" behindDoc="1" locked="0" layoutInCell="1" allowOverlap="1" wp14:anchorId="0104AB3A" wp14:editId="572D0920">
            <wp:simplePos x="0" y="0"/>
            <wp:positionH relativeFrom="column">
              <wp:posOffset>1457325</wp:posOffset>
            </wp:positionH>
            <wp:positionV relativeFrom="paragraph">
              <wp:posOffset>177800</wp:posOffset>
            </wp:positionV>
            <wp:extent cx="3390900" cy="3376930"/>
            <wp:effectExtent l="0" t="0" r="0" b="0"/>
            <wp:wrapTopAndBottom/>
            <wp:docPr id="867364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0" cy="3376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82ED2D" w14:textId="3D41F67D" w:rsidR="0031020C" w:rsidRPr="001744AB" w:rsidRDefault="00997063" w:rsidP="0031020C">
      <w:pPr>
        <w:pStyle w:val="Body"/>
        <w:spacing w:after="0"/>
        <w:rPr>
          <w:rFonts w:ascii="Arial" w:hAnsi="Arial" w:cs="Arial"/>
          <w:b/>
          <w:szCs w:val="18"/>
          <w:rtl/>
        </w:rPr>
      </w:pPr>
      <w:r w:rsidRPr="001744AB">
        <w:rPr>
          <w:rFonts w:ascii="Arial" w:hAnsi="Arial" w:cs="Arial"/>
          <w:b/>
          <w:szCs w:val="18"/>
        </w:rPr>
        <w:t>Figure-1</w:t>
      </w:r>
      <w:r w:rsidR="00AF07D6" w:rsidRPr="001744AB">
        <w:rPr>
          <w:rFonts w:ascii="Arial" w:hAnsi="Arial" w:cs="Arial"/>
          <w:b/>
          <w:szCs w:val="18"/>
        </w:rPr>
        <w:t xml:space="preserve">: </w:t>
      </w:r>
      <w:r w:rsidR="00195F93" w:rsidRPr="001744AB">
        <w:rPr>
          <w:rFonts w:ascii="Arial" w:hAnsi="Arial" w:cs="Arial"/>
          <w:b/>
          <w:szCs w:val="18"/>
        </w:rPr>
        <w:t>CN</w:t>
      </w:r>
      <w:r w:rsidR="001744AB" w:rsidRPr="001744AB">
        <w:rPr>
          <w:rFonts w:ascii="Arial" w:hAnsi="Arial" w:cs="Arial"/>
          <w:b/>
          <w:szCs w:val="18"/>
        </w:rPr>
        <w:t>S invasion routes</w:t>
      </w:r>
    </w:p>
    <w:p w14:paraId="70D4702E" w14:textId="77777777" w:rsidR="00997063" w:rsidRDefault="00997063" w:rsidP="0031020C">
      <w:pPr>
        <w:pStyle w:val="Body"/>
        <w:spacing w:after="0"/>
        <w:rPr>
          <w:rFonts w:ascii="Arial" w:hAnsi="Arial" w:cs="Arial"/>
          <w:b/>
          <w:sz w:val="22"/>
        </w:rPr>
      </w:pPr>
    </w:p>
    <w:p w14:paraId="3ED1AF3D" w14:textId="1E3EF89D" w:rsidR="0031020C" w:rsidRPr="00897048" w:rsidRDefault="0031020C" w:rsidP="0031020C">
      <w:pPr>
        <w:pStyle w:val="Body"/>
        <w:spacing w:after="0"/>
        <w:rPr>
          <w:rFonts w:ascii="Arial" w:hAnsi="Arial" w:cs="Arial"/>
          <w:b/>
          <w:sz w:val="22"/>
        </w:rPr>
      </w:pPr>
      <w:r w:rsidRPr="00897048">
        <w:rPr>
          <w:rFonts w:ascii="Arial" w:hAnsi="Arial" w:cs="Arial"/>
          <w:b/>
          <w:sz w:val="22"/>
        </w:rPr>
        <w:t>Risk Factors</w:t>
      </w:r>
    </w:p>
    <w:p w14:paraId="0D3C937A" w14:textId="3A12A1A8" w:rsidR="0031020C" w:rsidRPr="0031020C" w:rsidRDefault="0031020C" w:rsidP="0031020C">
      <w:pPr>
        <w:pStyle w:val="Body"/>
        <w:spacing w:after="0"/>
        <w:rPr>
          <w:rFonts w:ascii="Arial" w:hAnsi="Arial" w:cs="Arial"/>
          <w:bCs/>
          <w:szCs w:val="18"/>
          <w:rtl/>
        </w:rPr>
      </w:pPr>
    </w:p>
    <w:p w14:paraId="67F25A67" w14:textId="4FDFF1D5" w:rsidR="0031020C" w:rsidRPr="0031020C" w:rsidRDefault="0031020C" w:rsidP="0031020C">
      <w:pPr>
        <w:pStyle w:val="Body"/>
        <w:spacing w:after="0"/>
        <w:rPr>
          <w:rFonts w:ascii="Arial" w:hAnsi="Arial" w:cs="Arial"/>
          <w:bCs/>
          <w:szCs w:val="18"/>
        </w:rPr>
      </w:pPr>
      <w:r w:rsidRPr="0031020C">
        <w:rPr>
          <w:rFonts w:ascii="Arial" w:hAnsi="Arial" w:cs="Arial"/>
          <w:bCs/>
          <w:szCs w:val="18"/>
        </w:rPr>
        <w:t>Age in old age, diabetes, the use of corticosteroids, malignancy, and renal transplantation are also highly predisposing factors (Swaminathan and Gerner-Smidt, 2007; Smith et al., 2003). Listeria can spread systemically, and hyperglycemia weakens the neutrophil chemotaxis and phagocytosis (Jeffers et al., 2019)</w:t>
      </w:r>
      <w:r w:rsidRPr="0031020C">
        <w:rPr>
          <w:rFonts w:ascii="Arial" w:hAnsi="Arial" w:cs="Arial"/>
          <w:bCs/>
          <w:szCs w:val="18"/>
          <w:rtl/>
        </w:rPr>
        <w:t>.</w:t>
      </w:r>
    </w:p>
    <w:p w14:paraId="57830C44" w14:textId="2A69C367" w:rsidR="0031020C" w:rsidRPr="0031020C" w:rsidRDefault="0031020C" w:rsidP="0031020C">
      <w:pPr>
        <w:pStyle w:val="Body"/>
        <w:spacing w:after="0"/>
        <w:rPr>
          <w:rFonts w:ascii="Arial" w:hAnsi="Arial" w:cs="Arial"/>
          <w:bCs/>
          <w:szCs w:val="18"/>
          <w:rtl/>
        </w:rPr>
      </w:pPr>
    </w:p>
    <w:p w14:paraId="597A674A" w14:textId="5698B3D3" w:rsidR="0031020C" w:rsidRPr="0031020C" w:rsidRDefault="0031020C" w:rsidP="0031020C">
      <w:pPr>
        <w:pStyle w:val="Body"/>
        <w:spacing w:after="0"/>
        <w:rPr>
          <w:rFonts w:ascii="Arial" w:hAnsi="Arial" w:cs="Arial"/>
          <w:bCs/>
          <w:szCs w:val="18"/>
        </w:rPr>
      </w:pPr>
      <w:r w:rsidRPr="0031020C">
        <w:rPr>
          <w:rFonts w:ascii="Arial" w:hAnsi="Arial" w:cs="Arial"/>
          <w:bCs/>
          <w:szCs w:val="18"/>
        </w:rPr>
        <w:t xml:space="preserve">Clinical Presentation and Diagnosis Luka et al. (2016) note that PD manifests in various ways, chiefly characterized by emotions of anxiety, depression, guilt, anger, and suicidal </w:t>
      </w:r>
      <w:proofErr w:type="gramStart"/>
      <w:r w:rsidRPr="0031020C">
        <w:rPr>
          <w:rFonts w:ascii="Arial" w:hAnsi="Arial" w:cs="Arial"/>
          <w:bCs/>
          <w:szCs w:val="18"/>
        </w:rPr>
        <w:t>thoughts.&lt;</w:t>
      </w:r>
      <w:proofErr w:type="gramEnd"/>
      <w:r w:rsidRPr="0031020C">
        <w:rPr>
          <w:rFonts w:ascii="Arial" w:hAnsi="Arial" w:cs="Arial"/>
          <w:bCs/>
          <w:szCs w:val="18"/>
        </w:rPr>
        <w:t>|human|&gt;Clinical Presentation and Diagnosis According to Luka et al. (2016), PD has a number of presentations, the primary one being feelings of anxiety, depression, guilt, anger, and suicidal ideation</w:t>
      </w:r>
      <w:r w:rsidRPr="0031020C">
        <w:rPr>
          <w:rFonts w:ascii="Arial" w:hAnsi="Arial" w:cs="Arial"/>
          <w:bCs/>
          <w:szCs w:val="18"/>
          <w:rtl/>
        </w:rPr>
        <w:t>.</w:t>
      </w:r>
    </w:p>
    <w:p w14:paraId="47D972E0" w14:textId="77777777" w:rsidR="0031020C" w:rsidRPr="0031020C" w:rsidRDefault="0031020C" w:rsidP="0031020C">
      <w:pPr>
        <w:pStyle w:val="Body"/>
        <w:spacing w:after="0"/>
        <w:rPr>
          <w:rFonts w:ascii="Arial" w:hAnsi="Arial" w:cs="Arial"/>
          <w:bCs/>
          <w:szCs w:val="18"/>
          <w:rtl/>
        </w:rPr>
      </w:pPr>
    </w:p>
    <w:p w14:paraId="7C18D1EA" w14:textId="77777777" w:rsidR="0031020C" w:rsidRPr="0031020C" w:rsidRDefault="0031020C" w:rsidP="0031020C">
      <w:pPr>
        <w:pStyle w:val="Body"/>
        <w:spacing w:after="0"/>
        <w:rPr>
          <w:rFonts w:ascii="Arial" w:hAnsi="Arial" w:cs="Arial"/>
          <w:bCs/>
          <w:szCs w:val="18"/>
        </w:rPr>
      </w:pPr>
      <w:r w:rsidRPr="0031020C">
        <w:rPr>
          <w:rFonts w:ascii="Arial" w:hAnsi="Arial" w:cs="Arial"/>
          <w:bCs/>
          <w:szCs w:val="18"/>
        </w:rPr>
        <w:t xml:space="preserve">In adults, Listeria meningitis can have a subacute onset of fever, altered mental status and mild meningeal examination (Brouwer et al., 2006; Temple and </w:t>
      </w:r>
      <w:proofErr w:type="spellStart"/>
      <w:r w:rsidRPr="0031020C">
        <w:rPr>
          <w:rFonts w:ascii="Arial" w:hAnsi="Arial" w:cs="Arial"/>
          <w:bCs/>
          <w:szCs w:val="18"/>
        </w:rPr>
        <w:t>Nahata</w:t>
      </w:r>
      <w:proofErr w:type="spellEnd"/>
      <w:r w:rsidRPr="0031020C">
        <w:rPr>
          <w:rFonts w:ascii="Arial" w:hAnsi="Arial" w:cs="Arial"/>
          <w:bCs/>
          <w:szCs w:val="18"/>
        </w:rPr>
        <w:t xml:space="preserve">, 2000). CSF is usually characterized by lymphocytic preponderance with high level of protein and low glucose. The sensitivity to gram-stains is unstable; molecular methods, such as </w:t>
      </w:r>
      <w:proofErr w:type="spellStart"/>
      <w:r w:rsidRPr="0031020C">
        <w:rPr>
          <w:rFonts w:ascii="Arial" w:hAnsi="Arial" w:cs="Arial"/>
          <w:bCs/>
          <w:szCs w:val="18"/>
        </w:rPr>
        <w:t>hly</w:t>
      </w:r>
      <w:proofErr w:type="spellEnd"/>
      <w:r w:rsidRPr="0031020C">
        <w:rPr>
          <w:rFonts w:ascii="Arial" w:hAnsi="Arial" w:cs="Arial"/>
          <w:bCs/>
          <w:szCs w:val="18"/>
        </w:rPr>
        <w:t xml:space="preserve"> or </w:t>
      </w:r>
      <w:proofErr w:type="spellStart"/>
      <w:r w:rsidRPr="0031020C">
        <w:rPr>
          <w:rFonts w:ascii="Arial" w:hAnsi="Arial" w:cs="Arial"/>
          <w:bCs/>
          <w:szCs w:val="18"/>
        </w:rPr>
        <w:t>prfA</w:t>
      </w:r>
      <w:proofErr w:type="spellEnd"/>
      <w:r w:rsidRPr="0031020C">
        <w:rPr>
          <w:rFonts w:ascii="Arial" w:hAnsi="Arial" w:cs="Arial"/>
          <w:bCs/>
          <w:szCs w:val="18"/>
        </w:rPr>
        <w:t xml:space="preserve"> gene PCR, enhance the early diagnosis (</w:t>
      </w:r>
      <w:proofErr w:type="spellStart"/>
      <w:r w:rsidRPr="0031020C">
        <w:rPr>
          <w:rFonts w:ascii="Arial" w:hAnsi="Arial" w:cs="Arial"/>
          <w:bCs/>
          <w:szCs w:val="18"/>
        </w:rPr>
        <w:t>Doumith</w:t>
      </w:r>
      <w:proofErr w:type="spellEnd"/>
      <w:r w:rsidRPr="0031020C">
        <w:rPr>
          <w:rFonts w:ascii="Arial" w:hAnsi="Arial" w:cs="Arial"/>
          <w:bCs/>
          <w:szCs w:val="18"/>
        </w:rPr>
        <w:t xml:space="preserve"> et al., 2004; Charlier et al., 2017)</w:t>
      </w:r>
      <w:r w:rsidRPr="0031020C">
        <w:rPr>
          <w:rFonts w:ascii="Arial" w:hAnsi="Arial" w:cs="Arial"/>
          <w:bCs/>
          <w:szCs w:val="18"/>
          <w:rtl/>
        </w:rPr>
        <w:t>.</w:t>
      </w:r>
    </w:p>
    <w:p w14:paraId="5F39F657" w14:textId="77777777" w:rsidR="0031020C" w:rsidRPr="0031020C" w:rsidRDefault="0031020C" w:rsidP="0031020C">
      <w:pPr>
        <w:pStyle w:val="Body"/>
        <w:spacing w:after="0"/>
        <w:rPr>
          <w:rFonts w:ascii="Arial" w:hAnsi="Arial" w:cs="Arial"/>
          <w:bCs/>
          <w:szCs w:val="18"/>
          <w:rtl/>
        </w:rPr>
      </w:pPr>
    </w:p>
    <w:p w14:paraId="4DAC5D05" w14:textId="77777777" w:rsidR="0031020C" w:rsidRPr="00897048" w:rsidRDefault="0031020C" w:rsidP="0031020C">
      <w:pPr>
        <w:pStyle w:val="Body"/>
        <w:spacing w:after="0"/>
        <w:rPr>
          <w:rFonts w:ascii="Arial" w:hAnsi="Arial" w:cs="Arial"/>
          <w:b/>
          <w:sz w:val="22"/>
        </w:rPr>
      </w:pPr>
      <w:r w:rsidRPr="00897048">
        <w:rPr>
          <w:rFonts w:ascii="Arial" w:hAnsi="Arial" w:cs="Arial"/>
          <w:b/>
          <w:sz w:val="22"/>
        </w:rPr>
        <w:t>Antimicrobial Therapy</w:t>
      </w:r>
    </w:p>
    <w:p w14:paraId="6879547E" w14:textId="77777777" w:rsidR="0031020C" w:rsidRPr="0031020C" w:rsidRDefault="0031020C" w:rsidP="0031020C">
      <w:pPr>
        <w:pStyle w:val="Body"/>
        <w:spacing w:after="0"/>
        <w:rPr>
          <w:rFonts w:ascii="Arial" w:hAnsi="Arial" w:cs="Arial"/>
          <w:bCs/>
          <w:szCs w:val="18"/>
          <w:rtl/>
        </w:rPr>
      </w:pPr>
    </w:p>
    <w:p w14:paraId="11AB5126" w14:textId="77777777" w:rsidR="0031020C" w:rsidRPr="0031020C" w:rsidRDefault="0031020C" w:rsidP="0031020C">
      <w:pPr>
        <w:pStyle w:val="Body"/>
        <w:spacing w:after="0"/>
        <w:rPr>
          <w:rFonts w:ascii="Arial" w:hAnsi="Arial" w:cs="Arial"/>
          <w:bCs/>
          <w:szCs w:val="18"/>
        </w:rPr>
      </w:pPr>
      <w:r w:rsidRPr="0031020C">
        <w:rPr>
          <w:rFonts w:ascii="Arial" w:hAnsi="Arial" w:cs="Arial"/>
          <w:bCs/>
          <w:szCs w:val="18"/>
        </w:rPr>
        <w:t xml:space="preserve">High dose ampicillin or penicillin G is used in combination with an amino glycoside in synergy to form treatment of choice (Hof, 2004; Temple and </w:t>
      </w:r>
      <w:proofErr w:type="spellStart"/>
      <w:r w:rsidRPr="0031020C">
        <w:rPr>
          <w:rFonts w:ascii="Arial" w:hAnsi="Arial" w:cs="Arial"/>
          <w:bCs/>
          <w:szCs w:val="18"/>
        </w:rPr>
        <w:t>Nahata</w:t>
      </w:r>
      <w:proofErr w:type="spellEnd"/>
      <w:r w:rsidRPr="0031020C">
        <w:rPr>
          <w:rFonts w:ascii="Arial" w:hAnsi="Arial" w:cs="Arial"/>
          <w:bCs/>
          <w:szCs w:val="18"/>
        </w:rPr>
        <w:t>, 2000). Substitutes b-lactam-allergic patients can be treated with trimethoprim-sulfamethoxazole. Some isolates have been reported to have resistance to erythromycin and tetracycline and hence the importance of susceptibility testing (Conter et al., 2022). Quick treatment is of utmost importance; the later the proper treatment is started after the patient has a high risk of death (Mook et al., 2018)</w:t>
      </w:r>
      <w:r w:rsidRPr="0031020C">
        <w:rPr>
          <w:rFonts w:ascii="Arial" w:hAnsi="Arial" w:cs="Arial"/>
          <w:bCs/>
          <w:szCs w:val="18"/>
          <w:rtl/>
        </w:rPr>
        <w:t>.</w:t>
      </w:r>
    </w:p>
    <w:p w14:paraId="7454DD71" w14:textId="77777777" w:rsidR="0031020C" w:rsidRPr="0031020C" w:rsidRDefault="0031020C" w:rsidP="0031020C">
      <w:pPr>
        <w:pStyle w:val="Body"/>
        <w:spacing w:after="0"/>
        <w:rPr>
          <w:rFonts w:ascii="Arial" w:hAnsi="Arial" w:cs="Arial"/>
          <w:bCs/>
          <w:szCs w:val="18"/>
          <w:rtl/>
        </w:rPr>
      </w:pPr>
    </w:p>
    <w:p w14:paraId="76C0328E" w14:textId="77777777" w:rsidR="0031020C" w:rsidRPr="00897048" w:rsidRDefault="0031020C" w:rsidP="0031020C">
      <w:pPr>
        <w:pStyle w:val="Body"/>
        <w:spacing w:after="0"/>
        <w:rPr>
          <w:rFonts w:ascii="Arial" w:hAnsi="Arial" w:cs="Arial"/>
          <w:b/>
          <w:sz w:val="22"/>
        </w:rPr>
      </w:pPr>
      <w:r w:rsidRPr="00897048">
        <w:rPr>
          <w:rFonts w:ascii="Arial" w:hAnsi="Arial" w:cs="Arial"/>
          <w:b/>
          <w:sz w:val="22"/>
        </w:rPr>
        <w:t>Outcome and Prognosis</w:t>
      </w:r>
    </w:p>
    <w:p w14:paraId="46607130" w14:textId="77777777" w:rsidR="0031020C" w:rsidRPr="0031020C" w:rsidRDefault="0031020C" w:rsidP="0031020C">
      <w:pPr>
        <w:pStyle w:val="Body"/>
        <w:spacing w:after="0"/>
        <w:rPr>
          <w:rFonts w:ascii="Arial" w:hAnsi="Arial" w:cs="Arial"/>
          <w:bCs/>
          <w:szCs w:val="18"/>
          <w:rtl/>
        </w:rPr>
      </w:pPr>
    </w:p>
    <w:p w14:paraId="7CE32529" w14:textId="77777777" w:rsidR="0031020C" w:rsidRPr="0031020C" w:rsidRDefault="0031020C" w:rsidP="0031020C">
      <w:pPr>
        <w:pStyle w:val="Body"/>
        <w:spacing w:after="0"/>
        <w:rPr>
          <w:rFonts w:ascii="Arial" w:hAnsi="Arial" w:cs="Arial"/>
          <w:bCs/>
          <w:szCs w:val="18"/>
        </w:rPr>
      </w:pPr>
      <w:r w:rsidRPr="0031020C">
        <w:rPr>
          <w:rFonts w:ascii="Arial" w:hAnsi="Arial" w:cs="Arial"/>
          <w:bCs/>
          <w:szCs w:val="18"/>
        </w:rPr>
        <w:t xml:space="preserve">High mortality (20-40%) among adults occurs especially in cases of late therapy (Brouwer et al., 2006; Charlier et al., 2017). Early identification of unusual Gram-stain morphology and immediate change of </w:t>
      </w:r>
      <w:proofErr w:type="spellStart"/>
      <w:r w:rsidRPr="0031020C">
        <w:rPr>
          <w:rFonts w:ascii="Arial" w:hAnsi="Arial" w:cs="Arial"/>
          <w:bCs/>
          <w:szCs w:val="18"/>
        </w:rPr>
        <w:t>ampticillin</w:t>
      </w:r>
      <w:proofErr w:type="spellEnd"/>
      <w:r w:rsidRPr="0031020C">
        <w:rPr>
          <w:rFonts w:ascii="Arial" w:hAnsi="Arial" w:cs="Arial"/>
          <w:bCs/>
          <w:szCs w:val="18"/>
        </w:rPr>
        <w:t>-based therapy helped our patient to recover quickly</w:t>
      </w:r>
      <w:r w:rsidRPr="0031020C">
        <w:rPr>
          <w:rFonts w:ascii="Arial" w:hAnsi="Arial" w:cs="Arial"/>
          <w:bCs/>
          <w:szCs w:val="18"/>
          <w:rtl/>
        </w:rPr>
        <w:t>.</w:t>
      </w:r>
    </w:p>
    <w:p w14:paraId="31159739" w14:textId="77777777" w:rsidR="0031020C" w:rsidRPr="0031020C" w:rsidRDefault="0031020C" w:rsidP="0031020C">
      <w:pPr>
        <w:pStyle w:val="Body"/>
        <w:spacing w:after="0"/>
        <w:rPr>
          <w:rFonts w:ascii="Arial" w:hAnsi="Arial" w:cs="Arial"/>
          <w:bCs/>
          <w:szCs w:val="18"/>
          <w:rtl/>
        </w:rPr>
      </w:pPr>
    </w:p>
    <w:p w14:paraId="24572CF7" w14:textId="7E1DC946" w:rsidR="0031020C" w:rsidRPr="00897048" w:rsidRDefault="0031020C" w:rsidP="00897048">
      <w:pPr>
        <w:pStyle w:val="Body"/>
        <w:spacing w:after="0"/>
        <w:rPr>
          <w:rFonts w:ascii="Arial" w:hAnsi="Arial" w:cs="Arial"/>
          <w:b/>
          <w:sz w:val="22"/>
          <w:szCs w:val="22"/>
        </w:rPr>
      </w:pPr>
      <w:r w:rsidRPr="00897048">
        <w:rPr>
          <w:rFonts w:ascii="Arial" w:hAnsi="Arial" w:cs="Arial"/>
          <w:b/>
          <w:sz w:val="22"/>
          <w:szCs w:val="22"/>
        </w:rPr>
        <w:t xml:space="preserve">Public </w:t>
      </w:r>
      <w:proofErr w:type="gramStart"/>
      <w:r w:rsidRPr="00897048">
        <w:rPr>
          <w:rFonts w:ascii="Arial" w:hAnsi="Arial" w:cs="Arial"/>
          <w:b/>
          <w:sz w:val="22"/>
          <w:szCs w:val="22"/>
        </w:rPr>
        <w:t xml:space="preserve">Health </w:t>
      </w:r>
      <w:r w:rsidR="00897048">
        <w:rPr>
          <w:rFonts w:ascii="Arial" w:hAnsi="Arial" w:cs="Arial"/>
          <w:b/>
          <w:sz w:val="22"/>
          <w:szCs w:val="22"/>
        </w:rPr>
        <w:t>:</w:t>
      </w:r>
      <w:proofErr w:type="gramEnd"/>
    </w:p>
    <w:p w14:paraId="3F64CF9B" w14:textId="77777777" w:rsidR="0031020C" w:rsidRPr="0031020C" w:rsidRDefault="0031020C" w:rsidP="0031020C">
      <w:pPr>
        <w:pStyle w:val="Body"/>
        <w:spacing w:after="0"/>
        <w:rPr>
          <w:rFonts w:ascii="Arial" w:hAnsi="Arial" w:cs="Arial"/>
          <w:bCs/>
          <w:szCs w:val="18"/>
          <w:rtl/>
        </w:rPr>
      </w:pPr>
    </w:p>
    <w:p w14:paraId="197D38EA" w14:textId="77777777" w:rsidR="0031020C" w:rsidRPr="0031020C" w:rsidRDefault="0031020C" w:rsidP="0031020C">
      <w:pPr>
        <w:pStyle w:val="Body"/>
        <w:spacing w:after="0"/>
        <w:rPr>
          <w:rFonts w:ascii="Arial" w:hAnsi="Arial" w:cs="Arial"/>
          <w:bCs/>
          <w:szCs w:val="18"/>
        </w:rPr>
      </w:pPr>
      <w:r w:rsidRPr="0031020C">
        <w:rPr>
          <w:rFonts w:ascii="Arial" w:hAnsi="Arial" w:cs="Arial"/>
          <w:bCs/>
          <w:szCs w:val="18"/>
        </w:rPr>
        <w:t>Although outbreaks related to foodborne are the primary cause of infection, sporadic cases emphasize the role of awareness among the elderly and immunocompromised population. Increased diagnostic potential and awareness of clinicians are crucial to prompt treatment (</w:t>
      </w:r>
      <w:proofErr w:type="spellStart"/>
      <w:r w:rsidRPr="0031020C">
        <w:rPr>
          <w:rFonts w:ascii="Arial" w:hAnsi="Arial" w:cs="Arial"/>
          <w:bCs/>
          <w:szCs w:val="18"/>
        </w:rPr>
        <w:t>Allerberger</w:t>
      </w:r>
      <w:proofErr w:type="spellEnd"/>
      <w:r w:rsidRPr="0031020C">
        <w:rPr>
          <w:rFonts w:ascii="Arial" w:hAnsi="Arial" w:cs="Arial"/>
          <w:bCs/>
          <w:szCs w:val="18"/>
        </w:rPr>
        <w:t xml:space="preserve"> and Wagner, 2010; de </w:t>
      </w:r>
      <w:proofErr w:type="spellStart"/>
      <w:r w:rsidRPr="0031020C">
        <w:rPr>
          <w:rFonts w:ascii="Arial" w:hAnsi="Arial" w:cs="Arial"/>
          <w:bCs/>
          <w:szCs w:val="18"/>
        </w:rPr>
        <w:t>Noordhout</w:t>
      </w:r>
      <w:proofErr w:type="spellEnd"/>
      <w:r w:rsidRPr="0031020C">
        <w:rPr>
          <w:rFonts w:ascii="Arial" w:hAnsi="Arial" w:cs="Arial"/>
          <w:bCs/>
          <w:szCs w:val="18"/>
        </w:rPr>
        <w:t xml:space="preserve"> et al., 2014)</w:t>
      </w:r>
      <w:r w:rsidRPr="0031020C">
        <w:rPr>
          <w:rFonts w:ascii="Arial" w:hAnsi="Arial" w:cs="Arial"/>
          <w:bCs/>
          <w:szCs w:val="18"/>
          <w:rtl/>
        </w:rPr>
        <w:t>.</w:t>
      </w:r>
    </w:p>
    <w:p w14:paraId="73FD270C" w14:textId="77777777" w:rsidR="0031020C" w:rsidRPr="0031020C" w:rsidRDefault="0031020C" w:rsidP="0031020C">
      <w:pPr>
        <w:pStyle w:val="Body"/>
        <w:spacing w:after="0"/>
        <w:rPr>
          <w:rFonts w:ascii="Arial" w:hAnsi="Arial" w:cs="Arial"/>
          <w:bCs/>
          <w:szCs w:val="18"/>
          <w:rtl/>
        </w:rPr>
      </w:pPr>
    </w:p>
    <w:p w14:paraId="51CFE07C" w14:textId="77777777" w:rsidR="0031020C" w:rsidRPr="00897048" w:rsidRDefault="0031020C" w:rsidP="0031020C">
      <w:pPr>
        <w:pStyle w:val="Body"/>
        <w:spacing w:after="0"/>
        <w:rPr>
          <w:rFonts w:ascii="Arial" w:hAnsi="Arial" w:cs="Arial"/>
          <w:b/>
          <w:sz w:val="22"/>
        </w:rPr>
      </w:pPr>
      <w:r w:rsidRPr="00897048">
        <w:rPr>
          <w:rFonts w:ascii="Arial" w:hAnsi="Arial" w:cs="Arial"/>
          <w:b/>
          <w:sz w:val="22"/>
        </w:rPr>
        <w:t>Conclusion</w:t>
      </w:r>
    </w:p>
    <w:p w14:paraId="62723176" w14:textId="2EE3C8E5" w:rsidR="00EC2CB1" w:rsidRDefault="0031020C" w:rsidP="0031020C">
      <w:pPr>
        <w:pStyle w:val="Body"/>
        <w:spacing w:after="0"/>
        <w:rPr>
          <w:rFonts w:ascii="Arial" w:hAnsi="Arial" w:cs="Arial"/>
          <w:bCs/>
          <w:szCs w:val="18"/>
        </w:rPr>
      </w:pPr>
      <w:r w:rsidRPr="0031020C">
        <w:rPr>
          <w:rFonts w:ascii="Arial" w:hAnsi="Arial" w:cs="Arial"/>
          <w:bCs/>
          <w:szCs w:val="18"/>
        </w:rPr>
        <w:t>Listeria monocytogenes meningitis is an infection to be considered in patients with the elderly or immunocompromised patients with subacute meningitis and subsequent negative routine cultures. The timely clinical suspicion, attentive attitude to Gram stains, timely microbiological confirmation, and the immediate initiation of ampicillin-based treatment are vital in the survival. Suspicion of unusual presentations should be maintained by clinicians to improve morbidity and mortality</w:t>
      </w:r>
    </w:p>
    <w:p w14:paraId="1F6551DA" w14:textId="77777777" w:rsidR="00897048" w:rsidRPr="00A36C4C" w:rsidRDefault="00897048" w:rsidP="0031020C">
      <w:pPr>
        <w:pStyle w:val="Body"/>
        <w:spacing w:after="0"/>
        <w:rPr>
          <w:rFonts w:ascii="Arial" w:hAnsi="Arial" w:cs="Arial"/>
          <w:bCs/>
          <w:sz w:val="18"/>
          <w:szCs w:val="18"/>
        </w:rPr>
      </w:pPr>
    </w:p>
    <w:p w14:paraId="2889DF3D" w14:textId="77777777"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CONSENT</w:t>
      </w:r>
    </w:p>
    <w:p w14:paraId="4C45EC9E" w14:textId="77777777" w:rsidR="00B404FD" w:rsidRPr="00B404FD" w:rsidRDefault="00B404FD" w:rsidP="00B404FD">
      <w:pPr>
        <w:rPr>
          <w:rFonts w:ascii="ArialMT" w:hAnsi="ArialMT"/>
          <w:color w:val="000000"/>
          <w:lang w:val="en-GB" w:eastAsia="en-GB"/>
        </w:rPr>
      </w:pPr>
      <w:r w:rsidRPr="00B404FD">
        <w:rPr>
          <w:rFonts w:ascii="ArialMT" w:hAnsi="ArialMT"/>
          <w:color w:val="000000"/>
          <w:lang w:val="en-GB" w:eastAsia="en-GB"/>
        </w:rPr>
        <w:t>It is not applicable.</w:t>
      </w:r>
    </w:p>
    <w:p w14:paraId="319351DA" w14:textId="77777777"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ETHICAL APPROVAL</w:t>
      </w:r>
    </w:p>
    <w:p w14:paraId="6941BA91" w14:textId="77777777" w:rsidR="0073465B" w:rsidRDefault="0073465B" w:rsidP="00B404FD">
      <w:pPr>
        <w:rPr>
          <w:rFonts w:ascii="Arial" w:hAnsi="Arial" w:cs="Arial"/>
          <w:u w:val="single"/>
        </w:rPr>
      </w:pPr>
      <w:r w:rsidRPr="00F469F0">
        <w:rPr>
          <w:rFonts w:ascii="Arial" w:hAnsi="Arial" w:cs="Arial"/>
          <w:u w:val="single"/>
        </w:rPr>
        <w:t>“All authors hereby declare that all experiments have been examined and approved by the appropriate ethics committee and have therefore been performed in accordance with the ethical standards laid down in the 1964 Declaration of Helsinki.”</w:t>
      </w:r>
    </w:p>
    <w:p w14:paraId="563E0972" w14:textId="68C1AE1F"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DISCLAIMER (ARTIFICIAL INTELLIGENCE)</w:t>
      </w:r>
    </w:p>
    <w:p w14:paraId="24FD4B55" w14:textId="7DCF9EF3" w:rsidR="00B404FD" w:rsidRPr="00B404FD" w:rsidRDefault="00B404FD" w:rsidP="00B404FD">
      <w:pPr>
        <w:rPr>
          <w:rFonts w:ascii="ArialMT" w:hAnsi="ArialMT"/>
          <w:color w:val="000000"/>
          <w:lang w:val="en-GB" w:eastAsia="en-GB"/>
        </w:rPr>
      </w:pPr>
      <w:r w:rsidRPr="00B404FD">
        <w:rPr>
          <w:rFonts w:ascii="ArialMT" w:hAnsi="ArialMT"/>
          <w:color w:val="000000"/>
          <w:lang w:val="en-GB" w:eastAsia="en-GB"/>
        </w:rPr>
        <w:t xml:space="preserve">Author(s) hereby </w:t>
      </w:r>
      <w:r w:rsidR="00011BDC" w:rsidRPr="00B404FD">
        <w:rPr>
          <w:rFonts w:ascii="ArialMT" w:hAnsi="ArialMT"/>
          <w:color w:val="000000"/>
          <w:lang w:val="en-GB" w:eastAsia="en-GB"/>
        </w:rPr>
        <w:t>declares</w:t>
      </w:r>
      <w:r w:rsidRPr="00B404FD">
        <w:rPr>
          <w:rFonts w:ascii="ArialMT" w:hAnsi="ArialMT"/>
          <w:color w:val="000000"/>
          <w:lang w:val="en-GB" w:eastAsia="en-GB"/>
        </w:rPr>
        <w:t xml:space="preserve"> that NO generative AI technologies such as Large Language Models (ChatGPT, COPILOT, etc) and text-to-image generators have been used during writing or editing of this manuscript.</w:t>
      </w:r>
    </w:p>
    <w:p w14:paraId="243FCB74" w14:textId="77777777"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COMPETING INTERESTS</w:t>
      </w:r>
    </w:p>
    <w:p w14:paraId="4A863925" w14:textId="3E6CF73C" w:rsidR="00315186" w:rsidRDefault="00B404FD" w:rsidP="00B404FD">
      <w:pPr>
        <w:rPr>
          <w:rFonts w:ascii="ArialMT" w:hAnsi="ArialMT"/>
          <w:color w:val="000000"/>
          <w:lang w:val="en-GB" w:eastAsia="en-GB"/>
        </w:rPr>
      </w:pPr>
      <w:r w:rsidRPr="00B404FD">
        <w:rPr>
          <w:rFonts w:ascii="ArialMT" w:hAnsi="ArialMT"/>
          <w:color w:val="000000"/>
          <w:lang w:val="en-GB" w:eastAsia="en-GB"/>
        </w:rPr>
        <w:t>Authors have declared that no competing interests exist.</w:t>
      </w:r>
    </w:p>
    <w:p w14:paraId="1D5D00C7" w14:textId="77777777" w:rsidR="00594ADE" w:rsidRPr="00315186" w:rsidRDefault="00594ADE" w:rsidP="00B404FD"/>
    <w:p w14:paraId="4CA6C010" w14:textId="21E9B06F" w:rsidR="00315186" w:rsidRDefault="00DA549F" w:rsidP="00441B6F">
      <w:pPr>
        <w:rPr>
          <w:rFonts w:asciiTheme="minorBidi" w:hAnsiTheme="minorBidi" w:cstheme="minorBidi"/>
          <w:b/>
          <w:bCs/>
          <w:sz w:val="22"/>
          <w:szCs w:val="22"/>
        </w:rPr>
      </w:pPr>
      <w:r w:rsidRPr="00DA549F">
        <w:rPr>
          <w:rFonts w:asciiTheme="minorBidi" w:hAnsiTheme="minorBidi" w:cstheme="minorBidi"/>
          <w:b/>
          <w:bCs/>
          <w:sz w:val="22"/>
          <w:szCs w:val="22"/>
        </w:rPr>
        <w:t>REFERENCES:</w:t>
      </w:r>
    </w:p>
    <w:p w14:paraId="3A4A1090" w14:textId="77777777" w:rsidR="00E8337E" w:rsidRPr="00E8337E" w:rsidRDefault="00E8337E" w:rsidP="00E8337E">
      <w:pPr>
        <w:pStyle w:val="ListParagraph"/>
        <w:numPr>
          <w:ilvl w:val="0"/>
          <w:numId w:val="33"/>
        </w:numPr>
        <w:rPr>
          <w:rFonts w:asciiTheme="minorBidi" w:hAnsiTheme="minorBidi" w:cstheme="minorBidi"/>
          <w:lang w:val="en-GB"/>
        </w:rPr>
      </w:pPr>
      <w:proofErr w:type="spellStart"/>
      <w:r w:rsidRPr="00E8337E">
        <w:rPr>
          <w:rFonts w:asciiTheme="minorBidi" w:hAnsiTheme="minorBidi" w:cstheme="minorBidi"/>
          <w:lang w:val="en-GB"/>
        </w:rPr>
        <w:t>Allerberger</w:t>
      </w:r>
      <w:proofErr w:type="spellEnd"/>
      <w:r w:rsidRPr="00E8337E">
        <w:rPr>
          <w:rFonts w:asciiTheme="minorBidi" w:hAnsiTheme="minorBidi" w:cstheme="minorBidi"/>
          <w:lang w:val="en-GB"/>
        </w:rPr>
        <w:t xml:space="preserve">, F., &amp; Wagner, M. (2010). Listeriosis: A resurgent foodborne infection. </w:t>
      </w:r>
      <w:r w:rsidRPr="00E8337E">
        <w:rPr>
          <w:rFonts w:asciiTheme="minorBidi" w:hAnsiTheme="minorBidi" w:cstheme="minorBidi"/>
          <w:i/>
          <w:iCs/>
          <w:lang w:val="en-GB"/>
        </w:rPr>
        <w:t>Clinical Microbiology and Infection, 16</w:t>
      </w:r>
      <w:r w:rsidRPr="00E8337E">
        <w:rPr>
          <w:rFonts w:asciiTheme="minorBidi" w:hAnsiTheme="minorBidi" w:cstheme="minorBidi"/>
          <w:lang w:val="en-GB"/>
        </w:rPr>
        <w:t>(1), 16–23.</w:t>
      </w:r>
    </w:p>
    <w:p w14:paraId="466A3C6E"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Brouwer, M. C., et al. (2006). Clinical characteristics and outcome of Listeria meningitis in adults. </w:t>
      </w:r>
      <w:r w:rsidRPr="00E8337E">
        <w:rPr>
          <w:rFonts w:asciiTheme="minorBidi" w:hAnsiTheme="minorBidi" w:cstheme="minorBidi"/>
          <w:i/>
          <w:iCs/>
          <w:lang w:val="en-GB"/>
        </w:rPr>
        <w:t>Clinical Infectious Diseases, 43</w:t>
      </w:r>
      <w:r w:rsidRPr="00E8337E">
        <w:rPr>
          <w:rFonts w:asciiTheme="minorBidi" w:hAnsiTheme="minorBidi" w:cstheme="minorBidi"/>
          <w:lang w:val="en-GB"/>
        </w:rPr>
        <w:t>(10), 1233–1238.</w:t>
      </w:r>
    </w:p>
    <w:p w14:paraId="749D12D0"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Camejo, A., et al. (2009). Intracellular survival strategies of Listeria. </w:t>
      </w:r>
      <w:r w:rsidRPr="00E8337E">
        <w:rPr>
          <w:rFonts w:asciiTheme="minorBidi" w:hAnsiTheme="minorBidi" w:cstheme="minorBidi"/>
          <w:i/>
          <w:iCs/>
          <w:lang w:val="en-GB"/>
        </w:rPr>
        <w:t>FEMS Microbiology Reviews, 33</w:t>
      </w:r>
      <w:r w:rsidRPr="00E8337E">
        <w:rPr>
          <w:rFonts w:asciiTheme="minorBidi" w:hAnsiTheme="minorBidi" w:cstheme="minorBidi"/>
          <w:lang w:val="en-GB"/>
        </w:rPr>
        <w:t>(3), 620–645.</w:t>
      </w:r>
    </w:p>
    <w:p w14:paraId="48E7A102"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Charlier, C., et al. (2017). Clinical features and prognostic factors of listeriosis: The MONALISA national prospective cohort study. </w:t>
      </w:r>
      <w:r w:rsidRPr="00E8337E">
        <w:rPr>
          <w:rFonts w:asciiTheme="minorBidi" w:hAnsiTheme="minorBidi" w:cstheme="minorBidi"/>
          <w:i/>
          <w:iCs/>
          <w:lang w:val="en-GB"/>
        </w:rPr>
        <w:t>The Lancet Infectious Diseases, 17</w:t>
      </w:r>
      <w:r w:rsidRPr="00E8337E">
        <w:rPr>
          <w:rFonts w:asciiTheme="minorBidi" w:hAnsiTheme="minorBidi" w:cstheme="minorBidi"/>
          <w:lang w:val="en-GB"/>
        </w:rPr>
        <w:t>(5), 510–519.</w:t>
      </w:r>
    </w:p>
    <w:p w14:paraId="7918B5D8"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Conter, M., et al. (2022). Antimicrobial resistance of Listeria monocytogenes in food and clinical isolates. </w:t>
      </w:r>
      <w:r w:rsidRPr="00E8337E">
        <w:rPr>
          <w:rFonts w:asciiTheme="minorBidi" w:hAnsiTheme="minorBidi" w:cstheme="minorBidi"/>
          <w:i/>
          <w:iCs/>
          <w:lang w:val="en-GB"/>
        </w:rPr>
        <w:t>Food Control, 136</w:t>
      </w:r>
      <w:r w:rsidRPr="00E8337E">
        <w:rPr>
          <w:rFonts w:asciiTheme="minorBidi" w:hAnsiTheme="minorBidi" w:cstheme="minorBidi"/>
          <w:lang w:val="en-GB"/>
        </w:rPr>
        <w:t>, 108884.</w:t>
      </w:r>
    </w:p>
    <w:p w14:paraId="440523CB"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de </w:t>
      </w:r>
      <w:proofErr w:type="spellStart"/>
      <w:r w:rsidRPr="00E8337E">
        <w:rPr>
          <w:rFonts w:asciiTheme="minorBidi" w:hAnsiTheme="minorBidi" w:cstheme="minorBidi"/>
          <w:lang w:val="en-GB"/>
        </w:rPr>
        <w:t>Noordhout</w:t>
      </w:r>
      <w:proofErr w:type="spellEnd"/>
      <w:r w:rsidRPr="00E8337E">
        <w:rPr>
          <w:rFonts w:asciiTheme="minorBidi" w:hAnsiTheme="minorBidi" w:cstheme="minorBidi"/>
          <w:lang w:val="en-GB"/>
        </w:rPr>
        <w:t xml:space="preserve">, C. M., et al. (2014). The global burden of listeriosis: A systematic review. </w:t>
      </w:r>
      <w:r w:rsidRPr="00E8337E">
        <w:rPr>
          <w:rFonts w:asciiTheme="minorBidi" w:hAnsiTheme="minorBidi" w:cstheme="minorBidi"/>
          <w:i/>
          <w:iCs/>
          <w:lang w:val="en-GB"/>
        </w:rPr>
        <w:t>The Lancet Infectious Diseases, 14</w:t>
      </w:r>
      <w:r w:rsidRPr="00E8337E">
        <w:rPr>
          <w:rFonts w:asciiTheme="minorBidi" w:hAnsiTheme="minorBidi" w:cstheme="minorBidi"/>
          <w:lang w:val="en-GB"/>
        </w:rPr>
        <w:t>(11), 1073–1082.</w:t>
      </w:r>
    </w:p>
    <w:p w14:paraId="143AF432" w14:textId="77777777" w:rsidR="00E8337E" w:rsidRPr="00E8337E" w:rsidRDefault="00E8337E" w:rsidP="00E8337E">
      <w:pPr>
        <w:pStyle w:val="ListParagraph"/>
        <w:numPr>
          <w:ilvl w:val="0"/>
          <w:numId w:val="33"/>
        </w:numPr>
        <w:rPr>
          <w:rFonts w:asciiTheme="minorBidi" w:hAnsiTheme="minorBidi" w:cstheme="minorBidi"/>
          <w:lang w:val="en-GB"/>
        </w:rPr>
      </w:pPr>
      <w:proofErr w:type="spellStart"/>
      <w:r w:rsidRPr="00E8337E">
        <w:rPr>
          <w:rFonts w:asciiTheme="minorBidi" w:hAnsiTheme="minorBidi" w:cstheme="minorBidi"/>
          <w:lang w:val="en-GB"/>
        </w:rPr>
        <w:t>Disson</w:t>
      </w:r>
      <w:proofErr w:type="spellEnd"/>
      <w:r w:rsidRPr="00E8337E">
        <w:rPr>
          <w:rFonts w:asciiTheme="minorBidi" w:hAnsiTheme="minorBidi" w:cstheme="minorBidi"/>
          <w:lang w:val="en-GB"/>
        </w:rPr>
        <w:t xml:space="preserve">, O., et al. (2009). Conjugative virulence plasmids in Listeria. </w:t>
      </w:r>
      <w:r w:rsidRPr="00E8337E">
        <w:rPr>
          <w:rFonts w:asciiTheme="minorBidi" w:hAnsiTheme="minorBidi" w:cstheme="minorBidi"/>
          <w:i/>
          <w:iCs/>
          <w:lang w:val="en-GB"/>
        </w:rPr>
        <w:t>Cellular Microbiology, 11</w:t>
      </w:r>
      <w:r w:rsidRPr="00E8337E">
        <w:rPr>
          <w:rFonts w:asciiTheme="minorBidi" w:hAnsiTheme="minorBidi" w:cstheme="minorBidi"/>
          <w:lang w:val="en-GB"/>
        </w:rPr>
        <w:t>(6), 904–912.</w:t>
      </w:r>
    </w:p>
    <w:p w14:paraId="34B6E6A6" w14:textId="77777777" w:rsidR="00E8337E" w:rsidRPr="00E8337E" w:rsidRDefault="00E8337E" w:rsidP="00E8337E">
      <w:pPr>
        <w:pStyle w:val="ListParagraph"/>
        <w:numPr>
          <w:ilvl w:val="0"/>
          <w:numId w:val="33"/>
        </w:numPr>
        <w:rPr>
          <w:rFonts w:asciiTheme="minorBidi" w:hAnsiTheme="minorBidi" w:cstheme="minorBidi"/>
          <w:lang w:val="en-GB"/>
        </w:rPr>
      </w:pPr>
      <w:proofErr w:type="spellStart"/>
      <w:r w:rsidRPr="00E8337E">
        <w:rPr>
          <w:rFonts w:asciiTheme="minorBidi" w:hAnsiTheme="minorBidi" w:cstheme="minorBidi"/>
          <w:lang w:val="en-GB"/>
        </w:rPr>
        <w:t>Doumith</w:t>
      </w:r>
      <w:proofErr w:type="spellEnd"/>
      <w:r w:rsidRPr="00E8337E">
        <w:rPr>
          <w:rFonts w:asciiTheme="minorBidi" w:hAnsiTheme="minorBidi" w:cstheme="minorBidi"/>
          <w:lang w:val="en-GB"/>
        </w:rPr>
        <w:t xml:space="preserve">, M., et al. (2004). Molecular characterization of Listeria isolates by PCR and sequencing. </w:t>
      </w:r>
      <w:r w:rsidRPr="00E8337E">
        <w:rPr>
          <w:rFonts w:asciiTheme="minorBidi" w:hAnsiTheme="minorBidi" w:cstheme="minorBidi"/>
          <w:i/>
          <w:iCs/>
          <w:lang w:val="en-GB"/>
        </w:rPr>
        <w:t>Journal of Clinical Microbiology, 42</w:t>
      </w:r>
      <w:r w:rsidRPr="00E8337E">
        <w:rPr>
          <w:rFonts w:asciiTheme="minorBidi" w:hAnsiTheme="minorBidi" w:cstheme="minorBidi"/>
          <w:lang w:val="en-GB"/>
        </w:rPr>
        <w:t>(8), 3658–3662.</w:t>
      </w:r>
    </w:p>
    <w:p w14:paraId="67BB48E4"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Farber, J. M., &amp; Peterkin, P. I. (1991). Listeria monocytogenes: A food-borne pathogen. </w:t>
      </w:r>
      <w:r w:rsidRPr="00E8337E">
        <w:rPr>
          <w:rFonts w:asciiTheme="minorBidi" w:hAnsiTheme="minorBidi" w:cstheme="minorBidi"/>
          <w:i/>
          <w:iCs/>
          <w:lang w:val="en-GB"/>
        </w:rPr>
        <w:t>Microbiological Reviews, 55</w:t>
      </w:r>
      <w:r w:rsidRPr="00E8337E">
        <w:rPr>
          <w:rFonts w:asciiTheme="minorBidi" w:hAnsiTheme="minorBidi" w:cstheme="minorBidi"/>
          <w:lang w:val="en-GB"/>
        </w:rPr>
        <w:t>(3), 476–511.</w:t>
      </w:r>
    </w:p>
    <w:p w14:paraId="16E843D3"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Freitag, N. E., Port, G. C., &amp; Miner, M. D. (2009). </w:t>
      </w:r>
      <w:r w:rsidRPr="00E8337E">
        <w:rPr>
          <w:rFonts w:asciiTheme="minorBidi" w:hAnsiTheme="minorBidi" w:cstheme="minorBidi"/>
          <w:i/>
          <w:iCs/>
          <w:lang w:val="en-GB"/>
        </w:rPr>
        <w:t>Listeria monocytogenes—from saprophyte to intracellular pathogen</w:t>
      </w:r>
      <w:r w:rsidRPr="00E8337E">
        <w:rPr>
          <w:rFonts w:asciiTheme="minorBidi" w:hAnsiTheme="minorBidi" w:cstheme="minorBidi"/>
          <w:lang w:val="en-GB"/>
        </w:rPr>
        <w:t xml:space="preserve">. </w:t>
      </w:r>
      <w:r w:rsidRPr="00E8337E">
        <w:rPr>
          <w:rFonts w:asciiTheme="minorBidi" w:hAnsiTheme="minorBidi" w:cstheme="minorBidi"/>
          <w:i/>
          <w:iCs/>
          <w:lang w:val="en-GB"/>
        </w:rPr>
        <w:t>Nature Reviews Microbiology, 7</w:t>
      </w:r>
      <w:r w:rsidRPr="00E8337E">
        <w:rPr>
          <w:rFonts w:asciiTheme="minorBidi" w:hAnsiTheme="minorBidi" w:cstheme="minorBidi"/>
          <w:lang w:val="en-GB"/>
        </w:rPr>
        <w:t>(9), 623–628.</w:t>
      </w:r>
    </w:p>
    <w:p w14:paraId="677EA5D4"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Ghosh, P., et al. (2021). Cellular and molecular mechanisms of Listeria invasion. </w:t>
      </w:r>
      <w:r w:rsidRPr="00E8337E">
        <w:rPr>
          <w:rFonts w:asciiTheme="minorBidi" w:hAnsiTheme="minorBidi" w:cstheme="minorBidi"/>
          <w:i/>
          <w:iCs/>
          <w:lang w:val="en-GB"/>
        </w:rPr>
        <w:t>Frontiers in Cellular and Infection Microbiology, 11</w:t>
      </w:r>
      <w:r w:rsidRPr="00E8337E">
        <w:rPr>
          <w:rFonts w:asciiTheme="minorBidi" w:hAnsiTheme="minorBidi" w:cstheme="minorBidi"/>
          <w:lang w:val="en-GB"/>
        </w:rPr>
        <w:t>, 635759.</w:t>
      </w:r>
    </w:p>
    <w:p w14:paraId="00ACAE5B"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Gouin, E., et al. (2008). Actin-based motility of Listeria in host cells. </w:t>
      </w:r>
      <w:r w:rsidRPr="00E8337E">
        <w:rPr>
          <w:rFonts w:asciiTheme="minorBidi" w:hAnsiTheme="minorBidi" w:cstheme="minorBidi"/>
          <w:i/>
          <w:iCs/>
          <w:lang w:val="en-GB"/>
        </w:rPr>
        <w:t>Current Opinion in Microbiology, 11</w:t>
      </w:r>
      <w:r w:rsidRPr="00E8337E">
        <w:rPr>
          <w:rFonts w:asciiTheme="minorBidi" w:hAnsiTheme="minorBidi" w:cstheme="minorBidi"/>
          <w:lang w:val="en-GB"/>
        </w:rPr>
        <w:t>(1), 36–44.</w:t>
      </w:r>
    </w:p>
    <w:p w14:paraId="7BA98197"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Hamon, M., </w:t>
      </w:r>
      <w:proofErr w:type="spellStart"/>
      <w:r w:rsidRPr="00E8337E">
        <w:rPr>
          <w:rFonts w:asciiTheme="minorBidi" w:hAnsiTheme="minorBidi" w:cstheme="minorBidi"/>
          <w:lang w:val="en-GB"/>
        </w:rPr>
        <w:t>Bierne</w:t>
      </w:r>
      <w:proofErr w:type="spellEnd"/>
      <w:r w:rsidRPr="00E8337E">
        <w:rPr>
          <w:rFonts w:asciiTheme="minorBidi" w:hAnsiTheme="minorBidi" w:cstheme="minorBidi"/>
          <w:lang w:val="en-GB"/>
        </w:rPr>
        <w:t xml:space="preserve">, H., &amp; Cossart, P. (2006). Listeria monocytogenes: A multifaceted model. </w:t>
      </w:r>
      <w:r w:rsidRPr="00E8337E">
        <w:rPr>
          <w:rFonts w:asciiTheme="minorBidi" w:hAnsiTheme="minorBidi" w:cstheme="minorBidi"/>
          <w:i/>
          <w:iCs/>
          <w:lang w:val="en-GB"/>
        </w:rPr>
        <w:t>Nature Reviews Microbiology, 4</w:t>
      </w:r>
      <w:r w:rsidRPr="00E8337E">
        <w:rPr>
          <w:rFonts w:asciiTheme="minorBidi" w:hAnsiTheme="minorBidi" w:cstheme="minorBidi"/>
          <w:lang w:val="en-GB"/>
        </w:rPr>
        <w:t>(6), 423–434.</w:t>
      </w:r>
    </w:p>
    <w:p w14:paraId="30DD8853"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Hof, H. (2004). An update on the medical management of listeriosis. </w:t>
      </w:r>
      <w:r w:rsidRPr="00E8337E">
        <w:rPr>
          <w:rFonts w:asciiTheme="minorBidi" w:hAnsiTheme="minorBidi" w:cstheme="minorBidi"/>
          <w:i/>
          <w:iCs/>
          <w:lang w:val="en-GB"/>
        </w:rPr>
        <w:t>Expert Opinion on Pharmacotherapy, 5</w:t>
      </w:r>
      <w:r w:rsidRPr="00E8337E">
        <w:rPr>
          <w:rFonts w:asciiTheme="minorBidi" w:hAnsiTheme="minorBidi" w:cstheme="minorBidi"/>
          <w:lang w:val="en-GB"/>
        </w:rPr>
        <w:t>(8), 1727–1735.</w:t>
      </w:r>
    </w:p>
    <w:p w14:paraId="3DC3B0F1"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Jeffers, G. T., et al. (2019). Comparative immunological responses in diabetic and non-diabetic adults with bacterial meningitis. </w:t>
      </w:r>
      <w:r w:rsidRPr="00E8337E">
        <w:rPr>
          <w:rFonts w:asciiTheme="minorBidi" w:hAnsiTheme="minorBidi" w:cstheme="minorBidi"/>
          <w:i/>
          <w:iCs/>
          <w:lang w:val="en-GB"/>
        </w:rPr>
        <w:t>Journal of Infectious Diseases, 219</w:t>
      </w:r>
      <w:r w:rsidRPr="00E8337E">
        <w:rPr>
          <w:rFonts w:asciiTheme="minorBidi" w:hAnsiTheme="minorBidi" w:cstheme="minorBidi"/>
          <w:lang w:val="en-GB"/>
        </w:rPr>
        <w:t>(8), 1345–1353.</w:t>
      </w:r>
    </w:p>
    <w:p w14:paraId="1767F0C2"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lastRenderedPageBreak/>
        <w:t xml:space="preserve">Jordan, K., et al. (2023). Listeria monocytogenes contamination of foods: Epidemiology and control. </w:t>
      </w:r>
      <w:r w:rsidRPr="00E8337E">
        <w:rPr>
          <w:rFonts w:asciiTheme="minorBidi" w:hAnsiTheme="minorBidi" w:cstheme="minorBidi"/>
          <w:i/>
          <w:iCs/>
          <w:lang w:val="en-GB"/>
        </w:rPr>
        <w:t>Food Microbiology, 115</w:t>
      </w:r>
      <w:r w:rsidRPr="00E8337E">
        <w:rPr>
          <w:rFonts w:asciiTheme="minorBidi" w:hAnsiTheme="minorBidi" w:cstheme="minorBidi"/>
          <w:lang w:val="en-GB"/>
        </w:rPr>
        <w:t>, 104910.</w:t>
      </w:r>
    </w:p>
    <w:p w14:paraId="098C08D6" w14:textId="77777777" w:rsidR="00E8337E" w:rsidRPr="00E8337E" w:rsidRDefault="00E8337E" w:rsidP="00E8337E">
      <w:pPr>
        <w:pStyle w:val="ListParagraph"/>
        <w:numPr>
          <w:ilvl w:val="0"/>
          <w:numId w:val="33"/>
        </w:numPr>
        <w:rPr>
          <w:rFonts w:asciiTheme="minorBidi" w:hAnsiTheme="minorBidi" w:cstheme="minorBidi"/>
          <w:lang w:val="en-GB"/>
        </w:rPr>
      </w:pPr>
      <w:proofErr w:type="spellStart"/>
      <w:r w:rsidRPr="00E8337E">
        <w:rPr>
          <w:rFonts w:asciiTheme="minorBidi" w:hAnsiTheme="minorBidi" w:cstheme="minorBidi"/>
          <w:lang w:val="en-GB"/>
        </w:rPr>
        <w:t>Lecuit</w:t>
      </w:r>
      <w:proofErr w:type="spellEnd"/>
      <w:r w:rsidRPr="00E8337E">
        <w:rPr>
          <w:rFonts w:asciiTheme="minorBidi" w:hAnsiTheme="minorBidi" w:cstheme="minorBidi"/>
          <w:lang w:val="en-GB"/>
        </w:rPr>
        <w:t xml:space="preserve">, M. (2007). Human listeriosis and animal models. </w:t>
      </w:r>
      <w:r w:rsidRPr="00E8337E">
        <w:rPr>
          <w:rFonts w:asciiTheme="minorBidi" w:hAnsiTheme="minorBidi" w:cstheme="minorBidi"/>
          <w:i/>
          <w:iCs/>
          <w:lang w:val="en-GB"/>
        </w:rPr>
        <w:t>Microbes and Infection, 9</w:t>
      </w:r>
      <w:r w:rsidRPr="00E8337E">
        <w:rPr>
          <w:rFonts w:asciiTheme="minorBidi" w:hAnsiTheme="minorBidi" w:cstheme="minorBidi"/>
          <w:lang w:val="en-GB"/>
        </w:rPr>
        <w:t>(10), 1216–1225.</w:t>
      </w:r>
    </w:p>
    <w:p w14:paraId="5C3BC2B9"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Lorber, B. (2020). </w:t>
      </w:r>
      <w:r w:rsidRPr="00E8337E">
        <w:rPr>
          <w:rFonts w:asciiTheme="minorBidi" w:hAnsiTheme="minorBidi" w:cstheme="minorBidi"/>
          <w:i/>
          <w:iCs/>
          <w:lang w:val="en-GB"/>
        </w:rPr>
        <w:t>Listeria monocytogenes</w:t>
      </w:r>
      <w:r w:rsidRPr="00E8337E">
        <w:rPr>
          <w:rFonts w:asciiTheme="minorBidi" w:hAnsiTheme="minorBidi" w:cstheme="minorBidi"/>
          <w:lang w:val="en-GB"/>
        </w:rPr>
        <w:t xml:space="preserve">. In J. E. Bennett, R. Dolin, &amp; M. J. Blaser (Eds.), </w:t>
      </w:r>
      <w:r w:rsidRPr="00E8337E">
        <w:rPr>
          <w:rFonts w:asciiTheme="minorBidi" w:hAnsiTheme="minorBidi" w:cstheme="minorBidi"/>
          <w:i/>
          <w:iCs/>
          <w:lang w:val="en-GB"/>
        </w:rPr>
        <w:t>Mandell, Douglas, and Bennett’s Principles and Practice of Infectious Diseases</w:t>
      </w:r>
      <w:r w:rsidRPr="00E8337E">
        <w:rPr>
          <w:rFonts w:asciiTheme="minorBidi" w:hAnsiTheme="minorBidi" w:cstheme="minorBidi"/>
          <w:lang w:val="en-GB"/>
        </w:rPr>
        <w:t xml:space="preserve"> (9th ed.). Elsevier.</w:t>
      </w:r>
    </w:p>
    <w:p w14:paraId="7BAA09E5"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Mook, P., et al. (2018). Listeria monocytogenes meningitis in adults: Early diagnosis and improved outcomes. </w:t>
      </w:r>
      <w:r w:rsidRPr="00E8337E">
        <w:rPr>
          <w:rFonts w:asciiTheme="minorBidi" w:hAnsiTheme="minorBidi" w:cstheme="minorBidi"/>
          <w:i/>
          <w:iCs/>
          <w:lang w:val="en-GB"/>
        </w:rPr>
        <w:t>Journal of Infection, 77</w:t>
      </w:r>
      <w:r w:rsidRPr="00E8337E">
        <w:rPr>
          <w:rFonts w:asciiTheme="minorBidi" w:hAnsiTheme="minorBidi" w:cstheme="minorBidi"/>
          <w:lang w:val="en-GB"/>
        </w:rPr>
        <w:t>(2), 104–110.</w:t>
      </w:r>
    </w:p>
    <w:p w14:paraId="454A9C77"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Ooi, S. T., &amp; Lorber, B. (2005). Gastroenteritis due to Listeria monocytogenes. </w:t>
      </w:r>
      <w:r w:rsidRPr="00E8337E">
        <w:rPr>
          <w:rFonts w:asciiTheme="minorBidi" w:hAnsiTheme="minorBidi" w:cstheme="minorBidi"/>
          <w:i/>
          <w:iCs/>
          <w:lang w:val="en-GB"/>
        </w:rPr>
        <w:t>Clinical Infectious Diseases, 40</w:t>
      </w:r>
      <w:r w:rsidRPr="00E8337E">
        <w:rPr>
          <w:rFonts w:asciiTheme="minorBidi" w:hAnsiTheme="minorBidi" w:cstheme="minorBidi"/>
          <w:lang w:val="en-GB"/>
        </w:rPr>
        <w:t>(9), 1327–1332.</w:t>
      </w:r>
    </w:p>
    <w:p w14:paraId="5A6147E3"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Pilgrim, S., &amp; Heffron, F. (2021). Host-pathogen interactions during </w:t>
      </w:r>
      <w:proofErr w:type="spellStart"/>
      <w:r w:rsidRPr="00E8337E">
        <w:rPr>
          <w:rFonts w:asciiTheme="minorBidi" w:hAnsiTheme="minorBidi" w:cstheme="minorBidi"/>
          <w:lang w:val="en-GB"/>
        </w:rPr>
        <w:t>listerial</w:t>
      </w:r>
      <w:proofErr w:type="spellEnd"/>
      <w:r w:rsidRPr="00E8337E">
        <w:rPr>
          <w:rFonts w:asciiTheme="minorBidi" w:hAnsiTheme="minorBidi" w:cstheme="minorBidi"/>
          <w:lang w:val="en-GB"/>
        </w:rPr>
        <w:t xml:space="preserve"> infections. </w:t>
      </w:r>
      <w:r w:rsidRPr="00E8337E">
        <w:rPr>
          <w:rFonts w:asciiTheme="minorBidi" w:hAnsiTheme="minorBidi" w:cstheme="minorBidi"/>
          <w:i/>
          <w:iCs/>
          <w:lang w:val="en-GB"/>
        </w:rPr>
        <w:t>Trends in Microbiology, 29</w:t>
      </w:r>
      <w:r w:rsidRPr="00E8337E">
        <w:rPr>
          <w:rFonts w:asciiTheme="minorBidi" w:hAnsiTheme="minorBidi" w:cstheme="minorBidi"/>
          <w:lang w:val="en-GB"/>
        </w:rPr>
        <w:t>(7), 602–615.</w:t>
      </w:r>
    </w:p>
    <w:p w14:paraId="610FB451" w14:textId="77777777" w:rsidR="00E8337E" w:rsidRPr="00E8337E" w:rsidRDefault="00E8337E" w:rsidP="00E8337E">
      <w:pPr>
        <w:pStyle w:val="ListParagraph"/>
        <w:numPr>
          <w:ilvl w:val="0"/>
          <w:numId w:val="33"/>
        </w:numPr>
        <w:rPr>
          <w:rFonts w:asciiTheme="minorBidi" w:hAnsiTheme="minorBidi" w:cstheme="minorBidi"/>
          <w:lang w:val="en-GB"/>
        </w:rPr>
      </w:pPr>
      <w:proofErr w:type="spellStart"/>
      <w:r w:rsidRPr="00E8337E">
        <w:rPr>
          <w:rFonts w:asciiTheme="minorBidi" w:hAnsiTheme="minorBidi" w:cstheme="minorBidi"/>
          <w:lang w:val="en-GB"/>
        </w:rPr>
        <w:t>Radoshevich</w:t>
      </w:r>
      <w:proofErr w:type="spellEnd"/>
      <w:r w:rsidRPr="00E8337E">
        <w:rPr>
          <w:rFonts w:asciiTheme="minorBidi" w:hAnsiTheme="minorBidi" w:cstheme="minorBidi"/>
          <w:lang w:val="en-GB"/>
        </w:rPr>
        <w:t xml:space="preserve">, L., &amp; Cossart, P. (2018). </w:t>
      </w:r>
      <w:r w:rsidRPr="00E8337E">
        <w:rPr>
          <w:rFonts w:asciiTheme="minorBidi" w:hAnsiTheme="minorBidi" w:cstheme="minorBidi"/>
          <w:i/>
          <w:iCs/>
          <w:lang w:val="en-GB"/>
        </w:rPr>
        <w:t>Listeria monocytogenes</w:t>
      </w:r>
      <w:r w:rsidRPr="00E8337E">
        <w:rPr>
          <w:rFonts w:asciiTheme="minorBidi" w:hAnsiTheme="minorBidi" w:cstheme="minorBidi"/>
          <w:lang w:val="en-GB"/>
        </w:rPr>
        <w:t xml:space="preserve">: Towards a complete picture of its physiology and pathogenesis. </w:t>
      </w:r>
      <w:r w:rsidRPr="00E8337E">
        <w:rPr>
          <w:rFonts w:asciiTheme="minorBidi" w:hAnsiTheme="minorBidi" w:cstheme="minorBidi"/>
          <w:i/>
          <w:iCs/>
          <w:lang w:val="en-GB"/>
        </w:rPr>
        <w:t>Nature Reviews Microbiology, 16</w:t>
      </w:r>
      <w:r w:rsidRPr="00E8337E">
        <w:rPr>
          <w:rFonts w:asciiTheme="minorBidi" w:hAnsiTheme="minorBidi" w:cstheme="minorBidi"/>
          <w:lang w:val="en-GB"/>
        </w:rPr>
        <w:t>(1), 32–46.</w:t>
      </w:r>
    </w:p>
    <w:p w14:paraId="328573FF"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Roberts, A. J., &amp; Wiedmann, M. (2003). Pathogen, host and environment: What can we learn from molecular subtyping? </w:t>
      </w:r>
      <w:r w:rsidRPr="00E8337E">
        <w:rPr>
          <w:rFonts w:asciiTheme="minorBidi" w:hAnsiTheme="minorBidi" w:cstheme="minorBidi"/>
          <w:i/>
          <w:iCs/>
          <w:lang w:val="en-GB"/>
        </w:rPr>
        <w:t>Foodborne Pathogens and Disease, 1</w:t>
      </w:r>
      <w:r w:rsidRPr="00E8337E">
        <w:rPr>
          <w:rFonts w:asciiTheme="minorBidi" w:hAnsiTheme="minorBidi" w:cstheme="minorBidi"/>
          <w:lang w:val="en-GB"/>
        </w:rPr>
        <w:t>(1), 20–32.</w:t>
      </w:r>
    </w:p>
    <w:p w14:paraId="44BFDF0B"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Smith, J. L., et al. (2003). Influence of diabetes mellitus on susceptibility to Listeria infection. </w:t>
      </w:r>
      <w:r w:rsidRPr="00E8337E">
        <w:rPr>
          <w:rFonts w:asciiTheme="minorBidi" w:hAnsiTheme="minorBidi" w:cstheme="minorBidi"/>
          <w:i/>
          <w:iCs/>
          <w:lang w:val="en-GB"/>
        </w:rPr>
        <w:t>Clinical Microbiology Reviews, 16</w:t>
      </w:r>
      <w:r w:rsidRPr="00E8337E">
        <w:rPr>
          <w:rFonts w:asciiTheme="minorBidi" w:hAnsiTheme="minorBidi" w:cstheme="minorBidi"/>
          <w:lang w:val="en-GB"/>
        </w:rPr>
        <w:t>(2), 289–314.</w:t>
      </w:r>
    </w:p>
    <w:p w14:paraId="0FDC87EF"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Swaminathan, B., &amp; Gerner-Smidt, P. (2007). The epidemiology of human listeriosis. </w:t>
      </w:r>
      <w:r w:rsidRPr="00E8337E">
        <w:rPr>
          <w:rFonts w:asciiTheme="minorBidi" w:hAnsiTheme="minorBidi" w:cstheme="minorBidi"/>
          <w:i/>
          <w:iCs/>
          <w:lang w:val="en-GB"/>
        </w:rPr>
        <w:t>Microbes and Infection, 9</w:t>
      </w:r>
      <w:r w:rsidRPr="00E8337E">
        <w:rPr>
          <w:rFonts w:asciiTheme="minorBidi" w:hAnsiTheme="minorBidi" w:cstheme="minorBidi"/>
          <w:lang w:val="en-GB"/>
        </w:rPr>
        <w:t>(10), 1236–1243.</w:t>
      </w:r>
    </w:p>
    <w:p w14:paraId="1A57949F"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Swaminathan, B., et al. (2020). Epidemiology and control of listeriosis. </w:t>
      </w:r>
      <w:r w:rsidRPr="00E8337E">
        <w:rPr>
          <w:rFonts w:asciiTheme="minorBidi" w:hAnsiTheme="minorBidi" w:cstheme="minorBidi"/>
          <w:i/>
          <w:iCs/>
          <w:lang w:val="en-GB"/>
        </w:rPr>
        <w:t>Foodborne Pathogens and Disease, 17</w:t>
      </w:r>
      <w:r w:rsidRPr="00E8337E">
        <w:rPr>
          <w:rFonts w:asciiTheme="minorBidi" w:hAnsiTheme="minorBidi" w:cstheme="minorBidi"/>
          <w:lang w:val="en-GB"/>
        </w:rPr>
        <w:t>(5), 301–310.</w:t>
      </w:r>
    </w:p>
    <w:p w14:paraId="2CED6577"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Temple, M. E., &amp; </w:t>
      </w:r>
      <w:proofErr w:type="spellStart"/>
      <w:r w:rsidRPr="00E8337E">
        <w:rPr>
          <w:rFonts w:asciiTheme="minorBidi" w:hAnsiTheme="minorBidi" w:cstheme="minorBidi"/>
          <w:lang w:val="en-GB"/>
        </w:rPr>
        <w:t>Nahata</w:t>
      </w:r>
      <w:proofErr w:type="spellEnd"/>
      <w:r w:rsidRPr="00E8337E">
        <w:rPr>
          <w:rFonts w:asciiTheme="minorBidi" w:hAnsiTheme="minorBidi" w:cstheme="minorBidi"/>
          <w:lang w:val="en-GB"/>
        </w:rPr>
        <w:t xml:space="preserve">, M. C. (2000). Antimicrobial options for Listeria infection. </w:t>
      </w:r>
      <w:r w:rsidRPr="00E8337E">
        <w:rPr>
          <w:rFonts w:asciiTheme="minorBidi" w:hAnsiTheme="minorBidi" w:cstheme="minorBidi"/>
          <w:i/>
          <w:iCs/>
          <w:lang w:val="en-GB"/>
        </w:rPr>
        <w:t>Annals of Pharmacotherapy, 34</w:t>
      </w:r>
      <w:r w:rsidRPr="00E8337E">
        <w:rPr>
          <w:rFonts w:asciiTheme="minorBidi" w:hAnsiTheme="minorBidi" w:cstheme="minorBidi"/>
          <w:lang w:val="en-GB"/>
        </w:rPr>
        <w:t>, 656–661.</w:t>
      </w:r>
    </w:p>
    <w:p w14:paraId="2A5A4792"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Temple, M. E., &amp; </w:t>
      </w:r>
      <w:proofErr w:type="spellStart"/>
      <w:r w:rsidRPr="00E8337E">
        <w:rPr>
          <w:rFonts w:asciiTheme="minorBidi" w:hAnsiTheme="minorBidi" w:cstheme="minorBidi"/>
          <w:lang w:val="en-GB"/>
        </w:rPr>
        <w:t>Nahata</w:t>
      </w:r>
      <w:proofErr w:type="spellEnd"/>
      <w:r w:rsidRPr="00E8337E">
        <w:rPr>
          <w:rFonts w:asciiTheme="minorBidi" w:hAnsiTheme="minorBidi" w:cstheme="minorBidi"/>
          <w:lang w:val="en-GB"/>
        </w:rPr>
        <w:t xml:space="preserve">, M. C. (2000). Treatment of listeriosis. </w:t>
      </w:r>
      <w:r w:rsidRPr="00E8337E">
        <w:rPr>
          <w:rFonts w:asciiTheme="minorBidi" w:hAnsiTheme="minorBidi" w:cstheme="minorBidi"/>
          <w:i/>
          <w:iCs/>
          <w:lang w:val="en-GB"/>
        </w:rPr>
        <w:t>Annals of Pharmacotherapy, 34</w:t>
      </w:r>
      <w:r w:rsidRPr="00E8337E">
        <w:rPr>
          <w:rFonts w:asciiTheme="minorBidi" w:hAnsiTheme="minorBidi" w:cstheme="minorBidi"/>
          <w:lang w:val="en-GB"/>
        </w:rPr>
        <w:t>(5), 656–661.</w:t>
      </w:r>
    </w:p>
    <w:p w14:paraId="64786E80"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Vazquez-Boland, J. A., et al. (2001). </w:t>
      </w:r>
      <w:r w:rsidRPr="00E8337E">
        <w:rPr>
          <w:rFonts w:asciiTheme="minorBidi" w:hAnsiTheme="minorBidi" w:cstheme="minorBidi"/>
          <w:i/>
          <w:iCs/>
          <w:lang w:val="en-GB"/>
        </w:rPr>
        <w:t>Listeria pathogenesis and molecular virulence determinants</w:t>
      </w:r>
      <w:r w:rsidRPr="00E8337E">
        <w:rPr>
          <w:rFonts w:asciiTheme="minorBidi" w:hAnsiTheme="minorBidi" w:cstheme="minorBidi"/>
          <w:lang w:val="en-GB"/>
        </w:rPr>
        <w:t xml:space="preserve">. </w:t>
      </w:r>
      <w:r w:rsidRPr="00E8337E">
        <w:rPr>
          <w:rFonts w:asciiTheme="minorBidi" w:hAnsiTheme="minorBidi" w:cstheme="minorBidi"/>
          <w:i/>
          <w:iCs/>
          <w:lang w:val="en-GB"/>
        </w:rPr>
        <w:t>Clinical Microbiology Reviews, 14</w:t>
      </w:r>
      <w:r w:rsidRPr="00E8337E">
        <w:rPr>
          <w:rFonts w:asciiTheme="minorBidi" w:hAnsiTheme="minorBidi" w:cstheme="minorBidi"/>
          <w:lang w:val="en-GB"/>
        </w:rPr>
        <w:t>(3), 584–640.</w:t>
      </w:r>
    </w:p>
    <w:p w14:paraId="7B3402C2" w14:textId="77777777" w:rsidR="00E8337E" w:rsidRPr="00E8337E" w:rsidRDefault="00E8337E" w:rsidP="00E8337E">
      <w:pPr>
        <w:pStyle w:val="ListParagraph"/>
        <w:numPr>
          <w:ilvl w:val="0"/>
          <w:numId w:val="33"/>
        </w:numPr>
        <w:rPr>
          <w:rFonts w:asciiTheme="minorBidi" w:hAnsiTheme="minorBidi" w:cstheme="minorBidi"/>
          <w:lang w:val="en-GB"/>
        </w:rPr>
      </w:pPr>
      <w:r w:rsidRPr="00E8337E">
        <w:rPr>
          <w:rFonts w:asciiTheme="minorBidi" w:hAnsiTheme="minorBidi" w:cstheme="minorBidi"/>
          <w:lang w:val="en-GB"/>
        </w:rPr>
        <w:t xml:space="preserve">Vazquez-Boland, J. A., et al. (2017). Listeria monocytogenes: From ecology to pathogenesis. </w:t>
      </w:r>
      <w:r w:rsidRPr="00E8337E">
        <w:rPr>
          <w:rFonts w:asciiTheme="minorBidi" w:hAnsiTheme="minorBidi" w:cstheme="minorBidi"/>
          <w:i/>
          <w:iCs/>
          <w:lang w:val="en-GB"/>
        </w:rPr>
        <w:t>Microbiology Spectrum, 5</w:t>
      </w:r>
      <w:r w:rsidRPr="00E8337E">
        <w:rPr>
          <w:rFonts w:asciiTheme="minorBidi" w:hAnsiTheme="minorBidi" w:cstheme="minorBidi"/>
          <w:lang w:val="en-GB"/>
        </w:rPr>
        <w:t>(3), 1–22.</w:t>
      </w:r>
    </w:p>
    <w:p w14:paraId="60F21413" w14:textId="77777777" w:rsidR="00DA549F" w:rsidRPr="00DA549F" w:rsidRDefault="00DA549F" w:rsidP="00441B6F">
      <w:pPr>
        <w:rPr>
          <w:rFonts w:asciiTheme="minorBidi" w:hAnsiTheme="minorBidi" w:cstheme="minorBidi"/>
        </w:rPr>
      </w:pPr>
    </w:p>
    <w:p w14:paraId="412EC9D6" w14:textId="77777777" w:rsidR="00DA549F" w:rsidRPr="00315186" w:rsidRDefault="00DA549F" w:rsidP="00441B6F"/>
    <w:p w14:paraId="5921CE64" w14:textId="77777777" w:rsidR="002B685A" w:rsidRDefault="002B685A" w:rsidP="00441B6F">
      <w:pPr>
        <w:pStyle w:val="ReferHead"/>
        <w:spacing w:after="0"/>
        <w:jc w:val="both"/>
        <w:rPr>
          <w:rFonts w:ascii="Arial" w:hAnsi="Arial" w:cs="Arial"/>
          <w:b w:val="0"/>
          <w:caps w:val="0"/>
          <w:sz w:val="20"/>
        </w:rPr>
      </w:pPr>
    </w:p>
    <w:sectPr w:rsidR="002B685A" w:rsidSect="00262C10">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3605A" w14:textId="77777777" w:rsidR="00D57401" w:rsidRDefault="00D57401" w:rsidP="00C37E61">
      <w:r>
        <w:separator/>
      </w:r>
    </w:p>
  </w:endnote>
  <w:endnote w:type="continuationSeparator" w:id="0">
    <w:p w14:paraId="0D2B7615" w14:textId="77777777" w:rsidR="00D57401" w:rsidRDefault="00D574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C5B4" w14:textId="77777777" w:rsidR="00CC04D7" w:rsidRDefault="00CC0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FBAA6" w14:textId="44DB3447" w:rsidR="00C37E61" w:rsidRPr="00013EA3" w:rsidRDefault="00C37E61" w:rsidP="00013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BE17" w14:textId="77777777" w:rsidR="009E048A" w:rsidRDefault="009E048A">
    <w:pPr>
      <w:pStyle w:val="Footer"/>
      <w:rPr>
        <w:rFonts w:ascii="Arial" w:hAnsi="Arial" w:cs="Arial"/>
        <w:sz w:val="16"/>
      </w:rPr>
    </w:pPr>
  </w:p>
  <w:p w14:paraId="74D331A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2591F6" w14:textId="77777777" w:rsidR="009E048A" w:rsidRDefault="009E048A">
    <w:pPr>
      <w:pStyle w:val="Footer"/>
      <w:rPr>
        <w:rFonts w:ascii="Arial" w:hAnsi="Arial" w:cs="Arial"/>
        <w:sz w:val="16"/>
      </w:rPr>
    </w:pPr>
  </w:p>
  <w:p w14:paraId="6D5D7B9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570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B320B" w14:textId="77777777" w:rsidR="00D57401" w:rsidRDefault="00D57401" w:rsidP="00C37E61">
      <w:r>
        <w:separator/>
      </w:r>
    </w:p>
  </w:footnote>
  <w:footnote w:type="continuationSeparator" w:id="0">
    <w:p w14:paraId="6706AEF3" w14:textId="77777777" w:rsidR="00D57401" w:rsidRDefault="00D574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47E27" w14:textId="5E0623D2" w:rsidR="00CC04D7" w:rsidRDefault="00CC04D7">
    <w:pPr>
      <w:pStyle w:val="Header"/>
    </w:pPr>
    <w:r>
      <w:rPr>
        <w:noProof/>
      </w:rPr>
      <w:pict w14:anchorId="2E145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48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A0AD" w14:textId="44386F33" w:rsidR="00CC04D7" w:rsidRDefault="00CC04D7">
    <w:pPr>
      <w:pStyle w:val="Header"/>
    </w:pPr>
    <w:r>
      <w:rPr>
        <w:noProof/>
      </w:rPr>
      <w:pict w14:anchorId="6EF83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48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6B25" w14:textId="58378EF1" w:rsidR="00296529" w:rsidRPr="00296529" w:rsidRDefault="00CC04D7" w:rsidP="00296529">
    <w:pPr>
      <w:ind w:left="2160"/>
      <w:jc w:val="center"/>
      <w:rPr>
        <w:rFonts w:ascii="Times New Roman" w:eastAsia="Calibri" w:hAnsi="Times New Roman"/>
        <w:i/>
        <w:sz w:val="18"/>
        <w:szCs w:val="22"/>
      </w:rPr>
    </w:pPr>
    <w:r>
      <w:rPr>
        <w:noProof/>
      </w:rPr>
      <w:pict w14:anchorId="0A78D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48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BF531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E476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9837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9FD9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5A98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9ACB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61493" w14:textId="0178A92E" w:rsidR="00CC04D7" w:rsidRDefault="00CC04D7">
    <w:pPr>
      <w:pStyle w:val="Header"/>
    </w:pPr>
    <w:r>
      <w:rPr>
        <w:noProof/>
      </w:rPr>
      <w:pict w14:anchorId="77012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482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457F0" w14:textId="59A81D85" w:rsidR="00CC04D7" w:rsidRDefault="00CC04D7">
    <w:pPr>
      <w:pStyle w:val="Header"/>
    </w:pPr>
    <w:r>
      <w:rPr>
        <w:noProof/>
      </w:rPr>
      <w:pict w14:anchorId="37F55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482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1BAF5" w14:textId="21CB28F4" w:rsidR="00CC04D7" w:rsidRDefault="00CC04D7">
    <w:pPr>
      <w:pStyle w:val="Header"/>
    </w:pPr>
    <w:r>
      <w:rPr>
        <w:noProof/>
      </w:rPr>
      <w:pict w14:anchorId="4CD4F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482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3A00B5"/>
    <w:multiLevelType w:val="hybridMultilevel"/>
    <w:tmpl w:val="A9B2A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203AF0"/>
    <w:multiLevelType w:val="hybridMultilevel"/>
    <w:tmpl w:val="7610AAC8"/>
    <w:lvl w:ilvl="0" w:tplc="8376D0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E34F4F"/>
    <w:multiLevelType w:val="hybridMultilevel"/>
    <w:tmpl w:val="0456AA16"/>
    <w:lvl w:ilvl="0" w:tplc="61F468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744FBB"/>
    <w:multiLevelType w:val="hybridMultilevel"/>
    <w:tmpl w:val="0360F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2"/>
  </w:num>
  <w:num w:numId="21">
    <w:abstractNumId w:val="10"/>
  </w:num>
  <w:num w:numId="22">
    <w:abstractNumId w:val="15"/>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1"/>
  </w:num>
  <w:num w:numId="31">
    <w:abstractNumId w:val="19"/>
  </w:num>
  <w:num w:numId="32">
    <w:abstractNumId w:val="14"/>
  </w:num>
  <w:num w:numId="33">
    <w:abstractNumId w:val="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BDC"/>
    <w:rsid w:val="00013EA3"/>
    <w:rsid w:val="00030174"/>
    <w:rsid w:val="0004579C"/>
    <w:rsid w:val="000A47FA"/>
    <w:rsid w:val="000A65D3"/>
    <w:rsid w:val="000B1E33"/>
    <w:rsid w:val="000D689F"/>
    <w:rsid w:val="000E7B7B"/>
    <w:rsid w:val="000E7D62"/>
    <w:rsid w:val="000F400D"/>
    <w:rsid w:val="00103357"/>
    <w:rsid w:val="001109EF"/>
    <w:rsid w:val="00123C9F"/>
    <w:rsid w:val="00124CB3"/>
    <w:rsid w:val="00126190"/>
    <w:rsid w:val="00130F17"/>
    <w:rsid w:val="001320BF"/>
    <w:rsid w:val="00132A09"/>
    <w:rsid w:val="001342FD"/>
    <w:rsid w:val="001378C4"/>
    <w:rsid w:val="00153377"/>
    <w:rsid w:val="00163BC4"/>
    <w:rsid w:val="001744AB"/>
    <w:rsid w:val="00191062"/>
    <w:rsid w:val="00192B72"/>
    <w:rsid w:val="001956F1"/>
    <w:rsid w:val="00195F93"/>
    <w:rsid w:val="001A29D8"/>
    <w:rsid w:val="001A5CAA"/>
    <w:rsid w:val="001B0427"/>
    <w:rsid w:val="001C60FB"/>
    <w:rsid w:val="001D3A51"/>
    <w:rsid w:val="001E0D7C"/>
    <w:rsid w:val="001E10D2"/>
    <w:rsid w:val="001E25B4"/>
    <w:rsid w:val="001E44FE"/>
    <w:rsid w:val="00200595"/>
    <w:rsid w:val="002006CD"/>
    <w:rsid w:val="00204835"/>
    <w:rsid w:val="00231920"/>
    <w:rsid w:val="0023195C"/>
    <w:rsid w:val="0024282C"/>
    <w:rsid w:val="002460DC"/>
    <w:rsid w:val="00250985"/>
    <w:rsid w:val="002556F6"/>
    <w:rsid w:val="00262C10"/>
    <w:rsid w:val="00283105"/>
    <w:rsid w:val="00284C4C"/>
    <w:rsid w:val="00286211"/>
    <w:rsid w:val="00287E68"/>
    <w:rsid w:val="00296529"/>
    <w:rsid w:val="002A178E"/>
    <w:rsid w:val="002B27FB"/>
    <w:rsid w:val="002B685A"/>
    <w:rsid w:val="002C23D7"/>
    <w:rsid w:val="002C57D2"/>
    <w:rsid w:val="002E0D56"/>
    <w:rsid w:val="0030058A"/>
    <w:rsid w:val="0031020C"/>
    <w:rsid w:val="00315186"/>
    <w:rsid w:val="00320064"/>
    <w:rsid w:val="00326349"/>
    <w:rsid w:val="003276DC"/>
    <w:rsid w:val="0033343E"/>
    <w:rsid w:val="003512C2"/>
    <w:rsid w:val="00371FB6"/>
    <w:rsid w:val="003763C1"/>
    <w:rsid w:val="00376BBE"/>
    <w:rsid w:val="0039224F"/>
    <w:rsid w:val="0039430B"/>
    <w:rsid w:val="003A43A4"/>
    <w:rsid w:val="003A7E18"/>
    <w:rsid w:val="003B1FEA"/>
    <w:rsid w:val="003C4C86"/>
    <w:rsid w:val="003C6258"/>
    <w:rsid w:val="003D74C8"/>
    <w:rsid w:val="003E2904"/>
    <w:rsid w:val="00401927"/>
    <w:rsid w:val="0041027F"/>
    <w:rsid w:val="00412475"/>
    <w:rsid w:val="00423789"/>
    <w:rsid w:val="00440F43"/>
    <w:rsid w:val="00441B6F"/>
    <w:rsid w:val="00446221"/>
    <w:rsid w:val="00450E62"/>
    <w:rsid w:val="004539DB"/>
    <w:rsid w:val="004608FE"/>
    <w:rsid w:val="00471A80"/>
    <w:rsid w:val="004B1F9D"/>
    <w:rsid w:val="004D305E"/>
    <w:rsid w:val="004D4277"/>
    <w:rsid w:val="005012AB"/>
    <w:rsid w:val="00502516"/>
    <w:rsid w:val="00505F06"/>
    <w:rsid w:val="00506828"/>
    <w:rsid w:val="0053056E"/>
    <w:rsid w:val="0055422D"/>
    <w:rsid w:val="00554FDA"/>
    <w:rsid w:val="00594ADE"/>
    <w:rsid w:val="005955B6"/>
    <w:rsid w:val="005B12D9"/>
    <w:rsid w:val="005C784C"/>
    <w:rsid w:val="005D17F6"/>
    <w:rsid w:val="005E5539"/>
    <w:rsid w:val="00602BF5"/>
    <w:rsid w:val="00617FDD"/>
    <w:rsid w:val="00621659"/>
    <w:rsid w:val="00627E1F"/>
    <w:rsid w:val="00633614"/>
    <w:rsid w:val="00633F68"/>
    <w:rsid w:val="00636EB2"/>
    <w:rsid w:val="006375B8"/>
    <w:rsid w:val="00637704"/>
    <w:rsid w:val="00640FAD"/>
    <w:rsid w:val="0064579A"/>
    <w:rsid w:val="00652D3F"/>
    <w:rsid w:val="00653460"/>
    <w:rsid w:val="006573C9"/>
    <w:rsid w:val="0066510A"/>
    <w:rsid w:val="00673F9F"/>
    <w:rsid w:val="00686953"/>
    <w:rsid w:val="00687DEA"/>
    <w:rsid w:val="00687E67"/>
    <w:rsid w:val="006967F7"/>
    <w:rsid w:val="006A250C"/>
    <w:rsid w:val="006B21D3"/>
    <w:rsid w:val="006B57D0"/>
    <w:rsid w:val="006D30FF"/>
    <w:rsid w:val="006D6940"/>
    <w:rsid w:val="006F11EC"/>
    <w:rsid w:val="0070082C"/>
    <w:rsid w:val="0073465B"/>
    <w:rsid w:val="007369E6"/>
    <w:rsid w:val="00746E59"/>
    <w:rsid w:val="00754C9A"/>
    <w:rsid w:val="0075599A"/>
    <w:rsid w:val="00761D52"/>
    <w:rsid w:val="0077749E"/>
    <w:rsid w:val="00790ADA"/>
    <w:rsid w:val="007C0E26"/>
    <w:rsid w:val="007D2288"/>
    <w:rsid w:val="007E088F"/>
    <w:rsid w:val="007F199D"/>
    <w:rsid w:val="007F7B32"/>
    <w:rsid w:val="00804BC2"/>
    <w:rsid w:val="0081431A"/>
    <w:rsid w:val="0083216F"/>
    <w:rsid w:val="00860000"/>
    <w:rsid w:val="008607AA"/>
    <w:rsid w:val="00863BD3"/>
    <w:rsid w:val="008641ED"/>
    <w:rsid w:val="00866D66"/>
    <w:rsid w:val="008671C6"/>
    <w:rsid w:val="00875803"/>
    <w:rsid w:val="00897048"/>
    <w:rsid w:val="008B459E"/>
    <w:rsid w:val="008D7438"/>
    <w:rsid w:val="008E13AE"/>
    <w:rsid w:val="008E1506"/>
    <w:rsid w:val="008E710C"/>
    <w:rsid w:val="008F69D6"/>
    <w:rsid w:val="00901EE2"/>
    <w:rsid w:val="00902823"/>
    <w:rsid w:val="00914543"/>
    <w:rsid w:val="00915CA6"/>
    <w:rsid w:val="00927834"/>
    <w:rsid w:val="009500A6"/>
    <w:rsid w:val="00957C18"/>
    <w:rsid w:val="009659BA"/>
    <w:rsid w:val="00983040"/>
    <w:rsid w:val="00997063"/>
    <w:rsid w:val="009B3FB9"/>
    <w:rsid w:val="009C2465"/>
    <w:rsid w:val="009D35A0"/>
    <w:rsid w:val="009D7EB7"/>
    <w:rsid w:val="009E048A"/>
    <w:rsid w:val="009E08E9"/>
    <w:rsid w:val="009E3DB9"/>
    <w:rsid w:val="009E6E35"/>
    <w:rsid w:val="009F0EDA"/>
    <w:rsid w:val="00A03B96"/>
    <w:rsid w:val="00A044CF"/>
    <w:rsid w:val="00A05B19"/>
    <w:rsid w:val="00A1134E"/>
    <w:rsid w:val="00A16A5C"/>
    <w:rsid w:val="00A24E7E"/>
    <w:rsid w:val="00A258C3"/>
    <w:rsid w:val="00A347C0"/>
    <w:rsid w:val="00A36C4C"/>
    <w:rsid w:val="00A44518"/>
    <w:rsid w:val="00A51431"/>
    <w:rsid w:val="00A539AD"/>
    <w:rsid w:val="00A55C7E"/>
    <w:rsid w:val="00A63454"/>
    <w:rsid w:val="00A94063"/>
    <w:rsid w:val="00AA6219"/>
    <w:rsid w:val="00AA74E0"/>
    <w:rsid w:val="00AB703F"/>
    <w:rsid w:val="00AC6BB8"/>
    <w:rsid w:val="00AE008F"/>
    <w:rsid w:val="00AF07D6"/>
    <w:rsid w:val="00B01FCD"/>
    <w:rsid w:val="00B1776C"/>
    <w:rsid w:val="00B23AB6"/>
    <w:rsid w:val="00B32F33"/>
    <w:rsid w:val="00B404FD"/>
    <w:rsid w:val="00B52583"/>
    <w:rsid w:val="00B52896"/>
    <w:rsid w:val="00B77660"/>
    <w:rsid w:val="00B95236"/>
    <w:rsid w:val="00B96BD9"/>
    <w:rsid w:val="00BA1B01"/>
    <w:rsid w:val="00BA2641"/>
    <w:rsid w:val="00BB37AA"/>
    <w:rsid w:val="00BC53A0"/>
    <w:rsid w:val="00BE3079"/>
    <w:rsid w:val="00BE62AD"/>
    <w:rsid w:val="00BF121F"/>
    <w:rsid w:val="00BF1F80"/>
    <w:rsid w:val="00C129A5"/>
    <w:rsid w:val="00C166EF"/>
    <w:rsid w:val="00C17EB0"/>
    <w:rsid w:val="00C27F5F"/>
    <w:rsid w:val="00C30A0F"/>
    <w:rsid w:val="00C37E61"/>
    <w:rsid w:val="00C70F1B"/>
    <w:rsid w:val="00C71A47"/>
    <w:rsid w:val="00C7464C"/>
    <w:rsid w:val="00C85588"/>
    <w:rsid w:val="00CA15B5"/>
    <w:rsid w:val="00CC04D7"/>
    <w:rsid w:val="00CD6755"/>
    <w:rsid w:val="00CD6856"/>
    <w:rsid w:val="00CD76C6"/>
    <w:rsid w:val="00CE0089"/>
    <w:rsid w:val="00CE793C"/>
    <w:rsid w:val="00CF193C"/>
    <w:rsid w:val="00CF51D8"/>
    <w:rsid w:val="00D173F1"/>
    <w:rsid w:val="00D57401"/>
    <w:rsid w:val="00D74CB0"/>
    <w:rsid w:val="00D8295D"/>
    <w:rsid w:val="00D877D7"/>
    <w:rsid w:val="00DA549F"/>
    <w:rsid w:val="00DC2A65"/>
    <w:rsid w:val="00DE15F0"/>
    <w:rsid w:val="00DE5663"/>
    <w:rsid w:val="00DE78AA"/>
    <w:rsid w:val="00E053D0"/>
    <w:rsid w:val="00E15994"/>
    <w:rsid w:val="00E22CB7"/>
    <w:rsid w:val="00E30790"/>
    <w:rsid w:val="00E3114E"/>
    <w:rsid w:val="00E31A70"/>
    <w:rsid w:val="00E35B02"/>
    <w:rsid w:val="00E66496"/>
    <w:rsid w:val="00E66B35"/>
    <w:rsid w:val="00E66E10"/>
    <w:rsid w:val="00E769F6"/>
    <w:rsid w:val="00E8337E"/>
    <w:rsid w:val="00E8407C"/>
    <w:rsid w:val="00E84F3C"/>
    <w:rsid w:val="00E8560A"/>
    <w:rsid w:val="00EA012C"/>
    <w:rsid w:val="00EC2CB1"/>
    <w:rsid w:val="00EC6A55"/>
    <w:rsid w:val="00ED0288"/>
    <w:rsid w:val="00EE52CB"/>
    <w:rsid w:val="00EF581D"/>
    <w:rsid w:val="00EF7FD8"/>
    <w:rsid w:val="00F06F59"/>
    <w:rsid w:val="00F17988"/>
    <w:rsid w:val="00F469F0"/>
    <w:rsid w:val="00F53273"/>
    <w:rsid w:val="00F755E4"/>
    <w:rsid w:val="00F77D02"/>
    <w:rsid w:val="00F9486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E0D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E0D7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9430B"/>
    <w:pPr>
      <w:ind w:left="720"/>
      <w:contextualSpacing/>
    </w:pPr>
  </w:style>
  <w:style w:type="table" w:customStyle="1" w:styleId="1">
    <w:name w:val="شبكة جدول1"/>
    <w:basedOn w:val="TableNormal"/>
    <w:next w:val="TableGrid"/>
    <w:uiPriority w:val="59"/>
    <w:rsid w:val="00A044C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1F230-B385-48BE-8129-0E28B77D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TotalTime>
  <Pages>5</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13744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75</cp:revision>
  <cp:lastPrinted>1999-07-06T11:00:00Z</cp:lastPrinted>
  <dcterms:created xsi:type="dcterms:W3CDTF">2014-10-25T14:34:00Z</dcterms:created>
  <dcterms:modified xsi:type="dcterms:W3CDTF">2025-11-13T12:00:00Z</dcterms:modified>
</cp:coreProperties>
</file>