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C96FD" w14:textId="7860AB48" w:rsidR="002F2CB3" w:rsidRPr="003C3A40" w:rsidRDefault="003F218F" w:rsidP="00ED0DCB">
      <w:pPr>
        <w:spacing w:before="100" w:beforeAutospacing="1" w:after="100" w:afterAutospacing="1"/>
        <w:contextualSpacing/>
        <w:jc w:val="right"/>
        <w:rPr>
          <w:rFonts w:ascii="Arial" w:eastAsia="Times New Roman" w:hAnsi="Arial" w:cs="Arial"/>
          <w:b/>
          <w:bCs/>
          <w:sz w:val="28"/>
          <w:szCs w:val="28"/>
          <w:lang w:val="en-IN" w:eastAsia="en-IN" w:bidi="ar-SA"/>
        </w:rPr>
      </w:pPr>
      <w:r w:rsidRPr="003C3A40">
        <w:rPr>
          <w:rFonts w:ascii="Arial" w:eastAsia="Times New Roman" w:hAnsi="Arial" w:cs="Arial"/>
          <w:b/>
          <w:bCs/>
          <w:sz w:val="28"/>
          <w:szCs w:val="28"/>
          <w:lang w:val="en-IN" w:eastAsia="en-IN" w:bidi="ar-SA"/>
        </w:rPr>
        <w:t>Influence</w:t>
      </w:r>
      <w:r w:rsidR="008D029F" w:rsidRPr="003C3A40">
        <w:rPr>
          <w:rFonts w:ascii="Arial" w:eastAsia="Times New Roman" w:hAnsi="Arial" w:cs="Arial"/>
          <w:b/>
          <w:bCs/>
          <w:sz w:val="28"/>
          <w:szCs w:val="28"/>
          <w:lang w:val="en-IN" w:eastAsia="en-IN" w:bidi="ar-SA"/>
        </w:rPr>
        <w:t xml:space="preserve"> </w:t>
      </w:r>
      <w:r w:rsidRPr="003C3A40">
        <w:rPr>
          <w:rFonts w:ascii="Arial" w:eastAsia="Times New Roman" w:hAnsi="Arial" w:cs="Arial"/>
          <w:b/>
          <w:bCs/>
          <w:sz w:val="28"/>
          <w:szCs w:val="28"/>
          <w:lang w:val="en-IN" w:eastAsia="en-IN" w:bidi="ar-SA"/>
        </w:rPr>
        <w:t xml:space="preserve">of </w:t>
      </w:r>
      <w:r w:rsidR="00305BE5">
        <w:rPr>
          <w:rFonts w:ascii="Arial" w:eastAsia="Times New Roman" w:hAnsi="Arial" w:cs="Arial"/>
          <w:b/>
          <w:bCs/>
          <w:sz w:val="28"/>
          <w:szCs w:val="28"/>
          <w:lang w:val="en-IN" w:eastAsia="en-IN" w:bidi="ar-SA"/>
        </w:rPr>
        <w:t xml:space="preserve">different </w:t>
      </w:r>
      <w:r w:rsidR="002F2CB3" w:rsidRPr="003C3A40">
        <w:rPr>
          <w:rFonts w:ascii="Arial" w:eastAsia="Times New Roman" w:hAnsi="Arial" w:cs="Arial"/>
          <w:b/>
          <w:bCs/>
          <w:sz w:val="28"/>
          <w:szCs w:val="28"/>
          <w:lang w:val="en-IN" w:eastAsia="en-IN" w:bidi="ar-SA"/>
        </w:rPr>
        <w:t>sources and levels of phosphorus on nutrient use efficiency (NUE) and properties of low calcareous soil</w:t>
      </w:r>
    </w:p>
    <w:p w14:paraId="18077A79" w14:textId="77777777" w:rsidR="006146F9" w:rsidRDefault="006146F9" w:rsidP="00245A8B">
      <w:pPr>
        <w:spacing w:before="100" w:beforeAutospacing="1" w:after="100" w:afterAutospacing="1"/>
        <w:contextualSpacing/>
        <w:jc w:val="both"/>
        <w:rPr>
          <w:rFonts w:ascii="Arial" w:eastAsia="Times New Roman" w:hAnsi="Arial" w:cs="Arial"/>
          <w:b/>
          <w:bCs/>
          <w:szCs w:val="22"/>
          <w:lang w:val="en-IN" w:eastAsia="en-IN" w:bidi="ar-SA"/>
        </w:rPr>
      </w:pPr>
    </w:p>
    <w:p w14:paraId="0715D303" w14:textId="316F5B1F" w:rsidR="0002724E" w:rsidRPr="003C3A40" w:rsidRDefault="0002724E"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w:t>
      </w:r>
      <w:r w:rsidR="00C573DC" w:rsidRPr="003C3A40">
        <w:rPr>
          <w:rFonts w:ascii="Arial" w:eastAsia="Times New Roman" w:hAnsi="Arial" w:cs="Arial"/>
          <w:b/>
          <w:bCs/>
          <w:szCs w:val="22"/>
          <w:lang w:val="en-IN" w:eastAsia="en-IN" w:bidi="ar-SA"/>
        </w:rPr>
        <w:t>-----------</w:t>
      </w:r>
    </w:p>
    <w:p w14:paraId="6B4CC998" w14:textId="40201FE5" w:rsidR="0002724E" w:rsidRPr="003C3A40" w:rsidRDefault="00C573DC" w:rsidP="00245A8B">
      <w:pPr>
        <w:spacing w:before="100" w:beforeAutospacing="1" w:after="100" w:afterAutospacing="1"/>
        <w:contextualSpacing/>
        <w:jc w:val="both"/>
        <w:rPr>
          <w:rFonts w:ascii="Arial" w:eastAsia="Times New Roman" w:hAnsi="Arial" w:cs="Arial"/>
          <w:b/>
          <w:bCs/>
          <w:szCs w:val="22"/>
          <w:lang w:val="en-IN" w:eastAsia="en-IN" w:bidi="ar-SA"/>
        </w:rPr>
      </w:pPr>
      <w:r w:rsidRPr="003C3A40">
        <w:rPr>
          <w:rFonts w:ascii="Arial" w:eastAsia="Times New Roman" w:hAnsi="Arial" w:cs="Arial"/>
          <w:b/>
          <w:bCs/>
          <w:szCs w:val="22"/>
          <w:lang w:val="en-IN" w:eastAsia="en-IN" w:bidi="ar-SA"/>
        </w:rPr>
        <w:t>ABSTRACT</w:t>
      </w:r>
    </w:p>
    <w:p w14:paraId="675A4B4F" w14:textId="28B4D905" w:rsidR="002471B3" w:rsidRPr="003C3A40" w:rsidRDefault="0002724E" w:rsidP="00ED0DCB">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3C3A40">
        <w:rPr>
          <w:rFonts w:ascii="Arial" w:hAnsi="Arial" w:cs="Arial"/>
          <w:sz w:val="20"/>
        </w:rPr>
        <w:t xml:space="preserve">A field experiment was conducted during </w:t>
      </w:r>
      <w:r w:rsidRPr="003C3A40">
        <w:rPr>
          <w:rFonts w:ascii="Arial" w:hAnsi="Arial" w:cs="Arial"/>
          <w:i/>
          <w:iCs/>
          <w:sz w:val="20"/>
        </w:rPr>
        <w:t>kharif</w:t>
      </w:r>
      <w:r w:rsidRPr="003C3A40">
        <w:rPr>
          <w:rFonts w:ascii="Arial" w:hAnsi="Arial" w:cs="Arial"/>
          <w:sz w:val="20"/>
        </w:rPr>
        <w:t xml:space="preserve"> season of 2023 at Post Graduate Instructional </w:t>
      </w:r>
      <w:r w:rsidR="00A25D5B">
        <w:rPr>
          <w:rFonts w:ascii="Arial" w:hAnsi="Arial" w:cs="Arial"/>
          <w:sz w:val="20"/>
        </w:rPr>
        <w:t>F</w:t>
      </w:r>
      <w:r w:rsidRPr="003C3A40">
        <w:rPr>
          <w:rFonts w:ascii="Arial" w:hAnsi="Arial" w:cs="Arial"/>
          <w:sz w:val="20"/>
        </w:rPr>
        <w:t xml:space="preserve">arm, College of Agriculture, Pune to study the impact of different phosphorus sources and levels on soybean growth and nutrient uptake in low calcareous soil. The experiment was laid out in randomized block design having eight treatments with three replications. The treatments comprised </w:t>
      </w:r>
      <w:r w:rsidRPr="003C3A40">
        <w:rPr>
          <w:rFonts w:ascii="Arial" w:hAnsi="Arial" w:cs="Arial"/>
          <w:b/>
          <w:bCs/>
          <w:sz w:val="20"/>
        </w:rPr>
        <w:t>T</w:t>
      </w:r>
      <w:r w:rsidRPr="003C3A40">
        <w:rPr>
          <w:rFonts w:ascii="Arial" w:hAnsi="Arial" w:cs="Arial"/>
          <w:b/>
          <w:bCs/>
          <w:sz w:val="20"/>
          <w:vertAlign w:val="subscript"/>
        </w:rPr>
        <w:t>1</w:t>
      </w:r>
      <w:r w:rsidRPr="003C3A40">
        <w:rPr>
          <w:rFonts w:ascii="Arial" w:hAnsi="Arial" w:cs="Arial"/>
          <w:sz w:val="20"/>
          <w:vertAlign w:val="subscript"/>
        </w:rPr>
        <w:t xml:space="preserve"> </w:t>
      </w:r>
      <w:r w:rsidRPr="003C3A40">
        <w:rPr>
          <w:rFonts w:ascii="Arial" w:hAnsi="Arial" w:cs="Arial"/>
          <w:sz w:val="20"/>
        </w:rPr>
        <w:t xml:space="preserve">- Absolute control, </w:t>
      </w:r>
      <w:r w:rsidRPr="003C3A40">
        <w:rPr>
          <w:rFonts w:ascii="Arial" w:hAnsi="Arial" w:cs="Arial"/>
          <w:b/>
          <w:bCs/>
          <w:sz w:val="20"/>
        </w:rPr>
        <w:t>T</w:t>
      </w:r>
      <w:r w:rsidRPr="003C3A40">
        <w:rPr>
          <w:rFonts w:ascii="Arial" w:hAnsi="Arial" w:cs="Arial"/>
          <w:b/>
          <w:bCs/>
          <w:sz w:val="20"/>
          <w:vertAlign w:val="subscript"/>
        </w:rPr>
        <w:t>2</w:t>
      </w:r>
      <w:r w:rsidRPr="003C3A40">
        <w:rPr>
          <w:rFonts w:ascii="Arial" w:hAnsi="Arial" w:cs="Arial"/>
          <w:b/>
          <w:bCs/>
          <w:sz w:val="20"/>
        </w:rPr>
        <w:t xml:space="preserve"> </w:t>
      </w:r>
      <w:r w:rsidRPr="003C3A40">
        <w:rPr>
          <w:rFonts w:ascii="Arial" w:hAnsi="Arial" w:cs="Arial"/>
          <w:sz w:val="20"/>
        </w:rPr>
        <w:t xml:space="preserve">- </w:t>
      </w:r>
      <w:r w:rsidRPr="003C3A40">
        <w:rPr>
          <w:rFonts w:ascii="Arial" w:hAnsi="Arial" w:cs="Arial"/>
          <w:color w:val="000000"/>
          <w:sz w:val="20"/>
        </w:rPr>
        <w:t>RDF (50:75:45 kg ha</w:t>
      </w:r>
      <w:r w:rsidRPr="003C3A40">
        <w:rPr>
          <w:rFonts w:ascii="Arial" w:hAnsi="Arial" w:cs="Arial"/>
          <w:color w:val="000000"/>
          <w:sz w:val="20"/>
          <w:vertAlign w:val="superscript"/>
        </w:rPr>
        <w:t>-1</w:t>
      </w:r>
      <w:r w:rsidRPr="003C3A40">
        <w:rPr>
          <w:rFonts w:ascii="Arial" w:hAnsi="Arial" w:cs="Arial"/>
          <w:color w:val="000000"/>
          <w:sz w:val="20"/>
        </w:rPr>
        <w:t xml:space="preserve"> N: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K</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3</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50%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PROM</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 xml:space="preserve">4 </w:t>
      </w:r>
      <w:r w:rsidRPr="003C3A40">
        <w:rPr>
          <w:rFonts w:ascii="Arial" w:hAnsi="Arial" w:cs="Arial"/>
          <w:sz w:val="20"/>
        </w:rPr>
        <w:t xml:space="preserve">- </w:t>
      </w:r>
      <w:r w:rsidRPr="003C3A40">
        <w:rPr>
          <w:rFonts w:ascii="Arial" w:hAnsi="Arial" w:cs="Arial"/>
          <w:color w:val="000000"/>
          <w:sz w:val="20"/>
        </w:rPr>
        <w:t>75%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PROM</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5</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PROM</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6</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DAP + FYM @12.5 t ha</w:t>
      </w:r>
      <w:r w:rsidRPr="003C3A40">
        <w:rPr>
          <w:rFonts w:ascii="Arial" w:hAnsi="Arial" w:cs="Arial"/>
          <w:color w:val="000000"/>
          <w:sz w:val="20"/>
          <w:vertAlign w:val="superscript"/>
        </w:rPr>
        <w:t>-1</w:t>
      </w:r>
      <w:r w:rsidRPr="003C3A40">
        <w:rPr>
          <w:rFonts w:ascii="Arial" w:hAnsi="Arial" w:cs="Arial"/>
          <w:sz w:val="20"/>
        </w:rPr>
        <w:t xml:space="preserve">, </w:t>
      </w:r>
      <w:r w:rsidRPr="003C3A40">
        <w:rPr>
          <w:rFonts w:ascii="Arial" w:hAnsi="Arial" w:cs="Arial"/>
          <w:b/>
          <w:bCs/>
          <w:sz w:val="20"/>
        </w:rPr>
        <w:t>T</w:t>
      </w:r>
      <w:r w:rsidRPr="003C3A40">
        <w:rPr>
          <w:rFonts w:ascii="Arial" w:hAnsi="Arial" w:cs="Arial"/>
          <w:b/>
          <w:bCs/>
          <w:sz w:val="20"/>
          <w:vertAlign w:val="subscript"/>
        </w:rPr>
        <w:t>7</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SSP + FYM @12.5 t ha</w:t>
      </w:r>
      <w:r w:rsidRPr="003C3A40">
        <w:rPr>
          <w:rFonts w:ascii="Arial" w:hAnsi="Arial" w:cs="Arial"/>
          <w:color w:val="000000"/>
          <w:sz w:val="20"/>
          <w:vertAlign w:val="superscript"/>
        </w:rPr>
        <w:t>-1</w:t>
      </w:r>
      <w:r w:rsidRPr="003C3A40">
        <w:rPr>
          <w:rFonts w:ascii="Arial" w:hAnsi="Arial" w:cs="Arial"/>
          <w:sz w:val="20"/>
        </w:rPr>
        <w:t xml:space="preserve"> and </w:t>
      </w:r>
      <w:r w:rsidRPr="003C3A40">
        <w:rPr>
          <w:rFonts w:ascii="Arial" w:hAnsi="Arial" w:cs="Arial"/>
          <w:b/>
          <w:bCs/>
          <w:sz w:val="20"/>
        </w:rPr>
        <w:t>T</w:t>
      </w:r>
      <w:r w:rsidRPr="003C3A40">
        <w:rPr>
          <w:rFonts w:ascii="Arial" w:hAnsi="Arial" w:cs="Arial"/>
          <w:b/>
          <w:bCs/>
          <w:sz w:val="20"/>
          <w:vertAlign w:val="subscript"/>
        </w:rPr>
        <w:t>8</w:t>
      </w:r>
      <w:r w:rsidRPr="003C3A40">
        <w:rPr>
          <w:rFonts w:ascii="Arial" w:hAnsi="Arial" w:cs="Arial"/>
          <w:sz w:val="20"/>
          <w:vertAlign w:val="subscript"/>
        </w:rPr>
        <w:t xml:space="preserve"> </w:t>
      </w:r>
      <w:r w:rsidRPr="003C3A40">
        <w:rPr>
          <w:rFonts w:ascii="Arial" w:hAnsi="Arial" w:cs="Arial"/>
          <w:sz w:val="20"/>
        </w:rPr>
        <w:t xml:space="preserve">- </w:t>
      </w:r>
      <w:r w:rsidRPr="003C3A40">
        <w:rPr>
          <w:rFonts w:ascii="Arial" w:hAnsi="Arial" w:cs="Arial"/>
          <w:color w:val="000000"/>
          <w:sz w:val="20"/>
        </w:rPr>
        <w:t>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5</w:t>
      </w:r>
      <w:r w:rsidRPr="003C3A40">
        <w:rPr>
          <w:rFonts w:ascii="Arial" w:hAnsi="Arial" w:cs="Arial"/>
          <w:color w:val="000000"/>
          <w:sz w:val="20"/>
        </w:rPr>
        <w:t xml:space="preserve"> through vermicompost. The soil of experimental site was clay loam in texture. The findings of the present investigation revealed that </w:t>
      </w:r>
      <w:r w:rsidR="002471B3" w:rsidRPr="003C3A40">
        <w:rPr>
          <w:rFonts w:ascii="Arial" w:hAnsi="Arial" w:cs="Arial"/>
          <w:sz w:val="20"/>
        </w:rPr>
        <w:t xml:space="preserve">the higher nutrient use efficiency was registered in treatment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5</w:t>
      </w:r>
      <w:r w:rsidR="002471B3" w:rsidRPr="003C3A40">
        <w:rPr>
          <w:rFonts w:ascii="Arial" w:hAnsi="Arial" w:cs="Arial"/>
          <w:sz w:val="20"/>
        </w:rPr>
        <w:t xml:space="preserve"> through SSP + FYM @12.5 </w:t>
      </w:r>
      <w:r w:rsidR="002471B3" w:rsidRPr="003C3A40">
        <w:rPr>
          <w:rFonts w:ascii="Arial" w:hAnsi="Arial" w:cs="Arial"/>
          <w:color w:val="000000"/>
          <w:sz w:val="20"/>
        </w:rPr>
        <w:t>t ha</w:t>
      </w:r>
      <w:r w:rsidR="002471B3" w:rsidRPr="003C3A40">
        <w:rPr>
          <w:rFonts w:ascii="Arial" w:hAnsi="Arial" w:cs="Arial"/>
          <w:color w:val="000000"/>
          <w:sz w:val="20"/>
          <w:vertAlign w:val="superscript"/>
        </w:rPr>
        <w:t xml:space="preserve">-1 </w:t>
      </w:r>
      <w:r w:rsidR="002471B3" w:rsidRPr="003C3A40">
        <w:rPr>
          <w:rFonts w:ascii="Arial" w:hAnsi="Arial" w:cs="Arial"/>
          <w:sz w:val="20"/>
        </w:rPr>
        <w:t>(16.25 kg kg</w:t>
      </w:r>
      <w:r w:rsidR="002471B3" w:rsidRPr="003C3A40">
        <w:rPr>
          <w:rFonts w:ascii="Arial" w:hAnsi="Arial" w:cs="Arial"/>
          <w:sz w:val="20"/>
          <w:vertAlign w:val="superscript"/>
        </w:rPr>
        <w:t>-1</w:t>
      </w:r>
      <w:r w:rsidR="002471B3" w:rsidRPr="003C3A40">
        <w:rPr>
          <w:rFonts w:ascii="Arial" w:hAnsi="Arial" w:cs="Arial"/>
          <w:sz w:val="20"/>
        </w:rPr>
        <w:t xml:space="preserve">). The application of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 xml:space="preserve">5 </w:t>
      </w:r>
      <w:r w:rsidR="002471B3" w:rsidRPr="003C3A40">
        <w:rPr>
          <w:rFonts w:ascii="Arial" w:hAnsi="Arial" w:cs="Arial"/>
          <w:sz w:val="20"/>
        </w:rPr>
        <w:t>through PROM recorded higher nutrient use efficiency (13.31 kg kg</w:t>
      </w:r>
      <w:r w:rsidR="002471B3" w:rsidRPr="003C3A40">
        <w:rPr>
          <w:rFonts w:ascii="Arial" w:hAnsi="Arial" w:cs="Arial"/>
          <w:sz w:val="20"/>
          <w:vertAlign w:val="superscript"/>
        </w:rPr>
        <w:t>-1</w:t>
      </w:r>
      <w:r w:rsidR="002471B3" w:rsidRPr="003C3A40">
        <w:rPr>
          <w:rFonts w:ascii="Arial" w:hAnsi="Arial" w:cs="Arial"/>
          <w:sz w:val="20"/>
        </w:rPr>
        <w:t>) over RDF (11.52 kg kg</w:t>
      </w:r>
      <w:r w:rsidR="002471B3" w:rsidRPr="003C3A40">
        <w:rPr>
          <w:rFonts w:ascii="Arial" w:hAnsi="Arial" w:cs="Arial"/>
          <w:sz w:val="20"/>
          <w:vertAlign w:val="superscript"/>
        </w:rPr>
        <w:t>-1</w:t>
      </w:r>
      <w:r w:rsidR="002471B3" w:rsidRPr="003C3A40">
        <w:rPr>
          <w:rFonts w:ascii="Arial" w:hAnsi="Arial" w:cs="Arial"/>
          <w:sz w:val="20"/>
        </w:rPr>
        <w:t xml:space="preserve">). In respect of agronomic nutrient use efficiency,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5</w:t>
      </w:r>
      <w:r w:rsidR="002471B3" w:rsidRPr="003C3A40">
        <w:rPr>
          <w:rFonts w:ascii="Arial" w:hAnsi="Arial" w:cs="Arial"/>
          <w:sz w:val="20"/>
        </w:rPr>
        <w:t xml:space="preserve"> through SSP + FYM @12.5 </w:t>
      </w:r>
      <w:r w:rsidR="002471B3" w:rsidRPr="003C3A40">
        <w:rPr>
          <w:rFonts w:ascii="Arial" w:hAnsi="Arial" w:cs="Arial"/>
          <w:color w:val="000000"/>
          <w:sz w:val="20"/>
        </w:rPr>
        <w:t>t ha</w:t>
      </w:r>
      <w:r w:rsidR="002471B3" w:rsidRPr="003C3A40">
        <w:rPr>
          <w:rFonts w:ascii="Arial" w:hAnsi="Arial" w:cs="Arial"/>
          <w:color w:val="000000"/>
          <w:sz w:val="20"/>
          <w:vertAlign w:val="superscript"/>
        </w:rPr>
        <w:t xml:space="preserve">-1 </w:t>
      </w:r>
      <w:r w:rsidR="002471B3" w:rsidRPr="003C3A40">
        <w:rPr>
          <w:rFonts w:ascii="Arial" w:hAnsi="Arial" w:cs="Arial"/>
          <w:color w:val="000000"/>
          <w:sz w:val="20"/>
        </w:rPr>
        <w:t xml:space="preserve">registered higher nitrogen </w:t>
      </w:r>
      <w:r w:rsidR="002471B3" w:rsidRPr="003C3A40">
        <w:rPr>
          <w:rFonts w:ascii="Arial" w:hAnsi="Arial" w:cs="Arial"/>
          <w:sz w:val="20"/>
        </w:rPr>
        <w:t>(40 kg grain kg nutrient</w:t>
      </w:r>
      <w:r w:rsidR="002471B3" w:rsidRPr="003C3A40">
        <w:rPr>
          <w:rFonts w:ascii="Arial" w:hAnsi="Arial" w:cs="Arial"/>
          <w:sz w:val="20"/>
          <w:vertAlign w:val="superscript"/>
        </w:rPr>
        <w:t>-1</w:t>
      </w:r>
      <w:r w:rsidR="002471B3" w:rsidRPr="003C3A40">
        <w:rPr>
          <w:rFonts w:ascii="Arial" w:hAnsi="Arial" w:cs="Arial"/>
          <w:sz w:val="20"/>
        </w:rPr>
        <w:t>)</w:t>
      </w:r>
      <w:r w:rsidR="002471B3" w:rsidRPr="003C3A40">
        <w:rPr>
          <w:rFonts w:ascii="Arial" w:hAnsi="Arial" w:cs="Arial"/>
          <w:color w:val="000000"/>
          <w:sz w:val="20"/>
        </w:rPr>
        <w:t xml:space="preserve">, </w:t>
      </w:r>
      <w:r w:rsidR="002471B3" w:rsidRPr="003C3A40">
        <w:rPr>
          <w:rFonts w:ascii="Arial" w:hAnsi="Arial" w:cs="Arial"/>
          <w:sz w:val="20"/>
        </w:rPr>
        <w:t>phosphorus (26 kg grain kg nutrient</w:t>
      </w:r>
      <w:r w:rsidR="002471B3" w:rsidRPr="003C3A40">
        <w:rPr>
          <w:rFonts w:ascii="Arial" w:hAnsi="Arial" w:cs="Arial"/>
          <w:sz w:val="20"/>
          <w:vertAlign w:val="superscript"/>
        </w:rPr>
        <w:t>-1</w:t>
      </w:r>
      <w:r w:rsidR="002471B3" w:rsidRPr="003C3A40">
        <w:rPr>
          <w:rFonts w:ascii="Arial" w:hAnsi="Arial" w:cs="Arial"/>
          <w:sz w:val="20"/>
        </w:rPr>
        <w:t>) and potassium efficiency (44 kg grain kg nutrient</w:t>
      </w:r>
      <w:r w:rsidR="002471B3" w:rsidRPr="003C3A40">
        <w:rPr>
          <w:rFonts w:ascii="Arial" w:hAnsi="Arial" w:cs="Arial"/>
          <w:sz w:val="20"/>
          <w:vertAlign w:val="superscript"/>
        </w:rPr>
        <w:t>-1</w:t>
      </w:r>
      <w:r w:rsidR="002471B3" w:rsidRPr="003C3A40">
        <w:rPr>
          <w:rFonts w:ascii="Arial" w:hAnsi="Arial" w:cs="Arial"/>
          <w:sz w:val="20"/>
        </w:rPr>
        <w:t xml:space="preserve">) to soybean crop. The agronomic efficiency of nitrogen, phosphorus and potassium was observed higher in treatment 100% </w:t>
      </w:r>
      <w:r w:rsidR="002471B3" w:rsidRPr="003C3A40">
        <w:rPr>
          <w:rFonts w:ascii="Arial" w:hAnsi="Arial" w:cs="Arial"/>
          <w:color w:val="000000"/>
          <w:sz w:val="20"/>
        </w:rPr>
        <w:t>P</w:t>
      </w:r>
      <w:r w:rsidR="002471B3" w:rsidRPr="003C3A40">
        <w:rPr>
          <w:rFonts w:ascii="Arial" w:hAnsi="Arial" w:cs="Arial"/>
          <w:color w:val="000000"/>
          <w:sz w:val="20"/>
          <w:vertAlign w:val="subscript"/>
        </w:rPr>
        <w:t>2</w:t>
      </w:r>
      <w:r w:rsidR="002471B3" w:rsidRPr="003C3A40">
        <w:rPr>
          <w:rFonts w:ascii="Arial" w:hAnsi="Arial" w:cs="Arial"/>
          <w:color w:val="000000"/>
          <w:sz w:val="20"/>
        </w:rPr>
        <w:t>O</w:t>
      </w:r>
      <w:r w:rsidR="002471B3" w:rsidRPr="003C3A40">
        <w:rPr>
          <w:rFonts w:ascii="Arial" w:hAnsi="Arial" w:cs="Arial"/>
          <w:color w:val="000000"/>
          <w:sz w:val="20"/>
          <w:vertAlign w:val="subscript"/>
        </w:rPr>
        <w:t xml:space="preserve">5 </w:t>
      </w:r>
      <w:r w:rsidR="002471B3" w:rsidRPr="003C3A40">
        <w:rPr>
          <w:rFonts w:ascii="Arial" w:hAnsi="Arial" w:cs="Arial"/>
          <w:sz w:val="20"/>
        </w:rPr>
        <w:t>through PROM over treatment RDF.</w:t>
      </w:r>
    </w:p>
    <w:p w14:paraId="451F404B" w14:textId="77777777" w:rsidR="002471B3" w:rsidRPr="003C3A40" w:rsidRDefault="002471B3" w:rsidP="00ED0DCB">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3C3A40">
        <w:rPr>
          <w:rFonts w:ascii="Arial" w:hAnsi="Arial" w:cs="Arial"/>
          <w:sz w:val="20"/>
        </w:rPr>
        <w:t>After harvest of crop the soil pH was remained unaffected while the electrical conductivity of soil was significantly higher in 100 %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and PROM to soybean crop. </w:t>
      </w:r>
      <w:r w:rsidRPr="003C3A40">
        <w:rPr>
          <w:rFonts w:ascii="Arial" w:hAnsi="Arial" w:cs="Arial"/>
          <w:color w:val="000000"/>
          <w:sz w:val="20"/>
        </w:rPr>
        <w:t>The application of 100% P</w:t>
      </w:r>
      <w:r w:rsidRPr="003C3A40">
        <w:rPr>
          <w:rFonts w:ascii="Arial" w:hAnsi="Arial" w:cs="Arial"/>
          <w:color w:val="000000"/>
          <w:sz w:val="20"/>
          <w:vertAlign w:val="subscript"/>
        </w:rPr>
        <w:t>2</w:t>
      </w:r>
      <w:r w:rsidRPr="003C3A40">
        <w:rPr>
          <w:rFonts w:ascii="Arial" w:hAnsi="Arial" w:cs="Arial"/>
          <w:color w:val="000000"/>
          <w:sz w:val="20"/>
        </w:rPr>
        <w:t>O</w:t>
      </w:r>
      <w:r w:rsidRPr="003C3A40">
        <w:rPr>
          <w:rFonts w:ascii="Arial" w:hAnsi="Arial" w:cs="Arial"/>
          <w:color w:val="000000"/>
          <w:sz w:val="20"/>
          <w:vertAlign w:val="subscript"/>
        </w:rPr>
        <w:t xml:space="preserve">5 </w:t>
      </w:r>
      <w:r w:rsidRPr="003C3A40">
        <w:rPr>
          <w:rFonts w:ascii="Arial" w:hAnsi="Arial" w:cs="Arial"/>
          <w:color w:val="000000"/>
          <w:sz w:val="20"/>
        </w:rPr>
        <w:t xml:space="preserve">either through vermicompost or PROM recorded at par organic carbon content in soil (0.66% and 0.64% respectively). </w:t>
      </w:r>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significantly reduced calcium carbonate (6.29%) in soil.</w:t>
      </w:r>
    </w:p>
    <w:p w14:paraId="5AF25489" w14:textId="15B5AF0B" w:rsidR="002471B3" w:rsidRPr="003C3A40" w:rsidRDefault="002471B3" w:rsidP="00ED0DCB">
      <w:pPr>
        <w:pBdr>
          <w:top w:val="single" w:sz="4" w:space="1" w:color="auto"/>
          <w:left w:val="single" w:sz="4" w:space="4" w:color="auto"/>
          <w:bottom w:val="single" w:sz="4" w:space="1" w:color="auto"/>
          <w:right w:val="single" w:sz="4" w:space="4" w:color="auto"/>
        </w:pBdr>
        <w:spacing w:after="0"/>
        <w:jc w:val="both"/>
        <w:rPr>
          <w:rFonts w:ascii="Arial" w:hAnsi="Arial" w:cs="Arial"/>
          <w:color w:val="000000"/>
          <w:sz w:val="20"/>
        </w:rPr>
      </w:pPr>
      <w:r w:rsidRPr="003C3A40">
        <w:rPr>
          <w:rFonts w:ascii="Arial" w:hAnsi="Arial" w:cs="Arial"/>
          <w:color w:val="000000"/>
          <w:sz w:val="20"/>
        </w:rPr>
        <w:t xml:space="preserve">The </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SSP + FYM @12.5 t ha</w:t>
      </w:r>
      <w:r w:rsidRPr="003C3A40">
        <w:rPr>
          <w:rFonts w:ascii="Arial" w:hAnsi="Arial" w:cs="Arial"/>
          <w:sz w:val="20"/>
          <w:vertAlign w:val="superscript"/>
        </w:rPr>
        <w:t xml:space="preserve">-1 </w:t>
      </w:r>
      <w:r w:rsidRPr="003C3A40">
        <w:rPr>
          <w:rFonts w:ascii="Arial" w:hAnsi="Arial" w:cs="Arial"/>
          <w:color w:val="000000"/>
          <w:sz w:val="20"/>
        </w:rPr>
        <w:t xml:space="preserve">showed higher available nitrogen in soil (297.33 </w:t>
      </w:r>
      <w:r w:rsidRPr="003C3A40">
        <w:rPr>
          <w:rFonts w:ascii="Arial" w:hAnsi="Arial" w:cs="Arial"/>
          <w:color w:val="0D0D0D"/>
          <w:sz w:val="20"/>
        </w:rPr>
        <w:t>kg ha</w:t>
      </w:r>
      <w:r w:rsidRPr="003C3A40">
        <w:rPr>
          <w:rFonts w:ascii="Arial" w:hAnsi="Arial" w:cs="Arial"/>
          <w:color w:val="0D0D0D"/>
          <w:sz w:val="20"/>
          <w:vertAlign w:val="superscript"/>
        </w:rPr>
        <w:t>-1</w:t>
      </w:r>
      <w:r w:rsidRPr="003C3A40">
        <w:rPr>
          <w:rFonts w:ascii="Arial" w:hAnsi="Arial" w:cs="Arial"/>
          <w:color w:val="000000"/>
          <w:sz w:val="20"/>
        </w:rPr>
        <w:t>) while the application of 100%</w:t>
      </w:r>
      <w:r w:rsidRPr="003C3A40">
        <w:rPr>
          <w:rFonts w:ascii="Arial" w:hAnsi="Arial" w:cs="Arial"/>
          <w:sz w:val="20"/>
        </w:rPr>
        <w:t xml:space="preserve">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DAP + FYM @12.5 t ha</w:t>
      </w:r>
      <w:r w:rsidRPr="003C3A40">
        <w:rPr>
          <w:rFonts w:ascii="Arial" w:hAnsi="Arial" w:cs="Arial"/>
          <w:sz w:val="20"/>
          <w:vertAlign w:val="superscript"/>
        </w:rPr>
        <w:t xml:space="preserve">-1 </w:t>
      </w:r>
      <w:r w:rsidRPr="003C3A40">
        <w:rPr>
          <w:rFonts w:ascii="Arial" w:hAnsi="Arial" w:cs="Arial"/>
          <w:color w:val="000000"/>
          <w:sz w:val="20"/>
        </w:rPr>
        <w:t xml:space="preserve">exhibited higher level of available phosphorus and potassium content in soil (41.33 and 745.33 </w:t>
      </w:r>
      <w:r w:rsidRPr="003C3A40">
        <w:rPr>
          <w:rFonts w:ascii="Arial" w:hAnsi="Arial" w:cs="Arial"/>
          <w:color w:val="0D0D0D"/>
          <w:sz w:val="20"/>
        </w:rPr>
        <w:t>kg ha</w:t>
      </w:r>
      <w:r w:rsidRPr="003C3A40">
        <w:rPr>
          <w:rFonts w:ascii="Arial" w:hAnsi="Arial" w:cs="Arial"/>
          <w:color w:val="0D0D0D"/>
          <w:sz w:val="20"/>
          <w:vertAlign w:val="superscript"/>
        </w:rPr>
        <w:t>-1</w:t>
      </w:r>
      <w:r w:rsidRPr="003C3A40">
        <w:rPr>
          <w:rFonts w:ascii="Arial" w:hAnsi="Arial" w:cs="Arial"/>
          <w:color w:val="000000"/>
          <w:sz w:val="20"/>
        </w:rPr>
        <w:t xml:space="preserve">, respectively). Further, the application of </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w:t>
      </w:r>
      <w:r w:rsidRPr="003C3A40">
        <w:rPr>
          <w:rFonts w:ascii="Arial" w:hAnsi="Arial" w:cs="Arial"/>
          <w:color w:val="000000"/>
          <w:sz w:val="20"/>
        </w:rPr>
        <w:t xml:space="preserve"> was also significantly superior in available micronutrients like iron (5.7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manganese (9.9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zinc (4.6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and copper (10.4 </w:t>
      </w:r>
      <w:r w:rsidRPr="003C3A40">
        <w:rPr>
          <w:rFonts w:ascii="Arial" w:hAnsi="Arial" w:cs="Arial"/>
          <w:sz w:val="20"/>
        </w:rPr>
        <w:t>mg kg</w:t>
      </w:r>
      <w:r w:rsidRPr="003C3A40">
        <w:rPr>
          <w:rFonts w:ascii="Arial" w:hAnsi="Arial" w:cs="Arial"/>
          <w:sz w:val="20"/>
          <w:vertAlign w:val="superscript"/>
        </w:rPr>
        <w:t>-1</w:t>
      </w:r>
      <w:r w:rsidRPr="003C3A40">
        <w:rPr>
          <w:rFonts w:ascii="Arial" w:hAnsi="Arial" w:cs="Arial"/>
          <w:color w:val="000000"/>
          <w:sz w:val="20"/>
        </w:rPr>
        <w:t xml:space="preserve">). </w:t>
      </w:r>
    </w:p>
    <w:p w14:paraId="1DA1FD10" w14:textId="77777777" w:rsidR="002471B3" w:rsidRPr="003C3A40" w:rsidRDefault="002471B3" w:rsidP="00ED0DCB">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
      <w:r w:rsidRPr="003C3A40">
        <w:rPr>
          <w:rFonts w:ascii="Arial" w:hAnsi="Arial" w:cs="Arial"/>
          <w:color w:val="000000"/>
          <w:sz w:val="20"/>
        </w:rPr>
        <w:t xml:space="preserve">The application of </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 xml:space="preserve">5 </w:t>
      </w:r>
      <w:r w:rsidRPr="003C3A40">
        <w:rPr>
          <w:rFonts w:ascii="Arial" w:hAnsi="Arial" w:cs="Arial"/>
          <w:sz w:val="20"/>
        </w:rPr>
        <w:t xml:space="preserve">through PROM registered significantly higher available nitrogen </w:t>
      </w:r>
      <w:r w:rsidRPr="003C3A40">
        <w:rPr>
          <w:rFonts w:ascii="Arial" w:hAnsi="Arial" w:cs="Arial"/>
          <w:color w:val="0D0D0D"/>
          <w:sz w:val="20"/>
        </w:rPr>
        <w:t>(287.33 kg ha</w:t>
      </w:r>
      <w:r w:rsidRPr="003C3A40">
        <w:rPr>
          <w:rFonts w:ascii="Arial" w:hAnsi="Arial" w:cs="Arial"/>
          <w:color w:val="0D0D0D"/>
          <w:sz w:val="20"/>
          <w:vertAlign w:val="superscript"/>
        </w:rPr>
        <w:t>-1</w:t>
      </w:r>
      <w:r w:rsidRPr="003C3A40">
        <w:rPr>
          <w:rFonts w:ascii="Arial" w:hAnsi="Arial" w:cs="Arial"/>
          <w:color w:val="0D0D0D"/>
          <w:sz w:val="20"/>
        </w:rPr>
        <w:t xml:space="preserve">), available phosphorus </w:t>
      </w:r>
      <w:r w:rsidRPr="003C3A40">
        <w:rPr>
          <w:rFonts w:ascii="Arial" w:hAnsi="Arial" w:cs="Arial"/>
          <w:sz w:val="20"/>
        </w:rPr>
        <w:t>(37.33 kg ha</w:t>
      </w:r>
      <w:r w:rsidRPr="003C3A40">
        <w:rPr>
          <w:rFonts w:ascii="Arial" w:hAnsi="Arial" w:cs="Arial"/>
          <w:sz w:val="20"/>
          <w:vertAlign w:val="superscript"/>
        </w:rPr>
        <w:t>-1</w:t>
      </w:r>
      <w:r w:rsidRPr="003C3A40">
        <w:rPr>
          <w:rFonts w:ascii="Arial" w:hAnsi="Arial" w:cs="Arial"/>
          <w:sz w:val="20"/>
        </w:rPr>
        <w:t xml:space="preserve">), available potassium (737.67 </w:t>
      </w:r>
      <w:r w:rsidRPr="003C3A40">
        <w:rPr>
          <w:rFonts w:ascii="Arial" w:hAnsi="Arial" w:cs="Arial"/>
          <w:color w:val="0D0D0D"/>
          <w:sz w:val="20"/>
        </w:rPr>
        <w:t>kg ha</w:t>
      </w:r>
      <w:r w:rsidRPr="003C3A40">
        <w:rPr>
          <w:rFonts w:ascii="Arial" w:hAnsi="Arial" w:cs="Arial"/>
          <w:color w:val="0D0D0D"/>
          <w:sz w:val="20"/>
          <w:vertAlign w:val="superscript"/>
        </w:rPr>
        <w:t>-1</w:t>
      </w:r>
      <w:r w:rsidRPr="003C3A40">
        <w:rPr>
          <w:rFonts w:ascii="Arial" w:hAnsi="Arial" w:cs="Arial"/>
          <w:sz w:val="20"/>
        </w:rPr>
        <w:t xml:space="preserve">), available micronutrients </w:t>
      </w:r>
      <w:r w:rsidRPr="003C3A40">
        <w:rPr>
          <w:rFonts w:ascii="Arial" w:hAnsi="Arial" w:cs="Arial"/>
          <w:i/>
          <w:iCs/>
          <w:sz w:val="20"/>
        </w:rPr>
        <w:t>viz</w:t>
      </w:r>
      <w:r w:rsidRPr="003C3A40">
        <w:rPr>
          <w:rFonts w:ascii="Arial" w:hAnsi="Arial" w:cs="Arial"/>
          <w:sz w:val="20"/>
        </w:rPr>
        <w:t>. iron (5.4 mg kg</w:t>
      </w:r>
      <w:r w:rsidRPr="003C3A40">
        <w:rPr>
          <w:rFonts w:ascii="Arial" w:hAnsi="Arial" w:cs="Arial"/>
          <w:sz w:val="20"/>
          <w:vertAlign w:val="superscript"/>
        </w:rPr>
        <w:t>-1</w:t>
      </w:r>
      <w:r w:rsidRPr="003C3A40">
        <w:rPr>
          <w:rFonts w:ascii="Arial" w:hAnsi="Arial" w:cs="Arial"/>
          <w:sz w:val="20"/>
        </w:rPr>
        <w:t>), manganese (9.2 mg kg</w:t>
      </w:r>
      <w:r w:rsidRPr="003C3A40">
        <w:rPr>
          <w:rFonts w:ascii="Arial" w:hAnsi="Arial" w:cs="Arial"/>
          <w:sz w:val="20"/>
          <w:vertAlign w:val="superscript"/>
        </w:rPr>
        <w:t>-1</w:t>
      </w:r>
      <w:r w:rsidRPr="003C3A40">
        <w:rPr>
          <w:rFonts w:ascii="Arial" w:hAnsi="Arial" w:cs="Arial"/>
          <w:sz w:val="20"/>
        </w:rPr>
        <w:t>), zinc (4.4 mg kg</w:t>
      </w:r>
      <w:r w:rsidRPr="003C3A40">
        <w:rPr>
          <w:rFonts w:ascii="Arial" w:hAnsi="Arial" w:cs="Arial"/>
          <w:sz w:val="20"/>
          <w:vertAlign w:val="superscript"/>
        </w:rPr>
        <w:t>-1</w:t>
      </w:r>
      <w:r w:rsidRPr="003C3A40">
        <w:rPr>
          <w:rFonts w:ascii="Arial" w:hAnsi="Arial" w:cs="Arial"/>
          <w:sz w:val="20"/>
        </w:rPr>
        <w:t>) and copper (10.4 mg kg</w:t>
      </w:r>
      <w:r w:rsidRPr="003C3A40">
        <w:rPr>
          <w:rFonts w:ascii="Arial" w:hAnsi="Arial" w:cs="Arial"/>
          <w:sz w:val="20"/>
          <w:vertAlign w:val="superscript"/>
        </w:rPr>
        <w:t>-1</w:t>
      </w:r>
      <w:r w:rsidRPr="003C3A40">
        <w:rPr>
          <w:rFonts w:ascii="Arial" w:hAnsi="Arial" w:cs="Arial"/>
          <w:sz w:val="20"/>
        </w:rPr>
        <w:t xml:space="preserve">) over recommended dose of fertilizers. </w:t>
      </w:r>
    </w:p>
    <w:p w14:paraId="7AFFCCA1" w14:textId="7531DF35" w:rsidR="0002724E" w:rsidRPr="003C3A40" w:rsidRDefault="0002724E" w:rsidP="00ED0DCB">
      <w:pPr>
        <w:pBdr>
          <w:top w:val="single" w:sz="4" w:space="1" w:color="auto"/>
          <w:left w:val="single" w:sz="4" w:space="4" w:color="auto"/>
          <w:bottom w:val="single" w:sz="4" w:space="1" w:color="auto"/>
          <w:right w:val="single" w:sz="4" w:space="4" w:color="auto"/>
        </w:pBdr>
        <w:spacing w:after="0"/>
        <w:ind w:firstLine="720"/>
        <w:jc w:val="both"/>
        <w:rPr>
          <w:rFonts w:ascii="Arial" w:hAnsi="Arial" w:cs="Arial"/>
          <w:sz w:val="20"/>
        </w:rPr>
      </w:pPr>
      <w:r w:rsidRPr="003C3A40">
        <w:rPr>
          <w:rFonts w:ascii="Arial" w:hAnsi="Arial" w:cs="Arial"/>
          <w:sz w:val="20"/>
        </w:rPr>
        <w:t>In general, the</w:t>
      </w:r>
      <w:r w:rsidR="00E63601" w:rsidRPr="003C3A40">
        <w:rPr>
          <w:rFonts w:ascii="Arial" w:hAnsi="Arial" w:cs="Arial"/>
          <w:sz w:val="20"/>
        </w:rPr>
        <w:t xml:space="preserve"> integration of organic fertilizers, FYM, PROM and vermicompost, with chemical fertilizers can significantly enhance nutrient use efficiency,</w:t>
      </w:r>
      <w:r w:rsidR="00611D4F" w:rsidRPr="003C3A40">
        <w:rPr>
          <w:rFonts w:ascii="Arial" w:hAnsi="Arial" w:cs="Arial"/>
          <w:sz w:val="20"/>
        </w:rPr>
        <w:t xml:space="preserve"> soil nutrient content, </w:t>
      </w:r>
      <w:r w:rsidR="00E63601" w:rsidRPr="003C3A40">
        <w:rPr>
          <w:rFonts w:ascii="Arial" w:hAnsi="Arial" w:cs="Arial"/>
          <w:sz w:val="20"/>
        </w:rPr>
        <w:t>improve soil health and increase soybean yield in low calcareous soils.</w:t>
      </w:r>
    </w:p>
    <w:p w14:paraId="408529B4" w14:textId="77777777" w:rsidR="00F86F34" w:rsidRPr="003C3A40" w:rsidRDefault="00F86F34" w:rsidP="00245A8B">
      <w:pPr>
        <w:spacing w:after="0"/>
        <w:ind w:firstLine="720"/>
        <w:jc w:val="both"/>
        <w:rPr>
          <w:rFonts w:ascii="Arial" w:hAnsi="Arial" w:cs="Arial"/>
          <w:sz w:val="20"/>
        </w:rPr>
      </w:pPr>
    </w:p>
    <w:p w14:paraId="425A2C48" w14:textId="2A8E4CE3" w:rsidR="0002724E" w:rsidRPr="003C3A40" w:rsidRDefault="0002724E" w:rsidP="00245A8B">
      <w:pPr>
        <w:spacing w:after="0"/>
        <w:jc w:val="both"/>
        <w:rPr>
          <w:rFonts w:ascii="Arial" w:hAnsi="Arial" w:cs="Arial"/>
          <w:i/>
          <w:iCs/>
          <w:color w:val="000000"/>
          <w:szCs w:val="22"/>
        </w:rPr>
      </w:pPr>
      <w:r w:rsidRPr="00ED0DCB">
        <w:rPr>
          <w:rFonts w:ascii="Arial" w:hAnsi="Arial" w:cs="Arial"/>
          <w:i/>
          <w:iCs/>
          <w:color w:val="000000"/>
          <w:sz w:val="20"/>
        </w:rPr>
        <w:t>Keywords:</w:t>
      </w:r>
      <w:r w:rsidRPr="00C96595">
        <w:rPr>
          <w:rFonts w:ascii="Arial" w:hAnsi="Arial" w:cs="Arial"/>
          <w:b/>
          <w:bCs/>
          <w:i/>
          <w:iCs/>
          <w:color w:val="000000"/>
          <w:sz w:val="20"/>
        </w:rPr>
        <w:t xml:space="preserve"> </w:t>
      </w:r>
      <w:r w:rsidRPr="003C3A40">
        <w:rPr>
          <w:rFonts w:ascii="Arial" w:hAnsi="Arial" w:cs="Arial"/>
          <w:i/>
          <w:iCs/>
          <w:color w:val="000000"/>
          <w:sz w:val="20"/>
        </w:rPr>
        <w:t xml:space="preserve">Soybean, PROM, FYM, vermicompost, </w:t>
      </w:r>
      <w:r w:rsidR="00E47691" w:rsidRPr="003C3A40">
        <w:rPr>
          <w:rFonts w:ascii="Arial" w:hAnsi="Arial" w:cs="Arial"/>
          <w:i/>
          <w:iCs/>
          <w:color w:val="000000"/>
          <w:sz w:val="20"/>
        </w:rPr>
        <w:t>nutrient use efficiency (NUE) and soil properties</w:t>
      </w:r>
    </w:p>
    <w:p w14:paraId="2C973857" w14:textId="77777777" w:rsidR="00ED0DCB" w:rsidRDefault="00ED0DCB" w:rsidP="00245A8B">
      <w:pPr>
        <w:spacing w:after="0"/>
        <w:jc w:val="both"/>
        <w:rPr>
          <w:rFonts w:ascii="Arial" w:eastAsia="Times New Roman" w:hAnsi="Arial" w:cs="Arial"/>
          <w:szCs w:val="22"/>
          <w:lang w:val="en-IN" w:eastAsia="en-IN" w:bidi="ar-SA"/>
        </w:rPr>
      </w:pPr>
    </w:p>
    <w:p w14:paraId="19F6EB23" w14:textId="77777777" w:rsidR="00390BFB" w:rsidRDefault="00390BFB" w:rsidP="00245A8B">
      <w:pPr>
        <w:spacing w:after="0"/>
        <w:jc w:val="both"/>
        <w:rPr>
          <w:rFonts w:ascii="Arial" w:hAnsi="Arial" w:cs="Arial"/>
          <w:b/>
          <w:bCs/>
          <w:szCs w:val="22"/>
        </w:rPr>
      </w:pPr>
    </w:p>
    <w:p w14:paraId="75AEBED2" w14:textId="77777777" w:rsidR="00AB0D25" w:rsidRDefault="00AB0D25" w:rsidP="00245A8B">
      <w:pPr>
        <w:spacing w:after="0"/>
        <w:jc w:val="both"/>
        <w:rPr>
          <w:rFonts w:ascii="Arial" w:hAnsi="Arial" w:cs="Arial"/>
          <w:b/>
          <w:bCs/>
          <w:szCs w:val="22"/>
        </w:rPr>
      </w:pPr>
    </w:p>
    <w:p w14:paraId="3D4B7A45" w14:textId="77777777" w:rsidR="00390BFB" w:rsidRDefault="00390BFB" w:rsidP="00245A8B">
      <w:pPr>
        <w:spacing w:after="0"/>
        <w:jc w:val="both"/>
        <w:rPr>
          <w:rFonts w:ascii="Arial" w:hAnsi="Arial" w:cs="Arial"/>
          <w:b/>
          <w:bCs/>
          <w:szCs w:val="22"/>
        </w:rPr>
      </w:pPr>
    </w:p>
    <w:p w14:paraId="744F4ACA" w14:textId="5AF67DF8" w:rsidR="0002724E" w:rsidRPr="003C3A40" w:rsidRDefault="00ED0DCB" w:rsidP="00245A8B">
      <w:pPr>
        <w:spacing w:after="0"/>
        <w:jc w:val="both"/>
        <w:rPr>
          <w:rFonts w:ascii="Arial" w:hAnsi="Arial" w:cs="Arial"/>
          <w:b/>
          <w:bCs/>
          <w:szCs w:val="22"/>
        </w:rPr>
      </w:pPr>
      <w:r>
        <w:rPr>
          <w:rFonts w:ascii="Arial" w:hAnsi="Arial" w:cs="Arial"/>
          <w:b/>
          <w:bCs/>
          <w:szCs w:val="22"/>
        </w:rPr>
        <w:t xml:space="preserve">1. </w:t>
      </w:r>
      <w:r w:rsidR="00733AAC" w:rsidRPr="003C3A40">
        <w:rPr>
          <w:rFonts w:ascii="Arial" w:hAnsi="Arial" w:cs="Arial"/>
          <w:b/>
          <w:bCs/>
          <w:szCs w:val="22"/>
        </w:rPr>
        <w:t>INTRODUCTION</w:t>
      </w:r>
    </w:p>
    <w:p w14:paraId="0F3BC962" w14:textId="3D50AC80" w:rsidR="00B318D4" w:rsidRPr="00390BFB" w:rsidRDefault="00BB19DC" w:rsidP="00390BFB">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 xml:space="preserve">Phosphorus (P) is a vital macronutrient essential for crop growth, development and nutrient use efficiency (NUE). It plays a key role in processes like energy transfer, root proliferation, cell division, and overall plant productivity (Havlin </w:t>
      </w:r>
      <w:r w:rsidRPr="003C3A40">
        <w:rPr>
          <w:rFonts w:ascii="Arial" w:hAnsi="Arial" w:cs="Arial"/>
          <w:i/>
          <w:iCs/>
          <w:sz w:val="20"/>
          <w:szCs w:val="20"/>
        </w:rPr>
        <w:t>et al</w:t>
      </w:r>
      <w:r w:rsidRPr="003C3A40">
        <w:rPr>
          <w:rFonts w:ascii="Arial" w:hAnsi="Arial" w:cs="Arial"/>
          <w:sz w:val="20"/>
          <w:szCs w:val="20"/>
        </w:rPr>
        <w:t>., 2007). Despite its crucial role, phosphorus utilization in agricultural soils is</w:t>
      </w:r>
      <w:bookmarkStart w:id="0" w:name="_Hlk178630908"/>
    </w:p>
    <w:bookmarkEnd w:id="0"/>
    <w:p w14:paraId="37D89D6C" w14:textId="77777777" w:rsidR="002456A9" w:rsidRDefault="00ED0DCB" w:rsidP="00BC2AAF">
      <w:pPr>
        <w:pStyle w:val="NormalWeb"/>
        <w:spacing w:before="0" w:beforeAutospacing="0" w:after="0" w:afterAutospacing="0" w:line="276" w:lineRule="auto"/>
        <w:jc w:val="both"/>
        <w:rPr>
          <w:rFonts w:ascii="Arial" w:hAnsi="Arial" w:cs="Arial"/>
          <w:sz w:val="20"/>
          <w:szCs w:val="20"/>
        </w:rPr>
      </w:pPr>
      <w:r w:rsidRPr="00ED0DCB">
        <w:rPr>
          <w:rFonts w:ascii="Arial" w:hAnsi="Arial" w:cs="Arial"/>
          <w:sz w:val="20"/>
          <w:szCs w:val="20"/>
        </w:rPr>
        <w:lastRenderedPageBreak/>
        <w:t xml:space="preserve">highly inefficient, with only about 15-20% of applied phosphorus being absorbed by plants (Malhotra </w:t>
      </w:r>
      <w:r w:rsidRPr="00ED0DCB">
        <w:rPr>
          <w:rFonts w:ascii="Arial" w:hAnsi="Arial" w:cs="Arial"/>
          <w:i/>
          <w:iCs/>
          <w:sz w:val="20"/>
          <w:szCs w:val="20"/>
        </w:rPr>
        <w:t>et al.</w:t>
      </w:r>
      <w:r w:rsidRPr="00ED0DCB">
        <w:rPr>
          <w:rFonts w:ascii="Arial" w:hAnsi="Arial" w:cs="Arial"/>
          <w:sz w:val="20"/>
          <w:szCs w:val="20"/>
        </w:rPr>
        <w:t>, 2018).</w:t>
      </w:r>
      <w:r w:rsidR="00B318D4">
        <w:rPr>
          <w:rFonts w:ascii="Arial" w:hAnsi="Arial" w:cs="Arial"/>
          <w:sz w:val="20"/>
          <w:szCs w:val="20"/>
        </w:rPr>
        <w:t xml:space="preserve"> </w:t>
      </w:r>
    </w:p>
    <w:p w14:paraId="192AA07D" w14:textId="5B71CD2A"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 xml:space="preserve">Enhancing phosphorus use efficiency (PUE) especially in regions like India </w:t>
      </w:r>
      <w:r>
        <w:rPr>
          <w:rFonts w:ascii="Arial" w:hAnsi="Arial" w:cs="Arial"/>
          <w:sz w:val="20"/>
          <w:szCs w:val="20"/>
        </w:rPr>
        <w:t>where</w:t>
      </w:r>
      <w:r w:rsidRPr="003C3A40">
        <w:rPr>
          <w:rFonts w:ascii="Arial" w:hAnsi="Arial" w:cs="Arial"/>
          <w:sz w:val="20"/>
          <w:szCs w:val="20"/>
        </w:rPr>
        <w:t xml:space="preserve"> widespread soil phosphorus deficiencies and the high cost of chemic</w:t>
      </w:r>
      <w:r>
        <w:rPr>
          <w:rFonts w:ascii="Arial" w:hAnsi="Arial" w:cs="Arial"/>
          <w:sz w:val="20"/>
          <w:szCs w:val="20"/>
        </w:rPr>
        <w:t>al fertilizers are challenges</w:t>
      </w:r>
      <w:r w:rsidRPr="003C3A40">
        <w:rPr>
          <w:rFonts w:ascii="Arial" w:hAnsi="Arial" w:cs="Arial"/>
          <w:sz w:val="20"/>
          <w:szCs w:val="20"/>
        </w:rPr>
        <w:t xml:space="preserve"> to sustainable agriculture.</w:t>
      </w:r>
    </w:p>
    <w:p w14:paraId="135B8FCA" w14:textId="77777777"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 xml:space="preserve">These soils tend to bind phosphorus, forming insoluble compounds that limit its availability to plants (Sims and Sharpley, 2005). </w:t>
      </w:r>
      <w:r>
        <w:rPr>
          <w:rFonts w:ascii="Arial" w:hAnsi="Arial" w:cs="Arial"/>
          <w:sz w:val="20"/>
          <w:szCs w:val="20"/>
        </w:rPr>
        <w:t>The</w:t>
      </w:r>
      <w:r w:rsidRPr="003C3A40">
        <w:rPr>
          <w:rFonts w:ascii="Arial" w:hAnsi="Arial" w:cs="Arial"/>
          <w:sz w:val="20"/>
          <w:szCs w:val="20"/>
        </w:rPr>
        <w:t xml:space="preserve"> present challenges for phosphorus management, as the combination of pH and calcium interactions often immobilizes P, further reducing its bioavailability. Thus, enhancing the solubility and availability of phosphorus in soils through innovative phosphorus management strategies is essential for improving nutrient use efficiency and overall soil health.</w:t>
      </w:r>
    </w:p>
    <w:p w14:paraId="3AA7EA96" w14:textId="77777777"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 xml:space="preserve">The use of different phosphorus sources—such as chemical fertilizers, rock phosphate (RP), and organic amendments like farmyard manure (FYM) and vermicompost (VC)—in combination with phosphorus-solubilizing bio-inoculants, offers a promising approach to improving PUE in soils. In particular, phosphate-solubilizing bacteria (PSB) like </w:t>
      </w:r>
      <w:r w:rsidRPr="003C3A40">
        <w:rPr>
          <w:rStyle w:val="Emphasis"/>
          <w:rFonts w:ascii="Arial" w:eastAsiaTheme="majorEastAsia" w:hAnsi="Arial" w:cs="Arial"/>
          <w:sz w:val="20"/>
          <w:szCs w:val="20"/>
        </w:rPr>
        <w:t>Pseudomonas</w:t>
      </w:r>
      <w:r w:rsidRPr="003C3A40">
        <w:rPr>
          <w:rFonts w:ascii="Arial" w:hAnsi="Arial" w:cs="Arial"/>
          <w:sz w:val="20"/>
          <w:szCs w:val="20"/>
        </w:rPr>
        <w:t xml:space="preserve"> and </w:t>
      </w:r>
      <w:r w:rsidRPr="003C3A40">
        <w:rPr>
          <w:rStyle w:val="Emphasis"/>
          <w:rFonts w:ascii="Arial" w:eastAsiaTheme="majorEastAsia" w:hAnsi="Arial" w:cs="Arial"/>
          <w:sz w:val="20"/>
          <w:szCs w:val="20"/>
        </w:rPr>
        <w:t>Bacillus</w:t>
      </w:r>
      <w:r w:rsidRPr="003C3A40">
        <w:rPr>
          <w:rFonts w:ascii="Arial" w:hAnsi="Arial" w:cs="Arial"/>
          <w:sz w:val="20"/>
          <w:szCs w:val="20"/>
        </w:rPr>
        <w:t xml:space="preserve"> have been shown to enhance the availability of phosphorus by breaking down insoluble forms of P in the soil (Siva Sankar </w:t>
      </w:r>
      <w:r w:rsidRPr="003C3A40">
        <w:rPr>
          <w:rFonts w:ascii="Arial" w:hAnsi="Arial" w:cs="Arial"/>
          <w:i/>
          <w:iCs/>
          <w:sz w:val="20"/>
          <w:szCs w:val="20"/>
        </w:rPr>
        <w:t>et al.</w:t>
      </w:r>
      <w:r w:rsidRPr="003C3A40">
        <w:rPr>
          <w:rFonts w:ascii="Arial" w:hAnsi="Arial" w:cs="Arial"/>
          <w:sz w:val="20"/>
          <w:szCs w:val="20"/>
        </w:rPr>
        <w:t xml:space="preserve">, 1984). Organic manures such as FYM and VC contribute to soil structure and microbial activity, promoting the mineralization of organic phosphorus and its uptake by plants. Vermicompost, in particular, provides a more readily available form of phosphorus compared to FYM, which releases nutrients more slowly due to its complex organic matter content (Kaleem </w:t>
      </w:r>
      <w:r w:rsidRPr="003C3A40">
        <w:rPr>
          <w:rFonts w:ascii="Arial" w:hAnsi="Arial" w:cs="Arial"/>
          <w:i/>
          <w:iCs/>
          <w:sz w:val="20"/>
          <w:szCs w:val="20"/>
        </w:rPr>
        <w:t>et al.,</w:t>
      </w:r>
      <w:r w:rsidRPr="003C3A40">
        <w:rPr>
          <w:rFonts w:ascii="Arial" w:hAnsi="Arial" w:cs="Arial"/>
          <w:sz w:val="20"/>
          <w:szCs w:val="20"/>
        </w:rPr>
        <w:t xml:space="preserve"> 2010).</w:t>
      </w:r>
    </w:p>
    <w:p w14:paraId="56DF4ACB" w14:textId="77777777" w:rsidR="00BC2AAF" w:rsidRPr="003C3A40" w:rsidRDefault="00BC2AAF" w:rsidP="00BC2AAF">
      <w:pPr>
        <w:pStyle w:val="NormalWeb"/>
        <w:spacing w:before="0" w:beforeAutospacing="0" w:after="0" w:afterAutospacing="0" w:line="276" w:lineRule="auto"/>
        <w:jc w:val="both"/>
        <w:rPr>
          <w:rFonts w:ascii="Arial" w:hAnsi="Arial" w:cs="Arial"/>
          <w:sz w:val="20"/>
          <w:szCs w:val="20"/>
        </w:rPr>
      </w:pPr>
      <w:r w:rsidRPr="003C3A40">
        <w:rPr>
          <w:rFonts w:ascii="Arial" w:hAnsi="Arial" w:cs="Arial"/>
          <w:sz w:val="20"/>
          <w:szCs w:val="20"/>
        </w:rPr>
        <w:t>One of the most cost-effective and environmentally friendly alternatives to synthetic fertilizers is the use of Phosphate-Rich Organic Manure (PROM), created by combining rock phosphate with organic matter and bio-inoculants. PROM has gained popularity due to its slow-release properties, which ensure long-term phosphorus availability and promote soil health. This practice is especially beneficial for low-calcareous soils where chemical fertilizers may be less effective due to phosphorus fixation. The use of PROM in integrated nutrient management systems can enhance soil properties, improve microbial activity, and provide a more sustainable approach to nutrient management (Naseer and Muhammad, 2014).</w:t>
      </w:r>
    </w:p>
    <w:p w14:paraId="4F452077" w14:textId="77777777" w:rsidR="00BC2AAF" w:rsidRPr="003C3A40" w:rsidRDefault="00BC2AAF" w:rsidP="00BC2AAF">
      <w:pPr>
        <w:pStyle w:val="NormalWeb"/>
        <w:spacing w:before="0" w:beforeAutospacing="0" w:after="0" w:afterAutospacing="0" w:line="276" w:lineRule="auto"/>
        <w:jc w:val="both"/>
        <w:rPr>
          <w:rFonts w:ascii="Arial" w:hAnsi="Arial" w:cs="Arial"/>
          <w:b/>
          <w:bCs/>
          <w:sz w:val="22"/>
          <w:szCs w:val="22"/>
        </w:rPr>
      </w:pPr>
      <w:r w:rsidRPr="003C3A40">
        <w:rPr>
          <w:rFonts w:ascii="Arial" w:hAnsi="Arial" w:cs="Arial"/>
          <w:sz w:val="20"/>
          <w:szCs w:val="20"/>
        </w:rPr>
        <w:t>Soybean (</w:t>
      </w:r>
      <w:r w:rsidRPr="003C3A40">
        <w:rPr>
          <w:rStyle w:val="Emphasis"/>
          <w:rFonts w:ascii="Arial" w:eastAsiaTheme="majorEastAsia" w:hAnsi="Arial" w:cs="Arial"/>
          <w:sz w:val="20"/>
          <w:szCs w:val="20"/>
        </w:rPr>
        <w:t>Glycine max</w:t>
      </w:r>
      <w:r w:rsidRPr="003C3A40">
        <w:rPr>
          <w:rFonts w:ascii="Arial" w:hAnsi="Arial" w:cs="Arial"/>
          <w:sz w:val="20"/>
          <w:szCs w:val="20"/>
        </w:rPr>
        <w:t>), a major leguminous crop, is particularly sensitive to soil phosphorus levels. Its high protein and oil content make phosphorus availability crucial for achieving optimal yields. Despite its importance, limited research has been conducted on the fate of phosphorus when applied via organic amendments such as PROM in low-calcareous soils. Understanding the effects of different phosphorus sources and levels on nutrient use efficiency and soil properties is essential for developing sustainable phosphorus management practices, particularly in the context of soil systems where phosphorus availability is often limited by soil chemistry.</w:t>
      </w:r>
    </w:p>
    <w:p w14:paraId="723CC4B7" w14:textId="77777777" w:rsidR="00BC2AAF" w:rsidRDefault="00BC2AAF" w:rsidP="00BC2AAF">
      <w:pPr>
        <w:pStyle w:val="NormalWeb"/>
        <w:spacing w:before="0" w:beforeAutospacing="0" w:after="0"/>
        <w:jc w:val="both"/>
        <w:rPr>
          <w:rFonts w:ascii="Arial" w:hAnsi="Arial" w:cs="Arial"/>
          <w:b/>
          <w:bCs/>
          <w:sz w:val="22"/>
          <w:szCs w:val="22"/>
        </w:rPr>
      </w:pPr>
    </w:p>
    <w:p w14:paraId="44565F2A" w14:textId="77777777" w:rsidR="00BC2AAF" w:rsidRDefault="00BC2AAF" w:rsidP="00BC2AAF">
      <w:pPr>
        <w:pStyle w:val="NormalWeb"/>
        <w:spacing w:before="0" w:beforeAutospacing="0" w:after="0"/>
        <w:jc w:val="both"/>
        <w:rPr>
          <w:rFonts w:ascii="Arial" w:hAnsi="Arial" w:cs="Arial"/>
          <w:b/>
          <w:bCs/>
          <w:sz w:val="22"/>
          <w:szCs w:val="22"/>
        </w:rPr>
      </w:pPr>
    </w:p>
    <w:p w14:paraId="15E0F3F9" w14:textId="77777777" w:rsidR="00BC2AAF" w:rsidRDefault="00BC2AAF" w:rsidP="00BC2AAF">
      <w:pPr>
        <w:pStyle w:val="NormalWeb"/>
        <w:spacing w:before="0" w:beforeAutospacing="0" w:after="0"/>
        <w:jc w:val="both"/>
        <w:rPr>
          <w:rFonts w:ascii="Arial" w:hAnsi="Arial" w:cs="Arial"/>
          <w:b/>
          <w:bCs/>
          <w:sz w:val="22"/>
          <w:szCs w:val="22"/>
        </w:rPr>
      </w:pPr>
    </w:p>
    <w:p w14:paraId="7A04A379" w14:textId="408DAADF" w:rsidR="00245A8B" w:rsidRPr="003C3A40" w:rsidRDefault="00ED0DCB" w:rsidP="00BC2AAF">
      <w:pPr>
        <w:pStyle w:val="NormalWeb"/>
        <w:spacing w:before="0" w:beforeAutospacing="0" w:after="0"/>
        <w:jc w:val="both"/>
        <w:rPr>
          <w:rFonts w:ascii="Arial" w:hAnsi="Arial" w:cs="Arial"/>
          <w:b/>
          <w:bCs/>
          <w:sz w:val="22"/>
          <w:szCs w:val="22"/>
        </w:rPr>
      </w:pPr>
      <w:r>
        <w:rPr>
          <w:rFonts w:ascii="Arial" w:hAnsi="Arial" w:cs="Arial"/>
          <w:b/>
          <w:bCs/>
          <w:sz w:val="22"/>
          <w:szCs w:val="22"/>
        </w:rPr>
        <w:t xml:space="preserve">2. </w:t>
      </w:r>
      <w:r w:rsidR="00733AAC" w:rsidRPr="003C3A40">
        <w:rPr>
          <w:rFonts w:ascii="Arial" w:hAnsi="Arial" w:cs="Arial"/>
          <w:b/>
          <w:bCs/>
          <w:sz w:val="22"/>
          <w:szCs w:val="22"/>
        </w:rPr>
        <w:t>MATERIAL METHOD</w:t>
      </w:r>
    </w:p>
    <w:p w14:paraId="6B13F43A" w14:textId="62955E9C" w:rsidR="002D791C" w:rsidRPr="003C3A40" w:rsidRDefault="002D791C" w:rsidP="00B318D4">
      <w:pPr>
        <w:spacing w:after="0"/>
        <w:jc w:val="both"/>
        <w:rPr>
          <w:rFonts w:ascii="Arial" w:hAnsi="Arial" w:cs="Arial"/>
          <w:sz w:val="20"/>
        </w:rPr>
      </w:pPr>
      <w:bookmarkStart w:id="1" w:name="_Hlk171005156"/>
      <w:r w:rsidRPr="003C3A40">
        <w:rPr>
          <w:rFonts w:ascii="Arial" w:hAnsi="Arial" w:cs="Arial"/>
          <w:sz w:val="20"/>
        </w:rPr>
        <w:t>A field experiment was conducted at the Post Graduate Instructional Farm, Division of Soil Science, College of Agriculture, Pune</w:t>
      </w:r>
      <w:r w:rsidR="00D73953" w:rsidRPr="003C3A40">
        <w:rPr>
          <w:rFonts w:ascii="Arial" w:hAnsi="Arial" w:cs="Arial"/>
          <w:sz w:val="20"/>
        </w:rPr>
        <w:t xml:space="preserve"> </w:t>
      </w:r>
      <w:r w:rsidRPr="003C3A40">
        <w:rPr>
          <w:rFonts w:ascii="Arial" w:hAnsi="Arial" w:cs="Arial"/>
          <w:sz w:val="20"/>
        </w:rPr>
        <w:t xml:space="preserve">(MS) during </w:t>
      </w:r>
      <w:r w:rsidRPr="003C3A40">
        <w:rPr>
          <w:rFonts w:ascii="Arial" w:hAnsi="Arial" w:cs="Arial"/>
          <w:i/>
          <w:iCs/>
          <w:sz w:val="20"/>
        </w:rPr>
        <w:t>kharif</w:t>
      </w:r>
      <w:r w:rsidRPr="003C3A40">
        <w:rPr>
          <w:rFonts w:ascii="Arial" w:hAnsi="Arial" w:cs="Arial"/>
          <w:sz w:val="20"/>
        </w:rPr>
        <w:t xml:space="preserve"> season of 2023. A representative soil sample from the 0–30 cm layer, was collected from the field.</w:t>
      </w:r>
      <w:r w:rsidR="006D1DAA">
        <w:rPr>
          <w:rFonts w:ascii="Arial" w:hAnsi="Arial" w:cs="Arial"/>
          <w:sz w:val="20"/>
        </w:rPr>
        <w:t xml:space="preserve"> </w:t>
      </w:r>
      <w:r w:rsidRPr="003C3A40">
        <w:rPr>
          <w:rFonts w:ascii="Arial" w:hAnsi="Arial" w:cs="Arial"/>
          <w:sz w:val="20"/>
        </w:rPr>
        <w:t xml:space="preserve">The soil of the experimental field was slightly alkaline (pH7.8), with a low electrical conductivity (EC) (0.3 </w:t>
      </w:r>
      <w:proofErr w:type="spellStart"/>
      <w:r w:rsidRPr="003C3A40">
        <w:rPr>
          <w:rFonts w:ascii="Arial" w:hAnsi="Arial" w:cs="Arial"/>
          <w:sz w:val="20"/>
        </w:rPr>
        <w:t>dS</w:t>
      </w:r>
      <w:proofErr w:type="spellEnd"/>
      <w:r w:rsidRPr="003C3A40">
        <w:rPr>
          <w:rFonts w:ascii="Arial" w:hAnsi="Arial" w:cs="Arial"/>
          <w:sz w:val="20"/>
        </w:rPr>
        <w:t xml:space="preserve"> m</w:t>
      </w:r>
      <w:r w:rsidRPr="003C3A40">
        <w:rPr>
          <w:rFonts w:ascii="Arial" w:hAnsi="Arial" w:cs="Arial"/>
          <w:sz w:val="20"/>
          <w:vertAlign w:val="superscript"/>
        </w:rPr>
        <w:t>-1</w:t>
      </w:r>
      <w:r w:rsidRPr="003C3A40">
        <w:rPr>
          <w:rFonts w:ascii="Arial" w:hAnsi="Arial" w:cs="Arial"/>
          <w:sz w:val="20"/>
        </w:rPr>
        <w:t>), moderate in organic carbon (0.61%) and calcium carbonate (6.42%),</w:t>
      </w:r>
      <w:r w:rsidR="00D330AA">
        <w:rPr>
          <w:rFonts w:ascii="Arial" w:hAnsi="Arial" w:cs="Arial"/>
          <w:sz w:val="20"/>
        </w:rPr>
        <w:t xml:space="preserve"> </w:t>
      </w:r>
      <w:r w:rsidRPr="003C3A40">
        <w:rPr>
          <w:rFonts w:ascii="Arial" w:hAnsi="Arial" w:cs="Arial"/>
          <w:sz w:val="20"/>
        </w:rPr>
        <w:t>low in available nitrogen (263.42 kg ha</w:t>
      </w:r>
      <w:r w:rsidRPr="003C3A40">
        <w:rPr>
          <w:rFonts w:ascii="Cambria Math" w:hAnsi="Cambria Math" w:cs="Cambria Math"/>
          <w:sz w:val="20"/>
        </w:rPr>
        <w:t>⁻</w:t>
      </w:r>
      <w:r w:rsidRPr="003C3A40">
        <w:rPr>
          <w:rFonts w:ascii="Arial" w:hAnsi="Arial" w:cs="Arial"/>
          <w:sz w:val="20"/>
        </w:rPr>
        <w:t>¹) and available phosphorus (20.17 kg ha</w:t>
      </w:r>
      <w:r w:rsidRPr="003C3A40">
        <w:rPr>
          <w:rFonts w:ascii="Cambria Math" w:hAnsi="Cambria Math" w:cs="Cambria Math"/>
          <w:sz w:val="20"/>
        </w:rPr>
        <w:t>⁻</w:t>
      </w:r>
      <w:r w:rsidRPr="003C3A40">
        <w:rPr>
          <w:rFonts w:ascii="Arial" w:hAnsi="Arial" w:cs="Arial"/>
          <w:sz w:val="20"/>
        </w:rPr>
        <w:t>¹) but high available potassium levels (697.76 kg ha</w:t>
      </w:r>
      <w:r w:rsidRPr="003C3A40">
        <w:rPr>
          <w:rFonts w:ascii="Cambria Math" w:hAnsi="Cambria Math" w:cs="Cambria Math"/>
          <w:sz w:val="20"/>
        </w:rPr>
        <w:t>⁻</w:t>
      </w:r>
      <w:r w:rsidRPr="003C3A40">
        <w:rPr>
          <w:rFonts w:ascii="Arial" w:hAnsi="Arial" w:cs="Arial"/>
          <w:sz w:val="20"/>
        </w:rPr>
        <w:t xml:space="preserve">¹) and </w:t>
      </w:r>
      <w:r w:rsidR="00D330AA" w:rsidRPr="003C3A40">
        <w:rPr>
          <w:rFonts w:ascii="Arial" w:hAnsi="Arial" w:cs="Arial"/>
          <w:sz w:val="20"/>
        </w:rPr>
        <w:t>sufficient micronutrients</w:t>
      </w:r>
      <w:r w:rsidRPr="003C3A40">
        <w:rPr>
          <w:rFonts w:ascii="Arial" w:hAnsi="Arial" w:cs="Arial"/>
          <w:sz w:val="20"/>
        </w:rPr>
        <w:t>.</w:t>
      </w:r>
    </w:p>
    <w:p w14:paraId="778D42B0" w14:textId="55B3417A" w:rsidR="002D791C" w:rsidRPr="003C3A40" w:rsidRDefault="002D791C" w:rsidP="002D791C">
      <w:pPr>
        <w:spacing w:after="0"/>
        <w:jc w:val="both"/>
        <w:rPr>
          <w:rFonts w:ascii="Arial" w:hAnsi="Arial" w:cs="Arial"/>
          <w:sz w:val="20"/>
        </w:rPr>
      </w:pPr>
      <w:r w:rsidRPr="003C3A40">
        <w:rPr>
          <w:rFonts w:ascii="Arial" w:hAnsi="Arial" w:cs="Arial"/>
          <w:sz w:val="20"/>
        </w:rPr>
        <w:t>The soybean, variety KDS-726 (</w:t>
      </w:r>
      <w:r w:rsidRPr="003C3A40">
        <w:rPr>
          <w:rFonts w:ascii="Arial" w:hAnsi="Arial" w:cs="Arial"/>
          <w:i/>
          <w:iCs/>
          <w:sz w:val="20"/>
        </w:rPr>
        <w:t>Phule Sangam</w:t>
      </w:r>
      <w:r w:rsidRPr="003C3A40">
        <w:rPr>
          <w:rFonts w:ascii="Arial" w:hAnsi="Arial" w:cs="Arial"/>
          <w:sz w:val="20"/>
        </w:rPr>
        <w:t>) was grown as test crop. The PROM was prepared at Vermicompost Yard, Division of Soil Science, College of Agriculture, Pune. The recommended dose of fertilizer (50:75:45 kg ha</w:t>
      </w:r>
      <w:r w:rsidRPr="003C3A40">
        <w:rPr>
          <w:rFonts w:ascii="Cambria Math" w:hAnsi="Cambria Math" w:cs="Cambria Math"/>
          <w:sz w:val="20"/>
        </w:rPr>
        <w:t>⁻</w:t>
      </w:r>
      <w:r w:rsidRPr="003C3A40">
        <w:rPr>
          <w:rFonts w:ascii="Arial" w:hAnsi="Arial" w:cs="Arial"/>
          <w:sz w:val="20"/>
        </w:rPr>
        <w:t>¹ of N,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and K</w:t>
      </w:r>
      <w:r w:rsidRPr="003C3A40">
        <w:rPr>
          <w:rFonts w:ascii="Arial" w:hAnsi="Arial" w:cs="Arial"/>
          <w:sz w:val="20"/>
          <w:vertAlign w:val="subscript"/>
        </w:rPr>
        <w:t>2</w:t>
      </w:r>
      <w:r w:rsidRPr="003C3A40">
        <w:rPr>
          <w:rFonts w:ascii="Arial" w:hAnsi="Arial" w:cs="Arial"/>
          <w:sz w:val="20"/>
        </w:rPr>
        <w:t xml:space="preserve">O) was applied except to absolute control. The </w:t>
      </w:r>
      <w:r w:rsidRPr="003C3A40">
        <w:rPr>
          <w:rFonts w:ascii="Arial" w:hAnsi="Arial" w:cs="Arial"/>
          <w:sz w:val="20"/>
        </w:rPr>
        <w:lastRenderedPageBreak/>
        <w:t xml:space="preserve">recommended dose of phosphorus was supplied through various sources such as PROM, vermicompost as an organic sources and DAP and SSP as an </w:t>
      </w:r>
      <w:r w:rsidR="00546FF8" w:rsidRPr="003C3A40">
        <w:rPr>
          <w:rFonts w:ascii="Arial" w:hAnsi="Arial" w:cs="Arial"/>
          <w:sz w:val="20"/>
        </w:rPr>
        <w:t>inorganic source</w:t>
      </w:r>
      <w:r w:rsidRPr="003C3A40">
        <w:rPr>
          <w:rFonts w:ascii="Arial" w:hAnsi="Arial" w:cs="Arial"/>
          <w:sz w:val="20"/>
        </w:rPr>
        <w:t>. The nitrogen and potassium were supplied through urea and muriate of potash, respectively. PROM, FYM and vermicompost were applied at sowing.</w:t>
      </w:r>
      <w:r w:rsidR="00D330AA">
        <w:rPr>
          <w:rFonts w:ascii="Arial" w:hAnsi="Arial" w:cs="Arial"/>
          <w:sz w:val="20"/>
        </w:rPr>
        <w:t xml:space="preserve"> </w:t>
      </w:r>
      <w:r w:rsidRPr="003C3A40">
        <w:rPr>
          <w:rFonts w:ascii="Arial" w:hAnsi="Arial" w:cs="Arial"/>
          <w:sz w:val="20"/>
        </w:rPr>
        <w:t>The proximate analysis of PROM, Farmyard manure (FYM), vermicompost was done before start of experiment</w:t>
      </w:r>
      <w:r w:rsidR="00546FF8" w:rsidRPr="003C3A40">
        <w:rPr>
          <w:rFonts w:ascii="Arial" w:hAnsi="Arial" w:cs="Arial"/>
          <w:sz w:val="20"/>
        </w:rPr>
        <w:t xml:space="preserve"> (Table 1)</w:t>
      </w:r>
      <w:r w:rsidRPr="003C3A40">
        <w:rPr>
          <w:rFonts w:ascii="Arial" w:hAnsi="Arial" w:cs="Arial"/>
          <w:sz w:val="20"/>
        </w:rPr>
        <w:t>.</w:t>
      </w:r>
    </w:p>
    <w:p w14:paraId="01445041" w14:textId="2B89059C" w:rsidR="002D791C" w:rsidRPr="003C3A40" w:rsidRDefault="002D791C" w:rsidP="002D791C">
      <w:pPr>
        <w:spacing w:after="0"/>
        <w:jc w:val="both"/>
        <w:rPr>
          <w:rFonts w:ascii="Arial" w:hAnsi="Arial" w:cs="Arial"/>
          <w:sz w:val="20"/>
        </w:rPr>
      </w:pPr>
      <w:r w:rsidRPr="003C3A40">
        <w:rPr>
          <w:rFonts w:ascii="Arial" w:hAnsi="Arial" w:cs="Arial"/>
          <w:sz w:val="20"/>
        </w:rPr>
        <w:t>Plant samples were collected at harvest of soybean crop. The PROM, FYM, VC, plant and soil samples were analyzed by using standard analytical methods. Data was recorded for root and shoot growth characteristics. The yield was recorded and the total nutrient uptake by the plants was calculated by multiplying the nutrient content by the dry matter yield.</w:t>
      </w:r>
      <w:r w:rsidR="00D330AA">
        <w:rPr>
          <w:rFonts w:ascii="Arial" w:hAnsi="Arial" w:cs="Arial"/>
          <w:sz w:val="20"/>
        </w:rPr>
        <w:t xml:space="preserve"> </w:t>
      </w:r>
      <w:r w:rsidRPr="003C3A40">
        <w:rPr>
          <w:rFonts w:ascii="Arial" w:hAnsi="Arial" w:cs="Arial"/>
          <w:sz w:val="20"/>
        </w:rPr>
        <w:t xml:space="preserve">A randomized block design (RBD) with analysis of variance (ANOVA) was employed to assess treatment effects on all studied </w:t>
      </w:r>
      <w:proofErr w:type="gramStart"/>
      <w:r w:rsidRPr="003C3A40">
        <w:rPr>
          <w:rFonts w:ascii="Arial" w:hAnsi="Arial" w:cs="Arial"/>
          <w:sz w:val="20"/>
        </w:rPr>
        <w:t>characteristics(</w:t>
      </w:r>
      <w:proofErr w:type="gramEnd"/>
      <w:r w:rsidRPr="003C3A40">
        <w:rPr>
          <w:rFonts w:ascii="Arial" w:hAnsi="Arial" w:cs="Arial"/>
          <w:sz w:val="20"/>
        </w:rPr>
        <w:t xml:space="preserve">Panse and </w:t>
      </w:r>
      <w:proofErr w:type="spellStart"/>
      <w:r w:rsidRPr="003C3A40">
        <w:rPr>
          <w:rFonts w:ascii="Arial" w:hAnsi="Arial" w:cs="Arial"/>
          <w:sz w:val="20"/>
        </w:rPr>
        <w:t>Sukhatme</w:t>
      </w:r>
      <w:proofErr w:type="spellEnd"/>
      <w:r w:rsidRPr="003C3A40">
        <w:rPr>
          <w:rFonts w:ascii="Arial" w:hAnsi="Arial" w:cs="Arial"/>
          <w:sz w:val="20"/>
        </w:rPr>
        <w:t>, 1985).</w:t>
      </w:r>
    </w:p>
    <w:p w14:paraId="34C779E6" w14:textId="77777777" w:rsidR="002D791C" w:rsidRPr="003C3A40" w:rsidRDefault="002D791C" w:rsidP="002D791C">
      <w:pPr>
        <w:spacing w:after="0"/>
        <w:jc w:val="both"/>
        <w:rPr>
          <w:rFonts w:ascii="Arial" w:hAnsi="Arial" w:cs="Arial"/>
          <w:sz w:val="20"/>
        </w:rPr>
      </w:pPr>
    </w:p>
    <w:p w14:paraId="3D81CE3E" w14:textId="18C63566" w:rsidR="0002724E" w:rsidRPr="00ED0DCB" w:rsidRDefault="0002724E" w:rsidP="00245A8B">
      <w:pPr>
        <w:spacing w:after="0"/>
        <w:rPr>
          <w:rFonts w:ascii="Arial" w:hAnsi="Arial" w:cs="Arial"/>
          <w:b/>
          <w:bCs/>
          <w:szCs w:val="22"/>
        </w:rPr>
      </w:pPr>
      <w:r w:rsidRPr="00ED0DCB">
        <w:rPr>
          <w:rFonts w:ascii="Arial" w:hAnsi="Arial" w:cs="Arial"/>
          <w:b/>
          <w:bCs/>
          <w:szCs w:val="22"/>
        </w:rPr>
        <w:t>Table 1 Proximate analysis of PROM, FYM and vermicompost</w:t>
      </w:r>
    </w:p>
    <w:tbl>
      <w:tblPr>
        <w:tblStyle w:val="TableGrid"/>
        <w:tblW w:w="0" w:type="auto"/>
        <w:tblLayout w:type="fixed"/>
        <w:tblLook w:val="04A0" w:firstRow="1" w:lastRow="0" w:firstColumn="1" w:lastColumn="0" w:noHBand="0" w:noVBand="1"/>
      </w:tblPr>
      <w:tblGrid>
        <w:gridCol w:w="1129"/>
        <w:gridCol w:w="2410"/>
        <w:gridCol w:w="1843"/>
        <w:gridCol w:w="1701"/>
        <w:gridCol w:w="2126"/>
      </w:tblGrid>
      <w:tr w:rsidR="0002724E" w:rsidRPr="003C3A40" w14:paraId="6985E89B" w14:textId="77777777" w:rsidTr="002752EB">
        <w:tc>
          <w:tcPr>
            <w:tcW w:w="1129" w:type="dxa"/>
          </w:tcPr>
          <w:p w14:paraId="37D20860"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Sr. No</w:t>
            </w:r>
          </w:p>
        </w:tc>
        <w:tc>
          <w:tcPr>
            <w:tcW w:w="2410" w:type="dxa"/>
          </w:tcPr>
          <w:p w14:paraId="0F981B47"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Parameters</w:t>
            </w:r>
          </w:p>
        </w:tc>
        <w:tc>
          <w:tcPr>
            <w:tcW w:w="1843" w:type="dxa"/>
          </w:tcPr>
          <w:p w14:paraId="595B2272"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PROM</w:t>
            </w:r>
          </w:p>
        </w:tc>
        <w:tc>
          <w:tcPr>
            <w:tcW w:w="1701" w:type="dxa"/>
          </w:tcPr>
          <w:p w14:paraId="18455D56"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FYM</w:t>
            </w:r>
          </w:p>
        </w:tc>
        <w:tc>
          <w:tcPr>
            <w:tcW w:w="2126" w:type="dxa"/>
          </w:tcPr>
          <w:p w14:paraId="381A71A0"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Vermicompost</w:t>
            </w:r>
          </w:p>
        </w:tc>
      </w:tr>
      <w:tr w:rsidR="0002724E" w:rsidRPr="003C3A40" w14:paraId="7F46401E" w14:textId="77777777" w:rsidTr="002752EB">
        <w:tc>
          <w:tcPr>
            <w:tcW w:w="1129" w:type="dxa"/>
          </w:tcPr>
          <w:p w14:paraId="51396836"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w:t>
            </w:r>
          </w:p>
        </w:tc>
        <w:tc>
          <w:tcPr>
            <w:tcW w:w="2410" w:type="dxa"/>
          </w:tcPr>
          <w:p w14:paraId="225FBAA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pH (1:10)</w:t>
            </w:r>
          </w:p>
        </w:tc>
        <w:tc>
          <w:tcPr>
            <w:tcW w:w="1843" w:type="dxa"/>
          </w:tcPr>
          <w:p w14:paraId="4D888D1B"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sz w:val="20"/>
                <w:szCs w:val="20"/>
              </w:rPr>
              <w:t>7.18</w:t>
            </w:r>
          </w:p>
        </w:tc>
        <w:tc>
          <w:tcPr>
            <w:tcW w:w="1701" w:type="dxa"/>
          </w:tcPr>
          <w:p w14:paraId="0A9A28FE"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sz w:val="20"/>
                <w:szCs w:val="20"/>
              </w:rPr>
              <w:t>7.49</w:t>
            </w:r>
          </w:p>
        </w:tc>
        <w:tc>
          <w:tcPr>
            <w:tcW w:w="2126" w:type="dxa"/>
          </w:tcPr>
          <w:p w14:paraId="57234621"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sz w:val="20"/>
                <w:szCs w:val="20"/>
              </w:rPr>
              <w:t>6.91</w:t>
            </w:r>
          </w:p>
        </w:tc>
      </w:tr>
      <w:tr w:rsidR="0002724E" w:rsidRPr="003C3A40" w14:paraId="13DFA9AA" w14:textId="77777777" w:rsidTr="002752EB">
        <w:tc>
          <w:tcPr>
            <w:tcW w:w="1129" w:type="dxa"/>
          </w:tcPr>
          <w:p w14:paraId="4516C0D3"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2</w:t>
            </w:r>
          </w:p>
        </w:tc>
        <w:tc>
          <w:tcPr>
            <w:tcW w:w="2410" w:type="dxa"/>
          </w:tcPr>
          <w:p w14:paraId="14F0374C"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EC (</w:t>
            </w:r>
            <w:proofErr w:type="spellStart"/>
            <w:r w:rsidRPr="003C3A40">
              <w:rPr>
                <w:rFonts w:ascii="Arial" w:hAnsi="Arial" w:cs="Arial"/>
                <w:sz w:val="20"/>
                <w:szCs w:val="20"/>
              </w:rPr>
              <w:t>dS</w:t>
            </w:r>
            <w:proofErr w:type="spellEnd"/>
            <w:r w:rsidRPr="003C3A40">
              <w:rPr>
                <w:rFonts w:ascii="Arial" w:hAnsi="Arial" w:cs="Arial"/>
                <w:sz w:val="20"/>
                <w:szCs w:val="20"/>
              </w:rPr>
              <w:t xml:space="preserve"> m</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5E860D83"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1.74</w:t>
            </w:r>
          </w:p>
        </w:tc>
        <w:tc>
          <w:tcPr>
            <w:tcW w:w="1701" w:type="dxa"/>
          </w:tcPr>
          <w:p w14:paraId="57C14F8D"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1.66</w:t>
            </w:r>
          </w:p>
        </w:tc>
        <w:tc>
          <w:tcPr>
            <w:tcW w:w="2126" w:type="dxa"/>
          </w:tcPr>
          <w:p w14:paraId="2E15C2D1"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2.12</w:t>
            </w:r>
          </w:p>
        </w:tc>
      </w:tr>
      <w:tr w:rsidR="0002724E" w:rsidRPr="003C3A40" w14:paraId="2267604A" w14:textId="77777777" w:rsidTr="002752EB">
        <w:tc>
          <w:tcPr>
            <w:tcW w:w="1129" w:type="dxa"/>
          </w:tcPr>
          <w:p w14:paraId="067C9B27"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3</w:t>
            </w:r>
          </w:p>
        </w:tc>
        <w:tc>
          <w:tcPr>
            <w:tcW w:w="2410" w:type="dxa"/>
          </w:tcPr>
          <w:p w14:paraId="7558EA13" w14:textId="77777777" w:rsidR="0002724E" w:rsidRPr="003C3A40" w:rsidRDefault="0002724E" w:rsidP="00245A8B">
            <w:pPr>
              <w:spacing w:line="276" w:lineRule="auto"/>
              <w:rPr>
                <w:rFonts w:ascii="Arial" w:hAnsi="Arial" w:cs="Arial"/>
                <w:sz w:val="20"/>
                <w:szCs w:val="20"/>
              </w:rPr>
            </w:pPr>
            <w:r w:rsidRPr="003C3A40">
              <w:rPr>
                <w:rFonts w:ascii="Arial" w:hAnsi="Arial" w:cs="Arial"/>
                <w:sz w:val="20"/>
                <w:szCs w:val="20"/>
              </w:rPr>
              <w:t>Moisture (%)</w:t>
            </w:r>
          </w:p>
        </w:tc>
        <w:tc>
          <w:tcPr>
            <w:tcW w:w="1843" w:type="dxa"/>
          </w:tcPr>
          <w:p w14:paraId="6F18E2F8"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24.02</w:t>
            </w:r>
          </w:p>
        </w:tc>
        <w:tc>
          <w:tcPr>
            <w:tcW w:w="1701" w:type="dxa"/>
          </w:tcPr>
          <w:p w14:paraId="28C83EE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23.50</w:t>
            </w:r>
          </w:p>
        </w:tc>
        <w:tc>
          <w:tcPr>
            <w:tcW w:w="2126" w:type="dxa"/>
          </w:tcPr>
          <w:p w14:paraId="2521F2AB"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25.45</w:t>
            </w:r>
          </w:p>
        </w:tc>
      </w:tr>
      <w:tr w:rsidR="0002724E" w:rsidRPr="003C3A40" w14:paraId="5F3F4D97" w14:textId="77777777" w:rsidTr="002752EB">
        <w:tc>
          <w:tcPr>
            <w:tcW w:w="1129" w:type="dxa"/>
          </w:tcPr>
          <w:p w14:paraId="72E5CC60"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4</w:t>
            </w:r>
          </w:p>
        </w:tc>
        <w:tc>
          <w:tcPr>
            <w:tcW w:w="2410" w:type="dxa"/>
          </w:tcPr>
          <w:p w14:paraId="74DE6260"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Organic Carbon (%)</w:t>
            </w:r>
          </w:p>
        </w:tc>
        <w:tc>
          <w:tcPr>
            <w:tcW w:w="1843" w:type="dxa"/>
          </w:tcPr>
          <w:p w14:paraId="12710579"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21.06</w:t>
            </w:r>
          </w:p>
        </w:tc>
        <w:tc>
          <w:tcPr>
            <w:tcW w:w="1701" w:type="dxa"/>
          </w:tcPr>
          <w:p w14:paraId="14EBAB88"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22.26</w:t>
            </w:r>
          </w:p>
        </w:tc>
        <w:tc>
          <w:tcPr>
            <w:tcW w:w="2126" w:type="dxa"/>
          </w:tcPr>
          <w:p w14:paraId="30203934"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30.79</w:t>
            </w:r>
          </w:p>
        </w:tc>
      </w:tr>
      <w:tr w:rsidR="0002724E" w:rsidRPr="003C3A40" w14:paraId="30F0227D" w14:textId="77777777" w:rsidTr="002752EB">
        <w:tc>
          <w:tcPr>
            <w:tcW w:w="1129" w:type="dxa"/>
          </w:tcPr>
          <w:p w14:paraId="1A90818F"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5</w:t>
            </w:r>
          </w:p>
        </w:tc>
        <w:tc>
          <w:tcPr>
            <w:tcW w:w="2410" w:type="dxa"/>
          </w:tcPr>
          <w:p w14:paraId="34C70D69"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N (%)</w:t>
            </w:r>
          </w:p>
        </w:tc>
        <w:tc>
          <w:tcPr>
            <w:tcW w:w="1843" w:type="dxa"/>
          </w:tcPr>
          <w:p w14:paraId="535A536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0.78</w:t>
            </w:r>
          </w:p>
        </w:tc>
        <w:tc>
          <w:tcPr>
            <w:tcW w:w="1701" w:type="dxa"/>
          </w:tcPr>
          <w:p w14:paraId="4B3E839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0.69</w:t>
            </w:r>
          </w:p>
        </w:tc>
        <w:tc>
          <w:tcPr>
            <w:tcW w:w="2126" w:type="dxa"/>
          </w:tcPr>
          <w:p w14:paraId="384B0448"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1.48</w:t>
            </w:r>
          </w:p>
        </w:tc>
      </w:tr>
      <w:tr w:rsidR="0002724E" w:rsidRPr="003C3A40" w14:paraId="0198A5C7" w14:textId="77777777" w:rsidTr="002752EB">
        <w:tc>
          <w:tcPr>
            <w:tcW w:w="1129" w:type="dxa"/>
          </w:tcPr>
          <w:p w14:paraId="0767D135"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6</w:t>
            </w:r>
          </w:p>
        </w:tc>
        <w:tc>
          <w:tcPr>
            <w:tcW w:w="2410" w:type="dxa"/>
          </w:tcPr>
          <w:p w14:paraId="34D18FC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P (%)</w:t>
            </w:r>
          </w:p>
        </w:tc>
        <w:tc>
          <w:tcPr>
            <w:tcW w:w="1843" w:type="dxa"/>
          </w:tcPr>
          <w:p w14:paraId="6685C7F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14.57</w:t>
            </w:r>
          </w:p>
        </w:tc>
        <w:tc>
          <w:tcPr>
            <w:tcW w:w="1701" w:type="dxa"/>
          </w:tcPr>
          <w:p w14:paraId="3555468B"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0.39</w:t>
            </w:r>
          </w:p>
        </w:tc>
        <w:tc>
          <w:tcPr>
            <w:tcW w:w="2126" w:type="dxa"/>
          </w:tcPr>
          <w:p w14:paraId="238006FC"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0.79</w:t>
            </w:r>
          </w:p>
        </w:tc>
      </w:tr>
      <w:tr w:rsidR="0002724E" w:rsidRPr="003C3A40" w14:paraId="25597667" w14:textId="77777777" w:rsidTr="002752EB">
        <w:tc>
          <w:tcPr>
            <w:tcW w:w="1129" w:type="dxa"/>
          </w:tcPr>
          <w:p w14:paraId="581C678F"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7</w:t>
            </w:r>
          </w:p>
        </w:tc>
        <w:tc>
          <w:tcPr>
            <w:tcW w:w="2410" w:type="dxa"/>
          </w:tcPr>
          <w:p w14:paraId="54BDAF7E"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K (%)</w:t>
            </w:r>
          </w:p>
        </w:tc>
        <w:tc>
          <w:tcPr>
            <w:tcW w:w="1843" w:type="dxa"/>
          </w:tcPr>
          <w:p w14:paraId="0C02523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0.37</w:t>
            </w:r>
          </w:p>
        </w:tc>
        <w:tc>
          <w:tcPr>
            <w:tcW w:w="1701" w:type="dxa"/>
          </w:tcPr>
          <w:p w14:paraId="5018A880"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0.38</w:t>
            </w:r>
          </w:p>
        </w:tc>
        <w:tc>
          <w:tcPr>
            <w:tcW w:w="2126" w:type="dxa"/>
          </w:tcPr>
          <w:p w14:paraId="5D0509E5"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0.81</w:t>
            </w:r>
          </w:p>
        </w:tc>
      </w:tr>
      <w:tr w:rsidR="0002724E" w:rsidRPr="003C3A40" w14:paraId="7539E68F" w14:textId="77777777" w:rsidTr="002752EB">
        <w:tc>
          <w:tcPr>
            <w:tcW w:w="1129" w:type="dxa"/>
          </w:tcPr>
          <w:p w14:paraId="74200995"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8</w:t>
            </w:r>
          </w:p>
        </w:tc>
        <w:tc>
          <w:tcPr>
            <w:tcW w:w="2410" w:type="dxa"/>
          </w:tcPr>
          <w:p w14:paraId="0C1C93DD"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Fe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3F614D24"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12.70</w:t>
            </w:r>
          </w:p>
        </w:tc>
        <w:tc>
          <w:tcPr>
            <w:tcW w:w="1701" w:type="dxa"/>
          </w:tcPr>
          <w:p w14:paraId="12D93F5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186</w:t>
            </w:r>
          </w:p>
        </w:tc>
        <w:tc>
          <w:tcPr>
            <w:tcW w:w="2126" w:type="dxa"/>
          </w:tcPr>
          <w:p w14:paraId="335F973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388</w:t>
            </w:r>
          </w:p>
        </w:tc>
      </w:tr>
      <w:tr w:rsidR="0002724E" w:rsidRPr="003C3A40" w14:paraId="44A2D75B" w14:textId="77777777" w:rsidTr="002752EB">
        <w:tc>
          <w:tcPr>
            <w:tcW w:w="1129" w:type="dxa"/>
          </w:tcPr>
          <w:p w14:paraId="494EEF43"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9</w:t>
            </w:r>
          </w:p>
        </w:tc>
        <w:tc>
          <w:tcPr>
            <w:tcW w:w="2410" w:type="dxa"/>
          </w:tcPr>
          <w:p w14:paraId="743DCC2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Mn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01CE0D2D"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0.67</w:t>
            </w:r>
          </w:p>
        </w:tc>
        <w:tc>
          <w:tcPr>
            <w:tcW w:w="1701" w:type="dxa"/>
          </w:tcPr>
          <w:p w14:paraId="58DC278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35.7</w:t>
            </w:r>
          </w:p>
        </w:tc>
        <w:tc>
          <w:tcPr>
            <w:tcW w:w="2126" w:type="dxa"/>
          </w:tcPr>
          <w:p w14:paraId="10E53805"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65.7</w:t>
            </w:r>
          </w:p>
        </w:tc>
      </w:tr>
      <w:tr w:rsidR="0002724E" w:rsidRPr="003C3A40" w14:paraId="6EE9C270" w14:textId="77777777" w:rsidTr="002752EB">
        <w:tc>
          <w:tcPr>
            <w:tcW w:w="1129" w:type="dxa"/>
          </w:tcPr>
          <w:p w14:paraId="362C9919"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10</w:t>
            </w:r>
          </w:p>
        </w:tc>
        <w:tc>
          <w:tcPr>
            <w:tcW w:w="2410" w:type="dxa"/>
          </w:tcPr>
          <w:p w14:paraId="67FA2228"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Zn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01FD3CB7"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2.69</w:t>
            </w:r>
          </w:p>
        </w:tc>
        <w:tc>
          <w:tcPr>
            <w:tcW w:w="1701" w:type="dxa"/>
          </w:tcPr>
          <w:p w14:paraId="6B0EE65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14.8</w:t>
            </w:r>
          </w:p>
        </w:tc>
        <w:tc>
          <w:tcPr>
            <w:tcW w:w="2126" w:type="dxa"/>
          </w:tcPr>
          <w:p w14:paraId="35A75161"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18.3</w:t>
            </w:r>
          </w:p>
        </w:tc>
      </w:tr>
      <w:tr w:rsidR="0002724E" w:rsidRPr="003C3A40" w14:paraId="035BFE17" w14:textId="77777777" w:rsidTr="002752EB">
        <w:tc>
          <w:tcPr>
            <w:tcW w:w="1129" w:type="dxa"/>
          </w:tcPr>
          <w:p w14:paraId="18D5387A"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11</w:t>
            </w:r>
          </w:p>
        </w:tc>
        <w:tc>
          <w:tcPr>
            <w:tcW w:w="2410" w:type="dxa"/>
          </w:tcPr>
          <w:p w14:paraId="46E4687A"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Total Cu (mg kg</w:t>
            </w:r>
            <w:r w:rsidRPr="003C3A40">
              <w:rPr>
                <w:rFonts w:ascii="Arial" w:hAnsi="Arial" w:cs="Arial"/>
                <w:sz w:val="20"/>
                <w:szCs w:val="20"/>
                <w:vertAlign w:val="superscript"/>
              </w:rPr>
              <w:t>-1</w:t>
            </w:r>
            <w:r w:rsidRPr="003C3A40">
              <w:rPr>
                <w:rFonts w:ascii="Arial" w:hAnsi="Arial" w:cs="Arial"/>
                <w:sz w:val="20"/>
                <w:szCs w:val="20"/>
              </w:rPr>
              <w:t>)</w:t>
            </w:r>
          </w:p>
        </w:tc>
        <w:tc>
          <w:tcPr>
            <w:tcW w:w="1843" w:type="dxa"/>
          </w:tcPr>
          <w:p w14:paraId="4388E716"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0.46</w:t>
            </w:r>
          </w:p>
        </w:tc>
        <w:tc>
          <w:tcPr>
            <w:tcW w:w="1701" w:type="dxa"/>
          </w:tcPr>
          <w:p w14:paraId="76161DD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4.39</w:t>
            </w:r>
          </w:p>
        </w:tc>
        <w:tc>
          <w:tcPr>
            <w:tcW w:w="2126" w:type="dxa"/>
          </w:tcPr>
          <w:p w14:paraId="4984B68C"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15.2</w:t>
            </w:r>
          </w:p>
        </w:tc>
      </w:tr>
      <w:tr w:rsidR="0002724E" w:rsidRPr="003C3A40" w14:paraId="079C9369" w14:textId="77777777" w:rsidTr="002752EB">
        <w:tc>
          <w:tcPr>
            <w:tcW w:w="1129" w:type="dxa"/>
          </w:tcPr>
          <w:p w14:paraId="7B2F7B0A"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12</w:t>
            </w:r>
          </w:p>
        </w:tc>
        <w:tc>
          <w:tcPr>
            <w:tcW w:w="2410" w:type="dxa"/>
          </w:tcPr>
          <w:p w14:paraId="679021CC"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C:N ratio</w:t>
            </w:r>
          </w:p>
        </w:tc>
        <w:tc>
          <w:tcPr>
            <w:tcW w:w="1843" w:type="dxa"/>
          </w:tcPr>
          <w:p w14:paraId="1F6D6FF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24:1</w:t>
            </w:r>
          </w:p>
        </w:tc>
        <w:tc>
          <w:tcPr>
            <w:tcW w:w="1701" w:type="dxa"/>
          </w:tcPr>
          <w:p w14:paraId="446E37CB"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39:1</w:t>
            </w:r>
          </w:p>
        </w:tc>
        <w:tc>
          <w:tcPr>
            <w:tcW w:w="2126" w:type="dxa"/>
          </w:tcPr>
          <w:p w14:paraId="535F3C63"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20:1</w:t>
            </w:r>
          </w:p>
        </w:tc>
      </w:tr>
      <w:tr w:rsidR="0002724E" w:rsidRPr="003C3A40" w14:paraId="698A39C7" w14:textId="77777777" w:rsidTr="002752EB">
        <w:tc>
          <w:tcPr>
            <w:tcW w:w="1129" w:type="dxa"/>
          </w:tcPr>
          <w:p w14:paraId="1CCFD6C6" w14:textId="77777777" w:rsidR="0002724E" w:rsidRPr="003C3A40" w:rsidRDefault="0002724E" w:rsidP="00245A8B">
            <w:pPr>
              <w:spacing w:line="276" w:lineRule="auto"/>
              <w:jc w:val="center"/>
              <w:rPr>
                <w:rFonts w:ascii="Arial" w:hAnsi="Arial" w:cs="Arial"/>
                <w:b/>
                <w:bCs/>
                <w:sz w:val="20"/>
                <w:szCs w:val="20"/>
              </w:rPr>
            </w:pPr>
            <w:r w:rsidRPr="003C3A40">
              <w:rPr>
                <w:rFonts w:ascii="Arial" w:hAnsi="Arial" w:cs="Arial"/>
                <w:b/>
                <w:bCs/>
                <w:sz w:val="20"/>
                <w:szCs w:val="20"/>
              </w:rPr>
              <w:t>13</w:t>
            </w:r>
          </w:p>
        </w:tc>
        <w:tc>
          <w:tcPr>
            <w:tcW w:w="2410" w:type="dxa"/>
          </w:tcPr>
          <w:p w14:paraId="6C6F232C" w14:textId="77777777" w:rsidR="0002724E" w:rsidRPr="003C3A40" w:rsidRDefault="0002724E" w:rsidP="00245A8B">
            <w:pPr>
              <w:spacing w:line="276" w:lineRule="auto"/>
              <w:rPr>
                <w:rFonts w:ascii="Arial" w:hAnsi="Arial" w:cs="Arial"/>
                <w:b/>
                <w:bCs/>
                <w:sz w:val="20"/>
                <w:szCs w:val="20"/>
              </w:rPr>
            </w:pPr>
            <w:r w:rsidRPr="003C3A40">
              <w:rPr>
                <w:rFonts w:ascii="Arial" w:hAnsi="Arial" w:cs="Arial"/>
                <w:sz w:val="20"/>
                <w:szCs w:val="20"/>
              </w:rPr>
              <w:t>C:P ratio</w:t>
            </w:r>
          </w:p>
        </w:tc>
        <w:tc>
          <w:tcPr>
            <w:tcW w:w="1843" w:type="dxa"/>
          </w:tcPr>
          <w:p w14:paraId="7EA5467E"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1.44:1</w:t>
            </w:r>
          </w:p>
        </w:tc>
        <w:tc>
          <w:tcPr>
            <w:tcW w:w="1701" w:type="dxa"/>
          </w:tcPr>
          <w:p w14:paraId="258E4530"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57.07:1</w:t>
            </w:r>
          </w:p>
        </w:tc>
        <w:tc>
          <w:tcPr>
            <w:tcW w:w="2126" w:type="dxa"/>
          </w:tcPr>
          <w:p w14:paraId="5E010E30" w14:textId="77777777" w:rsidR="0002724E" w:rsidRPr="003C3A40" w:rsidRDefault="0002724E" w:rsidP="00245A8B">
            <w:pPr>
              <w:spacing w:line="276" w:lineRule="auto"/>
              <w:jc w:val="center"/>
              <w:rPr>
                <w:rFonts w:ascii="Arial" w:hAnsi="Arial" w:cs="Arial"/>
                <w:sz w:val="20"/>
                <w:szCs w:val="20"/>
              </w:rPr>
            </w:pPr>
            <w:r w:rsidRPr="003C3A40">
              <w:rPr>
                <w:rFonts w:ascii="Arial" w:hAnsi="Arial" w:cs="Arial"/>
                <w:sz w:val="20"/>
                <w:szCs w:val="20"/>
              </w:rPr>
              <w:t>38.97:1</w:t>
            </w:r>
          </w:p>
        </w:tc>
      </w:tr>
      <w:bookmarkEnd w:id="1"/>
    </w:tbl>
    <w:p w14:paraId="2F8441C6" w14:textId="77777777" w:rsidR="00390BFB" w:rsidRDefault="00390BFB" w:rsidP="00245A8B">
      <w:pPr>
        <w:spacing w:after="0"/>
        <w:jc w:val="both"/>
        <w:rPr>
          <w:rFonts w:ascii="Arial" w:hAnsi="Arial" w:cs="Arial"/>
          <w:b/>
          <w:bCs/>
          <w:szCs w:val="22"/>
        </w:rPr>
      </w:pPr>
    </w:p>
    <w:p w14:paraId="09135AB3" w14:textId="6BAAD86C" w:rsidR="00900530" w:rsidRPr="003C3A40" w:rsidRDefault="00ED0DCB" w:rsidP="00245A8B">
      <w:pPr>
        <w:spacing w:after="0"/>
        <w:jc w:val="both"/>
        <w:rPr>
          <w:rFonts w:ascii="Arial" w:hAnsi="Arial" w:cs="Arial"/>
          <w:b/>
          <w:bCs/>
          <w:szCs w:val="22"/>
        </w:rPr>
      </w:pPr>
      <w:r>
        <w:rPr>
          <w:rFonts w:ascii="Arial" w:hAnsi="Arial" w:cs="Arial"/>
          <w:b/>
          <w:bCs/>
          <w:szCs w:val="22"/>
        </w:rPr>
        <w:t xml:space="preserve">3. </w:t>
      </w:r>
      <w:r w:rsidR="00733AAC" w:rsidRPr="003C3A40">
        <w:rPr>
          <w:rFonts w:ascii="Arial" w:hAnsi="Arial" w:cs="Arial"/>
          <w:b/>
          <w:bCs/>
          <w:szCs w:val="22"/>
        </w:rPr>
        <w:t>RESULTS AND DISCUSSION</w:t>
      </w:r>
    </w:p>
    <w:p w14:paraId="26D36D6D" w14:textId="30805DA1" w:rsidR="001D31B7" w:rsidRPr="003C3A40" w:rsidRDefault="00ED0DCB" w:rsidP="00E47691">
      <w:pPr>
        <w:spacing w:after="0"/>
        <w:jc w:val="both"/>
        <w:rPr>
          <w:rFonts w:ascii="Arial" w:hAnsi="Arial" w:cs="Arial"/>
          <w:b/>
          <w:bCs/>
          <w:szCs w:val="22"/>
        </w:rPr>
      </w:pPr>
      <w:bookmarkStart w:id="2" w:name="_Hlk170162201"/>
      <w:r>
        <w:rPr>
          <w:rFonts w:ascii="Arial" w:hAnsi="Arial" w:cs="Arial"/>
          <w:b/>
          <w:bCs/>
          <w:szCs w:val="22"/>
        </w:rPr>
        <w:t xml:space="preserve">3.1 </w:t>
      </w:r>
      <w:r w:rsidR="001D31B7" w:rsidRPr="003C3A40">
        <w:rPr>
          <w:rFonts w:ascii="Arial" w:hAnsi="Arial" w:cs="Arial"/>
          <w:b/>
          <w:bCs/>
          <w:szCs w:val="22"/>
        </w:rPr>
        <w:t>Influence of Sources and Level of Phosphorus on Nutrient Use Efficiency and Agronomic</w:t>
      </w:r>
      <w:r w:rsidR="005E3EB2" w:rsidRPr="003C3A40">
        <w:rPr>
          <w:rFonts w:ascii="Arial" w:hAnsi="Arial" w:cs="Arial"/>
          <w:b/>
          <w:bCs/>
          <w:szCs w:val="22"/>
        </w:rPr>
        <w:t xml:space="preserve"> </w:t>
      </w:r>
      <w:r w:rsidR="001D31B7" w:rsidRPr="003C3A40">
        <w:rPr>
          <w:rFonts w:ascii="Arial" w:hAnsi="Arial" w:cs="Arial"/>
          <w:b/>
          <w:bCs/>
          <w:szCs w:val="22"/>
        </w:rPr>
        <w:t>Efficiency</w:t>
      </w:r>
      <w:r w:rsidR="00D73953" w:rsidRPr="003C3A40">
        <w:rPr>
          <w:rFonts w:ascii="Arial" w:hAnsi="Arial" w:cs="Arial"/>
          <w:b/>
          <w:bCs/>
          <w:szCs w:val="22"/>
        </w:rPr>
        <w:t xml:space="preserve"> (Table 2)</w:t>
      </w:r>
    </w:p>
    <w:p w14:paraId="2FC6A6E3" w14:textId="27AAD893" w:rsidR="001D31B7" w:rsidRPr="003C3A40" w:rsidRDefault="001D31B7" w:rsidP="00245A8B">
      <w:pPr>
        <w:spacing w:after="0"/>
        <w:jc w:val="both"/>
        <w:rPr>
          <w:rFonts w:ascii="Arial" w:hAnsi="Arial" w:cs="Arial"/>
          <w:sz w:val="20"/>
        </w:rPr>
      </w:pPr>
      <w:bookmarkStart w:id="3" w:name="_Hlk170162300"/>
      <w:bookmarkEnd w:id="2"/>
      <w:r w:rsidRPr="003C3A40">
        <w:rPr>
          <w:rFonts w:ascii="Arial" w:hAnsi="Arial" w:cs="Arial"/>
          <w:sz w:val="20"/>
        </w:rPr>
        <w:t xml:space="preserve">The higher nutrient use efficiency was registered in treatment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sz w:val="20"/>
        </w:rPr>
        <w:t xml:space="preserve"> through SSP + FYM @ 12.5 </w:t>
      </w:r>
      <w:r w:rsidRPr="003C3A40">
        <w:rPr>
          <w:rFonts w:ascii="Arial" w:hAnsi="Arial" w:cs="Arial"/>
          <w:color w:val="000000" w:themeColor="text1"/>
          <w:sz w:val="20"/>
        </w:rPr>
        <w:t>t ha</w:t>
      </w:r>
      <w:r w:rsidRPr="003C3A40">
        <w:rPr>
          <w:rFonts w:ascii="Arial" w:hAnsi="Arial" w:cs="Arial"/>
          <w:color w:val="000000" w:themeColor="text1"/>
          <w:sz w:val="20"/>
          <w:vertAlign w:val="superscript"/>
        </w:rPr>
        <w:t xml:space="preserve">-1 </w:t>
      </w:r>
      <w:r w:rsidRPr="003C3A40">
        <w:rPr>
          <w:rFonts w:ascii="Arial" w:hAnsi="Arial" w:cs="Arial"/>
          <w:sz w:val="20"/>
        </w:rPr>
        <w:t>(16.25 kg</w:t>
      </w:r>
      <w:r w:rsidR="00733AAC" w:rsidRPr="003C3A40">
        <w:rPr>
          <w:rFonts w:ascii="Arial" w:hAnsi="Arial" w:cs="Arial"/>
          <w:sz w:val="20"/>
        </w:rPr>
        <w:t xml:space="preserve"> </w:t>
      </w:r>
      <w:r w:rsidRPr="003C3A40">
        <w:rPr>
          <w:rFonts w:ascii="Arial" w:hAnsi="Arial" w:cs="Arial"/>
          <w:sz w:val="20"/>
        </w:rPr>
        <w:t>kg</w:t>
      </w:r>
      <w:r w:rsidRPr="003C3A40">
        <w:rPr>
          <w:rFonts w:ascii="Arial" w:hAnsi="Arial" w:cs="Arial"/>
          <w:sz w:val="20"/>
          <w:vertAlign w:val="superscript"/>
        </w:rPr>
        <w:t>-1</w:t>
      </w:r>
      <w:r w:rsidRPr="003C3A40">
        <w:rPr>
          <w:rFonts w:ascii="Arial" w:hAnsi="Arial" w:cs="Arial"/>
          <w:sz w:val="20"/>
        </w:rPr>
        <w:t xml:space="preserve">). It was closely followed by the treatment integration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 xml:space="preserve">through DAP + FYM @ 12.5 </w:t>
      </w:r>
      <w:r w:rsidRPr="003C3A40">
        <w:rPr>
          <w:rFonts w:ascii="Arial" w:hAnsi="Arial" w:cs="Arial"/>
          <w:color w:val="000000" w:themeColor="text1"/>
          <w:sz w:val="20"/>
        </w:rPr>
        <w:t>t ha</w:t>
      </w:r>
      <w:r w:rsidRPr="003C3A40">
        <w:rPr>
          <w:rFonts w:ascii="Arial" w:hAnsi="Arial" w:cs="Arial"/>
          <w:color w:val="000000" w:themeColor="text1"/>
          <w:sz w:val="20"/>
          <w:vertAlign w:val="superscript"/>
        </w:rPr>
        <w:t xml:space="preserve">-1 </w:t>
      </w:r>
      <w:r w:rsidRPr="003C3A40">
        <w:rPr>
          <w:rFonts w:ascii="Arial" w:hAnsi="Arial" w:cs="Arial"/>
          <w:sz w:val="20"/>
        </w:rPr>
        <w:t>(15.67 kg kg</w:t>
      </w:r>
      <w:r w:rsidRPr="003C3A40">
        <w:rPr>
          <w:rFonts w:ascii="Arial" w:hAnsi="Arial" w:cs="Arial"/>
          <w:sz w:val="20"/>
          <w:vertAlign w:val="superscript"/>
        </w:rPr>
        <w:t>-1</w:t>
      </w:r>
      <w:r w:rsidRPr="003C3A40">
        <w:rPr>
          <w:rFonts w:ascii="Arial" w:hAnsi="Arial" w:cs="Arial"/>
          <w:sz w:val="20"/>
        </w:rPr>
        <w:t xml:space="preserve">) </w:t>
      </w:r>
      <w:bookmarkStart w:id="4" w:name="_Hlk171331441"/>
      <w:r w:rsidRPr="003C3A40">
        <w:rPr>
          <w:rFonts w:ascii="Arial" w:hAnsi="Arial" w:cs="Arial"/>
          <w:sz w:val="20"/>
        </w:rPr>
        <w:t xml:space="preserve">and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sz w:val="20"/>
        </w:rPr>
        <w:t xml:space="preserve"> through vermicompost (15.52 kg kg</w:t>
      </w:r>
      <w:r w:rsidRPr="003C3A40">
        <w:rPr>
          <w:rFonts w:ascii="Arial" w:hAnsi="Arial" w:cs="Arial"/>
          <w:sz w:val="20"/>
          <w:vertAlign w:val="superscript"/>
        </w:rPr>
        <w:t>-1</w:t>
      </w:r>
      <w:r w:rsidRPr="003C3A40">
        <w:rPr>
          <w:rFonts w:ascii="Arial" w:hAnsi="Arial" w:cs="Arial"/>
          <w:sz w:val="20"/>
        </w:rPr>
        <w:t xml:space="preserve">). </w:t>
      </w:r>
      <w:bookmarkEnd w:id="4"/>
      <w:r w:rsidRPr="003C3A40">
        <w:rPr>
          <w:rFonts w:ascii="Arial" w:hAnsi="Arial" w:cs="Arial"/>
          <w:sz w:val="20"/>
        </w:rPr>
        <w:t xml:space="preserve">The application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through PROM recorded higher nutrient use efficiency (13.31 kg kg</w:t>
      </w:r>
      <w:r w:rsidRPr="003C3A40">
        <w:rPr>
          <w:rFonts w:ascii="Arial" w:hAnsi="Arial" w:cs="Arial"/>
          <w:sz w:val="20"/>
          <w:vertAlign w:val="superscript"/>
        </w:rPr>
        <w:t>-1</w:t>
      </w:r>
      <w:r w:rsidRPr="003C3A40">
        <w:rPr>
          <w:rFonts w:ascii="Arial" w:hAnsi="Arial" w:cs="Arial"/>
          <w:sz w:val="20"/>
        </w:rPr>
        <w:t>) over the treatment RDF (11.52 kg kg</w:t>
      </w:r>
      <w:r w:rsidRPr="003C3A40">
        <w:rPr>
          <w:rFonts w:ascii="Arial" w:hAnsi="Arial" w:cs="Arial"/>
          <w:sz w:val="20"/>
          <w:vertAlign w:val="superscript"/>
        </w:rPr>
        <w:t>-1</w:t>
      </w:r>
      <w:r w:rsidRPr="003C3A40">
        <w:rPr>
          <w:rFonts w:ascii="Arial" w:hAnsi="Arial" w:cs="Arial"/>
          <w:sz w:val="20"/>
        </w:rPr>
        <w:t xml:space="preserve">). </w:t>
      </w:r>
      <w:bookmarkEnd w:id="3"/>
      <w:r w:rsidRPr="003C3A40">
        <w:rPr>
          <w:rFonts w:ascii="Arial" w:hAnsi="Arial" w:cs="Arial"/>
          <w:sz w:val="20"/>
        </w:rPr>
        <w:t xml:space="preserve">The data confirmed the role of organic manures in increasing nutrient use efficiency as addition of organic manure provides a slow, steady release of nutrients, while inorganic fertilizers offer readily available forms. Together, providing the more balanced nutrient supply throughout the growing season, reducing nutrient losses and maximizing plant uptake which showed higher nutrient use efficiency. </w:t>
      </w:r>
    </w:p>
    <w:p w14:paraId="72FD22A3" w14:textId="042B1F4A" w:rsidR="001D31B7" w:rsidRPr="00B318D4" w:rsidRDefault="00733AAC" w:rsidP="003C3A40">
      <w:pPr>
        <w:spacing w:after="0"/>
        <w:ind w:left="709" w:right="-46" w:hanging="731"/>
        <w:rPr>
          <w:rFonts w:ascii="Arial" w:hAnsi="Arial" w:cs="Arial"/>
          <w:b/>
          <w:bCs/>
          <w:szCs w:val="22"/>
        </w:rPr>
      </w:pPr>
      <w:r w:rsidRPr="00B318D4">
        <w:rPr>
          <w:rFonts w:ascii="Arial" w:hAnsi="Arial" w:cs="Arial"/>
          <w:b/>
          <w:bCs/>
          <w:szCs w:val="22"/>
        </w:rPr>
        <w:t>Table</w:t>
      </w:r>
      <w:r w:rsidR="00323D24" w:rsidRPr="00B318D4">
        <w:rPr>
          <w:rFonts w:ascii="Arial" w:hAnsi="Arial" w:cs="Arial"/>
          <w:b/>
          <w:bCs/>
          <w:szCs w:val="22"/>
        </w:rPr>
        <w:t xml:space="preserve"> 2</w:t>
      </w:r>
      <w:r w:rsidRPr="00B318D4">
        <w:rPr>
          <w:rFonts w:ascii="Arial" w:hAnsi="Arial" w:cs="Arial"/>
          <w:b/>
          <w:bCs/>
          <w:szCs w:val="22"/>
        </w:rPr>
        <w:t xml:space="preserve"> </w:t>
      </w:r>
      <w:r w:rsidR="001D31B7" w:rsidRPr="00B318D4">
        <w:rPr>
          <w:rFonts w:ascii="Arial" w:hAnsi="Arial" w:cs="Arial"/>
          <w:b/>
          <w:bCs/>
          <w:szCs w:val="22"/>
        </w:rPr>
        <w:t>Influence of sources and levels of phosphorus on nutrient use efficiency and</w:t>
      </w:r>
      <w:r w:rsidR="003621D1" w:rsidRPr="00B318D4">
        <w:rPr>
          <w:rFonts w:ascii="Arial" w:hAnsi="Arial" w:cs="Arial"/>
          <w:b/>
          <w:bCs/>
          <w:szCs w:val="22"/>
        </w:rPr>
        <w:t xml:space="preserve"> </w:t>
      </w:r>
      <w:r w:rsidR="001D31B7" w:rsidRPr="00B318D4">
        <w:rPr>
          <w:rFonts w:ascii="Arial" w:hAnsi="Arial" w:cs="Arial"/>
          <w:b/>
          <w:bCs/>
          <w:szCs w:val="22"/>
        </w:rPr>
        <w:t>agronomic efficiency of applied N, P and K for soybean</w:t>
      </w:r>
    </w:p>
    <w:tbl>
      <w:tblPr>
        <w:tblStyle w:val="TableGrid"/>
        <w:tblW w:w="9498" w:type="dxa"/>
        <w:tblInd w:w="-5" w:type="dxa"/>
        <w:tblLayout w:type="fixed"/>
        <w:tblLook w:val="04A0" w:firstRow="1" w:lastRow="0" w:firstColumn="1" w:lastColumn="0" w:noHBand="0" w:noVBand="1"/>
      </w:tblPr>
      <w:tblGrid>
        <w:gridCol w:w="1276"/>
        <w:gridCol w:w="3969"/>
        <w:gridCol w:w="1559"/>
        <w:gridCol w:w="851"/>
        <w:gridCol w:w="850"/>
        <w:gridCol w:w="993"/>
      </w:tblGrid>
      <w:tr w:rsidR="001D31B7" w:rsidRPr="003C3A40" w14:paraId="0A84B8E0" w14:textId="77777777" w:rsidTr="00712650">
        <w:trPr>
          <w:trHeight w:val="410"/>
        </w:trPr>
        <w:tc>
          <w:tcPr>
            <w:tcW w:w="1276" w:type="dxa"/>
            <w:vMerge w:val="restart"/>
            <w:tcBorders>
              <w:top w:val="single" w:sz="4" w:space="0" w:color="auto"/>
              <w:left w:val="single" w:sz="4" w:space="0" w:color="auto"/>
              <w:bottom w:val="single" w:sz="4" w:space="0" w:color="auto"/>
              <w:right w:val="single" w:sz="4" w:space="0" w:color="auto"/>
            </w:tcBorders>
          </w:tcPr>
          <w:p w14:paraId="7426AEB0"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Treat. No.</w:t>
            </w:r>
          </w:p>
        </w:tc>
        <w:tc>
          <w:tcPr>
            <w:tcW w:w="3969" w:type="dxa"/>
            <w:vMerge w:val="restart"/>
            <w:tcBorders>
              <w:top w:val="single" w:sz="4" w:space="0" w:color="auto"/>
              <w:left w:val="single" w:sz="4" w:space="0" w:color="auto"/>
              <w:bottom w:val="single" w:sz="4" w:space="0" w:color="auto"/>
              <w:right w:val="single" w:sz="4" w:space="0" w:color="auto"/>
            </w:tcBorders>
          </w:tcPr>
          <w:p w14:paraId="0B08904D" w14:textId="77777777" w:rsidR="001D31B7" w:rsidRPr="003C3A40" w:rsidRDefault="001D31B7" w:rsidP="00245A8B">
            <w:pPr>
              <w:spacing w:line="276" w:lineRule="auto"/>
              <w:jc w:val="both"/>
              <w:rPr>
                <w:rFonts w:ascii="Arial" w:hAnsi="Arial" w:cs="Arial"/>
                <w:b/>
                <w:bCs/>
                <w:sz w:val="20"/>
                <w:szCs w:val="20"/>
                <w:lang w:val="en-US"/>
              </w:rPr>
            </w:pPr>
            <w:r w:rsidRPr="003C3A40">
              <w:rPr>
                <w:rFonts w:ascii="Arial" w:hAnsi="Arial" w:cs="Arial"/>
                <w:b/>
                <w:bCs/>
                <w:sz w:val="20"/>
                <w:szCs w:val="20"/>
                <w:lang w:val="en-US"/>
              </w:rPr>
              <w:t>Treatments</w:t>
            </w:r>
          </w:p>
        </w:tc>
        <w:tc>
          <w:tcPr>
            <w:tcW w:w="1559" w:type="dxa"/>
            <w:vMerge w:val="restart"/>
            <w:tcBorders>
              <w:top w:val="single" w:sz="4" w:space="0" w:color="auto"/>
              <w:left w:val="single" w:sz="4" w:space="0" w:color="auto"/>
              <w:right w:val="single" w:sz="4" w:space="0" w:color="auto"/>
            </w:tcBorders>
          </w:tcPr>
          <w:p w14:paraId="62947EE9"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Nutrient use efficiency</w:t>
            </w:r>
          </w:p>
          <w:p w14:paraId="75D59F89"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(kg kg</w:t>
            </w:r>
            <w:r w:rsidRPr="003C3A40">
              <w:rPr>
                <w:rFonts w:ascii="Arial" w:hAnsi="Arial" w:cs="Arial"/>
                <w:b/>
                <w:bCs/>
                <w:sz w:val="20"/>
                <w:szCs w:val="20"/>
                <w:vertAlign w:val="superscript"/>
                <w:lang w:val="en-US"/>
              </w:rPr>
              <w:t>-1</w:t>
            </w:r>
            <w:r w:rsidRPr="003C3A40">
              <w:rPr>
                <w:rFonts w:ascii="Arial" w:hAnsi="Arial" w:cs="Arial"/>
                <w:b/>
                <w:bCs/>
                <w:sz w:val="20"/>
                <w:szCs w:val="20"/>
                <w:lang w:val="en-US"/>
              </w:rPr>
              <w:t>)</w:t>
            </w:r>
          </w:p>
        </w:tc>
        <w:tc>
          <w:tcPr>
            <w:tcW w:w="2694" w:type="dxa"/>
            <w:gridSpan w:val="3"/>
            <w:tcBorders>
              <w:top w:val="single" w:sz="4" w:space="0" w:color="auto"/>
              <w:left w:val="single" w:sz="4" w:space="0" w:color="auto"/>
              <w:right w:val="single" w:sz="4" w:space="0" w:color="auto"/>
            </w:tcBorders>
          </w:tcPr>
          <w:p w14:paraId="1F564461"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Agronomic efficiency</w:t>
            </w:r>
          </w:p>
          <w:p w14:paraId="4B8A0F96"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(kg grain kg nutrient</w:t>
            </w:r>
            <w:r w:rsidRPr="003C3A40">
              <w:rPr>
                <w:rFonts w:ascii="Arial" w:hAnsi="Arial" w:cs="Arial"/>
                <w:b/>
                <w:bCs/>
                <w:sz w:val="20"/>
                <w:szCs w:val="20"/>
                <w:vertAlign w:val="superscript"/>
                <w:lang w:val="en-US"/>
              </w:rPr>
              <w:t>-1</w:t>
            </w:r>
            <w:r w:rsidRPr="003C3A40">
              <w:rPr>
                <w:rFonts w:ascii="Arial" w:hAnsi="Arial" w:cs="Arial"/>
                <w:b/>
                <w:bCs/>
                <w:sz w:val="20"/>
                <w:szCs w:val="20"/>
                <w:lang w:val="en-US"/>
              </w:rPr>
              <w:t>)</w:t>
            </w:r>
          </w:p>
        </w:tc>
      </w:tr>
      <w:tr w:rsidR="001D31B7" w:rsidRPr="003C3A40" w14:paraId="61066438" w14:textId="77777777" w:rsidTr="00712650">
        <w:trPr>
          <w:trHeight w:val="41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0B51283" w14:textId="77777777" w:rsidR="001D31B7" w:rsidRPr="003C3A40" w:rsidRDefault="001D31B7" w:rsidP="00245A8B">
            <w:pPr>
              <w:spacing w:line="276" w:lineRule="auto"/>
              <w:jc w:val="center"/>
              <w:rPr>
                <w:rFonts w:ascii="Arial" w:hAnsi="Arial" w:cs="Arial"/>
                <w:b/>
                <w:bCs/>
                <w:sz w:val="20"/>
                <w:szCs w:val="20"/>
                <w:lang w:val="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5D93FAB6" w14:textId="77777777" w:rsidR="001D31B7" w:rsidRPr="003C3A40" w:rsidRDefault="001D31B7" w:rsidP="00245A8B">
            <w:pPr>
              <w:spacing w:line="276" w:lineRule="auto"/>
              <w:jc w:val="both"/>
              <w:rPr>
                <w:rFonts w:ascii="Arial" w:hAnsi="Arial" w:cs="Arial"/>
                <w:b/>
                <w:bCs/>
                <w:sz w:val="20"/>
                <w:szCs w:val="20"/>
                <w:lang w:val="en-US"/>
              </w:rPr>
            </w:pPr>
          </w:p>
        </w:tc>
        <w:tc>
          <w:tcPr>
            <w:tcW w:w="1559" w:type="dxa"/>
            <w:vMerge/>
            <w:tcBorders>
              <w:left w:val="single" w:sz="4" w:space="0" w:color="auto"/>
              <w:bottom w:val="single" w:sz="4" w:space="0" w:color="auto"/>
              <w:right w:val="single" w:sz="4" w:space="0" w:color="auto"/>
            </w:tcBorders>
          </w:tcPr>
          <w:p w14:paraId="11061121" w14:textId="77777777" w:rsidR="001D31B7" w:rsidRPr="003C3A40" w:rsidRDefault="001D31B7" w:rsidP="00245A8B">
            <w:pPr>
              <w:spacing w:before="120" w:line="276" w:lineRule="auto"/>
              <w:jc w:val="center"/>
              <w:rPr>
                <w:rFonts w:ascii="Arial" w:hAnsi="Arial" w:cs="Arial"/>
                <w:b/>
                <w:bCs/>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30CBDFE1" w14:textId="77777777" w:rsidR="001D31B7" w:rsidRPr="003C3A40" w:rsidRDefault="001D31B7"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N</w:t>
            </w:r>
          </w:p>
        </w:tc>
        <w:tc>
          <w:tcPr>
            <w:tcW w:w="850" w:type="dxa"/>
            <w:tcBorders>
              <w:top w:val="single" w:sz="4" w:space="0" w:color="auto"/>
              <w:left w:val="single" w:sz="4" w:space="0" w:color="auto"/>
              <w:bottom w:val="single" w:sz="4" w:space="0" w:color="auto"/>
              <w:right w:val="single" w:sz="4" w:space="0" w:color="auto"/>
            </w:tcBorders>
          </w:tcPr>
          <w:p w14:paraId="185879C1" w14:textId="77777777" w:rsidR="001D31B7" w:rsidRPr="003C3A40" w:rsidRDefault="001D31B7" w:rsidP="00245A8B">
            <w:pPr>
              <w:spacing w:before="120" w:line="276" w:lineRule="auto"/>
              <w:jc w:val="center"/>
              <w:rPr>
                <w:rFonts w:ascii="Arial" w:hAnsi="Arial" w:cs="Arial"/>
                <w:sz w:val="20"/>
                <w:szCs w:val="20"/>
                <w:lang w:val="en-US"/>
              </w:rPr>
            </w:pPr>
            <w:r w:rsidRPr="003C3A40">
              <w:rPr>
                <w:rFonts w:ascii="Arial" w:hAnsi="Arial" w:cs="Arial"/>
                <w:sz w:val="20"/>
                <w:szCs w:val="20"/>
                <w:lang w:val="en-US"/>
              </w:rPr>
              <w:t>P</w:t>
            </w:r>
          </w:p>
        </w:tc>
        <w:tc>
          <w:tcPr>
            <w:tcW w:w="993" w:type="dxa"/>
            <w:tcBorders>
              <w:top w:val="single" w:sz="4" w:space="0" w:color="auto"/>
              <w:left w:val="single" w:sz="4" w:space="0" w:color="auto"/>
              <w:bottom w:val="single" w:sz="4" w:space="0" w:color="auto"/>
              <w:right w:val="single" w:sz="4" w:space="0" w:color="auto"/>
            </w:tcBorders>
          </w:tcPr>
          <w:p w14:paraId="1543B1BD" w14:textId="77777777" w:rsidR="001D31B7" w:rsidRPr="003C3A40" w:rsidRDefault="001D31B7" w:rsidP="00245A8B">
            <w:pPr>
              <w:spacing w:before="120" w:line="276" w:lineRule="auto"/>
              <w:jc w:val="center"/>
              <w:rPr>
                <w:rFonts w:ascii="Arial" w:hAnsi="Arial" w:cs="Arial"/>
                <w:sz w:val="20"/>
                <w:szCs w:val="20"/>
                <w:lang w:val="en-US"/>
              </w:rPr>
            </w:pPr>
            <w:r w:rsidRPr="003C3A40">
              <w:rPr>
                <w:rFonts w:ascii="Arial" w:hAnsi="Arial" w:cs="Arial"/>
                <w:sz w:val="20"/>
                <w:szCs w:val="20"/>
                <w:lang w:val="en-US"/>
              </w:rPr>
              <w:t>K</w:t>
            </w:r>
          </w:p>
        </w:tc>
      </w:tr>
      <w:tr w:rsidR="001D31B7" w:rsidRPr="003C3A40" w14:paraId="4992CEBF" w14:textId="77777777" w:rsidTr="00712650">
        <w:trPr>
          <w:trHeight w:val="464"/>
        </w:trPr>
        <w:tc>
          <w:tcPr>
            <w:tcW w:w="1276" w:type="dxa"/>
            <w:tcBorders>
              <w:top w:val="single" w:sz="4" w:space="0" w:color="auto"/>
              <w:left w:val="single" w:sz="4" w:space="0" w:color="auto"/>
              <w:bottom w:val="single" w:sz="4" w:space="0" w:color="auto"/>
              <w:right w:val="single" w:sz="4" w:space="0" w:color="auto"/>
            </w:tcBorders>
            <w:hideMark/>
          </w:tcPr>
          <w:p w14:paraId="4D3F99E6"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lastRenderedPageBreak/>
              <w:t>T</w:t>
            </w:r>
            <w:r w:rsidRPr="003C3A40">
              <w:rPr>
                <w:rFonts w:ascii="Arial" w:hAnsi="Arial" w:cs="Arial"/>
                <w:sz w:val="20"/>
                <w:szCs w:val="20"/>
                <w:vertAlign w:val="subscript"/>
                <w:lang w:val="en-US"/>
              </w:rPr>
              <w:t>1</w:t>
            </w:r>
          </w:p>
        </w:tc>
        <w:tc>
          <w:tcPr>
            <w:tcW w:w="3969" w:type="dxa"/>
            <w:tcBorders>
              <w:top w:val="single" w:sz="4" w:space="0" w:color="auto"/>
              <w:left w:val="single" w:sz="4" w:space="0" w:color="auto"/>
              <w:bottom w:val="single" w:sz="4" w:space="0" w:color="auto"/>
              <w:right w:val="single" w:sz="4" w:space="0" w:color="auto"/>
            </w:tcBorders>
            <w:hideMark/>
          </w:tcPr>
          <w:p w14:paraId="1BFFF96E"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Absolute control</w:t>
            </w:r>
          </w:p>
        </w:tc>
        <w:tc>
          <w:tcPr>
            <w:tcW w:w="1559" w:type="dxa"/>
            <w:tcBorders>
              <w:top w:val="single" w:sz="4" w:space="0" w:color="auto"/>
              <w:left w:val="single" w:sz="4" w:space="0" w:color="auto"/>
              <w:bottom w:val="single" w:sz="4" w:space="0" w:color="auto"/>
              <w:right w:val="single" w:sz="4" w:space="0" w:color="auto"/>
            </w:tcBorders>
          </w:tcPr>
          <w:p w14:paraId="4610A18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711136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3522371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7CA7B9E0"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w:t>
            </w:r>
          </w:p>
        </w:tc>
      </w:tr>
      <w:tr w:rsidR="001D31B7" w:rsidRPr="003C3A40" w14:paraId="13817E43" w14:textId="77777777" w:rsidTr="00712650">
        <w:trPr>
          <w:trHeight w:val="421"/>
        </w:trPr>
        <w:tc>
          <w:tcPr>
            <w:tcW w:w="1276" w:type="dxa"/>
            <w:tcBorders>
              <w:top w:val="single" w:sz="4" w:space="0" w:color="auto"/>
              <w:left w:val="single" w:sz="4" w:space="0" w:color="auto"/>
              <w:bottom w:val="single" w:sz="4" w:space="0" w:color="auto"/>
              <w:right w:val="single" w:sz="4" w:space="0" w:color="auto"/>
            </w:tcBorders>
            <w:hideMark/>
          </w:tcPr>
          <w:p w14:paraId="20123F5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2</w:t>
            </w:r>
          </w:p>
        </w:tc>
        <w:tc>
          <w:tcPr>
            <w:tcW w:w="3969" w:type="dxa"/>
            <w:tcBorders>
              <w:top w:val="single" w:sz="4" w:space="0" w:color="auto"/>
              <w:left w:val="single" w:sz="4" w:space="0" w:color="auto"/>
              <w:bottom w:val="single" w:sz="4" w:space="0" w:color="auto"/>
              <w:right w:val="single" w:sz="4" w:space="0" w:color="auto"/>
            </w:tcBorders>
            <w:hideMark/>
          </w:tcPr>
          <w:p w14:paraId="7714D128"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RDF (50:75:45 kg ha</w:t>
            </w:r>
            <w:r w:rsidRPr="003C3A40">
              <w:rPr>
                <w:rFonts w:ascii="Arial" w:hAnsi="Arial" w:cs="Arial"/>
                <w:color w:val="000000" w:themeColor="text1"/>
                <w:sz w:val="20"/>
                <w:szCs w:val="20"/>
                <w:vertAlign w:val="superscript"/>
              </w:rPr>
              <w:t>-1</w:t>
            </w:r>
            <w:r w:rsidRPr="003C3A40">
              <w:rPr>
                <w:rFonts w:ascii="Arial" w:hAnsi="Arial" w:cs="Arial"/>
                <w:color w:val="000000" w:themeColor="text1"/>
                <w:sz w:val="20"/>
                <w:szCs w:val="20"/>
              </w:rPr>
              <w:t xml:space="preserve"> N: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K</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p>
        </w:tc>
        <w:tc>
          <w:tcPr>
            <w:tcW w:w="1559" w:type="dxa"/>
            <w:tcBorders>
              <w:top w:val="single" w:sz="4" w:space="0" w:color="auto"/>
              <w:left w:val="single" w:sz="4" w:space="0" w:color="auto"/>
              <w:bottom w:val="single" w:sz="4" w:space="0" w:color="auto"/>
              <w:right w:val="single" w:sz="4" w:space="0" w:color="auto"/>
            </w:tcBorders>
          </w:tcPr>
          <w:p w14:paraId="74A8E29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11.52</w:t>
            </w:r>
          </w:p>
        </w:tc>
        <w:tc>
          <w:tcPr>
            <w:tcW w:w="851" w:type="dxa"/>
            <w:tcBorders>
              <w:top w:val="single" w:sz="4" w:space="0" w:color="auto"/>
              <w:left w:val="single" w:sz="4" w:space="0" w:color="auto"/>
              <w:bottom w:val="single" w:sz="4" w:space="0" w:color="auto"/>
              <w:right w:val="single" w:sz="4" w:space="0" w:color="auto"/>
            </w:tcBorders>
          </w:tcPr>
          <w:p w14:paraId="0E09ACD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24</w:t>
            </w:r>
          </w:p>
        </w:tc>
        <w:tc>
          <w:tcPr>
            <w:tcW w:w="850" w:type="dxa"/>
            <w:tcBorders>
              <w:top w:val="single" w:sz="4" w:space="0" w:color="auto"/>
              <w:left w:val="single" w:sz="4" w:space="0" w:color="auto"/>
              <w:bottom w:val="single" w:sz="4" w:space="0" w:color="auto"/>
              <w:right w:val="single" w:sz="4" w:space="0" w:color="auto"/>
            </w:tcBorders>
          </w:tcPr>
          <w:p w14:paraId="2437D8C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16</w:t>
            </w:r>
          </w:p>
        </w:tc>
        <w:tc>
          <w:tcPr>
            <w:tcW w:w="993" w:type="dxa"/>
            <w:tcBorders>
              <w:top w:val="single" w:sz="4" w:space="0" w:color="auto"/>
              <w:left w:val="single" w:sz="4" w:space="0" w:color="auto"/>
              <w:bottom w:val="single" w:sz="4" w:space="0" w:color="auto"/>
              <w:right w:val="single" w:sz="4" w:space="0" w:color="auto"/>
            </w:tcBorders>
          </w:tcPr>
          <w:p w14:paraId="0D83C74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26</w:t>
            </w:r>
          </w:p>
        </w:tc>
      </w:tr>
      <w:tr w:rsidR="001D31B7" w:rsidRPr="003C3A40" w14:paraId="30D7FE4C" w14:textId="77777777" w:rsidTr="00712650">
        <w:trPr>
          <w:trHeight w:val="358"/>
        </w:trPr>
        <w:tc>
          <w:tcPr>
            <w:tcW w:w="1276" w:type="dxa"/>
            <w:tcBorders>
              <w:top w:val="single" w:sz="4" w:space="0" w:color="auto"/>
              <w:left w:val="single" w:sz="4" w:space="0" w:color="auto"/>
              <w:bottom w:val="single" w:sz="4" w:space="0" w:color="auto"/>
              <w:right w:val="single" w:sz="4" w:space="0" w:color="auto"/>
            </w:tcBorders>
            <w:hideMark/>
          </w:tcPr>
          <w:p w14:paraId="69D58709"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3</w:t>
            </w:r>
          </w:p>
        </w:tc>
        <w:tc>
          <w:tcPr>
            <w:tcW w:w="3969" w:type="dxa"/>
            <w:tcBorders>
              <w:top w:val="single" w:sz="4" w:space="0" w:color="auto"/>
              <w:left w:val="single" w:sz="4" w:space="0" w:color="auto"/>
              <w:bottom w:val="single" w:sz="4" w:space="0" w:color="auto"/>
              <w:right w:val="single" w:sz="4" w:space="0" w:color="auto"/>
            </w:tcBorders>
            <w:hideMark/>
          </w:tcPr>
          <w:p w14:paraId="3FAA5509"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50%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1559" w:type="dxa"/>
            <w:tcBorders>
              <w:top w:val="single" w:sz="4" w:space="0" w:color="auto"/>
              <w:left w:val="single" w:sz="4" w:space="0" w:color="auto"/>
              <w:bottom w:val="single" w:sz="4" w:space="0" w:color="auto"/>
              <w:right w:val="single" w:sz="4" w:space="0" w:color="auto"/>
            </w:tcBorders>
          </w:tcPr>
          <w:p w14:paraId="048D2246"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10.47</w:t>
            </w:r>
          </w:p>
        </w:tc>
        <w:tc>
          <w:tcPr>
            <w:tcW w:w="851" w:type="dxa"/>
            <w:tcBorders>
              <w:top w:val="single" w:sz="4" w:space="0" w:color="auto"/>
              <w:left w:val="single" w:sz="4" w:space="0" w:color="auto"/>
              <w:bottom w:val="single" w:sz="4" w:space="0" w:color="auto"/>
              <w:right w:val="single" w:sz="4" w:space="0" w:color="auto"/>
            </w:tcBorders>
          </w:tcPr>
          <w:p w14:paraId="35688F6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20</w:t>
            </w:r>
          </w:p>
        </w:tc>
        <w:tc>
          <w:tcPr>
            <w:tcW w:w="850" w:type="dxa"/>
            <w:tcBorders>
              <w:top w:val="single" w:sz="4" w:space="0" w:color="auto"/>
              <w:left w:val="single" w:sz="4" w:space="0" w:color="auto"/>
              <w:bottom w:val="single" w:sz="4" w:space="0" w:color="auto"/>
              <w:right w:val="single" w:sz="4" w:space="0" w:color="auto"/>
            </w:tcBorders>
          </w:tcPr>
          <w:p w14:paraId="0752303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13</w:t>
            </w:r>
          </w:p>
        </w:tc>
        <w:tc>
          <w:tcPr>
            <w:tcW w:w="993" w:type="dxa"/>
            <w:tcBorders>
              <w:top w:val="single" w:sz="4" w:space="0" w:color="auto"/>
              <w:left w:val="single" w:sz="4" w:space="0" w:color="auto"/>
              <w:bottom w:val="single" w:sz="4" w:space="0" w:color="auto"/>
              <w:right w:val="single" w:sz="4" w:space="0" w:color="auto"/>
            </w:tcBorders>
          </w:tcPr>
          <w:p w14:paraId="770FB67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22</w:t>
            </w:r>
          </w:p>
        </w:tc>
      </w:tr>
      <w:tr w:rsidR="001D31B7" w:rsidRPr="003C3A40" w14:paraId="0227585E" w14:textId="77777777" w:rsidTr="00712650">
        <w:trPr>
          <w:trHeight w:val="392"/>
        </w:trPr>
        <w:tc>
          <w:tcPr>
            <w:tcW w:w="1276" w:type="dxa"/>
            <w:tcBorders>
              <w:top w:val="single" w:sz="4" w:space="0" w:color="auto"/>
              <w:left w:val="single" w:sz="4" w:space="0" w:color="auto"/>
              <w:bottom w:val="single" w:sz="4" w:space="0" w:color="auto"/>
              <w:right w:val="single" w:sz="4" w:space="0" w:color="auto"/>
            </w:tcBorders>
            <w:hideMark/>
          </w:tcPr>
          <w:p w14:paraId="6943883E"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4</w:t>
            </w:r>
          </w:p>
        </w:tc>
        <w:tc>
          <w:tcPr>
            <w:tcW w:w="3969" w:type="dxa"/>
            <w:tcBorders>
              <w:top w:val="single" w:sz="4" w:space="0" w:color="auto"/>
              <w:left w:val="single" w:sz="4" w:space="0" w:color="auto"/>
              <w:bottom w:val="single" w:sz="4" w:space="0" w:color="auto"/>
              <w:right w:val="single" w:sz="4" w:space="0" w:color="auto"/>
            </w:tcBorders>
            <w:hideMark/>
          </w:tcPr>
          <w:p w14:paraId="5ECE9C2C"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75%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1559" w:type="dxa"/>
            <w:tcBorders>
              <w:top w:val="single" w:sz="4" w:space="0" w:color="auto"/>
              <w:left w:val="single" w:sz="4" w:space="0" w:color="auto"/>
              <w:bottom w:val="single" w:sz="4" w:space="0" w:color="auto"/>
              <w:right w:val="single" w:sz="4" w:space="0" w:color="auto"/>
            </w:tcBorders>
          </w:tcPr>
          <w:p w14:paraId="374A222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11.22</w:t>
            </w:r>
          </w:p>
        </w:tc>
        <w:tc>
          <w:tcPr>
            <w:tcW w:w="851" w:type="dxa"/>
            <w:tcBorders>
              <w:top w:val="single" w:sz="4" w:space="0" w:color="auto"/>
              <w:left w:val="single" w:sz="4" w:space="0" w:color="auto"/>
              <w:bottom w:val="single" w:sz="4" w:space="0" w:color="auto"/>
              <w:right w:val="single" w:sz="4" w:space="0" w:color="auto"/>
            </w:tcBorders>
          </w:tcPr>
          <w:p w14:paraId="320DB1D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23</w:t>
            </w:r>
          </w:p>
        </w:tc>
        <w:tc>
          <w:tcPr>
            <w:tcW w:w="850" w:type="dxa"/>
            <w:tcBorders>
              <w:top w:val="single" w:sz="4" w:space="0" w:color="auto"/>
              <w:left w:val="single" w:sz="4" w:space="0" w:color="auto"/>
              <w:bottom w:val="single" w:sz="4" w:space="0" w:color="auto"/>
              <w:right w:val="single" w:sz="4" w:space="0" w:color="auto"/>
            </w:tcBorders>
          </w:tcPr>
          <w:p w14:paraId="526BBC3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15</w:t>
            </w:r>
          </w:p>
        </w:tc>
        <w:tc>
          <w:tcPr>
            <w:tcW w:w="993" w:type="dxa"/>
            <w:tcBorders>
              <w:top w:val="single" w:sz="4" w:space="0" w:color="auto"/>
              <w:left w:val="single" w:sz="4" w:space="0" w:color="auto"/>
              <w:bottom w:val="single" w:sz="4" w:space="0" w:color="auto"/>
              <w:right w:val="single" w:sz="4" w:space="0" w:color="auto"/>
            </w:tcBorders>
          </w:tcPr>
          <w:p w14:paraId="0A1FD47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25</w:t>
            </w:r>
          </w:p>
        </w:tc>
      </w:tr>
      <w:tr w:rsidR="001D31B7" w:rsidRPr="003C3A40" w14:paraId="2755CE88" w14:textId="77777777" w:rsidTr="00712650">
        <w:trPr>
          <w:trHeight w:val="392"/>
        </w:trPr>
        <w:tc>
          <w:tcPr>
            <w:tcW w:w="1276" w:type="dxa"/>
            <w:tcBorders>
              <w:top w:val="single" w:sz="4" w:space="0" w:color="auto"/>
              <w:left w:val="single" w:sz="4" w:space="0" w:color="auto"/>
              <w:bottom w:val="single" w:sz="4" w:space="0" w:color="auto"/>
              <w:right w:val="single" w:sz="4" w:space="0" w:color="auto"/>
            </w:tcBorders>
          </w:tcPr>
          <w:p w14:paraId="3A75ADEB"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5</w:t>
            </w:r>
          </w:p>
        </w:tc>
        <w:tc>
          <w:tcPr>
            <w:tcW w:w="3969" w:type="dxa"/>
            <w:tcBorders>
              <w:top w:val="single" w:sz="4" w:space="0" w:color="auto"/>
              <w:left w:val="single" w:sz="4" w:space="0" w:color="auto"/>
              <w:bottom w:val="single" w:sz="4" w:space="0" w:color="auto"/>
              <w:right w:val="single" w:sz="4" w:space="0" w:color="auto"/>
            </w:tcBorders>
          </w:tcPr>
          <w:p w14:paraId="4F9DEAD0"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1559" w:type="dxa"/>
            <w:tcBorders>
              <w:top w:val="single" w:sz="4" w:space="0" w:color="auto"/>
              <w:left w:val="single" w:sz="4" w:space="0" w:color="auto"/>
              <w:bottom w:val="single" w:sz="4" w:space="0" w:color="auto"/>
              <w:right w:val="single" w:sz="4" w:space="0" w:color="auto"/>
            </w:tcBorders>
          </w:tcPr>
          <w:p w14:paraId="78460141"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13.31</w:t>
            </w:r>
          </w:p>
        </w:tc>
        <w:tc>
          <w:tcPr>
            <w:tcW w:w="851" w:type="dxa"/>
            <w:tcBorders>
              <w:top w:val="single" w:sz="4" w:space="0" w:color="auto"/>
              <w:left w:val="single" w:sz="4" w:space="0" w:color="auto"/>
              <w:bottom w:val="single" w:sz="4" w:space="0" w:color="auto"/>
              <w:right w:val="single" w:sz="4" w:space="0" w:color="auto"/>
            </w:tcBorders>
          </w:tcPr>
          <w:p w14:paraId="30AB16B2"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2E927CB6"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44C727F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33</w:t>
            </w:r>
          </w:p>
        </w:tc>
      </w:tr>
      <w:tr w:rsidR="001D31B7" w:rsidRPr="003C3A40" w14:paraId="129BF81D" w14:textId="77777777" w:rsidTr="00712650">
        <w:trPr>
          <w:trHeight w:val="392"/>
        </w:trPr>
        <w:tc>
          <w:tcPr>
            <w:tcW w:w="1276" w:type="dxa"/>
            <w:tcBorders>
              <w:top w:val="single" w:sz="4" w:space="0" w:color="auto"/>
              <w:left w:val="single" w:sz="4" w:space="0" w:color="auto"/>
              <w:bottom w:val="single" w:sz="4" w:space="0" w:color="auto"/>
              <w:right w:val="single" w:sz="4" w:space="0" w:color="auto"/>
            </w:tcBorders>
          </w:tcPr>
          <w:p w14:paraId="21E10509"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6</w:t>
            </w:r>
          </w:p>
        </w:tc>
        <w:tc>
          <w:tcPr>
            <w:tcW w:w="3969" w:type="dxa"/>
            <w:tcBorders>
              <w:top w:val="single" w:sz="4" w:space="0" w:color="auto"/>
              <w:left w:val="single" w:sz="4" w:space="0" w:color="auto"/>
              <w:bottom w:val="single" w:sz="4" w:space="0" w:color="auto"/>
              <w:right w:val="single" w:sz="4" w:space="0" w:color="auto"/>
            </w:tcBorders>
          </w:tcPr>
          <w:p w14:paraId="508AE4A3"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DAP + FYM @12.5 t ha</w:t>
            </w:r>
            <w:r w:rsidRPr="003C3A40">
              <w:rPr>
                <w:rFonts w:ascii="Arial" w:hAnsi="Arial" w:cs="Arial"/>
                <w:color w:val="000000" w:themeColor="text1"/>
                <w:sz w:val="20"/>
                <w:szCs w:val="20"/>
                <w:vertAlign w:val="superscript"/>
              </w:rPr>
              <w:t>-1</w:t>
            </w:r>
          </w:p>
        </w:tc>
        <w:tc>
          <w:tcPr>
            <w:tcW w:w="1559" w:type="dxa"/>
            <w:tcBorders>
              <w:top w:val="single" w:sz="4" w:space="0" w:color="auto"/>
              <w:left w:val="single" w:sz="4" w:space="0" w:color="auto"/>
              <w:bottom w:val="single" w:sz="4" w:space="0" w:color="auto"/>
              <w:right w:val="single" w:sz="4" w:space="0" w:color="auto"/>
            </w:tcBorders>
          </w:tcPr>
          <w:p w14:paraId="7B722E28"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15.67</w:t>
            </w:r>
          </w:p>
        </w:tc>
        <w:tc>
          <w:tcPr>
            <w:tcW w:w="851" w:type="dxa"/>
            <w:tcBorders>
              <w:top w:val="single" w:sz="4" w:space="0" w:color="auto"/>
              <w:left w:val="single" w:sz="4" w:space="0" w:color="auto"/>
              <w:bottom w:val="single" w:sz="4" w:space="0" w:color="auto"/>
              <w:right w:val="single" w:sz="4" w:space="0" w:color="auto"/>
            </w:tcBorders>
          </w:tcPr>
          <w:p w14:paraId="6661B8C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38</w:t>
            </w:r>
          </w:p>
        </w:tc>
        <w:tc>
          <w:tcPr>
            <w:tcW w:w="850" w:type="dxa"/>
            <w:tcBorders>
              <w:top w:val="single" w:sz="4" w:space="0" w:color="auto"/>
              <w:left w:val="single" w:sz="4" w:space="0" w:color="auto"/>
              <w:bottom w:val="single" w:sz="4" w:space="0" w:color="auto"/>
              <w:right w:val="single" w:sz="4" w:space="0" w:color="auto"/>
            </w:tcBorders>
          </w:tcPr>
          <w:p w14:paraId="4DFA9B0F"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25</w:t>
            </w:r>
          </w:p>
        </w:tc>
        <w:tc>
          <w:tcPr>
            <w:tcW w:w="993" w:type="dxa"/>
            <w:tcBorders>
              <w:top w:val="single" w:sz="4" w:space="0" w:color="auto"/>
              <w:left w:val="single" w:sz="4" w:space="0" w:color="auto"/>
              <w:bottom w:val="single" w:sz="4" w:space="0" w:color="auto"/>
              <w:right w:val="single" w:sz="4" w:space="0" w:color="auto"/>
            </w:tcBorders>
          </w:tcPr>
          <w:p w14:paraId="221B767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42</w:t>
            </w:r>
          </w:p>
        </w:tc>
      </w:tr>
      <w:tr w:rsidR="001D31B7" w:rsidRPr="003C3A40" w14:paraId="7FD12317" w14:textId="77777777" w:rsidTr="00712650">
        <w:trPr>
          <w:trHeight w:val="460"/>
        </w:trPr>
        <w:tc>
          <w:tcPr>
            <w:tcW w:w="1276" w:type="dxa"/>
            <w:tcBorders>
              <w:top w:val="single" w:sz="4" w:space="0" w:color="auto"/>
              <w:left w:val="single" w:sz="4" w:space="0" w:color="auto"/>
              <w:bottom w:val="single" w:sz="4" w:space="0" w:color="auto"/>
              <w:right w:val="single" w:sz="4" w:space="0" w:color="auto"/>
            </w:tcBorders>
            <w:hideMark/>
          </w:tcPr>
          <w:p w14:paraId="048A3E51"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7</w:t>
            </w:r>
          </w:p>
        </w:tc>
        <w:tc>
          <w:tcPr>
            <w:tcW w:w="3969" w:type="dxa"/>
            <w:tcBorders>
              <w:top w:val="single" w:sz="4" w:space="0" w:color="auto"/>
              <w:left w:val="single" w:sz="4" w:space="0" w:color="auto"/>
              <w:bottom w:val="single" w:sz="4" w:space="0" w:color="auto"/>
              <w:right w:val="single" w:sz="4" w:space="0" w:color="auto"/>
            </w:tcBorders>
            <w:hideMark/>
          </w:tcPr>
          <w:p w14:paraId="46854B5E" w14:textId="77777777" w:rsidR="001D31B7" w:rsidRPr="003C3A40" w:rsidRDefault="001D31B7"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SSP + FYM </w:t>
            </w:r>
          </w:p>
          <w:p w14:paraId="02A939DB"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@12.5 t ha</w:t>
            </w:r>
            <w:r w:rsidRPr="003C3A40">
              <w:rPr>
                <w:rFonts w:ascii="Arial" w:hAnsi="Arial" w:cs="Arial"/>
                <w:color w:val="000000" w:themeColor="text1"/>
                <w:sz w:val="20"/>
                <w:szCs w:val="20"/>
                <w:vertAlign w:val="superscript"/>
              </w:rPr>
              <w:t>-1</w:t>
            </w:r>
          </w:p>
        </w:tc>
        <w:tc>
          <w:tcPr>
            <w:tcW w:w="1559" w:type="dxa"/>
            <w:tcBorders>
              <w:top w:val="single" w:sz="4" w:space="0" w:color="auto"/>
              <w:left w:val="single" w:sz="4" w:space="0" w:color="auto"/>
              <w:bottom w:val="single" w:sz="4" w:space="0" w:color="auto"/>
              <w:right w:val="single" w:sz="4" w:space="0" w:color="auto"/>
            </w:tcBorders>
          </w:tcPr>
          <w:p w14:paraId="311D3ED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16.25</w:t>
            </w:r>
          </w:p>
        </w:tc>
        <w:tc>
          <w:tcPr>
            <w:tcW w:w="851" w:type="dxa"/>
            <w:tcBorders>
              <w:top w:val="single" w:sz="4" w:space="0" w:color="auto"/>
              <w:left w:val="single" w:sz="4" w:space="0" w:color="auto"/>
              <w:bottom w:val="single" w:sz="4" w:space="0" w:color="auto"/>
              <w:right w:val="single" w:sz="4" w:space="0" w:color="auto"/>
            </w:tcBorders>
          </w:tcPr>
          <w:p w14:paraId="4A0034AB"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40</w:t>
            </w:r>
          </w:p>
        </w:tc>
        <w:tc>
          <w:tcPr>
            <w:tcW w:w="850" w:type="dxa"/>
            <w:tcBorders>
              <w:top w:val="single" w:sz="4" w:space="0" w:color="auto"/>
              <w:left w:val="single" w:sz="4" w:space="0" w:color="auto"/>
              <w:bottom w:val="single" w:sz="4" w:space="0" w:color="auto"/>
              <w:right w:val="single" w:sz="4" w:space="0" w:color="auto"/>
            </w:tcBorders>
          </w:tcPr>
          <w:p w14:paraId="04F152F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26</w:t>
            </w:r>
          </w:p>
        </w:tc>
        <w:tc>
          <w:tcPr>
            <w:tcW w:w="993" w:type="dxa"/>
            <w:tcBorders>
              <w:top w:val="single" w:sz="4" w:space="0" w:color="auto"/>
              <w:left w:val="single" w:sz="4" w:space="0" w:color="auto"/>
              <w:bottom w:val="single" w:sz="4" w:space="0" w:color="auto"/>
              <w:right w:val="single" w:sz="4" w:space="0" w:color="auto"/>
            </w:tcBorders>
          </w:tcPr>
          <w:p w14:paraId="3907EB0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44</w:t>
            </w:r>
          </w:p>
        </w:tc>
      </w:tr>
      <w:tr w:rsidR="001D31B7" w:rsidRPr="003C3A40" w14:paraId="4F4B88B4" w14:textId="77777777" w:rsidTr="00712650">
        <w:trPr>
          <w:trHeight w:val="460"/>
        </w:trPr>
        <w:tc>
          <w:tcPr>
            <w:tcW w:w="1276" w:type="dxa"/>
            <w:tcBorders>
              <w:top w:val="single" w:sz="4" w:space="0" w:color="auto"/>
              <w:left w:val="single" w:sz="4" w:space="0" w:color="auto"/>
              <w:bottom w:val="single" w:sz="4" w:space="0" w:color="auto"/>
              <w:right w:val="single" w:sz="4" w:space="0" w:color="auto"/>
            </w:tcBorders>
          </w:tcPr>
          <w:p w14:paraId="153C339A"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8</w:t>
            </w:r>
          </w:p>
        </w:tc>
        <w:tc>
          <w:tcPr>
            <w:tcW w:w="3969" w:type="dxa"/>
            <w:tcBorders>
              <w:top w:val="single" w:sz="4" w:space="0" w:color="auto"/>
              <w:left w:val="single" w:sz="4" w:space="0" w:color="auto"/>
              <w:bottom w:val="single" w:sz="4" w:space="0" w:color="auto"/>
              <w:right w:val="single" w:sz="4" w:space="0" w:color="auto"/>
            </w:tcBorders>
          </w:tcPr>
          <w:p w14:paraId="4194535E"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Vermicompost</w:t>
            </w:r>
          </w:p>
        </w:tc>
        <w:tc>
          <w:tcPr>
            <w:tcW w:w="1559" w:type="dxa"/>
            <w:tcBorders>
              <w:top w:val="single" w:sz="4" w:space="0" w:color="auto"/>
              <w:left w:val="single" w:sz="4" w:space="0" w:color="auto"/>
              <w:bottom w:val="single" w:sz="4" w:space="0" w:color="auto"/>
              <w:right w:val="single" w:sz="4" w:space="0" w:color="auto"/>
            </w:tcBorders>
          </w:tcPr>
          <w:p w14:paraId="724F0E5E"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15.52</w:t>
            </w:r>
          </w:p>
        </w:tc>
        <w:tc>
          <w:tcPr>
            <w:tcW w:w="851" w:type="dxa"/>
            <w:tcBorders>
              <w:top w:val="single" w:sz="4" w:space="0" w:color="auto"/>
              <w:left w:val="single" w:sz="4" w:space="0" w:color="auto"/>
              <w:bottom w:val="single" w:sz="4" w:space="0" w:color="auto"/>
              <w:right w:val="single" w:sz="4" w:space="0" w:color="auto"/>
            </w:tcBorders>
          </w:tcPr>
          <w:p w14:paraId="5DE72874"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37</w:t>
            </w:r>
          </w:p>
        </w:tc>
        <w:tc>
          <w:tcPr>
            <w:tcW w:w="850" w:type="dxa"/>
            <w:tcBorders>
              <w:top w:val="single" w:sz="4" w:space="0" w:color="auto"/>
              <w:left w:val="single" w:sz="4" w:space="0" w:color="auto"/>
              <w:bottom w:val="single" w:sz="4" w:space="0" w:color="auto"/>
              <w:right w:val="single" w:sz="4" w:space="0" w:color="auto"/>
            </w:tcBorders>
          </w:tcPr>
          <w:p w14:paraId="0807D12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25</w:t>
            </w:r>
          </w:p>
        </w:tc>
        <w:tc>
          <w:tcPr>
            <w:tcW w:w="993" w:type="dxa"/>
            <w:tcBorders>
              <w:top w:val="single" w:sz="4" w:space="0" w:color="auto"/>
              <w:left w:val="single" w:sz="4" w:space="0" w:color="auto"/>
              <w:bottom w:val="single" w:sz="4" w:space="0" w:color="auto"/>
              <w:right w:val="single" w:sz="4" w:space="0" w:color="auto"/>
            </w:tcBorders>
          </w:tcPr>
          <w:p w14:paraId="2EF02F1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kern w:val="0"/>
                <w:sz w:val="20"/>
                <w:szCs w:val="20"/>
              </w:rPr>
              <w:t>41</w:t>
            </w:r>
          </w:p>
        </w:tc>
      </w:tr>
    </w:tbl>
    <w:p w14:paraId="1FC84B31" w14:textId="77777777" w:rsidR="001D31B7" w:rsidRPr="003C3A40" w:rsidRDefault="001D31B7" w:rsidP="00B318D4">
      <w:pPr>
        <w:spacing w:before="240" w:after="0"/>
        <w:jc w:val="both"/>
        <w:rPr>
          <w:rFonts w:ascii="Arial" w:hAnsi="Arial" w:cs="Arial"/>
          <w:sz w:val="20"/>
        </w:rPr>
      </w:pPr>
      <w:r w:rsidRPr="003C3A40">
        <w:rPr>
          <w:rFonts w:ascii="Arial" w:hAnsi="Arial" w:cs="Arial"/>
          <w:sz w:val="20"/>
        </w:rPr>
        <w:t>While FYM and vermicompost offer these benefits, PROM emerges as a promising alternative because of its readily available phosphorus content, similar to inorganic fertilizers, which can be crucial early in the growing season for root development and nutrient uptake. Additionally, PROM potentially retains some of the long-term benefits of organic sources, making it a well-rounded option for improving NUE compared to relying solely on inorganic fertilizers or traditional FYM.</w:t>
      </w:r>
    </w:p>
    <w:p w14:paraId="61F95C8F" w14:textId="77777777" w:rsidR="001D31B7" w:rsidRPr="003C3A40" w:rsidRDefault="001D31B7" w:rsidP="00245A8B">
      <w:pPr>
        <w:spacing w:after="0"/>
        <w:jc w:val="both"/>
        <w:rPr>
          <w:rFonts w:ascii="Arial" w:hAnsi="Arial" w:cs="Arial"/>
          <w:sz w:val="20"/>
        </w:rPr>
      </w:pPr>
      <w:bookmarkStart w:id="5" w:name="_Hlk170162404"/>
      <w:r w:rsidRPr="003C3A40">
        <w:rPr>
          <w:rFonts w:ascii="Arial" w:hAnsi="Arial" w:cs="Arial"/>
          <w:sz w:val="20"/>
        </w:rPr>
        <w:t xml:space="preserve">In respect of agronomic nutrient use efficiency due to nitrogen addition, higher agronomic nutrient use efficiency was observed in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sz w:val="20"/>
        </w:rPr>
        <w:t xml:space="preserve"> through SSP + FYM @12.5 </w:t>
      </w:r>
      <w:r w:rsidRPr="003C3A40">
        <w:rPr>
          <w:rFonts w:ascii="Arial" w:hAnsi="Arial" w:cs="Arial"/>
          <w:color w:val="000000" w:themeColor="text1"/>
          <w:sz w:val="20"/>
        </w:rPr>
        <w:t>t ha</w:t>
      </w:r>
      <w:r w:rsidRPr="003C3A40">
        <w:rPr>
          <w:rFonts w:ascii="Arial" w:hAnsi="Arial" w:cs="Arial"/>
          <w:color w:val="000000" w:themeColor="text1"/>
          <w:sz w:val="20"/>
          <w:vertAlign w:val="superscript"/>
        </w:rPr>
        <w:t xml:space="preserve">-1 </w:t>
      </w:r>
      <w:r w:rsidRPr="003C3A40">
        <w:rPr>
          <w:rFonts w:ascii="Arial" w:hAnsi="Arial" w:cs="Arial"/>
          <w:sz w:val="20"/>
        </w:rPr>
        <w:t>(40 kg grain kg nutrient</w:t>
      </w:r>
      <w:r w:rsidRPr="003C3A40">
        <w:rPr>
          <w:rFonts w:ascii="Arial" w:hAnsi="Arial" w:cs="Arial"/>
          <w:sz w:val="20"/>
          <w:vertAlign w:val="superscript"/>
        </w:rPr>
        <w:t>-1</w:t>
      </w:r>
      <w:r w:rsidRPr="003C3A40">
        <w:rPr>
          <w:rFonts w:ascii="Arial" w:hAnsi="Arial" w:cs="Arial"/>
          <w:sz w:val="20"/>
        </w:rPr>
        <w:t>) closely followed by treatment T</w:t>
      </w:r>
      <w:r w:rsidRPr="003C3A40">
        <w:rPr>
          <w:rFonts w:ascii="Arial" w:hAnsi="Arial" w:cs="Arial"/>
          <w:sz w:val="20"/>
          <w:vertAlign w:val="subscript"/>
        </w:rPr>
        <w:t>6</w:t>
      </w:r>
      <w:r w:rsidRPr="003C3A40">
        <w:rPr>
          <w:rFonts w:ascii="Arial" w:hAnsi="Arial" w:cs="Arial"/>
          <w:sz w:val="20"/>
        </w:rPr>
        <w:t xml:space="preserve"> (38 kg grain kg nutrient</w:t>
      </w:r>
      <w:r w:rsidRPr="003C3A40">
        <w:rPr>
          <w:rFonts w:ascii="Arial" w:hAnsi="Arial" w:cs="Arial"/>
          <w:sz w:val="20"/>
          <w:vertAlign w:val="superscript"/>
        </w:rPr>
        <w:t>-1</w:t>
      </w:r>
      <w:r w:rsidRPr="003C3A40">
        <w:rPr>
          <w:rFonts w:ascii="Arial" w:hAnsi="Arial" w:cs="Arial"/>
          <w:sz w:val="20"/>
        </w:rPr>
        <w:t>) and treatment T</w:t>
      </w:r>
      <w:r w:rsidRPr="003C3A40">
        <w:rPr>
          <w:rFonts w:ascii="Arial" w:hAnsi="Arial" w:cs="Arial"/>
          <w:sz w:val="20"/>
          <w:vertAlign w:val="subscript"/>
        </w:rPr>
        <w:t>8</w:t>
      </w:r>
      <w:r w:rsidRPr="003C3A40">
        <w:rPr>
          <w:rFonts w:ascii="Arial" w:hAnsi="Arial" w:cs="Arial"/>
          <w:sz w:val="20"/>
        </w:rPr>
        <w:t xml:space="preserve"> (37 </w:t>
      </w:r>
      <w:bookmarkStart w:id="6" w:name="_Hlk170900559"/>
      <w:r w:rsidRPr="003C3A40">
        <w:rPr>
          <w:rFonts w:ascii="Arial" w:hAnsi="Arial" w:cs="Arial"/>
          <w:sz w:val="20"/>
        </w:rPr>
        <w:t>kg grain kg nutrient</w:t>
      </w:r>
      <w:r w:rsidRPr="003C3A40">
        <w:rPr>
          <w:rFonts w:ascii="Arial" w:hAnsi="Arial" w:cs="Arial"/>
          <w:sz w:val="20"/>
          <w:vertAlign w:val="superscript"/>
        </w:rPr>
        <w:t>-1</w:t>
      </w:r>
      <w:bookmarkEnd w:id="6"/>
      <w:r w:rsidRPr="003C3A40">
        <w:rPr>
          <w:rFonts w:ascii="Arial" w:hAnsi="Arial" w:cs="Arial"/>
          <w:sz w:val="20"/>
        </w:rPr>
        <w:t xml:space="preserve">). The agronomic efficiency of nitrogen was observed higher in treatment through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through PROM (30 kg grain kg nutrient</w:t>
      </w:r>
      <w:r w:rsidRPr="003C3A40">
        <w:rPr>
          <w:rFonts w:ascii="Arial" w:hAnsi="Arial" w:cs="Arial"/>
          <w:sz w:val="20"/>
          <w:vertAlign w:val="superscript"/>
        </w:rPr>
        <w:t>-1</w:t>
      </w:r>
      <w:r w:rsidRPr="003C3A40">
        <w:rPr>
          <w:rFonts w:ascii="Arial" w:hAnsi="Arial" w:cs="Arial"/>
          <w:sz w:val="20"/>
        </w:rPr>
        <w:t>) over treatment RDF (24 kg grain kg nutrient</w:t>
      </w:r>
      <w:r w:rsidRPr="003C3A40">
        <w:rPr>
          <w:rFonts w:ascii="Arial" w:hAnsi="Arial" w:cs="Arial"/>
          <w:sz w:val="20"/>
          <w:vertAlign w:val="superscript"/>
        </w:rPr>
        <w:t>-1</w:t>
      </w:r>
      <w:r w:rsidRPr="003C3A40">
        <w:rPr>
          <w:rFonts w:ascii="Arial" w:hAnsi="Arial" w:cs="Arial"/>
          <w:sz w:val="20"/>
        </w:rPr>
        <w:t>).</w:t>
      </w:r>
    </w:p>
    <w:bookmarkEnd w:id="5"/>
    <w:p w14:paraId="3660B7E9" w14:textId="53B62D05" w:rsidR="001D31B7" w:rsidRPr="003C3A40" w:rsidRDefault="001D31B7" w:rsidP="00245A8B">
      <w:pPr>
        <w:spacing w:after="0"/>
        <w:jc w:val="both"/>
        <w:rPr>
          <w:rFonts w:ascii="Arial" w:hAnsi="Arial" w:cs="Arial"/>
          <w:sz w:val="20"/>
        </w:rPr>
      </w:pPr>
      <w:r w:rsidRPr="003C3A40">
        <w:rPr>
          <w:rFonts w:ascii="Arial" w:hAnsi="Arial" w:cs="Arial"/>
          <w:sz w:val="20"/>
        </w:rPr>
        <w:t xml:space="preserve">Increased application of phosphorus enhances nitrogen use efficiency, while the presence of microorganism facilitates the conversion of organic nutrients into inorganic forms which are readily available for plant uptake (Makwana </w:t>
      </w:r>
      <w:r w:rsidRPr="003C3A40">
        <w:rPr>
          <w:rFonts w:ascii="Arial" w:hAnsi="Arial" w:cs="Arial"/>
          <w:i/>
          <w:iCs/>
          <w:sz w:val="20"/>
        </w:rPr>
        <w:t>et al</w:t>
      </w:r>
      <w:r w:rsidRPr="003C3A40">
        <w:rPr>
          <w:rFonts w:ascii="Arial" w:hAnsi="Arial" w:cs="Arial"/>
          <w:sz w:val="20"/>
        </w:rPr>
        <w:t>., 2020).</w:t>
      </w:r>
    </w:p>
    <w:p w14:paraId="5DE27A7B" w14:textId="7FDC1162" w:rsidR="00C96595" w:rsidRPr="003C3A40" w:rsidRDefault="001D31B7" w:rsidP="00245A8B">
      <w:pPr>
        <w:spacing w:after="0"/>
        <w:jc w:val="both"/>
        <w:rPr>
          <w:rFonts w:ascii="Arial" w:hAnsi="Arial" w:cs="Arial"/>
          <w:sz w:val="20"/>
        </w:rPr>
      </w:pPr>
      <w:bookmarkStart w:id="7" w:name="_Hlk170162423"/>
      <w:r w:rsidRPr="003C3A40">
        <w:rPr>
          <w:rFonts w:ascii="Arial" w:hAnsi="Arial" w:cs="Arial"/>
          <w:sz w:val="20"/>
        </w:rPr>
        <w:t xml:space="preserve">The similar trends were observed in case of agronomic nutrient use efficiency of P and K applied to soybean crop. In both the cases the agronomic nutrient use efficiency was higher in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 xml:space="preserve">through PROM over RDF. In general, application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 xml:space="preserve">through SSP registered higher agronomic nutrient use efficiency of nitrogen (40), phosphorus (26) and potassium (44) to soybean crop. </w:t>
      </w:r>
      <w:bookmarkStart w:id="8" w:name="_Hlk170771427"/>
      <w:r w:rsidRPr="003C3A40">
        <w:rPr>
          <w:rFonts w:ascii="Arial" w:hAnsi="Arial" w:cs="Arial"/>
          <w:sz w:val="20"/>
        </w:rPr>
        <w:t xml:space="preserve">The application of 100% </w:t>
      </w:r>
      <w:r w:rsidRPr="003C3A40">
        <w:rPr>
          <w:rFonts w:ascii="Arial" w:hAnsi="Arial" w:cs="Arial"/>
          <w:color w:val="000000" w:themeColor="text1"/>
          <w:sz w:val="20"/>
        </w:rPr>
        <w:t>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 xml:space="preserve">5 </w:t>
      </w:r>
      <w:r w:rsidRPr="003C3A40">
        <w:rPr>
          <w:rFonts w:ascii="Arial" w:hAnsi="Arial" w:cs="Arial"/>
          <w:sz w:val="20"/>
        </w:rPr>
        <w:t>through PROM observed to be superior for increasing phosphorus use efficiency (20</w:t>
      </w:r>
      <w:r w:rsidRPr="003C3A40">
        <w:rPr>
          <w:rFonts w:ascii="Arial" w:eastAsia="Times New Roman" w:hAnsi="Arial" w:cs="Arial"/>
          <w:sz w:val="20"/>
          <w:lang w:eastAsia="en-IN"/>
        </w:rPr>
        <w:t>kg grain kg nutrient</w:t>
      </w:r>
      <w:r w:rsidRPr="003C3A40">
        <w:rPr>
          <w:rFonts w:ascii="Arial" w:eastAsia="Times New Roman" w:hAnsi="Arial" w:cs="Arial"/>
          <w:sz w:val="20"/>
          <w:vertAlign w:val="superscript"/>
          <w:lang w:eastAsia="en-IN"/>
        </w:rPr>
        <w:t>-1</w:t>
      </w:r>
      <w:r w:rsidRPr="003C3A40">
        <w:rPr>
          <w:rFonts w:ascii="Arial" w:hAnsi="Arial" w:cs="Arial"/>
          <w:sz w:val="20"/>
        </w:rPr>
        <w:t xml:space="preserve">) when compared with application RDF (16 </w:t>
      </w:r>
      <w:r w:rsidRPr="003C3A40">
        <w:rPr>
          <w:rFonts w:ascii="Arial" w:eastAsia="Times New Roman" w:hAnsi="Arial" w:cs="Arial"/>
          <w:sz w:val="20"/>
          <w:lang w:eastAsia="en-IN"/>
        </w:rPr>
        <w:t>kg grain kg nutrient</w:t>
      </w:r>
      <w:r w:rsidRPr="003C3A40">
        <w:rPr>
          <w:rFonts w:ascii="Arial" w:eastAsia="Times New Roman" w:hAnsi="Arial" w:cs="Arial"/>
          <w:sz w:val="20"/>
          <w:vertAlign w:val="superscript"/>
          <w:lang w:eastAsia="en-IN"/>
        </w:rPr>
        <w:t>-1</w:t>
      </w:r>
      <w:r w:rsidRPr="003C3A40">
        <w:rPr>
          <w:rFonts w:ascii="Arial" w:hAnsi="Arial" w:cs="Arial"/>
          <w:sz w:val="20"/>
        </w:rPr>
        <w:t xml:space="preserve">) to soybean crop. </w:t>
      </w:r>
      <w:bookmarkEnd w:id="7"/>
      <w:bookmarkEnd w:id="8"/>
      <w:r w:rsidRPr="003C3A40">
        <w:rPr>
          <w:rFonts w:ascii="Arial" w:hAnsi="Arial" w:cs="Arial"/>
          <w:sz w:val="20"/>
        </w:rPr>
        <w:t>From this observation, it could be inferred that application of organic manure add effective role in increasing nutrient use efficiency and agronomic efficiency.</w:t>
      </w:r>
    </w:p>
    <w:p w14:paraId="3C6D3C0D" w14:textId="77777777" w:rsidR="00D73953" w:rsidRPr="003C3A40" w:rsidRDefault="00D73953" w:rsidP="00D73953">
      <w:pPr>
        <w:spacing w:after="0"/>
        <w:jc w:val="both"/>
        <w:rPr>
          <w:rFonts w:ascii="Arial" w:hAnsi="Arial" w:cs="Arial"/>
          <w:b/>
          <w:bCs/>
          <w:szCs w:val="22"/>
        </w:rPr>
      </w:pPr>
      <w:bookmarkStart w:id="9" w:name="_Hlk170159529"/>
    </w:p>
    <w:p w14:paraId="0B9EEDA3" w14:textId="471BC813" w:rsidR="00D73953" w:rsidRPr="003C3A40" w:rsidRDefault="00ED0DCB" w:rsidP="00D73953">
      <w:pPr>
        <w:spacing w:after="0"/>
        <w:jc w:val="both"/>
        <w:rPr>
          <w:rFonts w:ascii="Arial" w:hAnsi="Arial" w:cs="Arial"/>
          <w:b/>
          <w:bCs/>
          <w:sz w:val="20"/>
        </w:rPr>
      </w:pPr>
      <w:r>
        <w:rPr>
          <w:rFonts w:ascii="Arial" w:hAnsi="Arial" w:cs="Arial"/>
          <w:b/>
          <w:bCs/>
          <w:szCs w:val="22"/>
        </w:rPr>
        <w:t xml:space="preserve">3.2 </w:t>
      </w:r>
      <w:r w:rsidR="001D31B7" w:rsidRPr="003C3A40">
        <w:rPr>
          <w:rFonts w:ascii="Arial" w:hAnsi="Arial" w:cs="Arial"/>
          <w:b/>
          <w:bCs/>
          <w:szCs w:val="22"/>
        </w:rPr>
        <w:t>Influence of Sources and Level of Phosphorus on Soil Chemical Properties after Harvest of Soybean</w:t>
      </w:r>
      <w:bookmarkEnd w:id="9"/>
      <w:r w:rsidR="00D73953" w:rsidRPr="003C3A40">
        <w:rPr>
          <w:rFonts w:ascii="Arial" w:hAnsi="Arial" w:cs="Arial"/>
          <w:b/>
          <w:bCs/>
          <w:szCs w:val="22"/>
        </w:rPr>
        <w:t xml:space="preserve"> (</w:t>
      </w:r>
      <w:r w:rsidR="00D73953" w:rsidRPr="003C3A40">
        <w:rPr>
          <w:rFonts w:ascii="Arial" w:hAnsi="Arial" w:cs="Arial"/>
          <w:b/>
          <w:bCs/>
          <w:sz w:val="20"/>
        </w:rPr>
        <w:t>Table 3)</w:t>
      </w:r>
    </w:p>
    <w:p w14:paraId="758283FF" w14:textId="0655FF03" w:rsidR="001D31B7" w:rsidRPr="003C3A40" w:rsidRDefault="00ED0DCB" w:rsidP="00245A8B">
      <w:pPr>
        <w:spacing w:after="0"/>
        <w:jc w:val="both"/>
        <w:rPr>
          <w:rFonts w:ascii="Arial" w:hAnsi="Arial" w:cs="Arial"/>
          <w:b/>
          <w:bCs/>
          <w:szCs w:val="22"/>
        </w:rPr>
      </w:pPr>
      <w:r>
        <w:rPr>
          <w:rFonts w:ascii="Arial" w:hAnsi="Arial" w:cs="Arial"/>
          <w:b/>
          <w:bCs/>
          <w:szCs w:val="22"/>
        </w:rPr>
        <w:t xml:space="preserve">3.2.1 </w:t>
      </w:r>
      <w:r w:rsidR="001D31B7" w:rsidRPr="003C3A40">
        <w:rPr>
          <w:rFonts w:ascii="Arial" w:hAnsi="Arial" w:cs="Arial"/>
          <w:b/>
          <w:bCs/>
          <w:szCs w:val="22"/>
        </w:rPr>
        <w:t>Soil pH</w:t>
      </w:r>
    </w:p>
    <w:p w14:paraId="2AD074C3" w14:textId="767E90CA" w:rsidR="00733AAC" w:rsidRPr="003C3A40" w:rsidRDefault="001D31B7" w:rsidP="00245A8B">
      <w:pPr>
        <w:spacing w:after="0"/>
        <w:jc w:val="both"/>
        <w:rPr>
          <w:rFonts w:ascii="Arial" w:hAnsi="Arial" w:cs="Arial"/>
          <w:sz w:val="20"/>
        </w:rPr>
      </w:pPr>
      <w:bookmarkStart w:id="10" w:name="_Hlk170159556"/>
      <w:r w:rsidRPr="003C3A40">
        <w:rPr>
          <w:rFonts w:ascii="Arial" w:hAnsi="Arial" w:cs="Arial"/>
          <w:sz w:val="20"/>
        </w:rPr>
        <w:t xml:space="preserve">The data on soil pH indicated that it was remained unaffected significantly due to different sources and levels of phosphorus to soybean crop. The pH value ranged between 7.80 to 7.87. </w:t>
      </w:r>
      <w:bookmarkEnd w:id="10"/>
      <w:r w:rsidRPr="003C3A40">
        <w:rPr>
          <w:rFonts w:ascii="Arial" w:hAnsi="Arial" w:cs="Arial"/>
          <w:sz w:val="20"/>
        </w:rPr>
        <w:t xml:space="preserve">There were no significantly changes in application of organic and inorganic different treatments may be due to higher buffering capacity of the soil (Dwivedi </w:t>
      </w:r>
      <w:r w:rsidRPr="003C3A40">
        <w:rPr>
          <w:rFonts w:ascii="Arial" w:hAnsi="Arial" w:cs="Arial"/>
          <w:i/>
          <w:iCs/>
          <w:sz w:val="20"/>
        </w:rPr>
        <w:t>et al.,</w:t>
      </w:r>
      <w:r w:rsidRPr="003C3A40">
        <w:rPr>
          <w:rFonts w:ascii="Arial" w:hAnsi="Arial" w:cs="Arial"/>
          <w:sz w:val="20"/>
        </w:rPr>
        <w:t xml:space="preserve"> 2007).</w:t>
      </w:r>
    </w:p>
    <w:p w14:paraId="6FB11D3B" w14:textId="7D746A3D" w:rsidR="001D31B7" w:rsidRPr="00ED0DCB" w:rsidRDefault="001D31B7" w:rsidP="00323D24">
      <w:pPr>
        <w:spacing w:after="0"/>
        <w:ind w:left="709" w:right="95" w:hanging="709"/>
        <w:rPr>
          <w:rFonts w:ascii="Arial" w:hAnsi="Arial" w:cs="Arial"/>
          <w:b/>
          <w:bCs/>
          <w:szCs w:val="22"/>
        </w:rPr>
      </w:pPr>
      <w:r w:rsidRPr="00ED0DCB">
        <w:rPr>
          <w:rFonts w:ascii="Arial" w:hAnsi="Arial" w:cs="Arial"/>
          <w:b/>
          <w:bCs/>
          <w:szCs w:val="22"/>
        </w:rPr>
        <w:t xml:space="preserve">Table </w:t>
      </w:r>
      <w:r w:rsidR="00323D24" w:rsidRPr="00ED0DCB">
        <w:rPr>
          <w:rFonts w:ascii="Arial" w:hAnsi="Arial" w:cs="Arial"/>
          <w:b/>
          <w:bCs/>
          <w:szCs w:val="22"/>
        </w:rPr>
        <w:t>3</w:t>
      </w:r>
      <w:r w:rsidR="00733AAC" w:rsidRPr="00ED0DCB">
        <w:rPr>
          <w:rFonts w:ascii="Arial" w:hAnsi="Arial" w:cs="Arial"/>
          <w:b/>
          <w:bCs/>
          <w:szCs w:val="22"/>
        </w:rPr>
        <w:t xml:space="preserve"> </w:t>
      </w:r>
      <w:r w:rsidRPr="00ED0DCB">
        <w:rPr>
          <w:rFonts w:ascii="Arial" w:hAnsi="Arial" w:cs="Arial"/>
          <w:b/>
          <w:bCs/>
          <w:szCs w:val="22"/>
        </w:rPr>
        <w:t>Influence of sources and levels of phosphorus on soil chemical properties after harvest of soybean</w:t>
      </w:r>
    </w:p>
    <w:tbl>
      <w:tblPr>
        <w:tblStyle w:val="TableGrid"/>
        <w:tblW w:w="9101" w:type="dxa"/>
        <w:tblInd w:w="108" w:type="dxa"/>
        <w:tblLayout w:type="fixed"/>
        <w:tblLook w:val="04A0" w:firstRow="1" w:lastRow="0" w:firstColumn="1" w:lastColumn="0" w:noHBand="0" w:noVBand="1"/>
      </w:tblPr>
      <w:tblGrid>
        <w:gridCol w:w="993"/>
        <w:gridCol w:w="3430"/>
        <w:gridCol w:w="993"/>
        <w:gridCol w:w="1559"/>
        <w:gridCol w:w="1134"/>
        <w:gridCol w:w="992"/>
      </w:tblGrid>
      <w:tr w:rsidR="001D31B7" w:rsidRPr="003C3A40" w14:paraId="19B518B5" w14:textId="77777777" w:rsidTr="00712650">
        <w:trPr>
          <w:trHeight w:val="485"/>
        </w:trPr>
        <w:tc>
          <w:tcPr>
            <w:tcW w:w="993" w:type="dxa"/>
            <w:tcBorders>
              <w:top w:val="single" w:sz="4" w:space="0" w:color="auto"/>
              <w:left w:val="single" w:sz="4" w:space="0" w:color="auto"/>
              <w:bottom w:val="single" w:sz="4" w:space="0" w:color="auto"/>
              <w:right w:val="single" w:sz="4" w:space="0" w:color="auto"/>
            </w:tcBorders>
          </w:tcPr>
          <w:p w14:paraId="78BB63DB"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b/>
                <w:bCs/>
                <w:sz w:val="20"/>
                <w:szCs w:val="20"/>
                <w:lang w:val="en-US"/>
              </w:rPr>
              <w:t>Treat. No.</w:t>
            </w:r>
          </w:p>
        </w:tc>
        <w:tc>
          <w:tcPr>
            <w:tcW w:w="3430" w:type="dxa"/>
            <w:tcBorders>
              <w:top w:val="single" w:sz="4" w:space="0" w:color="auto"/>
              <w:left w:val="single" w:sz="4" w:space="0" w:color="auto"/>
              <w:bottom w:val="single" w:sz="4" w:space="0" w:color="auto"/>
              <w:right w:val="single" w:sz="4" w:space="0" w:color="auto"/>
            </w:tcBorders>
          </w:tcPr>
          <w:p w14:paraId="47F2B97A" w14:textId="77777777" w:rsidR="001D31B7" w:rsidRPr="003C3A40" w:rsidRDefault="001D31B7" w:rsidP="00245A8B">
            <w:pPr>
              <w:spacing w:line="276" w:lineRule="auto"/>
              <w:jc w:val="center"/>
              <w:rPr>
                <w:rFonts w:ascii="Arial" w:hAnsi="Arial" w:cs="Arial"/>
                <w:color w:val="000000" w:themeColor="text1"/>
                <w:sz w:val="20"/>
                <w:szCs w:val="20"/>
              </w:rPr>
            </w:pPr>
            <w:r w:rsidRPr="003C3A40">
              <w:rPr>
                <w:rFonts w:ascii="Arial" w:hAnsi="Arial" w:cs="Arial"/>
                <w:b/>
                <w:bCs/>
                <w:sz w:val="20"/>
                <w:szCs w:val="20"/>
                <w:lang w:val="en-US"/>
              </w:rPr>
              <w:t>Treatments</w:t>
            </w:r>
          </w:p>
        </w:tc>
        <w:tc>
          <w:tcPr>
            <w:tcW w:w="993" w:type="dxa"/>
            <w:tcBorders>
              <w:top w:val="single" w:sz="4" w:space="0" w:color="auto"/>
              <w:left w:val="single" w:sz="4" w:space="0" w:color="auto"/>
              <w:bottom w:val="single" w:sz="4" w:space="0" w:color="auto"/>
              <w:right w:val="single" w:sz="4" w:space="0" w:color="auto"/>
            </w:tcBorders>
          </w:tcPr>
          <w:p w14:paraId="45C24CF8"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pH</w:t>
            </w:r>
          </w:p>
          <w:p w14:paraId="4A0FA328"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t>(1:2.5)</w:t>
            </w:r>
          </w:p>
        </w:tc>
        <w:tc>
          <w:tcPr>
            <w:tcW w:w="1559" w:type="dxa"/>
            <w:tcBorders>
              <w:top w:val="single" w:sz="4" w:space="0" w:color="auto"/>
              <w:left w:val="single" w:sz="4" w:space="0" w:color="auto"/>
              <w:bottom w:val="single" w:sz="4" w:space="0" w:color="auto"/>
              <w:right w:val="single" w:sz="4" w:space="0" w:color="auto"/>
            </w:tcBorders>
          </w:tcPr>
          <w:p w14:paraId="54F2FFEF"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t>Electrical Conductivity</w:t>
            </w:r>
          </w:p>
          <w:p w14:paraId="09515BD4"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lastRenderedPageBreak/>
              <w:t>(</w:t>
            </w:r>
            <w:proofErr w:type="spellStart"/>
            <w:r w:rsidRPr="003C3A40">
              <w:rPr>
                <w:rFonts w:ascii="Arial" w:hAnsi="Arial" w:cs="Arial"/>
                <w:b/>
                <w:bCs/>
                <w:sz w:val="20"/>
                <w:szCs w:val="20"/>
                <w:lang w:val="en-US"/>
              </w:rPr>
              <w:t>dS</w:t>
            </w:r>
            <w:proofErr w:type="spellEnd"/>
            <w:r w:rsidRPr="003C3A40">
              <w:rPr>
                <w:rFonts w:ascii="Arial" w:hAnsi="Arial" w:cs="Arial"/>
                <w:b/>
                <w:bCs/>
                <w:sz w:val="20"/>
                <w:szCs w:val="20"/>
                <w:lang w:val="en-US"/>
              </w:rPr>
              <w:t xml:space="preserve"> m</w:t>
            </w:r>
            <w:r w:rsidRPr="003C3A40">
              <w:rPr>
                <w:rFonts w:ascii="Arial" w:hAnsi="Arial" w:cs="Arial"/>
                <w:b/>
                <w:bCs/>
                <w:sz w:val="20"/>
                <w:szCs w:val="20"/>
                <w:vertAlign w:val="superscript"/>
                <w:lang w:val="en-US"/>
              </w:rPr>
              <w:t>-1</w:t>
            </w:r>
            <w:r w:rsidRPr="003C3A40">
              <w:rPr>
                <w:rFonts w:ascii="Arial" w:hAnsi="Arial" w:cs="Arial"/>
                <w:b/>
                <w:bCs/>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tcPr>
          <w:p w14:paraId="113C8BFE" w14:textId="77777777" w:rsidR="001D31B7" w:rsidRPr="003C3A40" w:rsidRDefault="001D31B7" w:rsidP="00245A8B">
            <w:pPr>
              <w:spacing w:line="276" w:lineRule="auto"/>
              <w:jc w:val="center"/>
              <w:rPr>
                <w:rFonts w:ascii="Arial" w:hAnsi="Arial" w:cs="Arial"/>
                <w:b/>
                <w:bCs/>
                <w:sz w:val="20"/>
                <w:szCs w:val="20"/>
                <w:lang w:val="en-US"/>
              </w:rPr>
            </w:pPr>
            <w:r w:rsidRPr="003C3A40">
              <w:rPr>
                <w:rFonts w:ascii="Arial" w:hAnsi="Arial" w:cs="Arial"/>
                <w:b/>
                <w:bCs/>
                <w:sz w:val="20"/>
                <w:szCs w:val="20"/>
                <w:lang w:val="en-US"/>
              </w:rPr>
              <w:lastRenderedPageBreak/>
              <w:t>Organic Carbon</w:t>
            </w:r>
          </w:p>
          <w:p w14:paraId="5AD336AF"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lastRenderedPageBreak/>
              <w:t>(% )</w:t>
            </w:r>
          </w:p>
        </w:tc>
        <w:tc>
          <w:tcPr>
            <w:tcW w:w="992" w:type="dxa"/>
            <w:tcBorders>
              <w:top w:val="single" w:sz="4" w:space="0" w:color="auto"/>
              <w:left w:val="single" w:sz="4" w:space="0" w:color="auto"/>
              <w:bottom w:val="single" w:sz="4" w:space="0" w:color="auto"/>
              <w:right w:val="single" w:sz="4" w:space="0" w:color="auto"/>
            </w:tcBorders>
          </w:tcPr>
          <w:p w14:paraId="73E5C63E" w14:textId="77777777" w:rsidR="001D31B7" w:rsidRPr="003C3A40" w:rsidRDefault="001D31B7" w:rsidP="00245A8B">
            <w:pPr>
              <w:spacing w:line="276" w:lineRule="auto"/>
              <w:jc w:val="center"/>
              <w:rPr>
                <w:rFonts w:ascii="Arial" w:hAnsi="Arial" w:cs="Arial"/>
                <w:b/>
                <w:bCs/>
                <w:sz w:val="20"/>
                <w:szCs w:val="20"/>
                <w:vertAlign w:val="subscript"/>
                <w:lang w:val="en-US"/>
              </w:rPr>
            </w:pPr>
            <w:r w:rsidRPr="003C3A40">
              <w:rPr>
                <w:rFonts w:ascii="Arial" w:hAnsi="Arial" w:cs="Arial"/>
                <w:b/>
                <w:bCs/>
                <w:sz w:val="20"/>
                <w:szCs w:val="20"/>
                <w:lang w:val="en-US"/>
              </w:rPr>
              <w:lastRenderedPageBreak/>
              <w:t>CaCO</w:t>
            </w:r>
            <w:r w:rsidRPr="003C3A40">
              <w:rPr>
                <w:rFonts w:ascii="Arial" w:hAnsi="Arial" w:cs="Arial"/>
                <w:b/>
                <w:bCs/>
                <w:sz w:val="20"/>
                <w:szCs w:val="20"/>
                <w:vertAlign w:val="subscript"/>
                <w:lang w:val="en-US"/>
              </w:rPr>
              <w:t>3</w:t>
            </w:r>
          </w:p>
          <w:p w14:paraId="50F31D3A" w14:textId="77777777" w:rsidR="001D31B7" w:rsidRPr="003C3A40" w:rsidRDefault="001D31B7" w:rsidP="00245A8B">
            <w:pPr>
              <w:spacing w:line="276" w:lineRule="auto"/>
              <w:jc w:val="center"/>
              <w:rPr>
                <w:rFonts w:ascii="Arial" w:eastAsia="Times New Roman" w:hAnsi="Arial" w:cs="Arial"/>
                <w:kern w:val="0"/>
                <w:sz w:val="20"/>
                <w:szCs w:val="20"/>
                <w:lang w:val="en-US" w:bidi="mr-IN"/>
              </w:rPr>
            </w:pPr>
            <w:r w:rsidRPr="003C3A40">
              <w:rPr>
                <w:rFonts w:ascii="Arial" w:hAnsi="Arial" w:cs="Arial"/>
                <w:b/>
                <w:bCs/>
                <w:sz w:val="20"/>
                <w:szCs w:val="20"/>
                <w:lang w:val="en-US"/>
              </w:rPr>
              <w:t>(% )</w:t>
            </w:r>
          </w:p>
        </w:tc>
      </w:tr>
      <w:tr w:rsidR="001D31B7" w:rsidRPr="003C3A40" w14:paraId="4EA15BA3" w14:textId="77777777" w:rsidTr="00712650">
        <w:trPr>
          <w:trHeight w:val="404"/>
        </w:trPr>
        <w:tc>
          <w:tcPr>
            <w:tcW w:w="993" w:type="dxa"/>
            <w:tcBorders>
              <w:top w:val="single" w:sz="4" w:space="0" w:color="auto"/>
              <w:left w:val="single" w:sz="4" w:space="0" w:color="auto"/>
              <w:bottom w:val="single" w:sz="4" w:space="0" w:color="auto"/>
              <w:right w:val="single" w:sz="4" w:space="0" w:color="auto"/>
            </w:tcBorders>
            <w:hideMark/>
          </w:tcPr>
          <w:p w14:paraId="53819B0A"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1</w:t>
            </w:r>
          </w:p>
        </w:tc>
        <w:tc>
          <w:tcPr>
            <w:tcW w:w="3430" w:type="dxa"/>
            <w:tcBorders>
              <w:top w:val="single" w:sz="4" w:space="0" w:color="auto"/>
              <w:left w:val="single" w:sz="4" w:space="0" w:color="auto"/>
              <w:bottom w:val="single" w:sz="4" w:space="0" w:color="auto"/>
              <w:right w:val="single" w:sz="4" w:space="0" w:color="auto"/>
            </w:tcBorders>
            <w:hideMark/>
          </w:tcPr>
          <w:p w14:paraId="2E25ACD2"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Absolute control</w:t>
            </w:r>
          </w:p>
        </w:tc>
        <w:tc>
          <w:tcPr>
            <w:tcW w:w="993" w:type="dxa"/>
            <w:tcBorders>
              <w:top w:val="single" w:sz="4" w:space="0" w:color="auto"/>
              <w:left w:val="single" w:sz="4" w:space="0" w:color="auto"/>
              <w:bottom w:val="single" w:sz="4" w:space="0" w:color="auto"/>
              <w:right w:val="single" w:sz="4" w:space="0" w:color="auto"/>
            </w:tcBorders>
            <w:vAlign w:val="center"/>
          </w:tcPr>
          <w:p w14:paraId="7663B420"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7.83</w:t>
            </w:r>
          </w:p>
        </w:tc>
        <w:tc>
          <w:tcPr>
            <w:tcW w:w="1559" w:type="dxa"/>
            <w:tcBorders>
              <w:top w:val="single" w:sz="4" w:space="0" w:color="auto"/>
              <w:left w:val="single" w:sz="4" w:space="0" w:color="auto"/>
              <w:bottom w:val="single" w:sz="4" w:space="0" w:color="auto"/>
              <w:right w:val="single" w:sz="4" w:space="0" w:color="auto"/>
            </w:tcBorders>
            <w:vAlign w:val="center"/>
          </w:tcPr>
          <w:p w14:paraId="6A022689"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0.31</w:t>
            </w:r>
          </w:p>
        </w:tc>
        <w:tc>
          <w:tcPr>
            <w:tcW w:w="1134" w:type="dxa"/>
            <w:tcBorders>
              <w:top w:val="single" w:sz="4" w:space="0" w:color="auto"/>
              <w:left w:val="single" w:sz="4" w:space="0" w:color="auto"/>
              <w:bottom w:val="single" w:sz="4" w:space="0" w:color="auto"/>
              <w:right w:val="single" w:sz="4" w:space="0" w:color="auto"/>
            </w:tcBorders>
            <w:vAlign w:val="center"/>
          </w:tcPr>
          <w:p w14:paraId="6F8D39C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0.57</w:t>
            </w:r>
          </w:p>
        </w:tc>
        <w:tc>
          <w:tcPr>
            <w:tcW w:w="992" w:type="dxa"/>
            <w:tcBorders>
              <w:top w:val="single" w:sz="4" w:space="0" w:color="auto"/>
              <w:left w:val="single" w:sz="4" w:space="0" w:color="auto"/>
              <w:bottom w:val="single" w:sz="4" w:space="0" w:color="auto"/>
              <w:right w:val="single" w:sz="4" w:space="0" w:color="auto"/>
            </w:tcBorders>
            <w:vAlign w:val="center"/>
          </w:tcPr>
          <w:p w14:paraId="17EF33C2"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6.41</w:t>
            </w:r>
          </w:p>
        </w:tc>
      </w:tr>
      <w:tr w:rsidR="001D31B7" w:rsidRPr="003C3A40" w14:paraId="6E5DFA40" w14:textId="77777777" w:rsidTr="00712650">
        <w:trPr>
          <w:trHeight w:val="419"/>
        </w:trPr>
        <w:tc>
          <w:tcPr>
            <w:tcW w:w="993" w:type="dxa"/>
            <w:tcBorders>
              <w:top w:val="single" w:sz="4" w:space="0" w:color="auto"/>
              <w:left w:val="single" w:sz="4" w:space="0" w:color="auto"/>
              <w:bottom w:val="single" w:sz="4" w:space="0" w:color="auto"/>
              <w:right w:val="single" w:sz="4" w:space="0" w:color="auto"/>
            </w:tcBorders>
            <w:hideMark/>
          </w:tcPr>
          <w:p w14:paraId="1F4564F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2</w:t>
            </w:r>
          </w:p>
        </w:tc>
        <w:tc>
          <w:tcPr>
            <w:tcW w:w="3430" w:type="dxa"/>
            <w:tcBorders>
              <w:top w:val="single" w:sz="4" w:space="0" w:color="auto"/>
              <w:left w:val="single" w:sz="4" w:space="0" w:color="auto"/>
              <w:bottom w:val="single" w:sz="4" w:space="0" w:color="auto"/>
              <w:right w:val="single" w:sz="4" w:space="0" w:color="auto"/>
            </w:tcBorders>
            <w:hideMark/>
          </w:tcPr>
          <w:p w14:paraId="443F2F06" w14:textId="77777777" w:rsidR="001D31B7" w:rsidRPr="003C3A40" w:rsidRDefault="001D31B7"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 xml:space="preserve">RDF </w:t>
            </w:r>
          </w:p>
          <w:p w14:paraId="46FBC41C"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(50:75:45 kg ha</w:t>
            </w:r>
            <w:r w:rsidRPr="003C3A40">
              <w:rPr>
                <w:rFonts w:ascii="Arial" w:hAnsi="Arial" w:cs="Arial"/>
                <w:color w:val="000000" w:themeColor="text1"/>
                <w:sz w:val="20"/>
                <w:szCs w:val="20"/>
                <w:vertAlign w:val="superscript"/>
              </w:rPr>
              <w:t>-1</w:t>
            </w:r>
            <w:r w:rsidRPr="003C3A40">
              <w:rPr>
                <w:rFonts w:ascii="Arial" w:hAnsi="Arial" w:cs="Arial"/>
                <w:color w:val="000000" w:themeColor="text1"/>
                <w:sz w:val="20"/>
                <w:szCs w:val="20"/>
              </w:rPr>
              <w:t xml:space="preserve"> N: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K</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p>
        </w:tc>
        <w:tc>
          <w:tcPr>
            <w:tcW w:w="993" w:type="dxa"/>
            <w:tcBorders>
              <w:top w:val="single" w:sz="4" w:space="0" w:color="auto"/>
              <w:left w:val="single" w:sz="4" w:space="0" w:color="auto"/>
              <w:bottom w:val="single" w:sz="4" w:space="0" w:color="auto"/>
              <w:right w:val="single" w:sz="4" w:space="0" w:color="auto"/>
            </w:tcBorders>
            <w:vAlign w:val="center"/>
          </w:tcPr>
          <w:p w14:paraId="439F3239"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7.87</w:t>
            </w:r>
          </w:p>
        </w:tc>
        <w:tc>
          <w:tcPr>
            <w:tcW w:w="1559" w:type="dxa"/>
            <w:tcBorders>
              <w:top w:val="single" w:sz="4" w:space="0" w:color="auto"/>
              <w:left w:val="single" w:sz="4" w:space="0" w:color="auto"/>
              <w:bottom w:val="single" w:sz="4" w:space="0" w:color="auto"/>
              <w:right w:val="single" w:sz="4" w:space="0" w:color="auto"/>
            </w:tcBorders>
            <w:vAlign w:val="center"/>
          </w:tcPr>
          <w:p w14:paraId="4D569C8F"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0.31</w:t>
            </w:r>
          </w:p>
        </w:tc>
        <w:tc>
          <w:tcPr>
            <w:tcW w:w="1134" w:type="dxa"/>
            <w:tcBorders>
              <w:top w:val="single" w:sz="4" w:space="0" w:color="auto"/>
              <w:left w:val="single" w:sz="4" w:space="0" w:color="auto"/>
              <w:bottom w:val="single" w:sz="4" w:space="0" w:color="auto"/>
              <w:right w:val="single" w:sz="4" w:space="0" w:color="auto"/>
            </w:tcBorders>
            <w:vAlign w:val="center"/>
          </w:tcPr>
          <w:p w14:paraId="0EC0EA5A"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0.58</w:t>
            </w:r>
          </w:p>
        </w:tc>
        <w:tc>
          <w:tcPr>
            <w:tcW w:w="992" w:type="dxa"/>
            <w:tcBorders>
              <w:top w:val="single" w:sz="4" w:space="0" w:color="auto"/>
              <w:left w:val="single" w:sz="4" w:space="0" w:color="auto"/>
              <w:bottom w:val="single" w:sz="4" w:space="0" w:color="auto"/>
              <w:right w:val="single" w:sz="4" w:space="0" w:color="auto"/>
            </w:tcBorders>
            <w:vAlign w:val="center"/>
          </w:tcPr>
          <w:p w14:paraId="19EB2E5A"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6.42</w:t>
            </w:r>
          </w:p>
        </w:tc>
      </w:tr>
      <w:tr w:rsidR="001D31B7" w:rsidRPr="003C3A40" w14:paraId="28E1304C" w14:textId="77777777" w:rsidTr="00712650">
        <w:trPr>
          <w:trHeight w:val="486"/>
        </w:trPr>
        <w:tc>
          <w:tcPr>
            <w:tcW w:w="993" w:type="dxa"/>
            <w:tcBorders>
              <w:top w:val="single" w:sz="4" w:space="0" w:color="auto"/>
              <w:left w:val="single" w:sz="4" w:space="0" w:color="auto"/>
              <w:bottom w:val="single" w:sz="4" w:space="0" w:color="auto"/>
              <w:right w:val="single" w:sz="4" w:space="0" w:color="auto"/>
            </w:tcBorders>
            <w:hideMark/>
          </w:tcPr>
          <w:p w14:paraId="26565500"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3</w:t>
            </w:r>
          </w:p>
        </w:tc>
        <w:tc>
          <w:tcPr>
            <w:tcW w:w="3430" w:type="dxa"/>
            <w:tcBorders>
              <w:top w:val="single" w:sz="4" w:space="0" w:color="auto"/>
              <w:left w:val="single" w:sz="4" w:space="0" w:color="auto"/>
              <w:bottom w:val="single" w:sz="4" w:space="0" w:color="auto"/>
              <w:right w:val="single" w:sz="4" w:space="0" w:color="auto"/>
            </w:tcBorders>
            <w:hideMark/>
          </w:tcPr>
          <w:p w14:paraId="59079C44"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50%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3" w:type="dxa"/>
            <w:tcBorders>
              <w:top w:val="single" w:sz="4" w:space="0" w:color="auto"/>
              <w:left w:val="single" w:sz="4" w:space="0" w:color="auto"/>
              <w:bottom w:val="single" w:sz="4" w:space="0" w:color="auto"/>
              <w:right w:val="single" w:sz="4" w:space="0" w:color="auto"/>
            </w:tcBorders>
            <w:vAlign w:val="center"/>
          </w:tcPr>
          <w:p w14:paraId="1402D08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4B07374B"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0.33</w:t>
            </w:r>
          </w:p>
        </w:tc>
        <w:tc>
          <w:tcPr>
            <w:tcW w:w="1134" w:type="dxa"/>
            <w:tcBorders>
              <w:top w:val="single" w:sz="4" w:space="0" w:color="auto"/>
              <w:left w:val="single" w:sz="4" w:space="0" w:color="auto"/>
              <w:bottom w:val="single" w:sz="4" w:space="0" w:color="auto"/>
              <w:right w:val="single" w:sz="4" w:space="0" w:color="auto"/>
            </w:tcBorders>
            <w:vAlign w:val="center"/>
          </w:tcPr>
          <w:p w14:paraId="6EE10711"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0.61</w:t>
            </w:r>
          </w:p>
        </w:tc>
        <w:tc>
          <w:tcPr>
            <w:tcW w:w="992" w:type="dxa"/>
            <w:tcBorders>
              <w:top w:val="single" w:sz="4" w:space="0" w:color="auto"/>
              <w:left w:val="single" w:sz="4" w:space="0" w:color="auto"/>
              <w:bottom w:val="single" w:sz="4" w:space="0" w:color="auto"/>
              <w:right w:val="single" w:sz="4" w:space="0" w:color="auto"/>
            </w:tcBorders>
            <w:vAlign w:val="center"/>
          </w:tcPr>
          <w:p w14:paraId="49D91AA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6.38</w:t>
            </w:r>
          </w:p>
        </w:tc>
      </w:tr>
      <w:tr w:rsidR="001D31B7" w:rsidRPr="003C3A40" w14:paraId="660C7C74" w14:textId="77777777" w:rsidTr="00712650">
        <w:trPr>
          <w:trHeight w:val="390"/>
        </w:trPr>
        <w:tc>
          <w:tcPr>
            <w:tcW w:w="993" w:type="dxa"/>
            <w:tcBorders>
              <w:top w:val="single" w:sz="4" w:space="0" w:color="auto"/>
              <w:left w:val="single" w:sz="4" w:space="0" w:color="auto"/>
              <w:bottom w:val="single" w:sz="4" w:space="0" w:color="auto"/>
              <w:right w:val="single" w:sz="4" w:space="0" w:color="auto"/>
            </w:tcBorders>
            <w:hideMark/>
          </w:tcPr>
          <w:p w14:paraId="6206981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4</w:t>
            </w:r>
          </w:p>
        </w:tc>
        <w:tc>
          <w:tcPr>
            <w:tcW w:w="3430" w:type="dxa"/>
            <w:tcBorders>
              <w:top w:val="single" w:sz="4" w:space="0" w:color="auto"/>
              <w:left w:val="single" w:sz="4" w:space="0" w:color="auto"/>
              <w:bottom w:val="single" w:sz="4" w:space="0" w:color="auto"/>
              <w:right w:val="single" w:sz="4" w:space="0" w:color="auto"/>
            </w:tcBorders>
            <w:hideMark/>
          </w:tcPr>
          <w:p w14:paraId="3205AB4F"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75%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3" w:type="dxa"/>
            <w:tcBorders>
              <w:top w:val="single" w:sz="4" w:space="0" w:color="auto"/>
              <w:left w:val="single" w:sz="4" w:space="0" w:color="auto"/>
              <w:bottom w:val="single" w:sz="4" w:space="0" w:color="auto"/>
              <w:right w:val="single" w:sz="4" w:space="0" w:color="auto"/>
            </w:tcBorders>
            <w:vAlign w:val="center"/>
          </w:tcPr>
          <w:p w14:paraId="1E89C05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7.83</w:t>
            </w:r>
          </w:p>
        </w:tc>
        <w:tc>
          <w:tcPr>
            <w:tcW w:w="1559" w:type="dxa"/>
            <w:tcBorders>
              <w:top w:val="single" w:sz="4" w:space="0" w:color="auto"/>
              <w:left w:val="single" w:sz="4" w:space="0" w:color="auto"/>
              <w:bottom w:val="single" w:sz="4" w:space="0" w:color="auto"/>
              <w:right w:val="single" w:sz="4" w:space="0" w:color="auto"/>
            </w:tcBorders>
            <w:vAlign w:val="center"/>
          </w:tcPr>
          <w:p w14:paraId="25A42D0F"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0.36</w:t>
            </w:r>
          </w:p>
        </w:tc>
        <w:tc>
          <w:tcPr>
            <w:tcW w:w="1134" w:type="dxa"/>
            <w:tcBorders>
              <w:top w:val="single" w:sz="4" w:space="0" w:color="auto"/>
              <w:left w:val="single" w:sz="4" w:space="0" w:color="auto"/>
              <w:bottom w:val="single" w:sz="4" w:space="0" w:color="auto"/>
              <w:right w:val="single" w:sz="4" w:space="0" w:color="auto"/>
            </w:tcBorders>
            <w:vAlign w:val="center"/>
          </w:tcPr>
          <w:p w14:paraId="26616A6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0.62</w:t>
            </w:r>
          </w:p>
        </w:tc>
        <w:tc>
          <w:tcPr>
            <w:tcW w:w="992" w:type="dxa"/>
            <w:tcBorders>
              <w:top w:val="single" w:sz="4" w:space="0" w:color="auto"/>
              <w:left w:val="single" w:sz="4" w:space="0" w:color="auto"/>
              <w:bottom w:val="single" w:sz="4" w:space="0" w:color="auto"/>
              <w:right w:val="single" w:sz="4" w:space="0" w:color="auto"/>
            </w:tcBorders>
            <w:vAlign w:val="center"/>
          </w:tcPr>
          <w:p w14:paraId="023C8023"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6.35</w:t>
            </w:r>
          </w:p>
        </w:tc>
      </w:tr>
      <w:tr w:rsidR="001D31B7" w:rsidRPr="003C3A40" w14:paraId="7FB8712A" w14:textId="77777777" w:rsidTr="00712650">
        <w:trPr>
          <w:trHeight w:val="390"/>
        </w:trPr>
        <w:tc>
          <w:tcPr>
            <w:tcW w:w="993" w:type="dxa"/>
            <w:tcBorders>
              <w:top w:val="single" w:sz="4" w:space="0" w:color="auto"/>
              <w:left w:val="single" w:sz="4" w:space="0" w:color="auto"/>
              <w:bottom w:val="single" w:sz="4" w:space="0" w:color="auto"/>
              <w:right w:val="single" w:sz="4" w:space="0" w:color="auto"/>
            </w:tcBorders>
          </w:tcPr>
          <w:p w14:paraId="080F61C3"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5</w:t>
            </w:r>
          </w:p>
        </w:tc>
        <w:tc>
          <w:tcPr>
            <w:tcW w:w="3430" w:type="dxa"/>
            <w:tcBorders>
              <w:top w:val="single" w:sz="4" w:space="0" w:color="auto"/>
              <w:left w:val="single" w:sz="4" w:space="0" w:color="auto"/>
              <w:bottom w:val="single" w:sz="4" w:space="0" w:color="auto"/>
              <w:right w:val="single" w:sz="4" w:space="0" w:color="auto"/>
            </w:tcBorders>
          </w:tcPr>
          <w:p w14:paraId="5126245F"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3" w:type="dxa"/>
            <w:tcBorders>
              <w:top w:val="single" w:sz="4" w:space="0" w:color="auto"/>
              <w:left w:val="single" w:sz="4" w:space="0" w:color="auto"/>
              <w:bottom w:val="single" w:sz="4" w:space="0" w:color="auto"/>
              <w:right w:val="single" w:sz="4" w:space="0" w:color="auto"/>
            </w:tcBorders>
            <w:vAlign w:val="center"/>
          </w:tcPr>
          <w:p w14:paraId="3F4E22A2"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33937DB0"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0.39</w:t>
            </w:r>
          </w:p>
        </w:tc>
        <w:tc>
          <w:tcPr>
            <w:tcW w:w="1134" w:type="dxa"/>
            <w:tcBorders>
              <w:top w:val="single" w:sz="4" w:space="0" w:color="auto"/>
              <w:left w:val="single" w:sz="4" w:space="0" w:color="auto"/>
              <w:bottom w:val="single" w:sz="4" w:space="0" w:color="auto"/>
              <w:right w:val="single" w:sz="4" w:space="0" w:color="auto"/>
            </w:tcBorders>
            <w:vAlign w:val="center"/>
          </w:tcPr>
          <w:p w14:paraId="3C49A4C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0.64</w:t>
            </w:r>
          </w:p>
        </w:tc>
        <w:tc>
          <w:tcPr>
            <w:tcW w:w="992" w:type="dxa"/>
            <w:tcBorders>
              <w:top w:val="single" w:sz="4" w:space="0" w:color="auto"/>
              <w:left w:val="single" w:sz="4" w:space="0" w:color="auto"/>
              <w:bottom w:val="single" w:sz="4" w:space="0" w:color="auto"/>
              <w:right w:val="single" w:sz="4" w:space="0" w:color="auto"/>
            </w:tcBorders>
            <w:vAlign w:val="center"/>
          </w:tcPr>
          <w:p w14:paraId="70441A78"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6.29</w:t>
            </w:r>
          </w:p>
        </w:tc>
      </w:tr>
      <w:tr w:rsidR="001D31B7" w:rsidRPr="003C3A40" w14:paraId="4A1ACB96" w14:textId="77777777" w:rsidTr="00712650">
        <w:trPr>
          <w:trHeight w:val="390"/>
        </w:trPr>
        <w:tc>
          <w:tcPr>
            <w:tcW w:w="993" w:type="dxa"/>
            <w:tcBorders>
              <w:top w:val="single" w:sz="4" w:space="0" w:color="auto"/>
              <w:left w:val="single" w:sz="4" w:space="0" w:color="auto"/>
              <w:bottom w:val="single" w:sz="4" w:space="0" w:color="auto"/>
              <w:right w:val="single" w:sz="4" w:space="0" w:color="auto"/>
            </w:tcBorders>
          </w:tcPr>
          <w:p w14:paraId="61DA56F6"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6</w:t>
            </w:r>
          </w:p>
        </w:tc>
        <w:tc>
          <w:tcPr>
            <w:tcW w:w="3430" w:type="dxa"/>
            <w:tcBorders>
              <w:top w:val="single" w:sz="4" w:space="0" w:color="auto"/>
              <w:left w:val="single" w:sz="4" w:space="0" w:color="auto"/>
              <w:bottom w:val="single" w:sz="4" w:space="0" w:color="auto"/>
              <w:right w:val="single" w:sz="4" w:space="0" w:color="auto"/>
            </w:tcBorders>
          </w:tcPr>
          <w:p w14:paraId="1046FB34" w14:textId="77777777" w:rsidR="001D31B7" w:rsidRPr="003C3A40" w:rsidRDefault="001D31B7" w:rsidP="00245A8B">
            <w:pPr>
              <w:spacing w:line="276" w:lineRule="auto"/>
              <w:jc w:val="both"/>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DAP + FYM @12.5 t ha</w:t>
            </w:r>
            <w:r w:rsidRPr="003C3A40">
              <w:rPr>
                <w:rFonts w:ascii="Arial" w:hAnsi="Arial" w:cs="Arial"/>
                <w:color w:val="000000" w:themeColor="text1"/>
                <w:sz w:val="20"/>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tcPr>
          <w:p w14:paraId="0E1FB995"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7.83</w:t>
            </w:r>
          </w:p>
        </w:tc>
        <w:tc>
          <w:tcPr>
            <w:tcW w:w="1559" w:type="dxa"/>
            <w:tcBorders>
              <w:top w:val="single" w:sz="4" w:space="0" w:color="auto"/>
              <w:left w:val="single" w:sz="4" w:space="0" w:color="auto"/>
              <w:bottom w:val="single" w:sz="4" w:space="0" w:color="auto"/>
              <w:right w:val="single" w:sz="4" w:space="0" w:color="auto"/>
            </w:tcBorders>
            <w:vAlign w:val="center"/>
          </w:tcPr>
          <w:p w14:paraId="721F4BBD"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0.33</w:t>
            </w:r>
          </w:p>
        </w:tc>
        <w:tc>
          <w:tcPr>
            <w:tcW w:w="1134" w:type="dxa"/>
            <w:tcBorders>
              <w:top w:val="single" w:sz="4" w:space="0" w:color="auto"/>
              <w:left w:val="single" w:sz="4" w:space="0" w:color="auto"/>
              <w:bottom w:val="single" w:sz="4" w:space="0" w:color="auto"/>
              <w:right w:val="single" w:sz="4" w:space="0" w:color="auto"/>
            </w:tcBorders>
            <w:vAlign w:val="center"/>
          </w:tcPr>
          <w:p w14:paraId="35A97DD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0.62</w:t>
            </w:r>
          </w:p>
        </w:tc>
        <w:tc>
          <w:tcPr>
            <w:tcW w:w="992" w:type="dxa"/>
            <w:tcBorders>
              <w:top w:val="single" w:sz="4" w:space="0" w:color="auto"/>
              <w:left w:val="single" w:sz="4" w:space="0" w:color="auto"/>
              <w:bottom w:val="single" w:sz="4" w:space="0" w:color="auto"/>
              <w:right w:val="single" w:sz="4" w:space="0" w:color="auto"/>
            </w:tcBorders>
            <w:vAlign w:val="center"/>
          </w:tcPr>
          <w:p w14:paraId="424E1F7D"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6.37</w:t>
            </w:r>
          </w:p>
        </w:tc>
      </w:tr>
      <w:tr w:rsidR="001D31B7" w:rsidRPr="003C3A40" w14:paraId="0CA564D6" w14:textId="77777777" w:rsidTr="00712650">
        <w:trPr>
          <w:trHeight w:val="458"/>
        </w:trPr>
        <w:tc>
          <w:tcPr>
            <w:tcW w:w="993" w:type="dxa"/>
            <w:tcBorders>
              <w:top w:val="single" w:sz="4" w:space="0" w:color="auto"/>
              <w:left w:val="single" w:sz="4" w:space="0" w:color="auto"/>
              <w:bottom w:val="single" w:sz="4" w:space="0" w:color="auto"/>
              <w:right w:val="single" w:sz="4" w:space="0" w:color="auto"/>
            </w:tcBorders>
            <w:hideMark/>
          </w:tcPr>
          <w:p w14:paraId="010116C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7</w:t>
            </w:r>
          </w:p>
        </w:tc>
        <w:tc>
          <w:tcPr>
            <w:tcW w:w="3430" w:type="dxa"/>
            <w:tcBorders>
              <w:top w:val="single" w:sz="4" w:space="0" w:color="auto"/>
              <w:left w:val="single" w:sz="4" w:space="0" w:color="auto"/>
              <w:bottom w:val="single" w:sz="4" w:space="0" w:color="auto"/>
              <w:right w:val="single" w:sz="4" w:space="0" w:color="auto"/>
            </w:tcBorders>
            <w:hideMark/>
          </w:tcPr>
          <w:p w14:paraId="21D3AF9B" w14:textId="77777777" w:rsidR="001D31B7" w:rsidRPr="003C3A40" w:rsidRDefault="001D31B7" w:rsidP="00245A8B">
            <w:pPr>
              <w:spacing w:line="276" w:lineRule="auto"/>
              <w:jc w:val="both"/>
              <w:rPr>
                <w:rFonts w:ascii="Arial" w:eastAsia="Times New Roman" w:hAnsi="Arial" w:cs="Arial"/>
                <w:kern w:val="0"/>
                <w:sz w:val="20"/>
                <w:szCs w:val="20"/>
                <w:lang w:eastAsia="en-IN" w:bidi="mr-IN"/>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SSP + FYM @12.5 t ha</w:t>
            </w:r>
            <w:r w:rsidRPr="003C3A40">
              <w:rPr>
                <w:rFonts w:ascii="Arial" w:hAnsi="Arial" w:cs="Arial"/>
                <w:color w:val="000000" w:themeColor="text1"/>
                <w:sz w:val="20"/>
                <w:szCs w:val="20"/>
                <w:vertAlign w:val="superscript"/>
              </w:rPr>
              <w:t>-1</w:t>
            </w:r>
          </w:p>
        </w:tc>
        <w:tc>
          <w:tcPr>
            <w:tcW w:w="993" w:type="dxa"/>
            <w:tcBorders>
              <w:top w:val="single" w:sz="4" w:space="0" w:color="auto"/>
              <w:left w:val="single" w:sz="4" w:space="0" w:color="auto"/>
              <w:bottom w:val="single" w:sz="4" w:space="0" w:color="auto"/>
              <w:right w:val="single" w:sz="4" w:space="0" w:color="auto"/>
            </w:tcBorders>
            <w:vAlign w:val="center"/>
          </w:tcPr>
          <w:p w14:paraId="51048295"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7.87</w:t>
            </w:r>
          </w:p>
        </w:tc>
        <w:tc>
          <w:tcPr>
            <w:tcW w:w="1559" w:type="dxa"/>
            <w:tcBorders>
              <w:top w:val="single" w:sz="4" w:space="0" w:color="auto"/>
              <w:left w:val="single" w:sz="4" w:space="0" w:color="auto"/>
              <w:bottom w:val="single" w:sz="4" w:space="0" w:color="auto"/>
              <w:right w:val="single" w:sz="4" w:space="0" w:color="auto"/>
            </w:tcBorders>
            <w:vAlign w:val="center"/>
          </w:tcPr>
          <w:p w14:paraId="35127917"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0.32</w:t>
            </w:r>
          </w:p>
        </w:tc>
        <w:tc>
          <w:tcPr>
            <w:tcW w:w="1134" w:type="dxa"/>
            <w:tcBorders>
              <w:top w:val="single" w:sz="4" w:space="0" w:color="auto"/>
              <w:left w:val="single" w:sz="4" w:space="0" w:color="auto"/>
              <w:bottom w:val="single" w:sz="4" w:space="0" w:color="auto"/>
              <w:right w:val="single" w:sz="4" w:space="0" w:color="auto"/>
            </w:tcBorders>
            <w:vAlign w:val="center"/>
          </w:tcPr>
          <w:p w14:paraId="20BC392E"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0.63</w:t>
            </w:r>
          </w:p>
        </w:tc>
        <w:tc>
          <w:tcPr>
            <w:tcW w:w="992" w:type="dxa"/>
            <w:tcBorders>
              <w:top w:val="single" w:sz="4" w:space="0" w:color="auto"/>
              <w:left w:val="single" w:sz="4" w:space="0" w:color="auto"/>
              <w:bottom w:val="single" w:sz="4" w:space="0" w:color="auto"/>
              <w:right w:val="single" w:sz="4" w:space="0" w:color="auto"/>
            </w:tcBorders>
            <w:vAlign w:val="center"/>
          </w:tcPr>
          <w:p w14:paraId="6FEA5AAC"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6.35</w:t>
            </w:r>
          </w:p>
        </w:tc>
      </w:tr>
      <w:tr w:rsidR="001D31B7" w:rsidRPr="003C3A40" w14:paraId="3EB0E388" w14:textId="77777777" w:rsidTr="00712650">
        <w:trPr>
          <w:trHeight w:val="458"/>
        </w:trPr>
        <w:tc>
          <w:tcPr>
            <w:tcW w:w="993" w:type="dxa"/>
            <w:tcBorders>
              <w:top w:val="single" w:sz="4" w:space="0" w:color="auto"/>
              <w:left w:val="single" w:sz="4" w:space="0" w:color="auto"/>
              <w:bottom w:val="single" w:sz="4" w:space="0" w:color="auto"/>
              <w:right w:val="single" w:sz="4" w:space="0" w:color="auto"/>
            </w:tcBorders>
          </w:tcPr>
          <w:p w14:paraId="401A0C08" w14:textId="77777777" w:rsidR="001D31B7" w:rsidRPr="003C3A40" w:rsidRDefault="001D31B7"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8</w:t>
            </w:r>
          </w:p>
        </w:tc>
        <w:tc>
          <w:tcPr>
            <w:tcW w:w="3430" w:type="dxa"/>
            <w:tcBorders>
              <w:top w:val="single" w:sz="4" w:space="0" w:color="auto"/>
              <w:left w:val="single" w:sz="4" w:space="0" w:color="auto"/>
              <w:bottom w:val="single" w:sz="4" w:space="0" w:color="auto"/>
              <w:right w:val="single" w:sz="4" w:space="0" w:color="auto"/>
            </w:tcBorders>
          </w:tcPr>
          <w:p w14:paraId="424C61C7" w14:textId="77777777" w:rsidR="001D31B7" w:rsidRPr="003C3A40" w:rsidRDefault="001D31B7" w:rsidP="00245A8B">
            <w:pPr>
              <w:spacing w:line="276" w:lineRule="auto"/>
              <w:rPr>
                <w:rFonts w:ascii="Arial" w:hAnsi="Arial" w:cs="Arial"/>
                <w:color w:val="000000"/>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Vermicompost</w:t>
            </w:r>
          </w:p>
        </w:tc>
        <w:tc>
          <w:tcPr>
            <w:tcW w:w="993" w:type="dxa"/>
            <w:tcBorders>
              <w:top w:val="single" w:sz="4" w:space="0" w:color="auto"/>
              <w:left w:val="single" w:sz="4" w:space="0" w:color="auto"/>
              <w:bottom w:val="single" w:sz="4" w:space="0" w:color="auto"/>
              <w:right w:val="single" w:sz="4" w:space="0" w:color="auto"/>
            </w:tcBorders>
            <w:vAlign w:val="center"/>
          </w:tcPr>
          <w:p w14:paraId="074FE517"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1F145602"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0.40</w:t>
            </w:r>
          </w:p>
        </w:tc>
        <w:tc>
          <w:tcPr>
            <w:tcW w:w="1134" w:type="dxa"/>
            <w:tcBorders>
              <w:top w:val="single" w:sz="4" w:space="0" w:color="auto"/>
              <w:left w:val="single" w:sz="4" w:space="0" w:color="auto"/>
              <w:bottom w:val="single" w:sz="4" w:space="0" w:color="auto"/>
              <w:right w:val="single" w:sz="4" w:space="0" w:color="auto"/>
            </w:tcBorders>
            <w:vAlign w:val="center"/>
          </w:tcPr>
          <w:p w14:paraId="6A345C79"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0.66</w:t>
            </w:r>
          </w:p>
        </w:tc>
        <w:tc>
          <w:tcPr>
            <w:tcW w:w="992" w:type="dxa"/>
            <w:tcBorders>
              <w:top w:val="single" w:sz="4" w:space="0" w:color="auto"/>
              <w:left w:val="single" w:sz="4" w:space="0" w:color="auto"/>
              <w:bottom w:val="single" w:sz="4" w:space="0" w:color="auto"/>
              <w:right w:val="single" w:sz="4" w:space="0" w:color="auto"/>
            </w:tcBorders>
            <w:vAlign w:val="center"/>
          </w:tcPr>
          <w:p w14:paraId="75CC6E50" w14:textId="77777777" w:rsidR="001D31B7" w:rsidRPr="003C3A40" w:rsidRDefault="001D31B7"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6.30</w:t>
            </w:r>
          </w:p>
        </w:tc>
      </w:tr>
      <w:tr w:rsidR="001D31B7" w:rsidRPr="003C3A40" w14:paraId="07C1E429" w14:textId="77777777" w:rsidTr="00712650">
        <w:trPr>
          <w:trHeight w:val="477"/>
        </w:trPr>
        <w:tc>
          <w:tcPr>
            <w:tcW w:w="993" w:type="dxa"/>
            <w:tcBorders>
              <w:top w:val="single" w:sz="4" w:space="0" w:color="auto"/>
              <w:left w:val="single" w:sz="4" w:space="0" w:color="auto"/>
              <w:bottom w:val="single" w:sz="4" w:space="0" w:color="auto"/>
              <w:right w:val="single" w:sz="4" w:space="0" w:color="auto"/>
            </w:tcBorders>
          </w:tcPr>
          <w:p w14:paraId="2315A49C" w14:textId="77777777" w:rsidR="001D31B7" w:rsidRPr="003C3A40" w:rsidRDefault="001D31B7" w:rsidP="00245A8B">
            <w:pPr>
              <w:spacing w:line="276" w:lineRule="auto"/>
              <w:jc w:val="center"/>
              <w:rPr>
                <w:rFonts w:ascii="Arial" w:hAnsi="Arial" w:cs="Arial"/>
                <w:sz w:val="20"/>
                <w:szCs w:val="20"/>
                <w:lang w:val="en-US"/>
              </w:rPr>
            </w:pPr>
          </w:p>
        </w:tc>
        <w:tc>
          <w:tcPr>
            <w:tcW w:w="3430" w:type="dxa"/>
            <w:tcBorders>
              <w:top w:val="single" w:sz="4" w:space="0" w:color="auto"/>
              <w:left w:val="single" w:sz="4" w:space="0" w:color="auto"/>
              <w:bottom w:val="single" w:sz="4" w:space="0" w:color="auto"/>
              <w:right w:val="single" w:sz="4" w:space="0" w:color="auto"/>
            </w:tcBorders>
            <w:vAlign w:val="center"/>
          </w:tcPr>
          <w:p w14:paraId="1058C419" w14:textId="45E1E2EF" w:rsidR="001D31B7" w:rsidRPr="003C3A40" w:rsidRDefault="001D31B7" w:rsidP="00245A8B">
            <w:pPr>
              <w:spacing w:line="276" w:lineRule="auto"/>
              <w:jc w:val="right"/>
              <w:rPr>
                <w:rFonts w:ascii="Arial" w:hAnsi="Arial" w:cs="Arial"/>
                <w:color w:val="000000" w:themeColor="text1"/>
                <w:sz w:val="20"/>
                <w:szCs w:val="20"/>
              </w:rPr>
            </w:pPr>
            <w:r w:rsidRPr="003C3A40">
              <w:rPr>
                <w:rFonts w:ascii="Arial" w:hAnsi="Arial" w:cs="Arial"/>
                <w:sz w:val="20"/>
                <w:szCs w:val="20"/>
                <w:lang w:val="en-US"/>
              </w:rPr>
              <w:t>S</w:t>
            </w:r>
            <w:r w:rsidR="00AB0D25">
              <w:rPr>
                <w:rFonts w:ascii="Arial" w:hAnsi="Arial" w:cs="Arial"/>
                <w:sz w:val="20"/>
                <w:szCs w:val="20"/>
                <w:lang w:val="en-US"/>
              </w:rPr>
              <w:t>E(</w:t>
            </w:r>
            <w:r w:rsidRPr="003C3A40">
              <w:rPr>
                <w:rFonts w:ascii="Arial" w:hAnsi="Arial" w:cs="Arial"/>
                <w:sz w:val="20"/>
                <w:szCs w:val="20"/>
                <w:lang w:val="en-US"/>
              </w:rPr>
              <w:t>m</w:t>
            </w:r>
            <w:r w:rsidR="00AB0D25">
              <w:rPr>
                <w:rFonts w:ascii="Arial" w:hAnsi="Arial" w:cs="Arial"/>
                <w:sz w:val="20"/>
                <w:szCs w:val="20"/>
                <w:lang w:val="en-US"/>
              </w:rPr>
              <w:t>)</w:t>
            </w:r>
            <w:r w:rsidRPr="003C3A40">
              <w:rPr>
                <w:rFonts w:ascii="Arial" w:hAnsi="Arial" w:cs="Arial"/>
                <w:sz w:val="20"/>
                <w:szCs w:val="20"/>
                <w:lang w:val="en-US"/>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867BB3D"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0.05</w:t>
            </w:r>
          </w:p>
        </w:tc>
        <w:tc>
          <w:tcPr>
            <w:tcW w:w="1559" w:type="dxa"/>
            <w:tcBorders>
              <w:top w:val="single" w:sz="4" w:space="0" w:color="auto"/>
              <w:left w:val="single" w:sz="4" w:space="0" w:color="auto"/>
              <w:bottom w:val="single" w:sz="4" w:space="0" w:color="auto"/>
              <w:right w:val="single" w:sz="4" w:space="0" w:color="auto"/>
            </w:tcBorders>
            <w:vAlign w:val="center"/>
          </w:tcPr>
          <w:p w14:paraId="7E86E9EC"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18C90FFA"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0.01</w:t>
            </w:r>
          </w:p>
        </w:tc>
        <w:tc>
          <w:tcPr>
            <w:tcW w:w="992" w:type="dxa"/>
            <w:tcBorders>
              <w:top w:val="single" w:sz="4" w:space="0" w:color="auto"/>
              <w:left w:val="single" w:sz="4" w:space="0" w:color="auto"/>
              <w:bottom w:val="single" w:sz="4" w:space="0" w:color="auto"/>
              <w:right w:val="single" w:sz="4" w:space="0" w:color="auto"/>
            </w:tcBorders>
            <w:vAlign w:val="center"/>
          </w:tcPr>
          <w:p w14:paraId="7476AC6E" w14:textId="77777777" w:rsidR="001D31B7" w:rsidRPr="003C3A40" w:rsidRDefault="001D31B7" w:rsidP="00245A8B">
            <w:pPr>
              <w:spacing w:line="276" w:lineRule="auto"/>
              <w:jc w:val="center"/>
              <w:rPr>
                <w:rFonts w:ascii="Arial" w:eastAsia="Times New Roman" w:hAnsi="Arial" w:cs="Arial"/>
                <w:kern w:val="0"/>
                <w:sz w:val="20"/>
                <w:szCs w:val="20"/>
                <w:lang w:eastAsia="en-IN"/>
              </w:rPr>
            </w:pPr>
            <w:r w:rsidRPr="003C3A40">
              <w:rPr>
                <w:rFonts w:ascii="Arial" w:hAnsi="Arial" w:cs="Arial"/>
                <w:color w:val="000000"/>
                <w:sz w:val="20"/>
                <w:szCs w:val="20"/>
              </w:rPr>
              <w:t>0.01</w:t>
            </w:r>
          </w:p>
        </w:tc>
      </w:tr>
      <w:tr w:rsidR="001D31B7" w:rsidRPr="003C3A40" w14:paraId="5E152462" w14:textId="77777777" w:rsidTr="00712650">
        <w:trPr>
          <w:trHeight w:val="411"/>
        </w:trPr>
        <w:tc>
          <w:tcPr>
            <w:tcW w:w="993" w:type="dxa"/>
            <w:tcBorders>
              <w:top w:val="single" w:sz="4" w:space="0" w:color="auto"/>
              <w:left w:val="single" w:sz="4" w:space="0" w:color="auto"/>
              <w:bottom w:val="single" w:sz="4" w:space="0" w:color="auto"/>
              <w:right w:val="single" w:sz="4" w:space="0" w:color="auto"/>
            </w:tcBorders>
            <w:hideMark/>
          </w:tcPr>
          <w:p w14:paraId="345AB776" w14:textId="77777777" w:rsidR="001D31B7" w:rsidRPr="003C3A40" w:rsidRDefault="001D31B7" w:rsidP="00245A8B">
            <w:pPr>
              <w:spacing w:line="276" w:lineRule="auto"/>
              <w:jc w:val="center"/>
              <w:rPr>
                <w:rFonts w:ascii="Arial" w:hAnsi="Arial" w:cs="Arial"/>
                <w:sz w:val="20"/>
                <w:szCs w:val="20"/>
                <w:lang w:val="en-US"/>
              </w:rPr>
            </w:pPr>
          </w:p>
        </w:tc>
        <w:tc>
          <w:tcPr>
            <w:tcW w:w="3430" w:type="dxa"/>
            <w:tcBorders>
              <w:top w:val="single" w:sz="4" w:space="0" w:color="auto"/>
              <w:left w:val="single" w:sz="4" w:space="0" w:color="auto"/>
              <w:bottom w:val="single" w:sz="4" w:space="0" w:color="auto"/>
              <w:right w:val="single" w:sz="4" w:space="0" w:color="auto"/>
            </w:tcBorders>
            <w:vAlign w:val="center"/>
          </w:tcPr>
          <w:p w14:paraId="173CF70C" w14:textId="77777777" w:rsidR="001D31B7" w:rsidRPr="003C3A40" w:rsidRDefault="001D31B7" w:rsidP="00245A8B">
            <w:pPr>
              <w:spacing w:line="276" w:lineRule="auto"/>
              <w:jc w:val="right"/>
              <w:rPr>
                <w:rFonts w:ascii="Arial" w:eastAsia="Times New Roman" w:hAnsi="Arial" w:cs="Arial"/>
                <w:kern w:val="0"/>
                <w:sz w:val="20"/>
                <w:szCs w:val="20"/>
                <w:lang w:eastAsia="en-IN" w:bidi="mr-IN"/>
              </w:rPr>
            </w:pPr>
            <w:r w:rsidRPr="003C3A40">
              <w:rPr>
                <w:rFonts w:ascii="Arial" w:hAnsi="Arial" w:cs="Arial"/>
                <w:sz w:val="20"/>
                <w:szCs w:val="20"/>
                <w:lang w:val="en-US"/>
              </w:rPr>
              <w:t>CD (0.05)</w:t>
            </w:r>
          </w:p>
        </w:tc>
        <w:tc>
          <w:tcPr>
            <w:tcW w:w="993" w:type="dxa"/>
            <w:tcBorders>
              <w:top w:val="single" w:sz="4" w:space="0" w:color="auto"/>
              <w:left w:val="single" w:sz="4" w:space="0" w:color="auto"/>
              <w:bottom w:val="single" w:sz="4" w:space="0" w:color="auto"/>
              <w:right w:val="single" w:sz="4" w:space="0" w:color="auto"/>
            </w:tcBorders>
            <w:vAlign w:val="center"/>
          </w:tcPr>
          <w:p w14:paraId="18DE3E49"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NS</w:t>
            </w:r>
          </w:p>
        </w:tc>
        <w:tc>
          <w:tcPr>
            <w:tcW w:w="1559" w:type="dxa"/>
            <w:tcBorders>
              <w:top w:val="single" w:sz="4" w:space="0" w:color="auto"/>
              <w:left w:val="single" w:sz="4" w:space="0" w:color="auto"/>
              <w:bottom w:val="single" w:sz="4" w:space="0" w:color="auto"/>
              <w:right w:val="single" w:sz="4" w:space="0" w:color="auto"/>
            </w:tcBorders>
            <w:vAlign w:val="center"/>
          </w:tcPr>
          <w:p w14:paraId="21082F78"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0.03</w:t>
            </w:r>
          </w:p>
        </w:tc>
        <w:tc>
          <w:tcPr>
            <w:tcW w:w="1134" w:type="dxa"/>
            <w:tcBorders>
              <w:top w:val="single" w:sz="4" w:space="0" w:color="auto"/>
              <w:left w:val="single" w:sz="4" w:space="0" w:color="auto"/>
              <w:bottom w:val="single" w:sz="4" w:space="0" w:color="auto"/>
              <w:right w:val="single" w:sz="4" w:space="0" w:color="auto"/>
            </w:tcBorders>
            <w:vAlign w:val="center"/>
          </w:tcPr>
          <w:p w14:paraId="5211C3DE"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0.03</w:t>
            </w:r>
          </w:p>
        </w:tc>
        <w:tc>
          <w:tcPr>
            <w:tcW w:w="992" w:type="dxa"/>
            <w:tcBorders>
              <w:top w:val="single" w:sz="4" w:space="0" w:color="auto"/>
              <w:left w:val="single" w:sz="4" w:space="0" w:color="auto"/>
              <w:bottom w:val="single" w:sz="4" w:space="0" w:color="auto"/>
              <w:right w:val="single" w:sz="4" w:space="0" w:color="auto"/>
            </w:tcBorders>
            <w:vAlign w:val="center"/>
          </w:tcPr>
          <w:p w14:paraId="0E93FB1C"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0.04</w:t>
            </w:r>
          </w:p>
        </w:tc>
      </w:tr>
      <w:tr w:rsidR="001D31B7" w:rsidRPr="003C3A40" w14:paraId="1586CA3F" w14:textId="77777777" w:rsidTr="00712650">
        <w:trPr>
          <w:trHeight w:val="402"/>
        </w:trPr>
        <w:tc>
          <w:tcPr>
            <w:tcW w:w="993" w:type="dxa"/>
            <w:tcBorders>
              <w:top w:val="single" w:sz="4" w:space="0" w:color="auto"/>
              <w:left w:val="single" w:sz="4" w:space="0" w:color="auto"/>
              <w:bottom w:val="single" w:sz="4" w:space="0" w:color="auto"/>
              <w:right w:val="single" w:sz="4" w:space="0" w:color="auto"/>
            </w:tcBorders>
          </w:tcPr>
          <w:p w14:paraId="6C219AD1" w14:textId="77777777" w:rsidR="001D31B7" w:rsidRPr="003C3A40" w:rsidRDefault="001D31B7" w:rsidP="00245A8B">
            <w:pPr>
              <w:spacing w:line="276" w:lineRule="auto"/>
              <w:jc w:val="center"/>
              <w:rPr>
                <w:rFonts w:ascii="Arial" w:hAnsi="Arial" w:cs="Arial"/>
                <w:sz w:val="20"/>
                <w:szCs w:val="20"/>
                <w:lang w:val="en-US"/>
              </w:rPr>
            </w:pPr>
          </w:p>
        </w:tc>
        <w:tc>
          <w:tcPr>
            <w:tcW w:w="3430" w:type="dxa"/>
            <w:tcBorders>
              <w:top w:val="single" w:sz="4" w:space="0" w:color="auto"/>
              <w:left w:val="single" w:sz="4" w:space="0" w:color="auto"/>
              <w:bottom w:val="single" w:sz="4" w:space="0" w:color="auto"/>
              <w:right w:val="single" w:sz="4" w:space="0" w:color="auto"/>
            </w:tcBorders>
            <w:vAlign w:val="center"/>
          </w:tcPr>
          <w:p w14:paraId="603D2E3F" w14:textId="77777777" w:rsidR="001D31B7" w:rsidRPr="003C3A40" w:rsidRDefault="001D31B7" w:rsidP="00245A8B">
            <w:pPr>
              <w:spacing w:line="276" w:lineRule="auto"/>
              <w:jc w:val="right"/>
              <w:rPr>
                <w:rFonts w:ascii="Arial" w:hAnsi="Arial" w:cs="Arial"/>
                <w:sz w:val="20"/>
                <w:szCs w:val="20"/>
                <w:lang w:val="en-US"/>
              </w:rPr>
            </w:pPr>
            <w:r w:rsidRPr="003C3A40">
              <w:rPr>
                <w:rFonts w:ascii="Arial" w:hAnsi="Arial" w:cs="Arial"/>
                <w:b/>
                <w:bCs/>
                <w:color w:val="000000" w:themeColor="text1"/>
                <w:sz w:val="20"/>
                <w:szCs w:val="20"/>
              </w:rPr>
              <w:t>Initial</w:t>
            </w:r>
          </w:p>
        </w:tc>
        <w:tc>
          <w:tcPr>
            <w:tcW w:w="993" w:type="dxa"/>
            <w:tcBorders>
              <w:top w:val="single" w:sz="4" w:space="0" w:color="auto"/>
              <w:left w:val="single" w:sz="4" w:space="0" w:color="auto"/>
              <w:bottom w:val="single" w:sz="4" w:space="0" w:color="auto"/>
              <w:right w:val="single" w:sz="4" w:space="0" w:color="auto"/>
            </w:tcBorders>
            <w:vAlign w:val="center"/>
          </w:tcPr>
          <w:p w14:paraId="26241D80"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7.80</w:t>
            </w:r>
          </w:p>
        </w:tc>
        <w:tc>
          <w:tcPr>
            <w:tcW w:w="1559" w:type="dxa"/>
            <w:tcBorders>
              <w:top w:val="single" w:sz="4" w:space="0" w:color="auto"/>
              <w:left w:val="single" w:sz="4" w:space="0" w:color="auto"/>
              <w:bottom w:val="single" w:sz="4" w:space="0" w:color="auto"/>
              <w:right w:val="single" w:sz="4" w:space="0" w:color="auto"/>
            </w:tcBorders>
            <w:vAlign w:val="center"/>
          </w:tcPr>
          <w:p w14:paraId="528C7F95"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0.30</w:t>
            </w:r>
          </w:p>
        </w:tc>
        <w:tc>
          <w:tcPr>
            <w:tcW w:w="1134" w:type="dxa"/>
            <w:tcBorders>
              <w:top w:val="single" w:sz="4" w:space="0" w:color="auto"/>
              <w:left w:val="single" w:sz="4" w:space="0" w:color="auto"/>
              <w:bottom w:val="single" w:sz="4" w:space="0" w:color="auto"/>
              <w:right w:val="single" w:sz="4" w:space="0" w:color="auto"/>
            </w:tcBorders>
            <w:vAlign w:val="center"/>
          </w:tcPr>
          <w:p w14:paraId="730746ED"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0.61</w:t>
            </w:r>
          </w:p>
        </w:tc>
        <w:tc>
          <w:tcPr>
            <w:tcW w:w="992" w:type="dxa"/>
            <w:tcBorders>
              <w:top w:val="single" w:sz="4" w:space="0" w:color="auto"/>
              <w:left w:val="single" w:sz="4" w:space="0" w:color="auto"/>
              <w:bottom w:val="single" w:sz="4" w:space="0" w:color="auto"/>
              <w:right w:val="single" w:sz="4" w:space="0" w:color="auto"/>
            </w:tcBorders>
            <w:vAlign w:val="center"/>
          </w:tcPr>
          <w:p w14:paraId="7938DD18" w14:textId="77777777" w:rsidR="001D31B7" w:rsidRPr="003C3A40" w:rsidRDefault="001D31B7"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6.42</w:t>
            </w:r>
          </w:p>
        </w:tc>
      </w:tr>
    </w:tbl>
    <w:p w14:paraId="6F099558" w14:textId="00329D70" w:rsidR="001D31B7" w:rsidRPr="003C3A40" w:rsidRDefault="00ED0DCB" w:rsidP="00B318D4">
      <w:pPr>
        <w:spacing w:before="240" w:after="0"/>
        <w:jc w:val="both"/>
        <w:rPr>
          <w:rFonts w:ascii="Arial" w:hAnsi="Arial" w:cs="Arial"/>
          <w:b/>
          <w:bCs/>
          <w:szCs w:val="22"/>
        </w:rPr>
      </w:pPr>
      <w:r>
        <w:rPr>
          <w:rFonts w:ascii="Arial" w:hAnsi="Arial" w:cs="Arial"/>
          <w:b/>
          <w:bCs/>
          <w:szCs w:val="22"/>
        </w:rPr>
        <w:t xml:space="preserve">3.2.2 </w:t>
      </w:r>
      <w:r w:rsidR="001D31B7" w:rsidRPr="003C3A40">
        <w:rPr>
          <w:rFonts w:ascii="Arial" w:hAnsi="Arial" w:cs="Arial"/>
          <w:b/>
          <w:bCs/>
          <w:szCs w:val="22"/>
        </w:rPr>
        <w:t>Electrical Conductivity of Soil</w:t>
      </w:r>
    </w:p>
    <w:p w14:paraId="5DB35597" w14:textId="1C2A67EB" w:rsidR="001D31B7" w:rsidRPr="003C3A40" w:rsidRDefault="001D31B7" w:rsidP="00245A8B">
      <w:pPr>
        <w:spacing w:after="0"/>
        <w:jc w:val="both"/>
        <w:rPr>
          <w:rFonts w:ascii="Arial" w:hAnsi="Arial" w:cs="Arial"/>
          <w:sz w:val="20"/>
        </w:rPr>
      </w:pPr>
      <w:bookmarkStart w:id="11" w:name="_Hlk170159590"/>
      <w:r w:rsidRPr="003C3A40">
        <w:rPr>
          <w:rFonts w:ascii="Arial" w:hAnsi="Arial" w:cs="Arial"/>
          <w:sz w:val="20"/>
        </w:rPr>
        <w:t>Among different treatments, electrical conductivity of soil was significantly increased in treatment where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was applied (0.40 </w:t>
      </w:r>
      <w:proofErr w:type="spellStart"/>
      <w:r w:rsidRPr="003C3A40">
        <w:rPr>
          <w:rFonts w:ascii="Arial" w:hAnsi="Arial" w:cs="Arial"/>
          <w:sz w:val="20"/>
        </w:rPr>
        <w:t>dS</w:t>
      </w:r>
      <w:proofErr w:type="spellEnd"/>
      <w:r w:rsidRPr="003C3A40">
        <w:rPr>
          <w:rFonts w:ascii="Arial" w:hAnsi="Arial" w:cs="Arial"/>
          <w:sz w:val="20"/>
        </w:rPr>
        <w:t xml:space="preserve"> m</w:t>
      </w:r>
      <w:r w:rsidRPr="003C3A40">
        <w:rPr>
          <w:rFonts w:ascii="Arial" w:hAnsi="Arial" w:cs="Arial"/>
          <w:sz w:val="20"/>
          <w:vertAlign w:val="superscript"/>
        </w:rPr>
        <w:t>-1</w:t>
      </w:r>
      <w:r w:rsidRPr="003C3A40">
        <w:rPr>
          <w:rFonts w:ascii="Arial" w:hAnsi="Arial" w:cs="Arial"/>
          <w:sz w:val="20"/>
        </w:rPr>
        <w:t>). However, it was at par with the treatment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(0.39dS m</w:t>
      </w:r>
      <w:r w:rsidRPr="003C3A40">
        <w:rPr>
          <w:rFonts w:ascii="Arial" w:hAnsi="Arial" w:cs="Arial"/>
          <w:sz w:val="20"/>
          <w:vertAlign w:val="superscript"/>
        </w:rPr>
        <w:t>-1</w:t>
      </w:r>
      <w:r w:rsidRPr="003C3A40">
        <w:rPr>
          <w:rFonts w:ascii="Arial" w:hAnsi="Arial" w:cs="Arial"/>
          <w:sz w:val="20"/>
        </w:rPr>
        <w:t>).</w:t>
      </w:r>
      <w:bookmarkEnd w:id="11"/>
      <w:r w:rsidRPr="003C3A40">
        <w:rPr>
          <w:rFonts w:ascii="Arial" w:hAnsi="Arial" w:cs="Arial"/>
          <w:sz w:val="20"/>
        </w:rPr>
        <w:t xml:space="preserve"> This increase was significantly superior over rest of the treatments. The increase in electrical conductivity of soil due to application of these organic manures might be due to solubilization of salts in soil.</w:t>
      </w:r>
    </w:p>
    <w:p w14:paraId="43E76F2D" w14:textId="4C0AC8D2" w:rsidR="001D31B7" w:rsidRPr="003C3A40" w:rsidRDefault="00ED0DCB" w:rsidP="00245A8B">
      <w:pPr>
        <w:spacing w:after="0"/>
        <w:jc w:val="both"/>
        <w:rPr>
          <w:rFonts w:ascii="Arial" w:hAnsi="Arial" w:cs="Arial"/>
          <w:b/>
          <w:bCs/>
          <w:szCs w:val="22"/>
        </w:rPr>
      </w:pPr>
      <w:r>
        <w:rPr>
          <w:rFonts w:ascii="Arial" w:hAnsi="Arial" w:cs="Arial"/>
          <w:b/>
          <w:bCs/>
          <w:szCs w:val="22"/>
        </w:rPr>
        <w:t xml:space="preserve">3.2.3 </w:t>
      </w:r>
      <w:r w:rsidR="001D31B7" w:rsidRPr="003C3A40">
        <w:rPr>
          <w:rFonts w:ascii="Arial" w:hAnsi="Arial" w:cs="Arial"/>
          <w:b/>
          <w:bCs/>
          <w:szCs w:val="22"/>
        </w:rPr>
        <w:t>Organic Carbon</w:t>
      </w:r>
    </w:p>
    <w:p w14:paraId="20A0EBB7" w14:textId="68EB304A" w:rsidR="001D31B7" w:rsidRPr="003C3A40" w:rsidRDefault="001D31B7" w:rsidP="00245A8B">
      <w:pPr>
        <w:spacing w:after="0"/>
        <w:jc w:val="both"/>
        <w:rPr>
          <w:rFonts w:ascii="Arial" w:hAnsi="Arial" w:cs="Arial"/>
          <w:sz w:val="20"/>
        </w:rPr>
      </w:pPr>
      <w:bookmarkStart w:id="12" w:name="_Hlk170159620"/>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(0.66 %) registered significant higher organic carbon over rest of the treatment except the treatment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(0.64 %). It was also noticed that the application of organic sources </w:t>
      </w:r>
      <w:r w:rsidRPr="003C3A40">
        <w:rPr>
          <w:rFonts w:ascii="Arial" w:hAnsi="Arial" w:cs="Arial"/>
          <w:i/>
          <w:iCs/>
          <w:sz w:val="20"/>
        </w:rPr>
        <w:t>viz.</w:t>
      </w:r>
      <w:r w:rsidRPr="003C3A40">
        <w:rPr>
          <w:rFonts w:ascii="Arial" w:hAnsi="Arial" w:cs="Arial"/>
          <w:sz w:val="20"/>
        </w:rPr>
        <w:t xml:space="preserve"> PROM, FYM and vermicompost significantly increased organic carbon in soil when compared with recommended dose of fertilizer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sz w:val="20"/>
        </w:rPr>
        <w:t xml:space="preserve">) (0.58 %). </w:t>
      </w:r>
      <w:bookmarkEnd w:id="12"/>
      <w:r w:rsidRPr="003C3A40">
        <w:rPr>
          <w:rFonts w:ascii="Arial" w:hAnsi="Arial" w:cs="Arial"/>
          <w:sz w:val="20"/>
        </w:rPr>
        <w:t>This indicated that integration of organic and inorganic fertilizers found beneficial for improving or maintaining organic carbon content in soil. It was interested to note that the application of FYM, vermicompost and PROM found equally effective for maintaining organic carbon content in soil.</w:t>
      </w:r>
    </w:p>
    <w:p w14:paraId="08A62260" w14:textId="7158CB5D" w:rsidR="00733AAC" w:rsidRPr="003C3A40" w:rsidRDefault="001D31B7" w:rsidP="00245A8B">
      <w:pPr>
        <w:spacing w:after="0"/>
        <w:jc w:val="both"/>
        <w:rPr>
          <w:rFonts w:ascii="Arial" w:hAnsi="Arial" w:cs="Arial"/>
          <w:sz w:val="20"/>
        </w:rPr>
      </w:pPr>
      <w:r w:rsidRPr="003C3A40">
        <w:rPr>
          <w:rFonts w:ascii="Arial" w:hAnsi="Arial" w:cs="Arial"/>
          <w:sz w:val="20"/>
        </w:rPr>
        <w:t>The increase in soil organic carbon can be attributed due to the direct addition of organic matter and the subsequent stimulation of microbial activity and biomass production (</w:t>
      </w:r>
      <w:proofErr w:type="spellStart"/>
      <w:r w:rsidRPr="003C3A40">
        <w:rPr>
          <w:rFonts w:ascii="Arial" w:hAnsi="Arial" w:cs="Arial"/>
          <w:sz w:val="20"/>
        </w:rPr>
        <w:t>Babulkar</w:t>
      </w:r>
      <w:proofErr w:type="spellEnd"/>
      <w:r w:rsidR="001318B8" w:rsidRPr="003C3A40">
        <w:rPr>
          <w:rFonts w:ascii="Arial" w:hAnsi="Arial" w:cs="Arial"/>
          <w:sz w:val="20"/>
        </w:rPr>
        <w:t xml:space="preserve"> </w:t>
      </w:r>
      <w:r w:rsidRPr="003C3A40">
        <w:rPr>
          <w:rFonts w:ascii="Arial" w:hAnsi="Arial" w:cs="Arial"/>
          <w:i/>
          <w:iCs/>
          <w:sz w:val="20"/>
        </w:rPr>
        <w:t>et al</w:t>
      </w:r>
      <w:r w:rsidRPr="003C3A40">
        <w:rPr>
          <w:rFonts w:ascii="Arial" w:hAnsi="Arial" w:cs="Arial"/>
          <w:sz w:val="20"/>
        </w:rPr>
        <w:t xml:space="preserve">., 2000). These findings are supported by </w:t>
      </w:r>
      <w:proofErr w:type="spellStart"/>
      <w:r w:rsidRPr="003C3A40">
        <w:rPr>
          <w:rFonts w:ascii="Arial" w:hAnsi="Arial" w:cs="Arial"/>
          <w:sz w:val="20"/>
        </w:rPr>
        <w:t>Yaduvanshi</w:t>
      </w:r>
      <w:proofErr w:type="spellEnd"/>
      <w:r w:rsidRPr="003C3A40">
        <w:rPr>
          <w:rFonts w:ascii="Arial" w:hAnsi="Arial" w:cs="Arial"/>
          <w:sz w:val="20"/>
        </w:rPr>
        <w:t xml:space="preserve"> (2001).</w:t>
      </w:r>
    </w:p>
    <w:p w14:paraId="2E8C8ACC" w14:textId="6E335A2E" w:rsidR="001D31B7" w:rsidRPr="003C3A40" w:rsidRDefault="00ED0DCB" w:rsidP="00245A8B">
      <w:pPr>
        <w:spacing w:after="0"/>
        <w:jc w:val="both"/>
        <w:rPr>
          <w:rFonts w:ascii="Arial" w:hAnsi="Arial" w:cs="Arial"/>
          <w:b/>
          <w:bCs/>
          <w:szCs w:val="22"/>
        </w:rPr>
      </w:pPr>
      <w:r>
        <w:rPr>
          <w:rFonts w:ascii="Arial" w:hAnsi="Arial" w:cs="Arial"/>
          <w:b/>
          <w:bCs/>
          <w:szCs w:val="22"/>
        </w:rPr>
        <w:t xml:space="preserve">3.2.4 </w:t>
      </w:r>
      <w:r w:rsidR="001D31B7" w:rsidRPr="003C3A40">
        <w:rPr>
          <w:rFonts w:ascii="Arial" w:hAnsi="Arial" w:cs="Arial"/>
          <w:b/>
          <w:bCs/>
          <w:szCs w:val="22"/>
        </w:rPr>
        <w:t xml:space="preserve">Calcium Carbonate </w:t>
      </w:r>
    </w:p>
    <w:p w14:paraId="60B584F5" w14:textId="6592FA76" w:rsidR="001D31B7" w:rsidRPr="003C3A40" w:rsidRDefault="001D31B7" w:rsidP="00245A8B">
      <w:pPr>
        <w:spacing w:after="0"/>
        <w:jc w:val="both"/>
        <w:rPr>
          <w:rFonts w:ascii="Arial" w:hAnsi="Arial" w:cs="Arial"/>
          <w:sz w:val="20"/>
        </w:rPr>
      </w:pPr>
      <w:bookmarkStart w:id="13" w:name="_Hlk170159646"/>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showed significantly lower calcium carbonate (6.29%) in soil. This treatment was at par with the treatment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(6.30%). </w:t>
      </w:r>
      <w:bookmarkEnd w:id="13"/>
      <w:r w:rsidRPr="003C3A40">
        <w:rPr>
          <w:rFonts w:ascii="Arial" w:hAnsi="Arial" w:cs="Arial"/>
          <w:sz w:val="20"/>
        </w:rPr>
        <w:t>In general,</w:t>
      </w:r>
      <w:bookmarkStart w:id="14" w:name="_Hlk170159678"/>
      <w:r w:rsidRPr="003C3A40">
        <w:rPr>
          <w:rFonts w:ascii="Arial" w:hAnsi="Arial" w:cs="Arial"/>
          <w:sz w:val="20"/>
        </w:rPr>
        <w:t xml:space="preserve"> it was also observed that the application of organic manure like PROM, FYM and vermicompost found beneficial to reduce calcium carbonate content in soil significantly over the application of chemical fertilizers only (6.42%).</w:t>
      </w:r>
      <w:bookmarkEnd w:id="14"/>
      <w:r w:rsidRPr="003C3A40">
        <w:rPr>
          <w:rFonts w:ascii="Arial" w:hAnsi="Arial" w:cs="Arial"/>
          <w:sz w:val="20"/>
        </w:rPr>
        <w:t xml:space="preserve"> This confirms the beneficial role of organic manure for decreasing calcium carbonate content in soil. This may be because of liberation of different organic acids which are responsible for solubilizing calcium carbonate in soil. </w:t>
      </w:r>
      <w:bookmarkStart w:id="15" w:name="_Hlk170769469"/>
    </w:p>
    <w:p w14:paraId="2EBA8478" w14:textId="5934A07A" w:rsidR="001D31B7" w:rsidRPr="00B318D4" w:rsidRDefault="00ED0DCB" w:rsidP="00245A8B">
      <w:pPr>
        <w:spacing w:after="0"/>
        <w:jc w:val="both"/>
        <w:rPr>
          <w:rFonts w:ascii="Arial" w:hAnsi="Arial" w:cs="Arial"/>
          <w:b/>
          <w:bCs/>
          <w:szCs w:val="22"/>
        </w:rPr>
      </w:pPr>
      <w:bookmarkStart w:id="16" w:name="_Hlk170159709"/>
      <w:bookmarkEnd w:id="15"/>
      <w:r>
        <w:rPr>
          <w:rFonts w:ascii="Arial" w:hAnsi="Arial" w:cs="Arial"/>
          <w:b/>
          <w:bCs/>
          <w:szCs w:val="22"/>
        </w:rPr>
        <w:lastRenderedPageBreak/>
        <w:t xml:space="preserve">3.3 </w:t>
      </w:r>
      <w:r w:rsidR="001D31B7" w:rsidRPr="003C3A40">
        <w:rPr>
          <w:rFonts w:ascii="Arial" w:hAnsi="Arial" w:cs="Arial"/>
          <w:b/>
          <w:bCs/>
          <w:szCs w:val="22"/>
        </w:rPr>
        <w:t xml:space="preserve">Influence of Sources and Level of Phosphorus on Soil </w:t>
      </w:r>
      <w:bookmarkStart w:id="17" w:name="_Hlk169186679"/>
      <w:r w:rsidR="001D31B7" w:rsidRPr="003C3A40">
        <w:rPr>
          <w:rFonts w:ascii="Arial" w:hAnsi="Arial" w:cs="Arial"/>
          <w:b/>
          <w:bCs/>
          <w:szCs w:val="22"/>
        </w:rPr>
        <w:t>Available Macro</w:t>
      </w:r>
      <w:r w:rsidR="00323D24" w:rsidRPr="003C3A40">
        <w:rPr>
          <w:rFonts w:ascii="Arial" w:hAnsi="Arial" w:cs="Arial"/>
          <w:b/>
          <w:bCs/>
          <w:szCs w:val="22"/>
        </w:rPr>
        <w:t xml:space="preserve"> and micro</w:t>
      </w:r>
      <w:r w:rsidR="001D31B7" w:rsidRPr="003C3A40">
        <w:rPr>
          <w:rFonts w:ascii="Arial" w:hAnsi="Arial" w:cs="Arial"/>
          <w:b/>
          <w:bCs/>
          <w:szCs w:val="22"/>
        </w:rPr>
        <w:t xml:space="preserve">nutrients </w:t>
      </w:r>
      <w:bookmarkEnd w:id="17"/>
      <w:r w:rsidR="001D31B7" w:rsidRPr="003C3A40">
        <w:rPr>
          <w:rFonts w:ascii="Arial" w:hAnsi="Arial" w:cs="Arial"/>
          <w:b/>
          <w:bCs/>
          <w:szCs w:val="22"/>
        </w:rPr>
        <w:t>after Harvest of</w:t>
      </w:r>
      <w:r w:rsidR="00733AAC" w:rsidRPr="003C3A40">
        <w:rPr>
          <w:rFonts w:ascii="Arial" w:hAnsi="Arial" w:cs="Arial"/>
          <w:b/>
          <w:bCs/>
          <w:szCs w:val="22"/>
        </w:rPr>
        <w:t xml:space="preserve"> </w:t>
      </w:r>
      <w:r w:rsidR="001D31B7" w:rsidRPr="003C3A40">
        <w:rPr>
          <w:rFonts w:ascii="Arial" w:hAnsi="Arial" w:cs="Arial"/>
          <w:b/>
          <w:bCs/>
          <w:szCs w:val="22"/>
        </w:rPr>
        <w:t>Soybean</w:t>
      </w:r>
      <w:r w:rsidR="00D73953" w:rsidRPr="003C3A40">
        <w:rPr>
          <w:rFonts w:ascii="Arial" w:hAnsi="Arial" w:cs="Arial"/>
          <w:b/>
          <w:bCs/>
          <w:szCs w:val="22"/>
        </w:rPr>
        <w:t xml:space="preserve"> </w:t>
      </w:r>
      <w:r w:rsidR="00D73953" w:rsidRPr="00B318D4">
        <w:rPr>
          <w:rFonts w:ascii="Arial" w:hAnsi="Arial" w:cs="Arial"/>
          <w:b/>
          <w:bCs/>
          <w:szCs w:val="22"/>
        </w:rPr>
        <w:t>(Table 4)</w:t>
      </w:r>
    </w:p>
    <w:bookmarkEnd w:id="16"/>
    <w:p w14:paraId="68224103" w14:textId="592AAD34" w:rsidR="001D31B7" w:rsidRPr="00B318D4" w:rsidRDefault="00ED0DCB" w:rsidP="00245A8B">
      <w:pPr>
        <w:spacing w:after="0"/>
        <w:jc w:val="both"/>
        <w:rPr>
          <w:rFonts w:ascii="Arial" w:hAnsi="Arial" w:cs="Arial"/>
          <w:b/>
          <w:bCs/>
          <w:szCs w:val="22"/>
        </w:rPr>
      </w:pPr>
      <w:r w:rsidRPr="00B318D4">
        <w:rPr>
          <w:rFonts w:ascii="Arial" w:hAnsi="Arial" w:cs="Arial"/>
          <w:b/>
          <w:bCs/>
          <w:szCs w:val="22"/>
        </w:rPr>
        <w:t xml:space="preserve">3.3.1 </w:t>
      </w:r>
      <w:r w:rsidR="001D31B7" w:rsidRPr="00B318D4">
        <w:rPr>
          <w:rFonts w:ascii="Arial" w:hAnsi="Arial" w:cs="Arial"/>
          <w:b/>
          <w:bCs/>
          <w:szCs w:val="22"/>
        </w:rPr>
        <w:t>Available Nitrogen</w:t>
      </w:r>
    </w:p>
    <w:p w14:paraId="052502CF" w14:textId="77777777" w:rsidR="001D31B7" w:rsidRPr="003C3A40" w:rsidRDefault="001D31B7" w:rsidP="0080178E">
      <w:pPr>
        <w:spacing w:after="0"/>
        <w:jc w:val="both"/>
        <w:rPr>
          <w:rFonts w:ascii="Arial" w:hAnsi="Arial" w:cs="Arial"/>
          <w:color w:val="0D0D0D" w:themeColor="text1" w:themeTint="F2"/>
          <w:sz w:val="20"/>
        </w:rPr>
      </w:pPr>
      <w:r w:rsidRPr="003C3A40">
        <w:rPr>
          <w:rFonts w:ascii="Arial" w:hAnsi="Arial" w:cs="Arial"/>
          <w:sz w:val="20"/>
        </w:rPr>
        <w:t xml:space="preserve">The data on soil available nitrogen content revealed a statistically significant effect due to the application of phosphorus (P) at different </w:t>
      </w:r>
      <w:r w:rsidRPr="003C3A40">
        <w:rPr>
          <w:rFonts w:ascii="Arial" w:hAnsi="Arial" w:cs="Arial"/>
          <w:color w:val="0D0D0D" w:themeColor="text1" w:themeTint="F2"/>
          <w:sz w:val="20"/>
        </w:rPr>
        <w:t xml:space="preserve">levels and from different sources. Notably, </w:t>
      </w:r>
      <w:bookmarkStart w:id="18" w:name="_Hlk170159729"/>
      <w:r w:rsidRPr="003C3A40">
        <w:rPr>
          <w:rFonts w:ascii="Arial" w:hAnsi="Arial" w:cs="Arial"/>
          <w:color w:val="0D0D0D" w:themeColor="text1" w:themeTint="F2"/>
          <w:sz w:val="20"/>
        </w:rPr>
        <w:t>the treatment 100%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 xml:space="preserve">5 </w:t>
      </w:r>
      <w:r w:rsidRPr="003C3A40">
        <w:rPr>
          <w:rFonts w:ascii="Arial" w:hAnsi="Arial" w:cs="Arial"/>
          <w:color w:val="0D0D0D" w:themeColor="text1" w:themeTint="F2"/>
          <w:sz w:val="20"/>
        </w:rPr>
        <w:t>through SSP + FYM @12.5 kg ha</w:t>
      </w:r>
      <w:r w:rsidRPr="003C3A40">
        <w:rPr>
          <w:rFonts w:ascii="Arial" w:hAnsi="Arial" w:cs="Arial"/>
          <w:color w:val="0D0D0D" w:themeColor="text1" w:themeTint="F2"/>
          <w:sz w:val="20"/>
          <w:vertAlign w:val="superscript"/>
        </w:rPr>
        <w:t xml:space="preserve">-1 </w:t>
      </w:r>
      <w:r w:rsidRPr="003C3A40">
        <w:rPr>
          <w:rFonts w:ascii="Arial" w:hAnsi="Arial" w:cs="Arial"/>
          <w:color w:val="0D0D0D" w:themeColor="text1" w:themeTint="F2"/>
          <w:sz w:val="20"/>
        </w:rPr>
        <w:t>(297.33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exhibited the higher available nitrogen content compared to all other treatments, with the exception of the treatment receiving 100%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vermicompost (295.67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and 100%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DAP + FYM @12.5 t ha</w:t>
      </w:r>
      <w:r w:rsidRPr="003C3A40">
        <w:rPr>
          <w:rFonts w:ascii="Arial" w:hAnsi="Arial" w:cs="Arial"/>
          <w:color w:val="0D0D0D" w:themeColor="text1" w:themeTint="F2"/>
          <w:sz w:val="20"/>
          <w:vertAlign w:val="superscript"/>
        </w:rPr>
        <w:t xml:space="preserve">-1 </w:t>
      </w:r>
      <w:r w:rsidRPr="003C3A40">
        <w:rPr>
          <w:rFonts w:ascii="Arial" w:hAnsi="Arial" w:cs="Arial"/>
          <w:color w:val="0D0D0D" w:themeColor="text1" w:themeTint="F2"/>
          <w:sz w:val="20"/>
        </w:rPr>
        <w:t>(293.67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xml:space="preserve">). </w:t>
      </w:r>
      <w:bookmarkStart w:id="19" w:name="_Hlk171330839"/>
      <w:r w:rsidRPr="003C3A40">
        <w:rPr>
          <w:rFonts w:ascii="Arial" w:hAnsi="Arial" w:cs="Arial"/>
          <w:color w:val="0D0D0D" w:themeColor="text1" w:themeTint="F2"/>
          <w:sz w:val="20"/>
        </w:rPr>
        <w:t>It was also noticed that the treatment 100%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PROM (287.33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75%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PROM (284.00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and 50% 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color w:val="0D0D0D" w:themeColor="text1" w:themeTint="F2"/>
          <w:sz w:val="20"/>
        </w:rPr>
        <w:t xml:space="preserve"> through PROM (273.67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xml:space="preserve">) were superior over recommended dose of fertilizer - 50:75:45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D0D0D" w:themeColor="text1" w:themeTint="F2"/>
          <w:sz w:val="20"/>
        </w:rPr>
        <w:t xml:space="preserve"> (265.33 kg ha</w:t>
      </w:r>
      <w:r w:rsidRPr="003C3A40">
        <w:rPr>
          <w:rFonts w:ascii="Arial" w:hAnsi="Arial" w:cs="Arial"/>
          <w:color w:val="0D0D0D" w:themeColor="text1" w:themeTint="F2"/>
          <w:sz w:val="20"/>
          <w:vertAlign w:val="superscript"/>
        </w:rPr>
        <w:t>-1</w:t>
      </w:r>
      <w:r w:rsidRPr="003C3A40">
        <w:rPr>
          <w:rFonts w:ascii="Arial" w:hAnsi="Arial" w:cs="Arial"/>
          <w:color w:val="0D0D0D" w:themeColor="text1" w:themeTint="F2"/>
          <w:sz w:val="20"/>
        </w:rPr>
        <w:t>) as far as availability of nitrogen is concerned.</w:t>
      </w:r>
      <w:bookmarkEnd w:id="18"/>
      <w:bookmarkEnd w:id="19"/>
      <w:r w:rsidRPr="003C3A40">
        <w:rPr>
          <w:rFonts w:ascii="Arial" w:hAnsi="Arial" w:cs="Arial"/>
          <w:color w:val="0D0D0D" w:themeColor="text1" w:themeTint="F2"/>
          <w:sz w:val="20"/>
        </w:rPr>
        <w:t xml:space="preserve"> This increase in content of available nitrogen in soil due to application of PROM, FYM and vermicompost might be attributed to increase in microbial activities in soil which are responsible for release of nutrients in soil.</w:t>
      </w:r>
    </w:p>
    <w:p w14:paraId="52684271" w14:textId="4EE5BF0E" w:rsidR="001D31B7" w:rsidRPr="003C3A40" w:rsidRDefault="00ED0DCB" w:rsidP="00245A8B">
      <w:pPr>
        <w:spacing w:after="0"/>
        <w:jc w:val="both"/>
        <w:rPr>
          <w:rFonts w:ascii="Arial" w:hAnsi="Arial" w:cs="Arial"/>
          <w:b/>
          <w:bCs/>
          <w:color w:val="0D0D0D" w:themeColor="text1" w:themeTint="F2"/>
          <w:szCs w:val="22"/>
        </w:rPr>
      </w:pPr>
      <w:r>
        <w:rPr>
          <w:rFonts w:ascii="Arial" w:hAnsi="Arial" w:cs="Arial"/>
          <w:b/>
          <w:bCs/>
          <w:color w:val="0D0D0D" w:themeColor="text1" w:themeTint="F2"/>
          <w:szCs w:val="22"/>
        </w:rPr>
        <w:t xml:space="preserve">3.3.2 </w:t>
      </w:r>
      <w:r w:rsidR="001D31B7" w:rsidRPr="003C3A40">
        <w:rPr>
          <w:rFonts w:ascii="Arial" w:hAnsi="Arial" w:cs="Arial"/>
          <w:b/>
          <w:bCs/>
          <w:color w:val="0D0D0D" w:themeColor="text1" w:themeTint="F2"/>
          <w:szCs w:val="22"/>
        </w:rPr>
        <w:t xml:space="preserve">Available Phosphorus </w:t>
      </w:r>
    </w:p>
    <w:p w14:paraId="04C9C0A5" w14:textId="77777777" w:rsidR="001D31B7" w:rsidRDefault="001D31B7" w:rsidP="00245A8B">
      <w:pPr>
        <w:spacing w:after="0"/>
        <w:jc w:val="both"/>
        <w:rPr>
          <w:rFonts w:ascii="Arial" w:hAnsi="Arial" w:cs="Arial"/>
          <w:sz w:val="20"/>
        </w:rPr>
      </w:pPr>
      <w:r w:rsidRPr="003C3A40">
        <w:rPr>
          <w:rFonts w:ascii="Arial" w:hAnsi="Arial" w:cs="Arial"/>
          <w:sz w:val="20"/>
        </w:rPr>
        <w:t xml:space="preserve">The data registered on available phosphorus showed a significant change due to the different levels and sources of phosphorus to soybean crop. </w:t>
      </w:r>
      <w:bookmarkStart w:id="20" w:name="_Hlk170159862"/>
      <w:r w:rsidRPr="003C3A40">
        <w:rPr>
          <w:rFonts w:ascii="Arial" w:hAnsi="Arial" w:cs="Arial"/>
          <w:sz w:val="20"/>
        </w:rPr>
        <w:t xml:space="preserve">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DAP + FYM @12.5 t ha</w:t>
      </w:r>
      <w:r w:rsidRPr="003C3A40">
        <w:rPr>
          <w:rFonts w:ascii="Arial" w:hAnsi="Arial" w:cs="Arial"/>
          <w:sz w:val="20"/>
          <w:vertAlign w:val="superscript"/>
        </w:rPr>
        <w:t>-1</w:t>
      </w:r>
      <w:r w:rsidRPr="003C3A40">
        <w:rPr>
          <w:rFonts w:ascii="Arial" w:hAnsi="Arial" w:cs="Arial"/>
          <w:sz w:val="20"/>
        </w:rPr>
        <w:t xml:space="preserve"> resulted in a significantly higher level of available phosphorus, reaching 41.33 kg ha</w:t>
      </w:r>
      <w:r w:rsidRPr="003C3A40">
        <w:rPr>
          <w:rFonts w:ascii="Arial" w:hAnsi="Arial" w:cs="Arial"/>
          <w:sz w:val="20"/>
          <w:vertAlign w:val="superscript"/>
        </w:rPr>
        <w:t>-1</w:t>
      </w:r>
      <w:r w:rsidRPr="003C3A40">
        <w:rPr>
          <w:rFonts w:ascii="Arial" w:hAnsi="Arial" w:cs="Arial"/>
          <w:sz w:val="20"/>
        </w:rPr>
        <w:t xml:space="preserve">, but was at par with 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SSP + FYM @12.5 t ha</w:t>
      </w:r>
      <w:r w:rsidRPr="003C3A40">
        <w:rPr>
          <w:rFonts w:ascii="Arial" w:hAnsi="Arial" w:cs="Arial"/>
          <w:sz w:val="20"/>
          <w:vertAlign w:val="superscript"/>
        </w:rPr>
        <w:t>-1</w:t>
      </w:r>
      <w:r w:rsidRPr="003C3A40">
        <w:rPr>
          <w:rFonts w:ascii="Arial" w:hAnsi="Arial" w:cs="Arial"/>
          <w:sz w:val="20"/>
        </w:rPr>
        <w:t>, reaching 39.33 kg ha</w:t>
      </w:r>
      <w:r w:rsidRPr="003C3A40">
        <w:rPr>
          <w:rFonts w:ascii="Arial" w:hAnsi="Arial" w:cs="Arial"/>
          <w:sz w:val="20"/>
          <w:vertAlign w:val="superscript"/>
        </w:rPr>
        <w:t>-1</w:t>
      </w:r>
      <w:r w:rsidRPr="003C3A40">
        <w:rPr>
          <w:rFonts w:ascii="Arial" w:hAnsi="Arial" w:cs="Arial"/>
          <w:sz w:val="20"/>
        </w:rPr>
        <w:t xml:space="preserve">. It was also noted that 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PROM (37.33 kg ha</w:t>
      </w:r>
      <w:r w:rsidRPr="003C3A40">
        <w:rPr>
          <w:rFonts w:ascii="Arial" w:hAnsi="Arial" w:cs="Arial"/>
          <w:sz w:val="20"/>
          <w:vertAlign w:val="superscript"/>
        </w:rPr>
        <w:t>-1</w:t>
      </w:r>
      <w:r w:rsidRPr="003C3A40">
        <w:rPr>
          <w:rFonts w:ascii="Arial" w:hAnsi="Arial" w:cs="Arial"/>
          <w:sz w:val="20"/>
        </w:rPr>
        <w:t xml:space="preserve">) and 75%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PROM (30.67 kg ha</w:t>
      </w:r>
      <w:r w:rsidRPr="003C3A40">
        <w:rPr>
          <w:rFonts w:ascii="Arial" w:hAnsi="Arial" w:cs="Arial"/>
          <w:sz w:val="20"/>
          <w:vertAlign w:val="superscript"/>
        </w:rPr>
        <w:t>-1</w:t>
      </w:r>
      <w:r w:rsidRPr="003C3A40">
        <w:rPr>
          <w:rFonts w:ascii="Arial" w:hAnsi="Arial" w:cs="Arial"/>
          <w:sz w:val="20"/>
        </w:rPr>
        <w:t xml:space="preserve">) were significantly superior over the recommended dose of fertilizer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D0D0D" w:themeColor="text1" w:themeTint="F2"/>
          <w:sz w:val="20"/>
        </w:rPr>
        <w:t>)</w:t>
      </w:r>
      <w:r w:rsidRPr="003C3A40">
        <w:rPr>
          <w:rFonts w:ascii="Arial" w:hAnsi="Arial" w:cs="Arial"/>
          <w:sz w:val="20"/>
        </w:rPr>
        <w:t xml:space="preserve"> (27.67 kg ha</w:t>
      </w:r>
      <w:r w:rsidRPr="003C3A40">
        <w:rPr>
          <w:rFonts w:ascii="Arial" w:hAnsi="Arial" w:cs="Arial"/>
          <w:sz w:val="20"/>
          <w:vertAlign w:val="superscript"/>
        </w:rPr>
        <w:t>-1</w:t>
      </w:r>
      <w:r w:rsidRPr="003C3A40">
        <w:rPr>
          <w:rFonts w:ascii="Arial" w:hAnsi="Arial" w:cs="Arial"/>
          <w:sz w:val="20"/>
        </w:rPr>
        <w:t xml:space="preserve">). The application of 100% </w:t>
      </w:r>
      <w:r w:rsidRPr="003C3A40">
        <w:rPr>
          <w:rFonts w:ascii="Arial" w:hAnsi="Arial" w:cs="Arial"/>
          <w:color w:val="0D0D0D" w:themeColor="text1" w:themeTint="F2"/>
          <w:sz w:val="20"/>
        </w:rPr>
        <w:t>P</w:t>
      </w:r>
      <w:r w:rsidRPr="003C3A40">
        <w:rPr>
          <w:rFonts w:ascii="Arial" w:hAnsi="Arial" w:cs="Arial"/>
          <w:color w:val="0D0D0D" w:themeColor="text1" w:themeTint="F2"/>
          <w:sz w:val="20"/>
          <w:vertAlign w:val="subscript"/>
        </w:rPr>
        <w:t>2</w:t>
      </w:r>
      <w:r w:rsidRPr="003C3A40">
        <w:rPr>
          <w:rFonts w:ascii="Arial" w:hAnsi="Arial" w:cs="Arial"/>
          <w:color w:val="0D0D0D" w:themeColor="text1" w:themeTint="F2"/>
          <w:sz w:val="20"/>
        </w:rPr>
        <w:t>O</w:t>
      </w:r>
      <w:r w:rsidRPr="003C3A40">
        <w:rPr>
          <w:rFonts w:ascii="Arial" w:hAnsi="Arial" w:cs="Arial"/>
          <w:color w:val="0D0D0D" w:themeColor="text1" w:themeTint="F2"/>
          <w:sz w:val="20"/>
          <w:vertAlign w:val="subscript"/>
        </w:rPr>
        <w:t>5</w:t>
      </w:r>
      <w:r w:rsidRPr="003C3A40">
        <w:rPr>
          <w:rFonts w:ascii="Arial" w:hAnsi="Arial" w:cs="Arial"/>
          <w:sz w:val="20"/>
        </w:rPr>
        <w:t xml:space="preserve"> through PROM could improve available phosphorus status (37.33 kg ha</w:t>
      </w:r>
      <w:r w:rsidRPr="003C3A40">
        <w:rPr>
          <w:rFonts w:ascii="Arial" w:hAnsi="Arial" w:cs="Arial"/>
          <w:sz w:val="20"/>
          <w:vertAlign w:val="superscript"/>
        </w:rPr>
        <w:t>-1</w:t>
      </w:r>
      <w:r w:rsidRPr="003C3A40">
        <w:rPr>
          <w:rFonts w:ascii="Arial" w:hAnsi="Arial" w:cs="Arial"/>
          <w:sz w:val="20"/>
        </w:rPr>
        <w:t>) in soil when compared with RDF (27.67 kg ha</w:t>
      </w:r>
      <w:r w:rsidRPr="003C3A40">
        <w:rPr>
          <w:rFonts w:ascii="Arial" w:hAnsi="Arial" w:cs="Arial"/>
          <w:sz w:val="20"/>
          <w:vertAlign w:val="superscript"/>
        </w:rPr>
        <w:t>-1</w:t>
      </w:r>
      <w:r w:rsidRPr="003C3A40">
        <w:rPr>
          <w:rFonts w:ascii="Arial" w:hAnsi="Arial" w:cs="Arial"/>
          <w:sz w:val="20"/>
        </w:rPr>
        <w:t>).</w:t>
      </w:r>
    </w:p>
    <w:p w14:paraId="59F3E0AB" w14:textId="67CE8BB2" w:rsidR="003C3A40" w:rsidRPr="00ED0DCB" w:rsidRDefault="00ED0DCB" w:rsidP="003C3A40">
      <w:pPr>
        <w:spacing w:after="0"/>
        <w:jc w:val="both"/>
        <w:rPr>
          <w:rFonts w:ascii="Arial" w:hAnsi="Arial" w:cs="Arial"/>
          <w:b/>
          <w:bCs/>
          <w:szCs w:val="22"/>
        </w:rPr>
      </w:pPr>
      <w:r>
        <w:rPr>
          <w:rFonts w:ascii="Arial" w:hAnsi="Arial" w:cs="Arial"/>
          <w:b/>
          <w:bCs/>
          <w:szCs w:val="22"/>
        </w:rPr>
        <w:t xml:space="preserve">3.3.3 </w:t>
      </w:r>
      <w:r w:rsidR="003C3A40" w:rsidRPr="00ED0DCB">
        <w:rPr>
          <w:rFonts w:ascii="Arial" w:hAnsi="Arial" w:cs="Arial"/>
          <w:b/>
          <w:bCs/>
          <w:szCs w:val="22"/>
        </w:rPr>
        <w:t xml:space="preserve">Available Potassium </w:t>
      </w:r>
    </w:p>
    <w:p w14:paraId="7BFEEA37" w14:textId="77777777" w:rsidR="003C3A40" w:rsidRDefault="003C3A40" w:rsidP="003C3A40">
      <w:pPr>
        <w:spacing w:after="0"/>
        <w:jc w:val="both"/>
        <w:rPr>
          <w:rFonts w:ascii="Arial" w:hAnsi="Arial" w:cs="Arial"/>
          <w:sz w:val="20"/>
        </w:rPr>
      </w:pPr>
      <w:r w:rsidRPr="003C3A40">
        <w:rPr>
          <w:rFonts w:ascii="Arial" w:hAnsi="Arial" w:cs="Arial"/>
          <w:sz w:val="20"/>
        </w:rPr>
        <w:t>The application of 100%P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through DAP + FYM @12.5 t ha</w:t>
      </w:r>
      <w:r w:rsidRPr="003C3A40">
        <w:rPr>
          <w:rFonts w:ascii="Arial" w:hAnsi="Arial" w:cs="Arial"/>
          <w:sz w:val="20"/>
          <w:vertAlign w:val="superscript"/>
        </w:rPr>
        <w:t xml:space="preserve">-1 </w:t>
      </w:r>
      <w:r w:rsidRPr="003C3A40">
        <w:rPr>
          <w:rFonts w:ascii="Arial" w:hAnsi="Arial" w:cs="Arial"/>
          <w:sz w:val="20"/>
        </w:rPr>
        <w:t>had registered significantly higher available potassium (745.33 kg ha</w:t>
      </w:r>
      <w:r w:rsidRPr="003C3A40">
        <w:rPr>
          <w:rFonts w:ascii="Arial" w:hAnsi="Arial" w:cs="Arial"/>
          <w:sz w:val="20"/>
          <w:vertAlign w:val="superscript"/>
        </w:rPr>
        <w:t>-1</w:t>
      </w:r>
      <w:r w:rsidRPr="003C3A40">
        <w:rPr>
          <w:rFonts w:ascii="Arial" w:hAnsi="Arial" w:cs="Arial"/>
          <w:sz w:val="20"/>
        </w:rPr>
        <w:t>) but was at par with treatment 100%P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SSP+FYM @12.5 t ha</w:t>
      </w:r>
      <w:r w:rsidRPr="003C3A40">
        <w:rPr>
          <w:rFonts w:ascii="Arial" w:hAnsi="Arial" w:cs="Arial"/>
          <w:sz w:val="20"/>
          <w:vertAlign w:val="superscript"/>
        </w:rPr>
        <w:t xml:space="preserve">-1 </w:t>
      </w:r>
      <w:r w:rsidRPr="003C3A40">
        <w:rPr>
          <w:rFonts w:ascii="Arial" w:hAnsi="Arial" w:cs="Arial"/>
          <w:sz w:val="20"/>
        </w:rPr>
        <w:t>(744.67 kg ha</w:t>
      </w:r>
      <w:r w:rsidRPr="003C3A40">
        <w:rPr>
          <w:rFonts w:ascii="Arial" w:hAnsi="Arial" w:cs="Arial"/>
          <w:sz w:val="20"/>
          <w:vertAlign w:val="superscript"/>
        </w:rPr>
        <w:t>-1</w:t>
      </w:r>
      <w:r w:rsidRPr="003C3A40">
        <w:rPr>
          <w:rFonts w:ascii="Arial" w:hAnsi="Arial" w:cs="Arial"/>
          <w:sz w:val="20"/>
        </w:rPr>
        <w:t>). Further, it was also noticed that the application of PROM at all levels significantly increased availability of potassium in soil compared with RDF (709.00 kg ha</w:t>
      </w:r>
      <w:r w:rsidRPr="003C3A40">
        <w:rPr>
          <w:rFonts w:ascii="Arial" w:hAnsi="Arial" w:cs="Arial"/>
          <w:sz w:val="20"/>
          <w:vertAlign w:val="superscript"/>
        </w:rPr>
        <w:t>-1</w:t>
      </w:r>
      <w:r w:rsidRPr="003C3A40">
        <w:rPr>
          <w:rFonts w:ascii="Arial" w:hAnsi="Arial" w:cs="Arial"/>
          <w:sz w:val="20"/>
        </w:rPr>
        <w:t>). It was also recorded that all the treatment with combination of organic manure and inorganic fertilizers and all levels of PROM were significantly superior over recommended dose of fertilizer (50:75:45 kg ha</w:t>
      </w:r>
      <w:r w:rsidRPr="003C3A40">
        <w:rPr>
          <w:rFonts w:ascii="Arial" w:hAnsi="Arial" w:cs="Arial"/>
          <w:sz w:val="20"/>
          <w:vertAlign w:val="superscript"/>
        </w:rPr>
        <w:t>-1</w:t>
      </w:r>
      <w:r w:rsidRPr="003C3A40">
        <w:rPr>
          <w:rFonts w:ascii="Arial" w:hAnsi="Arial" w:cs="Arial"/>
          <w:sz w:val="20"/>
        </w:rPr>
        <w:t xml:space="preserve"> N: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K</w:t>
      </w:r>
      <w:r w:rsidRPr="003C3A40">
        <w:rPr>
          <w:rFonts w:ascii="Arial" w:hAnsi="Arial" w:cs="Arial"/>
          <w:sz w:val="20"/>
          <w:vertAlign w:val="subscript"/>
        </w:rPr>
        <w:t>2</w:t>
      </w:r>
      <w:r w:rsidRPr="003C3A40">
        <w:rPr>
          <w:rFonts w:ascii="Arial" w:hAnsi="Arial" w:cs="Arial"/>
          <w:sz w:val="20"/>
        </w:rPr>
        <w:t>O) (709.00 kg ha</w:t>
      </w:r>
      <w:r w:rsidRPr="003C3A40">
        <w:rPr>
          <w:rFonts w:ascii="Arial" w:hAnsi="Arial" w:cs="Arial"/>
          <w:sz w:val="20"/>
          <w:vertAlign w:val="superscript"/>
        </w:rPr>
        <w:t>-1</w:t>
      </w:r>
      <w:r w:rsidRPr="003C3A40">
        <w:rPr>
          <w:rFonts w:ascii="Arial" w:hAnsi="Arial" w:cs="Arial"/>
          <w:sz w:val="20"/>
        </w:rPr>
        <w:t xml:space="preserve">) to soybean crop. </w:t>
      </w:r>
    </w:p>
    <w:p w14:paraId="363761E7" w14:textId="77777777" w:rsidR="00B14AE5" w:rsidRDefault="00B14AE5" w:rsidP="003C3A40">
      <w:pPr>
        <w:spacing w:after="0"/>
        <w:jc w:val="both"/>
        <w:rPr>
          <w:rFonts w:ascii="Arial" w:hAnsi="Arial" w:cs="Arial"/>
          <w:sz w:val="20"/>
        </w:rPr>
      </w:pPr>
    </w:p>
    <w:p w14:paraId="56505482" w14:textId="77777777" w:rsidR="00B14AE5" w:rsidRDefault="00B14AE5" w:rsidP="003C3A40">
      <w:pPr>
        <w:spacing w:after="0"/>
        <w:jc w:val="both"/>
        <w:rPr>
          <w:rFonts w:ascii="Arial" w:hAnsi="Arial" w:cs="Arial"/>
          <w:sz w:val="20"/>
        </w:rPr>
      </w:pPr>
    </w:p>
    <w:p w14:paraId="008DDDD8" w14:textId="77777777" w:rsidR="00B14AE5" w:rsidRDefault="00B14AE5" w:rsidP="003C3A40">
      <w:pPr>
        <w:spacing w:after="0"/>
        <w:jc w:val="both"/>
        <w:rPr>
          <w:rFonts w:ascii="Arial" w:hAnsi="Arial" w:cs="Arial"/>
          <w:sz w:val="20"/>
        </w:rPr>
      </w:pPr>
    </w:p>
    <w:p w14:paraId="3A511FB3" w14:textId="77777777" w:rsidR="00B14AE5" w:rsidRPr="003C3A40" w:rsidRDefault="00B14AE5" w:rsidP="003C3A40">
      <w:pPr>
        <w:spacing w:after="0"/>
        <w:jc w:val="both"/>
        <w:rPr>
          <w:rFonts w:ascii="Arial" w:hAnsi="Arial" w:cs="Arial"/>
          <w:sz w:val="20"/>
        </w:rPr>
      </w:pPr>
    </w:p>
    <w:p w14:paraId="6CD6E65F" w14:textId="77777777" w:rsidR="003C3A40" w:rsidRPr="003C3A40" w:rsidRDefault="003C3A40" w:rsidP="00245A8B">
      <w:pPr>
        <w:spacing w:after="0"/>
        <w:jc w:val="both"/>
        <w:rPr>
          <w:rFonts w:ascii="Arial" w:hAnsi="Arial" w:cs="Arial"/>
          <w:sz w:val="20"/>
        </w:rPr>
      </w:pPr>
    </w:p>
    <w:bookmarkEnd w:id="20"/>
    <w:p w14:paraId="1E1CE9EC" w14:textId="0A12CD10" w:rsidR="001D31B7" w:rsidRPr="00ED0DCB" w:rsidRDefault="001D31B7" w:rsidP="00323D24">
      <w:pPr>
        <w:spacing w:after="0"/>
        <w:ind w:left="709" w:right="-46" w:hanging="731"/>
        <w:rPr>
          <w:rFonts w:ascii="Arial" w:hAnsi="Arial" w:cs="Arial"/>
          <w:b/>
          <w:bCs/>
          <w:szCs w:val="22"/>
        </w:rPr>
      </w:pPr>
      <w:r w:rsidRPr="00ED0DCB">
        <w:rPr>
          <w:rFonts w:ascii="Arial" w:hAnsi="Arial" w:cs="Arial"/>
          <w:b/>
          <w:bCs/>
          <w:szCs w:val="22"/>
        </w:rPr>
        <w:t>Table 4</w:t>
      </w:r>
      <w:r w:rsidR="00ED0DCB">
        <w:rPr>
          <w:rFonts w:ascii="Arial" w:hAnsi="Arial" w:cs="Arial"/>
          <w:b/>
          <w:bCs/>
          <w:szCs w:val="22"/>
        </w:rPr>
        <w:t xml:space="preserve"> </w:t>
      </w:r>
      <w:r w:rsidRPr="00ED0DCB">
        <w:rPr>
          <w:rFonts w:ascii="Arial" w:hAnsi="Arial" w:cs="Arial"/>
          <w:b/>
          <w:bCs/>
          <w:szCs w:val="22"/>
        </w:rPr>
        <w:t>Influence of sources and levels of phosphorus on soil available macro</w:t>
      </w:r>
      <w:r w:rsidR="00323D24" w:rsidRPr="00ED0DCB">
        <w:rPr>
          <w:rFonts w:ascii="Arial" w:hAnsi="Arial" w:cs="Arial"/>
          <w:b/>
          <w:bCs/>
          <w:szCs w:val="22"/>
        </w:rPr>
        <w:t xml:space="preserve"> and micro</w:t>
      </w:r>
      <w:r w:rsidRPr="00ED0DCB">
        <w:rPr>
          <w:rFonts w:ascii="Arial" w:hAnsi="Arial" w:cs="Arial"/>
          <w:b/>
          <w:bCs/>
          <w:szCs w:val="22"/>
        </w:rPr>
        <w:t>nutrients after harvest of soybean</w:t>
      </w:r>
    </w:p>
    <w:tbl>
      <w:tblPr>
        <w:tblStyle w:val="TableGrid"/>
        <w:tblW w:w="9330" w:type="dxa"/>
        <w:tblInd w:w="-34" w:type="dxa"/>
        <w:tblLook w:val="04A0" w:firstRow="1" w:lastRow="0" w:firstColumn="1" w:lastColumn="0" w:noHBand="0" w:noVBand="1"/>
      </w:tblPr>
      <w:tblGrid>
        <w:gridCol w:w="851"/>
        <w:gridCol w:w="2550"/>
        <w:gridCol w:w="992"/>
        <w:gridCol w:w="717"/>
        <w:gridCol w:w="844"/>
        <w:gridCol w:w="844"/>
        <w:gridCol w:w="844"/>
        <w:gridCol w:w="844"/>
        <w:gridCol w:w="844"/>
      </w:tblGrid>
      <w:tr w:rsidR="005E3EB2" w:rsidRPr="003C3A40" w14:paraId="1F946547" w14:textId="7F905206" w:rsidTr="005E3EB2">
        <w:trPr>
          <w:trHeight w:val="406"/>
        </w:trPr>
        <w:tc>
          <w:tcPr>
            <w:tcW w:w="851" w:type="dxa"/>
            <w:vMerge w:val="restart"/>
            <w:tcBorders>
              <w:top w:val="single" w:sz="4" w:space="0" w:color="auto"/>
              <w:left w:val="single" w:sz="4" w:space="0" w:color="auto"/>
              <w:right w:val="single" w:sz="4" w:space="0" w:color="auto"/>
            </w:tcBorders>
            <w:hideMark/>
          </w:tcPr>
          <w:p w14:paraId="5646BAB4" w14:textId="77777777" w:rsidR="005E3EB2" w:rsidRPr="003C3A40" w:rsidRDefault="005E3EB2" w:rsidP="00245A8B">
            <w:pPr>
              <w:spacing w:line="276" w:lineRule="auto"/>
              <w:jc w:val="center"/>
              <w:rPr>
                <w:rFonts w:ascii="Arial" w:hAnsi="Arial" w:cs="Arial"/>
                <w:b/>
                <w:bCs/>
                <w:sz w:val="20"/>
                <w:szCs w:val="20"/>
                <w:lang w:val="en-US"/>
              </w:rPr>
            </w:pPr>
            <w:r w:rsidRPr="003C3A40">
              <w:rPr>
                <w:rFonts w:ascii="Arial" w:hAnsi="Arial" w:cs="Arial"/>
                <w:b/>
                <w:bCs/>
                <w:sz w:val="20"/>
                <w:szCs w:val="20"/>
              </w:rPr>
              <w:t>Treat. No.</w:t>
            </w:r>
          </w:p>
        </w:tc>
        <w:tc>
          <w:tcPr>
            <w:tcW w:w="2550" w:type="dxa"/>
            <w:vMerge w:val="restart"/>
            <w:tcBorders>
              <w:top w:val="single" w:sz="4" w:space="0" w:color="auto"/>
              <w:left w:val="single" w:sz="4" w:space="0" w:color="auto"/>
              <w:right w:val="single" w:sz="4" w:space="0" w:color="auto"/>
            </w:tcBorders>
            <w:hideMark/>
          </w:tcPr>
          <w:p w14:paraId="72757F87" w14:textId="77777777" w:rsidR="005E3EB2" w:rsidRPr="003C3A40" w:rsidRDefault="005E3EB2" w:rsidP="00245A8B">
            <w:pPr>
              <w:spacing w:line="276" w:lineRule="auto"/>
              <w:jc w:val="center"/>
              <w:rPr>
                <w:rFonts w:ascii="Arial" w:hAnsi="Arial" w:cs="Arial"/>
                <w:b/>
                <w:bCs/>
                <w:sz w:val="20"/>
                <w:szCs w:val="20"/>
                <w:lang w:val="en-US"/>
              </w:rPr>
            </w:pPr>
            <w:r w:rsidRPr="003C3A40">
              <w:rPr>
                <w:rFonts w:ascii="Arial" w:hAnsi="Arial" w:cs="Arial"/>
                <w:b/>
                <w:bCs/>
                <w:sz w:val="20"/>
                <w:szCs w:val="20"/>
              </w:rPr>
              <w:t>Treatments</w:t>
            </w:r>
          </w:p>
        </w:tc>
        <w:tc>
          <w:tcPr>
            <w:tcW w:w="992" w:type="dxa"/>
            <w:tcBorders>
              <w:top w:val="single" w:sz="4" w:space="0" w:color="auto"/>
              <w:left w:val="single" w:sz="4" w:space="0" w:color="auto"/>
              <w:bottom w:val="single" w:sz="4" w:space="0" w:color="auto"/>
              <w:right w:val="single" w:sz="4" w:space="0" w:color="auto"/>
            </w:tcBorders>
            <w:hideMark/>
          </w:tcPr>
          <w:p w14:paraId="20AA4CB7" w14:textId="77777777" w:rsidR="005E3EB2" w:rsidRPr="003C3A40" w:rsidRDefault="005E3EB2"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N</w:t>
            </w:r>
          </w:p>
        </w:tc>
        <w:tc>
          <w:tcPr>
            <w:tcW w:w="717" w:type="dxa"/>
            <w:tcBorders>
              <w:top w:val="single" w:sz="4" w:space="0" w:color="auto"/>
              <w:left w:val="single" w:sz="4" w:space="0" w:color="auto"/>
              <w:bottom w:val="single" w:sz="4" w:space="0" w:color="auto"/>
              <w:right w:val="single" w:sz="4" w:space="0" w:color="auto"/>
            </w:tcBorders>
            <w:hideMark/>
          </w:tcPr>
          <w:p w14:paraId="404DC6E5" w14:textId="77777777" w:rsidR="005E3EB2" w:rsidRPr="003C3A40" w:rsidRDefault="005E3EB2"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P</w:t>
            </w:r>
          </w:p>
        </w:tc>
        <w:tc>
          <w:tcPr>
            <w:tcW w:w="844" w:type="dxa"/>
            <w:tcBorders>
              <w:top w:val="single" w:sz="4" w:space="0" w:color="auto"/>
              <w:left w:val="single" w:sz="4" w:space="0" w:color="auto"/>
              <w:bottom w:val="single" w:sz="4" w:space="0" w:color="auto"/>
              <w:right w:val="single" w:sz="4" w:space="0" w:color="auto"/>
            </w:tcBorders>
            <w:hideMark/>
          </w:tcPr>
          <w:p w14:paraId="02D424CC" w14:textId="77777777" w:rsidR="005E3EB2" w:rsidRPr="003C3A40" w:rsidRDefault="005E3EB2" w:rsidP="00245A8B">
            <w:pPr>
              <w:spacing w:before="120" w:line="276" w:lineRule="auto"/>
              <w:jc w:val="center"/>
              <w:rPr>
                <w:rFonts w:ascii="Arial" w:hAnsi="Arial" w:cs="Arial"/>
                <w:b/>
                <w:bCs/>
                <w:sz w:val="20"/>
                <w:szCs w:val="20"/>
                <w:lang w:val="en-US"/>
              </w:rPr>
            </w:pPr>
            <w:r w:rsidRPr="003C3A40">
              <w:rPr>
                <w:rFonts w:ascii="Arial" w:hAnsi="Arial" w:cs="Arial"/>
                <w:b/>
                <w:bCs/>
                <w:sz w:val="20"/>
                <w:szCs w:val="20"/>
                <w:lang w:val="en-US"/>
              </w:rPr>
              <w:t>K</w:t>
            </w:r>
          </w:p>
        </w:tc>
        <w:tc>
          <w:tcPr>
            <w:tcW w:w="844" w:type="dxa"/>
            <w:tcBorders>
              <w:top w:val="single" w:sz="4" w:space="0" w:color="auto"/>
              <w:left w:val="single" w:sz="4" w:space="0" w:color="auto"/>
              <w:bottom w:val="single" w:sz="4" w:space="0" w:color="auto"/>
              <w:right w:val="single" w:sz="4" w:space="0" w:color="auto"/>
            </w:tcBorders>
          </w:tcPr>
          <w:p w14:paraId="5EA7A13F" w14:textId="280EE9AB"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Fe</w:t>
            </w:r>
          </w:p>
        </w:tc>
        <w:tc>
          <w:tcPr>
            <w:tcW w:w="844" w:type="dxa"/>
            <w:tcBorders>
              <w:top w:val="single" w:sz="4" w:space="0" w:color="auto"/>
              <w:left w:val="single" w:sz="4" w:space="0" w:color="auto"/>
              <w:bottom w:val="single" w:sz="4" w:space="0" w:color="auto"/>
              <w:right w:val="single" w:sz="4" w:space="0" w:color="auto"/>
            </w:tcBorders>
          </w:tcPr>
          <w:p w14:paraId="5FE1CB78" w14:textId="5F270F4C"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Mn</w:t>
            </w:r>
          </w:p>
        </w:tc>
        <w:tc>
          <w:tcPr>
            <w:tcW w:w="844" w:type="dxa"/>
            <w:tcBorders>
              <w:top w:val="single" w:sz="4" w:space="0" w:color="auto"/>
              <w:left w:val="single" w:sz="4" w:space="0" w:color="auto"/>
              <w:bottom w:val="single" w:sz="4" w:space="0" w:color="auto"/>
              <w:right w:val="single" w:sz="4" w:space="0" w:color="auto"/>
            </w:tcBorders>
          </w:tcPr>
          <w:p w14:paraId="7447B5C6" w14:textId="7882D011"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Zn</w:t>
            </w:r>
          </w:p>
        </w:tc>
        <w:tc>
          <w:tcPr>
            <w:tcW w:w="844" w:type="dxa"/>
            <w:tcBorders>
              <w:top w:val="single" w:sz="4" w:space="0" w:color="auto"/>
              <w:left w:val="single" w:sz="4" w:space="0" w:color="auto"/>
              <w:bottom w:val="single" w:sz="4" w:space="0" w:color="auto"/>
              <w:right w:val="single" w:sz="4" w:space="0" w:color="auto"/>
            </w:tcBorders>
          </w:tcPr>
          <w:p w14:paraId="7E155E71" w14:textId="4D7506E0"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szCs w:val="20"/>
                <w:lang w:val="en-US"/>
              </w:rPr>
              <w:t>Cu</w:t>
            </w:r>
          </w:p>
        </w:tc>
      </w:tr>
      <w:tr w:rsidR="005E3EB2" w:rsidRPr="003C3A40" w14:paraId="6EB10627" w14:textId="14D51C73" w:rsidTr="005E3EB2">
        <w:trPr>
          <w:trHeight w:val="406"/>
        </w:trPr>
        <w:tc>
          <w:tcPr>
            <w:tcW w:w="851" w:type="dxa"/>
            <w:vMerge/>
            <w:tcBorders>
              <w:left w:val="single" w:sz="4" w:space="0" w:color="auto"/>
              <w:bottom w:val="single" w:sz="4" w:space="0" w:color="auto"/>
              <w:right w:val="single" w:sz="4" w:space="0" w:color="auto"/>
            </w:tcBorders>
          </w:tcPr>
          <w:p w14:paraId="1AFE0CFE" w14:textId="77777777" w:rsidR="005E3EB2" w:rsidRPr="003C3A40" w:rsidRDefault="005E3EB2" w:rsidP="00245A8B">
            <w:pPr>
              <w:spacing w:line="276" w:lineRule="auto"/>
              <w:jc w:val="center"/>
              <w:rPr>
                <w:rFonts w:ascii="Arial" w:hAnsi="Arial" w:cs="Arial"/>
                <w:b/>
                <w:bCs/>
                <w:sz w:val="20"/>
                <w:szCs w:val="20"/>
              </w:rPr>
            </w:pPr>
          </w:p>
        </w:tc>
        <w:tc>
          <w:tcPr>
            <w:tcW w:w="2550" w:type="dxa"/>
            <w:vMerge/>
            <w:tcBorders>
              <w:left w:val="single" w:sz="4" w:space="0" w:color="auto"/>
              <w:bottom w:val="single" w:sz="4" w:space="0" w:color="auto"/>
              <w:right w:val="single" w:sz="4" w:space="0" w:color="auto"/>
            </w:tcBorders>
          </w:tcPr>
          <w:p w14:paraId="1F453F99" w14:textId="77777777" w:rsidR="005E3EB2" w:rsidRPr="003C3A40" w:rsidRDefault="005E3EB2" w:rsidP="00245A8B">
            <w:pPr>
              <w:spacing w:line="276" w:lineRule="auto"/>
              <w:jc w:val="center"/>
              <w:rPr>
                <w:rFonts w:ascii="Arial" w:hAnsi="Arial" w:cs="Arial"/>
                <w:b/>
                <w:bCs/>
                <w:sz w:val="20"/>
                <w:szCs w:val="20"/>
              </w:rPr>
            </w:pPr>
          </w:p>
        </w:tc>
        <w:tc>
          <w:tcPr>
            <w:tcW w:w="2553" w:type="dxa"/>
            <w:gridSpan w:val="3"/>
            <w:tcBorders>
              <w:top w:val="single" w:sz="4" w:space="0" w:color="auto"/>
              <w:left w:val="single" w:sz="4" w:space="0" w:color="auto"/>
              <w:bottom w:val="single" w:sz="4" w:space="0" w:color="auto"/>
              <w:right w:val="single" w:sz="4" w:space="0" w:color="auto"/>
            </w:tcBorders>
          </w:tcPr>
          <w:p w14:paraId="3EA58375" w14:textId="77777777" w:rsidR="005E3EB2" w:rsidRPr="003C3A40" w:rsidRDefault="005E3EB2" w:rsidP="00245A8B">
            <w:pPr>
              <w:spacing w:before="120" w:line="276" w:lineRule="auto"/>
              <w:jc w:val="center"/>
              <w:rPr>
                <w:rFonts w:ascii="Arial" w:hAnsi="Arial" w:cs="Arial"/>
                <w:b/>
                <w:bCs/>
                <w:sz w:val="20"/>
                <w:szCs w:val="20"/>
              </w:rPr>
            </w:pPr>
            <w:r w:rsidRPr="003C3A40">
              <w:rPr>
                <w:rFonts w:ascii="Arial" w:hAnsi="Arial" w:cs="Arial"/>
                <w:b/>
                <w:bCs/>
                <w:sz w:val="20"/>
                <w:szCs w:val="20"/>
              </w:rPr>
              <w:t>(kg ha</w:t>
            </w:r>
            <w:r w:rsidRPr="003C3A40">
              <w:rPr>
                <w:rFonts w:ascii="Arial" w:hAnsi="Arial" w:cs="Arial"/>
                <w:b/>
                <w:bCs/>
                <w:sz w:val="20"/>
                <w:szCs w:val="20"/>
                <w:vertAlign w:val="superscript"/>
              </w:rPr>
              <w:t>-1</w:t>
            </w:r>
            <w:r w:rsidRPr="003C3A40">
              <w:rPr>
                <w:rFonts w:ascii="Arial" w:hAnsi="Arial" w:cs="Arial"/>
                <w:b/>
                <w:bCs/>
                <w:sz w:val="20"/>
                <w:szCs w:val="20"/>
              </w:rPr>
              <w:t>)</w:t>
            </w:r>
          </w:p>
        </w:tc>
        <w:tc>
          <w:tcPr>
            <w:tcW w:w="3376" w:type="dxa"/>
            <w:gridSpan w:val="4"/>
            <w:tcBorders>
              <w:top w:val="single" w:sz="4" w:space="0" w:color="auto"/>
              <w:left w:val="single" w:sz="4" w:space="0" w:color="auto"/>
              <w:bottom w:val="single" w:sz="4" w:space="0" w:color="auto"/>
              <w:right w:val="single" w:sz="4" w:space="0" w:color="auto"/>
            </w:tcBorders>
          </w:tcPr>
          <w:p w14:paraId="7CBCCF48" w14:textId="2B5C0ACB" w:rsidR="005E3EB2" w:rsidRPr="003C3A40" w:rsidRDefault="005E3EB2" w:rsidP="00245A8B">
            <w:pPr>
              <w:spacing w:before="120" w:line="276" w:lineRule="auto"/>
              <w:jc w:val="center"/>
              <w:rPr>
                <w:rFonts w:ascii="Arial" w:hAnsi="Arial" w:cs="Arial"/>
                <w:b/>
                <w:bCs/>
                <w:sz w:val="20"/>
              </w:rPr>
            </w:pPr>
            <w:r w:rsidRPr="003C3A40">
              <w:rPr>
                <w:rFonts w:ascii="Arial" w:hAnsi="Arial" w:cs="Arial"/>
                <w:b/>
                <w:bCs/>
                <w:sz w:val="20"/>
                <w:lang w:val="en-US"/>
              </w:rPr>
              <w:t>(mg kg</w:t>
            </w:r>
            <w:r w:rsidRPr="003C3A40">
              <w:rPr>
                <w:rFonts w:ascii="Arial" w:hAnsi="Arial" w:cs="Arial"/>
                <w:b/>
                <w:bCs/>
                <w:sz w:val="20"/>
                <w:vertAlign w:val="superscript"/>
                <w:lang w:val="en-US"/>
              </w:rPr>
              <w:t>-1</w:t>
            </w:r>
            <w:r w:rsidRPr="003C3A40">
              <w:rPr>
                <w:rFonts w:ascii="Arial" w:hAnsi="Arial" w:cs="Arial"/>
                <w:b/>
                <w:bCs/>
                <w:sz w:val="20"/>
                <w:lang w:val="en-US"/>
              </w:rPr>
              <w:t>)</w:t>
            </w:r>
          </w:p>
        </w:tc>
      </w:tr>
      <w:tr w:rsidR="005E3EB2" w:rsidRPr="003C3A40" w14:paraId="2DE8139F" w14:textId="6D024D9A" w:rsidTr="005E3EB2">
        <w:trPr>
          <w:trHeight w:val="482"/>
        </w:trPr>
        <w:tc>
          <w:tcPr>
            <w:tcW w:w="851" w:type="dxa"/>
            <w:tcBorders>
              <w:top w:val="single" w:sz="4" w:space="0" w:color="auto"/>
              <w:left w:val="single" w:sz="4" w:space="0" w:color="auto"/>
              <w:bottom w:val="single" w:sz="4" w:space="0" w:color="auto"/>
              <w:right w:val="single" w:sz="4" w:space="0" w:color="auto"/>
            </w:tcBorders>
            <w:hideMark/>
          </w:tcPr>
          <w:p w14:paraId="18460087"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1</w:t>
            </w:r>
          </w:p>
        </w:tc>
        <w:tc>
          <w:tcPr>
            <w:tcW w:w="2550" w:type="dxa"/>
            <w:tcBorders>
              <w:top w:val="single" w:sz="4" w:space="0" w:color="auto"/>
              <w:left w:val="single" w:sz="4" w:space="0" w:color="auto"/>
              <w:bottom w:val="single" w:sz="4" w:space="0" w:color="auto"/>
              <w:right w:val="single" w:sz="4" w:space="0" w:color="auto"/>
            </w:tcBorders>
            <w:hideMark/>
          </w:tcPr>
          <w:p w14:paraId="508F0658"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Absolute control</w:t>
            </w:r>
          </w:p>
        </w:tc>
        <w:tc>
          <w:tcPr>
            <w:tcW w:w="992" w:type="dxa"/>
            <w:tcBorders>
              <w:top w:val="single" w:sz="4" w:space="0" w:color="auto"/>
              <w:left w:val="single" w:sz="4" w:space="0" w:color="auto"/>
              <w:bottom w:val="single" w:sz="4" w:space="0" w:color="auto"/>
              <w:right w:val="single" w:sz="4" w:space="0" w:color="auto"/>
            </w:tcBorders>
            <w:vAlign w:val="center"/>
          </w:tcPr>
          <w:p w14:paraId="19F34CDE"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245.00</w:t>
            </w:r>
          </w:p>
        </w:tc>
        <w:tc>
          <w:tcPr>
            <w:tcW w:w="717" w:type="dxa"/>
            <w:tcBorders>
              <w:top w:val="single" w:sz="4" w:space="0" w:color="auto"/>
              <w:left w:val="single" w:sz="4" w:space="0" w:color="auto"/>
              <w:bottom w:val="single" w:sz="4" w:space="0" w:color="auto"/>
              <w:right w:val="single" w:sz="4" w:space="0" w:color="auto"/>
            </w:tcBorders>
            <w:vAlign w:val="center"/>
          </w:tcPr>
          <w:p w14:paraId="25D88D88"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14.67</w:t>
            </w:r>
          </w:p>
        </w:tc>
        <w:tc>
          <w:tcPr>
            <w:tcW w:w="844" w:type="dxa"/>
            <w:tcBorders>
              <w:top w:val="single" w:sz="4" w:space="0" w:color="auto"/>
              <w:left w:val="single" w:sz="4" w:space="0" w:color="auto"/>
              <w:bottom w:val="single" w:sz="4" w:space="0" w:color="auto"/>
              <w:right w:val="single" w:sz="4" w:space="0" w:color="auto"/>
            </w:tcBorders>
            <w:vAlign w:val="center"/>
          </w:tcPr>
          <w:p w14:paraId="7FBA6CAD"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680.00</w:t>
            </w:r>
          </w:p>
        </w:tc>
        <w:tc>
          <w:tcPr>
            <w:tcW w:w="844" w:type="dxa"/>
            <w:tcBorders>
              <w:top w:val="single" w:sz="4" w:space="0" w:color="auto"/>
              <w:left w:val="single" w:sz="4" w:space="0" w:color="auto"/>
              <w:bottom w:val="single" w:sz="4" w:space="0" w:color="auto"/>
              <w:right w:val="single" w:sz="4" w:space="0" w:color="auto"/>
            </w:tcBorders>
            <w:vAlign w:val="center"/>
          </w:tcPr>
          <w:p w14:paraId="0C67FB65" w14:textId="0D29BB6B"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4.9</w:t>
            </w:r>
          </w:p>
        </w:tc>
        <w:tc>
          <w:tcPr>
            <w:tcW w:w="844" w:type="dxa"/>
            <w:tcBorders>
              <w:top w:val="single" w:sz="4" w:space="0" w:color="auto"/>
              <w:left w:val="single" w:sz="4" w:space="0" w:color="auto"/>
              <w:bottom w:val="single" w:sz="4" w:space="0" w:color="auto"/>
              <w:right w:val="single" w:sz="4" w:space="0" w:color="auto"/>
            </w:tcBorders>
            <w:vAlign w:val="center"/>
          </w:tcPr>
          <w:p w14:paraId="0C23FB48" w14:textId="1507A74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8.4</w:t>
            </w:r>
          </w:p>
        </w:tc>
        <w:tc>
          <w:tcPr>
            <w:tcW w:w="844" w:type="dxa"/>
            <w:tcBorders>
              <w:top w:val="single" w:sz="4" w:space="0" w:color="auto"/>
              <w:left w:val="single" w:sz="4" w:space="0" w:color="auto"/>
              <w:bottom w:val="single" w:sz="4" w:space="0" w:color="auto"/>
              <w:right w:val="single" w:sz="4" w:space="0" w:color="auto"/>
            </w:tcBorders>
            <w:vAlign w:val="center"/>
          </w:tcPr>
          <w:p w14:paraId="5B6BA55D" w14:textId="61AA0DF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3.5</w:t>
            </w:r>
          </w:p>
        </w:tc>
        <w:tc>
          <w:tcPr>
            <w:tcW w:w="844" w:type="dxa"/>
            <w:tcBorders>
              <w:top w:val="single" w:sz="4" w:space="0" w:color="auto"/>
              <w:left w:val="single" w:sz="4" w:space="0" w:color="auto"/>
              <w:bottom w:val="single" w:sz="4" w:space="0" w:color="auto"/>
              <w:right w:val="single" w:sz="4" w:space="0" w:color="auto"/>
            </w:tcBorders>
            <w:vAlign w:val="center"/>
          </w:tcPr>
          <w:p w14:paraId="4BB3C111" w14:textId="53E774A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8.7</w:t>
            </w:r>
          </w:p>
        </w:tc>
      </w:tr>
      <w:tr w:rsidR="005E3EB2" w:rsidRPr="003C3A40" w14:paraId="2E189B4A" w14:textId="4A0292AD" w:rsidTr="005E3EB2">
        <w:trPr>
          <w:trHeight w:val="416"/>
        </w:trPr>
        <w:tc>
          <w:tcPr>
            <w:tcW w:w="851" w:type="dxa"/>
            <w:tcBorders>
              <w:top w:val="single" w:sz="4" w:space="0" w:color="auto"/>
              <w:left w:val="single" w:sz="4" w:space="0" w:color="auto"/>
              <w:bottom w:val="single" w:sz="4" w:space="0" w:color="auto"/>
              <w:right w:val="single" w:sz="4" w:space="0" w:color="auto"/>
            </w:tcBorders>
            <w:hideMark/>
          </w:tcPr>
          <w:p w14:paraId="3B458E75"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2</w:t>
            </w:r>
          </w:p>
        </w:tc>
        <w:tc>
          <w:tcPr>
            <w:tcW w:w="2550" w:type="dxa"/>
            <w:tcBorders>
              <w:top w:val="single" w:sz="4" w:space="0" w:color="auto"/>
              <w:left w:val="single" w:sz="4" w:space="0" w:color="auto"/>
              <w:bottom w:val="single" w:sz="4" w:space="0" w:color="auto"/>
              <w:right w:val="single" w:sz="4" w:space="0" w:color="auto"/>
            </w:tcBorders>
            <w:hideMark/>
          </w:tcPr>
          <w:p w14:paraId="7676F438"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RDF (50:75:45 kg ha</w:t>
            </w:r>
            <w:r w:rsidRPr="003C3A40">
              <w:rPr>
                <w:rFonts w:ascii="Arial" w:hAnsi="Arial" w:cs="Arial"/>
                <w:color w:val="000000" w:themeColor="text1"/>
                <w:sz w:val="20"/>
                <w:szCs w:val="20"/>
                <w:vertAlign w:val="superscript"/>
              </w:rPr>
              <w:t>-1</w:t>
            </w:r>
            <w:r w:rsidRPr="003C3A40">
              <w:rPr>
                <w:rFonts w:ascii="Arial" w:hAnsi="Arial" w:cs="Arial"/>
                <w:color w:val="000000" w:themeColor="text1"/>
                <w:sz w:val="20"/>
                <w:szCs w:val="20"/>
              </w:rPr>
              <w:t xml:space="preserve"> N: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K</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p>
        </w:tc>
        <w:tc>
          <w:tcPr>
            <w:tcW w:w="992" w:type="dxa"/>
            <w:tcBorders>
              <w:top w:val="single" w:sz="4" w:space="0" w:color="auto"/>
              <w:left w:val="single" w:sz="4" w:space="0" w:color="auto"/>
              <w:bottom w:val="single" w:sz="4" w:space="0" w:color="auto"/>
              <w:right w:val="single" w:sz="4" w:space="0" w:color="auto"/>
            </w:tcBorders>
            <w:vAlign w:val="center"/>
          </w:tcPr>
          <w:p w14:paraId="4C8400C1"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265.33</w:t>
            </w:r>
          </w:p>
        </w:tc>
        <w:tc>
          <w:tcPr>
            <w:tcW w:w="717" w:type="dxa"/>
            <w:tcBorders>
              <w:top w:val="single" w:sz="4" w:space="0" w:color="auto"/>
              <w:left w:val="single" w:sz="4" w:space="0" w:color="auto"/>
              <w:bottom w:val="single" w:sz="4" w:space="0" w:color="auto"/>
              <w:right w:val="single" w:sz="4" w:space="0" w:color="auto"/>
            </w:tcBorders>
            <w:vAlign w:val="center"/>
          </w:tcPr>
          <w:p w14:paraId="7F1DC20D"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27.67</w:t>
            </w:r>
          </w:p>
        </w:tc>
        <w:tc>
          <w:tcPr>
            <w:tcW w:w="844" w:type="dxa"/>
            <w:tcBorders>
              <w:top w:val="single" w:sz="4" w:space="0" w:color="auto"/>
              <w:left w:val="single" w:sz="4" w:space="0" w:color="auto"/>
              <w:bottom w:val="single" w:sz="4" w:space="0" w:color="auto"/>
              <w:right w:val="single" w:sz="4" w:space="0" w:color="auto"/>
            </w:tcBorders>
            <w:vAlign w:val="center"/>
          </w:tcPr>
          <w:p w14:paraId="33AA7A0A"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709.00</w:t>
            </w:r>
          </w:p>
        </w:tc>
        <w:tc>
          <w:tcPr>
            <w:tcW w:w="844" w:type="dxa"/>
            <w:tcBorders>
              <w:top w:val="single" w:sz="4" w:space="0" w:color="auto"/>
              <w:left w:val="single" w:sz="4" w:space="0" w:color="auto"/>
              <w:bottom w:val="single" w:sz="4" w:space="0" w:color="auto"/>
              <w:right w:val="single" w:sz="4" w:space="0" w:color="auto"/>
            </w:tcBorders>
            <w:vAlign w:val="center"/>
          </w:tcPr>
          <w:p w14:paraId="5FC1C718" w14:textId="7173316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5.0</w:t>
            </w:r>
          </w:p>
        </w:tc>
        <w:tc>
          <w:tcPr>
            <w:tcW w:w="844" w:type="dxa"/>
            <w:tcBorders>
              <w:top w:val="single" w:sz="4" w:space="0" w:color="auto"/>
              <w:left w:val="single" w:sz="4" w:space="0" w:color="auto"/>
              <w:bottom w:val="single" w:sz="4" w:space="0" w:color="auto"/>
              <w:right w:val="single" w:sz="4" w:space="0" w:color="auto"/>
            </w:tcBorders>
            <w:vAlign w:val="center"/>
          </w:tcPr>
          <w:p w14:paraId="27FFD22A" w14:textId="6B3A936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8.3</w:t>
            </w:r>
          </w:p>
        </w:tc>
        <w:tc>
          <w:tcPr>
            <w:tcW w:w="844" w:type="dxa"/>
            <w:tcBorders>
              <w:top w:val="single" w:sz="4" w:space="0" w:color="auto"/>
              <w:left w:val="single" w:sz="4" w:space="0" w:color="auto"/>
              <w:bottom w:val="single" w:sz="4" w:space="0" w:color="auto"/>
              <w:right w:val="single" w:sz="4" w:space="0" w:color="auto"/>
            </w:tcBorders>
            <w:vAlign w:val="center"/>
          </w:tcPr>
          <w:p w14:paraId="1C2E650F" w14:textId="4136D587"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3.5</w:t>
            </w:r>
          </w:p>
        </w:tc>
        <w:tc>
          <w:tcPr>
            <w:tcW w:w="844" w:type="dxa"/>
            <w:tcBorders>
              <w:top w:val="single" w:sz="4" w:space="0" w:color="auto"/>
              <w:left w:val="single" w:sz="4" w:space="0" w:color="auto"/>
              <w:bottom w:val="single" w:sz="4" w:space="0" w:color="auto"/>
              <w:right w:val="single" w:sz="4" w:space="0" w:color="auto"/>
            </w:tcBorders>
            <w:vAlign w:val="center"/>
          </w:tcPr>
          <w:p w14:paraId="3AE7B516" w14:textId="6FAA6B8A"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9.1</w:t>
            </w:r>
          </w:p>
        </w:tc>
      </w:tr>
      <w:tr w:rsidR="005E3EB2" w:rsidRPr="003C3A40" w14:paraId="3644A8DD" w14:textId="661ACF27" w:rsidTr="005E3EB2">
        <w:trPr>
          <w:trHeight w:val="483"/>
        </w:trPr>
        <w:tc>
          <w:tcPr>
            <w:tcW w:w="851" w:type="dxa"/>
            <w:tcBorders>
              <w:top w:val="single" w:sz="4" w:space="0" w:color="auto"/>
              <w:left w:val="single" w:sz="4" w:space="0" w:color="auto"/>
              <w:bottom w:val="single" w:sz="4" w:space="0" w:color="auto"/>
              <w:right w:val="single" w:sz="4" w:space="0" w:color="auto"/>
            </w:tcBorders>
            <w:hideMark/>
          </w:tcPr>
          <w:p w14:paraId="010A2E91"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3</w:t>
            </w:r>
          </w:p>
        </w:tc>
        <w:tc>
          <w:tcPr>
            <w:tcW w:w="2550" w:type="dxa"/>
            <w:tcBorders>
              <w:top w:val="single" w:sz="4" w:space="0" w:color="auto"/>
              <w:left w:val="single" w:sz="4" w:space="0" w:color="auto"/>
              <w:bottom w:val="single" w:sz="4" w:space="0" w:color="auto"/>
              <w:right w:val="single" w:sz="4" w:space="0" w:color="auto"/>
            </w:tcBorders>
            <w:hideMark/>
          </w:tcPr>
          <w:p w14:paraId="7EA92B7E"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50%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2" w:type="dxa"/>
            <w:tcBorders>
              <w:top w:val="single" w:sz="4" w:space="0" w:color="auto"/>
              <w:left w:val="single" w:sz="4" w:space="0" w:color="auto"/>
              <w:bottom w:val="single" w:sz="4" w:space="0" w:color="auto"/>
              <w:right w:val="single" w:sz="4" w:space="0" w:color="auto"/>
            </w:tcBorders>
            <w:vAlign w:val="center"/>
          </w:tcPr>
          <w:p w14:paraId="3AF6712B" w14:textId="77777777" w:rsidR="005E3EB2" w:rsidRPr="003C3A40" w:rsidRDefault="005E3EB2" w:rsidP="00245A8B">
            <w:pPr>
              <w:spacing w:line="276" w:lineRule="auto"/>
              <w:jc w:val="center"/>
              <w:rPr>
                <w:rFonts w:ascii="Arial" w:hAnsi="Arial" w:cs="Arial"/>
                <w:color w:val="FF0000"/>
                <w:sz w:val="20"/>
                <w:szCs w:val="20"/>
              </w:rPr>
            </w:pPr>
            <w:r w:rsidRPr="003C3A40">
              <w:rPr>
                <w:rFonts w:ascii="Arial" w:hAnsi="Arial" w:cs="Arial"/>
                <w:color w:val="000000"/>
                <w:sz w:val="20"/>
                <w:szCs w:val="20"/>
              </w:rPr>
              <w:t>273.67</w:t>
            </w:r>
          </w:p>
        </w:tc>
        <w:tc>
          <w:tcPr>
            <w:tcW w:w="717" w:type="dxa"/>
            <w:tcBorders>
              <w:top w:val="single" w:sz="4" w:space="0" w:color="auto"/>
              <w:left w:val="single" w:sz="4" w:space="0" w:color="auto"/>
              <w:bottom w:val="single" w:sz="4" w:space="0" w:color="auto"/>
              <w:right w:val="single" w:sz="4" w:space="0" w:color="auto"/>
            </w:tcBorders>
            <w:vAlign w:val="center"/>
          </w:tcPr>
          <w:p w14:paraId="1B604F52"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26.67</w:t>
            </w:r>
          </w:p>
        </w:tc>
        <w:tc>
          <w:tcPr>
            <w:tcW w:w="844" w:type="dxa"/>
            <w:tcBorders>
              <w:top w:val="single" w:sz="4" w:space="0" w:color="auto"/>
              <w:left w:val="single" w:sz="4" w:space="0" w:color="auto"/>
              <w:bottom w:val="single" w:sz="4" w:space="0" w:color="auto"/>
              <w:right w:val="single" w:sz="4" w:space="0" w:color="auto"/>
            </w:tcBorders>
            <w:vAlign w:val="center"/>
          </w:tcPr>
          <w:p w14:paraId="58CFC851"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716.00</w:t>
            </w:r>
          </w:p>
        </w:tc>
        <w:tc>
          <w:tcPr>
            <w:tcW w:w="844" w:type="dxa"/>
            <w:tcBorders>
              <w:top w:val="single" w:sz="4" w:space="0" w:color="auto"/>
              <w:left w:val="single" w:sz="4" w:space="0" w:color="auto"/>
              <w:bottom w:val="single" w:sz="4" w:space="0" w:color="auto"/>
              <w:right w:val="single" w:sz="4" w:space="0" w:color="auto"/>
            </w:tcBorders>
            <w:vAlign w:val="center"/>
          </w:tcPr>
          <w:p w14:paraId="2D89F3EB" w14:textId="77EC829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5.0</w:t>
            </w:r>
          </w:p>
        </w:tc>
        <w:tc>
          <w:tcPr>
            <w:tcW w:w="844" w:type="dxa"/>
            <w:tcBorders>
              <w:top w:val="single" w:sz="4" w:space="0" w:color="auto"/>
              <w:left w:val="single" w:sz="4" w:space="0" w:color="auto"/>
              <w:bottom w:val="single" w:sz="4" w:space="0" w:color="auto"/>
              <w:right w:val="single" w:sz="4" w:space="0" w:color="auto"/>
            </w:tcBorders>
            <w:vAlign w:val="center"/>
          </w:tcPr>
          <w:p w14:paraId="205F55AA" w14:textId="475BE06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8.7</w:t>
            </w:r>
          </w:p>
        </w:tc>
        <w:tc>
          <w:tcPr>
            <w:tcW w:w="844" w:type="dxa"/>
            <w:tcBorders>
              <w:top w:val="single" w:sz="4" w:space="0" w:color="auto"/>
              <w:left w:val="single" w:sz="4" w:space="0" w:color="auto"/>
              <w:bottom w:val="single" w:sz="4" w:space="0" w:color="auto"/>
              <w:right w:val="single" w:sz="4" w:space="0" w:color="auto"/>
            </w:tcBorders>
            <w:vAlign w:val="center"/>
          </w:tcPr>
          <w:p w14:paraId="046625B1" w14:textId="2ABCDD1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3.9</w:t>
            </w:r>
          </w:p>
        </w:tc>
        <w:tc>
          <w:tcPr>
            <w:tcW w:w="844" w:type="dxa"/>
            <w:tcBorders>
              <w:top w:val="single" w:sz="4" w:space="0" w:color="auto"/>
              <w:left w:val="single" w:sz="4" w:space="0" w:color="auto"/>
              <w:bottom w:val="single" w:sz="4" w:space="0" w:color="auto"/>
              <w:right w:val="single" w:sz="4" w:space="0" w:color="auto"/>
            </w:tcBorders>
            <w:vAlign w:val="center"/>
          </w:tcPr>
          <w:p w14:paraId="5DC09CFD" w14:textId="2A7B412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9.0</w:t>
            </w:r>
          </w:p>
        </w:tc>
      </w:tr>
      <w:tr w:rsidR="005E3EB2" w:rsidRPr="003C3A40" w14:paraId="0BBDD9C7" w14:textId="41537DC3" w:rsidTr="005E3EB2">
        <w:trPr>
          <w:trHeight w:val="388"/>
        </w:trPr>
        <w:tc>
          <w:tcPr>
            <w:tcW w:w="851" w:type="dxa"/>
            <w:tcBorders>
              <w:top w:val="single" w:sz="4" w:space="0" w:color="auto"/>
              <w:left w:val="single" w:sz="4" w:space="0" w:color="auto"/>
              <w:bottom w:val="single" w:sz="4" w:space="0" w:color="auto"/>
              <w:right w:val="single" w:sz="4" w:space="0" w:color="auto"/>
            </w:tcBorders>
            <w:hideMark/>
          </w:tcPr>
          <w:p w14:paraId="030EED2C"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lastRenderedPageBreak/>
              <w:t>T</w:t>
            </w:r>
            <w:r w:rsidRPr="003C3A40">
              <w:rPr>
                <w:rFonts w:ascii="Arial" w:hAnsi="Arial" w:cs="Arial"/>
                <w:sz w:val="20"/>
                <w:szCs w:val="20"/>
                <w:vertAlign w:val="subscript"/>
                <w:lang w:val="en-US"/>
              </w:rPr>
              <w:t>4</w:t>
            </w:r>
          </w:p>
        </w:tc>
        <w:tc>
          <w:tcPr>
            <w:tcW w:w="2550" w:type="dxa"/>
            <w:tcBorders>
              <w:top w:val="single" w:sz="4" w:space="0" w:color="auto"/>
              <w:left w:val="single" w:sz="4" w:space="0" w:color="auto"/>
              <w:bottom w:val="single" w:sz="4" w:space="0" w:color="auto"/>
              <w:right w:val="single" w:sz="4" w:space="0" w:color="auto"/>
            </w:tcBorders>
            <w:hideMark/>
          </w:tcPr>
          <w:p w14:paraId="6EAD5E04"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75%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2" w:type="dxa"/>
            <w:tcBorders>
              <w:top w:val="single" w:sz="4" w:space="0" w:color="auto"/>
              <w:left w:val="single" w:sz="4" w:space="0" w:color="auto"/>
              <w:bottom w:val="single" w:sz="4" w:space="0" w:color="auto"/>
              <w:right w:val="single" w:sz="4" w:space="0" w:color="auto"/>
            </w:tcBorders>
            <w:vAlign w:val="center"/>
          </w:tcPr>
          <w:p w14:paraId="0BFC9FAB" w14:textId="77777777" w:rsidR="005E3EB2" w:rsidRPr="003C3A40" w:rsidRDefault="005E3EB2" w:rsidP="00245A8B">
            <w:pPr>
              <w:spacing w:line="276" w:lineRule="auto"/>
              <w:jc w:val="center"/>
              <w:rPr>
                <w:rFonts w:ascii="Arial" w:hAnsi="Arial" w:cs="Arial"/>
                <w:color w:val="FF0000"/>
                <w:sz w:val="20"/>
                <w:szCs w:val="20"/>
              </w:rPr>
            </w:pPr>
            <w:r w:rsidRPr="003C3A40">
              <w:rPr>
                <w:rFonts w:ascii="Arial" w:hAnsi="Arial" w:cs="Arial"/>
                <w:color w:val="000000"/>
                <w:sz w:val="20"/>
                <w:szCs w:val="20"/>
              </w:rPr>
              <w:t>284.00</w:t>
            </w:r>
          </w:p>
        </w:tc>
        <w:tc>
          <w:tcPr>
            <w:tcW w:w="717" w:type="dxa"/>
            <w:tcBorders>
              <w:top w:val="single" w:sz="4" w:space="0" w:color="auto"/>
              <w:left w:val="single" w:sz="4" w:space="0" w:color="auto"/>
              <w:bottom w:val="single" w:sz="4" w:space="0" w:color="auto"/>
              <w:right w:val="single" w:sz="4" w:space="0" w:color="auto"/>
            </w:tcBorders>
            <w:vAlign w:val="center"/>
          </w:tcPr>
          <w:p w14:paraId="75861000"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30.67</w:t>
            </w:r>
          </w:p>
        </w:tc>
        <w:tc>
          <w:tcPr>
            <w:tcW w:w="844" w:type="dxa"/>
            <w:tcBorders>
              <w:top w:val="single" w:sz="4" w:space="0" w:color="auto"/>
              <w:left w:val="single" w:sz="4" w:space="0" w:color="auto"/>
              <w:bottom w:val="single" w:sz="4" w:space="0" w:color="auto"/>
              <w:right w:val="single" w:sz="4" w:space="0" w:color="auto"/>
            </w:tcBorders>
            <w:vAlign w:val="center"/>
          </w:tcPr>
          <w:p w14:paraId="3320C8A3"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718.67</w:t>
            </w:r>
          </w:p>
        </w:tc>
        <w:tc>
          <w:tcPr>
            <w:tcW w:w="844" w:type="dxa"/>
            <w:tcBorders>
              <w:top w:val="single" w:sz="4" w:space="0" w:color="auto"/>
              <w:left w:val="single" w:sz="4" w:space="0" w:color="auto"/>
              <w:bottom w:val="single" w:sz="4" w:space="0" w:color="auto"/>
              <w:right w:val="single" w:sz="4" w:space="0" w:color="auto"/>
            </w:tcBorders>
            <w:vAlign w:val="center"/>
          </w:tcPr>
          <w:p w14:paraId="3B0C723D" w14:textId="557F680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5.2</w:t>
            </w:r>
          </w:p>
        </w:tc>
        <w:tc>
          <w:tcPr>
            <w:tcW w:w="844" w:type="dxa"/>
            <w:tcBorders>
              <w:top w:val="single" w:sz="4" w:space="0" w:color="auto"/>
              <w:left w:val="single" w:sz="4" w:space="0" w:color="auto"/>
              <w:bottom w:val="single" w:sz="4" w:space="0" w:color="auto"/>
              <w:right w:val="single" w:sz="4" w:space="0" w:color="auto"/>
            </w:tcBorders>
            <w:vAlign w:val="center"/>
          </w:tcPr>
          <w:p w14:paraId="6787642D" w14:textId="13C6E635"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9.0</w:t>
            </w:r>
          </w:p>
        </w:tc>
        <w:tc>
          <w:tcPr>
            <w:tcW w:w="844" w:type="dxa"/>
            <w:tcBorders>
              <w:top w:val="single" w:sz="4" w:space="0" w:color="auto"/>
              <w:left w:val="single" w:sz="4" w:space="0" w:color="auto"/>
              <w:bottom w:val="single" w:sz="4" w:space="0" w:color="auto"/>
              <w:right w:val="single" w:sz="4" w:space="0" w:color="auto"/>
            </w:tcBorders>
            <w:vAlign w:val="center"/>
          </w:tcPr>
          <w:p w14:paraId="501B0044" w14:textId="507A36ED"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36E61C73" w14:textId="7B99FA5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9.1</w:t>
            </w:r>
          </w:p>
        </w:tc>
      </w:tr>
      <w:tr w:rsidR="005E3EB2" w:rsidRPr="003C3A40" w14:paraId="72DE74B1" w14:textId="34DE4943" w:rsidTr="005E3EB2">
        <w:trPr>
          <w:trHeight w:val="388"/>
        </w:trPr>
        <w:tc>
          <w:tcPr>
            <w:tcW w:w="851" w:type="dxa"/>
            <w:tcBorders>
              <w:top w:val="single" w:sz="4" w:space="0" w:color="auto"/>
              <w:left w:val="single" w:sz="4" w:space="0" w:color="auto"/>
              <w:bottom w:val="single" w:sz="4" w:space="0" w:color="auto"/>
              <w:right w:val="single" w:sz="4" w:space="0" w:color="auto"/>
            </w:tcBorders>
          </w:tcPr>
          <w:p w14:paraId="0D58627D"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5</w:t>
            </w:r>
          </w:p>
        </w:tc>
        <w:tc>
          <w:tcPr>
            <w:tcW w:w="2550" w:type="dxa"/>
            <w:tcBorders>
              <w:top w:val="single" w:sz="4" w:space="0" w:color="auto"/>
              <w:left w:val="single" w:sz="4" w:space="0" w:color="auto"/>
              <w:bottom w:val="single" w:sz="4" w:space="0" w:color="auto"/>
              <w:right w:val="single" w:sz="4" w:space="0" w:color="auto"/>
            </w:tcBorders>
          </w:tcPr>
          <w:p w14:paraId="12C71BEC" w14:textId="77777777" w:rsidR="005E3EB2" w:rsidRPr="003C3A40" w:rsidRDefault="005E3EB2"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PROM</w:t>
            </w:r>
          </w:p>
        </w:tc>
        <w:tc>
          <w:tcPr>
            <w:tcW w:w="992" w:type="dxa"/>
            <w:tcBorders>
              <w:top w:val="single" w:sz="4" w:space="0" w:color="auto"/>
              <w:left w:val="single" w:sz="4" w:space="0" w:color="auto"/>
              <w:bottom w:val="single" w:sz="4" w:space="0" w:color="auto"/>
              <w:right w:val="single" w:sz="4" w:space="0" w:color="auto"/>
            </w:tcBorders>
            <w:vAlign w:val="center"/>
          </w:tcPr>
          <w:p w14:paraId="7B86DD49"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287.33</w:t>
            </w:r>
          </w:p>
        </w:tc>
        <w:tc>
          <w:tcPr>
            <w:tcW w:w="717" w:type="dxa"/>
            <w:tcBorders>
              <w:top w:val="single" w:sz="4" w:space="0" w:color="auto"/>
              <w:left w:val="single" w:sz="4" w:space="0" w:color="auto"/>
              <w:bottom w:val="single" w:sz="4" w:space="0" w:color="auto"/>
              <w:right w:val="single" w:sz="4" w:space="0" w:color="auto"/>
            </w:tcBorders>
            <w:vAlign w:val="center"/>
          </w:tcPr>
          <w:p w14:paraId="7FE42E54"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37.33</w:t>
            </w:r>
          </w:p>
        </w:tc>
        <w:tc>
          <w:tcPr>
            <w:tcW w:w="844" w:type="dxa"/>
            <w:tcBorders>
              <w:top w:val="single" w:sz="4" w:space="0" w:color="auto"/>
              <w:left w:val="single" w:sz="4" w:space="0" w:color="auto"/>
              <w:bottom w:val="single" w:sz="4" w:space="0" w:color="auto"/>
              <w:right w:val="single" w:sz="4" w:space="0" w:color="auto"/>
            </w:tcBorders>
            <w:vAlign w:val="center"/>
          </w:tcPr>
          <w:p w14:paraId="6FD2539C"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737.67</w:t>
            </w:r>
          </w:p>
        </w:tc>
        <w:tc>
          <w:tcPr>
            <w:tcW w:w="844" w:type="dxa"/>
            <w:tcBorders>
              <w:top w:val="single" w:sz="4" w:space="0" w:color="auto"/>
              <w:left w:val="single" w:sz="4" w:space="0" w:color="auto"/>
              <w:bottom w:val="single" w:sz="4" w:space="0" w:color="auto"/>
              <w:right w:val="single" w:sz="4" w:space="0" w:color="auto"/>
            </w:tcBorders>
            <w:vAlign w:val="center"/>
          </w:tcPr>
          <w:p w14:paraId="4EAD4EE1" w14:textId="5D269A9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5.4</w:t>
            </w:r>
          </w:p>
        </w:tc>
        <w:tc>
          <w:tcPr>
            <w:tcW w:w="844" w:type="dxa"/>
            <w:tcBorders>
              <w:top w:val="single" w:sz="4" w:space="0" w:color="auto"/>
              <w:left w:val="single" w:sz="4" w:space="0" w:color="auto"/>
              <w:bottom w:val="single" w:sz="4" w:space="0" w:color="auto"/>
              <w:right w:val="single" w:sz="4" w:space="0" w:color="auto"/>
            </w:tcBorders>
            <w:vAlign w:val="center"/>
          </w:tcPr>
          <w:p w14:paraId="69B7E8C6" w14:textId="2D04DCAF"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9.2</w:t>
            </w:r>
          </w:p>
        </w:tc>
        <w:tc>
          <w:tcPr>
            <w:tcW w:w="844" w:type="dxa"/>
            <w:tcBorders>
              <w:top w:val="single" w:sz="4" w:space="0" w:color="auto"/>
              <w:left w:val="single" w:sz="4" w:space="0" w:color="auto"/>
              <w:bottom w:val="single" w:sz="4" w:space="0" w:color="auto"/>
              <w:right w:val="single" w:sz="4" w:space="0" w:color="auto"/>
            </w:tcBorders>
            <w:vAlign w:val="center"/>
          </w:tcPr>
          <w:p w14:paraId="4F69E85E" w14:textId="2E92F2E7"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4.4</w:t>
            </w:r>
          </w:p>
        </w:tc>
        <w:tc>
          <w:tcPr>
            <w:tcW w:w="844" w:type="dxa"/>
            <w:tcBorders>
              <w:top w:val="single" w:sz="4" w:space="0" w:color="auto"/>
              <w:left w:val="single" w:sz="4" w:space="0" w:color="auto"/>
              <w:bottom w:val="single" w:sz="4" w:space="0" w:color="auto"/>
              <w:right w:val="single" w:sz="4" w:space="0" w:color="auto"/>
            </w:tcBorders>
            <w:vAlign w:val="center"/>
          </w:tcPr>
          <w:p w14:paraId="2D044254" w14:textId="567D4CC7"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9.8</w:t>
            </w:r>
          </w:p>
        </w:tc>
      </w:tr>
      <w:tr w:rsidR="005E3EB2" w:rsidRPr="003C3A40" w14:paraId="039B3FDC" w14:textId="177164BD" w:rsidTr="005E3EB2">
        <w:trPr>
          <w:trHeight w:val="388"/>
        </w:trPr>
        <w:tc>
          <w:tcPr>
            <w:tcW w:w="851" w:type="dxa"/>
            <w:tcBorders>
              <w:top w:val="single" w:sz="4" w:space="0" w:color="auto"/>
              <w:left w:val="single" w:sz="4" w:space="0" w:color="auto"/>
              <w:bottom w:val="single" w:sz="4" w:space="0" w:color="auto"/>
              <w:right w:val="single" w:sz="4" w:space="0" w:color="auto"/>
            </w:tcBorders>
          </w:tcPr>
          <w:p w14:paraId="5B2F8F3A"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6</w:t>
            </w:r>
          </w:p>
        </w:tc>
        <w:tc>
          <w:tcPr>
            <w:tcW w:w="2550" w:type="dxa"/>
            <w:tcBorders>
              <w:top w:val="single" w:sz="4" w:space="0" w:color="auto"/>
              <w:left w:val="single" w:sz="4" w:space="0" w:color="auto"/>
              <w:bottom w:val="single" w:sz="4" w:space="0" w:color="auto"/>
              <w:right w:val="single" w:sz="4" w:space="0" w:color="auto"/>
            </w:tcBorders>
          </w:tcPr>
          <w:p w14:paraId="4A9697AF" w14:textId="77777777" w:rsidR="005E3EB2" w:rsidRPr="003C3A40" w:rsidRDefault="005E3EB2"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DAP + FYM @12.5 t ha</w:t>
            </w:r>
            <w:r w:rsidRPr="003C3A40">
              <w:rPr>
                <w:rFonts w:ascii="Arial" w:hAnsi="Arial" w:cs="Arial"/>
                <w:color w:val="000000" w:themeColor="text1"/>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center"/>
          </w:tcPr>
          <w:p w14:paraId="0E45F8D5"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293.67</w:t>
            </w:r>
          </w:p>
        </w:tc>
        <w:tc>
          <w:tcPr>
            <w:tcW w:w="717" w:type="dxa"/>
            <w:tcBorders>
              <w:top w:val="single" w:sz="4" w:space="0" w:color="auto"/>
              <w:left w:val="single" w:sz="4" w:space="0" w:color="auto"/>
              <w:bottom w:val="single" w:sz="4" w:space="0" w:color="auto"/>
              <w:right w:val="single" w:sz="4" w:space="0" w:color="auto"/>
            </w:tcBorders>
            <w:vAlign w:val="center"/>
          </w:tcPr>
          <w:p w14:paraId="2D67B834"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41.33</w:t>
            </w:r>
          </w:p>
        </w:tc>
        <w:tc>
          <w:tcPr>
            <w:tcW w:w="844" w:type="dxa"/>
            <w:tcBorders>
              <w:top w:val="single" w:sz="4" w:space="0" w:color="auto"/>
              <w:left w:val="single" w:sz="4" w:space="0" w:color="auto"/>
              <w:bottom w:val="single" w:sz="4" w:space="0" w:color="auto"/>
              <w:right w:val="single" w:sz="4" w:space="0" w:color="auto"/>
            </w:tcBorders>
            <w:vAlign w:val="center"/>
          </w:tcPr>
          <w:p w14:paraId="7F127EE6"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745.33</w:t>
            </w:r>
          </w:p>
        </w:tc>
        <w:tc>
          <w:tcPr>
            <w:tcW w:w="844" w:type="dxa"/>
            <w:tcBorders>
              <w:top w:val="single" w:sz="4" w:space="0" w:color="auto"/>
              <w:left w:val="single" w:sz="4" w:space="0" w:color="auto"/>
              <w:bottom w:val="single" w:sz="4" w:space="0" w:color="auto"/>
              <w:right w:val="single" w:sz="4" w:space="0" w:color="auto"/>
            </w:tcBorders>
            <w:vAlign w:val="center"/>
          </w:tcPr>
          <w:p w14:paraId="7432606D" w14:textId="1FF7455D"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5.5</w:t>
            </w:r>
          </w:p>
        </w:tc>
        <w:tc>
          <w:tcPr>
            <w:tcW w:w="844" w:type="dxa"/>
            <w:tcBorders>
              <w:top w:val="single" w:sz="4" w:space="0" w:color="auto"/>
              <w:left w:val="single" w:sz="4" w:space="0" w:color="auto"/>
              <w:bottom w:val="single" w:sz="4" w:space="0" w:color="auto"/>
              <w:right w:val="single" w:sz="4" w:space="0" w:color="auto"/>
            </w:tcBorders>
            <w:vAlign w:val="center"/>
          </w:tcPr>
          <w:p w14:paraId="4BAA3786" w14:textId="6C2CB6C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9.3</w:t>
            </w:r>
          </w:p>
        </w:tc>
        <w:tc>
          <w:tcPr>
            <w:tcW w:w="844" w:type="dxa"/>
            <w:tcBorders>
              <w:top w:val="single" w:sz="4" w:space="0" w:color="auto"/>
              <w:left w:val="single" w:sz="4" w:space="0" w:color="auto"/>
              <w:bottom w:val="single" w:sz="4" w:space="0" w:color="auto"/>
              <w:right w:val="single" w:sz="4" w:space="0" w:color="auto"/>
            </w:tcBorders>
            <w:vAlign w:val="center"/>
          </w:tcPr>
          <w:p w14:paraId="5C20E852" w14:textId="0A6DFB9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757D670E" w14:textId="385A9CC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10.0</w:t>
            </w:r>
          </w:p>
        </w:tc>
      </w:tr>
      <w:tr w:rsidR="005E3EB2" w:rsidRPr="003C3A40" w14:paraId="1B3D5792" w14:textId="66E7790C" w:rsidTr="005E3EB2">
        <w:trPr>
          <w:trHeight w:val="455"/>
        </w:trPr>
        <w:tc>
          <w:tcPr>
            <w:tcW w:w="851" w:type="dxa"/>
            <w:tcBorders>
              <w:top w:val="single" w:sz="4" w:space="0" w:color="auto"/>
              <w:left w:val="single" w:sz="4" w:space="0" w:color="auto"/>
              <w:bottom w:val="single" w:sz="4" w:space="0" w:color="auto"/>
              <w:right w:val="single" w:sz="4" w:space="0" w:color="auto"/>
            </w:tcBorders>
            <w:hideMark/>
          </w:tcPr>
          <w:p w14:paraId="75ED8999"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7</w:t>
            </w:r>
          </w:p>
        </w:tc>
        <w:tc>
          <w:tcPr>
            <w:tcW w:w="2550" w:type="dxa"/>
            <w:tcBorders>
              <w:top w:val="single" w:sz="4" w:space="0" w:color="auto"/>
              <w:left w:val="single" w:sz="4" w:space="0" w:color="auto"/>
              <w:bottom w:val="single" w:sz="4" w:space="0" w:color="auto"/>
              <w:right w:val="single" w:sz="4" w:space="0" w:color="auto"/>
            </w:tcBorders>
            <w:hideMark/>
          </w:tcPr>
          <w:p w14:paraId="34C4B901" w14:textId="77777777" w:rsidR="005E3EB2" w:rsidRPr="003C3A40" w:rsidRDefault="005E3EB2" w:rsidP="00245A8B">
            <w:pPr>
              <w:spacing w:line="276" w:lineRule="auto"/>
              <w:jc w:val="both"/>
              <w:rPr>
                <w:rFonts w:ascii="Arial" w:eastAsia="Times New Roman" w:hAnsi="Arial" w:cs="Arial"/>
                <w:color w:val="000000" w:themeColor="text1"/>
                <w:kern w:val="0"/>
                <w:sz w:val="20"/>
                <w:szCs w:val="20"/>
                <w:lang w:eastAsia="en-IN" w:bidi="mr-IN"/>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SSP + FYM @12.5 t ha</w:t>
            </w:r>
            <w:r w:rsidRPr="003C3A40">
              <w:rPr>
                <w:rFonts w:ascii="Arial" w:hAnsi="Arial" w:cs="Arial"/>
                <w:color w:val="000000" w:themeColor="text1"/>
                <w:sz w:val="20"/>
                <w:szCs w:val="20"/>
                <w:vertAlign w:val="superscript"/>
              </w:rPr>
              <w:t>-1</w:t>
            </w:r>
          </w:p>
        </w:tc>
        <w:tc>
          <w:tcPr>
            <w:tcW w:w="992" w:type="dxa"/>
            <w:tcBorders>
              <w:top w:val="single" w:sz="4" w:space="0" w:color="auto"/>
              <w:left w:val="single" w:sz="4" w:space="0" w:color="auto"/>
              <w:bottom w:val="single" w:sz="4" w:space="0" w:color="auto"/>
              <w:right w:val="single" w:sz="4" w:space="0" w:color="auto"/>
            </w:tcBorders>
            <w:vAlign w:val="center"/>
          </w:tcPr>
          <w:p w14:paraId="79FA301B"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297.33</w:t>
            </w:r>
          </w:p>
        </w:tc>
        <w:tc>
          <w:tcPr>
            <w:tcW w:w="717" w:type="dxa"/>
            <w:tcBorders>
              <w:top w:val="single" w:sz="4" w:space="0" w:color="auto"/>
              <w:left w:val="single" w:sz="4" w:space="0" w:color="auto"/>
              <w:bottom w:val="single" w:sz="4" w:space="0" w:color="auto"/>
              <w:right w:val="single" w:sz="4" w:space="0" w:color="auto"/>
            </w:tcBorders>
            <w:vAlign w:val="center"/>
          </w:tcPr>
          <w:p w14:paraId="0E14665C"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39.33</w:t>
            </w:r>
          </w:p>
        </w:tc>
        <w:tc>
          <w:tcPr>
            <w:tcW w:w="844" w:type="dxa"/>
            <w:tcBorders>
              <w:top w:val="single" w:sz="4" w:space="0" w:color="auto"/>
              <w:left w:val="single" w:sz="4" w:space="0" w:color="auto"/>
              <w:bottom w:val="single" w:sz="4" w:space="0" w:color="auto"/>
              <w:right w:val="single" w:sz="4" w:space="0" w:color="auto"/>
            </w:tcBorders>
            <w:vAlign w:val="center"/>
          </w:tcPr>
          <w:p w14:paraId="3FA79649"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744.67</w:t>
            </w:r>
          </w:p>
        </w:tc>
        <w:tc>
          <w:tcPr>
            <w:tcW w:w="844" w:type="dxa"/>
            <w:tcBorders>
              <w:top w:val="single" w:sz="4" w:space="0" w:color="auto"/>
              <w:left w:val="single" w:sz="4" w:space="0" w:color="auto"/>
              <w:bottom w:val="single" w:sz="4" w:space="0" w:color="auto"/>
              <w:right w:val="single" w:sz="4" w:space="0" w:color="auto"/>
            </w:tcBorders>
            <w:vAlign w:val="center"/>
          </w:tcPr>
          <w:p w14:paraId="591BB007" w14:textId="073CBFCE"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5.4</w:t>
            </w:r>
          </w:p>
        </w:tc>
        <w:tc>
          <w:tcPr>
            <w:tcW w:w="844" w:type="dxa"/>
            <w:tcBorders>
              <w:top w:val="single" w:sz="4" w:space="0" w:color="auto"/>
              <w:left w:val="single" w:sz="4" w:space="0" w:color="auto"/>
              <w:bottom w:val="single" w:sz="4" w:space="0" w:color="auto"/>
              <w:right w:val="single" w:sz="4" w:space="0" w:color="auto"/>
            </w:tcBorders>
            <w:vAlign w:val="center"/>
          </w:tcPr>
          <w:p w14:paraId="163CE140" w14:textId="409708F1"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9.3</w:t>
            </w:r>
          </w:p>
        </w:tc>
        <w:tc>
          <w:tcPr>
            <w:tcW w:w="844" w:type="dxa"/>
            <w:tcBorders>
              <w:top w:val="single" w:sz="4" w:space="0" w:color="auto"/>
              <w:left w:val="single" w:sz="4" w:space="0" w:color="auto"/>
              <w:bottom w:val="single" w:sz="4" w:space="0" w:color="auto"/>
              <w:right w:val="single" w:sz="4" w:space="0" w:color="auto"/>
            </w:tcBorders>
            <w:vAlign w:val="center"/>
          </w:tcPr>
          <w:p w14:paraId="389A0C86" w14:textId="7D3EEDD9"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08DF33F8" w14:textId="7237980A"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10.0</w:t>
            </w:r>
          </w:p>
        </w:tc>
      </w:tr>
      <w:tr w:rsidR="005E3EB2" w:rsidRPr="003C3A40" w14:paraId="20DA3896" w14:textId="75D968EA" w:rsidTr="005E3EB2">
        <w:trPr>
          <w:trHeight w:val="455"/>
        </w:trPr>
        <w:tc>
          <w:tcPr>
            <w:tcW w:w="851" w:type="dxa"/>
            <w:tcBorders>
              <w:top w:val="single" w:sz="4" w:space="0" w:color="auto"/>
              <w:left w:val="single" w:sz="4" w:space="0" w:color="auto"/>
              <w:bottom w:val="single" w:sz="4" w:space="0" w:color="auto"/>
              <w:right w:val="single" w:sz="4" w:space="0" w:color="auto"/>
            </w:tcBorders>
          </w:tcPr>
          <w:p w14:paraId="1B5548D8" w14:textId="77777777" w:rsidR="005E3EB2" w:rsidRPr="003C3A40" w:rsidRDefault="005E3EB2" w:rsidP="00245A8B">
            <w:pPr>
              <w:spacing w:line="276" w:lineRule="auto"/>
              <w:jc w:val="center"/>
              <w:rPr>
                <w:rFonts w:ascii="Arial" w:hAnsi="Arial" w:cs="Arial"/>
                <w:sz w:val="20"/>
                <w:szCs w:val="20"/>
                <w:lang w:val="en-US"/>
              </w:rPr>
            </w:pPr>
            <w:r w:rsidRPr="003C3A40">
              <w:rPr>
                <w:rFonts w:ascii="Arial" w:hAnsi="Arial" w:cs="Arial"/>
                <w:sz w:val="20"/>
                <w:szCs w:val="20"/>
                <w:lang w:val="en-US"/>
              </w:rPr>
              <w:t>T</w:t>
            </w:r>
            <w:r w:rsidRPr="003C3A40">
              <w:rPr>
                <w:rFonts w:ascii="Arial" w:hAnsi="Arial" w:cs="Arial"/>
                <w:sz w:val="20"/>
                <w:szCs w:val="20"/>
                <w:vertAlign w:val="subscript"/>
                <w:lang w:val="en-US"/>
              </w:rPr>
              <w:t>8</w:t>
            </w:r>
          </w:p>
        </w:tc>
        <w:tc>
          <w:tcPr>
            <w:tcW w:w="2550" w:type="dxa"/>
            <w:tcBorders>
              <w:top w:val="single" w:sz="4" w:space="0" w:color="auto"/>
              <w:left w:val="single" w:sz="4" w:space="0" w:color="auto"/>
              <w:bottom w:val="single" w:sz="4" w:space="0" w:color="auto"/>
              <w:right w:val="single" w:sz="4" w:space="0" w:color="auto"/>
            </w:tcBorders>
          </w:tcPr>
          <w:p w14:paraId="31D840EA" w14:textId="77777777" w:rsidR="005E3EB2" w:rsidRPr="003C3A40" w:rsidRDefault="005E3EB2" w:rsidP="00245A8B">
            <w:pPr>
              <w:spacing w:line="276" w:lineRule="auto"/>
              <w:jc w:val="both"/>
              <w:rPr>
                <w:rFonts w:ascii="Arial" w:hAnsi="Arial" w:cs="Arial"/>
                <w:color w:val="000000" w:themeColor="text1"/>
                <w:sz w:val="20"/>
                <w:szCs w:val="20"/>
              </w:rPr>
            </w:pPr>
            <w:r w:rsidRPr="003C3A40">
              <w:rPr>
                <w:rFonts w:ascii="Arial" w:hAnsi="Arial" w:cs="Arial"/>
                <w:color w:val="000000" w:themeColor="text1"/>
                <w:sz w:val="20"/>
                <w:szCs w:val="20"/>
              </w:rPr>
              <w:t>100% P</w:t>
            </w:r>
            <w:r w:rsidRPr="003C3A40">
              <w:rPr>
                <w:rFonts w:ascii="Arial" w:hAnsi="Arial" w:cs="Arial"/>
                <w:color w:val="000000" w:themeColor="text1"/>
                <w:sz w:val="20"/>
                <w:szCs w:val="20"/>
                <w:vertAlign w:val="subscript"/>
              </w:rPr>
              <w:t>2</w:t>
            </w:r>
            <w:r w:rsidRPr="003C3A40">
              <w:rPr>
                <w:rFonts w:ascii="Arial" w:hAnsi="Arial" w:cs="Arial"/>
                <w:color w:val="000000" w:themeColor="text1"/>
                <w:sz w:val="20"/>
                <w:szCs w:val="20"/>
              </w:rPr>
              <w:t>O</w:t>
            </w:r>
            <w:r w:rsidRPr="003C3A40">
              <w:rPr>
                <w:rFonts w:ascii="Arial" w:hAnsi="Arial" w:cs="Arial"/>
                <w:color w:val="000000" w:themeColor="text1"/>
                <w:sz w:val="20"/>
                <w:szCs w:val="20"/>
                <w:vertAlign w:val="subscript"/>
              </w:rPr>
              <w:t>5</w:t>
            </w:r>
            <w:r w:rsidRPr="003C3A40">
              <w:rPr>
                <w:rFonts w:ascii="Arial" w:hAnsi="Arial" w:cs="Arial"/>
                <w:color w:val="000000" w:themeColor="text1"/>
                <w:sz w:val="20"/>
                <w:szCs w:val="20"/>
              </w:rPr>
              <w:t xml:space="preserve"> through Vermicompost</w:t>
            </w:r>
          </w:p>
        </w:tc>
        <w:tc>
          <w:tcPr>
            <w:tcW w:w="992" w:type="dxa"/>
            <w:tcBorders>
              <w:top w:val="single" w:sz="4" w:space="0" w:color="auto"/>
              <w:left w:val="single" w:sz="4" w:space="0" w:color="auto"/>
              <w:bottom w:val="single" w:sz="4" w:space="0" w:color="auto"/>
              <w:right w:val="single" w:sz="4" w:space="0" w:color="auto"/>
            </w:tcBorders>
            <w:vAlign w:val="center"/>
          </w:tcPr>
          <w:p w14:paraId="503F1E8F"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295.67</w:t>
            </w:r>
          </w:p>
        </w:tc>
        <w:tc>
          <w:tcPr>
            <w:tcW w:w="717" w:type="dxa"/>
            <w:tcBorders>
              <w:top w:val="single" w:sz="4" w:space="0" w:color="auto"/>
              <w:left w:val="single" w:sz="4" w:space="0" w:color="auto"/>
              <w:bottom w:val="single" w:sz="4" w:space="0" w:color="auto"/>
              <w:right w:val="single" w:sz="4" w:space="0" w:color="auto"/>
            </w:tcBorders>
            <w:vAlign w:val="center"/>
          </w:tcPr>
          <w:p w14:paraId="20842DB7"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34.00</w:t>
            </w:r>
          </w:p>
        </w:tc>
        <w:tc>
          <w:tcPr>
            <w:tcW w:w="844" w:type="dxa"/>
            <w:tcBorders>
              <w:top w:val="single" w:sz="4" w:space="0" w:color="auto"/>
              <w:left w:val="single" w:sz="4" w:space="0" w:color="auto"/>
              <w:bottom w:val="single" w:sz="4" w:space="0" w:color="auto"/>
              <w:right w:val="single" w:sz="4" w:space="0" w:color="auto"/>
            </w:tcBorders>
            <w:vAlign w:val="center"/>
          </w:tcPr>
          <w:p w14:paraId="09DA9030" w14:textId="77777777" w:rsidR="005E3EB2" w:rsidRPr="003C3A40" w:rsidRDefault="005E3EB2" w:rsidP="00245A8B">
            <w:pPr>
              <w:spacing w:line="276" w:lineRule="auto"/>
              <w:jc w:val="center"/>
              <w:rPr>
                <w:rFonts w:ascii="Arial" w:hAnsi="Arial" w:cs="Arial"/>
                <w:color w:val="000000"/>
                <w:sz w:val="20"/>
                <w:szCs w:val="20"/>
              </w:rPr>
            </w:pPr>
            <w:r w:rsidRPr="003C3A40">
              <w:rPr>
                <w:rFonts w:ascii="Arial" w:hAnsi="Arial" w:cs="Arial"/>
                <w:color w:val="000000"/>
                <w:sz w:val="20"/>
                <w:szCs w:val="20"/>
              </w:rPr>
              <w:t>732.33</w:t>
            </w:r>
          </w:p>
        </w:tc>
        <w:tc>
          <w:tcPr>
            <w:tcW w:w="844" w:type="dxa"/>
            <w:tcBorders>
              <w:top w:val="single" w:sz="4" w:space="0" w:color="auto"/>
              <w:left w:val="single" w:sz="4" w:space="0" w:color="auto"/>
              <w:bottom w:val="single" w:sz="4" w:space="0" w:color="auto"/>
              <w:right w:val="single" w:sz="4" w:space="0" w:color="auto"/>
            </w:tcBorders>
            <w:vAlign w:val="center"/>
          </w:tcPr>
          <w:p w14:paraId="309ABF36" w14:textId="59D09B5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5.7</w:t>
            </w:r>
          </w:p>
        </w:tc>
        <w:tc>
          <w:tcPr>
            <w:tcW w:w="844" w:type="dxa"/>
            <w:tcBorders>
              <w:top w:val="single" w:sz="4" w:space="0" w:color="auto"/>
              <w:left w:val="single" w:sz="4" w:space="0" w:color="auto"/>
              <w:bottom w:val="single" w:sz="4" w:space="0" w:color="auto"/>
              <w:right w:val="single" w:sz="4" w:space="0" w:color="auto"/>
            </w:tcBorders>
            <w:vAlign w:val="center"/>
          </w:tcPr>
          <w:p w14:paraId="3BA64B2A" w14:textId="32E50FA2"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9.9</w:t>
            </w:r>
          </w:p>
        </w:tc>
        <w:tc>
          <w:tcPr>
            <w:tcW w:w="844" w:type="dxa"/>
            <w:tcBorders>
              <w:top w:val="single" w:sz="4" w:space="0" w:color="auto"/>
              <w:left w:val="single" w:sz="4" w:space="0" w:color="auto"/>
              <w:bottom w:val="single" w:sz="4" w:space="0" w:color="auto"/>
              <w:right w:val="single" w:sz="4" w:space="0" w:color="auto"/>
            </w:tcBorders>
            <w:vAlign w:val="center"/>
          </w:tcPr>
          <w:p w14:paraId="759E6E36" w14:textId="18959352"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4.6</w:t>
            </w:r>
          </w:p>
        </w:tc>
        <w:tc>
          <w:tcPr>
            <w:tcW w:w="844" w:type="dxa"/>
            <w:tcBorders>
              <w:top w:val="single" w:sz="4" w:space="0" w:color="auto"/>
              <w:left w:val="single" w:sz="4" w:space="0" w:color="auto"/>
              <w:bottom w:val="single" w:sz="4" w:space="0" w:color="auto"/>
              <w:right w:val="single" w:sz="4" w:space="0" w:color="auto"/>
            </w:tcBorders>
            <w:vAlign w:val="center"/>
          </w:tcPr>
          <w:p w14:paraId="59F6F34B" w14:textId="3D415F9F"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10.4</w:t>
            </w:r>
          </w:p>
        </w:tc>
      </w:tr>
      <w:tr w:rsidR="005E3EB2" w:rsidRPr="003C3A40" w14:paraId="3743BB12" w14:textId="71E070D1" w:rsidTr="005E3EB2">
        <w:trPr>
          <w:trHeight w:val="199"/>
        </w:trPr>
        <w:tc>
          <w:tcPr>
            <w:tcW w:w="851" w:type="dxa"/>
            <w:tcBorders>
              <w:top w:val="single" w:sz="4" w:space="0" w:color="auto"/>
              <w:left w:val="single" w:sz="4" w:space="0" w:color="auto"/>
              <w:bottom w:val="single" w:sz="4" w:space="0" w:color="auto"/>
              <w:right w:val="single" w:sz="4" w:space="0" w:color="auto"/>
            </w:tcBorders>
          </w:tcPr>
          <w:p w14:paraId="6EB9A057" w14:textId="77777777" w:rsidR="005E3EB2" w:rsidRPr="003C3A40" w:rsidRDefault="005E3EB2" w:rsidP="00245A8B">
            <w:pPr>
              <w:spacing w:line="276" w:lineRule="auto"/>
              <w:jc w:val="center"/>
              <w:rPr>
                <w:rFonts w:ascii="Arial" w:hAnsi="Arial" w:cs="Arial"/>
                <w:sz w:val="20"/>
                <w:szCs w:val="20"/>
                <w:lang w:val="en-US"/>
              </w:rPr>
            </w:pPr>
          </w:p>
        </w:tc>
        <w:tc>
          <w:tcPr>
            <w:tcW w:w="2550" w:type="dxa"/>
            <w:tcBorders>
              <w:top w:val="single" w:sz="4" w:space="0" w:color="auto"/>
              <w:left w:val="single" w:sz="4" w:space="0" w:color="auto"/>
              <w:bottom w:val="single" w:sz="4" w:space="0" w:color="auto"/>
              <w:right w:val="single" w:sz="4" w:space="0" w:color="auto"/>
            </w:tcBorders>
            <w:vAlign w:val="center"/>
          </w:tcPr>
          <w:p w14:paraId="62491F3E" w14:textId="1EC33415" w:rsidR="005E3EB2" w:rsidRPr="003C3A40" w:rsidRDefault="005E3EB2" w:rsidP="00245A8B">
            <w:pPr>
              <w:spacing w:line="276" w:lineRule="auto"/>
              <w:jc w:val="right"/>
              <w:rPr>
                <w:rFonts w:ascii="Arial" w:eastAsia="Times New Roman" w:hAnsi="Arial" w:cs="Arial"/>
                <w:kern w:val="0"/>
                <w:sz w:val="20"/>
                <w:szCs w:val="20"/>
                <w:lang w:eastAsia="en-IN" w:bidi="mr-IN"/>
              </w:rPr>
            </w:pPr>
            <w:r w:rsidRPr="003C3A40">
              <w:rPr>
                <w:rFonts w:ascii="Arial" w:hAnsi="Arial" w:cs="Arial"/>
                <w:sz w:val="20"/>
                <w:szCs w:val="20"/>
                <w:lang w:val="en-US"/>
              </w:rPr>
              <w:t>SE</w:t>
            </w:r>
            <w:r w:rsidR="002969C5">
              <w:rPr>
                <w:rFonts w:ascii="Arial" w:hAnsi="Arial" w:cs="Arial"/>
                <w:sz w:val="20"/>
                <w:szCs w:val="20"/>
                <w:lang w:val="en-US"/>
              </w:rPr>
              <w:t>(</w:t>
            </w:r>
            <w:r w:rsidRPr="003C3A40">
              <w:rPr>
                <w:rFonts w:ascii="Arial" w:hAnsi="Arial" w:cs="Arial"/>
                <w:sz w:val="20"/>
                <w:szCs w:val="20"/>
                <w:lang w:val="en-US"/>
              </w:rPr>
              <w:t>m</w:t>
            </w:r>
            <w:r w:rsidR="002969C5">
              <w:rPr>
                <w:rFonts w:ascii="Arial" w:hAnsi="Arial" w:cs="Arial"/>
                <w:sz w:val="20"/>
                <w:szCs w:val="20"/>
                <w:lang w:val="en-US"/>
              </w:rPr>
              <w:t>)</w:t>
            </w:r>
            <w:r w:rsidRPr="003C3A40">
              <w:rPr>
                <w:rFonts w:ascii="Arial" w:hAnsi="Arial" w:cs="Arial"/>
                <w:sz w:val="20"/>
                <w:szCs w:val="20"/>
                <w:lang w:val="en-US"/>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A406E42"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2.65</w:t>
            </w:r>
          </w:p>
        </w:tc>
        <w:tc>
          <w:tcPr>
            <w:tcW w:w="717" w:type="dxa"/>
            <w:tcBorders>
              <w:top w:val="single" w:sz="4" w:space="0" w:color="auto"/>
              <w:left w:val="single" w:sz="4" w:space="0" w:color="auto"/>
              <w:bottom w:val="single" w:sz="4" w:space="0" w:color="auto"/>
              <w:right w:val="single" w:sz="4" w:space="0" w:color="auto"/>
            </w:tcBorders>
            <w:vAlign w:val="center"/>
          </w:tcPr>
          <w:p w14:paraId="04D2A090"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0.93</w:t>
            </w:r>
          </w:p>
        </w:tc>
        <w:tc>
          <w:tcPr>
            <w:tcW w:w="844" w:type="dxa"/>
            <w:tcBorders>
              <w:top w:val="single" w:sz="4" w:space="0" w:color="auto"/>
              <w:left w:val="single" w:sz="4" w:space="0" w:color="auto"/>
              <w:bottom w:val="single" w:sz="4" w:space="0" w:color="auto"/>
              <w:right w:val="single" w:sz="4" w:space="0" w:color="auto"/>
            </w:tcBorders>
            <w:vAlign w:val="center"/>
          </w:tcPr>
          <w:p w14:paraId="1F666BD6"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2.04</w:t>
            </w:r>
          </w:p>
        </w:tc>
        <w:tc>
          <w:tcPr>
            <w:tcW w:w="844" w:type="dxa"/>
            <w:tcBorders>
              <w:top w:val="single" w:sz="4" w:space="0" w:color="auto"/>
              <w:left w:val="single" w:sz="4" w:space="0" w:color="auto"/>
              <w:bottom w:val="single" w:sz="4" w:space="0" w:color="auto"/>
              <w:right w:val="single" w:sz="4" w:space="0" w:color="auto"/>
            </w:tcBorders>
            <w:vAlign w:val="center"/>
          </w:tcPr>
          <w:p w14:paraId="4A54E355" w14:textId="0FFE1E65"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0.04</w:t>
            </w:r>
          </w:p>
        </w:tc>
        <w:tc>
          <w:tcPr>
            <w:tcW w:w="844" w:type="dxa"/>
            <w:tcBorders>
              <w:top w:val="single" w:sz="4" w:space="0" w:color="auto"/>
              <w:left w:val="single" w:sz="4" w:space="0" w:color="auto"/>
              <w:bottom w:val="single" w:sz="4" w:space="0" w:color="auto"/>
              <w:right w:val="single" w:sz="4" w:space="0" w:color="auto"/>
            </w:tcBorders>
            <w:vAlign w:val="center"/>
          </w:tcPr>
          <w:p w14:paraId="35A212D0" w14:textId="22E0D50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0.12</w:t>
            </w:r>
          </w:p>
        </w:tc>
        <w:tc>
          <w:tcPr>
            <w:tcW w:w="844" w:type="dxa"/>
            <w:tcBorders>
              <w:top w:val="single" w:sz="4" w:space="0" w:color="auto"/>
              <w:left w:val="single" w:sz="4" w:space="0" w:color="auto"/>
              <w:bottom w:val="single" w:sz="4" w:space="0" w:color="auto"/>
              <w:right w:val="single" w:sz="4" w:space="0" w:color="auto"/>
            </w:tcBorders>
            <w:vAlign w:val="center"/>
          </w:tcPr>
          <w:p w14:paraId="25B894B9" w14:textId="2659E45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0.04</w:t>
            </w:r>
          </w:p>
        </w:tc>
        <w:tc>
          <w:tcPr>
            <w:tcW w:w="844" w:type="dxa"/>
            <w:tcBorders>
              <w:top w:val="single" w:sz="4" w:space="0" w:color="auto"/>
              <w:left w:val="single" w:sz="4" w:space="0" w:color="auto"/>
              <w:bottom w:val="single" w:sz="4" w:space="0" w:color="auto"/>
              <w:right w:val="single" w:sz="4" w:space="0" w:color="auto"/>
            </w:tcBorders>
            <w:vAlign w:val="center"/>
          </w:tcPr>
          <w:p w14:paraId="352E4AE9" w14:textId="619A5D56"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0.14</w:t>
            </w:r>
          </w:p>
        </w:tc>
      </w:tr>
      <w:tr w:rsidR="005E3EB2" w:rsidRPr="003C3A40" w14:paraId="1BAC80D4" w14:textId="4BFC8DFB" w:rsidTr="005E3EB2">
        <w:trPr>
          <w:trHeight w:val="413"/>
        </w:trPr>
        <w:tc>
          <w:tcPr>
            <w:tcW w:w="851" w:type="dxa"/>
            <w:tcBorders>
              <w:top w:val="single" w:sz="4" w:space="0" w:color="auto"/>
              <w:left w:val="single" w:sz="4" w:space="0" w:color="auto"/>
              <w:bottom w:val="single" w:sz="4" w:space="0" w:color="auto"/>
              <w:right w:val="single" w:sz="4" w:space="0" w:color="auto"/>
            </w:tcBorders>
          </w:tcPr>
          <w:p w14:paraId="3C6C8292" w14:textId="77777777" w:rsidR="005E3EB2" w:rsidRPr="003C3A40" w:rsidRDefault="005E3EB2" w:rsidP="00245A8B">
            <w:pPr>
              <w:spacing w:line="276" w:lineRule="auto"/>
              <w:jc w:val="center"/>
              <w:rPr>
                <w:rFonts w:ascii="Arial" w:hAnsi="Arial" w:cs="Arial"/>
                <w:sz w:val="20"/>
                <w:szCs w:val="20"/>
                <w:lang w:val="en-US"/>
              </w:rPr>
            </w:pPr>
          </w:p>
        </w:tc>
        <w:tc>
          <w:tcPr>
            <w:tcW w:w="2550" w:type="dxa"/>
            <w:tcBorders>
              <w:top w:val="single" w:sz="4" w:space="0" w:color="auto"/>
              <w:left w:val="single" w:sz="4" w:space="0" w:color="auto"/>
              <w:bottom w:val="single" w:sz="4" w:space="0" w:color="auto"/>
              <w:right w:val="single" w:sz="4" w:space="0" w:color="auto"/>
            </w:tcBorders>
            <w:vAlign w:val="center"/>
          </w:tcPr>
          <w:p w14:paraId="29D9FD7F" w14:textId="77777777" w:rsidR="005E3EB2" w:rsidRPr="003C3A40" w:rsidRDefault="005E3EB2" w:rsidP="00245A8B">
            <w:pPr>
              <w:spacing w:line="276" w:lineRule="auto"/>
              <w:jc w:val="right"/>
              <w:rPr>
                <w:rFonts w:ascii="Arial" w:eastAsia="Times New Roman" w:hAnsi="Arial" w:cs="Arial"/>
                <w:kern w:val="0"/>
                <w:sz w:val="20"/>
                <w:szCs w:val="20"/>
                <w:lang w:eastAsia="en-IN" w:bidi="mr-IN"/>
              </w:rPr>
            </w:pPr>
            <w:r w:rsidRPr="003C3A40">
              <w:rPr>
                <w:rFonts w:ascii="Arial" w:hAnsi="Arial" w:cs="Arial"/>
                <w:sz w:val="20"/>
                <w:szCs w:val="20"/>
                <w:lang w:val="en-US"/>
              </w:rPr>
              <w:t>CD (0.05)</w:t>
            </w:r>
          </w:p>
        </w:tc>
        <w:tc>
          <w:tcPr>
            <w:tcW w:w="992" w:type="dxa"/>
            <w:tcBorders>
              <w:top w:val="single" w:sz="4" w:space="0" w:color="auto"/>
              <w:left w:val="single" w:sz="4" w:space="0" w:color="auto"/>
              <w:bottom w:val="single" w:sz="4" w:space="0" w:color="auto"/>
              <w:right w:val="single" w:sz="4" w:space="0" w:color="auto"/>
            </w:tcBorders>
            <w:vAlign w:val="center"/>
          </w:tcPr>
          <w:p w14:paraId="2ADEBE8A"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8.11</w:t>
            </w:r>
          </w:p>
        </w:tc>
        <w:tc>
          <w:tcPr>
            <w:tcW w:w="717" w:type="dxa"/>
            <w:tcBorders>
              <w:top w:val="single" w:sz="4" w:space="0" w:color="auto"/>
              <w:left w:val="single" w:sz="4" w:space="0" w:color="auto"/>
              <w:bottom w:val="single" w:sz="4" w:space="0" w:color="auto"/>
              <w:right w:val="single" w:sz="4" w:space="0" w:color="auto"/>
            </w:tcBorders>
            <w:vAlign w:val="center"/>
          </w:tcPr>
          <w:p w14:paraId="3E407FF6"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2.86</w:t>
            </w:r>
          </w:p>
        </w:tc>
        <w:tc>
          <w:tcPr>
            <w:tcW w:w="844" w:type="dxa"/>
            <w:tcBorders>
              <w:top w:val="single" w:sz="4" w:space="0" w:color="auto"/>
              <w:left w:val="single" w:sz="4" w:space="0" w:color="auto"/>
              <w:bottom w:val="single" w:sz="4" w:space="0" w:color="auto"/>
              <w:right w:val="single" w:sz="4" w:space="0" w:color="auto"/>
            </w:tcBorders>
            <w:vAlign w:val="center"/>
          </w:tcPr>
          <w:p w14:paraId="4B79D350"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6.25</w:t>
            </w:r>
          </w:p>
        </w:tc>
        <w:tc>
          <w:tcPr>
            <w:tcW w:w="844" w:type="dxa"/>
            <w:tcBorders>
              <w:top w:val="single" w:sz="4" w:space="0" w:color="auto"/>
              <w:left w:val="single" w:sz="4" w:space="0" w:color="auto"/>
              <w:bottom w:val="single" w:sz="4" w:space="0" w:color="auto"/>
              <w:right w:val="single" w:sz="4" w:space="0" w:color="auto"/>
            </w:tcBorders>
            <w:vAlign w:val="center"/>
          </w:tcPr>
          <w:p w14:paraId="32DFBF02" w14:textId="79FB83C1"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0.12</w:t>
            </w:r>
          </w:p>
        </w:tc>
        <w:tc>
          <w:tcPr>
            <w:tcW w:w="844" w:type="dxa"/>
            <w:tcBorders>
              <w:top w:val="single" w:sz="4" w:space="0" w:color="auto"/>
              <w:left w:val="single" w:sz="4" w:space="0" w:color="auto"/>
              <w:bottom w:val="single" w:sz="4" w:space="0" w:color="auto"/>
              <w:right w:val="single" w:sz="4" w:space="0" w:color="auto"/>
            </w:tcBorders>
            <w:vAlign w:val="center"/>
          </w:tcPr>
          <w:p w14:paraId="4CAF8DFC" w14:textId="40FA894F"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0.39</w:t>
            </w:r>
          </w:p>
        </w:tc>
        <w:tc>
          <w:tcPr>
            <w:tcW w:w="844" w:type="dxa"/>
            <w:tcBorders>
              <w:top w:val="single" w:sz="4" w:space="0" w:color="auto"/>
              <w:left w:val="single" w:sz="4" w:space="0" w:color="auto"/>
              <w:bottom w:val="single" w:sz="4" w:space="0" w:color="auto"/>
              <w:right w:val="single" w:sz="4" w:space="0" w:color="auto"/>
            </w:tcBorders>
            <w:vAlign w:val="center"/>
          </w:tcPr>
          <w:p w14:paraId="05E6E9B9" w14:textId="667281D3"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0.14</w:t>
            </w:r>
          </w:p>
        </w:tc>
        <w:tc>
          <w:tcPr>
            <w:tcW w:w="844" w:type="dxa"/>
            <w:tcBorders>
              <w:top w:val="single" w:sz="4" w:space="0" w:color="auto"/>
              <w:left w:val="single" w:sz="4" w:space="0" w:color="auto"/>
              <w:bottom w:val="single" w:sz="4" w:space="0" w:color="auto"/>
              <w:right w:val="single" w:sz="4" w:space="0" w:color="auto"/>
            </w:tcBorders>
            <w:vAlign w:val="center"/>
          </w:tcPr>
          <w:p w14:paraId="06A10446" w14:textId="51EB6B98"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0.44</w:t>
            </w:r>
          </w:p>
        </w:tc>
      </w:tr>
      <w:tr w:rsidR="005E3EB2" w:rsidRPr="003C3A40" w14:paraId="432349E7" w14:textId="6A2DAF65" w:rsidTr="005E3EB2">
        <w:trPr>
          <w:trHeight w:val="413"/>
        </w:trPr>
        <w:tc>
          <w:tcPr>
            <w:tcW w:w="851" w:type="dxa"/>
            <w:tcBorders>
              <w:top w:val="single" w:sz="4" w:space="0" w:color="auto"/>
              <w:left w:val="single" w:sz="4" w:space="0" w:color="auto"/>
              <w:bottom w:val="single" w:sz="4" w:space="0" w:color="auto"/>
              <w:right w:val="single" w:sz="4" w:space="0" w:color="auto"/>
            </w:tcBorders>
          </w:tcPr>
          <w:p w14:paraId="43D6F38C" w14:textId="77777777" w:rsidR="005E3EB2" w:rsidRPr="003C3A40" w:rsidRDefault="005E3EB2" w:rsidP="00245A8B">
            <w:pPr>
              <w:spacing w:line="276" w:lineRule="auto"/>
              <w:jc w:val="center"/>
              <w:rPr>
                <w:rFonts w:ascii="Arial" w:hAnsi="Arial" w:cs="Arial"/>
                <w:sz w:val="20"/>
                <w:szCs w:val="20"/>
                <w:lang w:val="en-US"/>
              </w:rPr>
            </w:pPr>
          </w:p>
        </w:tc>
        <w:tc>
          <w:tcPr>
            <w:tcW w:w="2550" w:type="dxa"/>
            <w:tcBorders>
              <w:top w:val="single" w:sz="4" w:space="0" w:color="auto"/>
              <w:left w:val="single" w:sz="4" w:space="0" w:color="auto"/>
              <w:bottom w:val="single" w:sz="4" w:space="0" w:color="auto"/>
              <w:right w:val="single" w:sz="4" w:space="0" w:color="auto"/>
            </w:tcBorders>
            <w:vAlign w:val="center"/>
          </w:tcPr>
          <w:p w14:paraId="284A13FC" w14:textId="77777777" w:rsidR="005E3EB2" w:rsidRPr="003C3A40" w:rsidRDefault="005E3EB2" w:rsidP="00245A8B">
            <w:pPr>
              <w:spacing w:line="276" w:lineRule="auto"/>
              <w:jc w:val="right"/>
              <w:rPr>
                <w:rFonts w:ascii="Arial" w:hAnsi="Arial" w:cs="Arial"/>
                <w:sz w:val="20"/>
                <w:szCs w:val="20"/>
                <w:lang w:val="en-US"/>
              </w:rPr>
            </w:pPr>
            <w:r w:rsidRPr="003C3A40">
              <w:rPr>
                <w:rFonts w:ascii="Arial" w:hAnsi="Arial" w:cs="Arial"/>
                <w:b/>
                <w:bCs/>
                <w:color w:val="000000" w:themeColor="text1"/>
                <w:sz w:val="20"/>
                <w:szCs w:val="20"/>
              </w:rPr>
              <w:t>Initial</w:t>
            </w:r>
          </w:p>
        </w:tc>
        <w:tc>
          <w:tcPr>
            <w:tcW w:w="992" w:type="dxa"/>
            <w:tcBorders>
              <w:top w:val="single" w:sz="4" w:space="0" w:color="auto"/>
              <w:left w:val="single" w:sz="4" w:space="0" w:color="auto"/>
              <w:bottom w:val="single" w:sz="4" w:space="0" w:color="auto"/>
              <w:right w:val="single" w:sz="4" w:space="0" w:color="auto"/>
            </w:tcBorders>
            <w:vAlign w:val="center"/>
          </w:tcPr>
          <w:p w14:paraId="3CED6105"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263.42</w:t>
            </w:r>
          </w:p>
        </w:tc>
        <w:tc>
          <w:tcPr>
            <w:tcW w:w="717" w:type="dxa"/>
            <w:tcBorders>
              <w:top w:val="single" w:sz="4" w:space="0" w:color="auto"/>
              <w:left w:val="single" w:sz="4" w:space="0" w:color="auto"/>
              <w:bottom w:val="single" w:sz="4" w:space="0" w:color="auto"/>
              <w:right w:val="single" w:sz="4" w:space="0" w:color="auto"/>
            </w:tcBorders>
            <w:vAlign w:val="center"/>
          </w:tcPr>
          <w:p w14:paraId="79AFD8AD"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20.17</w:t>
            </w:r>
          </w:p>
        </w:tc>
        <w:tc>
          <w:tcPr>
            <w:tcW w:w="844" w:type="dxa"/>
            <w:tcBorders>
              <w:top w:val="single" w:sz="4" w:space="0" w:color="auto"/>
              <w:left w:val="single" w:sz="4" w:space="0" w:color="auto"/>
              <w:bottom w:val="single" w:sz="4" w:space="0" w:color="auto"/>
              <w:right w:val="single" w:sz="4" w:space="0" w:color="auto"/>
            </w:tcBorders>
            <w:vAlign w:val="center"/>
          </w:tcPr>
          <w:p w14:paraId="6A185936" w14:textId="77777777" w:rsidR="005E3EB2" w:rsidRPr="003C3A40" w:rsidRDefault="005E3EB2" w:rsidP="00245A8B">
            <w:pPr>
              <w:spacing w:line="276" w:lineRule="auto"/>
              <w:jc w:val="center"/>
              <w:rPr>
                <w:rFonts w:ascii="Arial" w:eastAsia="Times New Roman" w:hAnsi="Arial" w:cs="Arial"/>
                <w:kern w:val="0"/>
                <w:sz w:val="20"/>
                <w:szCs w:val="20"/>
                <w:lang w:eastAsia="en-IN" w:bidi="mr-IN"/>
              </w:rPr>
            </w:pPr>
            <w:r w:rsidRPr="003C3A40">
              <w:rPr>
                <w:rFonts w:ascii="Arial" w:hAnsi="Arial" w:cs="Arial"/>
                <w:color w:val="000000"/>
                <w:sz w:val="20"/>
                <w:szCs w:val="20"/>
              </w:rPr>
              <w:t>697.76</w:t>
            </w:r>
          </w:p>
        </w:tc>
        <w:tc>
          <w:tcPr>
            <w:tcW w:w="844" w:type="dxa"/>
            <w:tcBorders>
              <w:top w:val="single" w:sz="4" w:space="0" w:color="auto"/>
              <w:left w:val="single" w:sz="4" w:space="0" w:color="auto"/>
              <w:bottom w:val="single" w:sz="4" w:space="0" w:color="auto"/>
              <w:right w:val="single" w:sz="4" w:space="0" w:color="auto"/>
            </w:tcBorders>
            <w:vAlign w:val="center"/>
          </w:tcPr>
          <w:p w14:paraId="75AE97D8" w14:textId="4F8B8E4B"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5.1</w:t>
            </w:r>
          </w:p>
        </w:tc>
        <w:tc>
          <w:tcPr>
            <w:tcW w:w="844" w:type="dxa"/>
            <w:tcBorders>
              <w:top w:val="single" w:sz="4" w:space="0" w:color="auto"/>
              <w:left w:val="single" w:sz="4" w:space="0" w:color="auto"/>
              <w:bottom w:val="single" w:sz="4" w:space="0" w:color="auto"/>
              <w:right w:val="single" w:sz="4" w:space="0" w:color="auto"/>
            </w:tcBorders>
            <w:vAlign w:val="center"/>
          </w:tcPr>
          <w:p w14:paraId="460437B9" w14:textId="37DEB88D"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8.8</w:t>
            </w:r>
          </w:p>
        </w:tc>
        <w:tc>
          <w:tcPr>
            <w:tcW w:w="844" w:type="dxa"/>
            <w:tcBorders>
              <w:top w:val="single" w:sz="4" w:space="0" w:color="auto"/>
              <w:left w:val="single" w:sz="4" w:space="0" w:color="auto"/>
              <w:bottom w:val="single" w:sz="4" w:space="0" w:color="auto"/>
              <w:right w:val="single" w:sz="4" w:space="0" w:color="auto"/>
            </w:tcBorders>
            <w:vAlign w:val="center"/>
          </w:tcPr>
          <w:p w14:paraId="2ADA9098" w14:textId="765AC2E0"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4.1</w:t>
            </w:r>
          </w:p>
        </w:tc>
        <w:tc>
          <w:tcPr>
            <w:tcW w:w="844" w:type="dxa"/>
            <w:tcBorders>
              <w:top w:val="single" w:sz="4" w:space="0" w:color="auto"/>
              <w:left w:val="single" w:sz="4" w:space="0" w:color="auto"/>
              <w:bottom w:val="single" w:sz="4" w:space="0" w:color="auto"/>
              <w:right w:val="single" w:sz="4" w:space="0" w:color="auto"/>
            </w:tcBorders>
            <w:vAlign w:val="center"/>
          </w:tcPr>
          <w:p w14:paraId="1DE9EFA3" w14:textId="12F2FA6C" w:rsidR="005E3EB2" w:rsidRPr="003C3A40" w:rsidRDefault="005E3EB2" w:rsidP="00245A8B">
            <w:pPr>
              <w:spacing w:line="276" w:lineRule="auto"/>
              <w:jc w:val="center"/>
              <w:rPr>
                <w:rFonts w:ascii="Arial" w:hAnsi="Arial" w:cs="Arial"/>
                <w:color w:val="000000"/>
                <w:sz w:val="20"/>
              </w:rPr>
            </w:pPr>
            <w:r w:rsidRPr="003C3A40">
              <w:rPr>
                <w:rFonts w:ascii="Arial" w:hAnsi="Arial" w:cs="Arial"/>
                <w:color w:val="000000"/>
                <w:sz w:val="20"/>
                <w:szCs w:val="20"/>
              </w:rPr>
              <w:t>9.1</w:t>
            </w:r>
          </w:p>
        </w:tc>
      </w:tr>
    </w:tbl>
    <w:p w14:paraId="65AE3E1B" w14:textId="07FFD38F" w:rsidR="001D31B7" w:rsidRPr="003C3A40" w:rsidRDefault="00ED0DCB" w:rsidP="00B318D4">
      <w:pPr>
        <w:spacing w:before="240" w:after="0"/>
        <w:jc w:val="both"/>
        <w:rPr>
          <w:rFonts w:ascii="Arial" w:hAnsi="Arial" w:cs="Arial"/>
          <w:b/>
          <w:bCs/>
          <w:szCs w:val="22"/>
        </w:rPr>
      </w:pPr>
      <w:r>
        <w:rPr>
          <w:rFonts w:ascii="Arial" w:hAnsi="Arial" w:cs="Arial"/>
          <w:b/>
          <w:bCs/>
          <w:szCs w:val="22"/>
        </w:rPr>
        <w:t xml:space="preserve">3.3.4 </w:t>
      </w:r>
      <w:r w:rsidR="001D31B7" w:rsidRPr="003C3A40">
        <w:rPr>
          <w:rFonts w:ascii="Arial" w:hAnsi="Arial" w:cs="Arial"/>
          <w:b/>
          <w:bCs/>
          <w:szCs w:val="22"/>
        </w:rPr>
        <w:t>Available Iron</w:t>
      </w:r>
    </w:p>
    <w:p w14:paraId="640BB476" w14:textId="01851ACA" w:rsidR="0075775C" w:rsidRPr="003C3A40" w:rsidRDefault="001D31B7" w:rsidP="00245A8B">
      <w:pPr>
        <w:spacing w:after="0"/>
        <w:jc w:val="both"/>
        <w:rPr>
          <w:rFonts w:ascii="Arial" w:hAnsi="Arial" w:cs="Arial"/>
          <w:sz w:val="20"/>
        </w:rPr>
      </w:pPr>
      <w:r w:rsidRPr="003C3A40">
        <w:rPr>
          <w:rFonts w:ascii="Arial" w:hAnsi="Arial" w:cs="Arial"/>
          <w:sz w:val="20"/>
        </w:rPr>
        <w:t>The data investigated showed significantly superior results in terms of the availability of iron in soil after the harvest of the soybean crop at different levels and sources of phosphorus. Among the various treatments, the treatment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recorded significantly superior results in terms of iron availability (5.7 mg kg</w:t>
      </w:r>
      <w:r w:rsidRPr="003C3A40">
        <w:rPr>
          <w:rFonts w:ascii="Arial" w:hAnsi="Arial" w:cs="Arial"/>
          <w:sz w:val="20"/>
          <w:vertAlign w:val="superscript"/>
        </w:rPr>
        <w:t>-1</w:t>
      </w:r>
      <w:r w:rsidRPr="003C3A40">
        <w:rPr>
          <w:rFonts w:ascii="Arial" w:hAnsi="Arial" w:cs="Arial"/>
          <w:sz w:val="20"/>
        </w:rPr>
        <w:t>) and was at par with treatment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DAP + FYM @12.5 t ha</w:t>
      </w:r>
      <w:r w:rsidRPr="003C3A40">
        <w:rPr>
          <w:rFonts w:ascii="Arial" w:hAnsi="Arial" w:cs="Arial"/>
          <w:sz w:val="20"/>
          <w:vertAlign w:val="superscript"/>
        </w:rPr>
        <w:t>-1</w:t>
      </w:r>
      <w:r w:rsidRPr="003C3A40">
        <w:rPr>
          <w:rFonts w:ascii="Arial" w:hAnsi="Arial" w:cs="Arial"/>
          <w:sz w:val="20"/>
        </w:rPr>
        <w:t xml:space="preserve"> (5.5 mg kg</w:t>
      </w:r>
      <w:r w:rsidRPr="003C3A40">
        <w:rPr>
          <w:rFonts w:ascii="Arial" w:hAnsi="Arial" w:cs="Arial"/>
          <w:sz w:val="20"/>
          <w:vertAlign w:val="superscript"/>
        </w:rPr>
        <w:t>-1</w:t>
      </w:r>
      <w:r w:rsidRPr="003C3A40">
        <w:rPr>
          <w:rFonts w:ascii="Arial" w:hAnsi="Arial" w:cs="Arial"/>
          <w:sz w:val="20"/>
        </w:rPr>
        <w:t>). 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showed significantly higher iron (5.7 mg kg</w:t>
      </w:r>
      <w:r w:rsidRPr="003C3A40">
        <w:rPr>
          <w:rFonts w:ascii="Arial" w:hAnsi="Arial" w:cs="Arial"/>
          <w:sz w:val="20"/>
          <w:vertAlign w:val="superscript"/>
        </w:rPr>
        <w:t>-1</w:t>
      </w:r>
      <w:r w:rsidRPr="003C3A40">
        <w:rPr>
          <w:rFonts w:ascii="Arial" w:hAnsi="Arial" w:cs="Arial"/>
          <w:sz w:val="20"/>
        </w:rPr>
        <w:t>) over 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(5.4 mg kg</w:t>
      </w:r>
      <w:r w:rsidRPr="003C3A40">
        <w:rPr>
          <w:rFonts w:ascii="Arial" w:hAnsi="Arial" w:cs="Arial"/>
          <w:sz w:val="20"/>
          <w:vertAlign w:val="superscript"/>
        </w:rPr>
        <w:t>-1</w:t>
      </w:r>
      <w:bookmarkStart w:id="21" w:name="_Hlk171331028"/>
      <w:r w:rsidRPr="003C3A40">
        <w:rPr>
          <w:rFonts w:ascii="Arial" w:hAnsi="Arial" w:cs="Arial"/>
          <w:sz w:val="20"/>
        </w:rPr>
        <w:t>). However,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and 75%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showed significantly higher availability of iron in soil (5.4 mg kg</w:t>
      </w:r>
      <w:r w:rsidRPr="003C3A40">
        <w:rPr>
          <w:rFonts w:ascii="Arial" w:hAnsi="Arial" w:cs="Arial"/>
          <w:sz w:val="20"/>
          <w:vertAlign w:val="superscript"/>
        </w:rPr>
        <w:t>-1</w:t>
      </w:r>
      <w:r w:rsidRPr="003C3A40">
        <w:rPr>
          <w:rFonts w:ascii="Arial" w:hAnsi="Arial" w:cs="Arial"/>
          <w:sz w:val="20"/>
        </w:rPr>
        <w:t xml:space="preserve"> and 5.2 mg kg</w:t>
      </w:r>
      <w:r w:rsidRPr="003C3A40">
        <w:rPr>
          <w:rFonts w:ascii="Arial" w:hAnsi="Arial" w:cs="Arial"/>
          <w:sz w:val="20"/>
          <w:vertAlign w:val="superscript"/>
        </w:rPr>
        <w:t>-1</w:t>
      </w:r>
      <w:r w:rsidRPr="003C3A40">
        <w:rPr>
          <w:rFonts w:ascii="Arial" w:hAnsi="Arial" w:cs="Arial"/>
          <w:sz w:val="20"/>
        </w:rPr>
        <w:t xml:space="preserve">, respectively) when compared with the recommended dose of fertilizer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sz w:val="20"/>
        </w:rPr>
        <w:t>) (5.0 mg kg</w:t>
      </w:r>
      <w:r w:rsidRPr="003C3A40">
        <w:rPr>
          <w:rFonts w:ascii="Arial" w:hAnsi="Arial" w:cs="Arial"/>
          <w:sz w:val="20"/>
          <w:vertAlign w:val="superscript"/>
        </w:rPr>
        <w:t>-1</w:t>
      </w:r>
      <w:r w:rsidRPr="003C3A40">
        <w:rPr>
          <w:rFonts w:ascii="Arial" w:hAnsi="Arial" w:cs="Arial"/>
          <w:sz w:val="20"/>
        </w:rPr>
        <w:t xml:space="preserve">) </w:t>
      </w:r>
      <w:bookmarkEnd w:id="21"/>
    </w:p>
    <w:p w14:paraId="082C23A5" w14:textId="4FB7D2D2" w:rsidR="001D31B7" w:rsidRPr="003C3A40" w:rsidRDefault="00ED0DCB" w:rsidP="00245A8B">
      <w:pPr>
        <w:spacing w:after="0"/>
        <w:jc w:val="both"/>
        <w:rPr>
          <w:rFonts w:ascii="Arial" w:hAnsi="Arial" w:cs="Arial"/>
          <w:szCs w:val="22"/>
        </w:rPr>
      </w:pPr>
      <w:r>
        <w:rPr>
          <w:rFonts w:ascii="Arial" w:hAnsi="Arial" w:cs="Arial"/>
          <w:b/>
          <w:bCs/>
          <w:szCs w:val="22"/>
        </w:rPr>
        <w:t xml:space="preserve">3.3.5 </w:t>
      </w:r>
      <w:r w:rsidR="001D31B7" w:rsidRPr="003C3A40">
        <w:rPr>
          <w:rFonts w:ascii="Arial" w:hAnsi="Arial" w:cs="Arial"/>
          <w:b/>
          <w:bCs/>
          <w:szCs w:val="22"/>
        </w:rPr>
        <w:t>Available Manganese</w:t>
      </w:r>
    </w:p>
    <w:p w14:paraId="2060271E" w14:textId="3016EBE2" w:rsidR="001D31B7" w:rsidRPr="003C3A40" w:rsidRDefault="001D31B7" w:rsidP="00245A8B">
      <w:pPr>
        <w:spacing w:after="0"/>
        <w:jc w:val="both"/>
        <w:rPr>
          <w:rFonts w:ascii="Arial" w:hAnsi="Arial" w:cs="Arial"/>
          <w:sz w:val="20"/>
        </w:rPr>
      </w:pPr>
      <w:r w:rsidRPr="003C3A40">
        <w:rPr>
          <w:rFonts w:ascii="Arial" w:hAnsi="Arial" w:cs="Arial"/>
          <w:sz w:val="20"/>
        </w:rPr>
        <w:t>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resulted in significantly higher availability of manganese in soil, reaching 9.9 mg kg</w:t>
      </w:r>
      <w:r w:rsidRPr="003C3A40">
        <w:rPr>
          <w:rFonts w:ascii="Arial" w:hAnsi="Arial" w:cs="Arial"/>
          <w:sz w:val="20"/>
          <w:vertAlign w:val="superscript"/>
        </w:rPr>
        <w:t>-1</w:t>
      </w:r>
      <w:r w:rsidRPr="003C3A40">
        <w:rPr>
          <w:rFonts w:ascii="Arial" w:hAnsi="Arial" w:cs="Arial"/>
          <w:sz w:val="20"/>
        </w:rPr>
        <w:t xml:space="preserve"> over all the treatments applied through different levels and sources of phosphorus. </w:t>
      </w:r>
      <w:bookmarkStart w:id="22" w:name="_Hlk171331061"/>
      <w:r w:rsidRPr="003C3A40">
        <w:rPr>
          <w:rFonts w:ascii="Arial" w:hAnsi="Arial" w:cs="Arial"/>
          <w:sz w:val="20"/>
        </w:rPr>
        <w:t>The data also mentioned the superiority of treatment T</w:t>
      </w:r>
      <w:r w:rsidRPr="003C3A40">
        <w:rPr>
          <w:rFonts w:ascii="Arial" w:hAnsi="Arial" w:cs="Arial"/>
          <w:sz w:val="20"/>
          <w:vertAlign w:val="subscript"/>
        </w:rPr>
        <w:t>5</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T</w:t>
      </w:r>
      <w:r w:rsidRPr="003C3A40">
        <w:rPr>
          <w:rFonts w:ascii="Arial" w:hAnsi="Arial" w:cs="Arial"/>
          <w:sz w:val="20"/>
          <w:vertAlign w:val="subscript"/>
        </w:rPr>
        <w:t>4</w:t>
      </w:r>
      <w:r w:rsidRPr="003C3A40">
        <w:rPr>
          <w:rFonts w:ascii="Arial" w:hAnsi="Arial" w:cs="Arial"/>
          <w:sz w:val="20"/>
        </w:rPr>
        <w:t>-75%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and T</w:t>
      </w:r>
      <w:r w:rsidRPr="003C3A40">
        <w:rPr>
          <w:rFonts w:ascii="Arial" w:hAnsi="Arial" w:cs="Arial"/>
          <w:sz w:val="20"/>
          <w:vertAlign w:val="subscript"/>
        </w:rPr>
        <w:t>3</w:t>
      </w:r>
      <w:r w:rsidRPr="003C3A40">
        <w:rPr>
          <w:rFonts w:ascii="Arial" w:hAnsi="Arial" w:cs="Arial"/>
          <w:sz w:val="20"/>
        </w:rPr>
        <w:t>-50%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(9.2 mg kg</w:t>
      </w:r>
      <w:r w:rsidRPr="003C3A40">
        <w:rPr>
          <w:rFonts w:ascii="Arial" w:hAnsi="Arial" w:cs="Arial"/>
          <w:sz w:val="20"/>
          <w:vertAlign w:val="superscript"/>
        </w:rPr>
        <w:t>-1</w:t>
      </w:r>
      <w:r w:rsidRPr="003C3A40">
        <w:rPr>
          <w:rFonts w:ascii="Arial" w:hAnsi="Arial" w:cs="Arial"/>
          <w:sz w:val="20"/>
        </w:rPr>
        <w:t>, 9.0 mg kg</w:t>
      </w:r>
      <w:r w:rsidRPr="003C3A40">
        <w:rPr>
          <w:rFonts w:ascii="Arial" w:hAnsi="Arial" w:cs="Arial"/>
          <w:sz w:val="20"/>
          <w:vertAlign w:val="superscript"/>
        </w:rPr>
        <w:t>-1</w:t>
      </w:r>
      <w:r w:rsidRPr="003C3A40">
        <w:rPr>
          <w:rFonts w:ascii="Arial" w:hAnsi="Arial" w:cs="Arial"/>
          <w:sz w:val="20"/>
        </w:rPr>
        <w:t xml:space="preserve"> and 8.7 mg kg</w:t>
      </w:r>
      <w:r w:rsidRPr="003C3A40">
        <w:rPr>
          <w:rFonts w:ascii="Arial" w:hAnsi="Arial" w:cs="Arial"/>
          <w:sz w:val="20"/>
          <w:vertAlign w:val="superscript"/>
        </w:rPr>
        <w:t>-1</w:t>
      </w:r>
      <w:r w:rsidRPr="003C3A40">
        <w:rPr>
          <w:rFonts w:ascii="Arial" w:hAnsi="Arial" w:cs="Arial"/>
          <w:sz w:val="20"/>
        </w:rPr>
        <w:t>, respectively) over T</w:t>
      </w:r>
      <w:r w:rsidRPr="003C3A40">
        <w:rPr>
          <w:rFonts w:ascii="Arial" w:hAnsi="Arial" w:cs="Arial"/>
          <w:sz w:val="20"/>
          <w:vertAlign w:val="subscript"/>
        </w:rPr>
        <w:t>2</w:t>
      </w:r>
      <w:r w:rsidRPr="003C3A40">
        <w:rPr>
          <w:rFonts w:ascii="Arial" w:hAnsi="Arial" w:cs="Arial"/>
          <w:sz w:val="20"/>
        </w:rPr>
        <w:t xml:space="preserve"> (RDF) (8.3 mg kg</w:t>
      </w:r>
      <w:r w:rsidRPr="003C3A40">
        <w:rPr>
          <w:rFonts w:ascii="Arial" w:hAnsi="Arial" w:cs="Arial"/>
          <w:sz w:val="20"/>
          <w:vertAlign w:val="superscript"/>
        </w:rPr>
        <w:t>-1</w:t>
      </w:r>
      <w:r w:rsidRPr="003C3A40">
        <w:rPr>
          <w:rFonts w:ascii="Arial" w:hAnsi="Arial" w:cs="Arial"/>
          <w:sz w:val="20"/>
        </w:rPr>
        <w:t>).</w:t>
      </w:r>
    </w:p>
    <w:bookmarkEnd w:id="22"/>
    <w:p w14:paraId="21EEE0E8" w14:textId="10FAE9CC" w:rsidR="001D31B7" w:rsidRPr="003C3A40" w:rsidRDefault="00ED0DCB" w:rsidP="00245A8B">
      <w:pPr>
        <w:spacing w:after="0"/>
        <w:jc w:val="both"/>
        <w:rPr>
          <w:rFonts w:ascii="Arial" w:hAnsi="Arial" w:cs="Arial"/>
          <w:b/>
          <w:bCs/>
          <w:szCs w:val="22"/>
        </w:rPr>
      </w:pPr>
      <w:r>
        <w:rPr>
          <w:rFonts w:ascii="Arial" w:hAnsi="Arial" w:cs="Arial"/>
          <w:b/>
          <w:bCs/>
          <w:szCs w:val="22"/>
        </w:rPr>
        <w:t xml:space="preserve">3.3.6 </w:t>
      </w:r>
      <w:r w:rsidR="001D31B7" w:rsidRPr="003C3A40">
        <w:rPr>
          <w:rFonts w:ascii="Arial" w:hAnsi="Arial" w:cs="Arial"/>
          <w:b/>
          <w:bCs/>
          <w:szCs w:val="22"/>
        </w:rPr>
        <w:t>Available Zinc</w:t>
      </w:r>
    </w:p>
    <w:p w14:paraId="6436DC07" w14:textId="77777777" w:rsidR="001D31B7" w:rsidRPr="003C3A40" w:rsidRDefault="001D31B7" w:rsidP="00245A8B">
      <w:pPr>
        <w:spacing w:after="0"/>
        <w:jc w:val="both"/>
        <w:rPr>
          <w:rFonts w:ascii="Arial" w:hAnsi="Arial" w:cs="Arial"/>
          <w:sz w:val="20"/>
        </w:rPr>
      </w:pPr>
      <w:r w:rsidRPr="003C3A40">
        <w:rPr>
          <w:rFonts w:ascii="Arial" w:hAnsi="Arial" w:cs="Arial"/>
          <w:sz w:val="20"/>
        </w:rPr>
        <w:t>The significant variations in the availability of zinc contents among different organic and inorganic fertilizer treatments, particularly at varying levels and sources of phosphorus, highlight the complex interplay of soil nutrients. The treatment T</w:t>
      </w:r>
      <w:r w:rsidRPr="003C3A40">
        <w:rPr>
          <w:rFonts w:ascii="Arial" w:hAnsi="Arial" w:cs="Arial"/>
          <w:sz w:val="20"/>
          <w:vertAlign w:val="subscript"/>
        </w:rPr>
        <w:t>8</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registered significantly higher performance in terms of the availability of zinc in the soil </w:t>
      </w:r>
      <w:r w:rsidRPr="003C3A40">
        <w:rPr>
          <w:rFonts w:ascii="Arial" w:eastAsia="Times New Roman" w:hAnsi="Arial" w:cs="Arial"/>
          <w:sz w:val="20"/>
          <w:lang w:eastAsia="en-IN"/>
        </w:rPr>
        <w:t>(4.6 mg kg</w:t>
      </w:r>
      <w:r w:rsidRPr="003C3A40">
        <w:rPr>
          <w:rFonts w:ascii="Arial" w:eastAsia="Times New Roman" w:hAnsi="Arial" w:cs="Arial"/>
          <w:sz w:val="20"/>
          <w:vertAlign w:val="superscript"/>
          <w:lang w:eastAsia="en-IN"/>
        </w:rPr>
        <w:t>-1</w:t>
      </w:r>
      <w:r w:rsidRPr="003C3A40">
        <w:rPr>
          <w:rFonts w:ascii="Arial" w:eastAsia="Times New Roman" w:hAnsi="Arial" w:cs="Arial"/>
          <w:sz w:val="20"/>
          <w:lang w:eastAsia="en-IN"/>
        </w:rPr>
        <w:t>)</w:t>
      </w:r>
      <w:r w:rsidRPr="003C3A40">
        <w:rPr>
          <w:rFonts w:ascii="Arial" w:hAnsi="Arial" w:cs="Arial"/>
          <w:sz w:val="20"/>
        </w:rPr>
        <w:t>. Similarly, the treatment with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(4.4 mg kg</w:t>
      </w:r>
      <w:r w:rsidRPr="003C3A40">
        <w:rPr>
          <w:rFonts w:ascii="Arial" w:hAnsi="Arial" w:cs="Arial"/>
          <w:sz w:val="20"/>
          <w:vertAlign w:val="superscript"/>
        </w:rPr>
        <w:t>-1</w:t>
      </w:r>
      <w:r w:rsidRPr="003C3A40">
        <w:rPr>
          <w:rFonts w:ascii="Arial" w:hAnsi="Arial" w:cs="Arial"/>
          <w:sz w:val="20"/>
        </w:rPr>
        <w:t>) showed at par results with T</w:t>
      </w:r>
      <w:r w:rsidRPr="003C3A40">
        <w:rPr>
          <w:rFonts w:ascii="Arial" w:hAnsi="Arial" w:cs="Arial"/>
          <w:sz w:val="20"/>
          <w:vertAlign w:val="subscript"/>
        </w:rPr>
        <w:t>8</w:t>
      </w:r>
      <w:r w:rsidRPr="003C3A40">
        <w:rPr>
          <w:rFonts w:ascii="Arial" w:hAnsi="Arial" w:cs="Arial"/>
          <w:sz w:val="20"/>
        </w:rPr>
        <w:t>. It was interesting to note that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75%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and 50%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showed significantly higher results (4.4 mg kg</w:t>
      </w:r>
      <w:r w:rsidRPr="003C3A40">
        <w:rPr>
          <w:rFonts w:ascii="Arial" w:hAnsi="Arial" w:cs="Arial"/>
          <w:sz w:val="20"/>
          <w:vertAlign w:val="superscript"/>
        </w:rPr>
        <w:t>-1</w:t>
      </w:r>
      <w:r w:rsidRPr="003C3A40">
        <w:rPr>
          <w:rFonts w:ascii="Arial" w:hAnsi="Arial" w:cs="Arial"/>
          <w:sz w:val="20"/>
        </w:rPr>
        <w:t>, 4.1 mg kg</w:t>
      </w:r>
      <w:r w:rsidRPr="003C3A40">
        <w:rPr>
          <w:rFonts w:ascii="Arial" w:hAnsi="Arial" w:cs="Arial"/>
          <w:sz w:val="20"/>
          <w:vertAlign w:val="superscript"/>
        </w:rPr>
        <w:t>-1</w:t>
      </w:r>
      <w:r w:rsidRPr="003C3A40">
        <w:rPr>
          <w:rFonts w:ascii="Arial" w:hAnsi="Arial" w:cs="Arial"/>
          <w:sz w:val="20"/>
        </w:rPr>
        <w:t>, and 3.9 mg kg</w:t>
      </w:r>
      <w:r w:rsidRPr="003C3A40">
        <w:rPr>
          <w:rFonts w:ascii="Arial" w:hAnsi="Arial" w:cs="Arial"/>
          <w:sz w:val="20"/>
          <w:vertAlign w:val="superscript"/>
        </w:rPr>
        <w:t>-1</w:t>
      </w:r>
      <w:r w:rsidRPr="003C3A40">
        <w:rPr>
          <w:rFonts w:ascii="Arial" w:hAnsi="Arial" w:cs="Arial"/>
          <w:sz w:val="20"/>
        </w:rPr>
        <w:t xml:space="preserve">, respectively) over the recommended doses of fertilizers 50:75:45 kg </w:t>
      </w:r>
      <w:r w:rsidRPr="003C3A40">
        <w:rPr>
          <w:rFonts w:ascii="Arial" w:hAnsi="Arial" w:cs="Arial"/>
          <w:color w:val="000000" w:themeColor="text1"/>
          <w:sz w:val="20"/>
        </w:rPr>
        <w:t>ha</w:t>
      </w:r>
      <w:r w:rsidRPr="003C3A40">
        <w:rPr>
          <w:rFonts w:ascii="Arial" w:hAnsi="Arial" w:cs="Arial"/>
          <w:color w:val="000000" w:themeColor="text1"/>
          <w:sz w:val="20"/>
          <w:vertAlign w:val="superscript"/>
        </w:rPr>
        <w:t>-1</w:t>
      </w:r>
      <w:r w:rsidRPr="003C3A40">
        <w:rPr>
          <w:rFonts w:ascii="Arial" w:hAnsi="Arial" w:cs="Arial"/>
          <w:color w:val="000000" w:themeColor="text1"/>
          <w:sz w:val="20"/>
        </w:rPr>
        <w:t xml:space="preserve"> N: P</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color w:val="000000" w:themeColor="text1"/>
          <w:sz w:val="20"/>
          <w:vertAlign w:val="subscript"/>
        </w:rPr>
        <w:t>5</w:t>
      </w:r>
      <w:r w:rsidRPr="003C3A40">
        <w:rPr>
          <w:rFonts w:ascii="Arial" w:hAnsi="Arial" w:cs="Arial"/>
          <w:color w:val="000000" w:themeColor="text1"/>
          <w:sz w:val="20"/>
        </w:rPr>
        <w:t>: K</w:t>
      </w:r>
      <w:r w:rsidRPr="003C3A40">
        <w:rPr>
          <w:rFonts w:ascii="Arial" w:hAnsi="Arial" w:cs="Arial"/>
          <w:color w:val="000000" w:themeColor="text1"/>
          <w:sz w:val="20"/>
          <w:vertAlign w:val="subscript"/>
        </w:rPr>
        <w:t>2</w:t>
      </w:r>
      <w:r w:rsidRPr="003C3A40">
        <w:rPr>
          <w:rFonts w:ascii="Arial" w:hAnsi="Arial" w:cs="Arial"/>
          <w:color w:val="000000" w:themeColor="text1"/>
          <w:sz w:val="20"/>
        </w:rPr>
        <w:t>O</w:t>
      </w:r>
      <w:r w:rsidRPr="003C3A40">
        <w:rPr>
          <w:rFonts w:ascii="Arial" w:hAnsi="Arial" w:cs="Arial"/>
          <w:sz w:val="20"/>
        </w:rPr>
        <w:t xml:space="preserve"> (3.5 mg kg</w:t>
      </w:r>
      <w:r w:rsidRPr="003C3A40">
        <w:rPr>
          <w:rFonts w:ascii="Arial" w:hAnsi="Arial" w:cs="Arial"/>
          <w:sz w:val="20"/>
          <w:vertAlign w:val="superscript"/>
        </w:rPr>
        <w:t>-1</w:t>
      </w:r>
      <w:r w:rsidRPr="003C3A40">
        <w:rPr>
          <w:rFonts w:ascii="Arial" w:hAnsi="Arial" w:cs="Arial"/>
          <w:sz w:val="20"/>
        </w:rPr>
        <w:t>). These results highlight the importance of PROM in increasing zinc availability in soil.</w:t>
      </w:r>
    </w:p>
    <w:p w14:paraId="1A0C6FF1" w14:textId="1526647B" w:rsidR="0075775C" w:rsidRPr="003C3A40" w:rsidRDefault="00ED0DCB" w:rsidP="00245A8B">
      <w:pPr>
        <w:spacing w:after="0"/>
        <w:jc w:val="both"/>
        <w:rPr>
          <w:rFonts w:ascii="Arial" w:hAnsi="Arial" w:cs="Arial"/>
          <w:b/>
          <w:bCs/>
          <w:szCs w:val="22"/>
        </w:rPr>
      </w:pPr>
      <w:r>
        <w:rPr>
          <w:rFonts w:ascii="Arial" w:hAnsi="Arial" w:cs="Arial"/>
          <w:b/>
          <w:bCs/>
          <w:szCs w:val="22"/>
        </w:rPr>
        <w:t xml:space="preserve">3.3.7 </w:t>
      </w:r>
      <w:r w:rsidR="001D31B7" w:rsidRPr="003C3A40">
        <w:rPr>
          <w:rFonts w:ascii="Arial" w:hAnsi="Arial" w:cs="Arial"/>
          <w:b/>
          <w:bCs/>
          <w:szCs w:val="22"/>
        </w:rPr>
        <w:t xml:space="preserve">Available Copper </w:t>
      </w:r>
    </w:p>
    <w:p w14:paraId="02A5165B" w14:textId="1B07EC99" w:rsidR="009400FB" w:rsidRPr="003C3A40" w:rsidRDefault="001D31B7" w:rsidP="00245A8B">
      <w:pPr>
        <w:spacing w:after="0"/>
        <w:jc w:val="both"/>
        <w:rPr>
          <w:rFonts w:ascii="Arial" w:hAnsi="Arial" w:cs="Arial"/>
          <w:b/>
          <w:bCs/>
          <w:sz w:val="20"/>
        </w:rPr>
      </w:pPr>
      <w:r w:rsidRPr="003C3A40">
        <w:rPr>
          <w:rFonts w:ascii="Arial" w:hAnsi="Arial" w:cs="Arial"/>
          <w:sz w:val="20"/>
        </w:rPr>
        <w:t>The data on the availability of copper in soil showcased substantial change across diverse fertilizer treatments, reflecting the intricate dynamics influenced by varying phosphorus levels and sources. The application of T</w:t>
      </w:r>
      <w:r w:rsidRPr="003C3A40">
        <w:rPr>
          <w:rFonts w:ascii="Arial" w:hAnsi="Arial" w:cs="Arial"/>
          <w:sz w:val="20"/>
          <w:vertAlign w:val="subscript"/>
        </w:rPr>
        <w:t>8</w:t>
      </w:r>
      <w:r w:rsidRPr="003C3A40">
        <w:rPr>
          <w:rFonts w:ascii="Arial" w:hAnsi="Arial" w:cs="Arial"/>
          <w:sz w:val="20"/>
        </w:rPr>
        <w:t>-100%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vermicompost substantially resulted in significantly higher availability of copper in soil (10.4 mg kg</w:t>
      </w:r>
      <w:r w:rsidRPr="003C3A40">
        <w:rPr>
          <w:rFonts w:ascii="Arial" w:hAnsi="Arial" w:cs="Arial"/>
          <w:sz w:val="20"/>
          <w:vertAlign w:val="superscript"/>
        </w:rPr>
        <w:t>-1</w:t>
      </w:r>
      <w:r w:rsidRPr="003C3A40">
        <w:rPr>
          <w:rFonts w:ascii="Arial" w:hAnsi="Arial" w:cs="Arial"/>
          <w:sz w:val="20"/>
        </w:rPr>
        <w:t>). The 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w:t>
      </w:r>
      <w:hyperlink r:id="rId7" w:history="1">
        <w:r w:rsidRPr="003C3A40">
          <w:rPr>
            <w:rStyle w:val="Hyperlink"/>
            <w:rFonts w:ascii="Arial" w:hAnsi="Arial" w:cs="Arial"/>
            <w:color w:val="000000" w:themeColor="text1"/>
            <w:sz w:val="20"/>
            <w:u w:val="none"/>
          </w:rPr>
          <w:t>SSP+FYM @12.5</w:t>
        </w:r>
      </w:hyperlink>
      <w:r w:rsidRPr="003C3A40">
        <w:rPr>
          <w:rFonts w:ascii="Arial" w:hAnsi="Arial" w:cs="Arial"/>
          <w:color w:val="000000" w:themeColor="text1"/>
          <w:sz w:val="20"/>
        </w:rPr>
        <w:t xml:space="preserve"> t </w:t>
      </w:r>
      <w:r w:rsidRPr="003C3A40">
        <w:rPr>
          <w:rFonts w:ascii="Arial" w:hAnsi="Arial" w:cs="Arial"/>
          <w:sz w:val="20"/>
        </w:rPr>
        <w:t>ha</w:t>
      </w:r>
      <w:r w:rsidRPr="003C3A40">
        <w:rPr>
          <w:rFonts w:ascii="Arial" w:hAnsi="Arial" w:cs="Arial"/>
          <w:sz w:val="20"/>
          <w:vertAlign w:val="superscript"/>
        </w:rPr>
        <w:t>-1</w:t>
      </w:r>
      <w:r w:rsidRPr="003C3A40">
        <w:rPr>
          <w:rFonts w:ascii="Arial" w:hAnsi="Arial" w:cs="Arial"/>
          <w:sz w:val="20"/>
        </w:rPr>
        <w:t xml:space="preserve"> (10.0 mg kg</w:t>
      </w:r>
      <w:r w:rsidRPr="003C3A40">
        <w:rPr>
          <w:rFonts w:ascii="Arial" w:hAnsi="Arial" w:cs="Arial"/>
          <w:sz w:val="20"/>
          <w:vertAlign w:val="superscript"/>
        </w:rPr>
        <w:t>-1</w:t>
      </w:r>
      <w:r w:rsidRPr="003C3A40">
        <w:rPr>
          <w:rFonts w:ascii="Arial" w:hAnsi="Arial" w:cs="Arial"/>
          <w:sz w:val="20"/>
        </w:rPr>
        <w:t>) and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DAP+FYM @12.5 t ha</w:t>
      </w:r>
      <w:r w:rsidRPr="003C3A40">
        <w:rPr>
          <w:rFonts w:ascii="Arial" w:hAnsi="Arial" w:cs="Arial"/>
          <w:sz w:val="20"/>
          <w:vertAlign w:val="superscript"/>
        </w:rPr>
        <w:t>-1</w:t>
      </w:r>
      <w:r w:rsidRPr="003C3A40">
        <w:rPr>
          <w:rFonts w:ascii="Arial" w:hAnsi="Arial" w:cs="Arial"/>
          <w:sz w:val="20"/>
        </w:rPr>
        <w:t xml:space="preserve"> (10.0 mg kg</w:t>
      </w:r>
      <w:r w:rsidRPr="003C3A40">
        <w:rPr>
          <w:rFonts w:ascii="Arial" w:hAnsi="Arial" w:cs="Arial"/>
          <w:sz w:val="20"/>
          <w:vertAlign w:val="superscript"/>
        </w:rPr>
        <w:t>-1</w:t>
      </w:r>
      <w:r w:rsidRPr="003C3A40">
        <w:rPr>
          <w:rFonts w:ascii="Arial" w:hAnsi="Arial" w:cs="Arial"/>
          <w:sz w:val="20"/>
        </w:rPr>
        <w:t>) showed similar results with T</w:t>
      </w:r>
      <w:r w:rsidRPr="003C3A40">
        <w:rPr>
          <w:rFonts w:ascii="Arial" w:hAnsi="Arial" w:cs="Arial"/>
          <w:sz w:val="20"/>
          <w:vertAlign w:val="subscript"/>
        </w:rPr>
        <w:t>8</w:t>
      </w:r>
      <w:r w:rsidRPr="003C3A40">
        <w:rPr>
          <w:rFonts w:ascii="Arial" w:hAnsi="Arial" w:cs="Arial"/>
          <w:sz w:val="20"/>
        </w:rPr>
        <w:t xml:space="preserve">. The </w:t>
      </w:r>
      <w:r w:rsidRPr="003C3A40">
        <w:rPr>
          <w:rFonts w:ascii="Arial" w:hAnsi="Arial" w:cs="Arial"/>
          <w:sz w:val="20"/>
        </w:rPr>
        <w:lastRenderedPageBreak/>
        <w:t>application of 100% P</w:t>
      </w:r>
      <w:r w:rsidRPr="003C3A40">
        <w:rPr>
          <w:rFonts w:ascii="Arial" w:hAnsi="Arial" w:cs="Arial"/>
          <w:sz w:val="20"/>
          <w:vertAlign w:val="subscript"/>
        </w:rPr>
        <w:t>2</w:t>
      </w:r>
      <w:r w:rsidRPr="003C3A40">
        <w:rPr>
          <w:rFonts w:ascii="Arial" w:hAnsi="Arial" w:cs="Arial"/>
          <w:sz w:val="20"/>
        </w:rPr>
        <w:t>O</w:t>
      </w:r>
      <w:r w:rsidRPr="003C3A40">
        <w:rPr>
          <w:rFonts w:ascii="Arial" w:hAnsi="Arial" w:cs="Arial"/>
          <w:sz w:val="20"/>
          <w:vertAlign w:val="subscript"/>
        </w:rPr>
        <w:t>5</w:t>
      </w:r>
      <w:r w:rsidRPr="003C3A40">
        <w:rPr>
          <w:rFonts w:ascii="Arial" w:hAnsi="Arial" w:cs="Arial"/>
          <w:sz w:val="20"/>
        </w:rPr>
        <w:t xml:space="preserve"> through PROM found significantly better (9.8 </w:t>
      </w:r>
      <w:r w:rsidRPr="003C3A40">
        <w:rPr>
          <w:rFonts w:ascii="Arial" w:eastAsia="Times New Roman" w:hAnsi="Arial" w:cs="Arial"/>
          <w:sz w:val="20"/>
          <w:lang w:eastAsia="en-IN"/>
        </w:rPr>
        <w:t>mg kg</w:t>
      </w:r>
      <w:r w:rsidRPr="003C3A40">
        <w:rPr>
          <w:rFonts w:ascii="Arial" w:eastAsia="Times New Roman" w:hAnsi="Arial" w:cs="Arial"/>
          <w:sz w:val="20"/>
          <w:vertAlign w:val="superscript"/>
          <w:lang w:eastAsia="en-IN"/>
        </w:rPr>
        <w:t>-1</w:t>
      </w:r>
      <w:r w:rsidRPr="003C3A40">
        <w:rPr>
          <w:rFonts w:ascii="Arial" w:hAnsi="Arial" w:cs="Arial"/>
          <w:sz w:val="20"/>
        </w:rPr>
        <w:t>) results in terms of copper content in soil over the treatment-recommended dose of fertilizer (9.1 mg kg</w:t>
      </w:r>
      <w:r w:rsidRPr="003C3A40">
        <w:rPr>
          <w:rFonts w:ascii="Arial" w:hAnsi="Arial" w:cs="Arial"/>
          <w:sz w:val="20"/>
          <w:vertAlign w:val="superscript"/>
        </w:rPr>
        <w:t>-1</w:t>
      </w:r>
      <w:r w:rsidRPr="003C3A40">
        <w:rPr>
          <w:rFonts w:ascii="Arial" w:hAnsi="Arial" w:cs="Arial"/>
          <w:sz w:val="20"/>
        </w:rPr>
        <w:t xml:space="preserve">). </w:t>
      </w:r>
    </w:p>
    <w:p w14:paraId="2FC9738D" w14:textId="77777777" w:rsidR="00323D24" w:rsidRPr="003C3A40" w:rsidRDefault="00323D24" w:rsidP="00245A8B">
      <w:pPr>
        <w:spacing w:after="0"/>
        <w:jc w:val="both"/>
        <w:rPr>
          <w:rFonts w:ascii="Arial" w:hAnsi="Arial" w:cs="Arial"/>
          <w:sz w:val="20"/>
        </w:rPr>
      </w:pPr>
      <w:bookmarkStart w:id="23" w:name="_Hlk177074039"/>
    </w:p>
    <w:p w14:paraId="71FA33E9" w14:textId="6A649588" w:rsidR="00C024A8" w:rsidRPr="003C3A40" w:rsidRDefault="00C024A8" w:rsidP="00245A8B">
      <w:pPr>
        <w:spacing w:after="0"/>
        <w:jc w:val="both"/>
        <w:rPr>
          <w:rFonts w:ascii="Arial" w:hAnsi="Arial" w:cs="Arial"/>
          <w:sz w:val="20"/>
        </w:rPr>
      </w:pPr>
      <w:r w:rsidRPr="003C3A40">
        <w:rPr>
          <w:rFonts w:ascii="Arial" w:hAnsi="Arial" w:cs="Arial"/>
          <w:sz w:val="20"/>
        </w:rPr>
        <w:t xml:space="preserve">The increase in soil nutrient availability after the application of various organic and inorganic fertilizers, including FYM, vermicompost, and PROM, can be attributed to multiple factors. Organic manures enhance microbial activity, which in turn promotes nutrient mineralization, releasing essential elements such as nitrogen, phosphorus, and potassium over a prolonged period. The microbial decomposition of organic matter also produces organic acids that increase the solubility of native phosphates and micronutrients like iron, manganese, zinc, and copper. Organic manures like PROM and vermicompost add organic colloids to the soil, increasing cation exchange capacity and improving nutrient retention. The gradual decomposition of these organic materials releases CO2, which forms carbonic acids that break down primary soil minerals, releasing additional nutrients. The symbiotic activity of nitrogen-fixing bacteria like Rhizobium further enhances nitrogen availability in soybean cropping systems. These processes collectively improve the bio-physicochemical characteristics of soil, ensuring a sustained and efficient release of nutrients throughout the crop's growing period (Bharadwaj and </w:t>
      </w:r>
      <w:proofErr w:type="spellStart"/>
      <w:r w:rsidRPr="003C3A40">
        <w:rPr>
          <w:rFonts w:ascii="Arial" w:hAnsi="Arial" w:cs="Arial"/>
          <w:sz w:val="20"/>
        </w:rPr>
        <w:t>Omanwar</w:t>
      </w:r>
      <w:proofErr w:type="spellEnd"/>
      <w:r w:rsidRPr="003C3A40">
        <w:rPr>
          <w:rFonts w:ascii="Arial" w:hAnsi="Arial" w:cs="Arial"/>
          <w:sz w:val="20"/>
        </w:rPr>
        <w:t xml:space="preserve">, 1994; Singh </w:t>
      </w:r>
      <w:r w:rsidRPr="00B318D4">
        <w:rPr>
          <w:rFonts w:ascii="Arial" w:hAnsi="Arial" w:cs="Arial"/>
          <w:i/>
          <w:iCs/>
          <w:sz w:val="20"/>
        </w:rPr>
        <w:t>et al</w:t>
      </w:r>
      <w:r w:rsidRPr="003C3A40">
        <w:rPr>
          <w:rFonts w:ascii="Arial" w:hAnsi="Arial" w:cs="Arial"/>
          <w:sz w:val="20"/>
        </w:rPr>
        <w:t xml:space="preserve">., 2012; Khan </w:t>
      </w:r>
      <w:r w:rsidRPr="00B318D4">
        <w:rPr>
          <w:rFonts w:ascii="Arial" w:hAnsi="Arial" w:cs="Arial"/>
          <w:i/>
          <w:iCs/>
          <w:sz w:val="20"/>
        </w:rPr>
        <w:t>et al.,</w:t>
      </w:r>
      <w:r w:rsidRPr="003C3A40">
        <w:rPr>
          <w:rFonts w:ascii="Arial" w:hAnsi="Arial" w:cs="Arial"/>
          <w:sz w:val="20"/>
        </w:rPr>
        <w:t xml:space="preserve"> 1984; Majumdar </w:t>
      </w:r>
      <w:r w:rsidRPr="00B318D4">
        <w:rPr>
          <w:rFonts w:ascii="Arial" w:hAnsi="Arial" w:cs="Arial"/>
          <w:i/>
          <w:iCs/>
          <w:sz w:val="20"/>
        </w:rPr>
        <w:t>et al</w:t>
      </w:r>
      <w:r w:rsidRPr="003C3A40">
        <w:rPr>
          <w:rFonts w:ascii="Arial" w:hAnsi="Arial" w:cs="Arial"/>
          <w:sz w:val="20"/>
        </w:rPr>
        <w:t xml:space="preserve">., 2005; </w:t>
      </w:r>
      <w:proofErr w:type="spellStart"/>
      <w:r w:rsidRPr="003C3A40">
        <w:rPr>
          <w:rFonts w:ascii="Arial" w:hAnsi="Arial" w:cs="Arial"/>
          <w:sz w:val="20"/>
        </w:rPr>
        <w:t>Chesti</w:t>
      </w:r>
      <w:proofErr w:type="spellEnd"/>
      <w:r w:rsidRPr="003C3A40">
        <w:rPr>
          <w:rFonts w:ascii="Arial" w:hAnsi="Arial" w:cs="Arial"/>
          <w:sz w:val="20"/>
        </w:rPr>
        <w:t xml:space="preserve"> </w:t>
      </w:r>
      <w:r w:rsidRPr="00B318D4">
        <w:rPr>
          <w:rFonts w:ascii="Arial" w:hAnsi="Arial" w:cs="Arial"/>
          <w:i/>
          <w:iCs/>
          <w:sz w:val="20"/>
        </w:rPr>
        <w:t>et al.,</w:t>
      </w:r>
      <w:r w:rsidRPr="003C3A40">
        <w:rPr>
          <w:rFonts w:ascii="Arial" w:hAnsi="Arial" w:cs="Arial"/>
          <w:sz w:val="20"/>
        </w:rPr>
        <w:t xml:space="preserve"> 2015; Mehta and Patel, 1967; Katyal and Sharma, 1991; Tisdale </w:t>
      </w:r>
      <w:r w:rsidRPr="00B318D4">
        <w:rPr>
          <w:rFonts w:ascii="Arial" w:hAnsi="Arial" w:cs="Arial"/>
          <w:i/>
          <w:iCs/>
          <w:sz w:val="20"/>
        </w:rPr>
        <w:t>et al</w:t>
      </w:r>
      <w:r w:rsidRPr="003C3A40">
        <w:rPr>
          <w:rFonts w:ascii="Arial" w:hAnsi="Arial" w:cs="Arial"/>
          <w:sz w:val="20"/>
        </w:rPr>
        <w:t>., 1993).</w:t>
      </w:r>
    </w:p>
    <w:p w14:paraId="09942157" w14:textId="77777777" w:rsidR="00323D24" w:rsidRPr="003C3A40" w:rsidRDefault="00323D24" w:rsidP="00245A8B">
      <w:pPr>
        <w:spacing w:after="0"/>
        <w:jc w:val="both"/>
        <w:rPr>
          <w:rFonts w:ascii="Arial" w:hAnsi="Arial" w:cs="Arial"/>
          <w:b/>
          <w:bCs/>
          <w:sz w:val="20"/>
        </w:rPr>
      </w:pPr>
    </w:p>
    <w:p w14:paraId="5B928F85" w14:textId="0346604B" w:rsidR="00952427" w:rsidRPr="00ED0DCB" w:rsidRDefault="00ED0DCB" w:rsidP="00245A8B">
      <w:pPr>
        <w:spacing w:after="0"/>
        <w:jc w:val="both"/>
        <w:rPr>
          <w:rFonts w:ascii="Arial" w:hAnsi="Arial" w:cs="Arial"/>
          <w:b/>
          <w:bCs/>
          <w:szCs w:val="22"/>
        </w:rPr>
      </w:pPr>
      <w:r>
        <w:rPr>
          <w:rFonts w:ascii="Arial" w:hAnsi="Arial" w:cs="Arial"/>
          <w:b/>
          <w:bCs/>
          <w:szCs w:val="22"/>
        </w:rPr>
        <w:t xml:space="preserve">4. </w:t>
      </w:r>
      <w:r w:rsidR="00952427" w:rsidRPr="00ED0DCB">
        <w:rPr>
          <w:rFonts w:ascii="Arial" w:hAnsi="Arial" w:cs="Arial"/>
          <w:b/>
          <w:bCs/>
          <w:szCs w:val="22"/>
        </w:rPr>
        <w:t>CONCLUSION</w:t>
      </w:r>
    </w:p>
    <w:p w14:paraId="36012F08" w14:textId="78D3B66C" w:rsidR="0075775C" w:rsidRDefault="0075775C" w:rsidP="00245A8B">
      <w:pPr>
        <w:spacing w:after="0"/>
        <w:jc w:val="both"/>
        <w:rPr>
          <w:rFonts w:ascii="Arial" w:hAnsi="Arial" w:cs="Arial"/>
          <w:sz w:val="20"/>
        </w:rPr>
      </w:pPr>
      <w:r w:rsidRPr="003C3A40">
        <w:rPr>
          <w:rFonts w:ascii="Arial" w:hAnsi="Arial" w:cs="Arial"/>
          <w:sz w:val="20"/>
        </w:rPr>
        <w:t>The study revealed that the application of organic fertilizers, such as PROM, FYM, and vermicompost, significantly enhanced nutrient use efficiency and soil health compared to the recommended dose of fertilizer. Among the organic sources, PROM was particularly effective in improving phosphorus use efficiency and increasing the availability of essential micronutrients like iron, manganese, zinc, and copper. The combination of organic and inorganic fertilizers also demonstrated synergistic effects in improving nutrient uptake and soil fertility. Overall, the findings suggest that integrating organic fertilizers into agricultural practices can be a sustainable and beneficial approach for enhancing crop productivity and promoting soil health.</w:t>
      </w:r>
    </w:p>
    <w:bookmarkEnd w:id="23"/>
    <w:p w14:paraId="671A0BFC" w14:textId="77777777" w:rsidR="00ED0DCB" w:rsidRPr="00ED0DCB" w:rsidRDefault="00ED0DCB" w:rsidP="00ED0DCB">
      <w:pPr>
        <w:spacing w:line="360" w:lineRule="auto"/>
        <w:jc w:val="both"/>
        <w:rPr>
          <w:rFonts w:ascii="Arial" w:hAnsi="Arial" w:cs="Arial"/>
          <w:sz w:val="20"/>
        </w:rPr>
      </w:pPr>
    </w:p>
    <w:p w14:paraId="16FB4219" w14:textId="665505FC" w:rsidR="004B6C2F" w:rsidRPr="00C96595" w:rsidRDefault="00ED0DCB" w:rsidP="00245A8B">
      <w:pPr>
        <w:spacing w:after="0"/>
        <w:ind w:right="-46"/>
        <w:jc w:val="both"/>
        <w:rPr>
          <w:rFonts w:ascii="Arial" w:hAnsi="Arial" w:cs="Arial"/>
          <w:b/>
          <w:bCs/>
          <w:szCs w:val="22"/>
        </w:rPr>
      </w:pPr>
      <w:r w:rsidRPr="00C96595">
        <w:rPr>
          <w:rFonts w:ascii="Arial" w:hAnsi="Arial" w:cs="Arial"/>
          <w:b/>
          <w:bCs/>
          <w:szCs w:val="22"/>
        </w:rPr>
        <w:t>REFERENCES</w:t>
      </w:r>
    </w:p>
    <w:p w14:paraId="6DD63061" w14:textId="60C24D71" w:rsidR="00077F39" w:rsidRPr="00390BFB" w:rsidRDefault="00077F39" w:rsidP="00C96595">
      <w:pPr>
        <w:pStyle w:val="ListParagraph"/>
        <w:numPr>
          <w:ilvl w:val="0"/>
          <w:numId w:val="8"/>
        </w:numPr>
        <w:spacing w:after="0" w:line="360" w:lineRule="auto"/>
        <w:jc w:val="both"/>
        <w:rPr>
          <w:rFonts w:ascii="Arial" w:hAnsi="Arial" w:cs="Arial"/>
          <w:sz w:val="20"/>
        </w:rPr>
      </w:pPr>
      <w:bookmarkStart w:id="24" w:name="_Hlk171010983"/>
      <w:proofErr w:type="spellStart"/>
      <w:r w:rsidRPr="00C96595">
        <w:rPr>
          <w:rFonts w:ascii="Arial" w:hAnsi="Arial" w:cs="Arial"/>
          <w:sz w:val="20"/>
        </w:rPr>
        <w:t>Babhulkar</w:t>
      </w:r>
      <w:proofErr w:type="spellEnd"/>
      <w:r w:rsidRPr="00C96595">
        <w:rPr>
          <w:rFonts w:ascii="Arial" w:hAnsi="Arial" w:cs="Arial"/>
          <w:sz w:val="20"/>
        </w:rPr>
        <w:t xml:space="preserve"> PS, Wandile RM, </w:t>
      </w:r>
      <w:proofErr w:type="spellStart"/>
      <w:r w:rsidRPr="00C96595">
        <w:rPr>
          <w:rFonts w:ascii="Arial" w:hAnsi="Arial" w:cs="Arial"/>
          <w:sz w:val="20"/>
        </w:rPr>
        <w:t>Badole</w:t>
      </w:r>
      <w:proofErr w:type="spellEnd"/>
      <w:r w:rsidRPr="00C96595">
        <w:rPr>
          <w:rFonts w:ascii="Arial" w:hAnsi="Arial" w:cs="Arial"/>
          <w:sz w:val="20"/>
        </w:rPr>
        <w:t xml:space="preserve"> WP and </w:t>
      </w:r>
      <w:proofErr w:type="spellStart"/>
      <w:r w:rsidRPr="00C96595">
        <w:rPr>
          <w:rFonts w:ascii="Arial" w:hAnsi="Arial" w:cs="Arial"/>
          <w:sz w:val="20"/>
        </w:rPr>
        <w:t>Balpande</w:t>
      </w:r>
      <w:proofErr w:type="spellEnd"/>
      <w:r w:rsidRPr="00C96595">
        <w:rPr>
          <w:rFonts w:ascii="Arial" w:hAnsi="Arial" w:cs="Arial"/>
          <w:sz w:val="20"/>
        </w:rPr>
        <w:t xml:space="preserve"> SS.</w:t>
      </w:r>
      <w:r w:rsidR="00390BFB">
        <w:rPr>
          <w:rFonts w:ascii="Arial" w:hAnsi="Arial" w:cs="Arial"/>
          <w:sz w:val="20"/>
        </w:rPr>
        <w:t xml:space="preserve"> </w:t>
      </w:r>
      <w:r w:rsidRPr="00C96595">
        <w:rPr>
          <w:rFonts w:ascii="Arial" w:hAnsi="Arial" w:cs="Arial"/>
          <w:sz w:val="20"/>
        </w:rPr>
        <w:t>Residual effect of long-term application of FYM and fertilization on soil properties (</w:t>
      </w:r>
      <w:proofErr w:type="spellStart"/>
      <w:r w:rsidRPr="00C96595">
        <w:rPr>
          <w:rFonts w:ascii="Arial" w:hAnsi="Arial" w:cs="Arial"/>
          <w:sz w:val="20"/>
        </w:rPr>
        <w:t>Vertisols</w:t>
      </w:r>
      <w:proofErr w:type="spellEnd"/>
      <w:r w:rsidRPr="00C96595">
        <w:rPr>
          <w:rFonts w:ascii="Arial" w:hAnsi="Arial" w:cs="Arial"/>
          <w:sz w:val="20"/>
        </w:rPr>
        <w:t xml:space="preserve">) and yield of soybean. </w:t>
      </w:r>
      <w:r w:rsidRPr="00390BFB">
        <w:rPr>
          <w:rFonts w:ascii="Arial" w:hAnsi="Arial" w:cs="Arial"/>
          <w:sz w:val="20"/>
        </w:rPr>
        <w:t>Journal of the Indian Society of Soil Science</w:t>
      </w:r>
      <w:r w:rsidR="00390BFB" w:rsidRPr="00390BFB">
        <w:rPr>
          <w:rFonts w:ascii="Arial" w:hAnsi="Arial" w:cs="Arial"/>
          <w:sz w:val="20"/>
        </w:rPr>
        <w:t xml:space="preserve">. </w:t>
      </w:r>
      <w:r w:rsidR="00FB02A5" w:rsidRPr="00390BFB">
        <w:rPr>
          <w:rFonts w:ascii="Arial" w:hAnsi="Arial" w:cs="Arial"/>
          <w:sz w:val="20"/>
        </w:rPr>
        <w:t>2000; 48:89</w:t>
      </w:r>
      <w:r w:rsidRPr="00390BFB">
        <w:rPr>
          <w:rFonts w:ascii="Arial" w:hAnsi="Arial" w:cs="Arial"/>
          <w:sz w:val="20"/>
        </w:rPr>
        <w:t>-92.</w:t>
      </w:r>
    </w:p>
    <w:p w14:paraId="1823CE5D" w14:textId="373597B6" w:rsidR="00077F39" w:rsidRPr="00FB02A5" w:rsidRDefault="00077F39" w:rsidP="00C96595">
      <w:pPr>
        <w:pStyle w:val="ListParagraph"/>
        <w:numPr>
          <w:ilvl w:val="0"/>
          <w:numId w:val="8"/>
        </w:numPr>
        <w:spacing w:after="0" w:line="360" w:lineRule="auto"/>
        <w:jc w:val="both"/>
        <w:rPr>
          <w:rFonts w:ascii="Arial" w:hAnsi="Arial" w:cs="Arial"/>
          <w:sz w:val="20"/>
        </w:rPr>
      </w:pPr>
      <w:bookmarkStart w:id="25" w:name="_Hlk171011111"/>
      <w:bookmarkEnd w:id="24"/>
      <w:r w:rsidRPr="00C96595">
        <w:rPr>
          <w:rFonts w:ascii="Arial" w:hAnsi="Arial" w:cs="Arial"/>
          <w:sz w:val="20"/>
        </w:rPr>
        <w:t xml:space="preserve">Bharadwaj V and </w:t>
      </w:r>
      <w:proofErr w:type="spellStart"/>
      <w:r w:rsidRPr="00C96595">
        <w:rPr>
          <w:rFonts w:ascii="Arial" w:hAnsi="Arial" w:cs="Arial"/>
          <w:sz w:val="20"/>
        </w:rPr>
        <w:t>Omanwar</w:t>
      </w:r>
      <w:proofErr w:type="spellEnd"/>
      <w:r w:rsidRPr="00C96595">
        <w:rPr>
          <w:rFonts w:ascii="Arial" w:hAnsi="Arial" w:cs="Arial"/>
          <w:sz w:val="20"/>
        </w:rPr>
        <w:t xml:space="preserve"> PK.</w:t>
      </w:r>
      <w:r w:rsidR="00FB02A5">
        <w:rPr>
          <w:rFonts w:ascii="Arial" w:hAnsi="Arial" w:cs="Arial"/>
          <w:sz w:val="20"/>
        </w:rPr>
        <w:t xml:space="preserve"> </w:t>
      </w:r>
      <w:r w:rsidRPr="00C96595">
        <w:rPr>
          <w:rFonts w:ascii="Arial" w:hAnsi="Arial" w:cs="Arial"/>
          <w:sz w:val="20"/>
        </w:rPr>
        <w:t xml:space="preserve">Long-term effects of continuous rotational cropping and fertilization on crop yields and soil properties II. Effects on EC, pH, organic matter and available nutrients of soil. </w:t>
      </w:r>
      <w:r w:rsidRPr="00FB02A5">
        <w:rPr>
          <w:rFonts w:ascii="Arial" w:hAnsi="Arial" w:cs="Arial"/>
          <w:sz w:val="20"/>
        </w:rPr>
        <w:t>Journal of the Indian Society of Soil Science</w:t>
      </w:r>
      <w:r w:rsidR="00FB02A5" w:rsidRPr="00FB02A5">
        <w:rPr>
          <w:rFonts w:ascii="Arial" w:hAnsi="Arial" w:cs="Arial"/>
          <w:sz w:val="20"/>
        </w:rPr>
        <w:t>. 1994; 42:387</w:t>
      </w:r>
      <w:r w:rsidRPr="00FB02A5">
        <w:rPr>
          <w:rFonts w:ascii="Arial" w:hAnsi="Arial" w:cs="Arial"/>
          <w:sz w:val="20"/>
        </w:rPr>
        <w:t>-392.</w:t>
      </w:r>
    </w:p>
    <w:p w14:paraId="74463776" w14:textId="4D204607" w:rsidR="00077F39" w:rsidRPr="00FB02A5" w:rsidRDefault="00077F39" w:rsidP="00C96595">
      <w:pPr>
        <w:pStyle w:val="ListParagraph"/>
        <w:numPr>
          <w:ilvl w:val="0"/>
          <w:numId w:val="8"/>
        </w:numPr>
        <w:spacing w:after="0" w:line="360" w:lineRule="auto"/>
        <w:jc w:val="both"/>
        <w:rPr>
          <w:rFonts w:ascii="Arial" w:hAnsi="Arial" w:cs="Arial"/>
          <w:sz w:val="20"/>
        </w:rPr>
      </w:pPr>
      <w:bookmarkStart w:id="26" w:name="_Hlk171011225"/>
      <w:bookmarkEnd w:id="25"/>
      <w:r w:rsidRPr="006146F9">
        <w:rPr>
          <w:rFonts w:ascii="Arial" w:hAnsi="Arial" w:cs="Arial"/>
          <w:sz w:val="20"/>
          <w:lang w:val="de-DE"/>
        </w:rPr>
        <w:t>Chesti MH, Kohli A, Mujtaba A, Sofi JA, Qadri TN, Peer QJA, Dar MA and Bisati IA.</w:t>
      </w:r>
      <w:r w:rsidR="00FB02A5" w:rsidRPr="006146F9">
        <w:rPr>
          <w:rFonts w:ascii="Arial" w:hAnsi="Arial" w:cs="Arial"/>
          <w:sz w:val="20"/>
          <w:lang w:val="de-DE"/>
        </w:rPr>
        <w:t xml:space="preserve"> </w:t>
      </w:r>
      <w:r w:rsidRPr="00C96595">
        <w:rPr>
          <w:rFonts w:ascii="Arial" w:hAnsi="Arial" w:cs="Arial"/>
          <w:sz w:val="20"/>
        </w:rPr>
        <w:t xml:space="preserve">Effect of integrated application of inorganic and organic sources on soil properties, yield and nutrient uptake by rice in intermediate zone of Jammu and Kashmir. </w:t>
      </w:r>
      <w:r w:rsidRPr="00FB02A5">
        <w:rPr>
          <w:rFonts w:ascii="Arial" w:hAnsi="Arial" w:cs="Arial"/>
          <w:sz w:val="20"/>
        </w:rPr>
        <w:t>Journal of the Indian Society of Soil Science</w:t>
      </w:r>
      <w:r w:rsidR="00FB02A5">
        <w:rPr>
          <w:rFonts w:ascii="Arial" w:hAnsi="Arial" w:cs="Arial"/>
          <w:sz w:val="20"/>
        </w:rPr>
        <w:t>. 2015;</w:t>
      </w:r>
      <w:r w:rsidRPr="00FB02A5">
        <w:rPr>
          <w:rFonts w:ascii="Arial" w:hAnsi="Arial" w:cs="Arial"/>
          <w:sz w:val="20"/>
        </w:rPr>
        <w:t>63(1)</w:t>
      </w:r>
      <w:r w:rsidR="00FB02A5">
        <w:rPr>
          <w:rFonts w:ascii="Arial" w:hAnsi="Arial" w:cs="Arial"/>
          <w:sz w:val="20"/>
        </w:rPr>
        <w:t>:</w:t>
      </w:r>
      <w:r w:rsidRPr="00FB02A5">
        <w:rPr>
          <w:rFonts w:ascii="Arial" w:hAnsi="Arial" w:cs="Arial"/>
          <w:sz w:val="20"/>
        </w:rPr>
        <w:t>88-92.</w:t>
      </w:r>
    </w:p>
    <w:p w14:paraId="147B0402" w14:textId="500B04E1" w:rsidR="00077F39" w:rsidRPr="00FB02A5" w:rsidRDefault="00077F39" w:rsidP="00C96595">
      <w:pPr>
        <w:pStyle w:val="ListParagraph"/>
        <w:numPr>
          <w:ilvl w:val="0"/>
          <w:numId w:val="8"/>
        </w:numPr>
        <w:spacing w:after="0" w:line="360" w:lineRule="auto"/>
        <w:jc w:val="both"/>
        <w:rPr>
          <w:rFonts w:ascii="Arial" w:hAnsi="Arial" w:cs="Arial"/>
          <w:sz w:val="20"/>
        </w:rPr>
      </w:pPr>
      <w:bookmarkStart w:id="27" w:name="_Hlk171010948"/>
      <w:bookmarkEnd w:id="26"/>
      <w:r w:rsidRPr="00C96595">
        <w:rPr>
          <w:rFonts w:ascii="Arial" w:hAnsi="Arial" w:cs="Arial"/>
          <w:sz w:val="20"/>
        </w:rPr>
        <w:t xml:space="preserve">Dwivedi AK, Singh M, </w:t>
      </w:r>
      <w:proofErr w:type="spellStart"/>
      <w:r w:rsidRPr="00C96595">
        <w:rPr>
          <w:rFonts w:ascii="Arial" w:hAnsi="Arial" w:cs="Arial"/>
          <w:sz w:val="20"/>
        </w:rPr>
        <w:t>Kauraw</w:t>
      </w:r>
      <w:proofErr w:type="spellEnd"/>
      <w:r w:rsidRPr="00C96595">
        <w:rPr>
          <w:rFonts w:ascii="Arial" w:hAnsi="Arial" w:cs="Arial"/>
          <w:sz w:val="20"/>
        </w:rPr>
        <w:t xml:space="preserve"> DL, Wanjari RH and Chauhan SS. Research bulletin on impact of fertilizer and manure use for three decades on crop productivity and sustainability and soil quality under Soybean-Wheat system on a </w:t>
      </w:r>
      <w:proofErr w:type="spellStart"/>
      <w:r w:rsidRPr="00C96595">
        <w:rPr>
          <w:rFonts w:ascii="Arial" w:hAnsi="Arial" w:cs="Arial"/>
          <w:sz w:val="20"/>
        </w:rPr>
        <w:t>Vertisol</w:t>
      </w:r>
      <w:proofErr w:type="spellEnd"/>
      <w:r w:rsidRPr="00C96595">
        <w:rPr>
          <w:rFonts w:ascii="Arial" w:hAnsi="Arial" w:cs="Arial"/>
          <w:sz w:val="20"/>
        </w:rPr>
        <w:t xml:space="preserve"> in Central India. </w:t>
      </w:r>
      <w:r w:rsidRPr="00FB02A5">
        <w:rPr>
          <w:rFonts w:ascii="Arial" w:hAnsi="Arial" w:cs="Arial"/>
          <w:sz w:val="20"/>
        </w:rPr>
        <w:t>Indian Institute of Soil Science</w:t>
      </w:r>
      <w:r w:rsidR="00FB02A5">
        <w:rPr>
          <w:rFonts w:ascii="Arial" w:hAnsi="Arial" w:cs="Arial"/>
          <w:sz w:val="20"/>
        </w:rPr>
        <w:t>. 2007;</w:t>
      </w:r>
      <w:r w:rsidRPr="00FB02A5">
        <w:rPr>
          <w:rFonts w:ascii="Arial" w:hAnsi="Arial" w:cs="Arial"/>
          <w:sz w:val="20"/>
        </w:rPr>
        <w:t>224-235.</w:t>
      </w:r>
    </w:p>
    <w:bookmarkEnd w:id="27"/>
    <w:p w14:paraId="500209F5" w14:textId="46D1A787" w:rsidR="00077F39" w:rsidRPr="00C96595" w:rsidRDefault="00077F39" w:rsidP="00C96595">
      <w:pPr>
        <w:pStyle w:val="ListParagraph"/>
        <w:numPr>
          <w:ilvl w:val="0"/>
          <w:numId w:val="8"/>
        </w:numPr>
        <w:spacing w:after="0" w:line="360" w:lineRule="auto"/>
        <w:jc w:val="both"/>
        <w:rPr>
          <w:rFonts w:ascii="Arial" w:hAnsi="Arial" w:cs="Arial"/>
          <w:bCs/>
          <w:iCs/>
          <w:sz w:val="20"/>
        </w:rPr>
      </w:pPr>
      <w:r w:rsidRPr="00C96595">
        <w:rPr>
          <w:rFonts w:ascii="Arial" w:hAnsi="Arial" w:cs="Arial"/>
          <w:bCs/>
          <w:iCs/>
          <w:sz w:val="20"/>
        </w:rPr>
        <w:lastRenderedPageBreak/>
        <w:t>Havlin JL, Beaton JD, Tisdale SL and Nelson WL.</w:t>
      </w:r>
      <w:r w:rsidR="00FB02A5">
        <w:rPr>
          <w:rFonts w:ascii="Arial" w:hAnsi="Arial" w:cs="Arial"/>
          <w:bCs/>
          <w:iCs/>
          <w:sz w:val="20"/>
        </w:rPr>
        <w:t xml:space="preserve"> </w:t>
      </w:r>
      <w:r w:rsidRPr="00C96595">
        <w:rPr>
          <w:rFonts w:ascii="Arial" w:hAnsi="Arial" w:cs="Arial"/>
          <w:bCs/>
          <w:iCs/>
          <w:sz w:val="20"/>
        </w:rPr>
        <w:t xml:space="preserve">Soil Fertility and Fertilizer. An introduction to nutrient management. 7th edition. </w:t>
      </w:r>
      <w:r w:rsidR="00FB02A5">
        <w:rPr>
          <w:rFonts w:ascii="Arial" w:hAnsi="Arial" w:cs="Arial"/>
          <w:bCs/>
          <w:iCs/>
          <w:sz w:val="20"/>
        </w:rPr>
        <w:t>2007;</w:t>
      </w:r>
      <w:r w:rsidRPr="00C96595">
        <w:rPr>
          <w:rFonts w:ascii="Arial" w:hAnsi="Arial" w:cs="Arial"/>
          <w:bCs/>
          <w:iCs/>
          <w:sz w:val="20"/>
        </w:rPr>
        <w:t>162-163,171 and 199.</w:t>
      </w:r>
    </w:p>
    <w:p w14:paraId="66ACD02B" w14:textId="0D1CDAC8" w:rsidR="001654A9" w:rsidRPr="00FB02A5" w:rsidRDefault="001654A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 xml:space="preserve">Kaleem AM, Manzoor M and Tahir MM. Efficiency of rhizobium inoculation and P fertilization in enhancing nodulation, seed yield, and phosphorus use efficiency by field grown Soybean under hilly region of </w:t>
      </w:r>
      <w:proofErr w:type="spellStart"/>
      <w:r w:rsidRPr="00C96595">
        <w:rPr>
          <w:rFonts w:ascii="Arial" w:hAnsi="Arial" w:cs="Arial"/>
          <w:sz w:val="20"/>
        </w:rPr>
        <w:t>Rawalakot</w:t>
      </w:r>
      <w:proofErr w:type="spellEnd"/>
      <w:r w:rsidRPr="00C96595">
        <w:rPr>
          <w:rFonts w:ascii="Arial" w:hAnsi="Arial" w:cs="Arial"/>
          <w:sz w:val="20"/>
        </w:rPr>
        <w:t xml:space="preserve"> Azad Jammu and Kashmir, Pakistan. </w:t>
      </w:r>
      <w:r w:rsidRPr="00FB02A5">
        <w:rPr>
          <w:rFonts w:ascii="Arial" w:hAnsi="Arial" w:cs="Arial"/>
          <w:sz w:val="20"/>
        </w:rPr>
        <w:t>Journal of Plant Nutrition</w:t>
      </w:r>
      <w:r w:rsidR="00BE16C1">
        <w:rPr>
          <w:rFonts w:ascii="Arial" w:hAnsi="Arial" w:cs="Arial"/>
          <w:sz w:val="20"/>
        </w:rPr>
        <w:t>.</w:t>
      </w:r>
      <w:r w:rsidRPr="00FB02A5">
        <w:rPr>
          <w:rFonts w:ascii="Arial" w:hAnsi="Arial" w:cs="Arial"/>
          <w:sz w:val="20"/>
        </w:rPr>
        <w:t xml:space="preserve"> </w:t>
      </w:r>
      <w:r w:rsidR="00FB02A5">
        <w:rPr>
          <w:rFonts w:ascii="Arial" w:hAnsi="Arial" w:cs="Arial"/>
          <w:sz w:val="20"/>
        </w:rPr>
        <w:t>2010</w:t>
      </w:r>
      <w:r w:rsidR="00FB02A5" w:rsidRPr="00B14AE5">
        <w:rPr>
          <w:rFonts w:ascii="Arial" w:hAnsi="Arial" w:cs="Arial"/>
          <w:sz w:val="20"/>
        </w:rPr>
        <w:t>;</w:t>
      </w:r>
      <w:r w:rsidRPr="00B14AE5">
        <w:rPr>
          <w:rFonts w:ascii="Arial" w:hAnsi="Arial" w:cs="Arial"/>
          <w:sz w:val="20"/>
        </w:rPr>
        <w:t>33(7</w:t>
      </w:r>
      <w:r w:rsidRPr="00FB02A5">
        <w:rPr>
          <w:rFonts w:ascii="Arial" w:hAnsi="Arial" w:cs="Arial"/>
          <w:sz w:val="20"/>
        </w:rPr>
        <w:t>)</w:t>
      </w:r>
      <w:r w:rsidR="00FB02A5">
        <w:rPr>
          <w:rFonts w:ascii="Arial" w:hAnsi="Arial" w:cs="Arial"/>
          <w:sz w:val="20"/>
        </w:rPr>
        <w:t>:</w:t>
      </w:r>
      <w:r w:rsidRPr="00FB02A5">
        <w:rPr>
          <w:rFonts w:ascii="Arial" w:hAnsi="Arial" w:cs="Arial"/>
          <w:sz w:val="20"/>
        </w:rPr>
        <w:t>1080-102.</w:t>
      </w:r>
    </w:p>
    <w:p w14:paraId="352EE69C" w14:textId="3786EF17" w:rsidR="00077F39" w:rsidRPr="00C96595" w:rsidRDefault="00077F39" w:rsidP="00C96595">
      <w:pPr>
        <w:pStyle w:val="ListParagraph"/>
        <w:numPr>
          <w:ilvl w:val="0"/>
          <w:numId w:val="8"/>
        </w:numPr>
        <w:spacing w:after="0" w:line="360" w:lineRule="auto"/>
        <w:jc w:val="both"/>
        <w:rPr>
          <w:rFonts w:ascii="Arial" w:hAnsi="Arial" w:cs="Arial"/>
          <w:sz w:val="20"/>
        </w:rPr>
      </w:pPr>
      <w:bookmarkStart w:id="28" w:name="_Hlk171011294"/>
      <w:r w:rsidRPr="00C96595">
        <w:rPr>
          <w:rFonts w:ascii="Arial" w:hAnsi="Arial" w:cs="Arial"/>
          <w:sz w:val="20"/>
        </w:rPr>
        <w:t xml:space="preserve">Katyal JC and Sharma BD. DTPA extractable and total Zn, Cu, Mn and Fe in Indian soils and their association with some soil properties. </w:t>
      </w:r>
      <w:proofErr w:type="spellStart"/>
      <w:r w:rsidRPr="00FB02A5">
        <w:rPr>
          <w:rFonts w:ascii="Arial" w:hAnsi="Arial" w:cs="Arial"/>
          <w:sz w:val="20"/>
        </w:rPr>
        <w:t>Geoderma</w:t>
      </w:r>
      <w:proofErr w:type="spellEnd"/>
      <w:r w:rsidR="00FB02A5">
        <w:rPr>
          <w:rFonts w:ascii="Arial" w:hAnsi="Arial" w:cs="Arial"/>
          <w:sz w:val="20"/>
        </w:rPr>
        <w:t>. 1991;</w:t>
      </w:r>
      <w:r w:rsidR="00FB02A5" w:rsidRPr="00FB02A5">
        <w:rPr>
          <w:rFonts w:ascii="Arial" w:hAnsi="Arial" w:cs="Arial"/>
          <w:sz w:val="20"/>
        </w:rPr>
        <w:t xml:space="preserve"> 49:165</w:t>
      </w:r>
      <w:r w:rsidRPr="00C96595">
        <w:rPr>
          <w:rFonts w:ascii="Arial" w:hAnsi="Arial" w:cs="Arial"/>
          <w:sz w:val="20"/>
        </w:rPr>
        <w:t>-179.</w:t>
      </w:r>
    </w:p>
    <w:bookmarkEnd w:id="28"/>
    <w:p w14:paraId="7131DCB6" w14:textId="0613D07B" w:rsidR="00077F39" w:rsidRPr="00C96595" w:rsidRDefault="00077F3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Khan G, Gupta SK and Banerjee SK.</w:t>
      </w:r>
      <w:r w:rsidR="00FB02A5">
        <w:rPr>
          <w:rFonts w:ascii="Arial" w:hAnsi="Arial" w:cs="Arial"/>
          <w:sz w:val="20"/>
        </w:rPr>
        <w:t xml:space="preserve"> </w:t>
      </w:r>
      <w:r w:rsidRPr="00C96595">
        <w:rPr>
          <w:rFonts w:ascii="Arial" w:hAnsi="Arial" w:cs="Arial"/>
          <w:sz w:val="20"/>
        </w:rPr>
        <w:t xml:space="preserve">Studies on solubilization of phosphorus in presence of different city wastes. </w:t>
      </w:r>
      <w:r w:rsidRPr="00FB02A5">
        <w:rPr>
          <w:rFonts w:ascii="Arial" w:hAnsi="Arial" w:cs="Arial"/>
          <w:sz w:val="20"/>
        </w:rPr>
        <w:t>Journal of the Indian Society of Soil Science</w:t>
      </w:r>
      <w:r w:rsidR="00FB02A5" w:rsidRPr="00FB02A5">
        <w:rPr>
          <w:rFonts w:ascii="Arial" w:hAnsi="Arial" w:cs="Arial"/>
          <w:sz w:val="20"/>
        </w:rPr>
        <w:t>. 1984; 29:123</w:t>
      </w:r>
      <w:r w:rsidRPr="00FB02A5">
        <w:rPr>
          <w:rFonts w:ascii="Arial" w:hAnsi="Arial" w:cs="Arial"/>
          <w:sz w:val="20"/>
        </w:rPr>
        <w:t>-124</w:t>
      </w:r>
      <w:r w:rsidRPr="00C96595">
        <w:rPr>
          <w:rFonts w:ascii="Arial" w:hAnsi="Arial" w:cs="Arial"/>
          <w:sz w:val="20"/>
        </w:rPr>
        <w:t>.</w:t>
      </w:r>
    </w:p>
    <w:p w14:paraId="74416A5F" w14:textId="1CBF7FE9" w:rsidR="00077F39" w:rsidRPr="00FB02A5" w:rsidRDefault="00077F3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 xml:space="preserve">Majumdar B, Venkatesh MS, Kumar K and </w:t>
      </w:r>
      <w:proofErr w:type="spellStart"/>
      <w:r w:rsidRPr="00C96595">
        <w:rPr>
          <w:rFonts w:ascii="Arial" w:hAnsi="Arial" w:cs="Arial"/>
          <w:sz w:val="20"/>
        </w:rPr>
        <w:t>Patiram</w:t>
      </w:r>
      <w:proofErr w:type="spellEnd"/>
      <w:r w:rsidR="00FB02A5">
        <w:rPr>
          <w:rFonts w:ascii="Arial" w:hAnsi="Arial" w:cs="Arial"/>
          <w:sz w:val="20"/>
        </w:rPr>
        <w:t xml:space="preserve">. </w:t>
      </w:r>
      <w:r w:rsidRPr="00C96595">
        <w:rPr>
          <w:rFonts w:ascii="Arial" w:hAnsi="Arial" w:cs="Arial"/>
          <w:sz w:val="20"/>
        </w:rPr>
        <w:t xml:space="preserve">Effect of potassium and farmyard manure on yield, nutrient uptake and quality of ginger in a Typic </w:t>
      </w:r>
      <w:proofErr w:type="spellStart"/>
      <w:r w:rsidRPr="00C96595">
        <w:rPr>
          <w:rFonts w:ascii="Arial" w:hAnsi="Arial" w:cs="Arial"/>
          <w:sz w:val="20"/>
        </w:rPr>
        <w:t>hapludalf</w:t>
      </w:r>
      <w:proofErr w:type="spellEnd"/>
      <w:r w:rsidRPr="00C96595">
        <w:rPr>
          <w:rFonts w:ascii="Arial" w:hAnsi="Arial" w:cs="Arial"/>
          <w:sz w:val="20"/>
        </w:rPr>
        <w:t xml:space="preserve"> of Meghalaya. </w:t>
      </w:r>
      <w:r w:rsidRPr="00FB02A5">
        <w:rPr>
          <w:rFonts w:ascii="Arial" w:hAnsi="Arial" w:cs="Arial"/>
          <w:sz w:val="20"/>
        </w:rPr>
        <w:t>Indian Journal of Agricultural Science</w:t>
      </w:r>
      <w:r w:rsidR="00FB02A5" w:rsidRPr="00FB02A5">
        <w:rPr>
          <w:rFonts w:ascii="Arial" w:hAnsi="Arial" w:cs="Arial"/>
          <w:sz w:val="20"/>
        </w:rPr>
        <w:t xml:space="preserve">. </w:t>
      </w:r>
      <w:r w:rsidR="00BE16C1" w:rsidRPr="00FB02A5">
        <w:rPr>
          <w:rFonts w:ascii="Arial" w:hAnsi="Arial" w:cs="Arial"/>
          <w:sz w:val="20"/>
        </w:rPr>
        <w:t>2005; 75:809</w:t>
      </w:r>
      <w:r w:rsidRPr="00FB02A5">
        <w:rPr>
          <w:rFonts w:ascii="Arial" w:hAnsi="Arial" w:cs="Arial"/>
          <w:sz w:val="20"/>
        </w:rPr>
        <w:t>-811.</w:t>
      </w:r>
    </w:p>
    <w:p w14:paraId="0C9AB4C1" w14:textId="01ED8406" w:rsidR="00077F39" w:rsidRPr="00FB02A5" w:rsidRDefault="00077F39" w:rsidP="00C96595">
      <w:pPr>
        <w:pStyle w:val="ListParagraph"/>
        <w:numPr>
          <w:ilvl w:val="0"/>
          <w:numId w:val="8"/>
        </w:numPr>
        <w:spacing w:after="0" w:line="360" w:lineRule="auto"/>
        <w:jc w:val="both"/>
        <w:rPr>
          <w:rFonts w:ascii="Arial" w:hAnsi="Arial" w:cs="Arial"/>
          <w:sz w:val="20"/>
        </w:rPr>
      </w:pPr>
      <w:bookmarkStart w:id="29" w:name="_Hlk171011737"/>
      <w:r w:rsidRPr="00C96595">
        <w:rPr>
          <w:rFonts w:ascii="Arial" w:hAnsi="Arial" w:cs="Arial"/>
          <w:sz w:val="20"/>
        </w:rPr>
        <w:t xml:space="preserve">Makwana SN, Patel GG, Patel HK, </w:t>
      </w:r>
      <w:proofErr w:type="spellStart"/>
      <w:r w:rsidRPr="00C96595">
        <w:rPr>
          <w:rFonts w:ascii="Arial" w:hAnsi="Arial" w:cs="Arial"/>
          <w:sz w:val="20"/>
        </w:rPr>
        <w:t>Shiyal</w:t>
      </w:r>
      <w:proofErr w:type="spellEnd"/>
      <w:r w:rsidRPr="00C96595">
        <w:rPr>
          <w:rFonts w:ascii="Arial" w:hAnsi="Arial" w:cs="Arial"/>
          <w:sz w:val="20"/>
        </w:rPr>
        <w:t xml:space="preserve"> VN and Patel BK.</w:t>
      </w:r>
      <w:r w:rsidR="00FB02A5">
        <w:rPr>
          <w:rFonts w:ascii="Arial" w:hAnsi="Arial" w:cs="Arial"/>
          <w:sz w:val="20"/>
        </w:rPr>
        <w:t xml:space="preserve"> </w:t>
      </w:r>
      <w:r w:rsidRPr="00C96595">
        <w:rPr>
          <w:rFonts w:ascii="Arial" w:hAnsi="Arial" w:cs="Arial"/>
          <w:sz w:val="20"/>
        </w:rPr>
        <w:t>Effect of Inorganic and Organic Nutrients on Growth and Yield of Summer Green Gram (</w:t>
      </w:r>
      <w:r w:rsidRPr="00C96595">
        <w:rPr>
          <w:rFonts w:ascii="Arial" w:hAnsi="Arial" w:cs="Arial"/>
          <w:i/>
          <w:iCs/>
          <w:sz w:val="20"/>
        </w:rPr>
        <w:t>Vigna radiata</w:t>
      </w:r>
      <w:r w:rsidRPr="00C96595">
        <w:rPr>
          <w:rFonts w:ascii="Arial" w:hAnsi="Arial" w:cs="Arial"/>
          <w:sz w:val="20"/>
        </w:rPr>
        <w:t xml:space="preserve"> L.). </w:t>
      </w:r>
      <w:r w:rsidRPr="00FB02A5">
        <w:rPr>
          <w:rFonts w:ascii="Arial" w:hAnsi="Arial" w:cs="Arial"/>
          <w:sz w:val="20"/>
        </w:rPr>
        <w:t>International Journal of Current Microbiology and Applied Sciences</w:t>
      </w:r>
      <w:r w:rsidR="00FB02A5" w:rsidRPr="00FB02A5">
        <w:rPr>
          <w:rFonts w:ascii="Arial" w:hAnsi="Arial" w:cs="Arial"/>
          <w:sz w:val="20"/>
        </w:rPr>
        <w:t>. 2020;</w:t>
      </w:r>
      <w:r w:rsidRPr="00FB02A5">
        <w:rPr>
          <w:rFonts w:ascii="Arial" w:hAnsi="Arial" w:cs="Arial"/>
          <w:sz w:val="20"/>
        </w:rPr>
        <w:t>1(11)</w:t>
      </w:r>
      <w:r w:rsidR="00FB02A5" w:rsidRPr="00FB02A5">
        <w:rPr>
          <w:rFonts w:ascii="Arial" w:hAnsi="Arial" w:cs="Arial"/>
          <w:sz w:val="20"/>
        </w:rPr>
        <w:t>:</w:t>
      </w:r>
      <w:r w:rsidRPr="00FB02A5">
        <w:rPr>
          <w:rFonts w:ascii="Arial" w:hAnsi="Arial" w:cs="Arial"/>
          <w:sz w:val="20"/>
        </w:rPr>
        <w:t>730-738.</w:t>
      </w:r>
    </w:p>
    <w:p w14:paraId="1CCE5F6F" w14:textId="68BB8A9D" w:rsidR="00077F39" w:rsidRPr="00C96595" w:rsidRDefault="00077F39" w:rsidP="00C96595">
      <w:pPr>
        <w:pStyle w:val="ListParagraph"/>
        <w:numPr>
          <w:ilvl w:val="0"/>
          <w:numId w:val="8"/>
        </w:numPr>
        <w:spacing w:after="0" w:line="360" w:lineRule="auto"/>
        <w:jc w:val="both"/>
        <w:rPr>
          <w:rFonts w:ascii="Arial" w:hAnsi="Arial" w:cs="Arial"/>
          <w:sz w:val="20"/>
        </w:rPr>
      </w:pPr>
      <w:bookmarkStart w:id="30" w:name="_Hlk171009763"/>
      <w:bookmarkEnd w:id="29"/>
      <w:r w:rsidRPr="00C96595">
        <w:rPr>
          <w:rFonts w:ascii="Arial" w:hAnsi="Arial" w:cs="Arial"/>
          <w:sz w:val="20"/>
        </w:rPr>
        <w:t>Malhotra H, Vandana, Sharma S and Pandey R.</w:t>
      </w:r>
      <w:r w:rsidR="00FB02A5">
        <w:rPr>
          <w:rFonts w:ascii="Arial" w:hAnsi="Arial" w:cs="Arial"/>
          <w:sz w:val="20"/>
        </w:rPr>
        <w:t xml:space="preserve"> </w:t>
      </w:r>
      <w:r w:rsidRPr="00C96595">
        <w:rPr>
          <w:rFonts w:ascii="Arial" w:hAnsi="Arial" w:cs="Arial"/>
          <w:sz w:val="20"/>
        </w:rPr>
        <w:t>Phosphorus Nutrition, Plant Growth in Response to Deficiency and Excess. Mineral Nutrition Laboratory, Division of Plant Physiology, ICAR- Indian Agricultural Research Institute, New Delhi, India.</w:t>
      </w:r>
      <w:bookmarkEnd w:id="30"/>
      <w:r w:rsidR="00FB02A5">
        <w:rPr>
          <w:rFonts w:ascii="Arial" w:hAnsi="Arial" w:cs="Arial"/>
          <w:sz w:val="20"/>
        </w:rPr>
        <w:t xml:space="preserve"> 2018.</w:t>
      </w:r>
    </w:p>
    <w:p w14:paraId="342FD49B" w14:textId="1B088677" w:rsidR="00077F39" w:rsidRPr="00C96595" w:rsidRDefault="00077F39" w:rsidP="00C96595">
      <w:pPr>
        <w:pStyle w:val="ListParagraph"/>
        <w:numPr>
          <w:ilvl w:val="0"/>
          <w:numId w:val="8"/>
        </w:numPr>
        <w:spacing w:after="0" w:line="360" w:lineRule="auto"/>
        <w:jc w:val="both"/>
        <w:rPr>
          <w:rFonts w:ascii="Arial" w:hAnsi="Arial" w:cs="Arial"/>
          <w:sz w:val="20"/>
        </w:rPr>
      </w:pPr>
      <w:bookmarkStart w:id="31" w:name="_Hlk171011397"/>
      <w:r w:rsidRPr="00C96595">
        <w:rPr>
          <w:rFonts w:ascii="Arial" w:hAnsi="Arial" w:cs="Arial"/>
          <w:sz w:val="20"/>
        </w:rPr>
        <w:t>Mehta BV and Patel NK. Forms of manganese and their distribution in soil profiles of Kaira district of Gujrat</w:t>
      </w:r>
      <w:r w:rsidRPr="00C96595">
        <w:rPr>
          <w:rFonts w:ascii="Arial" w:hAnsi="Arial" w:cs="Arial"/>
          <w:i/>
          <w:iCs/>
          <w:sz w:val="20"/>
        </w:rPr>
        <w:t xml:space="preserve">. </w:t>
      </w:r>
      <w:r w:rsidRPr="00FB02A5">
        <w:rPr>
          <w:rFonts w:ascii="Arial" w:hAnsi="Arial" w:cs="Arial"/>
          <w:sz w:val="20"/>
        </w:rPr>
        <w:t>Journal of the Indian Society of Soil Science</w:t>
      </w:r>
      <w:r w:rsidR="00FB02A5" w:rsidRPr="00FB02A5">
        <w:rPr>
          <w:rFonts w:ascii="Arial" w:hAnsi="Arial" w:cs="Arial"/>
          <w:sz w:val="20"/>
        </w:rPr>
        <w:t xml:space="preserve">. </w:t>
      </w:r>
      <w:r w:rsidR="00BE16C1" w:rsidRPr="00FB02A5">
        <w:rPr>
          <w:rFonts w:ascii="Arial" w:hAnsi="Arial" w:cs="Arial"/>
          <w:sz w:val="20"/>
        </w:rPr>
        <w:t>1967; 15:41</w:t>
      </w:r>
      <w:r w:rsidRPr="00FB02A5">
        <w:rPr>
          <w:rFonts w:ascii="Arial" w:hAnsi="Arial" w:cs="Arial"/>
          <w:sz w:val="20"/>
        </w:rPr>
        <w:t>-47.</w:t>
      </w:r>
    </w:p>
    <w:p w14:paraId="49AF2E26" w14:textId="13490B0A" w:rsidR="00077F39" w:rsidRPr="00FB02A5" w:rsidRDefault="00077F39" w:rsidP="00C96595">
      <w:pPr>
        <w:pStyle w:val="ListParagraph"/>
        <w:numPr>
          <w:ilvl w:val="0"/>
          <w:numId w:val="8"/>
        </w:numPr>
        <w:spacing w:after="0" w:line="360" w:lineRule="auto"/>
        <w:jc w:val="both"/>
        <w:rPr>
          <w:rFonts w:ascii="Arial" w:hAnsi="Arial" w:cs="Arial"/>
          <w:sz w:val="20"/>
        </w:rPr>
      </w:pPr>
      <w:bookmarkStart w:id="32" w:name="_Hlk171009898"/>
      <w:bookmarkEnd w:id="31"/>
      <w:r w:rsidRPr="00C96595">
        <w:rPr>
          <w:rFonts w:ascii="Arial" w:hAnsi="Arial" w:cs="Arial"/>
          <w:sz w:val="20"/>
        </w:rPr>
        <w:t xml:space="preserve">Naseer M and Muhammad D. Direct and residual effect of </w:t>
      </w:r>
      <w:proofErr w:type="spellStart"/>
      <w:r w:rsidRPr="00C96595">
        <w:rPr>
          <w:rFonts w:ascii="Arial" w:hAnsi="Arial" w:cs="Arial"/>
          <w:sz w:val="20"/>
        </w:rPr>
        <w:t>hazara</w:t>
      </w:r>
      <w:proofErr w:type="spellEnd"/>
      <w:r w:rsidRPr="00C96595">
        <w:rPr>
          <w:rFonts w:ascii="Arial" w:hAnsi="Arial" w:cs="Arial"/>
          <w:sz w:val="20"/>
        </w:rPr>
        <w:t xml:space="preserve"> rock phosphate (</w:t>
      </w:r>
      <w:proofErr w:type="spellStart"/>
      <w:r w:rsidRPr="00C96595">
        <w:rPr>
          <w:rFonts w:ascii="Arial" w:hAnsi="Arial" w:cs="Arial"/>
          <w:sz w:val="20"/>
        </w:rPr>
        <w:t>hrp</w:t>
      </w:r>
      <w:proofErr w:type="spellEnd"/>
      <w:r w:rsidRPr="00C96595">
        <w:rPr>
          <w:rFonts w:ascii="Arial" w:hAnsi="Arial" w:cs="Arial"/>
          <w:sz w:val="20"/>
        </w:rPr>
        <w:t>) on wheat and succeeding maize in alkaline calcareous soils</w:t>
      </w:r>
      <w:r w:rsidRPr="00FB02A5">
        <w:rPr>
          <w:rFonts w:ascii="Arial" w:hAnsi="Arial" w:cs="Arial"/>
          <w:sz w:val="20"/>
        </w:rPr>
        <w:t>. Pakistan Journal of Botany</w:t>
      </w:r>
      <w:r w:rsidR="00FB02A5" w:rsidRPr="00FB02A5">
        <w:rPr>
          <w:rFonts w:ascii="Arial" w:hAnsi="Arial" w:cs="Arial"/>
          <w:sz w:val="20"/>
        </w:rPr>
        <w:t>. 2014;</w:t>
      </w:r>
      <w:r w:rsidRPr="00FB02A5">
        <w:rPr>
          <w:rFonts w:ascii="Arial" w:hAnsi="Arial" w:cs="Arial"/>
          <w:sz w:val="20"/>
        </w:rPr>
        <w:t>46(5)</w:t>
      </w:r>
      <w:r w:rsidR="00FB02A5" w:rsidRPr="00FB02A5">
        <w:rPr>
          <w:rFonts w:ascii="Arial" w:hAnsi="Arial" w:cs="Arial"/>
          <w:sz w:val="20"/>
        </w:rPr>
        <w:t>:</w:t>
      </w:r>
      <w:r w:rsidRPr="00FB02A5">
        <w:rPr>
          <w:rFonts w:ascii="Arial" w:hAnsi="Arial" w:cs="Arial"/>
          <w:sz w:val="20"/>
        </w:rPr>
        <w:t>1755-1761.</w:t>
      </w:r>
    </w:p>
    <w:p w14:paraId="011EC04D" w14:textId="17428FD8" w:rsidR="00077F39" w:rsidRPr="00C96595" w:rsidRDefault="00077F39" w:rsidP="00C96595">
      <w:pPr>
        <w:pStyle w:val="ListParagraph"/>
        <w:numPr>
          <w:ilvl w:val="0"/>
          <w:numId w:val="8"/>
        </w:numPr>
        <w:spacing w:after="0" w:line="360" w:lineRule="auto"/>
        <w:jc w:val="both"/>
        <w:rPr>
          <w:rFonts w:ascii="Arial" w:hAnsi="Arial" w:cs="Arial"/>
          <w:sz w:val="20"/>
        </w:rPr>
      </w:pPr>
      <w:bookmarkStart w:id="33" w:name="_Hlk171010455"/>
      <w:bookmarkEnd w:id="32"/>
      <w:r w:rsidRPr="00C96595">
        <w:rPr>
          <w:rFonts w:ascii="Arial" w:hAnsi="Arial" w:cs="Arial"/>
          <w:sz w:val="20"/>
        </w:rPr>
        <w:t xml:space="preserve">Panse VA and </w:t>
      </w:r>
      <w:proofErr w:type="spellStart"/>
      <w:r w:rsidRPr="00C96595">
        <w:rPr>
          <w:rFonts w:ascii="Arial" w:hAnsi="Arial" w:cs="Arial"/>
          <w:sz w:val="20"/>
        </w:rPr>
        <w:t>Sukhatme</w:t>
      </w:r>
      <w:proofErr w:type="spellEnd"/>
      <w:r w:rsidRPr="00C96595">
        <w:rPr>
          <w:rFonts w:ascii="Arial" w:hAnsi="Arial" w:cs="Arial"/>
          <w:sz w:val="20"/>
        </w:rPr>
        <w:t xml:space="preserve"> PV. Statistical methods for Agricultural workers, Revised Edition. ICAR, New Delhi.</w:t>
      </w:r>
      <w:r w:rsidR="00FB02A5">
        <w:rPr>
          <w:rFonts w:ascii="Arial" w:hAnsi="Arial" w:cs="Arial"/>
          <w:sz w:val="20"/>
        </w:rPr>
        <w:t xml:space="preserve"> 1985.</w:t>
      </w:r>
    </w:p>
    <w:p w14:paraId="2251FFAE" w14:textId="44A4DE88" w:rsidR="00077F39" w:rsidRPr="00FB02A5" w:rsidRDefault="00077F39" w:rsidP="00C96595">
      <w:pPr>
        <w:pStyle w:val="ListParagraph"/>
        <w:numPr>
          <w:ilvl w:val="0"/>
          <w:numId w:val="8"/>
        </w:numPr>
        <w:spacing w:after="0" w:line="360" w:lineRule="auto"/>
        <w:jc w:val="both"/>
        <w:rPr>
          <w:rFonts w:ascii="Arial" w:hAnsi="Arial" w:cs="Arial"/>
          <w:sz w:val="20"/>
        </w:rPr>
      </w:pPr>
      <w:bookmarkStart w:id="34" w:name="_Hlk171009821"/>
      <w:bookmarkEnd w:id="33"/>
      <w:r w:rsidRPr="00C96595">
        <w:rPr>
          <w:rFonts w:ascii="Arial" w:hAnsi="Arial" w:cs="Arial"/>
          <w:sz w:val="20"/>
        </w:rPr>
        <w:t>Sims JT and Sharpley AN.</w:t>
      </w:r>
      <w:r w:rsidR="00FB02A5">
        <w:rPr>
          <w:rFonts w:ascii="Arial" w:hAnsi="Arial" w:cs="Arial"/>
          <w:sz w:val="20"/>
        </w:rPr>
        <w:t xml:space="preserve"> </w:t>
      </w:r>
      <w:r w:rsidRPr="00C96595">
        <w:rPr>
          <w:rFonts w:ascii="Arial" w:hAnsi="Arial" w:cs="Arial"/>
          <w:sz w:val="20"/>
        </w:rPr>
        <w:t xml:space="preserve">Phosphorus in agriculture: problems and solutions. </w:t>
      </w:r>
      <w:r w:rsidRPr="00FB02A5">
        <w:rPr>
          <w:rFonts w:ascii="Arial" w:hAnsi="Arial" w:cs="Arial"/>
          <w:sz w:val="20"/>
        </w:rPr>
        <w:t>Journal of Environmental Quality</w:t>
      </w:r>
      <w:r w:rsidR="00FB02A5" w:rsidRPr="00FB02A5">
        <w:rPr>
          <w:rFonts w:ascii="Arial" w:hAnsi="Arial" w:cs="Arial"/>
          <w:sz w:val="20"/>
        </w:rPr>
        <w:t>. 2005;</w:t>
      </w:r>
      <w:r w:rsidRPr="00FB02A5">
        <w:rPr>
          <w:rFonts w:ascii="Arial" w:hAnsi="Arial" w:cs="Arial"/>
          <w:sz w:val="20"/>
        </w:rPr>
        <w:t>34(2)</w:t>
      </w:r>
      <w:r w:rsidR="00FB02A5" w:rsidRPr="00FB02A5">
        <w:rPr>
          <w:rFonts w:ascii="Arial" w:hAnsi="Arial" w:cs="Arial"/>
          <w:sz w:val="20"/>
        </w:rPr>
        <w:t>:</w:t>
      </w:r>
      <w:r w:rsidRPr="00FB02A5">
        <w:rPr>
          <w:rFonts w:ascii="Arial" w:hAnsi="Arial" w:cs="Arial"/>
          <w:sz w:val="20"/>
        </w:rPr>
        <w:t>758-764.</w:t>
      </w:r>
    </w:p>
    <w:p w14:paraId="4A851634" w14:textId="4CF83438" w:rsidR="00077F39" w:rsidRPr="00C96595" w:rsidRDefault="00077F39" w:rsidP="00C96595">
      <w:pPr>
        <w:pStyle w:val="ListParagraph"/>
        <w:numPr>
          <w:ilvl w:val="0"/>
          <w:numId w:val="8"/>
        </w:numPr>
        <w:spacing w:after="0" w:line="360" w:lineRule="auto"/>
        <w:jc w:val="both"/>
        <w:rPr>
          <w:rFonts w:ascii="Arial" w:hAnsi="Arial" w:cs="Arial"/>
          <w:sz w:val="20"/>
        </w:rPr>
      </w:pPr>
      <w:bookmarkStart w:id="35" w:name="_Hlk171009678"/>
      <w:bookmarkEnd w:id="34"/>
      <w:r w:rsidRPr="00C96595">
        <w:rPr>
          <w:rFonts w:ascii="Arial" w:hAnsi="Arial" w:cs="Arial"/>
          <w:sz w:val="20"/>
        </w:rPr>
        <w:t>Singh M, Wanjari RH, Dwivedi A and Dalal R. Yield response to applied nutrients and estimates of N</w:t>
      </w:r>
      <w:r w:rsidRPr="00C96595">
        <w:rPr>
          <w:rFonts w:ascii="Arial" w:hAnsi="Arial" w:cs="Arial"/>
          <w:sz w:val="20"/>
          <w:vertAlign w:val="subscript"/>
        </w:rPr>
        <w:t>2</w:t>
      </w:r>
      <w:r w:rsidRPr="00C96595">
        <w:rPr>
          <w:rFonts w:ascii="Arial" w:hAnsi="Arial" w:cs="Arial"/>
          <w:sz w:val="20"/>
        </w:rPr>
        <w:t xml:space="preserve"> fixation in 33-year-old soybean–wheat experiment on a </w:t>
      </w:r>
      <w:proofErr w:type="spellStart"/>
      <w:r w:rsidRPr="00C96595">
        <w:rPr>
          <w:rFonts w:ascii="Arial" w:hAnsi="Arial" w:cs="Arial"/>
          <w:sz w:val="20"/>
        </w:rPr>
        <w:t>Vertisol</w:t>
      </w:r>
      <w:proofErr w:type="spellEnd"/>
      <w:r w:rsidRPr="00C96595">
        <w:rPr>
          <w:rFonts w:ascii="Arial" w:hAnsi="Arial" w:cs="Arial"/>
          <w:sz w:val="20"/>
        </w:rPr>
        <w:t xml:space="preserve">. </w:t>
      </w:r>
      <w:r w:rsidRPr="00FB02A5">
        <w:rPr>
          <w:rFonts w:ascii="Arial" w:hAnsi="Arial" w:cs="Arial"/>
          <w:sz w:val="20"/>
        </w:rPr>
        <w:t>Experimental Agriculture</w:t>
      </w:r>
      <w:r w:rsidR="00FB02A5">
        <w:rPr>
          <w:rFonts w:ascii="Arial" w:hAnsi="Arial" w:cs="Arial"/>
          <w:sz w:val="20"/>
        </w:rPr>
        <w:t xml:space="preserve">. </w:t>
      </w:r>
      <w:r w:rsidR="00E61905">
        <w:rPr>
          <w:rFonts w:ascii="Arial" w:hAnsi="Arial" w:cs="Arial"/>
          <w:sz w:val="20"/>
        </w:rPr>
        <w:t>2012;</w:t>
      </w:r>
      <w:r w:rsidR="00E61905" w:rsidRPr="00FB02A5">
        <w:rPr>
          <w:rFonts w:ascii="Arial" w:hAnsi="Arial" w:cs="Arial"/>
          <w:sz w:val="20"/>
        </w:rPr>
        <w:t xml:space="preserve"> 48:311</w:t>
      </w:r>
      <w:r w:rsidRPr="00C96595">
        <w:rPr>
          <w:rFonts w:ascii="Arial" w:hAnsi="Arial" w:cs="Arial"/>
          <w:sz w:val="20"/>
        </w:rPr>
        <w:t>-325.</w:t>
      </w:r>
    </w:p>
    <w:bookmarkEnd w:id="35"/>
    <w:p w14:paraId="309CE785" w14:textId="79868921" w:rsidR="00077F39" w:rsidRPr="00FB02A5" w:rsidRDefault="00077F39" w:rsidP="00C96595">
      <w:pPr>
        <w:pStyle w:val="ListParagraph"/>
        <w:numPr>
          <w:ilvl w:val="0"/>
          <w:numId w:val="8"/>
        </w:numPr>
        <w:spacing w:after="0" w:line="360" w:lineRule="auto"/>
        <w:jc w:val="both"/>
        <w:rPr>
          <w:rFonts w:ascii="Arial" w:hAnsi="Arial" w:cs="Arial"/>
          <w:sz w:val="20"/>
        </w:rPr>
      </w:pPr>
      <w:r w:rsidRPr="00C96595">
        <w:rPr>
          <w:rFonts w:ascii="Arial" w:hAnsi="Arial" w:cs="Arial"/>
          <w:sz w:val="20"/>
        </w:rPr>
        <w:t xml:space="preserve">Siva Sankar A, Reddy PR and Subba Rao IV. Nodulation and nitrogen fixation in groundnut as affected by seed size and phosphorus. </w:t>
      </w:r>
      <w:r w:rsidRPr="00FB02A5">
        <w:rPr>
          <w:rFonts w:ascii="Arial" w:hAnsi="Arial" w:cs="Arial"/>
          <w:sz w:val="20"/>
        </w:rPr>
        <w:t>Legume Research</w:t>
      </w:r>
      <w:r w:rsidR="00FB02A5">
        <w:rPr>
          <w:rFonts w:ascii="Arial" w:hAnsi="Arial" w:cs="Arial"/>
          <w:i/>
          <w:iCs/>
          <w:sz w:val="20"/>
        </w:rPr>
        <w:t xml:space="preserve">. </w:t>
      </w:r>
      <w:r w:rsidR="00FB02A5" w:rsidRPr="00FB02A5">
        <w:rPr>
          <w:rFonts w:ascii="Arial" w:hAnsi="Arial" w:cs="Arial"/>
          <w:sz w:val="20"/>
        </w:rPr>
        <w:t>1984;7</w:t>
      </w:r>
      <w:r w:rsidRPr="00FB02A5">
        <w:rPr>
          <w:rFonts w:ascii="Arial" w:hAnsi="Arial" w:cs="Arial"/>
          <w:sz w:val="20"/>
        </w:rPr>
        <w:t>(1)</w:t>
      </w:r>
      <w:r w:rsidR="00FB02A5" w:rsidRPr="00FB02A5">
        <w:rPr>
          <w:rFonts w:ascii="Arial" w:hAnsi="Arial" w:cs="Arial"/>
          <w:sz w:val="20"/>
        </w:rPr>
        <w:t>:</w:t>
      </w:r>
      <w:r w:rsidRPr="00FB02A5">
        <w:rPr>
          <w:rFonts w:ascii="Arial" w:hAnsi="Arial" w:cs="Arial"/>
          <w:sz w:val="20"/>
        </w:rPr>
        <w:t>5.</w:t>
      </w:r>
    </w:p>
    <w:p w14:paraId="6AC57B46" w14:textId="1DE9C751" w:rsidR="00077F39" w:rsidRPr="00FB02A5" w:rsidRDefault="00077F39" w:rsidP="00C96595">
      <w:pPr>
        <w:pStyle w:val="ListParagraph"/>
        <w:numPr>
          <w:ilvl w:val="0"/>
          <w:numId w:val="8"/>
        </w:numPr>
        <w:spacing w:after="0" w:line="360" w:lineRule="auto"/>
        <w:jc w:val="both"/>
        <w:rPr>
          <w:rFonts w:ascii="Arial" w:hAnsi="Arial" w:cs="Arial"/>
          <w:sz w:val="20"/>
        </w:rPr>
      </w:pPr>
      <w:bookmarkStart w:id="36" w:name="_Hlk171011359"/>
      <w:r w:rsidRPr="00C96595">
        <w:rPr>
          <w:rFonts w:ascii="Arial" w:hAnsi="Arial" w:cs="Arial"/>
          <w:sz w:val="20"/>
        </w:rPr>
        <w:t>Tisdale SL, Nelson WL, Beaton JD and Havlin JL.</w:t>
      </w:r>
      <w:r w:rsidR="00FB02A5">
        <w:rPr>
          <w:rFonts w:ascii="Arial" w:hAnsi="Arial" w:cs="Arial"/>
          <w:sz w:val="20"/>
        </w:rPr>
        <w:t xml:space="preserve"> </w:t>
      </w:r>
      <w:r w:rsidRPr="00C96595">
        <w:rPr>
          <w:rFonts w:ascii="Arial" w:hAnsi="Arial" w:cs="Arial"/>
          <w:sz w:val="20"/>
        </w:rPr>
        <w:t>Soil Fertility and Fertilizers</w:t>
      </w:r>
      <w:r w:rsidRPr="00C96595">
        <w:rPr>
          <w:rFonts w:ascii="Arial" w:hAnsi="Arial" w:cs="Arial"/>
          <w:i/>
          <w:iCs/>
          <w:sz w:val="20"/>
        </w:rPr>
        <w:t>.</w:t>
      </w:r>
      <w:r w:rsidRPr="00C96595">
        <w:rPr>
          <w:rFonts w:ascii="Arial" w:hAnsi="Arial" w:cs="Arial"/>
          <w:sz w:val="20"/>
        </w:rPr>
        <w:t xml:space="preserve"> </w:t>
      </w:r>
      <w:r w:rsidRPr="00FB02A5">
        <w:rPr>
          <w:rFonts w:ascii="Arial" w:hAnsi="Arial" w:cs="Arial"/>
          <w:sz w:val="20"/>
        </w:rPr>
        <w:t xml:space="preserve">MacMillan Publishers, New York, </w:t>
      </w:r>
      <w:r w:rsidR="00FB02A5" w:rsidRPr="00FB02A5">
        <w:rPr>
          <w:rFonts w:ascii="Arial" w:hAnsi="Arial" w:cs="Arial"/>
          <w:sz w:val="20"/>
        </w:rPr>
        <w:t>1993;</w:t>
      </w:r>
      <w:r w:rsidRPr="00FB02A5">
        <w:rPr>
          <w:rFonts w:ascii="Arial" w:hAnsi="Arial" w:cs="Arial"/>
          <w:sz w:val="20"/>
        </w:rPr>
        <w:t>634.</w:t>
      </w:r>
    </w:p>
    <w:p w14:paraId="7157269D" w14:textId="18BFCBA5" w:rsidR="00077F39" w:rsidRPr="00FB02A5" w:rsidRDefault="00077F39" w:rsidP="00C96595">
      <w:pPr>
        <w:pStyle w:val="ListParagraph"/>
        <w:numPr>
          <w:ilvl w:val="0"/>
          <w:numId w:val="8"/>
        </w:numPr>
        <w:spacing w:after="0" w:line="360" w:lineRule="auto"/>
        <w:jc w:val="both"/>
        <w:rPr>
          <w:rFonts w:ascii="Arial" w:hAnsi="Arial" w:cs="Arial"/>
          <w:sz w:val="20"/>
        </w:rPr>
      </w:pPr>
      <w:bookmarkStart w:id="37" w:name="_Hlk171011011"/>
      <w:bookmarkEnd w:id="36"/>
      <w:proofErr w:type="spellStart"/>
      <w:r w:rsidRPr="00C96595">
        <w:rPr>
          <w:rFonts w:ascii="Arial" w:hAnsi="Arial" w:cs="Arial"/>
          <w:sz w:val="20"/>
        </w:rPr>
        <w:lastRenderedPageBreak/>
        <w:t>Yaduvanshi</w:t>
      </w:r>
      <w:proofErr w:type="spellEnd"/>
      <w:r w:rsidRPr="00C96595">
        <w:rPr>
          <w:rFonts w:ascii="Arial" w:hAnsi="Arial" w:cs="Arial"/>
          <w:sz w:val="20"/>
        </w:rPr>
        <w:t xml:space="preserve"> NPS.</w:t>
      </w:r>
      <w:r w:rsidR="00FB02A5">
        <w:rPr>
          <w:rFonts w:ascii="Arial" w:hAnsi="Arial" w:cs="Arial"/>
          <w:sz w:val="20"/>
        </w:rPr>
        <w:t xml:space="preserve"> </w:t>
      </w:r>
      <w:r w:rsidRPr="00C96595">
        <w:rPr>
          <w:rFonts w:ascii="Arial" w:hAnsi="Arial" w:cs="Arial"/>
          <w:sz w:val="20"/>
        </w:rPr>
        <w:t xml:space="preserve">Effect of five years of rice wheat cropping and NPK fertilizer use with and without organic and green manures on soil properties and crop yield in a reclaimed sodic soil. </w:t>
      </w:r>
      <w:r w:rsidRPr="00FB02A5">
        <w:rPr>
          <w:rFonts w:ascii="Arial" w:hAnsi="Arial" w:cs="Arial"/>
          <w:sz w:val="20"/>
        </w:rPr>
        <w:t>Journal of the Indian Society of Soil Science</w:t>
      </w:r>
      <w:r w:rsidR="00FB02A5" w:rsidRPr="00FB02A5">
        <w:rPr>
          <w:rFonts w:ascii="Arial" w:hAnsi="Arial" w:cs="Arial"/>
          <w:sz w:val="20"/>
        </w:rPr>
        <w:t>. 2001; 49:774</w:t>
      </w:r>
      <w:r w:rsidRPr="00FB02A5">
        <w:rPr>
          <w:rFonts w:ascii="Arial" w:hAnsi="Arial" w:cs="Arial"/>
          <w:sz w:val="20"/>
        </w:rPr>
        <w:t>-719.</w:t>
      </w:r>
    </w:p>
    <w:bookmarkEnd w:id="37"/>
    <w:p w14:paraId="21E51EAA" w14:textId="77777777" w:rsidR="00077F39" w:rsidRPr="00077F39" w:rsidRDefault="00077F39" w:rsidP="00245A8B">
      <w:pPr>
        <w:spacing w:after="0"/>
        <w:ind w:right="-46"/>
        <w:jc w:val="both"/>
        <w:rPr>
          <w:rFonts w:ascii="Arial" w:hAnsi="Arial" w:cs="Arial"/>
          <w:b/>
          <w:bCs/>
          <w:sz w:val="20"/>
        </w:rPr>
      </w:pPr>
    </w:p>
    <w:sectPr w:rsidR="00077F39" w:rsidRPr="00077F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94916" w14:textId="77777777" w:rsidR="003F2583" w:rsidRDefault="003F2583" w:rsidP="006146F9">
      <w:pPr>
        <w:spacing w:after="0" w:line="240" w:lineRule="auto"/>
      </w:pPr>
      <w:r>
        <w:separator/>
      </w:r>
    </w:p>
  </w:endnote>
  <w:endnote w:type="continuationSeparator" w:id="0">
    <w:p w14:paraId="40BF4703" w14:textId="77777777" w:rsidR="003F2583" w:rsidRDefault="003F2583" w:rsidP="0061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5C0C8" w14:textId="77777777" w:rsidR="006146F9" w:rsidRDefault="0061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B1EE5" w14:textId="77777777" w:rsidR="006146F9" w:rsidRDefault="0061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5C719" w14:textId="77777777" w:rsidR="006146F9" w:rsidRDefault="0061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95166" w14:textId="77777777" w:rsidR="003F2583" w:rsidRDefault="003F2583" w:rsidP="006146F9">
      <w:pPr>
        <w:spacing w:after="0" w:line="240" w:lineRule="auto"/>
      </w:pPr>
      <w:r>
        <w:separator/>
      </w:r>
    </w:p>
  </w:footnote>
  <w:footnote w:type="continuationSeparator" w:id="0">
    <w:p w14:paraId="765DB376" w14:textId="77777777" w:rsidR="003F2583" w:rsidRDefault="003F2583" w:rsidP="00614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6CE2" w14:textId="54D2675D" w:rsidR="006146F9" w:rsidRDefault="006146F9">
    <w:pPr>
      <w:pStyle w:val="Header"/>
    </w:pPr>
    <w:r>
      <w:rPr>
        <w:noProof/>
      </w:rPr>
      <w:pict w14:anchorId="7E426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20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90ECC" w14:textId="600AC4F6" w:rsidR="006146F9" w:rsidRDefault="006146F9">
    <w:pPr>
      <w:pStyle w:val="Header"/>
    </w:pPr>
    <w:r>
      <w:rPr>
        <w:noProof/>
      </w:rPr>
      <w:pict w14:anchorId="3008E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20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37C8" w14:textId="5C8F6ABE" w:rsidR="006146F9" w:rsidRDefault="006146F9">
    <w:pPr>
      <w:pStyle w:val="Header"/>
    </w:pPr>
    <w:r>
      <w:rPr>
        <w:noProof/>
      </w:rPr>
      <w:pict w14:anchorId="4EF30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720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985617"/>
    <w:multiLevelType w:val="hybridMultilevel"/>
    <w:tmpl w:val="2B84C0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713587"/>
    <w:multiLevelType w:val="hybridMultilevel"/>
    <w:tmpl w:val="8D4AB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03D37"/>
    <w:multiLevelType w:val="hybridMultilevel"/>
    <w:tmpl w:val="45DCA0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25517785">
    <w:abstractNumId w:val="0"/>
  </w:num>
  <w:num w:numId="2" w16cid:durableId="443960034">
    <w:abstractNumId w:val="6"/>
  </w:num>
  <w:num w:numId="3" w16cid:durableId="600457682">
    <w:abstractNumId w:val="2"/>
  </w:num>
  <w:num w:numId="4" w16cid:durableId="883058218">
    <w:abstractNumId w:val="7"/>
  </w:num>
  <w:num w:numId="5" w16cid:durableId="846600853">
    <w:abstractNumId w:val="9"/>
  </w:num>
  <w:num w:numId="6" w16cid:durableId="372537687">
    <w:abstractNumId w:val="3"/>
  </w:num>
  <w:num w:numId="7" w16cid:durableId="645664294">
    <w:abstractNumId w:val="5"/>
  </w:num>
  <w:num w:numId="8" w16cid:durableId="273023470">
    <w:abstractNumId w:val="4"/>
  </w:num>
  <w:num w:numId="9" w16cid:durableId="318730558">
    <w:abstractNumId w:val="8"/>
  </w:num>
  <w:num w:numId="10" w16cid:durableId="153010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029F"/>
    <w:rsid w:val="0002724E"/>
    <w:rsid w:val="00056EFC"/>
    <w:rsid w:val="00067BE1"/>
    <w:rsid w:val="00077F39"/>
    <w:rsid w:val="000E40E8"/>
    <w:rsid w:val="00111292"/>
    <w:rsid w:val="001318B8"/>
    <w:rsid w:val="00145F65"/>
    <w:rsid w:val="001654A9"/>
    <w:rsid w:val="0018039A"/>
    <w:rsid w:val="00180C9E"/>
    <w:rsid w:val="00196B6D"/>
    <w:rsid w:val="001D31B7"/>
    <w:rsid w:val="00232DBF"/>
    <w:rsid w:val="002456A9"/>
    <w:rsid w:val="00245A8B"/>
    <w:rsid w:val="002471B3"/>
    <w:rsid w:val="002507D9"/>
    <w:rsid w:val="002848C7"/>
    <w:rsid w:val="002969C5"/>
    <w:rsid w:val="002D791C"/>
    <w:rsid w:val="002F2CB3"/>
    <w:rsid w:val="002F5DB6"/>
    <w:rsid w:val="00305BE5"/>
    <w:rsid w:val="00323D24"/>
    <w:rsid w:val="00347F8E"/>
    <w:rsid w:val="003621D1"/>
    <w:rsid w:val="00390BFB"/>
    <w:rsid w:val="003958DB"/>
    <w:rsid w:val="003C3A40"/>
    <w:rsid w:val="003F218F"/>
    <w:rsid w:val="003F2583"/>
    <w:rsid w:val="003F2A7C"/>
    <w:rsid w:val="00401C84"/>
    <w:rsid w:val="004269BF"/>
    <w:rsid w:val="00487450"/>
    <w:rsid w:val="004B6C2F"/>
    <w:rsid w:val="004F44DD"/>
    <w:rsid w:val="00535BAC"/>
    <w:rsid w:val="00536F82"/>
    <w:rsid w:val="00546FF8"/>
    <w:rsid w:val="00562330"/>
    <w:rsid w:val="005C1387"/>
    <w:rsid w:val="005D3103"/>
    <w:rsid w:val="005E21CC"/>
    <w:rsid w:val="005E3EB2"/>
    <w:rsid w:val="0060389D"/>
    <w:rsid w:val="00604F76"/>
    <w:rsid w:val="00606516"/>
    <w:rsid w:val="00611D4F"/>
    <w:rsid w:val="006136E0"/>
    <w:rsid w:val="006146F9"/>
    <w:rsid w:val="006336D2"/>
    <w:rsid w:val="00666115"/>
    <w:rsid w:val="006922EF"/>
    <w:rsid w:val="00696E23"/>
    <w:rsid w:val="006D1DAA"/>
    <w:rsid w:val="006D6CE5"/>
    <w:rsid w:val="00733AAC"/>
    <w:rsid w:val="0075775C"/>
    <w:rsid w:val="007850AB"/>
    <w:rsid w:val="0079646D"/>
    <w:rsid w:val="007C52B7"/>
    <w:rsid w:val="007E595B"/>
    <w:rsid w:val="0080178E"/>
    <w:rsid w:val="008522E9"/>
    <w:rsid w:val="008707B4"/>
    <w:rsid w:val="008D029F"/>
    <w:rsid w:val="008D4ACB"/>
    <w:rsid w:val="008E2C04"/>
    <w:rsid w:val="008F58C3"/>
    <w:rsid w:val="00900530"/>
    <w:rsid w:val="00926724"/>
    <w:rsid w:val="009400FB"/>
    <w:rsid w:val="00952427"/>
    <w:rsid w:val="00964DC3"/>
    <w:rsid w:val="009A178B"/>
    <w:rsid w:val="009D6F2E"/>
    <w:rsid w:val="00A0677B"/>
    <w:rsid w:val="00A25D5B"/>
    <w:rsid w:val="00A43E98"/>
    <w:rsid w:val="00A44E58"/>
    <w:rsid w:val="00A4731B"/>
    <w:rsid w:val="00A57DC1"/>
    <w:rsid w:val="00A80FF6"/>
    <w:rsid w:val="00AB0D25"/>
    <w:rsid w:val="00B14AE5"/>
    <w:rsid w:val="00B27078"/>
    <w:rsid w:val="00B318D4"/>
    <w:rsid w:val="00B74669"/>
    <w:rsid w:val="00B77F98"/>
    <w:rsid w:val="00BA56B9"/>
    <w:rsid w:val="00BB19DC"/>
    <w:rsid w:val="00BB7EEA"/>
    <w:rsid w:val="00BC2AAF"/>
    <w:rsid w:val="00BE16C1"/>
    <w:rsid w:val="00C024A8"/>
    <w:rsid w:val="00C22DEE"/>
    <w:rsid w:val="00C35B64"/>
    <w:rsid w:val="00C573DC"/>
    <w:rsid w:val="00C96595"/>
    <w:rsid w:val="00D330AA"/>
    <w:rsid w:val="00D73953"/>
    <w:rsid w:val="00DB7790"/>
    <w:rsid w:val="00DD3051"/>
    <w:rsid w:val="00DF4A91"/>
    <w:rsid w:val="00E1695F"/>
    <w:rsid w:val="00E47691"/>
    <w:rsid w:val="00E61905"/>
    <w:rsid w:val="00E63601"/>
    <w:rsid w:val="00E83AD8"/>
    <w:rsid w:val="00E92F4F"/>
    <w:rsid w:val="00ED0DCB"/>
    <w:rsid w:val="00EE5084"/>
    <w:rsid w:val="00EF3969"/>
    <w:rsid w:val="00F3308D"/>
    <w:rsid w:val="00F47ED8"/>
    <w:rsid w:val="00F54CA8"/>
    <w:rsid w:val="00F86F34"/>
    <w:rsid w:val="00FA13B3"/>
    <w:rsid w:val="00FB02A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51FA0"/>
  <w15:docId w15:val="{058B4304-57F9-44C3-9D86-53026193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Heading2">
    <w:name w:val="heading 2"/>
    <w:basedOn w:val="Normal"/>
    <w:next w:val="Normal"/>
    <w:link w:val="Heading2Ch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2DEE"/>
    <w:rPr>
      <w:rFonts w:ascii="Cambria" w:eastAsia="Times New Roman" w:hAnsi="Cambria" w:cs="Sakal Marathi"/>
      <w:color w:val="365F91"/>
      <w:sz w:val="32"/>
      <w:szCs w:val="29"/>
    </w:rPr>
  </w:style>
  <w:style w:type="character" w:customStyle="1" w:styleId="Heading2Char">
    <w:name w:val="Heading 2 Char"/>
    <w:basedOn w:val="DefaultParagraphFont"/>
    <w:link w:val="Heading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ListParagraph">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HeaderChar">
    <w:name w:val="Header Char"/>
    <w:basedOn w:val="DefaultParagraphFont"/>
    <w:link w:val="Header"/>
    <w:uiPriority w:val="99"/>
    <w:rsid w:val="00C22DEE"/>
    <w:rPr>
      <w:rFonts w:eastAsiaTheme="minorHAnsi"/>
      <w:kern w:val="2"/>
      <w:szCs w:val="22"/>
      <w:lang w:val="en-IN" w:bidi="ar-SA"/>
    </w:rPr>
  </w:style>
  <w:style w:type="paragraph" w:styleId="Footer">
    <w:name w:val="footer"/>
    <w:basedOn w:val="Normal"/>
    <w:link w:val="FooterCh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FooterChar">
    <w:name w:val="Footer Char"/>
    <w:basedOn w:val="DefaultParagraphFont"/>
    <w:link w:val="Footer"/>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PlaceholderText">
    <w:name w:val="Placeholder Text"/>
    <w:basedOn w:val="DefaultParagraphFont"/>
    <w:uiPriority w:val="99"/>
    <w:semiHidden/>
    <w:rsid w:val="00C22DEE"/>
    <w:rPr>
      <w:color w:val="666666"/>
    </w:rPr>
  </w:style>
  <w:style w:type="character" w:styleId="Hyperlink">
    <w:name w:val="Hyperlink"/>
    <w:basedOn w:val="DefaultParagraphFont"/>
    <w:uiPriority w:val="99"/>
    <w:unhideWhenUsed/>
    <w:rsid w:val="00C22DEE"/>
    <w:rPr>
      <w:color w:val="0000FF" w:themeColor="hyperlink"/>
      <w:u w:val="single"/>
    </w:rPr>
  </w:style>
  <w:style w:type="character" w:customStyle="1" w:styleId="UnresolvedMention1">
    <w:name w:val="Unresolved Mention1"/>
    <w:basedOn w:val="DefaultParagraphFont"/>
    <w:uiPriority w:val="99"/>
    <w:semiHidden/>
    <w:unhideWhenUsed/>
    <w:rsid w:val="00C22DEE"/>
    <w:rPr>
      <w:color w:val="605E5C"/>
      <w:shd w:val="clear" w:color="auto" w:fill="E1DFDD"/>
    </w:rPr>
  </w:style>
  <w:style w:type="character" w:styleId="Emphasis">
    <w:name w:val="Emphasis"/>
    <w:basedOn w:val="DefaultParagraphFont"/>
    <w:uiPriority w:val="20"/>
    <w:qFormat/>
    <w:rsid w:val="00C22DEE"/>
    <w:rPr>
      <w:i/>
      <w:iCs/>
    </w:rPr>
  </w:style>
  <w:style w:type="character" w:styleId="Strong">
    <w:name w:val="Strong"/>
    <w:basedOn w:val="DefaultParagraphFont"/>
    <w:uiPriority w:val="22"/>
    <w:qFormat/>
    <w:rsid w:val="00C22DEE"/>
    <w:rPr>
      <w:b/>
      <w:bCs/>
    </w:rPr>
  </w:style>
  <w:style w:type="paragraph" w:styleId="BodyText">
    <w:name w:val="Body Text"/>
    <w:basedOn w:val="Normal"/>
    <w:link w:val="BodyTextCh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BodyTextChar">
    <w:name w:val="Body Text Char"/>
    <w:basedOn w:val="DefaultParagraphFont"/>
    <w:link w:val="BodyText"/>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styleId="UnresolvedMention">
    <w:name w:val="Unresolved Mention"/>
    <w:basedOn w:val="DefaultParagraphFont"/>
    <w:uiPriority w:val="99"/>
    <w:semiHidden/>
    <w:unhideWhenUsed/>
    <w:rsid w:val="00C22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564041">
      <w:bodyDiv w:val="1"/>
      <w:marLeft w:val="0"/>
      <w:marRight w:val="0"/>
      <w:marTop w:val="0"/>
      <w:marBottom w:val="0"/>
      <w:divBdr>
        <w:top w:val="none" w:sz="0" w:space="0" w:color="auto"/>
        <w:left w:val="none" w:sz="0" w:space="0" w:color="auto"/>
        <w:bottom w:val="none" w:sz="0" w:space="0" w:color="auto"/>
        <w:right w:val="none" w:sz="0" w:space="0" w:color="auto"/>
      </w:divBdr>
    </w:div>
    <w:div w:id="992828161">
      <w:bodyDiv w:val="1"/>
      <w:marLeft w:val="0"/>
      <w:marRight w:val="0"/>
      <w:marTop w:val="0"/>
      <w:marBottom w:val="0"/>
      <w:divBdr>
        <w:top w:val="none" w:sz="0" w:space="0" w:color="auto"/>
        <w:left w:val="none" w:sz="0" w:space="0" w:color="auto"/>
        <w:bottom w:val="none" w:sz="0" w:space="0" w:color="auto"/>
        <w:right w:val="none" w:sz="0" w:space="0" w:color="auto"/>
      </w:divBdr>
    </w:div>
    <w:div w:id="1079864309">
      <w:bodyDiv w:val="1"/>
      <w:marLeft w:val="0"/>
      <w:marRight w:val="0"/>
      <w:marTop w:val="0"/>
      <w:marBottom w:val="0"/>
      <w:divBdr>
        <w:top w:val="none" w:sz="0" w:space="0" w:color="auto"/>
        <w:left w:val="none" w:sz="0" w:space="0" w:color="auto"/>
        <w:bottom w:val="none" w:sz="0" w:space="0" w:color="auto"/>
        <w:right w:val="none" w:sz="0" w:space="0" w:color="auto"/>
      </w:divBdr>
    </w:div>
    <w:div w:id="1337732139">
      <w:bodyDiv w:val="1"/>
      <w:marLeft w:val="0"/>
      <w:marRight w:val="0"/>
      <w:marTop w:val="0"/>
      <w:marBottom w:val="0"/>
      <w:divBdr>
        <w:top w:val="none" w:sz="0" w:space="0" w:color="auto"/>
        <w:left w:val="none" w:sz="0" w:space="0" w:color="auto"/>
        <w:bottom w:val="none" w:sz="0" w:space="0" w:color="auto"/>
        <w:right w:val="none" w:sz="0" w:space="0" w:color="auto"/>
      </w:divBdr>
      <w:divsChild>
        <w:div w:id="1789163043">
          <w:marLeft w:val="0"/>
          <w:marRight w:val="0"/>
          <w:marTop w:val="0"/>
          <w:marBottom w:val="0"/>
          <w:divBdr>
            <w:top w:val="none" w:sz="0" w:space="0" w:color="auto"/>
            <w:left w:val="none" w:sz="0" w:space="0" w:color="auto"/>
            <w:bottom w:val="none" w:sz="0" w:space="0" w:color="auto"/>
            <w:right w:val="none" w:sz="0" w:space="0" w:color="auto"/>
          </w:divBdr>
          <w:divsChild>
            <w:div w:id="1884441771">
              <w:marLeft w:val="0"/>
              <w:marRight w:val="0"/>
              <w:marTop w:val="0"/>
              <w:marBottom w:val="0"/>
              <w:divBdr>
                <w:top w:val="none" w:sz="0" w:space="0" w:color="auto"/>
                <w:left w:val="none" w:sz="0" w:space="0" w:color="auto"/>
                <w:bottom w:val="none" w:sz="0" w:space="0" w:color="auto"/>
                <w:right w:val="none" w:sz="0" w:space="0" w:color="auto"/>
              </w:divBdr>
              <w:divsChild>
                <w:div w:id="196629813">
                  <w:marLeft w:val="0"/>
                  <w:marRight w:val="0"/>
                  <w:marTop w:val="0"/>
                  <w:marBottom w:val="0"/>
                  <w:divBdr>
                    <w:top w:val="none" w:sz="0" w:space="0" w:color="auto"/>
                    <w:left w:val="none" w:sz="0" w:space="0" w:color="auto"/>
                    <w:bottom w:val="none" w:sz="0" w:space="0" w:color="auto"/>
                    <w:right w:val="none" w:sz="0" w:space="0" w:color="auto"/>
                  </w:divBdr>
                  <w:divsChild>
                    <w:div w:id="9033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027966">
      <w:bodyDiv w:val="1"/>
      <w:marLeft w:val="0"/>
      <w:marRight w:val="0"/>
      <w:marTop w:val="0"/>
      <w:marBottom w:val="0"/>
      <w:divBdr>
        <w:top w:val="none" w:sz="0" w:space="0" w:color="auto"/>
        <w:left w:val="none" w:sz="0" w:space="0" w:color="auto"/>
        <w:bottom w:val="none" w:sz="0" w:space="0" w:color="auto"/>
        <w:right w:val="none" w:sz="0" w:space="0" w:color="auto"/>
      </w:divBdr>
      <w:divsChild>
        <w:div w:id="210583746">
          <w:marLeft w:val="0"/>
          <w:marRight w:val="0"/>
          <w:marTop w:val="0"/>
          <w:marBottom w:val="0"/>
          <w:divBdr>
            <w:top w:val="none" w:sz="0" w:space="0" w:color="auto"/>
            <w:left w:val="none" w:sz="0" w:space="0" w:color="auto"/>
            <w:bottom w:val="none" w:sz="0" w:space="0" w:color="auto"/>
            <w:right w:val="none" w:sz="0" w:space="0" w:color="auto"/>
          </w:divBdr>
          <w:divsChild>
            <w:div w:id="1182162314">
              <w:marLeft w:val="0"/>
              <w:marRight w:val="0"/>
              <w:marTop w:val="0"/>
              <w:marBottom w:val="0"/>
              <w:divBdr>
                <w:top w:val="none" w:sz="0" w:space="0" w:color="auto"/>
                <w:left w:val="none" w:sz="0" w:space="0" w:color="auto"/>
                <w:bottom w:val="none" w:sz="0" w:space="0" w:color="auto"/>
                <w:right w:val="none" w:sz="0" w:space="0" w:color="auto"/>
              </w:divBdr>
              <w:divsChild>
                <w:div w:id="1313677349">
                  <w:marLeft w:val="0"/>
                  <w:marRight w:val="0"/>
                  <w:marTop w:val="0"/>
                  <w:marBottom w:val="0"/>
                  <w:divBdr>
                    <w:top w:val="none" w:sz="0" w:space="0" w:color="auto"/>
                    <w:left w:val="none" w:sz="0" w:space="0" w:color="auto"/>
                    <w:bottom w:val="none" w:sz="0" w:space="0" w:color="auto"/>
                    <w:right w:val="none" w:sz="0" w:space="0" w:color="auto"/>
                  </w:divBdr>
                  <w:divsChild>
                    <w:div w:id="92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SP+FYM@1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10</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Editor-23</cp:lastModifiedBy>
  <cp:revision>77</cp:revision>
  <cp:lastPrinted>2024-10-01T08:52:00Z</cp:lastPrinted>
  <dcterms:created xsi:type="dcterms:W3CDTF">2024-09-11T05:30:00Z</dcterms:created>
  <dcterms:modified xsi:type="dcterms:W3CDTF">2024-10-09T14:38:00Z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